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945B51" w:rsidRDefault="009117F4" w:rsidP="00227150">
      <w:pPr>
        <w:jc w:val="center"/>
        <w:rPr>
          <w:lang w:eastAsia="en-US"/>
        </w:rPr>
      </w:pPr>
      <w:r w:rsidRPr="00945B51">
        <w:rPr>
          <w:lang w:eastAsia="en-US"/>
        </w:rPr>
        <w:t xml:space="preserve">Ministru kabineta noteikumu projekta </w:t>
      </w:r>
      <w:r w:rsidR="00032CCB" w:rsidRPr="00945B51">
        <w:rPr>
          <w:lang w:eastAsia="en-US"/>
        </w:rPr>
        <w:t>„</w:t>
      </w:r>
      <w:r w:rsidR="00227150" w:rsidRPr="00945B51">
        <w:rPr>
          <w:rStyle w:val="Izteiksmgs"/>
          <w:bCs w:val="0"/>
        </w:rPr>
        <w:t xml:space="preserve">Noteikumi par valsts un Eiropas Savienības atbalsta piešķiršanu, administrēšanu un uzraudzību </w:t>
      </w:r>
      <w:r w:rsidR="00227150" w:rsidRPr="00945B51">
        <w:rPr>
          <w:rStyle w:val="Izteiksmgs"/>
        </w:rPr>
        <w:t xml:space="preserve">vides, klimata un lauku ainavas uzlabošanai </w:t>
      </w:r>
      <w:r w:rsidR="00227150" w:rsidRPr="00945B51">
        <w:rPr>
          <w:rStyle w:val="Izteiksmgs"/>
          <w:bCs w:val="0"/>
        </w:rPr>
        <w:t>2014.-2020.gada plānošanas periodā</w:t>
      </w:r>
      <w:r w:rsidRPr="00945B51">
        <w:rPr>
          <w:lang w:eastAsia="en-US"/>
        </w:rPr>
        <w:t xml:space="preserve">” sākotnējās ietekmes novērtējuma </w:t>
      </w:r>
      <w:smartTag w:uri="schemas-tilde-lv/tildestengine" w:element="veidnes">
        <w:smartTagPr>
          <w:attr w:name="id" w:val="-1"/>
          <w:attr w:name="baseform" w:val="ziņojums"/>
          <w:attr w:name="text" w:val="ziņojums"/>
        </w:smartTagPr>
        <w:r w:rsidRPr="00945B51">
          <w:rPr>
            <w:lang w:eastAsia="en-US"/>
          </w:rPr>
          <w:t>ziņojums</w:t>
        </w:r>
      </w:smartTag>
      <w:r w:rsidRPr="00945B51">
        <w:rPr>
          <w:lang w:eastAsia="en-US"/>
        </w:rPr>
        <w:t xml:space="preserve"> (anotācija)</w:t>
      </w:r>
    </w:p>
    <w:p w:rsidR="00945B51" w:rsidRPr="00A5479D" w:rsidRDefault="00945B51" w:rsidP="00227150">
      <w:pPr>
        <w:jc w:val="center"/>
        <w:rPr>
          <w:bCs/>
          <w:sz w:val="28"/>
          <w:szCs w:val="28"/>
        </w:rPr>
      </w:pPr>
    </w:p>
    <w:p w:rsidR="009117F4" w:rsidRPr="005F2CAC" w:rsidRDefault="009117F4" w:rsidP="006B42E1">
      <w:pPr>
        <w:ind w:firstLine="301"/>
        <w:rPr>
          <w:sz w:val="10"/>
        </w:rPr>
      </w:pPr>
      <w:r w:rsidRPr="005F2CAC">
        <w:rPr>
          <w:sz w:val="10"/>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7C5B5D" w:rsidRPr="005F2CAC" w:rsidRDefault="007C5B5D" w:rsidP="00D21DAB">
            <w:pPr>
              <w:autoSpaceDE w:val="0"/>
              <w:autoSpaceDN w:val="0"/>
              <w:adjustRightInd w:val="0"/>
              <w:jc w:val="both"/>
            </w:pPr>
            <w:r w:rsidRPr="005F2CAC">
              <w:t xml:space="preserve">Noteikumu projekts sagatavots, pamatojoties uz Lauksaimniecības un lauku attīstības likuma 5.panta ceturto un septīto daļu un </w:t>
            </w:r>
            <w:r w:rsidR="005E6328" w:rsidRPr="005F2CAC">
              <w:t xml:space="preserve">2015.gada </w:t>
            </w:r>
            <w:r w:rsidRPr="005F2CAC">
              <w:t>1</w:t>
            </w:r>
            <w:r w:rsidR="00D21DAB" w:rsidRPr="005F2CAC">
              <w:t>3</w:t>
            </w:r>
            <w:r w:rsidRPr="005F2CAC">
              <w:t>. februār</w:t>
            </w:r>
            <w:r w:rsidR="005E6328" w:rsidRPr="005F2CAC">
              <w:t>a</w:t>
            </w:r>
            <w:r w:rsidRPr="005F2CAC">
              <w:t xml:space="preserve"> Eiropas Komisija (EK) lēmum</w:t>
            </w:r>
            <w:r w:rsidR="005E6328" w:rsidRPr="005F2CAC">
              <w:t>u</w:t>
            </w:r>
            <w:r w:rsidR="00D21DAB" w:rsidRPr="005F2CAC">
              <w:t xml:space="preserve"> </w:t>
            </w:r>
            <w:r w:rsidR="00D21DAB" w:rsidRPr="00F77674">
              <w:t xml:space="preserve">C(2015)839 </w:t>
            </w:r>
            <w:r w:rsidR="005E6328" w:rsidRPr="005F2CAC">
              <w:t>„P</w:t>
            </w:r>
            <w:r w:rsidRPr="005F2CAC">
              <w:t>ar Latvij</w:t>
            </w:r>
            <w:r w:rsidR="005E6328" w:rsidRPr="005F2CAC">
              <w:t xml:space="preserve">as Lauku attīstības programmas </w:t>
            </w:r>
            <w:r w:rsidRPr="005F2CAC">
              <w:t>2014.-2020. gadam apstiprināšanu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12012A" w:rsidRPr="005F2CAC" w:rsidRDefault="0012012A" w:rsidP="00227150">
            <w:pPr>
              <w:spacing w:after="120"/>
              <w:jc w:val="both"/>
              <w:rPr>
                <w:lang w:eastAsia="en-US"/>
              </w:rPr>
            </w:pPr>
            <w:r w:rsidRPr="005F2CAC">
              <w:rPr>
                <w:lang w:eastAsia="en-US"/>
              </w:rPr>
              <w:t>Šobrīd valsts un Eiropas Savienības</w:t>
            </w:r>
            <w:r w:rsidR="0036088B" w:rsidRPr="005F2CAC">
              <w:t xml:space="preserve"> atbalsta piešķiršanas kārtību lauku attīstībai – vides un lauku ainavas uzlabošanas pasākumiem </w:t>
            </w:r>
            <w:r w:rsidRPr="005F2CAC">
              <w:rPr>
                <w:lang w:eastAsia="en-US"/>
              </w:rPr>
              <w:t xml:space="preserve">nosaka </w:t>
            </w:r>
            <w:r w:rsidR="0036088B" w:rsidRPr="005F2CAC">
              <w:t>Ministru kabineta 2010. gada 23. marta noteikumus Nr.295 „Noteikumi par valsts un Eiropas Savienības lauku attīstības atbalsta piešķiršanu, administrēšanu un uzraudzību vides un lauku ainavas uzlabošanai”</w:t>
            </w:r>
            <w:r w:rsidRPr="005F2CAC">
              <w:rPr>
                <w:lang w:eastAsia="en-US"/>
              </w:rPr>
              <w:t xml:space="preserve"> (turpmāk – Ministru kabineta noteikumi Nr.</w:t>
            </w:r>
            <w:r w:rsidR="0036088B" w:rsidRPr="005F2CAC">
              <w:rPr>
                <w:lang w:eastAsia="en-US"/>
              </w:rPr>
              <w:t>295</w:t>
            </w:r>
            <w:r w:rsidRPr="005F2CAC">
              <w:rPr>
                <w:lang w:eastAsia="en-US"/>
              </w:rPr>
              <w:t>).</w:t>
            </w:r>
          </w:p>
          <w:p w:rsidR="00260D3F" w:rsidRPr="005F2CAC" w:rsidRDefault="0021371F" w:rsidP="00260D3F">
            <w:pPr>
              <w:pStyle w:val="Parakstszemobjekta"/>
              <w:ind w:firstLine="407"/>
              <w:jc w:val="both"/>
              <w:rPr>
                <w:sz w:val="24"/>
                <w:szCs w:val="24"/>
                <w:lang w:val="lv-LV"/>
              </w:rPr>
            </w:pPr>
            <w:r w:rsidRPr="005F2CAC">
              <w:rPr>
                <w:sz w:val="24"/>
                <w:szCs w:val="24"/>
                <w:lang w:val="lv-LV"/>
              </w:rPr>
              <w:t>Jaun</w:t>
            </w:r>
            <w:r w:rsidR="00944B51" w:rsidRPr="005F2CAC">
              <w:rPr>
                <w:sz w:val="24"/>
                <w:szCs w:val="24"/>
                <w:lang w:val="lv-LV"/>
              </w:rPr>
              <w:t>s Ministru kabineta noteikumu projekt</w:t>
            </w:r>
            <w:r w:rsidRPr="005F2CAC">
              <w:rPr>
                <w:sz w:val="24"/>
                <w:szCs w:val="24"/>
                <w:lang w:val="lv-LV"/>
              </w:rPr>
              <w:t>s</w:t>
            </w:r>
            <w:r w:rsidR="00944B51" w:rsidRPr="005F2CAC">
              <w:rPr>
                <w:sz w:val="24"/>
                <w:szCs w:val="24"/>
                <w:lang w:val="lv-LV"/>
              </w:rPr>
              <w:t xml:space="preserve"> “</w:t>
            </w:r>
            <w:r w:rsidR="00227150" w:rsidRPr="005F2CAC">
              <w:rPr>
                <w:i/>
                <w:iCs/>
                <w:sz w:val="24"/>
                <w:szCs w:val="24"/>
                <w:lang w:val="lv-LV"/>
              </w:rPr>
              <w:t xml:space="preserve"> </w:t>
            </w:r>
            <w:r w:rsidR="00227150" w:rsidRPr="005F2CAC">
              <w:rPr>
                <w:sz w:val="24"/>
                <w:szCs w:val="24"/>
                <w:lang w:val="lv-LV"/>
              </w:rPr>
              <w:t xml:space="preserve">Noteikumi par valsts un Eiropas Savienības atbalsta piešķiršanu, administrēšanu un uzraudzību </w:t>
            </w:r>
            <w:r w:rsidR="00227150" w:rsidRPr="005F2CAC">
              <w:rPr>
                <w:bCs/>
                <w:sz w:val="24"/>
                <w:szCs w:val="24"/>
                <w:lang w:val="lv-LV"/>
              </w:rPr>
              <w:t xml:space="preserve">vides, klimata un lauku ainavas uzlabošanai </w:t>
            </w:r>
            <w:r w:rsidR="00227150" w:rsidRPr="005F2CAC">
              <w:rPr>
                <w:sz w:val="24"/>
                <w:szCs w:val="24"/>
                <w:lang w:val="lv-LV"/>
              </w:rPr>
              <w:t>2014.-2020.gada plānošanas periodā</w:t>
            </w:r>
            <w:r w:rsidR="00944B51" w:rsidRPr="005F2CAC">
              <w:rPr>
                <w:sz w:val="24"/>
                <w:szCs w:val="24"/>
                <w:lang w:val="lv-LV"/>
              </w:rPr>
              <w:t xml:space="preserve">” (turpmāk – noteikumu projekts), </w:t>
            </w:r>
            <w:r w:rsidR="00C33321" w:rsidRPr="005F2CAC">
              <w:rPr>
                <w:sz w:val="24"/>
                <w:szCs w:val="24"/>
                <w:lang w:val="lv-LV"/>
              </w:rPr>
              <w:t xml:space="preserve">kas aizstās patreizējo regulējumu, </w:t>
            </w:r>
            <w:r w:rsidRPr="005F2CAC">
              <w:rPr>
                <w:sz w:val="24"/>
                <w:szCs w:val="24"/>
                <w:lang w:val="lv-LV"/>
              </w:rPr>
              <w:t xml:space="preserve">ir </w:t>
            </w:r>
            <w:r w:rsidR="007E1E87" w:rsidRPr="005F2CAC">
              <w:rPr>
                <w:sz w:val="24"/>
                <w:szCs w:val="24"/>
                <w:lang w:val="lv-LV"/>
              </w:rPr>
              <w:t>izstrādāts ar mērķi</w:t>
            </w:r>
            <w:r w:rsidRPr="005F2CAC">
              <w:rPr>
                <w:sz w:val="24"/>
                <w:szCs w:val="24"/>
                <w:lang w:val="lv-LV"/>
              </w:rPr>
              <w:t xml:space="preserve">, lai nodrošinātu Kopējās lauksaimniecības politikas reformas nosacījumu </w:t>
            </w:r>
            <w:r w:rsidR="00956DC9" w:rsidRPr="005F2CAC">
              <w:rPr>
                <w:sz w:val="24"/>
                <w:szCs w:val="24"/>
                <w:lang w:val="lv-LV"/>
              </w:rPr>
              <w:t xml:space="preserve">piemērošanu </w:t>
            </w:r>
            <w:r w:rsidR="0036088B" w:rsidRPr="005F2CAC">
              <w:rPr>
                <w:sz w:val="24"/>
                <w:szCs w:val="24"/>
                <w:lang w:val="lv-LV"/>
              </w:rPr>
              <w:t>platību m</w:t>
            </w:r>
            <w:r w:rsidR="00956DC9" w:rsidRPr="005F2CAC">
              <w:rPr>
                <w:sz w:val="24"/>
                <w:szCs w:val="24"/>
                <w:lang w:val="lv-LV"/>
              </w:rPr>
              <w:t>aksājumu</w:t>
            </w:r>
            <w:r w:rsidR="005421CE" w:rsidRPr="005F2CAC">
              <w:rPr>
                <w:sz w:val="24"/>
                <w:szCs w:val="24"/>
                <w:lang w:val="lv-LV"/>
              </w:rPr>
              <w:t xml:space="preserve"> jomā sākot no 2015.gada</w:t>
            </w:r>
            <w:r w:rsidR="006A7063" w:rsidRPr="005F2CAC">
              <w:rPr>
                <w:sz w:val="24"/>
                <w:szCs w:val="24"/>
                <w:lang w:val="lv-LV"/>
              </w:rPr>
              <w:t xml:space="preserve"> atbilstoši </w:t>
            </w:r>
            <w:r w:rsidR="005421CE" w:rsidRPr="005F2CAC">
              <w:rPr>
                <w:sz w:val="24"/>
                <w:szCs w:val="24"/>
                <w:lang w:val="lv-LV"/>
              </w:rPr>
              <w:t>Eiropas Parlamenta un Padomes 2013.gada 17.decembra Regul</w:t>
            </w:r>
            <w:r w:rsidR="006A7063" w:rsidRPr="005F2CAC">
              <w:rPr>
                <w:sz w:val="24"/>
                <w:szCs w:val="24"/>
                <w:lang w:val="lv-LV"/>
              </w:rPr>
              <w:t>ai</w:t>
            </w:r>
            <w:r w:rsidR="005421CE" w:rsidRPr="005F2CAC">
              <w:rPr>
                <w:sz w:val="24"/>
                <w:szCs w:val="24"/>
                <w:lang w:val="lv-LV"/>
              </w:rPr>
              <w:t xml:space="preserve"> (ES) </w:t>
            </w:r>
            <w:r w:rsidR="00A24D92" w:rsidRPr="005F2CAC">
              <w:rPr>
                <w:sz w:val="24"/>
                <w:szCs w:val="24"/>
                <w:lang w:val="lv-LV"/>
              </w:rPr>
              <w:t>Nr.</w:t>
            </w:r>
            <w:r w:rsidR="005421CE" w:rsidRPr="005F2CAC">
              <w:rPr>
                <w:sz w:val="24"/>
                <w:szCs w:val="24"/>
                <w:lang w:val="lv-LV"/>
              </w:rPr>
              <w:t xml:space="preserve">1307/2013, ar ko izveido noteikumus par lauksaimniekiem paredzētiem tiešajiem maksājumiem, kurus veic saskaņā ar kopējās lauksaimniecības politikas atbalsta shēmām, un ar ko atceļ Padomes Regulu (EK) </w:t>
            </w:r>
            <w:r w:rsidR="00A24D92" w:rsidRPr="005F2CAC">
              <w:rPr>
                <w:sz w:val="24"/>
                <w:szCs w:val="24"/>
                <w:lang w:val="lv-LV"/>
              </w:rPr>
              <w:t>Nr.</w:t>
            </w:r>
            <w:r w:rsidR="005421CE" w:rsidRPr="005F2CAC">
              <w:rPr>
                <w:sz w:val="24"/>
                <w:szCs w:val="24"/>
                <w:lang w:val="lv-LV"/>
              </w:rPr>
              <w:t xml:space="preserve">637/2008 un Padomes Regulu (EK) </w:t>
            </w:r>
            <w:r w:rsidR="00A24D92" w:rsidRPr="005F2CAC">
              <w:rPr>
                <w:sz w:val="24"/>
                <w:szCs w:val="24"/>
                <w:lang w:val="lv-LV"/>
              </w:rPr>
              <w:t>Nr.</w:t>
            </w:r>
            <w:r w:rsidR="005421CE" w:rsidRPr="005F2CAC">
              <w:rPr>
                <w:sz w:val="24"/>
                <w:szCs w:val="24"/>
                <w:lang w:val="lv-LV"/>
              </w:rPr>
              <w:t xml:space="preserve">73/2009 (turpmāk – regula </w:t>
            </w:r>
            <w:r w:rsidR="00A24D92" w:rsidRPr="005F2CAC">
              <w:rPr>
                <w:sz w:val="24"/>
                <w:szCs w:val="24"/>
                <w:lang w:val="lv-LV"/>
              </w:rPr>
              <w:t>Nr.</w:t>
            </w:r>
            <w:r w:rsidR="005421CE" w:rsidRPr="005F2CAC">
              <w:rPr>
                <w:sz w:val="24"/>
                <w:szCs w:val="24"/>
                <w:lang w:val="lv-LV"/>
              </w:rPr>
              <w:t xml:space="preserve">1307/2013), kā arī Eiropas Parlamenta un Padomes 2013.gada 17.decembra Regulā (ES) </w:t>
            </w:r>
            <w:r w:rsidR="00A24D92" w:rsidRPr="005F2CAC">
              <w:rPr>
                <w:sz w:val="24"/>
                <w:szCs w:val="24"/>
                <w:lang w:val="lv-LV"/>
              </w:rPr>
              <w:t>Nr.</w:t>
            </w:r>
            <w:r w:rsidR="005421CE" w:rsidRPr="005F2CAC">
              <w:rPr>
                <w:sz w:val="24"/>
                <w:szCs w:val="24"/>
                <w:lang w:val="lv-LV"/>
              </w:rPr>
              <w:t xml:space="preserve">1306/2013 par kopējās lauksaimniecības politikas finansēšanu, pārvaldību un uzraudzību un Padomes Regulu (EEK) </w:t>
            </w:r>
            <w:r w:rsidR="00A24D92" w:rsidRPr="005F2CAC">
              <w:rPr>
                <w:sz w:val="24"/>
                <w:szCs w:val="24"/>
                <w:lang w:val="lv-LV"/>
              </w:rPr>
              <w:t>Nr.</w:t>
            </w:r>
            <w:r w:rsidR="005421CE" w:rsidRPr="005F2CAC">
              <w:rPr>
                <w:sz w:val="24"/>
                <w:szCs w:val="24"/>
                <w:lang w:val="lv-LV"/>
              </w:rPr>
              <w:t xml:space="preserve">352/78, (EK) </w:t>
            </w:r>
            <w:r w:rsidR="00A24D92" w:rsidRPr="005F2CAC">
              <w:rPr>
                <w:sz w:val="24"/>
                <w:szCs w:val="24"/>
                <w:lang w:val="lv-LV"/>
              </w:rPr>
              <w:t>Nr.</w:t>
            </w:r>
            <w:r w:rsidR="005421CE" w:rsidRPr="005F2CAC">
              <w:rPr>
                <w:sz w:val="24"/>
                <w:szCs w:val="24"/>
                <w:lang w:val="lv-LV"/>
              </w:rPr>
              <w:t xml:space="preserve">165/94, (EK) </w:t>
            </w:r>
            <w:r w:rsidR="00A24D92" w:rsidRPr="005F2CAC">
              <w:rPr>
                <w:sz w:val="24"/>
                <w:szCs w:val="24"/>
                <w:lang w:val="lv-LV"/>
              </w:rPr>
              <w:t>Nr.</w:t>
            </w:r>
            <w:r w:rsidR="005421CE" w:rsidRPr="005F2CAC">
              <w:rPr>
                <w:sz w:val="24"/>
                <w:szCs w:val="24"/>
                <w:lang w:val="lv-LV"/>
              </w:rPr>
              <w:t xml:space="preserve">2799/98, (EK) </w:t>
            </w:r>
            <w:r w:rsidR="00A24D92" w:rsidRPr="005F2CAC">
              <w:rPr>
                <w:sz w:val="24"/>
                <w:szCs w:val="24"/>
                <w:lang w:val="lv-LV"/>
              </w:rPr>
              <w:t>Nr.</w:t>
            </w:r>
            <w:r w:rsidR="005421CE" w:rsidRPr="005F2CAC">
              <w:rPr>
                <w:sz w:val="24"/>
                <w:szCs w:val="24"/>
                <w:lang w:val="lv-LV"/>
              </w:rPr>
              <w:t xml:space="preserve">814/2000, (EK) </w:t>
            </w:r>
            <w:r w:rsidR="00A24D92" w:rsidRPr="005F2CAC">
              <w:rPr>
                <w:sz w:val="24"/>
                <w:szCs w:val="24"/>
                <w:lang w:val="lv-LV"/>
              </w:rPr>
              <w:t>Nr.</w:t>
            </w:r>
            <w:r w:rsidR="005421CE" w:rsidRPr="005F2CAC">
              <w:rPr>
                <w:sz w:val="24"/>
                <w:szCs w:val="24"/>
                <w:lang w:val="lv-LV"/>
              </w:rPr>
              <w:t xml:space="preserve">1290/2005 un (EK) </w:t>
            </w:r>
            <w:r w:rsidR="00A24D92" w:rsidRPr="005F2CAC">
              <w:rPr>
                <w:sz w:val="24"/>
                <w:szCs w:val="24"/>
                <w:lang w:val="lv-LV"/>
              </w:rPr>
              <w:t>Nr.</w:t>
            </w:r>
            <w:r w:rsidR="005421CE" w:rsidRPr="005F2CAC">
              <w:rPr>
                <w:sz w:val="24"/>
                <w:szCs w:val="24"/>
                <w:lang w:val="lv-LV"/>
              </w:rPr>
              <w:t xml:space="preserve">485/2008 atcelšanu (turpmāk – regula </w:t>
            </w:r>
            <w:r w:rsidR="00A24D92" w:rsidRPr="005F2CAC">
              <w:rPr>
                <w:sz w:val="24"/>
                <w:szCs w:val="24"/>
                <w:lang w:val="lv-LV"/>
              </w:rPr>
              <w:t>Nr.</w:t>
            </w:r>
            <w:r w:rsidR="005421CE" w:rsidRPr="005F2CAC">
              <w:rPr>
                <w:sz w:val="24"/>
                <w:szCs w:val="24"/>
                <w:lang w:val="lv-LV"/>
              </w:rPr>
              <w:t>1306/2013)</w:t>
            </w:r>
            <w:r w:rsidR="0036088B" w:rsidRPr="005F2CAC">
              <w:rPr>
                <w:sz w:val="24"/>
                <w:szCs w:val="24"/>
                <w:lang w:val="lv-LV"/>
              </w:rPr>
              <w:t>, un Padomes (ES) 2013.gada 17.decembra Regula Nr.1305/2013 par atbalstu lauku attīstībai no Eiropas Lauksaimniecības fonda lauku attīstībai (ELFLA) un ar ko atceļ Padomes Regulu (EK) Nr.1698/2005 (turpmāk - regula Nr.1305/2013)</w:t>
            </w:r>
            <w:r w:rsidR="00260D3F" w:rsidRPr="005F2CAC">
              <w:rPr>
                <w:sz w:val="24"/>
                <w:szCs w:val="24"/>
                <w:lang w:val="lv-LV"/>
              </w:rPr>
              <w:t xml:space="preserve"> un no tās izrietošajai Latvijas Lauku attīstības programmai 2014–2020 (turpmāk – LAP (2014–2020)).</w:t>
            </w:r>
          </w:p>
          <w:p w:rsidR="0036088B" w:rsidRPr="005F2CAC" w:rsidRDefault="0036088B" w:rsidP="00227150">
            <w:pPr>
              <w:jc w:val="both"/>
              <w:rPr>
                <w:lang w:eastAsia="en-US"/>
              </w:rPr>
            </w:pPr>
          </w:p>
          <w:p w:rsidR="000141C1" w:rsidRPr="005F2CAC" w:rsidRDefault="00327FCF" w:rsidP="000141C1">
            <w:pPr>
              <w:spacing w:after="120"/>
              <w:jc w:val="both"/>
              <w:rPr>
                <w:lang w:eastAsia="en-US"/>
              </w:rPr>
            </w:pPr>
            <w:r w:rsidRPr="005F2CAC">
              <w:rPr>
                <w:lang w:eastAsia="en-US"/>
              </w:rPr>
              <w:t>Noteikum</w:t>
            </w:r>
            <w:r w:rsidR="00FE66CF" w:rsidRPr="005F2CAC">
              <w:rPr>
                <w:lang w:eastAsia="en-US"/>
              </w:rPr>
              <w:t>u projekts</w:t>
            </w:r>
            <w:r w:rsidRPr="005F2CAC">
              <w:rPr>
                <w:lang w:eastAsia="en-US"/>
              </w:rPr>
              <w:t xml:space="preserve"> </w:t>
            </w:r>
            <w:r w:rsidR="00FE66CF" w:rsidRPr="005F2CAC">
              <w:rPr>
                <w:lang w:eastAsia="en-US"/>
              </w:rPr>
              <w:t xml:space="preserve">ir izstrādāts, lai </w:t>
            </w:r>
            <w:r w:rsidRPr="005F2CAC">
              <w:rPr>
                <w:lang w:eastAsia="en-US"/>
              </w:rPr>
              <w:t>no</w:t>
            </w:r>
            <w:r w:rsidR="00FE66CF" w:rsidRPr="005F2CAC">
              <w:rPr>
                <w:lang w:eastAsia="en-US"/>
              </w:rPr>
              <w:t>teiktu</w:t>
            </w:r>
            <w:r w:rsidRPr="005F2CAC">
              <w:rPr>
                <w:lang w:eastAsia="en-US"/>
              </w:rPr>
              <w:t xml:space="preserve"> kārtību, kādā</w:t>
            </w:r>
            <w:r w:rsidR="001A3C80" w:rsidRPr="005F2CAC">
              <w:rPr>
                <w:lang w:eastAsia="en-US"/>
              </w:rPr>
              <w:t xml:space="preserve"> </w:t>
            </w:r>
            <w:r w:rsidR="00603054" w:rsidRPr="005F2CAC">
              <w:rPr>
                <w:lang w:eastAsia="en-US"/>
              </w:rPr>
              <w:t xml:space="preserve">tiks </w:t>
            </w:r>
            <w:r w:rsidR="00603054" w:rsidRPr="005F2CAC">
              <w:t>piešķirts, administrēts un uzraudzīts valsts un Eiropas Savienības atbalsts lauku attīstībai – vides, klimata un lauku ainavas uzlabošanas pasākumiem jeb lauku attīstības platībatkarīgo atbalstu</w:t>
            </w:r>
            <w:r w:rsidR="00603054" w:rsidRPr="005F2CAC">
              <w:rPr>
                <w:lang w:eastAsia="en-US"/>
              </w:rPr>
              <w:t xml:space="preserve"> </w:t>
            </w:r>
            <w:r w:rsidR="00A24D92" w:rsidRPr="005F2CAC">
              <w:rPr>
                <w:lang w:eastAsia="en-US"/>
              </w:rPr>
              <w:t xml:space="preserve">maksājumi lauksaimniekiem </w:t>
            </w:r>
            <w:r w:rsidR="007E1E87" w:rsidRPr="005F2CAC">
              <w:rPr>
                <w:lang w:eastAsia="en-US"/>
              </w:rPr>
              <w:t>sākot no 2015.gada</w:t>
            </w:r>
            <w:r w:rsidR="00E85E43" w:rsidRPr="005F2CAC">
              <w:rPr>
                <w:lang w:eastAsia="en-US"/>
              </w:rPr>
              <w:t xml:space="preserve">, </w:t>
            </w:r>
            <w:r w:rsidR="000141C1" w:rsidRPr="005F2CAC">
              <w:rPr>
                <w:lang w:eastAsia="en-US"/>
              </w:rPr>
              <w:t xml:space="preserve">nosakot piemērojamās atbalsta </w:t>
            </w:r>
            <w:r w:rsidR="00603054" w:rsidRPr="005F2CAC">
              <w:rPr>
                <w:lang w:eastAsia="en-US"/>
              </w:rPr>
              <w:t>aktivitātes</w:t>
            </w:r>
            <w:r w:rsidR="000141C1" w:rsidRPr="005F2CAC">
              <w:rPr>
                <w:lang w:eastAsia="en-US"/>
              </w:rPr>
              <w:t xml:space="preserve">, </w:t>
            </w:r>
            <w:r w:rsidR="00603054" w:rsidRPr="005F2CAC">
              <w:rPr>
                <w:lang w:eastAsia="en-US"/>
              </w:rPr>
              <w:t>aktivitāšu</w:t>
            </w:r>
            <w:r w:rsidR="000141C1" w:rsidRPr="005F2CAC">
              <w:rPr>
                <w:lang w:eastAsia="en-US"/>
              </w:rPr>
              <w:t xml:space="preserve"> administrēšanas nosacījumus, </w:t>
            </w:r>
            <w:r w:rsidR="00A4607B" w:rsidRPr="005F2CAC">
              <w:rPr>
                <w:lang w:eastAsia="en-US"/>
              </w:rPr>
              <w:t xml:space="preserve">dalībvalstīm paredzētās izvēles, </w:t>
            </w:r>
            <w:r w:rsidR="000141C1" w:rsidRPr="005F2CAC">
              <w:rPr>
                <w:lang w:eastAsia="en-US"/>
              </w:rPr>
              <w:t xml:space="preserve">noteikumus, kas jāievēro lauksaimniekiem, lai saņemtu </w:t>
            </w:r>
            <w:r w:rsidR="00603054" w:rsidRPr="005F2CAC">
              <w:t>lauku attīstības platībatkarīgo atbalstu</w:t>
            </w:r>
            <w:r w:rsidR="00603054" w:rsidRPr="005F2CAC">
              <w:rPr>
                <w:lang w:eastAsia="en-US"/>
              </w:rPr>
              <w:t xml:space="preserve"> </w:t>
            </w:r>
            <w:r w:rsidR="00A24D92" w:rsidRPr="005F2CAC">
              <w:rPr>
                <w:lang w:eastAsia="en-US"/>
              </w:rPr>
              <w:t>maksājumus</w:t>
            </w:r>
            <w:r w:rsidR="000141C1" w:rsidRPr="005F2CAC">
              <w:rPr>
                <w:lang w:eastAsia="en-US"/>
              </w:rPr>
              <w:t xml:space="preserve">, atbilstoši regulā </w:t>
            </w:r>
            <w:r w:rsidR="00603054" w:rsidRPr="005F2CAC">
              <w:rPr>
                <w:lang w:eastAsia="en-US"/>
              </w:rPr>
              <w:t xml:space="preserve">Nr.1305/2013, </w:t>
            </w:r>
            <w:r w:rsidR="00A24D92" w:rsidRPr="005F2CAC">
              <w:rPr>
                <w:lang w:eastAsia="en-US"/>
              </w:rPr>
              <w:t>Nr.</w:t>
            </w:r>
            <w:r w:rsidR="000141C1" w:rsidRPr="005F2CAC">
              <w:rPr>
                <w:lang w:eastAsia="en-US"/>
              </w:rPr>
              <w:t>130</w:t>
            </w:r>
            <w:r w:rsidR="00603054" w:rsidRPr="005F2CAC">
              <w:rPr>
                <w:lang w:eastAsia="en-US"/>
              </w:rPr>
              <w:t>6</w:t>
            </w:r>
            <w:r w:rsidR="000141C1" w:rsidRPr="005F2CAC">
              <w:rPr>
                <w:lang w:eastAsia="en-US"/>
              </w:rPr>
              <w:t xml:space="preserve">/2013 un </w:t>
            </w:r>
            <w:r w:rsidR="00A24D92" w:rsidRPr="005F2CAC">
              <w:rPr>
                <w:lang w:eastAsia="en-US"/>
              </w:rPr>
              <w:t>Nr.</w:t>
            </w:r>
            <w:r w:rsidR="000141C1" w:rsidRPr="005F2CAC">
              <w:rPr>
                <w:lang w:eastAsia="en-US"/>
              </w:rPr>
              <w:t>130</w:t>
            </w:r>
            <w:r w:rsidR="00603054" w:rsidRPr="005F2CAC">
              <w:rPr>
                <w:lang w:eastAsia="en-US"/>
              </w:rPr>
              <w:t>7</w:t>
            </w:r>
            <w:r w:rsidR="000141C1" w:rsidRPr="005F2CAC">
              <w:rPr>
                <w:lang w:eastAsia="en-US"/>
              </w:rPr>
              <w:t xml:space="preserve">/2013 paredzētajiem </w:t>
            </w:r>
            <w:r w:rsidR="000141C1" w:rsidRPr="005F2CAC">
              <w:rPr>
                <w:lang w:eastAsia="en-US"/>
              </w:rPr>
              <w:lastRenderedPageBreak/>
              <w:t>nosacījumiem.</w:t>
            </w:r>
          </w:p>
          <w:p w:rsidR="00B64EC7" w:rsidRPr="005F2CAC" w:rsidRDefault="00B64EC7" w:rsidP="00B64EC7">
            <w:pPr>
              <w:spacing w:after="120"/>
              <w:jc w:val="both"/>
              <w:rPr>
                <w:lang w:eastAsia="en-US"/>
              </w:rPr>
            </w:pPr>
            <w:r w:rsidRPr="005F2CAC">
              <w:rPr>
                <w:lang w:eastAsia="en-US"/>
              </w:rPr>
              <w:t>Noteikum</w:t>
            </w:r>
            <w:r w:rsidR="00D81B78" w:rsidRPr="005F2CAC">
              <w:rPr>
                <w:lang w:eastAsia="en-US"/>
              </w:rPr>
              <w:t>u projektā</w:t>
            </w:r>
            <w:r w:rsidRPr="005F2CAC">
              <w:rPr>
                <w:lang w:eastAsia="en-US"/>
              </w:rPr>
              <w:t xml:space="preserve"> paredzēts, ka Latvijā tiks piemērotas</w:t>
            </w:r>
            <w:r w:rsidR="00D81B78" w:rsidRPr="005F2CAC">
              <w:rPr>
                <w:lang w:eastAsia="en-US"/>
              </w:rPr>
              <w:t xml:space="preserve"> </w:t>
            </w:r>
            <w:r w:rsidR="006A7063" w:rsidRPr="005F2CAC">
              <w:rPr>
                <w:lang w:eastAsia="en-US"/>
              </w:rPr>
              <w:t>šādas</w:t>
            </w:r>
            <w:r w:rsidR="00D81B78" w:rsidRPr="005F2CAC">
              <w:rPr>
                <w:lang w:eastAsia="en-US"/>
              </w:rPr>
              <w:t xml:space="preserve"> </w:t>
            </w:r>
            <w:r w:rsidR="00603054" w:rsidRPr="005F2CAC">
              <w:t>lauku attīstības platībatkarīgo atbalstu</w:t>
            </w:r>
            <w:r w:rsidR="00603054" w:rsidRPr="005F2CAC">
              <w:rPr>
                <w:lang w:eastAsia="en-US"/>
              </w:rPr>
              <w:t xml:space="preserve"> maksājumu pasākumi un to aktivitātes</w:t>
            </w:r>
            <w:r w:rsidR="00D81B78" w:rsidRPr="005F2CAC">
              <w:rPr>
                <w:lang w:eastAsia="en-US"/>
              </w:rPr>
              <w:t>:</w:t>
            </w:r>
          </w:p>
          <w:p w:rsidR="00603054" w:rsidRPr="005F2CAC" w:rsidRDefault="00603054" w:rsidP="00603054">
            <w:pPr>
              <w:jc w:val="both"/>
              <w:rPr>
                <w:lang w:eastAsia="en-US"/>
              </w:rPr>
            </w:pPr>
            <w:r w:rsidRPr="005F2CAC">
              <w:rPr>
                <w:lang w:eastAsia="en-US"/>
              </w:rPr>
              <w:t>1. „Agrovide un klimats”, kas ietver šādas aktivitātes:</w:t>
            </w:r>
          </w:p>
          <w:p w:rsidR="00603054" w:rsidRPr="005F2CAC" w:rsidRDefault="00603054" w:rsidP="00603054">
            <w:pPr>
              <w:jc w:val="both"/>
              <w:rPr>
                <w:lang w:eastAsia="en-US"/>
              </w:rPr>
            </w:pPr>
            <w:r w:rsidRPr="005F2CAC">
              <w:rPr>
                <w:lang w:eastAsia="en-US"/>
              </w:rPr>
              <w:t>1.1. „Bioloģiskās daudzveidības uzturēšana zālājos” (10.1.1.- pasākuma kods);</w:t>
            </w:r>
          </w:p>
          <w:p w:rsidR="00603054" w:rsidRPr="005F2CAC" w:rsidRDefault="00603054" w:rsidP="00603054">
            <w:pPr>
              <w:jc w:val="both"/>
              <w:rPr>
                <w:lang w:eastAsia="en-US"/>
              </w:rPr>
            </w:pPr>
            <w:r w:rsidRPr="005F2CAC">
              <w:rPr>
                <w:lang w:eastAsia="en-US"/>
              </w:rPr>
              <w:t>1.2. „Vidi saudzējošu metožu pielietošana dārzkopībā” (10.1.2. - pasākuma kods);</w:t>
            </w:r>
          </w:p>
          <w:p w:rsidR="00603054" w:rsidRPr="005F2CAC" w:rsidRDefault="00603054" w:rsidP="00603054">
            <w:pPr>
              <w:jc w:val="both"/>
              <w:rPr>
                <w:lang w:eastAsia="en-US"/>
              </w:rPr>
            </w:pPr>
            <w:r w:rsidRPr="005F2CAC">
              <w:rPr>
                <w:lang w:eastAsia="en-US"/>
              </w:rPr>
              <w:t>1.3. „Rugāju lauks ziemas periodā” (10.1.3. - pasākuma kods);</w:t>
            </w:r>
          </w:p>
          <w:p w:rsidR="00603054" w:rsidRPr="005F2CAC" w:rsidRDefault="00603054" w:rsidP="00603054">
            <w:pPr>
              <w:jc w:val="both"/>
              <w:rPr>
                <w:lang w:eastAsia="en-US"/>
              </w:rPr>
            </w:pPr>
            <w:r w:rsidRPr="005F2CAC">
              <w:rPr>
                <w:lang w:eastAsia="en-US"/>
              </w:rPr>
              <w:t xml:space="preserve">2. „Bioloģiskā lauksaimniecība”, kas ietver šādas aktivitātes: </w:t>
            </w:r>
          </w:p>
          <w:p w:rsidR="00603054" w:rsidRPr="005F2CAC" w:rsidRDefault="00603054" w:rsidP="00603054">
            <w:pPr>
              <w:jc w:val="both"/>
              <w:rPr>
                <w:lang w:eastAsia="en-US"/>
              </w:rPr>
            </w:pPr>
            <w:r w:rsidRPr="005F2CAC">
              <w:rPr>
                <w:lang w:eastAsia="en-US"/>
              </w:rPr>
              <w:t>2.1. „Maksājums, lai pārietu uz bioloģiskās lauksaimniecības praksi un metodēm” (11.1. - pasākuma kods);</w:t>
            </w:r>
          </w:p>
          <w:p w:rsidR="00603054" w:rsidRPr="005F2CAC" w:rsidRDefault="00603054" w:rsidP="00603054">
            <w:pPr>
              <w:jc w:val="both"/>
              <w:rPr>
                <w:lang w:eastAsia="en-US"/>
              </w:rPr>
            </w:pPr>
            <w:r w:rsidRPr="005F2CAC">
              <w:rPr>
                <w:lang w:eastAsia="en-US"/>
              </w:rPr>
              <w:t>2.2. „Maksājums, lai saglabātu bioloģiskās lauksaimniecības praksi un metodes” (11.2. - pasākuma kods).</w:t>
            </w:r>
          </w:p>
          <w:p w:rsidR="00603054" w:rsidRPr="005F2CAC" w:rsidRDefault="00603054" w:rsidP="00603054">
            <w:pPr>
              <w:jc w:val="both"/>
              <w:rPr>
                <w:i/>
                <w:iCs/>
                <w:lang w:eastAsia="en-US"/>
              </w:rPr>
            </w:pPr>
            <w:r w:rsidRPr="005F2CAC">
              <w:rPr>
                <w:lang w:eastAsia="en-US"/>
              </w:rPr>
              <w:t>3. „Natura 2000 un Ūdens pamatdirektīvas maksājumi” aktivitātei „Kompensācijas maksājums par Natura 2000 meža teritorijām” (12.2. - pasākuma kods);</w:t>
            </w:r>
          </w:p>
          <w:p w:rsidR="00603054" w:rsidRPr="005F2CAC" w:rsidRDefault="00603054" w:rsidP="00603054">
            <w:pPr>
              <w:jc w:val="both"/>
              <w:rPr>
                <w:lang w:eastAsia="en-US"/>
              </w:rPr>
            </w:pPr>
            <w:r w:rsidRPr="005F2CAC">
              <w:rPr>
                <w:lang w:eastAsia="en-US"/>
              </w:rPr>
              <w:t>4. „Maksājumi apgabaliem, kuros ir dabas vai citi specifiski ierobežojumi”, kas ietver šādas aktivitātes:</w:t>
            </w:r>
          </w:p>
          <w:p w:rsidR="00603054" w:rsidRPr="005F2CAC" w:rsidRDefault="00603054" w:rsidP="00603054">
            <w:pPr>
              <w:jc w:val="both"/>
              <w:rPr>
                <w:lang w:eastAsia="en-US"/>
              </w:rPr>
            </w:pPr>
            <w:r w:rsidRPr="005F2CAC">
              <w:rPr>
                <w:lang w:eastAsia="en-US"/>
              </w:rPr>
              <w:t>4.1. „Kompensācijas maksājums par citiem apgabaliem, kuros ir ievērojami dabas ierobežojumi” (13.2. - pasākuma kods);</w:t>
            </w:r>
          </w:p>
          <w:p w:rsidR="00603054" w:rsidRPr="005F2CAC" w:rsidRDefault="00603054" w:rsidP="00603054">
            <w:pPr>
              <w:jc w:val="both"/>
              <w:rPr>
                <w:lang w:eastAsia="en-US"/>
              </w:rPr>
            </w:pPr>
            <w:r w:rsidRPr="005F2CAC">
              <w:rPr>
                <w:lang w:eastAsia="en-US"/>
              </w:rPr>
              <w:t>4.2. „Kompensācijas maksājums par citiem apgabaliem, kurus ietekmē specifiski ierobežojumi” (13.3. - pasākuma kods).</w:t>
            </w:r>
          </w:p>
          <w:p w:rsidR="009E3299" w:rsidRPr="005F2CAC" w:rsidRDefault="009E3299" w:rsidP="00603054">
            <w:pPr>
              <w:jc w:val="both"/>
              <w:rPr>
                <w:lang w:eastAsia="en-US"/>
              </w:rPr>
            </w:pPr>
          </w:p>
          <w:p w:rsidR="00E80BB3" w:rsidRPr="005F2CAC" w:rsidRDefault="00306ABF" w:rsidP="007B2DBD">
            <w:pPr>
              <w:spacing w:after="120"/>
              <w:jc w:val="both"/>
              <w:rPr>
                <w:lang w:eastAsia="en-US"/>
              </w:rPr>
            </w:pPr>
            <w:r w:rsidRPr="005F2CAC">
              <w:rPr>
                <w:lang w:eastAsia="en-US"/>
              </w:rPr>
              <w:t xml:space="preserve">Noteikumu projektā noteikti specifiski nosacījumi attiecībā uz </w:t>
            </w:r>
            <w:r w:rsidR="009E3299" w:rsidRPr="005F2CAC">
              <w:t>lauku attīstības platībatkarīgo atbalstu</w:t>
            </w:r>
            <w:r w:rsidR="009E3299" w:rsidRPr="005F2CAC">
              <w:rPr>
                <w:lang w:eastAsia="en-US"/>
              </w:rPr>
              <w:t xml:space="preserve"> maksājumu </w:t>
            </w:r>
            <w:r w:rsidRPr="005F2CAC">
              <w:rPr>
                <w:lang w:eastAsia="en-US"/>
              </w:rPr>
              <w:t>administrēšanas un kontroles prasībām, lauksaimnieku tiesībām un pienākumiem</w:t>
            </w:r>
            <w:r w:rsidR="00F15613" w:rsidRPr="005F2CAC">
              <w:rPr>
                <w:lang w:eastAsia="en-US"/>
              </w:rPr>
              <w:t xml:space="preserve">, kas jāizpilda, lai saņemtu </w:t>
            </w:r>
            <w:r w:rsidR="009E3299" w:rsidRPr="005F2CAC">
              <w:t>lauku attīstības platībatkarīgo atbalstu</w:t>
            </w:r>
            <w:r w:rsidR="009E3299" w:rsidRPr="005F2CAC">
              <w:rPr>
                <w:lang w:eastAsia="en-US"/>
              </w:rPr>
              <w:t xml:space="preserve"> </w:t>
            </w:r>
            <w:r w:rsidR="00F15613" w:rsidRPr="005F2CAC">
              <w:rPr>
                <w:lang w:eastAsia="en-US"/>
              </w:rPr>
              <w:t>maksājumus</w:t>
            </w:r>
            <w:r w:rsidRPr="005F2CAC">
              <w:rPr>
                <w:lang w:eastAsia="en-US"/>
              </w:rPr>
              <w:t>.</w:t>
            </w:r>
          </w:p>
          <w:p w:rsidR="001E1FC0" w:rsidRPr="005F2CAC" w:rsidRDefault="001E1FC0" w:rsidP="00B64EC7">
            <w:pPr>
              <w:spacing w:after="120"/>
              <w:jc w:val="both"/>
              <w:rPr>
                <w:rFonts w:eastAsia="Calibri"/>
                <w:lang w:eastAsia="en-US"/>
              </w:rPr>
            </w:pPr>
            <w:r w:rsidRPr="005F2CAC">
              <w:rPr>
                <w:lang w:eastAsia="en-US"/>
              </w:rPr>
              <w:t>Not</w:t>
            </w:r>
            <w:r w:rsidR="00F15613" w:rsidRPr="005F2CAC">
              <w:rPr>
                <w:lang w:eastAsia="en-US"/>
              </w:rPr>
              <w:t>e</w:t>
            </w:r>
            <w:r w:rsidRPr="005F2CAC">
              <w:rPr>
                <w:lang w:eastAsia="en-US"/>
              </w:rPr>
              <w:t>ikumu projektā ir paredzēti</w:t>
            </w:r>
            <w:r w:rsidR="00054B66" w:rsidRPr="005F2CAC">
              <w:rPr>
                <w:lang w:eastAsia="en-US"/>
              </w:rPr>
              <w:t xml:space="preserve"> atbalsta piešķiršanas </w:t>
            </w:r>
            <w:r w:rsidR="009E3299" w:rsidRPr="005F2CAC">
              <w:rPr>
                <w:lang w:eastAsia="en-US"/>
              </w:rPr>
              <w:t>nosacījumi</w:t>
            </w:r>
            <w:r w:rsidR="00054B66" w:rsidRPr="005F2CAC">
              <w:rPr>
                <w:lang w:eastAsia="en-US"/>
              </w:rPr>
              <w:t>, kas attiecas u</w:t>
            </w:r>
            <w:r w:rsidR="009E3299" w:rsidRPr="005F2CAC">
              <w:rPr>
                <w:lang w:eastAsia="en-US"/>
              </w:rPr>
              <w:t>z visiem</w:t>
            </w:r>
            <w:r w:rsidR="00054B66" w:rsidRPr="005F2CAC">
              <w:rPr>
                <w:lang w:eastAsia="en-US"/>
              </w:rPr>
              <w:t xml:space="preserve"> </w:t>
            </w:r>
            <w:r w:rsidR="009E3299" w:rsidRPr="005F2CAC">
              <w:t>lauku attīstības platībatkarīgo atbalstu</w:t>
            </w:r>
            <w:r w:rsidR="009E3299" w:rsidRPr="005F2CAC">
              <w:rPr>
                <w:lang w:eastAsia="en-US"/>
              </w:rPr>
              <w:t xml:space="preserve"> </w:t>
            </w:r>
            <w:r w:rsidR="009E3299" w:rsidRPr="005F2CAC">
              <w:rPr>
                <w:rFonts w:eastAsia="Calibri"/>
                <w:lang w:eastAsia="en-US"/>
              </w:rPr>
              <w:t>maksājumiem</w:t>
            </w:r>
            <w:r w:rsidRPr="005F2CAC">
              <w:rPr>
                <w:rFonts w:eastAsia="Calibri"/>
                <w:lang w:eastAsia="en-US"/>
              </w:rPr>
              <w:t>:</w:t>
            </w:r>
          </w:p>
          <w:p w:rsidR="0065213B" w:rsidRPr="005F2CAC" w:rsidRDefault="001E1FC0" w:rsidP="001E1FC0">
            <w:pPr>
              <w:pStyle w:val="Sarakstarindkopa"/>
              <w:numPr>
                <w:ilvl w:val="0"/>
                <w:numId w:val="7"/>
              </w:numPr>
              <w:spacing w:after="120"/>
              <w:ind w:left="0" w:hanging="14"/>
              <w:jc w:val="both"/>
              <w:rPr>
                <w:rFonts w:ascii="Times New Roman" w:hAnsi="Times New Roman"/>
                <w:sz w:val="24"/>
                <w:szCs w:val="24"/>
              </w:rPr>
            </w:pPr>
            <w:r w:rsidRPr="005F2CAC">
              <w:rPr>
                <w:rFonts w:ascii="Times New Roman" w:hAnsi="Times New Roman"/>
                <w:sz w:val="24"/>
                <w:szCs w:val="24"/>
              </w:rPr>
              <w:t xml:space="preserve"> </w:t>
            </w:r>
            <w:r w:rsidR="009E3299" w:rsidRPr="005F2CAC">
              <w:rPr>
                <w:rFonts w:ascii="Times New Roman" w:hAnsi="Times New Roman"/>
                <w:sz w:val="24"/>
                <w:szCs w:val="24"/>
              </w:rPr>
              <w:t>atbalstu šo noteikumu minēto pasākumu ietvaros var saņemt tikai viens atbalsta pretendents, kurš apsaimnieko pieteikto atbalsttiesīgo platību, kas ir tā īpašumā vai tiesiskā valdījumā (lietošanā) kārtējā gada 15.jūnijā;</w:t>
            </w:r>
          </w:p>
          <w:p w:rsidR="009E3299" w:rsidRPr="005F2CAC" w:rsidRDefault="009E3299" w:rsidP="009E3299">
            <w:pPr>
              <w:pStyle w:val="Bezatstarpm"/>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atbalsta pretendents visā saimniecībā ievēro:</w:t>
            </w:r>
          </w:p>
          <w:p w:rsidR="009E3299" w:rsidRPr="005F2CAC" w:rsidRDefault="009E3299" w:rsidP="009E3299">
            <w:pPr>
              <w:pStyle w:val="Bezatstarpm"/>
              <w:numPr>
                <w:ilvl w:val="0"/>
                <w:numId w:val="12"/>
              </w:numPr>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7.1. savstarpējās atbilstības prasības saskaņā ar regulas (ES) Nr.1306/2013 VI sadaļas I nodaļu, </w:t>
            </w:r>
            <w:r w:rsidR="009C5AD5">
              <w:rPr>
                <w:rFonts w:ascii="Times New Roman" w:eastAsia="Calibri" w:hAnsi="Times New Roman" w:cs="Times New Roman"/>
                <w:sz w:val="24"/>
                <w:szCs w:val="24"/>
              </w:rPr>
              <w:t xml:space="preserve">kas noteiktas </w:t>
            </w:r>
            <w:r w:rsidRPr="005F2CAC">
              <w:rPr>
                <w:rFonts w:ascii="Times New Roman" w:eastAsia="Calibri" w:hAnsi="Times New Roman" w:cs="Times New Roman"/>
                <w:sz w:val="24"/>
                <w:szCs w:val="24"/>
              </w:rPr>
              <w:t xml:space="preserve">normatīvajos aktos par </w:t>
            </w:r>
            <w:r w:rsidR="009C5AD5">
              <w:rPr>
                <w:rFonts w:ascii="Times New Roman" w:eastAsia="Calibri" w:hAnsi="Times New Roman" w:cs="Times New Roman"/>
                <w:sz w:val="24"/>
                <w:szCs w:val="24"/>
              </w:rPr>
              <w:t xml:space="preserve">tiešo </w:t>
            </w:r>
            <w:r w:rsidR="009C5AD5" w:rsidRPr="009C5AD5">
              <w:rPr>
                <w:rFonts w:ascii="Times New Roman" w:eastAsia="Calibri" w:hAnsi="Times New Roman" w:cs="Times New Roman"/>
                <w:sz w:val="24"/>
                <w:szCs w:val="24"/>
              </w:rPr>
              <w:t>maksājumu piešķiršanas kārtība lauksaimniekiem</w:t>
            </w:r>
            <w:r w:rsidRPr="005F2CAC">
              <w:rPr>
                <w:rFonts w:ascii="Times New Roman" w:eastAsia="Calibri" w:hAnsi="Times New Roman" w:cs="Times New Roman"/>
                <w:sz w:val="24"/>
                <w:szCs w:val="24"/>
              </w:rPr>
              <w:t>;</w:t>
            </w:r>
          </w:p>
          <w:p w:rsidR="009E3299" w:rsidRPr="005F2CAC" w:rsidRDefault="009E3299" w:rsidP="009E3299">
            <w:pPr>
              <w:pStyle w:val="Bezatstarpm"/>
              <w:numPr>
                <w:ilvl w:val="0"/>
                <w:numId w:val="12"/>
              </w:numPr>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7.2. minimālās organiskā mēslojuma un augu aizsardzības līdzekļu lietošanas prasības un citas obligātās prasības, kas noteiktas šo noteikumu </w:t>
            </w:r>
            <w:hyperlink r:id="rId8" w:anchor="piel1" w:history="1">
              <w:r w:rsidR="009C5AD5">
                <w:rPr>
                  <w:rFonts w:ascii="Times New Roman" w:eastAsia="Calibri" w:hAnsi="Times New Roman" w:cs="Times New Roman"/>
                  <w:sz w:val="24"/>
                  <w:szCs w:val="24"/>
                </w:rPr>
                <w:t>1</w:t>
              </w:r>
              <w:r w:rsidRPr="005F2CAC">
                <w:rPr>
                  <w:rFonts w:ascii="Times New Roman" w:eastAsia="Calibri" w:hAnsi="Times New Roman" w:cs="Times New Roman"/>
                  <w:sz w:val="24"/>
                  <w:szCs w:val="24"/>
                </w:rPr>
                <w:t>.pielikumā</w:t>
              </w:r>
            </w:hyperlink>
            <w:r w:rsidRPr="005F2CAC">
              <w:rPr>
                <w:rFonts w:ascii="Times New Roman" w:eastAsia="Calibri" w:hAnsi="Times New Roman" w:cs="Times New Roman"/>
                <w:sz w:val="24"/>
                <w:szCs w:val="24"/>
              </w:rPr>
              <w:t xml:space="preserve"> minētajos normatīvajos aktos.</w:t>
            </w:r>
          </w:p>
          <w:p w:rsidR="009E3299" w:rsidRPr="005F2CAC" w:rsidRDefault="009E3299" w:rsidP="009E3299"/>
          <w:p w:rsidR="00410FA7" w:rsidRDefault="000F01BE" w:rsidP="009E3299">
            <w:pPr>
              <w:spacing w:after="120"/>
              <w:jc w:val="both"/>
              <w:rPr>
                <w:lang w:eastAsia="en-US"/>
              </w:rPr>
            </w:pPr>
            <w:r w:rsidRPr="005F2CAC">
              <w:rPr>
                <w:lang w:eastAsia="en-US"/>
              </w:rPr>
              <w:t>Not</w:t>
            </w:r>
            <w:r w:rsidR="00CF6AF3" w:rsidRPr="005F2CAC">
              <w:rPr>
                <w:lang w:eastAsia="en-US"/>
              </w:rPr>
              <w:t>e</w:t>
            </w:r>
            <w:r w:rsidRPr="005F2CAC">
              <w:rPr>
                <w:lang w:eastAsia="en-US"/>
              </w:rPr>
              <w:t>ikumu projektā ir noteikti</w:t>
            </w:r>
            <w:r w:rsidR="003F2EFD" w:rsidRPr="005F2CAC">
              <w:rPr>
                <w:lang w:eastAsia="en-US"/>
              </w:rPr>
              <w:t xml:space="preserve"> arī</w:t>
            </w:r>
            <w:r w:rsidRPr="005F2CAC">
              <w:rPr>
                <w:lang w:eastAsia="en-US"/>
              </w:rPr>
              <w:t xml:space="preserve"> </w:t>
            </w:r>
            <w:r w:rsidR="002E58E1" w:rsidRPr="005F2CAC">
              <w:rPr>
                <w:lang w:eastAsia="en-US"/>
              </w:rPr>
              <w:t xml:space="preserve">specifiski </w:t>
            </w:r>
            <w:r w:rsidRPr="005F2CAC">
              <w:rPr>
                <w:lang w:eastAsia="en-US"/>
              </w:rPr>
              <w:t xml:space="preserve">nosacījumi </w:t>
            </w:r>
            <w:r w:rsidR="002E58E1" w:rsidRPr="005F2CAC">
              <w:rPr>
                <w:lang w:eastAsia="en-US"/>
              </w:rPr>
              <w:t>katras</w:t>
            </w:r>
            <w:r w:rsidRPr="005F2CAC">
              <w:rPr>
                <w:lang w:eastAsia="en-US"/>
              </w:rPr>
              <w:t xml:space="preserve"> </w:t>
            </w:r>
            <w:r w:rsidR="009E42AA">
              <w:rPr>
                <w:lang w:eastAsia="en-US"/>
              </w:rPr>
              <w:t>atsevišķā</w:t>
            </w:r>
            <w:r w:rsidR="00F15613" w:rsidRPr="005F2CAC">
              <w:rPr>
                <w:lang w:eastAsia="en-US"/>
              </w:rPr>
              <w:t xml:space="preserve">s </w:t>
            </w:r>
            <w:r w:rsidR="009E3299" w:rsidRPr="005F2CAC">
              <w:rPr>
                <w:lang w:eastAsia="en-US"/>
              </w:rPr>
              <w:t>aktivitātes</w:t>
            </w:r>
            <w:r w:rsidRPr="005F2CAC">
              <w:rPr>
                <w:lang w:eastAsia="en-US"/>
              </w:rPr>
              <w:t xml:space="preserve"> īstenošanai</w:t>
            </w:r>
            <w:r w:rsidR="00744590">
              <w:rPr>
                <w:lang w:eastAsia="en-US"/>
              </w:rPr>
              <w:t>, piemēram:</w:t>
            </w:r>
          </w:p>
          <w:p w:rsidR="00744590" w:rsidRPr="00744590" w:rsidRDefault="00744590" w:rsidP="00744590">
            <w:pPr>
              <w:pStyle w:val="Bezatstarpm"/>
              <w:numPr>
                <w:ilvl w:val="0"/>
                <w:numId w:val="14"/>
              </w:numPr>
              <w:jc w:val="both"/>
              <w:rPr>
                <w:rFonts w:ascii="Times New Roman" w:hAnsi="Times New Roman" w:cs="Times New Roman"/>
                <w:sz w:val="24"/>
                <w:szCs w:val="24"/>
              </w:rPr>
            </w:pPr>
            <w:r w:rsidRPr="00744590">
              <w:rPr>
                <w:rFonts w:ascii="Times New Roman" w:hAnsi="Times New Roman" w:cs="Times New Roman"/>
                <w:sz w:val="24"/>
                <w:szCs w:val="24"/>
              </w:rPr>
              <w:lastRenderedPageBreak/>
              <w:t>aktivitātes atbalsttiesīgā platība</w:t>
            </w:r>
            <w:r>
              <w:rPr>
                <w:rFonts w:ascii="Times New Roman" w:hAnsi="Times New Roman" w:cs="Times New Roman"/>
                <w:sz w:val="24"/>
                <w:szCs w:val="24"/>
              </w:rPr>
              <w:t xml:space="preserve"> un atblasttiesīgās lauksaimniecības kultūras</w:t>
            </w:r>
            <w:r w:rsidRPr="00744590">
              <w:rPr>
                <w:rFonts w:ascii="Times New Roman" w:hAnsi="Times New Roman" w:cs="Times New Roman"/>
                <w:sz w:val="24"/>
                <w:szCs w:val="24"/>
              </w:rPr>
              <w:t>;</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atbalsta pretendentam izvirzītās </w:t>
            </w:r>
            <w:r w:rsidRPr="00744590">
              <w:rPr>
                <w:rFonts w:ascii="Times New Roman" w:hAnsi="Times New Roman" w:cs="Times New Roman"/>
                <w:sz w:val="24"/>
                <w:szCs w:val="24"/>
              </w:rPr>
              <w:t>prasības;</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saņemšanas nosacījumi;</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likmes;</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kontrolējošo iestāžu pienākumu un sadarbības pamatprincipi;</w:t>
            </w:r>
          </w:p>
          <w:p w:rsidR="00744590" w:rsidRDefault="00744590" w:rsidP="00744590">
            <w:pPr>
              <w:pStyle w:val="Bezatstarpm"/>
              <w:numPr>
                <w:ilvl w:val="0"/>
                <w:numId w:val="14"/>
              </w:numPr>
              <w:jc w:val="both"/>
              <w:rPr>
                <w:rFonts w:ascii="Times New Roman" w:hAnsi="Times New Roman" w:cs="Times New Roman"/>
                <w:sz w:val="24"/>
                <w:szCs w:val="24"/>
              </w:rPr>
            </w:pPr>
            <w:r>
              <w:rPr>
                <w:rFonts w:ascii="Times New Roman" w:hAnsi="Times New Roman" w:cs="Times New Roman"/>
                <w:sz w:val="24"/>
                <w:szCs w:val="24"/>
              </w:rPr>
              <w:t>atbalsta pretendenta pienākumi un tiesības;</w:t>
            </w:r>
          </w:p>
          <w:p w:rsidR="00744590" w:rsidRPr="00744590" w:rsidRDefault="00744590" w:rsidP="00744590">
            <w:pPr>
              <w:pStyle w:val="Bezatstarpm"/>
              <w:numPr>
                <w:ilvl w:val="0"/>
                <w:numId w:val="14"/>
              </w:numPr>
              <w:jc w:val="both"/>
              <w:rPr>
                <w:rFonts w:ascii="Times New Roman" w:hAnsi="Times New Roman" w:cs="Times New Roman"/>
              </w:rPr>
            </w:pPr>
            <w:r>
              <w:rPr>
                <w:rFonts w:ascii="Times New Roman" w:hAnsi="Times New Roman" w:cs="Times New Roman"/>
                <w:sz w:val="24"/>
                <w:szCs w:val="24"/>
              </w:rPr>
              <w:t>piemērojamās sankcijas, atbilstoši konstatētājiem pārkāpumiem.</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iesaistītās </w:t>
            </w:r>
            <w:r w:rsidR="009117F4" w:rsidRPr="00D30FB2">
              <w:t>institūcijas</w:t>
            </w:r>
          </w:p>
        </w:tc>
        <w:tc>
          <w:tcPr>
            <w:tcW w:w="7129" w:type="dxa"/>
          </w:tcPr>
          <w:p w:rsidR="009117F4" w:rsidRPr="006D0A21" w:rsidRDefault="009117F4" w:rsidP="006D0A21">
            <w:pPr>
              <w:jc w:val="both"/>
              <w:rPr>
                <w:bCs/>
                <w:lang w:eastAsia="en-US"/>
              </w:rPr>
            </w:pPr>
            <w:r w:rsidRPr="00D30FB2">
              <w:rPr>
                <w:lang w:eastAsia="en-US"/>
              </w:rPr>
              <w:t>Zemkopības ministrija</w:t>
            </w:r>
            <w:r w:rsidR="007F2259" w:rsidRPr="00D30FB2">
              <w:rPr>
                <w:lang w:eastAsia="en-US"/>
              </w:rPr>
              <w:t>,</w:t>
            </w:r>
            <w:r w:rsidRPr="00D30FB2">
              <w:rPr>
                <w:lang w:eastAsia="en-US"/>
              </w:rPr>
              <w:t xml:space="preserve"> </w:t>
            </w:r>
            <w:r w:rsidR="00876A07" w:rsidRPr="00D30FB2">
              <w:t>Vides aizsardzības un reģionālās attīstības ministrija,</w:t>
            </w:r>
            <w:r w:rsidR="00876A07" w:rsidRPr="00D30FB2">
              <w:rPr>
                <w:lang w:eastAsia="en-US"/>
              </w:rPr>
              <w:t xml:space="preserve"> </w:t>
            </w:r>
            <w:r w:rsidR="006D0A21">
              <w:rPr>
                <w:lang w:eastAsia="en-US"/>
              </w:rPr>
              <w:t xml:space="preserve">Dabas aizsardzības pārvalde, Valsts meža dienests, </w:t>
            </w:r>
            <w:r w:rsidR="0021371F" w:rsidRPr="00D30FB2">
              <w:rPr>
                <w:lang w:eastAsia="en-US"/>
              </w:rPr>
              <w:t>Lauku atbalsta dienests</w:t>
            </w:r>
            <w:r w:rsidR="00876A07" w:rsidRPr="00D30FB2">
              <w:rPr>
                <w:lang w:eastAsia="en-US"/>
              </w:rPr>
              <w:t xml:space="preserve"> (turpmāk – LAD)</w:t>
            </w:r>
            <w:r w:rsidR="0021371F" w:rsidRPr="00D30FB2">
              <w:rPr>
                <w:lang w:eastAsia="en-US"/>
              </w:rPr>
              <w:t xml:space="preserve">, </w:t>
            </w:r>
            <w:r w:rsidR="00DC5758" w:rsidRPr="00D30FB2">
              <w:rPr>
                <w:lang w:eastAsia="en-US"/>
              </w:rPr>
              <w:t>Valsts augu aizsardzības</w:t>
            </w:r>
            <w:r w:rsidR="007F2259" w:rsidRPr="00D30FB2">
              <w:rPr>
                <w:lang w:eastAsia="en-US"/>
              </w:rPr>
              <w:t xml:space="preserve"> atbalsta dienests</w:t>
            </w:r>
            <w:r w:rsidR="007E6E49" w:rsidRPr="00D30FB2">
              <w:rPr>
                <w:lang w:eastAsia="en-US"/>
              </w:rPr>
              <w:t xml:space="preserve">, Lauksaimniecības datu centrs, </w:t>
            </w:r>
            <w:r w:rsidR="006D0A21" w:rsidRPr="006D0A21">
              <w:rPr>
                <w:lang w:eastAsia="en-US"/>
              </w:rPr>
              <w:t xml:space="preserve">Valsts SIA "Sertifikācijas un testēšanas centrs", </w:t>
            </w:r>
            <w:r w:rsidR="006D0A21">
              <w:rPr>
                <w:lang w:eastAsia="en-US"/>
              </w:rPr>
              <w:t>BIEDRĪBAS „Vides kvalitāte” SERTIFIKĀCIJAS INSTITŪCIJA „VIDES KVALITĀTE”</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2318"/>
        <w:gridCol w:w="7131"/>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60D3F" w:rsidRDefault="00260D3F" w:rsidP="00260D3F">
            <w:pPr>
              <w:pStyle w:val="naiskr"/>
              <w:numPr>
                <w:ilvl w:val="0"/>
                <w:numId w:val="13"/>
              </w:numPr>
              <w:spacing w:before="0" w:after="0"/>
              <w:jc w:val="both"/>
            </w:pPr>
            <w:r>
              <w:t xml:space="preserve">Aptuveni </w:t>
            </w:r>
            <w:r w:rsidR="00196583">
              <w:t>7</w:t>
            </w:r>
            <w:r w:rsidR="00252D8B">
              <w:t xml:space="preserve"> </w:t>
            </w:r>
            <w:r w:rsidR="00196583">
              <w:t>5</w:t>
            </w:r>
            <w:r w:rsidRPr="00F15076">
              <w:t xml:space="preserve">00 </w:t>
            </w:r>
            <w:r w:rsidRPr="00603054">
              <w:rPr>
                <w:lang w:eastAsia="en-US"/>
              </w:rPr>
              <w:t>„Agrovide un klimats”</w:t>
            </w:r>
            <w:r w:rsidRPr="00881992">
              <w:t xml:space="preserve"> </w:t>
            </w:r>
            <w:r>
              <w:t>atbalsta saņemšanas pretendentu.</w:t>
            </w:r>
          </w:p>
          <w:p w:rsidR="00252D8B" w:rsidRDefault="00252D8B" w:rsidP="00260D3F">
            <w:pPr>
              <w:pStyle w:val="naiskr"/>
              <w:numPr>
                <w:ilvl w:val="0"/>
                <w:numId w:val="13"/>
              </w:numPr>
              <w:spacing w:before="0" w:after="0"/>
              <w:jc w:val="both"/>
            </w:pPr>
            <w:r>
              <w:t xml:space="preserve">Aptuveni 5 000 </w:t>
            </w:r>
            <w:r w:rsidRPr="00603054">
              <w:rPr>
                <w:lang w:eastAsia="en-US"/>
              </w:rPr>
              <w:t>„Bioloģiskā lauksaimniecība”</w:t>
            </w:r>
            <w:r>
              <w:rPr>
                <w:lang w:eastAsia="en-US"/>
              </w:rPr>
              <w:t xml:space="preserve"> </w:t>
            </w:r>
            <w:r>
              <w:t>atbalsta saņemšanas pretendentu;</w:t>
            </w:r>
          </w:p>
          <w:p w:rsidR="00260D3F" w:rsidRDefault="00260D3F" w:rsidP="00260D3F">
            <w:pPr>
              <w:pStyle w:val="naiskr"/>
              <w:numPr>
                <w:ilvl w:val="0"/>
                <w:numId w:val="13"/>
              </w:numPr>
              <w:spacing w:before="0" w:after="0"/>
              <w:jc w:val="both"/>
            </w:pPr>
            <w:r>
              <w:t>Aptuveni 5</w:t>
            </w:r>
            <w:r w:rsidR="00252D8B">
              <w:t xml:space="preserve"> 0</w:t>
            </w:r>
            <w:r>
              <w:t xml:space="preserve">00 </w:t>
            </w:r>
            <w:r w:rsidR="00252D8B" w:rsidRPr="00603054">
              <w:rPr>
                <w:lang w:eastAsia="en-US"/>
              </w:rPr>
              <w:t xml:space="preserve">„Natura 2000 un Ūdens pamatdirektīvas maksājumi” </w:t>
            </w:r>
            <w:r>
              <w:t>atbalsta saņemšanas pretendentu.</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kuros ir dabas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E279A4" w:rsidRPr="00D30FB2" w:rsidRDefault="00E279A4" w:rsidP="005E4799">
            <w:pPr>
              <w:jc w:val="both"/>
              <w:rPr>
                <w:lang w:eastAsia="en-US"/>
              </w:rPr>
            </w:pPr>
            <w:r w:rsidRPr="00D30FB2">
              <w:rPr>
                <w:lang w:eastAsia="en-US"/>
              </w:rPr>
              <w:t xml:space="preserve">Noteikumu projekta īstenošanas rezultātā tiks nodrošināta </w:t>
            </w:r>
            <w:r w:rsidR="00106AC9" w:rsidRPr="00603054">
              <w:t>lauku attīstības platībatkarīgo</w:t>
            </w:r>
            <w:r w:rsidR="00106AC9">
              <w:t xml:space="preserve"> maksājumu</w:t>
            </w:r>
            <w:r w:rsidRPr="00D30FB2">
              <w:rPr>
                <w:lang w:eastAsia="en-US"/>
              </w:rPr>
              <w:t xml:space="preserve"> piešķiršana pretendentiem, kuri atbildīs atbalsta saņemšanas nosacījumiem.</w:t>
            </w:r>
          </w:p>
          <w:p w:rsidR="00F4551F" w:rsidRDefault="00F4551F" w:rsidP="005E4799">
            <w:pPr>
              <w:jc w:val="both"/>
              <w:rPr>
                <w:lang w:eastAsia="en-US"/>
              </w:rPr>
            </w:pPr>
            <w:r w:rsidRPr="00D30FB2">
              <w:rPr>
                <w:lang w:eastAsia="en-US"/>
              </w:rPr>
              <w:t xml:space="preserve">Jaunu </w:t>
            </w:r>
            <w:r w:rsidR="00106AC9" w:rsidRPr="00603054">
              <w:t>lauku attīstības platībatkarīgo</w:t>
            </w:r>
            <w:r w:rsidRPr="00D30FB2">
              <w:rPr>
                <w:lang w:eastAsia="en-US"/>
              </w:rPr>
              <w:t xml:space="preserve"> izveide un nosacījum</w:t>
            </w:r>
            <w:r w:rsidR="009976A1" w:rsidRPr="00D30FB2">
              <w:rPr>
                <w:lang w:eastAsia="en-US"/>
              </w:rPr>
              <w:t>u</w:t>
            </w:r>
            <w:r w:rsidRPr="00D30FB2">
              <w:rPr>
                <w:lang w:eastAsia="en-US"/>
              </w:rPr>
              <w:t xml:space="preserve"> noteikšana </w:t>
            </w:r>
            <w:r w:rsidR="009E7E4B" w:rsidRPr="00D30FB2">
              <w:rPr>
                <w:lang w:eastAsia="en-US"/>
              </w:rPr>
              <w:t xml:space="preserve">2015.gadā </w:t>
            </w:r>
            <w:r w:rsidR="00106AC9">
              <w:rPr>
                <w:lang w:eastAsia="en-US"/>
              </w:rPr>
              <w:t>ne</w:t>
            </w:r>
            <w:r w:rsidRPr="00D30FB2">
              <w:rPr>
                <w:lang w:eastAsia="en-US"/>
              </w:rPr>
              <w:t>radīs administratīv</w:t>
            </w:r>
            <w:r w:rsidR="005E4799" w:rsidRPr="00D30FB2">
              <w:rPr>
                <w:lang w:eastAsia="en-US"/>
              </w:rPr>
              <w:t xml:space="preserve">ā sloga pieaugumu </w:t>
            </w:r>
            <w:r w:rsidR="00106AC9" w:rsidRPr="00603054">
              <w:t>lauku attīstības platībatkarīgo</w:t>
            </w:r>
            <w:r w:rsidR="005E4799" w:rsidRPr="00D30FB2">
              <w:rPr>
                <w:lang w:eastAsia="en-US"/>
              </w:rPr>
              <w:t xml:space="preserve"> maksājumu pretendentiem, </w:t>
            </w:r>
            <w:r w:rsidR="00106AC9">
              <w:rPr>
                <w:lang w:eastAsia="en-US"/>
              </w:rPr>
              <w:t>jo pamatā tiek saglabāta iepriekšējā plānošanas perioda atbalsta administrēšanas pieeja.</w:t>
            </w:r>
          </w:p>
          <w:p w:rsidR="00133BE0" w:rsidRPr="00D30FB2" w:rsidRDefault="00106AC9" w:rsidP="002B42DB">
            <w:pPr>
              <w:jc w:val="both"/>
              <w:rPr>
                <w:lang w:eastAsia="en-US"/>
              </w:rPr>
            </w:pPr>
            <w:r>
              <w:rPr>
                <w:lang w:eastAsia="en-US"/>
              </w:rPr>
              <w:t xml:space="preserve">Lai atvieglotu </w:t>
            </w:r>
            <w:r w:rsidRPr="00603054">
              <w:t>lauku attīstības platībatkarīgo</w:t>
            </w:r>
            <w:r>
              <w:t xml:space="preserve"> maksājumu pretendentu pieteikšanos potenciālajam atbalstam, </w:t>
            </w:r>
            <w:r w:rsidR="00E279A4" w:rsidRPr="00D30FB2">
              <w:rPr>
                <w:lang w:eastAsia="en-US"/>
              </w:rPr>
              <w:t>LAD</w:t>
            </w:r>
            <w:r>
              <w:rPr>
                <w:lang w:eastAsia="en-US"/>
              </w:rPr>
              <w:t xml:space="preserve"> katru gadu sagatavo informatīvo materiālu ar paraugformām – kā jāaizpilda pieteikumi, atkarībā no vēlamā atbalsta maksājuma veida, kā arī LAD nodrošina pretendentu</w:t>
            </w:r>
            <w:r w:rsidR="00E279A4" w:rsidRPr="00D30FB2">
              <w:rPr>
                <w:lang w:eastAsia="en-US"/>
              </w:rPr>
              <w:t xml:space="preserve"> pieteikšan</w:t>
            </w:r>
            <w:r>
              <w:rPr>
                <w:lang w:eastAsia="en-US"/>
              </w:rPr>
              <w:t>os</w:t>
            </w:r>
            <w:r w:rsidR="00E279A4" w:rsidRPr="00D30FB2">
              <w:rPr>
                <w:lang w:eastAsia="en-US"/>
              </w:rPr>
              <w:t xml:space="preserve"> </w:t>
            </w:r>
            <w:r w:rsidRPr="00D30FB2">
              <w:rPr>
                <w:lang w:eastAsia="en-US"/>
              </w:rPr>
              <w:t xml:space="preserve">elektroniskajā </w:t>
            </w:r>
            <w:r w:rsidR="00E279A4" w:rsidRPr="00D30FB2">
              <w:rPr>
                <w:lang w:eastAsia="en-US"/>
              </w:rPr>
              <w:t>sistēmā</w:t>
            </w:r>
            <w:r>
              <w:rPr>
                <w:lang w:eastAsia="en-US"/>
              </w:rPr>
              <w:t>, kur ir dažādas video pamācības, kā arī automātiskās izvēlnes atkarībā no pretendenta vei</w:t>
            </w:r>
            <w:r w:rsidR="002B42DB">
              <w:rPr>
                <w:lang w:eastAsia="en-US"/>
              </w:rPr>
              <w:t>ktās rīcības</w:t>
            </w:r>
            <w:r>
              <w:rPr>
                <w:lang w:eastAsia="en-US"/>
              </w:rPr>
              <w:t xml:space="preserve">. </w:t>
            </w:r>
            <w:r w:rsidR="00E279A4" w:rsidRPr="00D30FB2">
              <w:rPr>
                <w:lang w:eastAsia="en-US"/>
              </w:rPr>
              <w:t xml:space="preserve"> </w:t>
            </w:r>
            <w:r>
              <w:rPr>
                <w:lang w:eastAsia="en-US"/>
              </w:rPr>
              <w:t xml:space="preserve">Papildus tam, visas kārtējā gadā sagatavotās un iesniegtās </w:t>
            </w:r>
            <w:r w:rsidR="002B42DB">
              <w:rPr>
                <w:lang w:eastAsia="en-US"/>
              </w:rPr>
              <w:t>pieteiku</w:t>
            </w:r>
            <w:r>
              <w:rPr>
                <w:lang w:eastAsia="en-US"/>
              </w:rPr>
              <w:t>m</w:t>
            </w:r>
            <w:r w:rsidR="002B42DB">
              <w:rPr>
                <w:lang w:eastAsia="en-US"/>
              </w:rPr>
              <w:t>a</w:t>
            </w:r>
            <w:r>
              <w:rPr>
                <w:lang w:eastAsia="en-US"/>
              </w:rPr>
              <w:t xml:space="preserve"> formas </w:t>
            </w:r>
            <w:r w:rsidR="002B42DB">
              <w:rPr>
                <w:lang w:eastAsia="en-US"/>
              </w:rPr>
              <w:t xml:space="preserve">pretendents </w:t>
            </w:r>
            <w:r w:rsidR="00E279A4" w:rsidRPr="00D30FB2">
              <w:rPr>
                <w:lang w:eastAsia="en-US"/>
              </w:rPr>
              <w:t xml:space="preserve">varēs izmantot </w:t>
            </w:r>
            <w:r w:rsidR="002B42DB">
              <w:rPr>
                <w:lang w:eastAsia="en-US"/>
              </w:rPr>
              <w:t xml:space="preserve">arī turpmākajos gados, jo </w:t>
            </w:r>
            <w:r w:rsidR="00E279A4" w:rsidRPr="00D30FB2">
              <w:rPr>
                <w:lang w:eastAsia="en-US"/>
              </w:rPr>
              <w:t xml:space="preserve">iepriekšējo gadu </w:t>
            </w:r>
            <w:r w:rsidR="00CC1A38" w:rsidRPr="00D30FB2">
              <w:rPr>
                <w:lang w:eastAsia="en-US"/>
              </w:rPr>
              <w:t xml:space="preserve">iesnieguma </w:t>
            </w:r>
            <w:r w:rsidR="00E279A4" w:rsidRPr="00D30FB2">
              <w:rPr>
                <w:lang w:eastAsia="en-US"/>
              </w:rPr>
              <w:t>formas</w:t>
            </w:r>
            <w:r w:rsidR="002B42DB">
              <w:rPr>
                <w:lang w:eastAsia="en-US"/>
              </w:rPr>
              <w:t xml:space="preserve"> saglabājas kā paraugs. Turpmāk tās</w:t>
            </w:r>
            <w:r w:rsidR="00E279A4" w:rsidRPr="00D30FB2">
              <w:rPr>
                <w:lang w:eastAsia="en-US"/>
              </w:rPr>
              <w:t xml:space="preserve"> </w:t>
            </w:r>
            <w:r w:rsidR="002B42DB">
              <w:rPr>
                <w:lang w:eastAsia="en-US"/>
              </w:rPr>
              <w:t xml:space="preserve">izmantojamas </w:t>
            </w:r>
            <w:r w:rsidR="00E279A4" w:rsidRPr="00D30FB2">
              <w:rPr>
                <w:lang w:eastAsia="en-US"/>
              </w:rPr>
              <w:t>pārkopējot u</w:t>
            </w:r>
            <w:r w:rsidR="002B42DB">
              <w:rPr>
                <w:lang w:eastAsia="en-US"/>
              </w:rPr>
              <w:t xml:space="preserve">n atzīmējot tikai nepieciešamās </w:t>
            </w:r>
            <w:r w:rsidR="00E279A4" w:rsidRPr="00D30FB2">
              <w:rPr>
                <w:lang w:eastAsia="en-US"/>
              </w:rPr>
              <w:t>izmaiņas atbilstoši situācijai kārtējā gadā.</w:t>
            </w:r>
          </w:p>
        </w:tc>
      </w:tr>
      <w:tr w:rsidR="009117F4" w:rsidRPr="00D30FB2" w:rsidTr="00CD1BE7">
        <w:trPr>
          <w:trHeight w:val="510"/>
        </w:trPr>
        <w:tc>
          <w:tcPr>
            <w:tcW w:w="382" w:type="pct"/>
          </w:tcPr>
          <w:p w:rsidR="009117F4" w:rsidRPr="00D30FB2" w:rsidRDefault="009117F4" w:rsidP="00E06138">
            <w:r w:rsidRPr="00D30FB2">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D30FB2" w:rsidRDefault="002B42DB" w:rsidP="002B42DB">
            <w:pPr>
              <w:jc w:val="both"/>
            </w:pPr>
            <w:bookmarkStart w:id="0" w:name="p-468669"/>
            <w:bookmarkStart w:id="1" w:name="p24"/>
            <w:bookmarkEnd w:id="0"/>
            <w:bookmarkEnd w:id="1"/>
            <w:r w:rsidRPr="00D30FB2">
              <w:t>Nav</w:t>
            </w:r>
          </w:p>
        </w:tc>
      </w:tr>
      <w:tr w:rsidR="009117F4" w:rsidRPr="00D30FB2" w:rsidTr="00CD1BE7">
        <w:trPr>
          <w:trHeight w:val="345"/>
        </w:trPr>
        <w:tc>
          <w:tcPr>
            <w:tcW w:w="382" w:type="pct"/>
          </w:tcPr>
          <w:p w:rsidR="009117F4" w:rsidRPr="00D30FB2" w:rsidRDefault="009117F4" w:rsidP="00E06138">
            <w:r w:rsidRPr="00D30FB2">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FA3CCB" w:rsidRPr="00D30FB2" w:rsidRDefault="00FA3CCB" w:rsidP="00FA3CCB">
      <w:r w:rsidRPr="00D30FB2">
        <w:lastRenderedPageBreak/>
        <w:t> </w:t>
      </w:r>
    </w:p>
    <w:tbl>
      <w:tblPr>
        <w:tblW w:w="54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4"/>
        <w:gridCol w:w="1366"/>
        <w:gridCol w:w="1322"/>
        <w:gridCol w:w="1429"/>
        <w:gridCol w:w="1489"/>
        <w:gridCol w:w="1483"/>
      </w:tblGrid>
      <w:tr w:rsidR="00FA3CCB" w:rsidRPr="00D30FB2" w:rsidTr="00CD1BE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FA3CCB" w:rsidP="00FA3CCB">
            <w:pPr>
              <w:rPr>
                <w:b/>
                <w:bCs/>
              </w:rPr>
            </w:pPr>
            <w:r w:rsidRPr="005F2CAC">
              <w:rPr>
                <w:b/>
                <w:bCs/>
              </w:rPr>
              <w:t>III. Tiesību akta projekta ietekme uz valsts budžetu un pašvaldību budžetiem</w:t>
            </w:r>
          </w:p>
        </w:tc>
      </w:tr>
      <w:tr w:rsidR="00FA3CCB" w:rsidRPr="00D30FB2" w:rsidTr="00B31554">
        <w:trPr>
          <w:jc w:val="center"/>
        </w:trPr>
        <w:tc>
          <w:tcPr>
            <w:tcW w:w="1439" w:type="pct"/>
            <w:vMerge w:val="restar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Rādītāji</w:t>
            </w:r>
          </w:p>
        </w:tc>
        <w:tc>
          <w:tcPr>
            <w:tcW w:w="13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6B6490" w:rsidP="00FA3CCB">
            <w:pPr>
              <w:rPr>
                <w:b/>
                <w:bCs/>
              </w:rPr>
            </w:pPr>
            <w:r w:rsidRPr="005F2CAC">
              <w:rPr>
                <w:b/>
                <w:bCs/>
              </w:rPr>
              <w:t>2015</w:t>
            </w:r>
          </w:p>
        </w:tc>
        <w:tc>
          <w:tcPr>
            <w:tcW w:w="2211"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5F2CAC" w:rsidRDefault="00FA3CCB" w:rsidP="00FA3CCB">
            <w:r w:rsidRPr="005F2CAC">
              <w:t>Turpmākie trīs gadi (</w:t>
            </w:r>
            <w:r w:rsidRPr="005F2CAC">
              <w:rPr>
                <w:i/>
                <w:iCs/>
              </w:rPr>
              <w:t>euro</w:t>
            </w:r>
            <w:r w:rsidRPr="005F2CAC">
              <w:t>)</w:t>
            </w:r>
          </w:p>
        </w:tc>
      </w:tr>
      <w:tr w:rsidR="0043497F" w:rsidRPr="00D30FB2"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2016</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2017</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6B6490" w:rsidP="00FA3CCB">
            <w:pPr>
              <w:rPr>
                <w:b/>
                <w:bCs/>
              </w:rPr>
            </w:pPr>
            <w:r w:rsidRPr="00D30FB2">
              <w:rPr>
                <w:b/>
                <w:bCs/>
              </w:rPr>
              <w:t>2018</w:t>
            </w:r>
          </w:p>
        </w:tc>
      </w:tr>
      <w:tr w:rsidR="0043497F" w:rsidRPr="00D30FB2" w:rsidTr="00B31554">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saskaņā ar valsts budžetu kārtējam gadam</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izmaiņas, salīdzinot ar kārtējo (n) gadu</w:t>
            </w:r>
          </w:p>
        </w:tc>
      </w:tr>
      <w:tr w:rsidR="0043497F" w:rsidRPr="00D30FB2" w:rsidTr="00B31554">
        <w:trPr>
          <w:jc w:val="center"/>
        </w:trPr>
        <w:tc>
          <w:tcPr>
            <w:tcW w:w="1439"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1</w:t>
            </w: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2</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3</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5</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r w:rsidRPr="00D30FB2">
              <w:t>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B31554" w:rsidRPr="005F2CAC" w:rsidRDefault="00B31554" w:rsidP="00D933F7">
            <w:pPr>
              <w:ind w:left="104"/>
            </w:pPr>
            <w:r w:rsidRPr="005F2CAC">
              <w:t>1. Budžeta ieņēmumi:</w:t>
            </w:r>
          </w:p>
        </w:tc>
        <w:tc>
          <w:tcPr>
            <w:tcW w:w="686" w:type="pct"/>
            <w:tcBorders>
              <w:top w:val="outset" w:sz="6" w:space="0" w:color="414142"/>
              <w:left w:val="outset" w:sz="6" w:space="0" w:color="414142"/>
              <w:bottom w:val="outset" w:sz="6" w:space="0" w:color="414142"/>
              <w:right w:val="outset" w:sz="6" w:space="0" w:color="414142"/>
            </w:tcBorders>
          </w:tcPr>
          <w:p w:rsidR="00B31554" w:rsidRPr="005F2CAC" w:rsidRDefault="00C37FF1" w:rsidP="008C13D6">
            <w:r w:rsidRPr="005F2CAC">
              <w:t>28 309 080</w:t>
            </w:r>
          </w:p>
        </w:tc>
        <w:tc>
          <w:tcPr>
            <w:tcW w:w="664"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c>
          <w:tcPr>
            <w:tcW w:w="718" w:type="pct"/>
            <w:tcBorders>
              <w:top w:val="outset" w:sz="6" w:space="0" w:color="414142"/>
              <w:left w:val="outset" w:sz="6" w:space="0" w:color="414142"/>
              <w:bottom w:val="outset" w:sz="6" w:space="0" w:color="414142"/>
              <w:right w:val="outset" w:sz="6" w:space="0" w:color="414142"/>
            </w:tcBorders>
          </w:tcPr>
          <w:p w:rsidR="00B31554" w:rsidRPr="005F2CAC" w:rsidRDefault="006B2CEB" w:rsidP="00ED5B3C">
            <w:r w:rsidRPr="005F2CAC">
              <w:t>36 336 667</w:t>
            </w:r>
          </w:p>
        </w:tc>
        <w:tc>
          <w:tcPr>
            <w:tcW w:w="748"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c>
          <w:tcPr>
            <w:tcW w:w="745" w:type="pct"/>
            <w:tcBorders>
              <w:top w:val="outset" w:sz="6" w:space="0" w:color="414142"/>
              <w:left w:val="outset" w:sz="6" w:space="0" w:color="414142"/>
              <w:bottom w:val="outset" w:sz="6" w:space="0" w:color="414142"/>
              <w:right w:val="outset" w:sz="6" w:space="0" w:color="414142"/>
            </w:tcBorders>
          </w:tcPr>
          <w:p w:rsidR="00B31554" w:rsidRPr="005F2CAC" w:rsidRDefault="006B2CEB" w:rsidP="00FA3CCB">
            <w:r w:rsidRPr="005F2CAC">
              <w:t>36 336 667</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B31554" w:rsidRPr="005F2CAC" w:rsidRDefault="00B31554" w:rsidP="00CB754A">
            <w:r w:rsidRPr="005F2CAC">
              <w:t>1.1. valsts pamatbudžets, tai skaitā ieņēmumi no maksas pakalpojumiem un citi pašu ieņēmumi</w:t>
            </w:r>
          </w:p>
        </w:tc>
        <w:tc>
          <w:tcPr>
            <w:tcW w:w="686" w:type="pct"/>
            <w:tcBorders>
              <w:top w:val="outset" w:sz="6" w:space="0" w:color="414142"/>
              <w:left w:val="outset" w:sz="6" w:space="0" w:color="414142"/>
              <w:bottom w:val="outset" w:sz="6" w:space="0" w:color="414142"/>
              <w:right w:val="outset" w:sz="6" w:space="0" w:color="414142"/>
            </w:tcBorders>
          </w:tcPr>
          <w:p w:rsidR="00B31554" w:rsidRPr="005F2CAC" w:rsidRDefault="00C37FF1" w:rsidP="008C13D6">
            <w:r w:rsidRPr="005F2CAC">
              <w:t>28 309 080</w:t>
            </w:r>
          </w:p>
        </w:tc>
        <w:tc>
          <w:tcPr>
            <w:tcW w:w="664"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c>
          <w:tcPr>
            <w:tcW w:w="718" w:type="pct"/>
            <w:tcBorders>
              <w:top w:val="outset" w:sz="6" w:space="0" w:color="414142"/>
              <w:left w:val="outset" w:sz="6" w:space="0" w:color="414142"/>
              <w:bottom w:val="outset" w:sz="6" w:space="0" w:color="414142"/>
              <w:right w:val="outset" w:sz="6" w:space="0" w:color="414142"/>
            </w:tcBorders>
          </w:tcPr>
          <w:p w:rsidR="00ED5B3C" w:rsidRPr="005F2CAC" w:rsidRDefault="006B2CEB" w:rsidP="00B90531">
            <w:r w:rsidRPr="005F2CAC">
              <w:t>36 336 667</w:t>
            </w:r>
          </w:p>
        </w:tc>
        <w:tc>
          <w:tcPr>
            <w:tcW w:w="748"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c>
          <w:tcPr>
            <w:tcW w:w="745" w:type="pct"/>
            <w:tcBorders>
              <w:top w:val="outset" w:sz="6" w:space="0" w:color="414142"/>
              <w:left w:val="outset" w:sz="6" w:space="0" w:color="414142"/>
              <w:bottom w:val="outset" w:sz="6" w:space="0" w:color="414142"/>
              <w:right w:val="outset" w:sz="6" w:space="0" w:color="414142"/>
            </w:tcBorders>
          </w:tcPr>
          <w:p w:rsidR="00B31554" w:rsidRPr="005F2CAC" w:rsidRDefault="006B2CEB" w:rsidP="00CB754A">
            <w:r w:rsidRPr="005F2CAC">
              <w:t>36 336 667</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1.2.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1.3.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 Budžeta izdevumi:</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37FF1" w:rsidP="00CB754A">
            <w:r w:rsidRPr="005F2CAC">
              <w:t>41 631 000</w:t>
            </w:r>
          </w:p>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2.1. valsts pamatbudžets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37FF1" w:rsidP="006B46C2">
            <w:r w:rsidRPr="005F2CAC">
              <w:t>41 631 000</w:t>
            </w:r>
          </w:p>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6B2CEB" w:rsidP="00CB754A">
            <w:r w:rsidRPr="005F2CAC">
              <w:t>42 477 033</w:t>
            </w:r>
          </w:p>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6B2CEB" w:rsidP="00ED5B3C">
            <w:r w:rsidRPr="005F2CAC">
              <w:t>42 477 033</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2.3.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6B2CEB" w:rsidRPr="005F2CAC" w:rsidRDefault="006B2CEB" w:rsidP="006B2CEB">
            <w:r w:rsidRPr="005F2CAC">
              <w:t>3. Finansiālā ietekme:</w:t>
            </w:r>
          </w:p>
        </w:tc>
        <w:tc>
          <w:tcPr>
            <w:tcW w:w="686" w:type="pct"/>
            <w:tcBorders>
              <w:top w:val="outset" w:sz="6" w:space="0" w:color="414142"/>
              <w:left w:val="outset" w:sz="6" w:space="0" w:color="414142"/>
              <w:bottom w:val="outset" w:sz="6" w:space="0" w:color="414142"/>
              <w:right w:val="outset" w:sz="6" w:space="0" w:color="414142"/>
            </w:tcBorders>
            <w:vAlign w:val="center"/>
          </w:tcPr>
          <w:p w:rsidR="006B2CEB" w:rsidRPr="005F2CAC" w:rsidRDefault="006B2CEB" w:rsidP="006B2CEB">
            <w:r w:rsidRPr="005F2CAC">
              <w:t>-13 321 920</w:t>
            </w:r>
          </w:p>
        </w:tc>
        <w:tc>
          <w:tcPr>
            <w:tcW w:w="664"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1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5"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6B2CEB" w:rsidRPr="005F2CAC" w:rsidRDefault="006B2CEB" w:rsidP="006B2CEB">
            <w:r w:rsidRPr="005F2CAC">
              <w:t>3.1. valsts pamatbudžets</w:t>
            </w:r>
          </w:p>
        </w:tc>
        <w:tc>
          <w:tcPr>
            <w:tcW w:w="686"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-13 321 920</w:t>
            </w:r>
          </w:p>
        </w:tc>
        <w:tc>
          <w:tcPr>
            <w:tcW w:w="664"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1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8"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c>
          <w:tcPr>
            <w:tcW w:w="745" w:type="pct"/>
            <w:tcBorders>
              <w:top w:val="outset" w:sz="6" w:space="0" w:color="414142"/>
              <w:left w:val="outset" w:sz="6" w:space="0" w:color="414142"/>
              <w:bottom w:val="outset" w:sz="6" w:space="0" w:color="414142"/>
              <w:right w:val="outset" w:sz="6" w:space="0" w:color="414142"/>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3.2. speciālais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CB754A" w:rsidRPr="005F2CAC" w:rsidRDefault="00CB754A" w:rsidP="00CB754A">
            <w:r w:rsidRPr="005F2CAC">
              <w:t>3.3. pašvaldību budžets</w:t>
            </w:r>
          </w:p>
        </w:tc>
        <w:tc>
          <w:tcPr>
            <w:tcW w:w="686"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664"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1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8"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c>
          <w:tcPr>
            <w:tcW w:w="745" w:type="pct"/>
            <w:tcBorders>
              <w:top w:val="outset" w:sz="6" w:space="0" w:color="414142"/>
              <w:left w:val="outset" w:sz="6" w:space="0" w:color="414142"/>
              <w:bottom w:val="outset" w:sz="6" w:space="0" w:color="414142"/>
              <w:right w:val="outset" w:sz="6" w:space="0" w:color="414142"/>
            </w:tcBorders>
          </w:tcPr>
          <w:p w:rsidR="00CB754A" w:rsidRPr="005F2CAC" w:rsidRDefault="00CB754A" w:rsidP="00CB754A"/>
        </w:tc>
      </w:tr>
      <w:tr w:rsidR="0043497F" w:rsidRPr="00D30FB2" w:rsidTr="00FC566E">
        <w:trPr>
          <w:jc w:val="center"/>
        </w:trPr>
        <w:tc>
          <w:tcPr>
            <w:tcW w:w="1439" w:type="pct"/>
            <w:vMerge w:val="restart"/>
            <w:tcBorders>
              <w:top w:val="outset" w:sz="6" w:space="0" w:color="414142"/>
              <w:left w:val="outset" w:sz="6" w:space="0" w:color="414142"/>
              <w:bottom w:val="outset" w:sz="6" w:space="0" w:color="414142"/>
              <w:right w:val="outset" w:sz="6" w:space="0" w:color="414142"/>
            </w:tcBorders>
            <w:hideMark/>
          </w:tcPr>
          <w:p w:rsidR="008F68A0" w:rsidRPr="005F2CAC" w:rsidRDefault="008F68A0" w:rsidP="008F68A0">
            <w:r w:rsidRPr="005F2CAC">
              <w:t>4. Finanšu līdzekļi papildu izdevumu finansēšanai (kompensējošu izdevumu samazinājumu norāda ar "+" zīmi)</w:t>
            </w:r>
          </w:p>
        </w:tc>
        <w:tc>
          <w:tcPr>
            <w:tcW w:w="686" w:type="pct"/>
            <w:vMerge w:val="restar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664"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1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5"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r>
      <w:tr w:rsidR="0043497F" w:rsidRPr="00D30FB2" w:rsidTr="00FC566E">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8F68A0" w:rsidRPr="005F2CAC" w:rsidRDefault="008F68A0" w:rsidP="008F68A0"/>
        </w:tc>
        <w:tc>
          <w:tcPr>
            <w:tcW w:w="686" w:type="pct"/>
            <w:vMerge/>
            <w:tcBorders>
              <w:top w:val="outset" w:sz="6" w:space="0" w:color="414142"/>
              <w:left w:val="outset" w:sz="6" w:space="0" w:color="414142"/>
              <w:bottom w:val="outset" w:sz="6" w:space="0" w:color="414142"/>
              <w:right w:val="outset" w:sz="6" w:space="0" w:color="414142"/>
            </w:tcBorders>
            <w:vAlign w:val="center"/>
          </w:tcPr>
          <w:p w:rsidR="008F68A0" w:rsidRPr="005F2CAC" w:rsidRDefault="008F68A0" w:rsidP="008F68A0"/>
        </w:tc>
        <w:tc>
          <w:tcPr>
            <w:tcW w:w="664"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1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8"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c>
          <w:tcPr>
            <w:tcW w:w="745" w:type="pct"/>
            <w:tcBorders>
              <w:top w:val="outset" w:sz="6" w:space="0" w:color="414142"/>
              <w:left w:val="outset" w:sz="6" w:space="0" w:color="414142"/>
              <w:bottom w:val="outset" w:sz="6" w:space="0" w:color="414142"/>
              <w:right w:val="outset" w:sz="6" w:space="0" w:color="414142"/>
            </w:tcBorders>
          </w:tcPr>
          <w:p w:rsidR="008F68A0" w:rsidRPr="005F2CAC" w:rsidRDefault="008F68A0" w:rsidP="008F68A0"/>
        </w:tc>
      </w:tr>
      <w:tr w:rsidR="0043497F" w:rsidRPr="00D30FB2" w:rsidTr="00FC566E">
        <w:trPr>
          <w:jc w:val="center"/>
        </w:trPr>
        <w:tc>
          <w:tcPr>
            <w:tcW w:w="1439" w:type="pct"/>
            <w:vMerge/>
            <w:tcBorders>
              <w:top w:val="outset" w:sz="6" w:space="0" w:color="414142"/>
              <w:left w:val="outset" w:sz="6" w:space="0" w:color="414142"/>
              <w:bottom w:val="single" w:sz="4" w:space="0" w:color="auto"/>
              <w:right w:val="outset" w:sz="6" w:space="0" w:color="414142"/>
            </w:tcBorders>
            <w:vAlign w:val="center"/>
            <w:hideMark/>
          </w:tcPr>
          <w:p w:rsidR="008F68A0" w:rsidRPr="005F2CAC" w:rsidRDefault="008F68A0" w:rsidP="008F68A0"/>
        </w:tc>
        <w:tc>
          <w:tcPr>
            <w:tcW w:w="686" w:type="pct"/>
            <w:vMerge/>
            <w:tcBorders>
              <w:top w:val="outset" w:sz="6" w:space="0" w:color="414142"/>
              <w:left w:val="outset" w:sz="6" w:space="0" w:color="414142"/>
              <w:bottom w:val="single" w:sz="4" w:space="0" w:color="auto"/>
              <w:right w:val="outset" w:sz="6" w:space="0" w:color="414142"/>
            </w:tcBorders>
            <w:vAlign w:val="center"/>
          </w:tcPr>
          <w:p w:rsidR="008F68A0" w:rsidRPr="005F2CAC" w:rsidRDefault="008F68A0" w:rsidP="008F68A0"/>
        </w:tc>
        <w:tc>
          <w:tcPr>
            <w:tcW w:w="664"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18"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48"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c>
          <w:tcPr>
            <w:tcW w:w="745" w:type="pct"/>
            <w:tcBorders>
              <w:top w:val="outset" w:sz="6" w:space="0" w:color="414142"/>
              <w:left w:val="outset" w:sz="6" w:space="0" w:color="414142"/>
              <w:bottom w:val="single" w:sz="4" w:space="0" w:color="auto"/>
              <w:right w:val="outset" w:sz="6" w:space="0" w:color="414142"/>
            </w:tcBorders>
          </w:tcPr>
          <w:p w:rsidR="008F68A0" w:rsidRPr="005F2CAC" w:rsidRDefault="008F68A0" w:rsidP="008F68A0"/>
        </w:tc>
      </w:tr>
      <w:tr w:rsidR="0043497F" w:rsidRPr="00D30FB2" w:rsidTr="00FC566E">
        <w:trPr>
          <w:trHeight w:val="609"/>
          <w:jc w:val="center"/>
        </w:trPr>
        <w:tc>
          <w:tcPr>
            <w:tcW w:w="1439" w:type="pct"/>
            <w:tcBorders>
              <w:top w:val="single" w:sz="4" w:space="0" w:color="auto"/>
              <w:left w:val="single" w:sz="4" w:space="0" w:color="auto"/>
              <w:bottom w:val="single" w:sz="4" w:space="0" w:color="auto"/>
              <w:right w:val="single" w:sz="4" w:space="0" w:color="auto"/>
            </w:tcBorders>
            <w:hideMark/>
          </w:tcPr>
          <w:p w:rsidR="006B2CEB" w:rsidRPr="005F2CAC" w:rsidRDefault="006B2CEB" w:rsidP="006B2CEB">
            <w:r w:rsidRPr="005F2CAC">
              <w:t>5. Precizēta finansiālā ietekme:</w:t>
            </w:r>
          </w:p>
        </w:tc>
        <w:tc>
          <w:tcPr>
            <w:tcW w:w="686"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-13 321 920</w:t>
            </w:r>
          </w:p>
        </w:tc>
        <w:tc>
          <w:tcPr>
            <w:tcW w:w="664"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1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5"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r>
      <w:tr w:rsidR="0043497F" w:rsidRPr="00D30FB2" w:rsidTr="00FC566E">
        <w:trPr>
          <w:trHeight w:val="281"/>
          <w:jc w:val="center"/>
        </w:trPr>
        <w:tc>
          <w:tcPr>
            <w:tcW w:w="1439" w:type="pct"/>
            <w:tcBorders>
              <w:top w:val="single" w:sz="4" w:space="0" w:color="auto"/>
              <w:left w:val="outset" w:sz="6" w:space="0" w:color="414142"/>
              <w:bottom w:val="outset" w:sz="6" w:space="0" w:color="414142"/>
              <w:right w:val="single" w:sz="4" w:space="0" w:color="auto"/>
            </w:tcBorders>
            <w:hideMark/>
          </w:tcPr>
          <w:p w:rsidR="006B2CEB" w:rsidRPr="005F2CAC" w:rsidRDefault="006B2CEB" w:rsidP="006B2CEB">
            <w:r w:rsidRPr="005F2CAC">
              <w:t>5.1. valsts pamatbudžets</w:t>
            </w:r>
          </w:p>
        </w:tc>
        <w:tc>
          <w:tcPr>
            <w:tcW w:w="686"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-13 321 920</w:t>
            </w:r>
          </w:p>
        </w:tc>
        <w:tc>
          <w:tcPr>
            <w:tcW w:w="664"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1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8"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c>
          <w:tcPr>
            <w:tcW w:w="745" w:type="pct"/>
            <w:tcBorders>
              <w:top w:val="single" w:sz="4" w:space="0" w:color="auto"/>
              <w:left w:val="single" w:sz="4" w:space="0" w:color="auto"/>
              <w:bottom w:val="single" w:sz="4" w:space="0" w:color="auto"/>
              <w:right w:val="single" w:sz="4" w:space="0" w:color="auto"/>
            </w:tcBorders>
          </w:tcPr>
          <w:p w:rsidR="006B2CEB" w:rsidRPr="005F2CAC" w:rsidRDefault="006B2CEB" w:rsidP="006B2CEB">
            <w:r w:rsidRPr="005F2CAC">
              <w:t>-6 140 366</w:t>
            </w:r>
          </w:p>
        </w:tc>
      </w:tr>
      <w:tr w:rsidR="0043497F" w:rsidRPr="00D30FB2" w:rsidTr="00FC566E">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5.2. speciālais budžets</w:t>
            </w:r>
          </w:p>
        </w:tc>
        <w:tc>
          <w:tcPr>
            <w:tcW w:w="686"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664"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1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5"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r>
      <w:tr w:rsidR="0043497F" w:rsidRPr="00D30FB2" w:rsidTr="00FC566E">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5.3. pašvaldību budžets</w:t>
            </w:r>
          </w:p>
        </w:tc>
        <w:tc>
          <w:tcPr>
            <w:tcW w:w="686"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664"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1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8"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c>
          <w:tcPr>
            <w:tcW w:w="745" w:type="pct"/>
            <w:tcBorders>
              <w:top w:val="single" w:sz="4" w:space="0" w:color="auto"/>
              <w:left w:val="single" w:sz="4" w:space="0" w:color="auto"/>
              <w:bottom w:val="single" w:sz="4" w:space="0" w:color="auto"/>
              <w:right w:val="single" w:sz="4" w:space="0" w:color="auto"/>
            </w:tcBorders>
          </w:tcPr>
          <w:p w:rsidR="00ED5B3C" w:rsidRPr="005F2CAC" w:rsidRDefault="00ED5B3C" w:rsidP="008F68A0"/>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5F2CAC" w:rsidRDefault="00ED5B3C" w:rsidP="008F68A0">
            <w:r w:rsidRPr="005F2CAC">
              <w:t>6. Detalizēts ieņēmumu un izdevumu aprēķins (ja nepieciešams, detalizētu ieņēmumu un izdevumu aprēķinu var pievienot anotācijas pielikumā):</w:t>
            </w:r>
          </w:p>
        </w:tc>
        <w:tc>
          <w:tcPr>
            <w:tcW w:w="3561" w:type="pct"/>
            <w:gridSpan w:val="5"/>
            <w:vMerge w:val="restart"/>
            <w:tcBorders>
              <w:top w:val="single" w:sz="4" w:space="0" w:color="auto"/>
              <w:left w:val="single" w:sz="4" w:space="0" w:color="auto"/>
              <w:bottom w:val="single" w:sz="4" w:space="0" w:color="auto"/>
              <w:right w:val="single" w:sz="4" w:space="0" w:color="auto"/>
            </w:tcBorders>
            <w:hideMark/>
          </w:tcPr>
          <w:p w:rsidR="006B2CEB" w:rsidRPr="005F2CAC" w:rsidRDefault="006B2CEB" w:rsidP="00AB3893">
            <w:pPr>
              <w:jc w:val="both"/>
            </w:pPr>
            <w:r w:rsidRPr="005F2CAC">
              <w:t>Ņemot vērā, ka ikgadējo maksājumu apjoms ir atkarīgs no iesniegto pieteikumu daudzuma un starp gadiem var atšķirties, tad kopumā prognozētie izdevumi pa gadiem aprēķināti balstoties uz kopā programmā pieejamo finansējumu šiem pasākumiem, izmaksājamā atbalsta gadu skaitu un šo pasākumu ES līdzfinansējuma likmēm.</w:t>
            </w:r>
          </w:p>
          <w:p w:rsidR="0043497F" w:rsidRDefault="0043497F" w:rsidP="0043497F">
            <w:pPr>
              <w:rPr>
                <w:rFonts w:ascii="Calibri" w:hAnsi="Calibri"/>
                <w:color w:val="1F497D"/>
                <w:sz w:val="22"/>
                <w:szCs w:val="22"/>
              </w:rPr>
            </w:pPr>
          </w:p>
          <w:p w:rsidR="0043497F" w:rsidRPr="00E74460" w:rsidRDefault="0043497F" w:rsidP="0043497F">
            <w:pPr>
              <w:rPr>
                <w:u w:val="single"/>
              </w:rPr>
            </w:pPr>
            <w:r w:rsidRPr="00E74460">
              <w:rPr>
                <w:u w:val="single"/>
              </w:rPr>
              <w:lastRenderedPageBreak/>
              <w:t>Skaidrojums aprēķiniem:</w:t>
            </w:r>
          </w:p>
          <w:p w:rsidR="0043497F" w:rsidRPr="00E74460" w:rsidRDefault="0043497F" w:rsidP="0043497F">
            <w:r w:rsidRPr="00E74460">
              <w:t>Lauku attīstības programmā 2014-2020 periodā četriem zemāk tabulā redzamajiem pasākumiem paredzēti kopā 555 084 773 EUR sabiedriskā finansējuma.</w:t>
            </w:r>
          </w:p>
          <w:tbl>
            <w:tblPr>
              <w:tblW w:w="6987" w:type="dxa"/>
              <w:tblCellMar>
                <w:left w:w="0" w:type="dxa"/>
                <w:right w:w="0" w:type="dxa"/>
              </w:tblCellMar>
              <w:tblLook w:val="04A0" w:firstRow="1" w:lastRow="0" w:firstColumn="1" w:lastColumn="0" w:noHBand="0" w:noVBand="1"/>
            </w:tblPr>
            <w:tblGrid>
              <w:gridCol w:w="827"/>
              <w:gridCol w:w="2546"/>
              <w:gridCol w:w="992"/>
              <w:gridCol w:w="1134"/>
              <w:gridCol w:w="456"/>
              <w:gridCol w:w="1062"/>
            </w:tblGrid>
            <w:tr w:rsidR="0072667D" w:rsidRPr="00E74460" w:rsidTr="0072667D">
              <w:trPr>
                <w:trHeight w:val="179"/>
              </w:trPr>
              <w:tc>
                <w:tcPr>
                  <w:tcW w:w="8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r w:rsidRPr="00E74460">
                    <w:rPr>
                      <w:sz w:val="18"/>
                      <w:szCs w:val="20"/>
                    </w:rPr>
                    <w:t>Pas.kod.</w:t>
                  </w:r>
                </w:p>
              </w:tc>
              <w:tc>
                <w:tcPr>
                  <w:tcW w:w="25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r w:rsidRPr="00E74460">
                    <w:rPr>
                      <w:sz w:val="20"/>
                      <w:szCs w:val="20"/>
                    </w:rPr>
                    <w:t>Pasākuma veids:</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 xml:space="preserve">Kopā, </w:t>
                  </w:r>
                  <w:r w:rsidRPr="00E74460">
                    <w:rPr>
                      <w:bCs/>
                      <w:i/>
                      <w:color w:val="000000"/>
                      <w:sz w:val="22"/>
                      <w:szCs w:val="22"/>
                    </w:rPr>
                    <w:t>euro</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ES</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rsidP="0072667D">
                  <w:pPr>
                    <w:jc w:val="center"/>
                    <w:rPr>
                      <w:sz w:val="20"/>
                      <w:szCs w:val="20"/>
                    </w:rPr>
                  </w:pPr>
                  <w:r w:rsidRPr="00E74460">
                    <w:rPr>
                      <w:sz w:val="20"/>
                      <w:szCs w:val="20"/>
                    </w:rPr>
                    <w:t>%</w:t>
                  </w:r>
                </w:p>
              </w:tc>
              <w:tc>
                <w:tcPr>
                  <w:tcW w:w="10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3497F" w:rsidRPr="00E74460" w:rsidRDefault="0043497F">
                  <w:pPr>
                    <w:jc w:val="center"/>
                    <w:rPr>
                      <w:rFonts w:eastAsiaTheme="minorHAnsi"/>
                      <w:bCs/>
                      <w:color w:val="000000"/>
                      <w:sz w:val="22"/>
                      <w:szCs w:val="22"/>
                    </w:rPr>
                  </w:pPr>
                  <w:r w:rsidRPr="00E74460">
                    <w:rPr>
                      <w:bCs/>
                      <w:color w:val="000000"/>
                      <w:sz w:val="22"/>
                      <w:szCs w:val="22"/>
                    </w:rPr>
                    <w:t>LV</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10.</w:t>
                  </w:r>
                </w:p>
              </w:tc>
              <w:tc>
                <w:tcPr>
                  <w:tcW w:w="2546" w:type="dxa"/>
                  <w:tcBorders>
                    <w:top w:val="single" w:sz="4" w:space="0" w:color="auto"/>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 xml:space="preserve">Agrovide un klimats </w:t>
                  </w:r>
                </w:p>
              </w:tc>
              <w:tc>
                <w:tcPr>
                  <w:tcW w:w="992"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111 589 619</w:t>
                  </w:r>
                </w:p>
              </w:tc>
              <w:tc>
                <w:tcPr>
                  <w:tcW w:w="1134"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75 880 941</w:t>
                  </w:r>
                </w:p>
              </w:tc>
              <w:tc>
                <w:tcPr>
                  <w:tcW w:w="426" w:type="dxa"/>
                  <w:tcBorders>
                    <w:top w:val="single" w:sz="4" w:space="0" w:color="auto"/>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35 708 678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11.</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Bioloģiskā lauksaimniecība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151 901 540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103 293 047</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48 608 493</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12.2.</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Kompensācijas maksājums par NATURA2000 mežu teritorijām</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24 093 714</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16 383 726</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7 709 988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13.</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14"/>
                      <w:szCs w:val="20"/>
                    </w:rPr>
                  </w:pPr>
                  <w:r w:rsidRPr="00E74460">
                    <w:rPr>
                      <w:b/>
                      <w:bCs/>
                      <w:color w:val="000000"/>
                      <w:sz w:val="14"/>
                      <w:szCs w:val="20"/>
                    </w:rPr>
                    <w:t>267 499 900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204 308 092</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 </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63 191 808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x</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 (ELFLA daļa)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4"/>
                      <w:szCs w:val="20"/>
                    </w:rPr>
                  </w:pPr>
                  <w:r w:rsidRPr="00E74460">
                    <w:rPr>
                      <w:color w:val="000000"/>
                      <w:sz w:val="14"/>
                      <w:szCs w:val="20"/>
                    </w:rPr>
                    <w:t>64 645 747</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134 282 592</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68</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63 191 808</w:t>
                  </w:r>
                </w:p>
              </w:tc>
            </w:tr>
            <w:tr w:rsidR="0043497F" w:rsidRPr="00E74460" w:rsidTr="0072667D">
              <w:trPr>
                <w:trHeight w:val="247"/>
              </w:trPr>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center"/>
                    <w:rPr>
                      <w:rFonts w:eastAsiaTheme="minorHAnsi"/>
                      <w:color w:val="000000"/>
                      <w:sz w:val="18"/>
                      <w:szCs w:val="20"/>
                    </w:rPr>
                  </w:pPr>
                  <w:r w:rsidRPr="00E74460">
                    <w:rPr>
                      <w:color w:val="000000"/>
                      <w:sz w:val="18"/>
                      <w:szCs w:val="20"/>
                    </w:rPr>
                    <w:t>x</w:t>
                  </w:r>
                </w:p>
              </w:tc>
              <w:tc>
                <w:tcPr>
                  <w:tcW w:w="2546" w:type="dxa"/>
                  <w:tcBorders>
                    <w:top w:val="nil"/>
                    <w:left w:val="single" w:sz="4"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both"/>
                    <w:rPr>
                      <w:rFonts w:eastAsiaTheme="minorHAnsi"/>
                      <w:color w:val="000000"/>
                      <w:sz w:val="18"/>
                      <w:szCs w:val="20"/>
                    </w:rPr>
                  </w:pPr>
                  <w:r w:rsidRPr="00E74460">
                    <w:rPr>
                      <w:color w:val="000000"/>
                      <w:sz w:val="18"/>
                      <w:szCs w:val="20"/>
                    </w:rPr>
                    <w:t>Maksājumi apgabaliem, kuros ir dabīgi vai citi specifiski ierobežojumi  (ELGF daļa)</w:t>
                  </w:r>
                </w:p>
              </w:tc>
              <w:tc>
                <w:tcPr>
                  <w:tcW w:w="9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4"/>
                      <w:szCs w:val="20"/>
                    </w:rPr>
                  </w:pPr>
                  <w:r w:rsidRPr="00E74460">
                    <w:rPr>
                      <w:color w:val="000000"/>
                      <w:sz w:val="14"/>
                      <w:szCs w:val="20"/>
                    </w:rPr>
                    <w:t>70 025 500</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6"/>
                      <w:szCs w:val="20"/>
                    </w:rPr>
                  </w:pPr>
                  <w:r w:rsidRPr="00E74460">
                    <w:rPr>
                      <w:color w:val="000000"/>
                      <w:sz w:val="16"/>
                      <w:szCs w:val="20"/>
                    </w:rPr>
                    <w:t>70 025 500</w:t>
                  </w:r>
                </w:p>
              </w:tc>
              <w:tc>
                <w:tcPr>
                  <w:tcW w:w="426"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rsidP="0043497F">
                  <w:pPr>
                    <w:jc w:val="right"/>
                    <w:rPr>
                      <w:rFonts w:eastAsiaTheme="minorHAnsi"/>
                      <w:color w:val="000000"/>
                      <w:sz w:val="16"/>
                      <w:szCs w:val="20"/>
                    </w:rPr>
                  </w:pPr>
                  <w:r w:rsidRPr="00E74460">
                    <w:rPr>
                      <w:color w:val="000000"/>
                      <w:sz w:val="16"/>
                      <w:szCs w:val="20"/>
                    </w:rPr>
                    <w:t>100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color w:val="000000"/>
                      <w:sz w:val="18"/>
                      <w:szCs w:val="20"/>
                    </w:rPr>
                  </w:pPr>
                  <w:r w:rsidRPr="00E74460">
                    <w:rPr>
                      <w:color w:val="000000"/>
                      <w:sz w:val="18"/>
                      <w:szCs w:val="20"/>
                    </w:rPr>
                    <w:t>0</w:t>
                  </w:r>
                </w:p>
              </w:tc>
            </w:tr>
            <w:tr w:rsidR="0072667D" w:rsidRPr="00E74460" w:rsidTr="0072667D">
              <w:trPr>
                <w:trHeight w:val="179"/>
              </w:trPr>
              <w:tc>
                <w:tcPr>
                  <w:tcW w:w="827" w:type="dxa"/>
                  <w:tcBorders>
                    <w:top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p>
              </w:tc>
              <w:tc>
                <w:tcPr>
                  <w:tcW w:w="2546" w:type="dxa"/>
                  <w:noWrap/>
                  <w:tcMar>
                    <w:top w:w="0" w:type="dxa"/>
                    <w:left w:w="108" w:type="dxa"/>
                    <w:bottom w:w="0" w:type="dxa"/>
                    <w:right w:w="108" w:type="dxa"/>
                  </w:tcMar>
                  <w:vAlign w:val="bottom"/>
                  <w:hideMark/>
                </w:tcPr>
                <w:p w:rsidR="0043497F" w:rsidRPr="00E74460" w:rsidRDefault="0043497F">
                  <w:pPr>
                    <w:rPr>
                      <w:sz w:val="20"/>
                      <w:szCs w:val="20"/>
                    </w:rPr>
                  </w:pPr>
                </w:p>
              </w:tc>
              <w:tc>
                <w:tcPr>
                  <w:tcW w:w="992" w:type="dxa"/>
                  <w:noWrap/>
                  <w:tcMar>
                    <w:top w:w="0" w:type="dxa"/>
                    <w:left w:w="108" w:type="dxa"/>
                    <w:bottom w:w="0" w:type="dxa"/>
                    <w:right w:w="108" w:type="dxa"/>
                  </w:tcMar>
                  <w:vAlign w:val="bottom"/>
                  <w:hideMark/>
                </w:tcPr>
                <w:p w:rsidR="0043497F" w:rsidRPr="00E74460" w:rsidRDefault="0043497F">
                  <w:pPr>
                    <w:rPr>
                      <w:sz w:val="20"/>
                      <w:szCs w:val="20"/>
                    </w:rPr>
                  </w:pPr>
                </w:p>
              </w:tc>
              <w:tc>
                <w:tcPr>
                  <w:tcW w:w="1134" w:type="dxa"/>
                  <w:noWrap/>
                  <w:tcMar>
                    <w:top w:w="0" w:type="dxa"/>
                    <w:left w:w="108" w:type="dxa"/>
                    <w:bottom w:w="0" w:type="dxa"/>
                    <w:right w:w="108" w:type="dxa"/>
                  </w:tcMar>
                  <w:vAlign w:val="bottom"/>
                  <w:hideMark/>
                </w:tcPr>
                <w:p w:rsidR="0043497F" w:rsidRPr="00E74460" w:rsidRDefault="0043497F">
                  <w:pPr>
                    <w:rPr>
                      <w:sz w:val="20"/>
                      <w:szCs w:val="20"/>
                    </w:rPr>
                  </w:pPr>
                </w:p>
              </w:tc>
              <w:tc>
                <w:tcPr>
                  <w:tcW w:w="426" w:type="dxa"/>
                  <w:noWrap/>
                  <w:tcMar>
                    <w:top w:w="0" w:type="dxa"/>
                    <w:left w:w="108" w:type="dxa"/>
                    <w:bottom w:w="0" w:type="dxa"/>
                    <w:right w:w="108" w:type="dxa"/>
                  </w:tcMar>
                  <w:vAlign w:val="bottom"/>
                  <w:hideMark/>
                </w:tcPr>
                <w:p w:rsidR="0043497F" w:rsidRPr="00E74460" w:rsidRDefault="0043497F">
                  <w:pPr>
                    <w:rPr>
                      <w:sz w:val="20"/>
                      <w:szCs w:val="20"/>
                    </w:rPr>
                  </w:pPr>
                </w:p>
              </w:tc>
              <w:tc>
                <w:tcPr>
                  <w:tcW w:w="1062" w:type="dxa"/>
                  <w:tcBorders>
                    <w:top w:val="single" w:sz="4" w:space="0" w:color="auto"/>
                  </w:tcBorders>
                  <w:noWrap/>
                  <w:tcMar>
                    <w:top w:w="0" w:type="dxa"/>
                    <w:left w:w="108" w:type="dxa"/>
                    <w:bottom w:w="0" w:type="dxa"/>
                    <w:right w:w="108" w:type="dxa"/>
                  </w:tcMar>
                  <w:vAlign w:val="bottom"/>
                  <w:hideMark/>
                </w:tcPr>
                <w:p w:rsidR="0043497F" w:rsidRPr="00E74460" w:rsidRDefault="0043497F">
                  <w:pPr>
                    <w:rPr>
                      <w:sz w:val="20"/>
                      <w:szCs w:val="20"/>
                    </w:rPr>
                  </w:pPr>
                </w:p>
              </w:tc>
            </w:tr>
            <w:tr w:rsidR="0072667D" w:rsidRPr="00E74460" w:rsidTr="0072667D">
              <w:trPr>
                <w:trHeight w:val="179"/>
              </w:trPr>
              <w:tc>
                <w:tcPr>
                  <w:tcW w:w="827" w:type="dxa"/>
                  <w:noWrap/>
                  <w:tcMar>
                    <w:top w:w="0" w:type="dxa"/>
                    <w:left w:w="108" w:type="dxa"/>
                    <w:bottom w:w="0" w:type="dxa"/>
                    <w:right w:w="108" w:type="dxa"/>
                  </w:tcMar>
                  <w:vAlign w:val="bottom"/>
                  <w:hideMark/>
                </w:tcPr>
                <w:p w:rsidR="0043497F" w:rsidRPr="00E74460" w:rsidRDefault="0043497F">
                  <w:pPr>
                    <w:rPr>
                      <w:sz w:val="20"/>
                      <w:szCs w:val="20"/>
                    </w:rPr>
                  </w:pPr>
                </w:p>
              </w:tc>
              <w:tc>
                <w:tcPr>
                  <w:tcW w:w="2546"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20"/>
                      <w:szCs w:val="20"/>
                    </w:rPr>
                  </w:pPr>
                  <w:r w:rsidRPr="00E74460">
                    <w:rPr>
                      <w:b/>
                      <w:bCs/>
                      <w:color w:val="000000"/>
                      <w:sz w:val="20"/>
                      <w:szCs w:val="20"/>
                    </w:rPr>
                    <w:t>KOPĀ</w:t>
                  </w:r>
                </w:p>
              </w:tc>
              <w:tc>
                <w:tcPr>
                  <w:tcW w:w="99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43497F" w:rsidRPr="00E74460" w:rsidRDefault="0043497F">
                  <w:pPr>
                    <w:jc w:val="right"/>
                    <w:rPr>
                      <w:rFonts w:eastAsiaTheme="minorHAnsi"/>
                      <w:b/>
                      <w:bCs/>
                      <w:color w:val="000000"/>
                      <w:sz w:val="20"/>
                      <w:szCs w:val="20"/>
                    </w:rPr>
                  </w:pPr>
                  <w:r w:rsidRPr="00E74460">
                    <w:rPr>
                      <w:b/>
                      <w:bCs/>
                      <w:color w:val="000000"/>
                      <w:sz w:val="18"/>
                      <w:szCs w:val="20"/>
                    </w:rPr>
                    <w:t>555 084 773</w:t>
                  </w:r>
                </w:p>
              </w:tc>
              <w:tc>
                <w:tcPr>
                  <w:tcW w:w="1134" w:type="dxa"/>
                  <w:noWrap/>
                  <w:tcMar>
                    <w:top w:w="0" w:type="dxa"/>
                    <w:left w:w="108" w:type="dxa"/>
                    <w:bottom w:w="0" w:type="dxa"/>
                    <w:right w:w="108" w:type="dxa"/>
                  </w:tcMar>
                  <w:vAlign w:val="bottom"/>
                  <w:hideMark/>
                </w:tcPr>
                <w:p w:rsidR="0043497F" w:rsidRPr="00E74460" w:rsidRDefault="0043497F">
                  <w:pPr>
                    <w:rPr>
                      <w:sz w:val="20"/>
                      <w:szCs w:val="20"/>
                    </w:rPr>
                  </w:pPr>
                </w:p>
              </w:tc>
              <w:tc>
                <w:tcPr>
                  <w:tcW w:w="426" w:type="dxa"/>
                  <w:noWrap/>
                  <w:tcMar>
                    <w:top w:w="0" w:type="dxa"/>
                    <w:left w:w="108" w:type="dxa"/>
                    <w:bottom w:w="0" w:type="dxa"/>
                    <w:right w:w="108" w:type="dxa"/>
                  </w:tcMar>
                  <w:vAlign w:val="bottom"/>
                  <w:hideMark/>
                </w:tcPr>
                <w:p w:rsidR="0043497F" w:rsidRPr="00E74460" w:rsidRDefault="0043497F">
                  <w:pPr>
                    <w:rPr>
                      <w:sz w:val="20"/>
                      <w:szCs w:val="20"/>
                    </w:rPr>
                  </w:pPr>
                </w:p>
              </w:tc>
              <w:tc>
                <w:tcPr>
                  <w:tcW w:w="1062" w:type="dxa"/>
                  <w:noWrap/>
                  <w:tcMar>
                    <w:top w:w="0" w:type="dxa"/>
                    <w:left w:w="108" w:type="dxa"/>
                    <w:bottom w:w="0" w:type="dxa"/>
                    <w:right w:w="108" w:type="dxa"/>
                  </w:tcMar>
                  <w:vAlign w:val="bottom"/>
                  <w:hideMark/>
                </w:tcPr>
                <w:p w:rsidR="0043497F" w:rsidRPr="00E74460" w:rsidRDefault="0043497F">
                  <w:pPr>
                    <w:rPr>
                      <w:sz w:val="20"/>
                      <w:szCs w:val="20"/>
                    </w:rPr>
                  </w:pPr>
                </w:p>
              </w:tc>
            </w:tr>
          </w:tbl>
          <w:p w:rsidR="0043497F" w:rsidRPr="00E74460" w:rsidRDefault="0043497F" w:rsidP="0043497F">
            <w:pPr>
              <w:rPr>
                <w:rFonts w:ascii="Calibri" w:eastAsiaTheme="minorHAnsi" w:hAnsi="Calibri"/>
                <w:sz w:val="22"/>
                <w:szCs w:val="22"/>
                <w:lang w:val="en-US"/>
              </w:rPr>
            </w:pPr>
          </w:p>
          <w:p w:rsidR="0043497F" w:rsidRPr="00E74460" w:rsidRDefault="0043497F" w:rsidP="00EF0236">
            <w:pPr>
              <w:jc w:val="both"/>
              <w:rPr>
                <w:sz w:val="22"/>
                <w:szCs w:val="22"/>
              </w:rPr>
            </w:pPr>
            <w:r w:rsidRPr="00E74460">
              <w:rPr>
                <w:sz w:val="22"/>
                <w:szCs w:val="22"/>
              </w:rPr>
              <w:t>2014.gadā no šīm summām jau faktiski izlietoti 50 436 575 EUR</w:t>
            </w:r>
          </w:p>
          <w:p w:rsidR="0043497F" w:rsidRPr="00E74460" w:rsidRDefault="0043497F" w:rsidP="00EF0236">
            <w:pPr>
              <w:jc w:val="both"/>
              <w:rPr>
                <w:sz w:val="22"/>
                <w:szCs w:val="22"/>
              </w:rPr>
            </w:pPr>
          </w:p>
          <w:p w:rsidR="0043497F" w:rsidRPr="00E74460" w:rsidRDefault="0043497F" w:rsidP="00EF0236">
            <w:pPr>
              <w:jc w:val="both"/>
              <w:rPr>
                <w:sz w:val="22"/>
                <w:szCs w:val="22"/>
              </w:rPr>
            </w:pPr>
            <w:r w:rsidRPr="00E74460">
              <w:rPr>
                <w:sz w:val="22"/>
                <w:szCs w:val="22"/>
              </w:rPr>
              <w:t xml:space="preserve">Līdz ar to </w:t>
            </w:r>
            <w:r w:rsidR="005F2356" w:rsidRPr="00E74460">
              <w:rPr>
                <w:sz w:val="22"/>
                <w:szCs w:val="22"/>
              </w:rPr>
              <w:t xml:space="preserve">periodā no </w:t>
            </w:r>
            <w:r w:rsidRPr="00E74460">
              <w:rPr>
                <w:sz w:val="22"/>
                <w:szCs w:val="22"/>
              </w:rPr>
              <w:t>2015</w:t>
            </w:r>
            <w:r w:rsidR="005F2356" w:rsidRPr="00E74460">
              <w:rPr>
                <w:sz w:val="22"/>
                <w:szCs w:val="22"/>
              </w:rPr>
              <w:t>.</w:t>
            </w:r>
            <w:r w:rsidRPr="00E74460">
              <w:rPr>
                <w:sz w:val="22"/>
                <w:szCs w:val="22"/>
              </w:rPr>
              <w:t>–</w:t>
            </w:r>
            <w:r w:rsidR="005F2356" w:rsidRPr="00E74460">
              <w:rPr>
                <w:sz w:val="22"/>
                <w:szCs w:val="22"/>
              </w:rPr>
              <w:t xml:space="preserve"> 2020.gadam ir 6 gadi, kuros plā</w:t>
            </w:r>
            <w:r w:rsidRPr="00E74460">
              <w:rPr>
                <w:sz w:val="22"/>
                <w:szCs w:val="22"/>
              </w:rPr>
              <w:t xml:space="preserve">nots apgūt 504 648 198 EUR, katrā gadā apgūstot vidēji </w:t>
            </w:r>
            <w:r w:rsidRPr="00E74460">
              <w:rPr>
                <w:b/>
                <w:bCs/>
                <w:sz w:val="22"/>
                <w:szCs w:val="22"/>
                <w:u w:val="single"/>
              </w:rPr>
              <w:t>84 108 033 EUR</w:t>
            </w:r>
            <w:r w:rsidRPr="00E74460">
              <w:rPr>
                <w:sz w:val="22"/>
                <w:szCs w:val="22"/>
              </w:rPr>
              <w:t xml:space="preserve"> – tā arī veidojas ikgadēji plānotā summa, kas parādās anotācijā.</w:t>
            </w:r>
          </w:p>
          <w:p w:rsidR="0043497F" w:rsidRPr="00E74460" w:rsidRDefault="0043497F" w:rsidP="00EF0236">
            <w:pPr>
              <w:jc w:val="both"/>
              <w:rPr>
                <w:sz w:val="22"/>
                <w:szCs w:val="22"/>
              </w:rPr>
            </w:pPr>
          </w:p>
          <w:p w:rsidR="0043497F" w:rsidRPr="00E74460" w:rsidRDefault="0043497F" w:rsidP="00EF0236">
            <w:pPr>
              <w:jc w:val="both"/>
              <w:rPr>
                <w:sz w:val="22"/>
                <w:szCs w:val="22"/>
              </w:rPr>
            </w:pPr>
            <w:r w:rsidRPr="00E74460">
              <w:rPr>
                <w:sz w:val="22"/>
                <w:szCs w:val="22"/>
              </w:rPr>
              <w:t>2015.gada budžetā šiem pasākumiem jau ir paredzēti 41 631 000 EUR, līdz ar to papildus būs vajadzīgi 42 477 033 EUR, kas atbilstoši anotācijas aizpildīšanas matemātiskajiem nosacījumiem parādās arī turpmākajos gados, jo par bāzes gadu ir ņemti 2015.gada budžetā jau esošie 41 631 000 EUR.</w:t>
            </w:r>
          </w:p>
          <w:p w:rsidR="0043497F" w:rsidRPr="00E74460" w:rsidRDefault="0043497F" w:rsidP="00EF0236">
            <w:pPr>
              <w:jc w:val="both"/>
              <w:rPr>
                <w:sz w:val="22"/>
                <w:szCs w:val="22"/>
              </w:rPr>
            </w:pPr>
          </w:p>
          <w:p w:rsidR="00E413E4" w:rsidRPr="00E413E4" w:rsidRDefault="00E413E4" w:rsidP="00E413E4">
            <w:pPr>
              <w:jc w:val="both"/>
              <w:rPr>
                <w:sz w:val="22"/>
                <w:szCs w:val="22"/>
              </w:rPr>
            </w:pPr>
            <w:r w:rsidRPr="00E413E4">
              <w:rPr>
                <w:sz w:val="22"/>
                <w:szCs w:val="22"/>
              </w:rPr>
              <w:t>Ņemot vērā Lauku attīstības programmā 2014-2020</w:t>
            </w:r>
            <w:r w:rsidR="007C54A8">
              <w:rPr>
                <w:sz w:val="22"/>
                <w:szCs w:val="22"/>
              </w:rPr>
              <w:t>.</w:t>
            </w:r>
            <w:r w:rsidRPr="00E413E4">
              <w:rPr>
                <w:sz w:val="22"/>
                <w:szCs w:val="22"/>
              </w:rPr>
              <w:t xml:space="preserve"> gadam šiem pasākumiem plānoto finansējumu, kā arī 2014.gada faktisko izpildi, turpmāk no 2015-2020 gadam ikgadēji plānots šiem pasākumiem novirzīt 84 108 033 EUR (t.sk. 64 645 747 EUR ES finansējuma, kas sastāda 76,86 %).</w:t>
            </w:r>
          </w:p>
          <w:p w:rsidR="0043497F" w:rsidRPr="00E74460" w:rsidRDefault="0043497F" w:rsidP="00EF0236">
            <w:pPr>
              <w:jc w:val="both"/>
              <w:rPr>
                <w:sz w:val="22"/>
                <w:szCs w:val="22"/>
              </w:rPr>
            </w:pPr>
          </w:p>
          <w:p w:rsidR="0092241D" w:rsidRPr="00E74460" w:rsidRDefault="0043497F" w:rsidP="007C54A8">
            <w:pPr>
              <w:jc w:val="both"/>
            </w:pPr>
            <w:r w:rsidRPr="00E74460">
              <w:rPr>
                <w:sz w:val="22"/>
                <w:szCs w:val="22"/>
              </w:rPr>
              <w:t>Ņemot vērā Lauku attīstības programmā 2014-2020</w:t>
            </w:r>
            <w:r w:rsidR="007C54A8">
              <w:rPr>
                <w:sz w:val="22"/>
                <w:szCs w:val="22"/>
              </w:rPr>
              <w:t>.</w:t>
            </w:r>
            <w:r w:rsidRPr="00E74460">
              <w:rPr>
                <w:sz w:val="22"/>
                <w:szCs w:val="22"/>
              </w:rPr>
              <w:t>gadam šiem pasākumiem plānoto finansējumu, kā arī 2014.gada faktisko izpildi, turpmāk no 2015-2020 gadam ikgadēji plānots šiem pasākumiem novirzīt 84 108 033 EUR (t.sk. 64 645 747 EUR ES finansējuma).</w:t>
            </w:r>
          </w:p>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D30FB2" w:rsidRDefault="00ED5B3C" w:rsidP="008F68A0">
            <w:r w:rsidRPr="00D30FB2">
              <w:lastRenderedPageBreak/>
              <w:t>6.1. detalizēts ieņēmumu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ED5B3C" w:rsidRPr="007869F1" w:rsidRDefault="00ED5B3C" w:rsidP="008F68A0">
            <w:pPr>
              <w:rPr>
                <w:highlight w:val="yellow"/>
              </w:rPr>
            </w:pPr>
          </w:p>
        </w:tc>
      </w:tr>
      <w:tr w:rsidR="00ED5B3C" w:rsidRPr="00D30FB2" w:rsidTr="00ED5B3C">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ED5B3C" w:rsidRPr="00D30FB2" w:rsidRDefault="00ED5B3C" w:rsidP="008F68A0">
            <w:r w:rsidRPr="00D30FB2">
              <w:lastRenderedPageBreak/>
              <w:t>6.2. detalizēts izdevumu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ED5B3C" w:rsidRPr="007869F1" w:rsidRDefault="00ED5B3C" w:rsidP="008F68A0">
            <w:pPr>
              <w:rPr>
                <w:highlight w:val="yellow"/>
              </w:rPr>
            </w:pPr>
          </w:p>
        </w:tc>
      </w:tr>
      <w:tr w:rsidR="00ED5B3C" w:rsidRPr="00D30FB2" w:rsidTr="00ED5B3C">
        <w:trPr>
          <w:trHeight w:val="555"/>
          <w:jc w:val="center"/>
        </w:trPr>
        <w:tc>
          <w:tcPr>
            <w:tcW w:w="1439" w:type="pct"/>
            <w:tcBorders>
              <w:top w:val="outset" w:sz="6" w:space="0" w:color="414142"/>
              <w:left w:val="outset" w:sz="6" w:space="0" w:color="414142"/>
              <w:bottom w:val="outset" w:sz="6" w:space="0" w:color="414142"/>
              <w:right w:val="outset" w:sz="6" w:space="0" w:color="414142"/>
            </w:tcBorders>
            <w:hideMark/>
          </w:tcPr>
          <w:p w:rsidR="00ED5B3C" w:rsidRPr="005F2CAC" w:rsidRDefault="00ED5B3C" w:rsidP="008F68A0">
            <w:r w:rsidRPr="005F2CAC">
              <w:t>7. Cita informācija</w:t>
            </w:r>
          </w:p>
        </w:tc>
        <w:tc>
          <w:tcPr>
            <w:tcW w:w="3561" w:type="pct"/>
            <w:gridSpan w:val="5"/>
            <w:tcBorders>
              <w:top w:val="single" w:sz="4" w:space="0" w:color="auto"/>
              <w:left w:val="outset" w:sz="6" w:space="0" w:color="414142"/>
              <w:bottom w:val="outset" w:sz="6" w:space="0" w:color="414142"/>
              <w:right w:val="outset" w:sz="6" w:space="0" w:color="414142"/>
            </w:tcBorders>
            <w:hideMark/>
          </w:tcPr>
          <w:p w:rsidR="00E875F0" w:rsidRPr="005F2CAC" w:rsidRDefault="00FC566E" w:rsidP="00E875F0">
            <w:pPr>
              <w:jc w:val="both"/>
            </w:pPr>
            <w:r w:rsidRPr="005F2CAC">
              <w:t>ELFLA</w:t>
            </w:r>
            <w:r w:rsidR="00ED5B3C" w:rsidRPr="005F2CAC">
              <w:t xml:space="preserve"> ietvaros atbalsta saņēmējiem </w:t>
            </w:r>
            <w:r w:rsidR="00E875F0" w:rsidRPr="005F2CAC">
              <w:t>2015.gadā</w:t>
            </w:r>
            <w:r w:rsidR="00F7145E" w:rsidRPr="005F2CAC">
              <w:t xml:space="preserve"> </w:t>
            </w:r>
            <w:r w:rsidR="00E875F0" w:rsidRPr="005F2CAC">
              <w:t xml:space="preserve">un turpmākajos </w:t>
            </w:r>
            <w:r w:rsidR="00ED5B3C" w:rsidRPr="005F2CAC">
              <w:t>tiks izmaksāts atbalsts</w:t>
            </w:r>
            <w:r w:rsidR="00E875F0" w:rsidRPr="005F2CAC">
              <w:t xml:space="preserve"> n</w:t>
            </w:r>
            <w:r w:rsidR="00ED5B3C" w:rsidRPr="005F2CAC">
              <w:t>o Zemkopības m</w:t>
            </w:r>
            <w:r w:rsidR="00E875F0" w:rsidRPr="005F2CAC">
              <w:t>inistrijas budžeta apakšprogrammas 65.08</w:t>
            </w:r>
            <w:r w:rsidR="00ED5B3C" w:rsidRPr="005F2CAC">
              <w:t>.00. „</w:t>
            </w:r>
            <w:r w:rsidR="00E875F0" w:rsidRPr="005F2CAC">
              <w:t xml:space="preserve">Maksājumu iestādes izdevumi </w:t>
            </w:r>
            <w:r w:rsidR="00ED5B3C" w:rsidRPr="005F2CAC">
              <w:t xml:space="preserve">Eiropas Lauksaimniecības </w:t>
            </w:r>
            <w:r w:rsidR="00E875F0" w:rsidRPr="005F2CAC">
              <w:t>f</w:t>
            </w:r>
            <w:r w:rsidR="00ED5B3C" w:rsidRPr="005F2CAC">
              <w:t xml:space="preserve">onda </w:t>
            </w:r>
            <w:r w:rsidR="00E875F0" w:rsidRPr="005F2CAC">
              <w:t>lauku attīstībai (EL</w:t>
            </w:r>
            <w:r w:rsidR="00ED5B3C" w:rsidRPr="005F2CAC">
              <w:t>F</w:t>
            </w:r>
            <w:r w:rsidR="00E875F0" w:rsidRPr="005F2CAC">
              <w:t>LA</w:t>
            </w:r>
            <w:r w:rsidR="00ED5B3C" w:rsidRPr="005F2CAC">
              <w:t>) projektu un pasākumu īstenošana</w:t>
            </w:r>
            <w:r w:rsidR="00E875F0" w:rsidRPr="005F2CAC">
              <w:t>i (2014-2020)</w:t>
            </w:r>
            <w:r w:rsidR="00ED5B3C" w:rsidRPr="005F2CAC">
              <w:t xml:space="preserve">” </w:t>
            </w:r>
            <w:r w:rsidR="00E875F0" w:rsidRPr="005F2CAC">
              <w:t>un finanšu līdzekļi tiks pieprasīti normatīvajos aktos noteiktajā kārtībā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tc>
      </w:tr>
    </w:tbl>
    <w:p w:rsidR="001E7D8C" w:rsidRPr="00D30FB2" w:rsidRDefault="001E7D8C" w:rsidP="00943E4E"/>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7181"/>
      </w:tblGrid>
      <w:tr w:rsidR="009F5F03" w:rsidRPr="0003436C" w:rsidTr="009F5F03">
        <w:tc>
          <w:tcPr>
            <w:tcW w:w="5000" w:type="pct"/>
            <w:gridSpan w:val="2"/>
            <w:shd w:val="clear" w:color="auto" w:fill="auto"/>
          </w:tcPr>
          <w:p w:rsidR="009F5F03" w:rsidRDefault="009F5F03" w:rsidP="00405C9D">
            <w:pPr>
              <w:jc w:val="center"/>
              <w:rPr>
                <w:b/>
                <w:bCs/>
              </w:rPr>
            </w:pPr>
          </w:p>
          <w:p w:rsidR="009F5F03" w:rsidRPr="0003436C" w:rsidRDefault="009F5F03" w:rsidP="00405C9D">
            <w:pPr>
              <w:jc w:val="center"/>
            </w:pPr>
            <w:r w:rsidRPr="0003436C">
              <w:rPr>
                <w:b/>
                <w:bCs/>
              </w:rPr>
              <w:lastRenderedPageBreak/>
              <w:t>IV. Tiesību akta projekta ietekme uz spēkā esošo tiesību normu sistēmu</w:t>
            </w:r>
          </w:p>
        </w:tc>
      </w:tr>
      <w:tr w:rsidR="009F5F03" w:rsidRPr="00A7122D" w:rsidTr="009F5F03">
        <w:tc>
          <w:tcPr>
            <w:tcW w:w="1397" w:type="pct"/>
            <w:shd w:val="clear" w:color="auto" w:fill="auto"/>
          </w:tcPr>
          <w:p w:rsidR="009F5F03" w:rsidRPr="0003436C" w:rsidRDefault="009F5F03" w:rsidP="00405C9D">
            <w:r w:rsidRPr="0003436C">
              <w:lastRenderedPageBreak/>
              <w:t>Nepieciešamie saistītie tiesību aktu projekti</w:t>
            </w:r>
          </w:p>
        </w:tc>
        <w:tc>
          <w:tcPr>
            <w:tcW w:w="3603" w:type="pct"/>
            <w:shd w:val="clear" w:color="auto" w:fill="auto"/>
          </w:tcPr>
          <w:p w:rsidR="009F5F03" w:rsidRPr="00495CA0" w:rsidRDefault="002E7998" w:rsidP="00EB755A">
            <w:pPr>
              <w:jc w:val="both"/>
              <w:rPr>
                <w:color w:val="C00000"/>
                <w:sz w:val="28"/>
                <w:szCs w:val="28"/>
              </w:rPr>
            </w:pPr>
            <w:r w:rsidRPr="00880F26">
              <w:t>Atzīt par spēku zaudējušiem Ministru kabineta 2010. gada 23. marta noteikumus Nr.295 „Noteikumi par valsts un Eiropas Savienības lauku attīstības atbalsta piešķiršanu, administrēšanu un uzraudzību vides un lauku ainavas uzlabošanai” (Latvijas Vēstnesis, 2010, 50 nr.).</w:t>
            </w:r>
          </w:p>
        </w:tc>
      </w:tr>
      <w:tr w:rsidR="009F5F03" w:rsidRPr="0003436C" w:rsidTr="009F5F03">
        <w:tc>
          <w:tcPr>
            <w:tcW w:w="1397" w:type="pct"/>
            <w:shd w:val="clear" w:color="auto" w:fill="auto"/>
          </w:tcPr>
          <w:p w:rsidR="009F5F03" w:rsidRPr="0003436C" w:rsidRDefault="009F5F03" w:rsidP="00405C9D">
            <w:r w:rsidRPr="0003436C">
              <w:t>Atbildīgā institūcija</w:t>
            </w:r>
          </w:p>
        </w:tc>
        <w:tc>
          <w:tcPr>
            <w:tcW w:w="3603" w:type="pct"/>
            <w:shd w:val="clear" w:color="auto" w:fill="auto"/>
          </w:tcPr>
          <w:p w:rsidR="009F5F03" w:rsidRPr="0003436C" w:rsidRDefault="009F5F03" w:rsidP="00405C9D">
            <w:r w:rsidRPr="0003436C">
              <w:t>LR Zemkopības ministrija</w:t>
            </w:r>
          </w:p>
        </w:tc>
      </w:tr>
      <w:tr w:rsidR="009F5F03" w:rsidRPr="0003436C" w:rsidTr="009F5F03">
        <w:tc>
          <w:tcPr>
            <w:tcW w:w="1397" w:type="pct"/>
            <w:shd w:val="clear" w:color="auto" w:fill="auto"/>
          </w:tcPr>
          <w:p w:rsidR="009F5F03" w:rsidRPr="0003436C" w:rsidRDefault="009F5F03" w:rsidP="00405C9D">
            <w:r w:rsidRPr="0003436C">
              <w:t>Cita informācija</w:t>
            </w:r>
          </w:p>
        </w:tc>
        <w:tc>
          <w:tcPr>
            <w:tcW w:w="3603" w:type="pct"/>
            <w:shd w:val="clear" w:color="auto" w:fill="auto"/>
          </w:tcPr>
          <w:p w:rsidR="00880F26" w:rsidRPr="0003436C" w:rsidRDefault="002E7998" w:rsidP="00880F26">
            <w:pPr>
              <w:jc w:val="both"/>
            </w:pPr>
            <w:r>
              <w:t xml:space="preserve">Nav </w:t>
            </w:r>
          </w:p>
        </w:tc>
      </w:tr>
    </w:tbl>
    <w:p w:rsidR="00943E4E" w:rsidRDefault="00943E4E" w:rsidP="00943E4E">
      <w:pPr>
        <w:rPr>
          <w:i/>
        </w:rPr>
      </w:pPr>
    </w:p>
    <w:p w:rsidR="00136660" w:rsidRPr="00D30FB2" w:rsidRDefault="00136660"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692"/>
        <w:gridCol w:w="6448"/>
      </w:tblGrid>
      <w:tr w:rsidR="00943E4E" w:rsidRPr="00D30FB2" w:rsidTr="007D2EF8">
        <w:tc>
          <w:tcPr>
            <w:tcW w:w="5000" w:type="pct"/>
            <w:gridSpan w:val="3"/>
          </w:tcPr>
          <w:p w:rsidR="00943E4E" w:rsidRPr="00D30FB2" w:rsidRDefault="00943E4E" w:rsidP="00943E4E">
            <w:pPr>
              <w:rPr>
                <w:b/>
                <w:bCs/>
              </w:rPr>
            </w:pPr>
            <w:r w:rsidRPr="00D30FB2">
              <w:rPr>
                <w:b/>
                <w:bCs/>
              </w:rPr>
              <w:t>V. Tiesību akta projekta atbilstība Latvijas Republikas starptautiskajām saistībām</w:t>
            </w:r>
          </w:p>
        </w:tc>
      </w:tr>
      <w:tr w:rsidR="00943E4E" w:rsidRPr="00D30FB2" w:rsidTr="007D2EF8">
        <w:tc>
          <w:tcPr>
            <w:tcW w:w="393" w:type="pct"/>
          </w:tcPr>
          <w:p w:rsidR="00943E4E" w:rsidRPr="00D30FB2" w:rsidRDefault="00943E4E" w:rsidP="00943E4E">
            <w:r w:rsidRPr="00D30FB2">
              <w:t>1.</w:t>
            </w:r>
          </w:p>
        </w:tc>
        <w:tc>
          <w:tcPr>
            <w:tcW w:w="1357" w:type="pct"/>
          </w:tcPr>
          <w:p w:rsidR="00943E4E" w:rsidRPr="00D30FB2" w:rsidRDefault="00943E4E" w:rsidP="00943E4E">
            <w:r w:rsidRPr="00D30FB2">
              <w:t>Saistības pret Eiropas Savienību</w:t>
            </w:r>
          </w:p>
        </w:tc>
        <w:tc>
          <w:tcPr>
            <w:tcW w:w="3250" w:type="pct"/>
          </w:tcPr>
          <w:p w:rsidR="00C437F4" w:rsidRDefault="00C437F4" w:rsidP="00C437F4">
            <w:pPr>
              <w:jc w:val="both"/>
            </w:pPr>
            <w:r w:rsidRPr="00D30FB2">
              <w:t>Noteikumu projekts ir sagatavot</w:t>
            </w:r>
            <w:r>
              <w:t>s</w:t>
            </w:r>
            <w:r w:rsidRPr="00D30FB2">
              <w:t>, pamatojoties uz</w:t>
            </w:r>
            <w:r>
              <w:rPr>
                <w:lang w:eastAsia="en-US"/>
              </w:rPr>
              <w:t xml:space="preserve"> šādām </w:t>
            </w:r>
            <w:r>
              <w:t>regulām:</w:t>
            </w:r>
          </w:p>
          <w:p w:rsidR="00C437F4" w:rsidRDefault="00C437F4" w:rsidP="00C437F4">
            <w:pPr>
              <w:pStyle w:val="Punkts"/>
            </w:pPr>
            <w:r>
              <w:t>1.  r</w:t>
            </w:r>
            <w:r w:rsidRPr="00D31E22">
              <w:t>egula Nr.</w:t>
            </w:r>
            <w:r w:rsidRPr="00C437F4">
              <w:t>1305</w:t>
            </w:r>
            <w:r w:rsidRPr="00D31E22">
              <w:t>/2013;</w:t>
            </w:r>
          </w:p>
          <w:p w:rsidR="00C437F4" w:rsidRPr="005A6840" w:rsidRDefault="00C437F4" w:rsidP="00C437F4">
            <w:pPr>
              <w:pStyle w:val="Punkts"/>
            </w:pPr>
            <w:r>
              <w:t xml:space="preserve">2. </w:t>
            </w:r>
            <w:r w:rsidRPr="00B74AD6">
              <w:t xml:space="preserve">regula </w:t>
            </w:r>
            <w:r w:rsidRPr="005A6840">
              <w:t>Nr.</w:t>
            </w:r>
            <w:r w:rsidRPr="00C437F4">
              <w:t>1306</w:t>
            </w:r>
            <w:r>
              <w:t>/2013;</w:t>
            </w:r>
          </w:p>
          <w:p w:rsidR="00C437F4" w:rsidRDefault="00C437F4" w:rsidP="00C437F4">
            <w:pPr>
              <w:pStyle w:val="Punkts"/>
            </w:pPr>
            <w:r>
              <w:t xml:space="preserve">3. </w:t>
            </w:r>
            <w:r w:rsidRPr="00B74AD6">
              <w:t>regula Nr.1</w:t>
            </w:r>
            <w:r w:rsidRPr="00C437F4">
              <w:t>307</w:t>
            </w:r>
            <w:r>
              <w:t>/2013;</w:t>
            </w:r>
          </w:p>
          <w:p w:rsidR="00C437F4" w:rsidRPr="007F3D9F" w:rsidRDefault="00C437F4" w:rsidP="00C437F4">
            <w:pPr>
              <w:pStyle w:val="Punkts"/>
            </w:pPr>
            <w:r>
              <w:t xml:space="preserve">4. </w:t>
            </w:r>
            <w:r w:rsidRPr="001361DE">
              <w:t>Komisijas 2014.gada 11.marta Deleģēto regulu (ES) Nr.640/2014, ar ko papildina Eiropas Parlamenta un Padomes Regulu (ES)</w:t>
            </w:r>
            <w:r w:rsidRPr="00B74AD6">
              <w:t xml:space="preserve"> Nr.1306/2013 attiecībā uz integrēto administrācijas un kontroles sistēmu, maksājumu atteikšanas vai atsaukšanas nosacījumiem un administratīvajiem sodiem, kas piemērojami tiešo maksājumu, lauku attīstības atbalsta </w:t>
            </w:r>
            <w:r w:rsidRPr="007F3D9F">
              <w:t>un savstarpējās atbilstības kontekstā (turpmāk – regula Nr.640/2014);</w:t>
            </w:r>
          </w:p>
          <w:p w:rsidR="00C437F4" w:rsidRPr="007F3D9F" w:rsidRDefault="00C437F4" w:rsidP="00C437F4">
            <w:pPr>
              <w:pStyle w:val="Punkts"/>
            </w:pPr>
            <w:r w:rsidRPr="007F3D9F">
              <w:t xml:space="preserve">5. Eiropas Parlamenta un Padomes 2014.gada 11.marta Regulas Nr.807/2014,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Nr.807/2014); </w:t>
            </w:r>
          </w:p>
          <w:p w:rsidR="00C437F4" w:rsidRPr="007F3D9F" w:rsidRDefault="00C437F4" w:rsidP="00C437F4">
            <w:pPr>
              <w:pStyle w:val="Punkts"/>
            </w:pPr>
            <w:r w:rsidRPr="007F3D9F">
              <w:t>6. Komisijas (ES) 2014. gada 17.jūlija īstenošanas Regula Nr. 808/2014, ar kuru paredz noteikumus, kā piemērot Eiropas Parlamenta un Padomes Regulu (ES) Nr. 1305/2013 par atbalstu lauku attīstībai no Eiropas Lauksaimniecības fonda lauku attīstībai (ELFLA) (turpmāk - regula Nr.808/2014);</w:t>
            </w:r>
          </w:p>
          <w:p w:rsidR="00C437F4" w:rsidRPr="007F3D9F" w:rsidRDefault="00C437F4" w:rsidP="00C437F4">
            <w:pPr>
              <w:pStyle w:val="Punkts"/>
            </w:pPr>
            <w:r w:rsidRPr="007F3D9F">
              <w:t xml:space="preserve">7. Komisijas 2014.gada 17.jūlija Īstenošanas regulas (ES) Nr.809/2014, ar ko paredz noteikumus par to, kā Eiropas Parlamenta un Padomes Regulu (ES) Nr.1306/2013 piemēro attiecībā uz integrēto administrācijas un kontroles sistēmu, lauku attīstības pasākumiem un savstarpējo atbilstību, (turpmāk – regula Nr.809/2014) </w:t>
            </w:r>
          </w:p>
          <w:p w:rsidR="00C437F4" w:rsidRPr="007F3D9F" w:rsidRDefault="00C437F4" w:rsidP="00C437F4">
            <w:pPr>
              <w:pStyle w:val="Punkts"/>
            </w:pPr>
            <w:r w:rsidRPr="007F3D9F">
              <w:t>8. Komisijas (ES) 2014.gada 25</w:t>
            </w:r>
            <w:r w:rsidRPr="00973246">
              <w:t xml:space="preserve">.jūnija Regulas Nr.702/2014, ar kuru konkrētas atbalsta kategorijas lauksaimniecības un mežsaimniecības nozarē un lauku apvidos atzīst par saderīgām ar iekšējo tirgu, piemērojot Līguma par Eiropas </w:t>
            </w:r>
            <w:r w:rsidRPr="007F3D9F">
              <w:t xml:space="preserve">Savienības </w:t>
            </w:r>
            <w:r w:rsidRPr="007F3D9F">
              <w:lastRenderedPageBreak/>
              <w:t>darbību 107. un 108.pantu (turpmāk – regula Nr.702/2014);</w:t>
            </w:r>
          </w:p>
          <w:p w:rsidR="00943E4E" w:rsidRDefault="00C437F4" w:rsidP="00C437F4">
            <w:pPr>
              <w:jc w:val="both"/>
            </w:pPr>
            <w:r w:rsidRPr="00F10C91">
              <w:t>9. Padomes</w:t>
            </w:r>
            <w:r w:rsidRPr="007F3D9F">
              <w:t xml:space="preserve"> Regula (EK) </w:t>
            </w:r>
            <w:r w:rsidRPr="007F3D9F">
              <w:rPr>
                <w:rFonts w:hint="eastAsia"/>
              </w:rPr>
              <w:t xml:space="preserve">2007. gada 28. </w:t>
            </w:r>
            <w:r w:rsidRPr="007F3D9F">
              <w:t>J</w:t>
            </w:r>
            <w:r w:rsidRPr="007F3D9F">
              <w:rPr>
                <w:rFonts w:hint="eastAsia"/>
              </w:rPr>
              <w:t>ūnij</w:t>
            </w:r>
            <w:r w:rsidRPr="007F3D9F">
              <w:t>a regula Nr.</w:t>
            </w:r>
            <w:r w:rsidRPr="007F3D9F">
              <w:rPr>
                <w:rFonts w:hint="eastAsia"/>
              </w:rPr>
              <w:t xml:space="preserve"> 834/2007</w:t>
            </w:r>
            <w:r w:rsidRPr="007F3D9F">
              <w:t>, p</w:t>
            </w:r>
            <w:hyperlink r:id="rId9" w:tooltip="32007R0834" w:history="1">
              <w:r w:rsidRPr="007F3D9F">
                <w:rPr>
                  <w:rFonts w:hint="eastAsia"/>
                </w:rPr>
                <w:t>ar bioloģisko ražošanu un bioloģisko produktu marķēšanu un par Regulas (EEK) Nr. 2092/91 atcelšanu</w:t>
              </w:r>
            </w:hyperlink>
            <w:r w:rsidRPr="007F3D9F">
              <w:t xml:space="preserve"> (turpmāk – regula Nr.834/20</w:t>
            </w:r>
            <w:r w:rsidR="009F472F">
              <w:t>07);</w:t>
            </w:r>
          </w:p>
          <w:p w:rsidR="009F472F" w:rsidRPr="00D30FB2" w:rsidRDefault="009F472F" w:rsidP="004A3C96">
            <w:pPr>
              <w:spacing w:before="100" w:beforeAutospacing="1"/>
              <w:jc w:val="both"/>
            </w:pPr>
            <w:r w:rsidRPr="009F472F">
              <w:t xml:space="preserve">10. Komisijas 2011. gada 14. jūlija Īstenošanas regulai (ES) Nr. 679/2011 par grozījumiem Komisijas Regulā (EK) Nr. 1974/2006, ar ko paredz sīki izstrādātus piemērošanas noteikumus Padomes Regulai (EK) Nr. 1698/2005 par atbalstu lauku attīstībai no Eiropas Lauksaimniecības fonda lauku attīstībai (ELFLA) (turpmāk – regula </w:t>
            </w:r>
            <w:r w:rsidRPr="00DD0CF7">
              <w:t>Nr.</w:t>
            </w:r>
            <w:hyperlink r:id="rId10" w:tgtFrame="_blank" w:history="1">
              <w:r w:rsidRPr="00DD0CF7">
                <w:t>679/2011</w:t>
              </w:r>
            </w:hyperlink>
            <w:r w:rsidRPr="009F472F">
              <w:t>).</w:t>
            </w:r>
          </w:p>
        </w:tc>
      </w:tr>
      <w:tr w:rsidR="00943E4E" w:rsidRPr="00D30FB2" w:rsidTr="007D2EF8">
        <w:tc>
          <w:tcPr>
            <w:tcW w:w="393" w:type="pct"/>
          </w:tcPr>
          <w:p w:rsidR="00943E4E" w:rsidRPr="00D30FB2" w:rsidRDefault="00943E4E" w:rsidP="00943E4E">
            <w:r w:rsidRPr="00D30FB2">
              <w:lastRenderedPageBreak/>
              <w:t>2.</w:t>
            </w:r>
          </w:p>
        </w:tc>
        <w:tc>
          <w:tcPr>
            <w:tcW w:w="1357" w:type="pct"/>
          </w:tcPr>
          <w:p w:rsidR="00943E4E" w:rsidRPr="00D30FB2" w:rsidRDefault="00943E4E" w:rsidP="00943E4E">
            <w:r w:rsidRPr="00D30FB2">
              <w:t>Citas starptautiskās saistības</w:t>
            </w:r>
          </w:p>
        </w:tc>
        <w:tc>
          <w:tcPr>
            <w:tcW w:w="3250" w:type="pct"/>
          </w:tcPr>
          <w:p w:rsidR="00943E4E" w:rsidRPr="00D30FB2" w:rsidRDefault="00943E4E" w:rsidP="00943E4E">
            <w:r w:rsidRPr="00D30FB2">
              <w:t>Nav</w:t>
            </w:r>
          </w:p>
        </w:tc>
      </w:tr>
      <w:tr w:rsidR="00943E4E" w:rsidRPr="00D30FB2" w:rsidTr="007D2EF8">
        <w:tc>
          <w:tcPr>
            <w:tcW w:w="393" w:type="pct"/>
          </w:tcPr>
          <w:p w:rsidR="00943E4E" w:rsidRPr="00D30FB2" w:rsidRDefault="00943E4E" w:rsidP="00943E4E">
            <w:r w:rsidRPr="00D30FB2">
              <w:t>3.</w:t>
            </w:r>
          </w:p>
        </w:tc>
        <w:tc>
          <w:tcPr>
            <w:tcW w:w="1357" w:type="pct"/>
          </w:tcPr>
          <w:p w:rsidR="00943E4E" w:rsidRPr="00D30FB2" w:rsidRDefault="00943E4E" w:rsidP="00943E4E">
            <w:r w:rsidRPr="00D30FB2">
              <w:t>Cita informācija</w:t>
            </w:r>
          </w:p>
        </w:tc>
        <w:tc>
          <w:tcPr>
            <w:tcW w:w="3250" w:type="pct"/>
          </w:tcPr>
          <w:p w:rsidR="00943E4E" w:rsidRPr="00D30FB2" w:rsidRDefault="00943E4E" w:rsidP="00943E4E">
            <w:r w:rsidRPr="00D30FB2">
              <w:t>Nav</w:t>
            </w:r>
          </w:p>
        </w:tc>
      </w:tr>
    </w:tbl>
    <w:p w:rsidR="00943E4E" w:rsidRPr="00D30FB2" w:rsidRDefault="00943E4E" w:rsidP="00943E4E">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266"/>
        <w:gridCol w:w="1055"/>
        <w:gridCol w:w="310"/>
        <w:gridCol w:w="3454"/>
      </w:tblGrid>
      <w:tr w:rsidR="00943E4E" w:rsidRPr="00D30FB2" w:rsidTr="007D2EF8">
        <w:tc>
          <w:tcPr>
            <w:tcW w:w="5000" w:type="pct"/>
            <w:gridSpan w:val="5"/>
          </w:tcPr>
          <w:p w:rsidR="00943E4E" w:rsidRPr="00D30FB2" w:rsidRDefault="00943E4E" w:rsidP="00943E4E">
            <w:pPr>
              <w:rPr>
                <w:b/>
                <w:bCs/>
              </w:rPr>
            </w:pPr>
            <w:r w:rsidRPr="00D30FB2">
              <w:rPr>
                <w:b/>
                <w:bCs/>
              </w:rPr>
              <w:t>1.tabula</w:t>
            </w:r>
            <w:r w:rsidRPr="00D30FB2">
              <w:rPr>
                <w:b/>
                <w:bCs/>
              </w:rPr>
              <w:br/>
              <w:t>Tiesību akta projekta atbilstība ES tiesību aktiem</w:t>
            </w:r>
          </w:p>
        </w:tc>
      </w:tr>
      <w:tr w:rsidR="00943E4E" w:rsidRPr="00D30FB2" w:rsidTr="00F23FF6">
        <w:tc>
          <w:tcPr>
            <w:tcW w:w="1429" w:type="pct"/>
          </w:tcPr>
          <w:p w:rsidR="00943E4E" w:rsidRPr="00D30FB2" w:rsidRDefault="00943E4E" w:rsidP="00943E4E">
            <w:pPr>
              <w:rPr>
                <w:lang w:eastAsia="en-US"/>
              </w:rPr>
            </w:pPr>
            <w:r w:rsidRPr="00D30FB2">
              <w:rPr>
                <w:lang w:eastAsia="en-US"/>
              </w:rPr>
              <w:t>Attiecīgā ES tiesību akta datums, numurs un nosaukums</w:t>
            </w:r>
          </w:p>
        </w:tc>
        <w:tc>
          <w:tcPr>
            <w:tcW w:w="3571" w:type="pct"/>
            <w:gridSpan w:val="4"/>
          </w:tcPr>
          <w:p w:rsidR="00075969" w:rsidRPr="00D30FB2" w:rsidRDefault="00C437F4" w:rsidP="00C437F4">
            <w:pPr>
              <w:pStyle w:val="Punkts"/>
              <w:rPr>
                <w:lang w:eastAsia="en-US"/>
              </w:rPr>
            </w:pPr>
            <w:r>
              <w:rPr>
                <w:lang w:eastAsia="en-US"/>
              </w:rPr>
              <w:t>R</w:t>
            </w:r>
            <w:r w:rsidRPr="00D31E22">
              <w:rPr>
                <w:lang w:eastAsia="en-US"/>
              </w:rPr>
              <w:t>egula Nr.</w:t>
            </w:r>
            <w:r w:rsidRPr="00C437F4">
              <w:rPr>
                <w:lang w:eastAsia="en-US"/>
              </w:rPr>
              <w:t>1305/2013; regula Nr.1306/2013; regula Nr.1307/2013; regula Nr.640/2014; regula Nr.702/2014; regula Nr.807/2014; regula Nr.808/2014; regula Nr.809/2014; regula Nr.834/2007</w:t>
            </w:r>
            <w:r w:rsidR="00DD0CF7">
              <w:rPr>
                <w:lang w:eastAsia="en-US"/>
              </w:rPr>
              <w:t xml:space="preserve">; </w:t>
            </w:r>
            <w:r w:rsidR="00DD0CF7" w:rsidRPr="009F472F">
              <w:rPr>
                <w:lang w:eastAsia="en-US"/>
              </w:rPr>
              <w:t xml:space="preserve">regula </w:t>
            </w:r>
            <w:r w:rsidR="00DD0CF7" w:rsidRPr="00DD0CF7">
              <w:rPr>
                <w:lang w:eastAsia="en-US"/>
              </w:rPr>
              <w:t>Nr.</w:t>
            </w:r>
            <w:hyperlink r:id="rId11" w:tgtFrame="_blank" w:history="1">
              <w:r w:rsidR="00DD0CF7" w:rsidRPr="00DD0CF7">
                <w:rPr>
                  <w:lang w:eastAsia="en-US"/>
                </w:rPr>
                <w:t>679/2011</w:t>
              </w:r>
            </w:hyperlink>
            <w:r w:rsidRPr="00D03CFC">
              <w:rPr>
                <w:lang w:eastAsia="en-US"/>
              </w:rPr>
              <w:t>.</w:t>
            </w:r>
          </w:p>
        </w:tc>
      </w:tr>
      <w:tr w:rsidR="00943E4E" w:rsidRPr="00D30FB2" w:rsidTr="00E15398">
        <w:tc>
          <w:tcPr>
            <w:tcW w:w="1429" w:type="pct"/>
          </w:tcPr>
          <w:p w:rsidR="00943E4E" w:rsidRPr="00D30FB2" w:rsidRDefault="00943E4E" w:rsidP="00943E4E">
            <w:pPr>
              <w:rPr>
                <w:lang w:eastAsia="en-US"/>
              </w:rPr>
            </w:pPr>
            <w:r w:rsidRPr="00D30FB2">
              <w:rPr>
                <w:lang w:eastAsia="en-US"/>
              </w:rPr>
              <w:t>A</w:t>
            </w:r>
          </w:p>
        </w:tc>
        <w:tc>
          <w:tcPr>
            <w:tcW w:w="1142" w:type="pct"/>
          </w:tcPr>
          <w:p w:rsidR="00943E4E" w:rsidRPr="00D30FB2" w:rsidRDefault="00943E4E" w:rsidP="00943E4E">
            <w:pPr>
              <w:rPr>
                <w:lang w:eastAsia="en-US"/>
              </w:rPr>
            </w:pPr>
            <w:r w:rsidRPr="00D30FB2">
              <w:rPr>
                <w:lang w:eastAsia="en-US"/>
              </w:rPr>
              <w:t>B</w:t>
            </w:r>
          </w:p>
        </w:tc>
        <w:tc>
          <w:tcPr>
            <w:tcW w:w="532" w:type="pct"/>
          </w:tcPr>
          <w:p w:rsidR="00943E4E" w:rsidRPr="00D30FB2" w:rsidRDefault="00943E4E" w:rsidP="00943E4E">
            <w:pPr>
              <w:rPr>
                <w:lang w:eastAsia="en-US"/>
              </w:rPr>
            </w:pPr>
            <w:r w:rsidRPr="00D30FB2">
              <w:rPr>
                <w:lang w:eastAsia="en-US"/>
              </w:rPr>
              <w:t>C</w:t>
            </w:r>
          </w:p>
        </w:tc>
        <w:tc>
          <w:tcPr>
            <w:tcW w:w="1897" w:type="pct"/>
            <w:gridSpan w:val="2"/>
          </w:tcPr>
          <w:p w:rsidR="00943E4E" w:rsidRPr="00D30FB2" w:rsidRDefault="00943E4E" w:rsidP="00943E4E">
            <w:pPr>
              <w:rPr>
                <w:lang w:eastAsia="en-US"/>
              </w:rPr>
            </w:pPr>
            <w:r w:rsidRPr="00D30FB2">
              <w:rPr>
                <w:lang w:eastAsia="en-US"/>
              </w:rPr>
              <w:t>D</w:t>
            </w:r>
          </w:p>
        </w:tc>
      </w:tr>
      <w:tr w:rsidR="00E45237" w:rsidRPr="00D30FB2" w:rsidTr="00E15398">
        <w:tc>
          <w:tcPr>
            <w:tcW w:w="1429" w:type="pct"/>
          </w:tcPr>
          <w:p w:rsidR="00E45237" w:rsidRPr="00D30FB2" w:rsidRDefault="00E45237" w:rsidP="00943E4E">
            <w:pPr>
              <w:rPr>
                <w:lang w:eastAsia="en-US"/>
              </w:rPr>
            </w:pPr>
            <w:r>
              <w:rPr>
                <w:lang w:eastAsia="en-US"/>
              </w:rPr>
              <w:t>R</w:t>
            </w:r>
            <w:r w:rsidRPr="00D31E22">
              <w:rPr>
                <w:lang w:eastAsia="en-US"/>
              </w:rPr>
              <w:t>egula Nr.</w:t>
            </w:r>
            <w:r w:rsidRPr="00C437F4">
              <w:rPr>
                <w:lang w:eastAsia="en-US"/>
              </w:rPr>
              <w:t>1305/2013; regula Nr.1306/2013; regula Nr.1307/2013; regula Nr.640/2014; regula Nr.702/2014; regula Nr.807/2014; regula Nr.808/2014; regula Nr.809/2014; regula Nr.834/2007</w:t>
            </w:r>
            <w:r>
              <w:rPr>
                <w:lang w:eastAsia="en-US"/>
              </w:rPr>
              <w:t xml:space="preserve">; </w:t>
            </w:r>
            <w:r w:rsidRPr="009F472F">
              <w:rPr>
                <w:lang w:eastAsia="en-US"/>
              </w:rPr>
              <w:t xml:space="preserve">regula </w:t>
            </w:r>
            <w:r w:rsidRPr="00DD0CF7">
              <w:rPr>
                <w:lang w:eastAsia="en-US"/>
              </w:rPr>
              <w:t>Nr.</w:t>
            </w:r>
            <w:hyperlink r:id="rId12" w:tgtFrame="_blank" w:history="1">
              <w:r w:rsidRPr="00DD0CF7">
                <w:rPr>
                  <w:lang w:eastAsia="en-US"/>
                </w:rPr>
                <w:t>679/2011</w:t>
              </w:r>
            </w:hyperlink>
            <w:r>
              <w:rPr>
                <w:lang w:eastAsia="en-US"/>
              </w:rPr>
              <w:t>.</w:t>
            </w:r>
          </w:p>
        </w:tc>
        <w:tc>
          <w:tcPr>
            <w:tcW w:w="1142" w:type="pct"/>
          </w:tcPr>
          <w:p w:rsidR="00E45237" w:rsidRPr="00E45237" w:rsidRDefault="00E45237" w:rsidP="00E45237">
            <w:pPr>
              <w:rPr>
                <w:lang w:eastAsia="en-US"/>
              </w:rPr>
            </w:pPr>
            <w:r w:rsidRPr="00E45237">
              <w:rPr>
                <w:lang w:eastAsia="en-US"/>
              </w:rPr>
              <w:t>Noteikumu projekta 1.</w:t>
            </w:r>
          </w:p>
        </w:tc>
        <w:tc>
          <w:tcPr>
            <w:tcW w:w="532" w:type="pct"/>
          </w:tcPr>
          <w:p w:rsidR="00E45237" w:rsidRPr="00E45237" w:rsidRDefault="00E45237" w:rsidP="00E45237">
            <w:pPr>
              <w:rPr>
                <w:lang w:eastAsia="en-US"/>
              </w:rPr>
            </w:pPr>
            <w:r w:rsidRPr="00E45237">
              <w:rPr>
                <w:lang w:eastAsia="en-US"/>
              </w:rPr>
              <w:t>Ieviests pilnībā</w:t>
            </w:r>
          </w:p>
        </w:tc>
        <w:tc>
          <w:tcPr>
            <w:tcW w:w="1897" w:type="pct"/>
            <w:gridSpan w:val="2"/>
          </w:tcPr>
          <w:p w:rsidR="00E45237" w:rsidRPr="00E45237" w:rsidRDefault="00E45237" w:rsidP="00E45237">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D30FB2" w:rsidRDefault="00E15398" w:rsidP="00F77674"/>
        </w:tc>
        <w:tc>
          <w:tcPr>
            <w:tcW w:w="1142" w:type="pct"/>
          </w:tcPr>
          <w:p w:rsidR="00E15398" w:rsidRPr="00D30FB2" w:rsidRDefault="00E15398" w:rsidP="00F77674"/>
        </w:tc>
        <w:tc>
          <w:tcPr>
            <w:tcW w:w="532" w:type="pct"/>
          </w:tcPr>
          <w:p w:rsidR="00E15398" w:rsidRPr="003F0B16" w:rsidRDefault="00E15398" w:rsidP="00F77674"/>
        </w:tc>
        <w:tc>
          <w:tcPr>
            <w:tcW w:w="1897" w:type="pct"/>
            <w:gridSpan w:val="2"/>
          </w:tcPr>
          <w:p w:rsidR="00E15398" w:rsidRPr="003F0B16" w:rsidRDefault="00E15398" w:rsidP="00F77674"/>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28. panta 1.punkts</w:t>
            </w:r>
          </w:p>
        </w:tc>
        <w:tc>
          <w:tcPr>
            <w:tcW w:w="1142" w:type="pct"/>
          </w:tcPr>
          <w:p w:rsidR="00E15398" w:rsidRPr="00E45237" w:rsidRDefault="00E15398" w:rsidP="00F0537D">
            <w:pPr>
              <w:rPr>
                <w:lang w:eastAsia="en-US"/>
              </w:rPr>
            </w:pPr>
            <w:r w:rsidRPr="00E45237">
              <w:rPr>
                <w:lang w:eastAsia="en-US"/>
              </w:rPr>
              <w:t>Noteikumu projekta 2.1.apakšpunkts</w:t>
            </w:r>
          </w:p>
        </w:tc>
        <w:tc>
          <w:tcPr>
            <w:tcW w:w="532" w:type="pct"/>
          </w:tcPr>
          <w:p w:rsidR="00E15398" w:rsidRPr="00E45237" w:rsidRDefault="00E15398" w:rsidP="00405C9D">
            <w:pPr>
              <w:rPr>
                <w:lang w:eastAsia="en-US"/>
              </w:rPr>
            </w:pPr>
            <w:r w:rsidRPr="00E45237">
              <w:rPr>
                <w:lang w:eastAsia="en-US"/>
              </w:rPr>
              <w:t>Ieviests pilnībā</w:t>
            </w:r>
          </w:p>
        </w:tc>
        <w:tc>
          <w:tcPr>
            <w:tcW w:w="1897" w:type="pct"/>
            <w:gridSpan w:val="2"/>
          </w:tcPr>
          <w:p w:rsidR="00E15398" w:rsidRPr="00E45237" w:rsidRDefault="00E15398" w:rsidP="00405C9D">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29. panta 1.punkts</w:t>
            </w:r>
          </w:p>
        </w:tc>
        <w:tc>
          <w:tcPr>
            <w:tcW w:w="1142" w:type="pct"/>
          </w:tcPr>
          <w:p w:rsidR="00E15398" w:rsidRPr="00E45237" w:rsidRDefault="00E15398" w:rsidP="00F0537D">
            <w:pPr>
              <w:rPr>
                <w:lang w:eastAsia="en-US"/>
              </w:rPr>
            </w:pPr>
            <w:r w:rsidRPr="00E45237">
              <w:rPr>
                <w:lang w:eastAsia="en-US"/>
              </w:rPr>
              <w:t>Noteikumu projekta 2.2.apakšpunkts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30. panta 1.punkts</w:t>
            </w:r>
          </w:p>
        </w:tc>
        <w:tc>
          <w:tcPr>
            <w:tcW w:w="1142" w:type="pct"/>
          </w:tcPr>
          <w:p w:rsidR="00E15398" w:rsidRPr="00E45237" w:rsidRDefault="00E15398" w:rsidP="00F0537D">
            <w:pPr>
              <w:rPr>
                <w:lang w:eastAsia="en-US"/>
              </w:rPr>
            </w:pPr>
            <w:r w:rsidRPr="00E45237">
              <w:rPr>
                <w:lang w:eastAsia="en-US"/>
              </w:rPr>
              <w:t>Noteikumu projekta 2.3.apakšpunkts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E45237" w:rsidRDefault="00E15398" w:rsidP="00F0537D">
            <w:pPr>
              <w:rPr>
                <w:lang w:eastAsia="en-US"/>
              </w:rPr>
            </w:pPr>
            <w:r w:rsidRPr="0035236C">
              <w:rPr>
                <w:lang w:eastAsia="en-US"/>
              </w:rPr>
              <w:t>regulas Nr.</w:t>
            </w:r>
            <w:r w:rsidRPr="00E45237">
              <w:rPr>
                <w:lang w:eastAsia="en-US"/>
              </w:rPr>
              <w:t>1305/2013 31. panta 1.punkts</w:t>
            </w:r>
          </w:p>
        </w:tc>
        <w:tc>
          <w:tcPr>
            <w:tcW w:w="1142" w:type="pct"/>
          </w:tcPr>
          <w:p w:rsidR="00E15398" w:rsidRPr="00E45237" w:rsidRDefault="00E15398" w:rsidP="00086361">
            <w:pPr>
              <w:rPr>
                <w:lang w:eastAsia="en-US"/>
              </w:rPr>
            </w:pPr>
            <w:r w:rsidRPr="00E45237">
              <w:rPr>
                <w:lang w:eastAsia="en-US"/>
              </w:rPr>
              <w:t>Noteikumu projekta 2.4.apakšpunkts</w:t>
            </w:r>
          </w:p>
        </w:tc>
        <w:tc>
          <w:tcPr>
            <w:tcW w:w="532" w:type="pct"/>
          </w:tcPr>
          <w:p w:rsidR="00E15398" w:rsidRPr="00E45237" w:rsidRDefault="00E15398" w:rsidP="00021B33">
            <w:pPr>
              <w:rPr>
                <w:lang w:eastAsia="en-US"/>
              </w:rPr>
            </w:pPr>
            <w:r w:rsidRPr="00E45237">
              <w:rPr>
                <w:lang w:eastAsia="en-US"/>
              </w:rPr>
              <w:t>Ieviests pilnībā</w:t>
            </w:r>
          </w:p>
        </w:tc>
        <w:tc>
          <w:tcPr>
            <w:tcW w:w="1897" w:type="pct"/>
            <w:gridSpan w:val="2"/>
          </w:tcPr>
          <w:p w:rsidR="00E15398" w:rsidRPr="00E45237" w:rsidRDefault="00E15398" w:rsidP="00021B33">
            <w:pPr>
              <w:rPr>
                <w:lang w:eastAsia="en-US"/>
              </w:rPr>
            </w:pPr>
            <w:r w:rsidRPr="00E45237">
              <w:rPr>
                <w:lang w:eastAsia="en-US"/>
              </w:rPr>
              <w:t>Neparedz stingrākas prasības kā ES tiesību normas.</w:t>
            </w:r>
          </w:p>
        </w:tc>
      </w:tr>
      <w:tr w:rsidR="00E15398" w:rsidRPr="00D30FB2" w:rsidTr="00E15398">
        <w:tc>
          <w:tcPr>
            <w:tcW w:w="1429" w:type="pct"/>
          </w:tcPr>
          <w:p w:rsidR="00E15398" w:rsidRPr="0035236C" w:rsidRDefault="00E15398" w:rsidP="00F0537D">
            <w:pPr>
              <w:rPr>
                <w:lang w:eastAsia="en-US"/>
              </w:rPr>
            </w:pPr>
            <w:r w:rsidRPr="0035236C">
              <w:rPr>
                <w:lang w:eastAsia="en-US"/>
              </w:rPr>
              <w:t>regulas Nr. 1307/2013 4. panta 1. punkta "e" apakšpunkta prasībām</w:t>
            </w:r>
          </w:p>
        </w:tc>
        <w:tc>
          <w:tcPr>
            <w:tcW w:w="1142" w:type="pct"/>
          </w:tcPr>
          <w:p w:rsidR="00E15398" w:rsidRPr="0035236C" w:rsidRDefault="00E15398" w:rsidP="00D429E6">
            <w:pPr>
              <w:rPr>
                <w:lang w:eastAsia="en-US"/>
              </w:rPr>
            </w:pPr>
            <w:r w:rsidRPr="0035236C">
              <w:rPr>
                <w:lang w:eastAsia="en-US"/>
              </w:rPr>
              <w:t>Noteikumu projekta 5.1.apakšpunkts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Default="00E15398" w:rsidP="00A24D92">
            <w:pPr>
              <w:rPr>
                <w:lang w:eastAsia="en-US"/>
              </w:rPr>
            </w:pPr>
            <w:r w:rsidRPr="002B1C27">
              <w:rPr>
                <w:lang w:eastAsia="en-US"/>
              </w:rPr>
              <w:t>regulas Nr. 1306/2013 2. panta 2. </w:t>
            </w:r>
            <w:r>
              <w:rPr>
                <w:lang w:eastAsia="en-US"/>
              </w:rPr>
              <w:t>p</w:t>
            </w:r>
            <w:r w:rsidRPr="002B1C27">
              <w:rPr>
                <w:lang w:eastAsia="en-US"/>
              </w:rPr>
              <w:t>unkt</w:t>
            </w:r>
            <w:r>
              <w:rPr>
                <w:lang w:eastAsia="en-US"/>
              </w:rPr>
              <w:t>s un</w:t>
            </w:r>
          </w:p>
          <w:p w:rsidR="00E15398" w:rsidRPr="0035236C" w:rsidRDefault="00E15398" w:rsidP="00770A9E">
            <w:pPr>
              <w:rPr>
                <w:lang w:eastAsia="en-US"/>
              </w:rPr>
            </w:pPr>
            <w:r w:rsidRPr="002B1C27">
              <w:rPr>
                <w:lang w:eastAsia="en-US"/>
              </w:rPr>
              <w:t xml:space="preserve">regulas Nr. 640/2014 </w:t>
            </w:r>
            <w:r w:rsidRPr="002B1C27">
              <w:rPr>
                <w:lang w:eastAsia="en-US"/>
              </w:rPr>
              <w:lastRenderedPageBreak/>
              <w:t>4. panta 2</w:t>
            </w:r>
            <w:r>
              <w:rPr>
                <w:lang w:eastAsia="en-US"/>
              </w:rPr>
              <w:t>.punkts</w:t>
            </w:r>
          </w:p>
        </w:tc>
        <w:tc>
          <w:tcPr>
            <w:tcW w:w="1142" w:type="pct"/>
          </w:tcPr>
          <w:p w:rsidR="00E15398" w:rsidRPr="0035236C" w:rsidRDefault="00E15398" w:rsidP="00770A9E">
            <w:pPr>
              <w:rPr>
                <w:lang w:eastAsia="en-US"/>
              </w:rPr>
            </w:pPr>
            <w:r w:rsidRPr="0035236C">
              <w:rPr>
                <w:lang w:eastAsia="en-US"/>
              </w:rPr>
              <w:lastRenderedPageBreak/>
              <w:t>Noteikumu projekta 7.punkts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rPr>
          <w:trHeight w:val="921"/>
        </w:trPr>
        <w:tc>
          <w:tcPr>
            <w:tcW w:w="1429" w:type="pct"/>
          </w:tcPr>
          <w:p w:rsidR="00E15398" w:rsidRPr="0035236C" w:rsidRDefault="00E15398" w:rsidP="00F23FF6">
            <w:pPr>
              <w:jc w:val="both"/>
              <w:rPr>
                <w:lang w:eastAsia="en-US"/>
              </w:rPr>
            </w:pPr>
            <w:r w:rsidRPr="0035236C">
              <w:rPr>
                <w:lang w:eastAsia="en-US"/>
              </w:rPr>
              <w:lastRenderedPageBreak/>
              <w:t>regulas Nr. 1305/2013 28. panta 5. punkts un 29. panta 3. punkts</w:t>
            </w:r>
          </w:p>
        </w:tc>
        <w:tc>
          <w:tcPr>
            <w:tcW w:w="1142" w:type="pct"/>
          </w:tcPr>
          <w:p w:rsidR="00E15398" w:rsidRPr="0035236C" w:rsidRDefault="00E15398" w:rsidP="00770A9E">
            <w:pPr>
              <w:rPr>
                <w:lang w:eastAsia="en-US"/>
              </w:rPr>
            </w:pPr>
            <w:r w:rsidRPr="0035236C">
              <w:rPr>
                <w:lang w:eastAsia="en-US"/>
              </w:rPr>
              <w:t>Noteikumu projekta 8.punkts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47. panta 1. punkts</w:t>
            </w:r>
          </w:p>
        </w:tc>
        <w:tc>
          <w:tcPr>
            <w:tcW w:w="1142" w:type="pct"/>
          </w:tcPr>
          <w:p w:rsidR="00E15398" w:rsidRPr="0035236C" w:rsidRDefault="00E15398" w:rsidP="00770A9E">
            <w:pPr>
              <w:rPr>
                <w:lang w:eastAsia="en-US"/>
              </w:rPr>
            </w:pPr>
            <w:r w:rsidRPr="0035236C">
              <w:rPr>
                <w:lang w:eastAsia="en-US"/>
              </w:rPr>
              <w:t>Noteikumu projekta 12.punkts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rPr>
          <w:trHeight w:val="519"/>
        </w:trPr>
        <w:tc>
          <w:tcPr>
            <w:tcW w:w="1429" w:type="pct"/>
          </w:tcPr>
          <w:p w:rsidR="00E15398" w:rsidRPr="0035236C" w:rsidRDefault="00E15398" w:rsidP="00770A9E">
            <w:pPr>
              <w:jc w:val="both"/>
              <w:rPr>
                <w:lang w:eastAsia="en-US"/>
              </w:rPr>
            </w:pPr>
            <w:r w:rsidRPr="0035236C">
              <w:rPr>
                <w:lang w:eastAsia="en-US"/>
              </w:rPr>
              <w:t>regulas Nr. 1305/2013 47. panta 2. punkts</w:t>
            </w:r>
          </w:p>
        </w:tc>
        <w:tc>
          <w:tcPr>
            <w:tcW w:w="1142" w:type="pct"/>
          </w:tcPr>
          <w:p w:rsidR="00E15398" w:rsidRPr="0035236C" w:rsidRDefault="00E15398" w:rsidP="00770A9E">
            <w:pPr>
              <w:rPr>
                <w:lang w:eastAsia="en-US"/>
              </w:rPr>
            </w:pPr>
            <w:r w:rsidRPr="0035236C">
              <w:rPr>
                <w:lang w:eastAsia="en-US"/>
              </w:rPr>
              <w:t>Noteikumu projekta 15.punkts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28. panta 5.punkts un 29. panta 3. punkts</w:t>
            </w:r>
          </w:p>
        </w:tc>
        <w:tc>
          <w:tcPr>
            <w:tcW w:w="1142" w:type="pct"/>
          </w:tcPr>
          <w:p w:rsidR="00E15398" w:rsidRPr="0035236C" w:rsidRDefault="00E15398" w:rsidP="00770A9E">
            <w:pPr>
              <w:rPr>
                <w:lang w:eastAsia="en-US"/>
              </w:rPr>
            </w:pPr>
            <w:r w:rsidRPr="0035236C">
              <w:rPr>
                <w:lang w:eastAsia="en-US"/>
              </w:rPr>
              <w:t>Noteikumu projekta 20.punkts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48. pants</w:t>
            </w:r>
          </w:p>
        </w:tc>
        <w:tc>
          <w:tcPr>
            <w:tcW w:w="1142" w:type="pct"/>
          </w:tcPr>
          <w:p w:rsidR="00E15398" w:rsidRPr="0035236C" w:rsidRDefault="00E15398" w:rsidP="00770A9E">
            <w:pPr>
              <w:rPr>
                <w:lang w:eastAsia="en-US"/>
              </w:rPr>
            </w:pPr>
            <w:r w:rsidRPr="0035236C">
              <w:rPr>
                <w:lang w:eastAsia="en-US"/>
              </w:rPr>
              <w:t>Noteikumu projekta 21.punkts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22.un 23.punkts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jc w:val="both"/>
              <w:rPr>
                <w:lang w:eastAsia="en-US"/>
              </w:rPr>
            </w:pPr>
            <w:r w:rsidRPr="0035236C">
              <w:rPr>
                <w:lang w:eastAsia="en-US"/>
              </w:rPr>
              <w:t>regulas Nr. 807/2014. 7. panta 1. punkts</w:t>
            </w:r>
          </w:p>
        </w:tc>
        <w:tc>
          <w:tcPr>
            <w:tcW w:w="1142" w:type="pct"/>
          </w:tcPr>
          <w:p w:rsidR="00E15398" w:rsidRPr="0035236C" w:rsidRDefault="00E15398" w:rsidP="00770A9E">
            <w:pPr>
              <w:rPr>
                <w:lang w:eastAsia="en-US"/>
              </w:rPr>
            </w:pPr>
            <w:r w:rsidRPr="0035236C">
              <w:rPr>
                <w:lang w:eastAsia="en-US"/>
              </w:rPr>
              <w:t>Noteikumu projekta 26.1.1.apakšpunkts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326540">
            <w:pPr>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28.un 29.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28. panta 2. punkts</w:t>
            </w:r>
          </w:p>
        </w:tc>
        <w:tc>
          <w:tcPr>
            <w:tcW w:w="1142" w:type="pct"/>
          </w:tcPr>
          <w:p w:rsidR="00E15398" w:rsidRPr="0035236C" w:rsidRDefault="00E15398" w:rsidP="00770A9E">
            <w:pPr>
              <w:rPr>
                <w:lang w:eastAsia="en-US"/>
              </w:rPr>
            </w:pPr>
            <w:r w:rsidRPr="0035236C">
              <w:rPr>
                <w:lang w:eastAsia="en-US"/>
              </w:rPr>
              <w:t>Noteikumu projekta 33.un 34.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29. panta 1. punkts</w:t>
            </w:r>
          </w:p>
        </w:tc>
        <w:tc>
          <w:tcPr>
            <w:tcW w:w="1142" w:type="pct"/>
          </w:tcPr>
          <w:p w:rsidR="00E15398" w:rsidRPr="0035236C" w:rsidRDefault="00E15398" w:rsidP="00770A9E">
            <w:pPr>
              <w:rPr>
                <w:lang w:eastAsia="en-US"/>
              </w:rPr>
            </w:pPr>
            <w:r w:rsidRPr="0035236C">
              <w:rPr>
                <w:lang w:eastAsia="en-US"/>
              </w:rPr>
              <w:t>Noteikumu projekta 38.un 39.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E01BFE">
            <w:pPr>
              <w:rPr>
                <w:lang w:eastAsia="en-US"/>
              </w:rPr>
            </w:pPr>
            <w:r w:rsidRPr="0035236C">
              <w:rPr>
                <w:lang w:eastAsia="en-US"/>
              </w:rPr>
              <w:t>regula Nr. 834/2007</w:t>
            </w:r>
          </w:p>
        </w:tc>
        <w:tc>
          <w:tcPr>
            <w:tcW w:w="1142" w:type="pct"/>
          </w:tcPr>
          <w:p w:rsidR="00E15398" w:rsidRPr="0035236C" w:rsidRDefault="00E15398" w:rsidP="00770A9E">
            <w:pPr>
              <w:rPr>
                <w:lang w:eastAsia="en-US"/>
              </w:rPr>
            </w:pPr>
            <w:r w:rsidRPr="0035236C">
              <w:rPr>
                <w:lang w:eastAsia="en-US"/>
              </w:rPr>
              <w:t>Noteikumu projekta 40.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regulas Nr. 1305/2013 29. panta 3. punkts</w:t>
            </w:r>
          </w:p>
        </w:tc>
        <w:tc>
          <w:tcPr>
            <w:tcW w:w="1142" w:type="pct"/>
          </w:tcPr>
          <w:p w:rsidR="00E15398" w:rsidRPr="0035236C" w:rsidRDefault="00E15398" w:rsidP="00770A9E">
            <w:pPr>
              <w:rPr>
                <w:lang w:eastAsia="en-US"/>
              </w:rPr>
            </w:pPr>
            <w:r w:rsidRPr="0035236C">
              <w:rPr>
                <w:lang w:eastAsia="en-US"/>
              </w:rPr>
              <w:t>Noteikumu projekta 41.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shd w:val="clear" w:color="auto" w:fill="auto"/>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82F0B">
            <w:pPr>
              <w:rPr>
                <w:lang w:eastAsia="en-US"/>
              </w:rPr>
            </w:pPr>
            <w:r w:rsidRPr="0035236C">
              <w:rPr>
                <w:lang w:eastAsia="en-US"/>
              </w:rPr>
              <w:t xml:space="preserve">regulas Nr. 1305/2013 30. panta 6. punkta „a” un „b” apakšpunkts </w:t>
            </w:r>
          </w:p>
        </w:tc>
        <w:tc>
          <w:tcPr>
            <w:tcW w:w="1142" w:type="pct"/>
          </w:tcPr>
          <w:p w:rsidR="00E15398" w:rsidRPr="0035236C" w:rsidRDefault="00E15398" w:rsidP="00E64478">
            <w:pPr>
              <w:rPr>
                <w:lang w:eastAsia="en-US"/>
              </w:rPr>
            </w:pPr>
            <w:r w:rsidRPr="0035236C">
              <w:rPr>
                <w:lang w:eastAsia="en-US"/>
              </w:rPr>
              <w:t>Noteikumu projekta 56.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770A9E">
            <w:pPr>
              <w:rPr>
                <w:lang w:eastAsia="en-US"/>
              </w:rPr>
            </w:pPr>
            <w:r w:rsidRPr="0035236C">
              <w:rPr>
                <w:lang w:eastAsia="en-US"/>
              </w:rPr>
              <w:t>regulas Nr. 1305/2013 30. panta 2. punkts</w:t>
            </w:r>
          </w:p>
        </w:tc>
        <w:tc>
          <w:tcPr>
            <w:tcW w:w="1142" w:type="pct"/>
          </w:tcPr>
          <w:p w:rsidR="00E15398" w:rsidRPr="0035236C" w:rsidRDefault="00E15398" w:rsidP="00770A9E">
            <w:pPr>
              <w:rPr>
                <w:lang w:eastAsia="en-US"/>
              </w:rPr>
            </w:pPr>
            <w:r w:rsidRPr="0035236C">
              <w:rPr>
                <w:lang w:eastAsia="en-US"/>
              </w:rPr>
              <w:t>Noteikumu projekta 57.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E15398" w:rsidRDefault="00E15398" w:rsidP="00F77674">
            <w:pPr>
              <w:rPr>
                <w:bCs/>
              </w:rPr>
            </w:pPr>
            <w:r w:rsidRPr="00E15398">
              <w:rPr>
                <w:lang w:eastAsia="en-US"/>
              </w:rPr>
              <w:t>regulas Nr. 702/2014 2.panta 14.punkts</w:t>
            </w:r>
          </w:p>
        </w:tc>
        <w:tc>
          <w:tcPr>
            <w:tcW w:w="1142" w:type="pct"/>
          </w:tcPr>
          <w:p w:rsidR="00E15398" w:rsidRPr="00E15398" w:rsidRDefault="00E15398" w:rsidP="00F77674">
            <w:r w:rsidRPr="00E15398">
              <w:t>Noteikumu projekta 61.6.punkts</w:t>
            </w:r>
          </w:p>
        </w:tc>
        <w:tc>
          <w:tcPr>
            <w:tcW w:w="532" w:type="pct"/>
          </w:tcPr>
          <w:p w:rsidR="00E15398" w:rsidRPr="003F0B16" w:rsidRDefault="00E15398" w:rsidP="00F77674">
            <w:pPr>
              <w:rPr>
                <w:lang w:eastAsia="en-US"/>
              </w:rPr>
            </w:pPr>
            <w:r w:rsidRPr="003F0B16">
              <w:rPr>
                <w:lang w:eastAsia="en-US"/>
              </w:rPr>
              <w:t>Ieviests pilnībā</w:t>
            </w:r>
          </w:p>
        </w:tc>
        <w:tc>
          <w:tcPr>
            <w:tcW w:w="1897" w:type="pct"/>
            <w:gridSpan w:val="2"/>
          </w:tcPr>
          <w:p w:rsidR="00E15398" w:rsidRPr="003F0B16" w:rsidRDefault="00E15398" w:rsidP="00F77674">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91F22">
            <w:pPr>
              <w:rPr>
                <w:lang w:eastAsia="en-US"/>
              </w:rPr>
            </w:pPr>
            <w:r w:rsidRPr="0035236C">
              <w:rPr>
                <w:lang w:eastAsia="en-US"/>
              </w:rPr>
              <w:t>regulas Nr. 1305/2013 31. panta 1. punkts</w:t>
            </w:r>
          </w:p>
        </w:tc>
        <w:tc>
          <w:tcPr>
            <w:tcW w:w="1142" w:type="pct"/>
          </w:tcPr>
          <w:p w:rsidR="00E15398" w:rsidRPr="0035236C" w:rsidRDefault="00E15398" w:rsidP="009F6F3E">
            <w:pPr>
              <w:rPr>
                <w:lang w:eastAsia="en-US"/>
              </w:rPr>
            </w:pPr>
            <w:r w:rsidRPr="0035236C">
              <w:rPr>
                <w:lang w:eastAsia="en-US"/>
              </w:rPr>
              <w:t>Noteikumu projekta 63.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regulas Nr. 1305/2013 31. panta 2.punkts un regulas Nr. 1307/2013 9. pants</w:t>
            </w:r>
          </w:p>
        </w:tc>
        <w:tc>
          <w:tcPr>
            <w:tcW w:w="1142" w:type="pct"/>
          </w:tcPr>
          <w:p w:rsidR="00E15398" w:rsidRPr="0035236C" w:rsidRDefault="00E15398" w:rsidP="009F6F3E">
            <w:pPr>
              <w:rPr>
                <w:lang w:eastAsia="en-US"/>
              </w:rPr>
            </w:pPr>
            <w:r w:rsidRPr="0035236C">
              <w:rPr>
                <w:lang w:eastAsia="en-US"/>
              </w:rPr>
              <w:t>Noteikumu projekta 64.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 xml:space="preserve">regulas Nr. 1305/2013 32. panta 1. punkta “b” un „c” apakšpunkts </w:t>
            </w:r>
          </w:p>
        </w:tc>
        <w:tc>
          <w:tcPr>
            <w:tcW w:w="1142" w:type="pct"/>
          </w:tcPr>
          <w:p w:rsidR="00E15398" w:rsidRPr="0035236C" w:rsidRDefault="00E15398" w:rsidP="009F6F3E">
            <w:pPr>
              <w:rPr>
                <w:lang w:eastAsia="en-US"/>
              </w:rPr>
            </w:pPr>
            <w:r w:rsidRPr="0035236C">
              <w:rPr>
                <w:lang w:eastAsia="en-US"/>
              </w:rPr>
              <w:t>Noteikumu projekta 65.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regulas Nr. 1305/2013 31. panta 4. punkta pirmā daļa</w:t>
            </w:r>
          </w:p>
        </w:tc>
        <w:tc>
          <w:tcPr>
            <w:tcW w:w="1142" w:type="pct"/>
          </w:tcPr>
          <w:p w:rsidR="00E15398" w:rsidRPr="0035236C" w:rsidRDefault="00E15398" w:rsidP="006C6746">
            <w:pPr>
              <w:rPr>
                <w:lang w:eastAsia="en-US"/>
              </w:rPr>
            </w:pPr>
            <w:r w:rsidRPr="0035236C">
              <w:rPr>
                <w:lang w:eastAsia="en-US"/>
              </w:rPr>
              <w:t>Noteikumu projekta 68.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pStyle w:val="Punkts"/>
              <w:rPr>
                <w:lang w:eastAsia="en-US"/>
              </w:rPr>
            </w:pPr>
            <w:r w:rsidRPr="0035236C">
              <w:rPr>
                <w:lang w:eastAsia="en-US"/>
              </w:rPr>
              <w:t>regulas N</w:t>
            </w:r>
            <w:r w:rsidRPr="002B1C27">
              <w:rPr>
                <w:lang w:eastAsia="en-US"/>
              </w:rPr>
              <w:t>r</w:t>
            </w:r>
            <w:r>
              <w:rPr>
                <w:lang w:eastAsia="en-US"/>
              </w:rPr>
              <w:t>.1306/2013 91., 97. un 99.pants</w:t>
            </w:r>
          </w:p>
        </w:tc>
        <w:tc>
          <w:tcPr>
            <w:tcW w:w="1142" w:type="pct"/>
          </w:tcPr>
          <w:p w:rsidR="00E15398" w:rsidRPr="0035236C" w:rsidRDefault="00E15398" w:rsidP="009F6F3E">
            <w:pPr>
              <w:rPr>
                <w:lang w:eastAsia="en-US"/>
              </w:rPr>
            </w:pPr>
            <w:r w:rsidRPr="0035236C">
              <w:rPr>
                <w:lang w:eastAsia="en-US"/>
              </w:rPr>
              <w:t>Noteikumu projekta 72.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2B1C27" w:rsidRDefault="00E15398" w:rsidP="009F6F3E">
            <w:pPr>
              <w:pStyle w:val="Punkts"/>
              <w:rPr>
                <w:lang w:eastAsia="en-US"/>
              </w:rPr>
            </w:pPr>
            <w:r w:rsidRPr="002B1C27">
              <w:rPr>
                <w:lang w:eastAsia="en-US"/>
              </w:rPr>
              <w:lastRenderedPageBreak/>
              <w:t>regulas Nr. 640/2014 35. panta 1.</w:t>
            </w:r>
            <w:r>
              <w:rPr>
                <w:lang w:eastAsia="en-US"/>
              </w:rPr>
              <w:t>, 2., 3., 4. un 5.punkts</w:t>
            </w:r>
          </w:p>
          <w:p w:rsidR="00E15398" w:rsidRPr="0035236C" w:rsidRDefault="00E15398" w:rsidP="00B82F0B">
            <w:pPr>
              <w:rPr>
                <w:lang w:eastAsia="en-US"/>
              </w:rPr>
            </w:pPr>
          </w:p>
        </w:tc>
        <w:tc>
          <w:tcPr>
            <w:tcW w:w="1142" w:type="pct"/>
          </w:tcPr>
          <w:p w:rsidR="00E15398" w:rsidRPr="0035236C" w:rsidRDefault="00E15398" w:rsidP="006C6746">
            <w:pPr>
              <w:rPr>
                <w:lang w:eastAsia="en-US"/>
              </w:rPr>
            </w:pPr>
            <w:r w:rsidRPr="0035236C">
              <w:rPr>
                <w:lang w:eastAsia="en-US"/>
              </w:rPr>
              <w:t xml:space="preserve">Noteikumu projekta 73., 74.punkts un noteikumu projekta </w:t>
            </w:r>
            <w:r w:rsidRPr="002B1C27">
              <w:rPr>
                <w:lang w:eastAsia="en-US"/>
              </w:rPr>
              <w:t>8. </w:t>
            </w:r>
            <w:r>
              <w:rPr>
                <w:lang w:eastAsia="en-US"/>
              </w:rPr>
              <w:t>pielikums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BB7EDD">
            <w:pPr>
              <w:pStyle w:val="Punkts"/>
              <w:rPr>
                <w:lang w:eastAsia="en-US"/>
              </w:rPr>
            </w:pPr>
            <w:r w:rsidRPr="002B1C27">
              <w:rPr>
                <w:lang w:eastAsia="en-US"/>
              </w:rPr>
              <w:t>regulas Nr. 640/2014 35. </w:t>
            </w:r>
            <w:r>
              <w:rPr>
                <w:lang w:eastAsia="en-US"/>
              </w:rPr>
              <w:t>panta 6.punkts</w:t>
            </w:r>
          </w:p>
        </w:tc>
        <w:tc>
          <w:tcPr>
            <w:tcW w:w="1142" w:type="pct"/>
          </w:tcPr>
          <w:p w:rsidR="00E15398" w:rsidRPr="0035236C" w:rsidRDefault="00E15398" w:rsidP="009F6F3E">
            <w:pPr>
              <w:rPr>
                <w:lang w:eastAsia="en-US"/>
              </w:rPr>
            </w:pPr>
            <w:r w:rsidRPr="0035236C">
              <w:rPr>
                <w:lang w:eastAsia="en-US"/>
              </w:rPr>
              <w:t>Noteikumu projekta 75.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2B1C27">
              <w:rPr>
                <w:lang w:eastAsia="en-US"/>
              </w:rPr>
              <w:t>regul</w:t>
            </w:r>
            <w:r>
              <w:rPr>
                <w:lang w:eastAsia="en-US"/>
              </w:rPr>
              <w:t>a</w:t>
            </w:r>
            <w:r w:rsidRPr="002B1C27">
              <w:rPr>
                <w:lang w:eastAsia="en-US"/>
              </w:rPr>
              <w:t xml:space="preserve"> Nr. 1305/2013, </w:t>
            </w:r>
            <w:r>
              <w:rPr>
                <w:lang w:eastAsia="en-US"/>
              </w:rPr>
              <w:t>regula</w:t>
            </w:r>
            <w:r w:rsidRPr="002B1C27">
              <w:rPr>
                <w:lang w:eastAsia="en-US"/>
              </w:rPr>
              <w:t xml:space="preserve"> Nr. 1306/2013, regul</w:t>
            </w:r>
            <w:r>
              <w:rPr>
                <w:lang w:eastAsia="en-US"/>
              </w:rPr>
              <w:t>a</w:t>
            </w:r>
            <w:r w:rsidRPr="002B1C27">
              <w:rPr>
                <w:lang w:eastAsia="en-US"/>
              </w:rPr>
              <w:t xml:space="preserve"> Nr. 1307/2013, </w:t>
            </w:r>
            <w:r>
              <w:rPr>
                <w:lang w:eastAsia="en-US"/>
              </w:rPr>
              <w:t>regula</w:t>
            </w:r>
            <w:r w:rsidRPr="002B1C27">
              <w:rPr>
                <w:lang w:eastAsia="en-US"/>
              </w:rPr>
              <w:t xml:space="preserve"> Nr. 640/2014, regul</w:t>
            </w:r>
            <w:r>
              <w:rPr>
                <w:lang w:eastAsia="en-US"/>
              </w:rPr>
              <w:t>a</w:t>
            </w:r>
            <w:r w:rsidRPr="002B1C27">
              <w:rPr>
                <w:lang w:eastAsia="en-US"/>
              </w:rPr>
              <w:t xml:space="preserve"> Nr. 702/2014, regul</w:t>
            </w:r>
            <w:r>
              <w:rPr>
                <w:lang w:eastAsia="en-US"/>
              </w:rPr>
              <w:t>a</w:t>
            </w:r>
            <w:r w:rsidRPr="002B1C27">
              <w:rPr>
                <w:lang w:eastAsia="en-US"/>
              </w:rPr>
              <w:t xml:space="preserve"> Nr. 808/2014, regul</w:t>
            </w:r>
            <w:r>
              <w:rPr>
                <w:lang w:eastAsia="en-US"/>
              </w:rPr>
              <w:t>a</w:t>
            </w:r>
            <w:r w:rsidRPr="002B1C27">
              <w:rPr>
                <w:lang w:eastAsia="en-US"/>
              </w:rPr>
              <w:t xml:space="preserve"> Nr. 809/2014, regul</w:t>
            </w:r>
            <w:r>
              <w:rPr>
                <w:lang w:eastAsia="en-US"/>
              </w:rPr>
              <w:t>a</w:t>
            </w:r>
            <w:r w:rsidRPr="002B1C27">
              <w:rPr>
                <w:lang w:eastAsia="en-US"/>
              </w:rPr>
              <w:t xml:space="preserve"> Nr. 834/2007</w:t>
            </w:r>
          </w:p>
        </w:tc>
        <w:tc>
          <w:tcPr>
            <w:tcW w:w="1142" w:type="pct"/>
          </w:tcPr>
          <w:p w:rsidR="00E15398" w:rsidRPr="0035236C" w:rsidRDefault="00E15398" w:rsidP="009F6F3E">
            <w:pPr>
              <w:rPr>
                <w:lang w:eastAsia="en-US"/>
              </w:rPr>
            </w:pPr>
            <w:r w:rsidRPr="0035236C">
              <w:rPr>
                <w:lang w:eastAsia="en-US"/>
              </w:rPr>
              <w:t xml:space="preserve">Noteikumu projekta 76. punkts </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4F1369">
            <w:pPr>
              <w:rPr>
                <w:lang w:eastAsia="en-US"/>
              </w:rPr>
            </w:pPr>
            <w:r w:rsidRPr="0035236C">
              <w:rPr>
                <w:lang w:eastAsia="en-US"/>
              </w:rPr>
              <w:t>regulas Nr. 1306/2013 75. panta 1. un 2. punktu</w:t>
            </w:r>
          </w:p>
        </w:tc>
        <w:tc>
          <w:tcPr>
            <w:tcW w:w="1142" w:type="pct"/>
          </w:tcPr>
          <w:p w:rsidR="00E15398" w:rsidRPr="0035236C" w:rsidRDefault="00E15398" w:rsidP="009F6F3E">
            <w:pPr>
              <w:rPr>
                <w:lang w:eastAsia="en-US"/>
              </w:rPr>
            </w:pPr>
            <w:r w:rsidRPr="0035236C">
              <w:rPr>
                <w:lang w:eastAsia="en-US"/>
              </w:rPr>
              <w:t>Noteikumu projekta 77.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9F6F3E">
            <w:pPr>
              <w:rPr>
                <w:lang w:eastAsia="en-US"/>
              </w:rPr>
            </w:pPr>
            <w:r w:rsidRPr="0035236C">
              <w:rPr>
                <w:lang w:eastAsia="en-US"/>
              </w:rPr>
              <w:t>regula Nr. 809/2014</w:t>
            </w:r>
          </w:p>
        </w:tc>
        <w:tc>
          <w:tcPr>
            <w:tcW w:w="1142" w:type="pct"/>
          </w:tcPr>
          <w:p w:rsidR="00E15398" w:rsidRPr="0035236C" w:rsidRDefault="00E15398" w:rsidP="009F6F3E">
            <w:pPr>
              <w:rPr>
                <w:lang w:eastAsia="en-US"/>
              </w:rPr>
            </w:pPr>
            <w:r w:rsidRPr="0035236C">
              <w:rPr>
                <w:lang w:eastAsia="en-US"/>
              </w:rPr>
              <w:t>Noteikumu projekta 80.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35236C" w:rsidRDefault="00E15398" w:rsidP="00E6707A">
            <w:pPr>
              <w:rPr>
                <w:lang w:eastAsia="en-US"/>
              </w:rPr>
            </w:pPr>
            <w:r w:rsidRPr="0035236C">
              <w:rPr>
                <w:lang w:eastAsia="en-US"/>
              </w:rPr>
              <w:t>regula Nr. </w:t>
            </w:r>
            <w:hyperlink r:id="rId13" w:tgtFrame="_blank" w:history="1">
              <w:r w:rsidRPr="0035236C">
                <w:rPr>
                  <w:lang w:eastAsia="en-US"/>
                </w:rPr>
                <w:t>679/2011</w:t>
              </w:r>
            </w:hyperlink>
            <w:r w:rsidRPr="0035236C">
              <w:rPr>
                <w:lang w:eastAsia="en-US"/>
              </w:rPr>
              <w:t xml:space="preserve"> 1. panta 7. punkts</w:t>
            </w:r>
          </w:p>
        </w:tc>
        <w:tc>
          <w:tcPr>
            <w:tcW w:w="1142" w:type="pct"/>
          </w:tcPr>
          <w:p w:rsidR="00E15398" w:rsidRPr="0035236C" w:rsidRDefault="00E15398" w:rsidP="009F6F3E">
            <w:pPr>
              <w:rPr>
                <w:lang w:eastAsia="en-US"/>
              </w:rPr>
            </w:pPr>
            <w:r w:rsidRPr="0035236C">
              <w:rPr>
                <w:lang w:eastAsia="en-US"/>
              </w:rPr>
              <w:t>Noteikumu projekta 94. punkts</w:t>
            </w:r>
          </w:p>
        </w:tc>
        <w:tc>
          <w:tcPr>
            <w:tcW w:w="532" w:type="pct"/>
          </w:tcPr>
          <w:p w:rsidR="00E15398" w:rsidRPr="003F0B16" w:rsidRDefault="00E15398" w:rsidP="00D429E6">
            <w:pPr>
              <w:rPr>
                <w:lang w:eastAsia="en-US"/>
              </w:rPr>
            </w:pPr>
            <w:r w:rsidRPr="003F0B16">
              <w:rPr>
                <w:lang w:eastAsia="en-US"/>
              </w:rPr>
              <w:t>Ieviests pilnībā</w:t>
            </w:r>
          </w:p>
        </w:tc>
        <w:tc>
          <w:tcPr>
            <w:tcW w:w="1897" w:type="pct"/>
            <w:gridSpan w:val="2"/>
          </w:tcPr>
          <w:p w:rsidR="00E15398" w:rsidRPr="003F0B16" w:rsidRDefault="00E15398" w:rsidP="00D429E6">
            <w:pPr>
              <w:rPr>
                <w:lang w:eastAsia="en-US"/>
              </w:rPr>
            </w:pPr>
            <w:r w:rsidRPr="003F0B16">
              <w:rPr>
                <w:lang w:eastAsia="en-US"/>
              </w:rPr>
              <w:t>Neparedz stingrākas prasības kā ES tiesību normas.</w:t>
            </w:r>
          </w:p>
        </w:tc>
      </w:tr>
      <w:tr w:rsidR="00E15398" w:rsidRPr="00D30FB2" w:rsidTr="00E15398">
        <w:tc>
          <w:tcPr>
            <w:tcW w:w="1429" w:type="pct"/>
          </w:tcPr>
          <w:p w:rsidR="00E15398" w:rsidRPr="006C6746" w:rsidRDefault="00E15398" w:rsidP="0006144E">
            <w:pPr>
              <w:rPr>
                <w:lang w:eastAsia="en-US"/>
              </w:rPr>
            </w:pPr>
            <w:r>
              <w:rPr>
                <w:lang w:eastAsia="en-US"/>
              </w:rPr>
              <w:t>r</w:t>
            </w:r>
            <w:r w:rsidRPr="009F472F">
              <w:rPr>
                <w:lang w:eastAsia="en-US"/>
              </w:rPr>
              <w:t xml:space="preserve">egula </w:t>
            </w:r>
            <w:r w:rsidRPr="00DD0CF7">
              <w:rPr>
                <w:lang w:eastAsia="en-US"/>
              </w:rPr>
              <w:t>Nr.</w:t>
            </w:r>
            <w:hyperlink r:id="rId14" w:tgtFrame="_blank" w:history="1">
              <w:r w:rsidRPr="00DD0CF7">
                <w:rPr>
                  <w:lang w:eastAsia="en-US"/>
                </w:rPr>
                <w:t>679/2011</w:t>
              </w:r>
            </w:hyperlink>
          </w:p>
        </w:tc>
        <w:tc>
          <w:tcPr>
            <w:tcW w:w="1142" w:type="pct"/>
          </w:tcPr>
          <w:p w:rsidR="00E15398" w:rsidRPr="006C6746" w:rsidRDefault="00E15398" w:rsidP="00DD0CF7">
            <w:pPr>
              <w:rPr>
                <w:lang w:eastAsia="en-US"/>
              </w:rPr>
            </w:pPr>
            <w:r w:rsidRPr="006C6746">
              <w:rPr>
                <w:lang w:eastAsia="en-US"/>
              </w:rPr>
              <w:t xml:space="preserve">Noteikumu projekta </w:t>
            </w:r>
            <w:r>
              <w:rPr>
                <w:lang w:eastAsia="en-US"/>
              </w:rPr>
              <w:t>94</w:t>
            </w:r>
            <w:r w:rsidRPr="006C6746">
              <w:rPr>
                <w:lang w:eastAsia="en-US"/>
              </w:rPr>
              <w:t>.punkts</w:t>
            </w:r>
          </w:p>
        </w:tc>
        <w:tc>
          <w:tcPr>
            <w:tcW w:w="532" w:type="pct"/>
          </w:tcPr>
          <w:p w:rsidR="00E15398" w:rsidRPr="003F0B16" w:rsidRDefault="00E15398" w:rsidP="00E45237">
            <w:pPr>
              <w:rPr>
                <w:lang w:eastAsia="en-US"/>
              </w:rPr>
            </w:pPr>
            <w:r w:rsidRPr="003F0B16">
              <w:rPr>
                <w:lang w:eastAsia="en-US"/>
              </w:rPr>
              <w:t>Ieviests pilnībā</w:t>
            </w:r>
          </w:p>
        </w:tc>
        <w:tc>
          <w:tcPr>
            <w:tcW w:w="1897" w:type="pct"/>
            <w:gridSpan w:val="2"/>
          </w:tcPr>
          <w:p w:rsidR="00E15398" w:rsidRPr="003F0B16" w:rsidRDefault="00E15398" w:rsidP="00E45237">
            <w:pPr>
              <w:rPr>
                <w:lang w:eastAsia="en-US"/>
              </w:rPr>
            </w:pPr>
            <w:r w:rsidRPr="003F0B16">
              <w:rPr>
                <w:lang w:eastAsia="en-US"/>
              </w:rPr>
              <w:t>Neparedz stingrākas prasības kā ES tiesību normas.</w:t>
            </w:r>
          </w:p>
        </w:tc>
      </w:tr>
      <w:tr w:rsidR="00E15398" w:rsidRPr="00D30FB2" w:rsidTr="00F23FF6">
        <w:tc>
          <w:tcPr>
            <w:tcW w:w="1429" w:type="pct"/>
          </w:tcPr>
          <w:p w:rsidR="00E15398" w:rsidRPr="00391FC6" w:rsidRDefault="00E15398" w:rsidP="00727B86">
            <w:r w:rsidRPr="00391FC6">
              <w:t>Kā ir izmantota ES tiesību aktā paredzētā rīcības brīvība dalībvalstij pārņemt vai ieviest noteiktas ES tiesību akta normas?</w:t>
            </w:r>
            <w:r w:rsidRPr="00391FC6">
              <w:br/>
              <w:t>Kādēļ?</w:t>
            </w:r>
          </w:p>
        </w:tc>
        <w:tc>
          <w:tcPr>
            <w:tcW w:w="3571" w:type="pct"/>
            <w:gridSpan w:val="4"/>
            <w:shd w:val="clear" w:color="auto" w:fill="auto"/>
          </w:tcPr>
          <w:p w:rsidR="00E15398" w:rsidRPr="00391FC6" w:rsidRDefault="00E15398" w:rsidP="00A93AE4">
            <w:pPr>
              <w:pStyle w:val="Pamattekstsaratkpi"/>
              <w:widowControl w:val="0"/>
              <w:spacing w:after="0"/>
              <w:ind w:left="0"/>
              <w:jc w:val="both"/>
              <w:rPr>
                <w:lang w:val="lv-LV"/>
              </w:rPr>
            </w:pPr>
            <w:r w:rsidRPr="00391FC6">
              <w:rPr>
                <w:lang w:val="lv-LV"/>
              </w:rPr>
              <w:t>Regulas Nr. 1305/2013 28.panta 2.punkta pirmajā teikumā ir ietverta iespēja dalībvalstīm noteikt savu izvēli par to kā definēt, kas ir lauksaimniecības zeme, attiecībā uz lauksaimniecības platību, - saistībā ar agrovides un klimata maksā</w:t>
            </w:r>
            <w:r w:rsidRPr="00391FC6">
              <w:rPr>
                <w:lang w:val="lv-LV"/>
              </w:rPr>
              <w:softHyphen/>
              <w:t>jumu mērķu sasniegšanu. Šī izvēle tiek noteikta noteikumu projekta 2</w:t>
            </w:r>
            <w:r>
              <w:rPr>
                <w:lang w:val="lv-LV"/>
              </w:rPr>
              <w:t>2</w:t>
            </w:r>
            <w:r w:rsidRPr="00391FC6">
              <w:rPr>
                <w:lang w:val="lv-LV"/>
              </w:rPr>
              <w:t>.</w:t>
            </w:r>
            <w:r>
              <w:rPr>
                <w:lang w:val="lv-LV"/>
              </w:rPr>
              <w:t xml:space="preserve"> </w:t>
            </w:r>
            <w:r w:rsidRPr="00391FC6">
              <w:rPr>
                <w:lang w:val="lv-LV"/>
              </w:rPr>
              <w:t>un</w:t>
            </w:r>
            <w:r>
              <w:rPr>
                <w:lang w:val="lv-LV"/>
              </w:rPr>
              <w:t xml:space="preserve"> 28</w:t>
            </w:r>
            <w:r w:rsidRPr="00391FC6">
              <w:rPr>
                <w:lang w:val="lv-LV"/>
              </w:rPr>
              <w:t>.punktā.</w:t>
            </w:r>
          </w:p>
          <w:p w:rsidR="00E15398" w:rsidRPr="00172056" w:rsidRDefault="00E15398" w:rsidP="00391FC6">
            <w:pPr>
              <w:pStyle w:val="Pamattekstsaratkpi"/>
              <w:widowControl w:val="0"/>
              <w:spacing w:after="0"/>
              <w:ind w:left="0"/>
              <w:jc w:val="both"/>
              <w:rPr>
                <w:bCs/>
                <w:lang w:val="lv-LV"/>
              </w:rPr>
            </w:pPr>
            <w:r w:rsidRPr="00391FC6">
              <w:rPr>
                <w:lang w:val="lv-LV"/>
              </w:rPr>
              <w:t>Regulas Nr. 1305/2013 28.panta 2.punkta otrajā teikumā ir ietverta iespēja dalībvalstīm noteikt savu izvēli par to kas ir atbalsttiesīgās personas, - saistībā ar agrovides un klimata maksā</w:t>
            </w:r>
            <w:r w:rsidRPr="00391FC6">
              <w:rPr>
                <w:lang w:val="lv-LV"/>
              </w:rPr>
              <w:softHyphen/>
              <w:t>jumu mērķu. Šī izvēle tiek noteikta noteikumu projekta 2</w:t>
            </w:r>
            <w:r>
              <w:rPr>
                <w:lang w:val="lv-LV"/>
              </w:rPr>
              <w:t>2</w:t>
            </w:r>
            <w:r w:rsidRPr="00391FC6">
              <w:rPr>
                <w:lang w:val="lv-LV"/>
              </w:rPr>
              <w:t>.punktā.</w:t>
            </w:r>
          </w:p>
          <w:p w:rsidR="00E15398" w:rsidRPr="00391FC6" w:rsidRDefault="00E15398" w:rsidP="007E7805">
            <w:pPr>
              <w:pStyle w:val="Pamattekstsaratkpi"/>
              <w:widowControl w:val="0"/>
              <w:spacing w:after="0"/>
              <w:ind w:left="0"/>
              <w:jc w:val="both"/>
              <w:rPr>
                <w:lang w:val="lv-LV"/>
              </w:rPr>
            </w:pPr>
            <w:r w:rsidRPr="00172056">
              <w:rPr>
                <w:bCs/>
                <w:lang w:val="lv-LV"/>
              </w:rPr>
              <w:t>Regulas Nr. 808/2014 9.pants</w:t>
            </w:r>
            <w:r w:rsidRPr="00172056">
              <w:rPr>
                <w:lang w:val="lv-LV"/>
              </w:rPr>
              <w:t xml:space="preserve"> paredz, ka dalībvalstis var aprēķināt Regulas (ES) Nr. 1305/2013 29.pantā noteiktos maksājumus arī citās mērvienībās, kā norādīts šīs regulas 2.pielikumā. </w:t>
            </w:r>
            <w:r w:rsidRPr="00391FC6">
              <w:rPr>
                <w:lang w:val="lv-LV"/>
              </w:rPr>
              <w:t xml:space="preserve">Šī izvēle tiek noteikta noteikumu projekta </w:t>
            </w:r>
            <w:r>
              <w:rPr>
                <w:lang w:val="lv-LV"/>
              </w:rPr>
              <w:t>52</w:t>
            </w:r>
            <w:r w:rsidRPr="00172056">
              <w:rPr>
                <w:lang w:val="lv-LV"/>
              </w:rPr>
              <w:t>.punktā.</w:t>
            </w:r>
          </w:p>
        </w:tc>
      </w:tr>
      <w:tr w:rsidR="00E15398" w:rsidRPr="00D30FB2" w:rsidTr="00F23FF6">
        <w:tc>
          <w:tcPr>
            <w:tcW w:w="1429" w:type="pct"/>
          </w:tcPr>
          <w:p w:rsidR="00E15398" w:rsidRPr="00A26902" w:rsidRDefault="00E15398" w:rsidP="00727B86">
            <w:r w:rsidRPr="00A2690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1" w:type="pct"/>
            <w:gridSpan w:val="4"/>
          </w:tcPr>
          <w:p w:rsidR="00E15398" w:rsidRPr="00A26902" w:rsidRDefault="00E15398" w:rsidP="00A70143">
            <w:pPr>
              <w:jc w:val="both"/>
              <w:rPr>
                <w:lang w:eastAsia="en-US"/>
              </w:rPr>
            </w:pPr>
            <w:r w:rsidRPr="00A26902">
              <w:t xml:space="preserve">Saskaņā ar </w:t>
            </w:r>
            <w:r w:rsidRPr="00A26902">
              <w:rPr>
                <w:lang w:eastAsia="en-US"/>
              </w:rPr>
              <w:t>regulas Nr. 702/2014 36.pantu un 9.panta 1.punktu t</w:t>
            </w:r>
            <w:r w:rsidRPr="00A26902">
              <w:t xml:space="preserve">iks sniegta kopsavilkuma informācija ES institūcijām par šo noteikumu projekta 2.3.apakšpunktā minētās atbalsta aktivitātes „Kompensācijas maksājums par </w:t>
            </w:r>
            <w:r w:rsidRPr="00A26902">
              <w:rPr>
                <w:i/>
              </w:rPr>
              <w:t>Natura 2000</w:t>
            </w:r>
            <w:r w:rsidRPr="00A26902">
              <w:t xml:space="preserve"> meža teritorijām”.</w:t>
            </w:r>
          </w:p>
          <w:p w:rsidR="00E15398" w:rsidRPr="00A26902" w:rsidRDefault="00E15398" w:rsidP="00A70143">
            <w:pPr>
              <w:rPr>
                <w:sz w:val="28"/>
                <w:lang w:eastAsia="en-US"/>
              </w:rPr>
            </w:pPr>
          </w:p>
          <w:p w:rsidR="00E15398" w:rsidRPr="00A26902" w:rsidRDefault="00E15398" w:rsidP="00727B86"/>
          <w:p w:rsidR="00E15398" w:rsidRPr="00A26902" w:rsidRDefault="00E15398" w:rsidP="00727B86"/>
          <w:p w:rsidR="00E15398" w:rsidRPr="00A26902" w:rsidRDefault="00E15398" w:rsidP="00727B86"/>
        </w:tc>
      </w:tr>
      <w:tr w:rsidR="00E15398" w:rsidRPr="00D30FB2" w:rsidTr="00F23FF6">
        <w:tc>
          <w:tcPr>
            <w:tcW w:w="1429" w:type="pct"/>
          </w:tcPr>
          <w:p w:rsidR="00E15398" w:rsidRPr="00D30FB2" w:rsidRDefault="00E15398" w:rsidP="00727B86">
            <w:r w:rsidRPr="00D30FB2">
              <w:t>Cita informācija</w:t>
            </w:r>
          </w:p>
        </w:tc>
        <w:tc>
          <w:tcPr>
            <w:tcW w:w="3571" w:type="pct"/>
            <w:gridSpan w:val="4"/>
          </w:tcPr>
          <w:p w:rsidR="00E15398" w:rsidRPr="00D30FB2" w:rsidRDefault="00E15398" w:rsidP="00727B86">
            <w:r w:rsidRPr="00D30FB2">
              <w:t>Nav</w:t>
            </w:r>
          </w:p>
        </w:tc>
      </w:tr>
      <w:tr w:rsidR="00E15398" w:rsidRPr="00D30FB2" w:rsidTr="007D2EF8">
        <w:tc>
          <w:tcPr>
            <w:tcW w:w="5000" w:type="pct"/>
            <w:gridSpan w:val="5"/>
          </w:tcPr>
          <w:p w:rsidR="00E15398" w:rsidRPr="00D30FB2" w:rsidRDefault="00E15398" w:rsidP="00727B86">
            <w:pPr>
              <w:rPr>
                <w:b/>
                <w:bCs/>
              </w:rPr>
            </w:pPr>
            <w:r w:rsidRPr="00D30FB2">
              <w:rPr>
                <w:b/>
                <w:bCs/>
              </w:rPr>
              <w:lastRenderedPageBreak/>
              <w:t>2.tabula</w:t>
            </w:r>
            <w:r w:rsidRPr="00D30FB2">
              <w:rPr>
                <w:b/>
                <w:bCs/>
              </w:rPr>
              <w:br/>
              <w:t>Ar tiesību akta projektu izpildītās vai uzņemtās saistības, kas izriet no starptautiskajiem tiesību aktiem vai starptautiskas institūcijas vai organizācijas dokumentiem.</w:t>
            </w:r>
            <w:r w:rsidRPr="00D30FB2">
              <w:rPr>
                <w:b/>
                <w:bCs/>
              </w:rPr>
              <w:br/>
              <w:t>Pasākumi šo saistību izpildei</w:t>
            </w:r>
          </w:p>
        </w:tc>
      </w:tr>
      <w:tr w:rsidR="00E15398" w:rsidRPr="00D30FB2" w:rsidTr="00F23FF6">
        <w:tc>
          <w:tcPr>
            <w:tcW w:w="1429" w:type="pct"/>
          </w:tcPr>
          <w:p w:rsidR="00E15398" w:rsidRPr="00D30FB2" w:rsidRDefault="00E15398" w:rsidP="00727B86">
            <w:r w:rsidRPr="00D30FB2">
              <w:t>Attiecīgā starptautiskā tiesību akta vai starptautiskas institūcijas vai organizācijas dokumenta (turpmāk – starptautiskais dokuments) datums, numurs un nosaukums</w:t>
            </w:r>
          </w:p>
        </w:tc>
        <w:tc>
          <w:tcPr>
            <w:tcW w:w="3571" w:type="pct"/>
            <w:gridSpan w:val="4"/>
          </w:tcPr>
          <w:p w:rsidR="00E15398" w:rsidRPr="00D30FB2" w:rsidRDefault="00E15398" w:rsidP="00727B86">
            <w:r w:rsidRPr="00D30FB2">
              <w:t>Nav</w:t>
            </w:r>
          </w:p>
        </w:tc>
      </w:tr>
      <w:tr w:rsidR="00E15398" w:rsidRPr="00D30FB2" w:rsidTr="00E15398">
        <w:tc>
          <w:tcPr>
            <w:tcW w:w="1429" w:type="pct"/>
          </w:tcPr>
          <w:p w:rsidR="00E15398" w:rsidRPr="00D30FB2" w:rsidRDefault="00E15398" w:rsidP="00727B86">
            <w:r w:rsidRPr="00D30FB2">
              <w:t>A</w:t>
            </w:r>
          </w:p>
        </w:tc>
        <w:tc>
          <w:tcPr>
            <w:tcW w:w="1830" w:type="pct"/>
            <w:gridSpan w:val="3"/>
          </w:tcPr>
          <w:p w:rsidR="00E15398" w:rsidRPr="00D30FB2" w:rsidRDefault="00E15398" w:rsidP="00727B86">
            <w:r w:rsidRPr="00D30FB2">
              <w:t>B</w:t>
            </w:r>
          </w:p>
        </w:tc>
        <w:tc>
          <w:tcPr>
            <w:tcW w:w="1741" w:type="pct"/>
          </w:tcPr>
          <w:p w:rsidR="00E15398" w:rsidRPr="00D30FB2" w:rsidRDefault="00E15398" w:rsidP="00727B86">
            <w:r w:rsidRPr="00D30FB2">
              <w:t>C</w:t>
            </w:r>
          </w:p>
        </w:tc>
      </w:tr>
      <w:tr w:rsidR="00E15398" w:rsidRPr="00D30FB2" w:rsidTr="00E15398">
        <w:tc>
          <w:tcPr>
            <w:tcW w:w="1429" w:type="pct"/>
          </w:tcPr>
          <w:p w:rsidR="00E15398" w:rsidRPr="00D30FB2" w:rsidRDefault="00E15398" w:rsidP="00727B86">
            <w:r w:rsidRPr="00D30FB2">
              <w:t>-</w:t>
            </w:r>
          </w:p>
        </w:tc>
        <w:tc>
          <w:tcPr>
            <w:tcW w:w="1830" w:type="pct"/>
            <w:gridSpan w:val="3"/>
          </w:tcPr>
          <w:p w:rsidR="00E15398" w:rsidRPr="00D30FB2" w:rsidRDefault="00E15398" w:rsidP="00727B86">
            <w:r w:rsidRPr="00D30FB2">
              <w:t>-</w:t>
            </w:r>
          </w:p>
        </w:tc>
        <w:tc>
          <w:tcPr>
            <w:tcW w:w="1741" w:type="pct"/>
          </w:tcPr>
          <w:p w:rsidR="00E15398" w:rsidRPr="00D30FB2" w:rsidRDefault="00E15398" w:rsidP="00727B86">
            <w:r w:rsidRPr="00D30FB2">
              <w:t>-</w:t>
            </w:r>
          </w:p>
        </w:tc>
      </w:tr>
      <w:tr w:rsidR="00E15398" w:rsidRPr="00D30FB2" w:rsidTr="00E15398">
        <w:tc>
          <w:tcPr>
            <w:tcW w:w="1429" w:type="pct"/>
          </w:tcPr>
          <w:p w:rsidR="00E15398" w:rsidRPr="00D30FB2" w:rsidRDefault="00E15398" w:rsidP="00727B86"/>
        </w:tc>
        <w:tc>
          <w:tcPr>
            <w:tcW w:w="1830" w:type="pct"/>
            <w:gridSpan w:val="3"/>
          </w:tcPr>
          <w:p w:rsidR="00E15398" w:rsidRPr="00D30FB2" w:rsidRDefault="00E15398" w:rsidP="00727B86"/>
        </w:tc>
        <w:tc>
          <w:tcPr>
            <w:tcW w:w="1741" w:type="pct"/>
          </w:tcPr>
          <w:p w:rsidR="00E15398" w:rsidRPr="00D30FB2" w:rsidRDefault="00E15398" w:rsidP="00727B86"/>
        </w:tc>
      </w:tr>
      <w:tr w:rsidR="00E15398" w:rsidRPr="00D30FB2" w:rsidTr="00F23FF6">
        <w:tc>
          <w:tcPr>
            <w:tcW w:w="1429" w:type="pct"/>
          </w:tcPr>
          <w:p w:rsidR="00E15398" w:rsidRPr="00D30FB2" w:rsidRDefault="00E15398" w:rsidP="00727B86">
            <w:r w:rsidRPr="00D30FB2">
              <w:t>Vai starptautiskajā dokumentā paredzētās saistības nav pretrunā ar jau esošajām Latvijas Republikas starptautiskajām saistībām</w:t>
            </w:r>
          </w:p>
        </w:tc>
        <w:tc>
          <w:tcPr>
            <w:tcW w:w="3571" w:type="pct"/>
            <w:gridSpan w:val="4"/>
          </w:tcPr>
          <w:p w:rsidR="00E15398" w:rsidRPr="00D30FB2" w:rsidRDefault="00E15398" w:rsidP="00727B86">
            <w:r w:rsidRPr="00D30FB2">
              <w:t>Projekts šo jomu neskar</w:t>
            </w:r>
          </w:p>
        </w:tc>
      </w:tr>
      <w:tr w:rsidR="00E15398" w:rsidRPr="00D30FB2" w:rsidTr="00F23FF6">
        <w:tc>
          <w:tcPr>
            <w:tcW w:w="1429" w:type="pct"/>
          </w:tcPr>
          <w:p w:rsidR="00E15398" w:rsidRPr="00D30FB2" w:rsidRDefault="00E15398" w:rsidP="00727B86">
            <w:r w:rsidRPr="00D30FB2">
              <w:t>Cita informācija</w:t>
            </w:r>
          </w:p>
        </w:tc>
        <w:tc>
          <w:tcPr>
            <w:tcW w:w="3571" w:type="pct"/>
            <w:gridSpan w:val="4"/>
          </w:tcPr>
          <w:p w:rsidR="00E15398" w:rsidRPr="00D30FB2" w:rsidRDefault="00E15398" w:rsidP="00727B86">
            <w:r w:rsidRPr="00D30FB2">
              <w:t>Nav</w:t>
            </w:r>
          </w:p>
        </w:tc>
      </w:tr>
    </w:tbl>
    <w:p w:rsidR="00943E4E" w:rsidRPr="00D30FB2" w:rsidRDefault="00943E4E" w:rsidP="00943E4E">
      <w:r w:rsidRPr="00D30FB2">
        <w:t> </w:t>
      </w:r>
    </w:p>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2034"/>
        <w:gridCol w:w="7000"/>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8D4EEA" w:rsidRPr="00D30FB2" w:rsidRDefault="008D4EEA" w:rsidP="008D4EEA">
            <w:pPr>
              <w:jc w:val="both"/>
            </w:pPr>
            <w:r w:rsidRPr="000078D3">
              <w:t>Lauksaimnieku organizācijas, lauksaimnieki un</w:t>
            </w:r>
            <w:r>
              <w:t xml:space="preserve"> mežu īpašnieki </w:t>
            </w:r>
            <w:r w:rsidRPr="00D30FB2">
              <w:t xml:space="preserve">tika plaši informēta par KLP reformas paredzamajiem pasākumiem </w:t>
            </w:r>
            <w:r>
              <w:t>lauku attīstības jomā</w:t>
            </w:r>
            <w:r w:rsidRPr="00D30FB2">
              <w:t xml:space="preserve"> </w:t>
            </w:r>
            <w:r w:rsidRPr="000078D3">
              <w:rPr>
                <w:bCs/>
              </w:rPr>
              <w:t xml:space="preserve">jau gatavojot Latvijas pozīciju par KLP reformas nosacījumiem, kā arī pēc </w:t>
            </w:r>
            <w:r w:rsidRPr="00D30FB2">
              <w:rPr>
                <w:bCs/>
              </w:rPr>
              <w:t>regulas Nr.</w:t>
            </w:r>
            <w:r w:rsidRPr="000078D3">
              <w:rPr>
                <w:bCs/>
              </w:rPr>
              <w:t xml:space="preserve">1305/2013; Nr.1306/2013 un </w:t>
            </w:r>
            <w:r w:rsidRPr="00D30FB2">
              <w:rPr>
                <w:bCs/>
              </w:rPr>
              <w:t>Nr.</w:t>
            </w:r>
            <w:r w:rsidRPr="000078D3">
              <w:rPr>
                <w:bCs/>
              </w:rPr>
              <w:t xml:space="preserve">1307/2013 pieņemšanas, veidojot konkrētus priekšlikumus lauku attīstības platībatkarīgo atbalstu pasākumu </w:t>
            </w:r>
            <w:r w:rsidR="005C64B5">
              <w:rPr>
                <w:bCs/>
              </w:rPr>
              <w:t xml:space="preserve">ieviešanai Latvijā no 2015.gada tai skaitā izstrādājot </w:t>
            </w:r>
            <w:r w:rsidR="005C64B5" w:rsidRPr="005F2CAC">
              <w:t>Lauku attīstības programm</w:t>
            </w:r>
            <w:r w:rsidR="005C64B5">
              <w:t>u</w:t>
            </w:r>
            <w:r w:rsidR="005C64B5" w:rsidRPr="005F2CAC">
              <w:t xml:space="preserve"> 2014.-2020.</w:t>
            </w:r>
            <w:r w:rsidR="005C64B5">
              <w:t>g</w:t>
            </w:r>
            <w:r w:rsidR="005C64B5" w:rsidRPr="005F2CAC">
              <w:t>adam</w:t>
            </w:r>
            <w:r w:rsidR="005C64B5">
              <w:t>.</w:t>
            </w:r>
          </w:p>
          <w:p w:rsidR="008D4EEA" w:rsidRPr="00D30FB2" w:rsidRDefault="008D4EEA" w:rsidP="008D4EEA">
            <w:pPr>
              <w:jc w:val="both"/>
            </w:pPr>
            <w:r w:rsidRPr="00D30FB2">
              <w:t>Gatavojot Noteikumu projektu, tika organizēta</w:t>
            </w:r>
            <w:r>
              <w:t>s</w:t>
            </w:r>
            <w:r w:rsidRPr="00D30FB2">
              <w:t xml:space="preserve"> </w:t>
            </w:r>
            <w:r>
              <w:t>vairākas sanāksmes un darba grupas</w:t>
            </w:r>
            <w:r w:rsidRPr="00D30FB2">
              <w:t>, kurā plaši tika pārstāvētas lauksaimnieku organizācijas, dabas aizsardzības organizācijas, nozaru eksperti un citi interesenti, kuru laikā sīki tika diskutētas regulās paredzētās dalībvalstu izvēles</w:t>
            </w:r>
            <w:r w:rsidR="005C64B5">
              <w:t>, aktivitāšu</w:t>
            </w:r>
            <w:r w:rsidRPr="00D30FB2">
              <w:t xml:space="preserve"> ieviešanas un iespējamie atbalsta piešķiršanas nosacījumi.</w:t>
            </w:r>
          </w:p>
          <w:p w:rsidR="00080C6F" w:rsidRPr="00D30FB2" w:rsidRDefault="001307C8" w:rsidP="001676A0">
            <w:pPr>
              <w:jc w:val="both"/>
            </w:pPr>
            <w:r w:rsidRPr="00D30FB2">
              <w:t xml:space="preserve">Tāpat </w:t>
            </w:r>
            <w:r w:rsidR="007E5E0A" w:rsidRPr="00D30FB2">
              <w:t>2014. gada vasarā Zemkopības ministrija</w:t>
            </w:r>
            <w:r w:rsidRPr="00D30FB2">
              <w:t xml:space="preserve"> </w:t>
            </w:r>
            <w:r w:rsidR="00D24251" w:rsidRPr="00D30FB2">
              <w:t>o</w:t>
            </w:r>
            <w:r w:rsidR="007E5E0A" w:rsidRPr="00D30FB2">
              <w:t>rganiz</w:t>
            </w:r>
            <w:r w:rsidR="00D24251" w:rsidRPr="00D30FB2">
              <w:t>ēj</w:t>
            </w:r>
            <w:r w:rsidRPr="00D30FB2">
              <w:t>a</w:t>
            </w:r>
            <w:r w:rsidR="007E5E0A" w:rsidRPr="00D30FB2">
              <w:t xml:space="preserve"> Reģionālas konferences lauksaimniekiem par aktualitātēm </w:t>
            </w:r>
            <w:r w:rsidR="00D24251" w:rsidRPr="00D30FB2">
              <w:t>nozarē, k</w:t>
            </w:r>
            <w:r w:rsidR="007E5E0A" w:rsidRPr="00D30FB2">
              <w:t xml:space="preserve">ur </w:t>
            </w:r>
            <w:r w:rsidR="005C64B5">
              <w:t>s</w:t>
            </w:r>
            <w:r w:rsidR="007E5E0A" w:rsidRPr="005C64B5">
              <w:t>abiedrība tika informēta par gaid</w:t>
            </w:r>
            <w:r w:rsidR="00D24251" w:rsidRPr="005C64B5">
              <w:t>āmaj</w:t>
            </w:r>
            <w:r w:rsidR="007E5E0A" w:rsidRPr="005C64B5">
              <w:t xml:space="preserve">iem </w:t>
            </w:r>
            <w:r w:rsidR="005C64B5" w:rsidRPr="005C64B5">
              <w:rPr>
                <w:bCs/>
              </w:rPr>
              <w:t>lauku attīstības platībatkarīgo atbalst</w:t>
            </w:r>
            <w:r w:rsidR="005C64B5">
              <w:rPr>
                <w:bCs/>
              </w:rPr>
              <w:t>a</w:t>
            </w:r>
            <w:r w:rsidR="007E5E0A" w:rsidRPr="00D30FB2">
              <w:t xml:space="preserve"> maksājumu nosacījumiem</w:t>
            </w:r>
            <w:r w:rsidRPr="00D30FB2">
              <w:t>.</w:t>
            </w:r>
          </w:p>
          <w:p w:rsidR="004367C7" w:rsidRPr="00D30FB2" w:rsidRDefault="004367C7" w:rsidP="001676A0">
            <w:pPr>
              <w:jc w:val="both"/>
            </w:pPr>
            <w:r w:rsidRPr="00D30FB2">
              <w:t xml:space="preserve">Zemkopības ministrijas pārstāvji </w:t>
            </w:r>
            <w:r w:rsidR="001307C8" w:rsidRPr="00D30FB2">
              <w:t xml:space="preserve">arī </w:t>
            </w:r>
            <w:r w:rsidRPr="00D30FB2">
              <w:t>ir piedalījušies vairākos citos lauksaimnieku organizāciju, atsevišķu pašvaldību rīkotos pasākumos, informatīvos pasākumos konsultantiem, kuros tika sniegta</w:t>
            </w:r>
            <w:r w:rsidR="000E3C59" w:rsidRPr="00D30FB2">
              <w:t xml:space="preserve">s prezentācijas ar </w:t>
            </w:r>
            <w:r w:rsidRPr="00D30FB2">
              <w:t>informācij</w:t>
            </w:r>
            <w:r w:rsidR="000E3C59" w:rsidRPr="00D30FB2">
              <w:t>u</w:t>
            </w:r>
            <w:r w:rsidRPr="00D30FB2">
              <w:t xml:space="preserve"> par </w:t>
            </w:r>
            <w:r w:rsidR="000E3C59" w:rsidRPr="00D30FB2">
              <w:t xml:space="preserve">sagaidāmajiem nosacījumiem un </w:t>
            </w:r>
            <w:r w:rsidRPr="00D30FB2">
              <w:t>projekta būtību.</w:t>
            </w:r>
          </w:p>
          <w:p w:rsidR="004C6825" w:rsidRPr="00D30FB2" w:rsidRDefault="001307C8" w:rsidP="005C64B5">
            <w:pPr>
              <w:jc w:val="both"/>
            </w:pPr>
            <w:r w:rsidRPr="00D30FB2">
              <w:t>Turklāt</w:t>
            </w:r>
            <w:r w:rsidR="005C64B5">
              <w:t xml:space="preserve"> 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5C64B5">
              <w:t>ir</w:t>
            </w:r>
            <w:r w:rsidR="005C64B5" w:rsidRPr="00ED766F">
              <w:t xml:space="preserve"> ievietota tīmekļa vie</w:t>
            </w:r>
            <w:r w:rsidR="005C64B5" w:rsidRPr="00FB2D8B">
              <w:t>tnē www.</w:t>
            </w:r>
            <w:smartTag w:uri="urn:schemas-microsoft-com:office:smarttags" w:element="PersonName">
              <w:r w:rsidR="005C64B5" w:rsidRPr="00FB2D8B">
                <w:t>zm</w:t>
              </w:r>
            </w:smartTag>
            <w:r w:rsidR="005C64B5" w:rsidRPr="00FB2D8B">
              <w:t>.gov.lv.</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lastRenderedPageBreak/>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072232" w:rsidRPr="00D30FB2" w:rsidRDefault="00693DBB" w:rsidP="001676A0">
            <w:pPr>
              <w:jc w:val="both"/>
            </w:pPr>
            <w:r w:rsidRPr="00D30FB2">
              <w:t>Noteikumu projekt</w:t>
            </w:r>
            <w:r w:rsidR="002102BB" w:rsidRPr="00D30FB2">
              <w:t xml:space="preserve">a sagatavošanas procesā </w:t>
            </w:r>
            <w:r w:rsidRPr="00D30FB2">
              <w:t xml:space="preserve">ir notikušas </w:t>
            </w:r>
            <w:r w:rsidR="002102BB" w:rsidRPr="00D30FB2">
              <w:t>k</w:t>
            </w:r>
            <w:r w:rsidR="001001E4" w:rsidRPr="00D30FB2">
              <w:t>o</w:t>
            </w:r>
            <w:r w:rsidR="00072232" w:rsidRPr="00D30FB2">
              <w:t>nsultācijas</w:t>
            </w:r>
            <w:r w:rsidR="001001E4" w:rsidRPr="00D30FB2">
              <w:t xml:space="preserve"> un </w:t>
            </w:r>
            <w:r w:rsidR="002102BB" w:rsidRPr="00D30FB2">
              <w:t xml:space="preserve">plašas </w:t>
            </w:r>
            <w:r w:rsidR="001001E4" w:rsidRPr="00D30FB2">
              <w:t xml:space="preserve">diskusijas par jauno </w:t>
            </w:r>
            <w:r w:rsidR="005C64B5" w:rsidRPr="005C64B5">
              <w:rPr>
                <w:bCs/>
              </w:rPr>
              <w:t>lauku attīstības platībatkarīgo atbalst</w:t>
            </w:r>
            <w:r w:rsidR="005C64B5">
              <w:rPr>
                <w:bCs/>
              </w:rPr>
              <w:t>a</w:t>
            </w:r>
            <w:r w:rsidR="005C64B5" w:rsidRPr="00D30FB2">
              <w:t xml:space="preserve"> maksājumu</w:t>
            </w:r>
            <w:r w:rsidR="005C64B5">
              <w:t xml:space="preserve"> pasākumiem</w:t>
            </w:r>
            <w:r w:rsidR="001001E4" w:rsidRPr="00D30FB2">
              <w:t xml:space="preserve"> un atbalsta piešķiršanas nosacījumiem</w:t>
            </w:r>
            <w:r w:rsidR="00072232" w:rsidRPr="00D30FB2">
              <w:t xml:space="preserve"> ar pārstāvjiem no Lauksaimnieku organizāciju sadarbības padomes, Zemnieku saeimas, citām nozaru lauksaimnieku organizācijām, dabas aizsardzības organizācijām, nozaru ekspertiem, zinātniekiem, pētniekiem un konsultantiem.</w:t>
            </w:r>
          </w:p>
          <w:p w:rsidR="004C6825" w:rsidRPr="00D30FB2" w:rsidRDefault="004C6825" w:rsidP="00E664D9">
            <w:pPr>
              <w:jc w:val="both"/>
            </w:pPr>
            <w:r w:rsidRPr="00D30FB2">
              <w:t>Pēc publicēšanas Zemkopības ministrijas mājas</w:t>
            </w:r>
            <w:r w:rsidR="00E664D9">
              <w:t xml:space="preserve"> </w:t>
            </w:r>
            <w:r w:rsidRPr="00D30FB2">
              <w:t>lapā ikvienam</w:t>
            </w:r>
            <w:r w:rsidR="002102BB" w:rsidRPr="00D30FB2">
              <w:t xml:space="preserve"> sabiedrības pārstāvim</w:t>
            </w:r>
            <w:r w:rsidRPr="00D30FB2">
              <w:t xml:space="preserve"> ir iespēja sniegt viedokli, iebildumus un priekšlikumus par izstrādāto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9F626B" w:rsidRPr="00D30FB2" w:rsidRDefault="00E664D9" w:rsidP="001676A0">
            <w:pPr>
              <w:jc w:val="both"/>
            </w:pPr>
            <w:r>
              <w:t xml:space="preserve">Kopumā </w:t>
            </w:r>
            <w:r w:rsidR="008E079D" w:rsidRPr="00D30FB2">
              <w:t xml:space="preserve">organizācijas atbalsta noteikumu projektu, </w:t>
            </w:r>
            <w:r w:rsidR="002102BB" w:rsidRPr="00D30FB2">
              <w:t xml:space="preserve">tomēr </w:t>
            </w:r>
            <w:r w:rsidR="008E079D" w:rsidRPr="00D30FB2">
              <w:t>par atsevišķiem</w:t>
            </w:r>
            <w:r w:rsidR="002102BB" w:rsidRPr="00D30FB2">
              <w:t xml:space="preserve"> </w:t>
            </w:r>
            <w:r w:rsidRPr="005C64B5">
              <w:rPr>
                <w:bCs/>
              </w:rPr>
              <w:t>lauku attīstības platībatkarīgo atbalst</w:t>
            </w:r>
            <w:r>
              <w:rPr>
                <w:bCs/>
              </w:rPr>
              <w:t>a</w:t>
            </w:r>
            <w:r w:rsidRPr="00D30FB2">
              <w:t xml:space="preserve"> maksājumu </w:t>
            </w:r>
            <w:r w:rsidR="00CC1A38" w:rsidRPr="00D30FB2">
              <w:t xml:space="preserve"> </w:t>
            </w:r>
            <w:r w:rsidR="002102BB" w:rsidRPr="00D30FB2">
              <w:t xml:space="preserve">piešķiršanas </w:t>
            </w:r>
            <w:r w:rsidR="008E079D" w:rsidRPr="00D30FB2">
              <w:t>nosacījumiem ir notikušas visai plašas diskusijas, kuru rezultātā panāktais kompromiss ir iekļauts noteikumu projektā.</w:t>
            </w:r>
          </w:p>
          <w:p w:rsidR="00A24D92" w:rsidRPr="00D30FB2" w:rsidRDefault="00A24D92" w:rsidP="00E664D9">
            <w:pPr>
              <w:jc w:val="both"/>
              <w:rPr>
                <w:lang w:eastAsia="en-US"/>
              </w:rPr>
            </w:pPr>
            <w:r w:rsidRPr="00D30FB2">
              <w:rPr>
                <w:lang w:eastAsia="en-US"/>
              </w:rPr>
              <w:t xml:space="preserve">Zemkopības ministrijas </w:t>
            </w:r>
            <w:r w:rsidR="00E664D9">
              <w:rPr>
                <w:lang w:eastAsia="en-US"/>
              </w:rPr>
              <w:t>n</w:t>
            </w:r>
            <w:r w:rsidRPr="00D30FB2">
              <w:rPr>
                <w:lang w:eastAsia="en-US"/>
              </w:rPr>
              <w:t>oteikumu projekta izstrādes laikā konsultējās ar Lauku atbalsta dienestu, Valsts augu aizsardzības atbalsta dienestu, Lauksaimniecības datu centru, Pārtikas un veterināro dienestu, Lauksaimnieku organizācijas sadarbības padomi, Zemnieku Saeimu, Lauksaimnieku Statūtsabiedrību asociāciju, Latvijas Zemnieku federāciju, Lauksaimnieku apvienību, Latvijas Jauno zemnieku klubu, Latvijas lauku konsultāciju un izglītības centru, Latvijas Bioloģiskās lauksaimniecības asociāciju u</w:t>
            </w:r>
            <w:r w:rsidR="00E664D9">
              <w:rPr>
                <w:lang w:eastAsia="en-US"/>
              </w:rPr>
              <w:t xml:space="preserve">n Latvijas augļkopju asociāciju, kā arī </w:t>
            </w:r>
          </w:p>
          <w:p w:rsidR="00A24D92" w:rsidRPr="00D30FB2" w:rsidRDefault="00E664D9" w:rsidP="001676A0">
            <w:pPr>
              <w:jc w:val="both"/>
              <w:rPr>
                <w:lang w:eastAsia="en-US"/>
              </w:rPr>
            </w:pPr>
            <w:r w:rsidRPr="006D0A21">
              <w:rPr>
                <w:lang w:eastAsia="en-US"/>
              </w:rPr>
              <w:t>Valsts SIA "Serti</w:t>
            </w:r>
            <w:r>
              <w:rPr>
                <w:lang w:eastAsia="en-US"/>
              </w:rPr>
              <w:t>fikācijas un testēšanas centrs" un</w:t>
            </w:r>
            <w:r w:rsidRPr="006D0A21">
              <w:rPr>
                <w:lang w:eastAsia="en-US"/>
              </w:rPr>
              <w:t xml:space="preserve"> </w:t>
            </w:r>
            <w:r>
              <w:rPr>
                <w:lang w:eastAsia="en-US"/>
              </w:rPr>
              <w:t>BIEDRĪBAS „Vides kvalitāte” SERTIFIKĀCIJAS INSTITŪCIJA „VIDES KVALITĀTE”.</w:t>
            </w:r>
          </w:p>
          <w:p w:rsidR="00A24D92" w:rsidRPr="00D30FB2" w:rsidRDefault="00A24D92" w:rsidP="00E664D9">
            <w:pPr>
              <w:jc w:val="both"/>
            </w:pPr>
            <w:r w:rsidRPr="00D30FB2">
              <w:rPr>
                <w:lang w:eastAsia="en-US"/>
              </w:rPr>
              <w:t xml:space="preserve">Zemkopības ministrijas rīkotājās Lauksaimnieku nevalstisko organizāciju konsultatīvajās padomēs ar Lauksaimnieku organizācijas sadarbības padomes, Zemnieku Saeimas, Latvijas Lauksaimniecības kooperatīvu asociācijas, Lauksaimnieku Statūtsabiedrību asociācijas, Latvijas Zemnieku federācijas, Lauksaimnieku apvienības, Latvijas Jauno zemnieku kluba, Latvijas Bioloģiskās lauksaimniecības asociācijas un Latvijas augļkopju asociācijas pārstāvjiem tika pieņemti lēmumi par svarīgākajiem </w:t>
            </w:r>
            <w:r w:rsidR="00E664D9" w:rsidRPr="005C64B5">
              <w:rPr>
                <w:bCs/>
              </w:rPr>
              <w:t>lauku attīstības platībatkarīgo atbalst</w:t>
            </w:r>
            <w:r w:rsidR="00E664D9">
              <w:rPr>
                <w:bCs/>
              </w:rPr>
              <w:t>a</w:t>
            </w:r>
            <w:r w:rsidR="00E664D9" w:rsidRPr="00D30FB2">
              <w:t xml:space="preserve"> maksājumu  </w:t>
            </w:r>
            <w:r w:rsidR="00E664D9">
              <w:t>j</w:t>
            </w:r>
            <w:r w:rsidRPr="00D30FB2">
              <w:rPr>
                <w:lang w:eastAsia="en-US"/>
              </w:rPr>
              <w:t>autājumiem.</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3416"/>
        <w:gridCol w:w="5724"/>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1772F8">
            <w:pPr>
              <w:jc w:val="both"/>
              <w:rPr>
                <w:lang w:eastAsia="en-US"/>
              </w:rPr>
            </w:pPr>
            <w:r w:rsidRPr="00D30FB2">
              <w:rPr>
                <w:lang w:eastAsia="en-US"/>
              </w:rPr>
              <w:t>LAD,</w:t>
            </w:r>
            <w:r>
              <w:rPr>
                <w:lang w:eastAsia="en-US"/>
              </w:rPr>
              <w:t xml:space="preserve"> Valsts meža dienests, Dabas aizsardzības pārvalde, </w:t>
            </w:r>
            <w:r w:rsidR="004C259C" w:rsidRPr="00D30FB2">
              <w:rPr>
                <w:lang w:eastAsia="en-US"/>
              </w:rPr>
              <w:t xml:space="preserve">Valsts augu aizsardzības </w:t>
            </w:r>
            <w:r w:rsidR="009117F4" w:rsidRPr="00D30FB2">
              <w:rPr>
                <w:lang w:eastAsia="en-US"/>
              </w:rPr>
              <w:t>dienests</w:t>
            </w:r>
            <w:r w:rsidR="00A24D92" w:rsidRPr="00D30FB2">
              <w:rPr>
                <w:lang w:eastAsia="en-US"/>
              </w:rPr>
              <w:t xml:space="preserve">, </w:t>
            </w:r>
            <w:r w:rsidR="00836B74" w:rsidRPr="00D30FB2">
              <w:rPr>
                <w:lang w:eastAsia="en-US"/>
              </w:rPr>
              <w:t xml:space="preserve">Lauksaimniecības datu centrs, </w:t>
            </w:r>
            <w:r w:rsidR="00836B74" w:rsidRPr="001772F8">
              <w:rPr>
                <w:lang w:eastAsia="en-US"/>
              </w:rPr>
              <w:t>Pār</w:t>
            </w:r>
            <w:r w:rsidR="00885E9A" w:rsidRPr="001772F8">
              <w:rPr>
                <w:lang w:eastAsia="en-US"/>
              </w:rPr>
              <w:t>tikas un veterinārais dienests</w:t>
            </w:r>
            <w:r>
              <w:rPr>
                <w:lang w:eastAsia="en-US"/>
              </w:rPr>
              <w:t xml:space="preserve">, </w:t>
            </w:r>
            <w:r w:rsidRPr="006D0A21">
              <w:rPr>
                <w:lang w:eastAsia="en-US"/>
              </w:rPr>
              <w:t>Valsts SIA "Serti</w:t>
            </w:r>
            <w:r>
              <w:rPr>
                <w:lang w:eastAsia="en-US"/>
              </w:rPr>
              <w:t>fikācijas un testēšanas centrs" un</w:t>
            </w:r>
            <w:r w:rsidRPr="006D0A21">
              <w:rPr>
                <w:lang w:eastAsia="en-US"/>
              </w:rPr>
              <w:t xml:space="preserve"> </w:t>
            </w:r>
            <w:r>
              <w:rPr>
                <w:lang w:eastAsia="en-US"/>
              </w:rPr>
              <w:t>BIEDRĪBAS „Vides kvalitāte” SERTIFIKĀCIJAS INSTITŪCIJA „VIDES KVALITĀTE”.</w:t>
            </w:r>
          </w:p>
        </w:tc>
      </w:tr>
      <w:tr w:rsidR="009117F4" w:rsidRPr="00D30FB2" w:rsidTr="00FE7CA0">
        <w:trPr>
          <w:trHeight w:val="450"/>
        </w:trPr>
        <w:tc>
          <w:tcPr>
            <w:tcW w:w="393" w:type="pct"/>
          </w:tcPr>
          <w:p w:rsidR="009117F4" w:rsidRPr="00D30FB2" w:rsidRDefault="009117F4" w:rsidP="00E06138">
            <w:r w:rsidRPr="00D30FB2">
              <w:t>2.</w:t>
            </w:r>
          </w:p>
        </w:tc>
        <w:tc>
          <w:tcPr>
            <w:tcW w:w="1722" w:type="pct"/>
          </w:tcPr>
          <w:p w:rsidR="009117F4" w:rsidRPr="00D30FB2" w:rsidRDefault="009117F4" w:rsidP="00E06138">
            <w:r w:rsidRPr="00D30FB2">
              <w:t xml:space="preserve">Projekta izpildes ietekme uz pārvaldes funkcijām un institucionālo struktūru. Jaunu institūciju izveide, esošu institūciju likvidācija vai reorganizācija, to ietekme uz </w:t>
            </w:r>
            <w:r w:rsidRPr="00D30FB2">
              <w:lastRenderedPageBreak/>
              <w:t>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lastRenderedPageBreak/>
              <w:t>Projekts šo jomu neskar</w:t>
            </w:r>
            <w:r w:rsidR="00885E9A" w:rsidRPr="00D30FB2">
              <w:rPr>
                <w:lang w:eastAsia="en-US"/>
              </w:rPr>
              <w:t xml:space="preserve">. </w:t>
            </w:r>
            <w:r w:rsidR="00885E9A" w:rsidRPr="00D30FB2">
              <w:t>Jaunas institūcijas netiks izveidotas un esošās institūcijas netiks likvidētas vai 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lastRenderedPageBreak/>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C30B54" w:rsidRDefault="00C30B54" w:rsidP="009C2D35">
      <w:pPr>
        <w:ind w:right="-284"/>
        <w:jc w:val="both"/>
        <w:rPr>
          <w:sz w:val="28"/>
          <w:szCs w:val="28"/>
          <w:lang w:eastAsia="en-US"/>
        </w:rPr>
      </w:pPr>
    </w:p>
    <w:p w:rsidR="00C30B54" w:rsidRDefault="00C30B54" w:rsidP="009C2D35">
      <w:pPr>
        <w:ind w:right="-284"/>
        <w:jc w:val="both"/>
        <w:rPr>
          <w:sz w:val="28"/>
          <w:szCs w:val="28"/>
          <w:lang w:eastAsia="en-US"/>
        </w:rPr>
      </w:pPr>
    </w:p>
    <w:p w:rsidR="009117F4" w:rsidRPr="00945B51" w:rsidRDefault="009117F4" w:rsidP="009C2D35">
      <w:pPr>
        <w:ind w:right="-284"/>
        <w:jc w:val="both"/>
        <w:rPr>
          <w:lang w:eastAsia="en-US"/>
        </w:rPr>
      </w:pPr>
      <w:r w:rsidRPr="00945B51">
        <w:rPr>
          <w:lang w:eastAsia="en-US"/>
        </w:rPr>
        <w:t xml:space="preserve">Zemkopības ministrs </w:t>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009C2D35" w:rsidRPr="00945B51">
        <w:rPr>
          <w:lang w:eastAsia="en-US"/>
        </w:rPr>
        <w:t xml:space="preserve"> </w:t>
      </w:r>
      <w:r w:rsidRPr="00945B51">
        <w:rPr>
          <w:lang w:eastAsia="en-US"/>
        </w:rPr>
        <w:t>J.Dūklavs</w:t>
      </w:r>
    </w:p>
    <w:p w:rsidR="004976B3" w:rsidRDefault="004976B3" w:rsidP="00232AA2">
      <w:pPr>
        <w:jc w:val="both"/>
        <w:rPr>
          <w:sz w:val="20"/>
          <w:szCs w:val="20"/>
          <w:lang w:eastAsia="en-US"/>
        </w:rPr>
      </w:pPr>
      <w:bookmarkStart w:id="2" w:name="OLE_LINK5"/>
      <w:bookmarkStart w:id="3" w:name="OLE_LINK6"/>
    </w:p>
    <w:p w:rsidR="00C30B54" w:rsidRDefault="00C30B54"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bookmarkStart w:id="4" w:name="_GoBack"/>
      <w:bookmarkEnd w:id="4"/>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Default="00945B51" w:rsidP="00232AA2">
      <w:pPr>
        <w:jc w:val="both"/>
        <w:rPr>
          <w:sz w:val="20"/>
          <w:szCs w:val="20"/>
          <w:lang w:eastAsia="en-US"/>
        </w:rPr>
      </w:pPr>
    </w:p>
    <w:p w:rsidR="00945B51" w:rsidRPr="00D30FB2" w:rsidRDefault="00945B51" w:rsidP="00232AA2">
      <w:pPr>
        <w:jc w:val="both"/>
        <w:rPr>
          <w:sz w:val="20"/>
          <w:szCs w:val="20"/>
          <w:lang w:eastAsia="en-US"/>
        </w:rPr>
      </w:pPr>
    </w:p>
    <w:bookmarkEnd w:id="2"/>
    <w:bookmarkEnd w:id="3"/>
    <w:p w:rsidR="00945B51" w:rsidRDefault="00945B51" w:rsidP="00AD04FA">
      <w:pPr>
        <w:rPr>
          <w:sz w:val="20"/>
          <w:szCs w:val="20"/>
        </w:rPr>
      </w:pPr>
      <w:r>
        <w:rPr>
          <w:sz w:val="20"/>
          <w:szCs w:val="20"/>
        </w:rPr>
        <w:t>31.03.2015. 15:23</w:t>
      </w:r>
    </w:p>
    <w:p w:rsidR="00945B51" w:rsidRPr="00945B51" w:rsidRDefault="00945B51" w:rsidP="00AD04FA">
      <w:pPr>
        <w:rPr>
          <w:sz w:val="20"/>
          <w:szCs w:val="20"/>
        </w:rPr>
      </w:pPr>
      <w:r w:rsidRPr="00945B51">
        <w:rPr>
          <w:sz w:val="20"/>
          <w:szCs w:val="20"/>
        </w:rPr>
        <w:fldChar w:fldCharType="begin"/>
      </w:r>
      <w:r w:rsidRPr="00945B51">
        <w:rPr>
          <w:sz w:val="20"/>
          <w:szCs w:val="20"/>
        </w:rPr>
        <w:instrText xml:space="preserve"> NUMWORDS   \* MERGEFORMAT </w:instrText>
      </w:r>
      <w:r w:rsidRPr="00945B51">
        <w:rPr>
          <w:sz w:val="20"/>
          <w:szCs w:val="20"/>
        </w:rPr>
        <w:fldChar w:fldCharType="separate"/>
      </w:r>
      <w:r w:rsidRPr="00945B51">
        <w:rPr>
          <w:noProof/>
          <w:sz w:val="20"/>
          <w:szCs w:val="20"/>
        </w:rPr>
        <w:t>3572</w:t>
      </w:r>
      <w:r w:rsidRPr="00945B51">
        <w:rPr>
          <w:sz w:val="20"/>
          <w:szCs w:val="20"/>
        </w:rPr>
        <w:fldChar w:fldCharType="end"/>
      </w:r>
    </w:p>
    <w:p w:rsidR="00AD04FA" w:rsidRPr="00D30FB2" w:rsidRDefault="00F36064" w:rsidP="00AD04FA">
      <w:pPr>
        <w:rPr>
          <w:sz w:val="20"/>
          <w:szCs w:val="20"/>
        </w:rPr>
      </w:pPr>
      <w:r>
        <w:rPr>
          <w:sz w:val="20"/>
          <w:szCs w:val="20"/>
        </w:rPr>
        <w:t>Bāra</w:t>
      </w:r>
    </w:p>
    <w:p w:rsidR="009117F4" w:rsidRPr="00CF6AF3" w:rsidRDefault="00AD04FA" w:rsidP="00AD04FA">
      <w:pPr>
        <w:jc w:val="both"/>
        <w:rPr>
          <w:lang w:eastAsia="en-US"/>
        </w:rPr>
      </w:pPr>
      <w:r w:rsidRPr="00D30FB2">
        <w:rPr>
          <w:sz w:val="20"/>
          <w:szCs w:val="20"/>
        </w:rPr>
        <w:t>670273</w:t>
      </w:r>
      <w:r w:rsidR="00F36064">
        <w:rPr>
          <w:sz w:val="20"/>
          <w:szCs w:val="20"/>
        </w:rPr>
        <w:t>98</w:t>
      </w:r>
      <w:r w:rsidRPr="00D30FB2">
        <w:rPr>
          <w:sz w:val="20"/>
          <w:szCs w:val="20"/>
        </w:rPr>
        <w:t xml:space="preserve">, </w:t>
      </w:r>
      <w:r w:rsidR="00F36064">
        <w:rPr>
          <w:sz w:val="20"/>
          <w:szCs w:val="20"/>
        </w:rPr>
        <w:t>Gunta.Bara</w:t>
      </w:r>
      <w:r w:rsidRPr="00D30FB2">
        <w:rPr>
          <w:sz w:val="20"/>
          <w:szCs w:val="20"/>
        </w:rPr>
        <w:t>@zm.gov.lv</w:t>
      </w:r>
    </w:p>
    <w:sectPr w:rsidR="009117F4" w:rsidRPr="00CF6AF3" w:rsidSect="00945B51">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98" w:rsidRDefault="003A6498"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3A6498" w:rsidRDefault="003A6498"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74" w:rsidRPr="00F85AEC" w:rsidRDefault="00945B51" w:rsidP="00B96AD4">
    <w:pPr>
      <w:pStyle w:val="Kjene"/>
      <w:jc w:val="both"/>
      <w:rPr>
        <w:rFonts w:ascii="Times New Roman" w:hAnsi="Times New Roman"/>
      </w:rPr>
    </w:pPr>
    <w:r>
      <w:fldChar w:fldCharType="begin"/>
    </w:r>
    <w:r>
      <w:instrText xml:space="preserve"> FILENAME   \* MERGEFORMAT </w:instrText>
    </w:r>
    <w:r>
      <w:fldChar w:fldCharType="separate"/>
    </w:r>
    <w:r w:rsidR="00F77674">
      <w:rPr>
        <w:rFonts w:ascii="Times New Roman" w:hAnsi="Times New Roman"/>
        <w:sz w:val="20"/>
      </w:rPr>
      <w:t>ZMAnot_</w:t>
    </w:r>
    <w:r w:rsidR="005C083B">
      <w:rPr>
        <w:rFonts w:ascii="Times New Roman" w:hAnsi="Times New Roman"/>
        <w:sz w:val="20"/>
      </w:rPr>
      <w:t>31</w:t>
    </w:r>
    <w:r w:rsidR="00F77674" w:rsidRPr="00F85AEC">
      <w:rPr>
        <w:rFonts w:ascii="Times New Roman" w:hAnsi="Times New Roman"/>
        <w:sz w:val="20"/>
      </w:rPr>
      <w:t>0</w:t>
    </w:r>
    <w:r w:rsidR="00F77674">
      <w:rPr>
        <w:rFonts w:ascii="Times New Roman" w:hAnsi="Times New Roman"/>
        <w:sz w:val="20"/>
      </w:rPr>
      <w:t>3</w:t>
    </w:r>
    <w:r w:rsidR="00F77674" w:rsidRPr="00F85AEC">
      <w:rPr>
        <w:rFonts w:ascii="Times New Roman" w:hAnsi="Times New Roman"/>
        <w:sz w:val="20"/>
      </w:rPr>
      <w:t>15</w:t>
    </w:r>
    <w:r>
      <w:rPr>
        <w:rFonts w:ascii="Times New Roman" w:hAnsi="Times New Roman"/>
        <w:sz w:val="20"/>
      </w:rPr>
      <w:fldChar w:fldCharType="end"/>
    </w:r>
    <w:r w:rsidR="00F77674">
      <w:rPr>
        <w:rFonts w:ascii="Times New Roman" w:hAnsi="Times New Roman"/>
        <w:sz w:val="20"/>
      </w:rPr>
      <w:t>_Laukaina</w:t>
    </w:r>
    <w:r w:rsidR="00F77674" w:rsidRPr="006B42E1">
      <w:rPr>
        <w:rFonts w:ascii="Times New Roman" w:hAnsi="Times New Roman"/>
        <w:sz w:val="20"/>
      </w:rPr>
      <w:t xml:space="preserve">; </w:t>
    </w:r>
    <w:r w:rsidR="00F77674" w:rsidRPr="008C331E">
      <w:rPr>
        <w:rFonts w:ascii="Times New Roman" w:hAnsi="Times New Roman"/>
        <w:sz w:val="20"/>
      </w:rPr>
      <w:t>Ministru kabineta noteikumi „</w:t>
    </w:r>
    <w:r w:rsidR="00F77674" w:rsidRPr="00F85AEC">
      <w:rPr>
        <w:rFonts w:ascii="Times New Roman" w:hAnsi="Times New Roman"/>
        <w:sz w:val="20"/>
      </w:rPr>
      <w:t xml:space="preserve">Noteikumi par valsts un Eiropas Savienības atbalsta piešķiršanu, administrēšanu un uzraudzību </w:t>
    </w:r>
    <w:r w:rsidR="00F77674" w:rsidRPr="00F85AEC">
      <w:rPr>
        <w:rFonts w:ascii="Times New Roman" w:hAnsi="Times New Roman"/>
        <w:bCs/>
        <w:sz w:val="20"/>
      </w:rPr>
      <w:t xml:space="preserve">vides, klimata un lauku ainavas uzlabošanai </w:t>
    </w:r>
    <w:r w:rsidR="00F77674" w:rsidRPr="00F85AEC">
      <w:rPr>
        <w:rFonts w:ascii="Times New Roman" w:hAnsi="Times New Roman"/>
        <w:sz w:val="20"/>
      </w:rPr>
      <w:t>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51" w:rsidRPr="00F85AEC" w:rsidRDefault="00945B51" w:rsidP="00945B51">
    <w:pPr>
      <w:pStyle w:val="Kjene"/>
      <w:jc w:val="both"/>
      <w:rPr>
        <w:rFonts w:ascii="Times New Roman" w:hAnsi="Times New Roman"/>
      </w:rPr>
    </w:pPr>
    <w:r>
      <w:fldChar w:fldCharType="begin"/>
    </w:r>
    <w:r>
      <w:instrText xml:space="preserve"> FILENAME   \* MERGEFORMAT </w:instrText>
    </w:r>
    <w:r>
      <w:fldChar w:fldCharType="separate"/>
    </w:r>
    <w:r>
      <w:rPr>
        <w:rFonts w:ascii="Times New Roman" w:hAnsi="Times New Roman"/>
        <w:sz w:val="20"/>
      </w:rPr>
      <w:t>ZMAnot_31</w:t>
    </w:r>
    <w:r w:rsidRPr="00F85AEC">
      <w:rPr>
        <w:rFonts w:ascii="Times New Roman" w:hAnsi="Times New Roman"/>
        <w:sz w:val="20"/>
      </w:rPr>
      <w:t>0</w:t>
    </w:r>
    <w:r>
      <w:rPr>
        <w:rFonts w:ascii="Times New Roman" w:hAnsi="Times New Roman"/>
        <w:sz w:val="20"/>
      </w:rPr>
      <w:t>3</w:t>
    </w:r>
    <w:r w:rsidRPr="00F85AEC">
      <w:rPr>
        <w:rFonts w:ascii="Times New Roman" w:hAnsi="Times New Roman"/>
        <w:sz w:val="20"/>
      </w:rPr>
      <w:t>15</w:t>
    </w:r>
    <w:r>
      <w:rPr>
        <w:rFonts w:ascii="Times New Roman" w:hAnsi="Times New Roman"/>
        <w:sz w:val="20"/>
      </w:rPr>
      <w:fldChar w:fldCharType="end"/>
    </w:r>
    <w:r>
      <w:rPr>
        <w:rFonts w:ascii="Times New Roman" w:hAnsi="Times New Roman"/>
        <w:sz w:val="20"/>
      </w:rPr>
      <w:t>_Laukaina</w:t>
    </w:r>
    <w:r w:rsidRPr="006B42E1">
      <w:rPr>
        <w:rFonts w:ascii="Times New Roman" w:hAnsi="Times New Roman"/>
        <w:sz w:val="20"/>
      </w:rPr>
      <w:t xml:space="preserve">; </w:t>
    </w:r>
    <w:r w:rsidRPr="008C331E">
      <w:rPr>
        <w:rFonts w:ascii="Times New Roman" w:hAnsi="Times New Roman"/>
        <w:sz w:val="20"/>
      </w:rPr>
      <w:t>Ministru kabineta noteikumi „</w:t>
    </w:r>
    <w:r w:rsidRPr="00F85AEC">
      <w:rPr>
        <w:rFonts w:ascii="Times New Roman" w:hAnsi="Times New Roman"/>
        <w:sz w:val="20"/>
      </w:rPr>
      <w:t xml:space="preserve">Noteikumi par valsts un Eiropas Savienības atbalsta piešķiršanu, administrēšanu un uzraudzību </w:t>
    </w:r>
    <w:r w:rsidRPr="00F85AEC">
      <w:rPr>
        <w:rFonts w:ascii="Times New Roman" w:hAnsi="Times New Roman"/>
        <w:bCs/>
        <w:sz w:val="20"/>
      </w:rPr>
      <w:t xml:space="preserve">vides, klimata un lauku ainavas uzlabošanai </w:t>
    </w:r>
    <w:r w:rsidRPr="00F85AEC">
      <w:rPr>
        <w:rFonts w:ascii="Times New Roman" w:hAnsi="Times New Roman"/>
        <w:sz w:val="20"/>
      </w:rPr>
      <w:t>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98" w:rsidRDefault="003A6498"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3A6498" w:rsidRDefault="003A6498"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74" w:rsidRPr="006B42E1" w:rsidRDefault="00F77674"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945B51">
      <w:rPr>
        <w:rFonts w:ascii="Times New Roman" w:hAnsi="Times New Roman"/>
        <w:noProof/>
        <w:sz w:val="24"/>
        <w:szCs w:val="24"/>
      </w:rPr>
      <w:t>11</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2">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12"/>
  </w:num>
  <w:num w:numId="11">
    <w:abstractNumId w:val="13"/>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1"/>
    <w:rsid w:val="00010363"/>
    <w:rsid w:val="000135B1"/>
    <w:rsid w:val="000141C1"/>
    <w:rsid w:val="00021B33"/>
    <w:rsid w:val="00025686"/>
    <w:rsid w:val="00032CCB"/>
    <w:rsid w:val="00033E73"/>
    <w:rsid w:val="000440CD"/>
    <w:rsid w:val="000450F6"/>
    <w:rsid w:val="000454C9"/>
    <w:rsid w:val="00045DC4"/>
    <w:rsid w:val="000504C9"/>
    <w:rsid w:val="00050B22"/>
    <w:rsid w:val="000527E3"/>
    <w:rsid w:val="00054B66"/>
    <w:rsid w:val="00056BFD"/>
    <w:rsid w:val="0006144E"/>
    <w:rsid w:val="00063D28"/>
    <w:rsid w:val="00064782"/>
    <w:rsid w:val="00065414"/>
    <w:rsid w:val="00072232"/>
    <w:rsid w:val="00072919"/>
    <w:rsid w:val="000752E9"/>
    <w:rsid w:val="00075969"/>
    <w:rsid w:val="000801E3"/>
    <w:rsid w:val="00080C6F"/>
    <w:rsid w:val="00081B49"/>
    <w:rsid w:val="000861D8"/>
    <w:rsid w:val="00086361"/>
    <w:rsid w:val="00087088"/>
    <w:rsid w:val="00091CE8"/>
    <w:rsid w:val="00091E42"/>
    <w:rsid w:val="00095F9A"/>
    <w:rsid w:val="000A5E3C"/>
    <w:rsid w:val="000B16CA"/>
    <w:rsid w:val="000B2414"/>
    <w:rsid w:val="000B53DF"/>
    <w:rsid w:val="000B698E"/>
    <w:rsid w:val="000C0408"/>
    <w:rsid w:val="000C0DAB"/>
    <w:rsid w:val="000C13C1"/>
    <w:rsid w:val="000C1D81"/>
    <w:rsid w:val="000C283D"/>
    <w:rsid w:val="000C3027"/>
    <w:rsid w:val="000C3050"/>
    <w:rsid w:val="000C57DA"/>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5B9E"/>
    <w:rsid w:val="001166CE"/>
    <w:rsid w:val="00117452"/>
    <w:rsid w:val="001175B7"/>
    <w:rsid w:val="001179D3"/>
    <w:rsid w:val="0012012A"/>
    <w:rsid w:val="00122123"/>
    <w:rsid w:val="001221B8"/>
    <w:rsid w:val="00124391"/>
    <w:rsid w:val="001251F4"/>
    <w:rsid w:val="001305EE"/>
    <w:rsid w:val="001307C8"/>
    <w:rsid w:val="00133BE0"/>
    <w:rsid w:val="00136660"/>
    <w:rsid w:val="00152F9A"/>
    <w:rsid w:val="001543E8"/>
    <w:rsid w:val="00154BF4"/>
    <w:rsid w:val="00155754"/>
    <w:rsid w:val="001569AB"/>
    <w:rsid w:val="00160403"/>
    <w:rsid w:val="0016220B"/>
    <w:rsid w:val="001676A0"/>
    <w:rsid w:val="001702B7"/>
    <w:rsid w:val="00172056"/>
    <w:rsid w:val="00174322"/>
    <w:rsid w:val="001772F8"/>
    <w:rsid w:val="00184D91"/>
    <w:rsid w:val="00187981"/>
    <w:rsid w:val="00196583"/>
    <w:rsid w:val="001A3BFC"/>
    <w:rsid w:val="001A3C80"/>
    <w:rsid w:val="001A50BC"/>
    <w:rsid w:val="001A5C18"/>
    <w:rsid w:val="001A6197"/>
    <w:rsid w:val="001B2CFC"/>
    <w:rsid w:val="001B6789"/>
    <w:rsid w:val="001C074D"/>
    <w:rsid w:val="001D0B8A"/>
    <w:rsid w:val="001D7165"/>
    <w:rsid w:val="001E1FC0"/>
    <w:rsid w:val="001E7D8C"/>
    <w:rsid w:val="001F3B1B"/>
    <w:rsid w:val="001F436B"/>
    <w:rsid w:val="001F574C"/>
    <w:rsid w:val="001F5D71"/>
    <w:rsid w:val="00202987"/>
    <w:rsid w:val="002046BC"/>
    <w:rsid w:val="00205385"/>
    <w:rsid w:val="00207BD9"/>
    <w:rsid w:val="002102BB"/>
    <w:rsid w:val="00210DB4"/>
    <w:rsid w:val="0021371F"/>
    <w:rsid w:val="0021641A"/>
    <w:rsid w:val="00217689"/>
    <w:rsid w:val="00217B23"/>
    <w:rsid w:val="0022441C"/>
    <w:rsid w:val="00227150"/>
    <w:rsid w:val="00232AA2"/>
    <w:rsid w:val="00234811"/>
    <w:rsid w:val="002362AB"/>
    <w:rsid w:val="002407C0"/>
    <w:rsid w:val="00242542"/>
    <w:rsid w:val="00243240"/>
    <w:rsid w:val="00243C17"/>
    <w:rsid w:val="0024414A"/>
    <w:rsid w:val="00252D8B"/>
    <w:rsid w:val="00260D3F"/>
    <w:rsid w:val="00270A74"/>
    <w:rsid w:val="00282674"/>
    <w:rsid w:val="0028376E"/>
    <w:rsid w:val="0028566A"/>
    <w:rsid w:val="00286AD9"/>
    <w:rsid w:val="002878F6"/>
    <w:rsid w:val="00292364"/>
    <w:rsid w:val="0029537C"/>
    <w:rsid w:val="002A72AF"/>
    <w:rsid w:val="002A73B3"/>
    <w:rsid w:val="002A7CC2"/>
    <w:rsid w:val="002A7F17"/>
    <w:rsid w:val="002B103A"/>
    <w:rsid w:val="002B37F4"/>
    <w:rsid w:val="002B42DB"/>
    <w:rsid w:val="002B4EBC"/>
    <w:rsid w:val="002C1F64"/>
    <w:rsid w:val="002C5159"/>
    <w:rsid w:val="002D34BA"/>
    <w:rsid w:val="002D38B2"/>
    <w:rsid w:val="002D6F69"/>
    <w:rsid w:val="002E180D"/>
    <w:rsid w:val="002E58E1"/>
    <w:rsid w:val="002E7998"/>
    <w:rsid w:val="002F4C88"/>
    <w:rsid w:val="003017F3"/>
    <w:rsid w:val="003057DA"/>
    <w:rsid w:val="00306ABF"/>
    <w:rsid w:val="00316DF0"/>
    <w:rsid w:val="00322EF9"/>
    <w:rsid w:val="00326540"/>
    <w:rsid w:val="00327FCF"/>
    <w:rsid w:val="0033465E"/>
    <w:rsid w:val="003406F9"/>
    <w:rsid w:val="0035236C"/>
    <w:rsid w:val="00352976"/>
    <w:rsid w:val="0035326A"/>
    <w:rsid w:val="00355E2A"/>
    <w:rsid w:val="0036088B"/>
    <w:rsid w:val="0036380C"/>
    <w:rsid w:val="00365593"/>
    <w:rsid w:val="00371839"/>
    <w:rsid w:val="00374351"/>
    <w:rsid w:val="00383838"/>
    <w:rsid w:val="00386ACF"/>
    <w:rsid w:val="00386D4D"/>
    <w:rsid w:val="00391FC6"/>
    <w:rsid w:val="00396B0E"/>
    <w:rsid w:val="003A06E9"/>
    <w:rsid w:val="003A22B1"/>
    <w:rsid w:val="003A3B23"/>
    <w:rsid w:val="003A6498"/>
    <w:rsid w:val="003A6DEF"/>
    <w:rsid w:val="003A7924"/>
    <w:rsid w:val="003C0519"/>
    <w:rsid w:val="003D048C"/>
    <w:rsid w:val="003D3761"/>
    <w:rsid w:val="003D64F2"/>
    <w:rsid w:val="003E2BF5"/>
    <w:rsid w:val="003E4363"/>
    <w:rsid w:val="003E58C9"/>
    <w:rsid w:val="003F0B16"/>
    <w:rsid w:val="003F2EFD"/>
    <w:rsid w:val="003F5A33"/>
    <w:rsid w:val="00400C7A"/>
    <w:rsid w:val="00405C9D"/>
    <w:rsid w:val="00406D01"/>
    <w:rsid w:val="00407235"/>
    <w:rsid w:val="004103AB"/>
    <w:rsid w:val="00410FA7"/>
    <w:rsid w:val="00411EAD"/>
    <w:rsid w:val="00413737"/>
    <w:rsid w:val="00414BFC"/>
    <w:rsid w:val="00414C2F"/>
    <w:rsid w:val="004234AA"/>
    <w:rsid w:val="0042573E"/>
    <w:rsid w:val="0043387C"/>
    <w:rsid w:val="0043497F"/>
    <w:rsid w:val="004367C7"/>
    <w:rsid w:val="0044165F"/>
    <w:rsid w:val="00442BB6"/>
    <w:rsid w:val="00443EAD"/>
    <w:rsid w:val="004560EA"/>
    <w:rsid w:val="00460BD7"/>
    <w:rsid w:val="00471F64"/>
    <w:rsid w:val="00475220"/>
    <w:rsid w:val="00475F87"/>
    <w:rsid w:val="004851D5"/>
    <w:rsid w:val="00495BDF"/>
    <w:rsid w:val="00495CA0"/>
    <w:rsid w:val="004976B3"/>
    <w:rsid w:val="004976CD"/>
    <w:rsid w:val="004A1446"/>
    <w:rsid w:val="004A3C96"/>
    <w:rsid w:val="004A5480"/>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78FE"/>
    <w:rsid w:val="004F1369"/>
    <w:rsid w:val="004F1787"/>
    <w:rsid w:val="004F2475"/>
    <w:rsid w:val="004F698B"/>
    <w:rsid w:val="0050329E"/>
    <w:rsid w:val="00507389"/>
    <w:rsid w:val="00515D58"/>
    <w:rsid w:val="00521D14"/>
    <w:rsid w:val="00527442"/>
    <w:rsid w:val="0053040D"/>
    <w:rsid w:val="0053269A"/>
    <w:rsid w:val="00537069"/>
    <w:rsid w:val="005418FF"/>
    <w:rsid w:val="005421CE"/>
    <w:rsid w:val="00561519"/>
    <w:rsid w:val="0057099E"/>
    <w:rsid w:val="00575D42"/>
    <w:rsid w:val="00583572"/>
    <w:rsid w:val="00590FFC"/>
    <w:rsid w:val="00597B53"/>
    <w:rsid w:val="005A514F"/>
    <w:rsid w:val="005A7131"/>
    <w:rsid w:val="005C083B"/>
    <w:rsid w:val="005C64B5"/>
    <w:rsid w:val="005D0E1A"/>
    <w:rsid w:val="005D2639"/>
    <w:rsid w:val="005D2B28"/>
    <w:rsid w:val="005D378D"/>
    <w:rsid w:val="005D3DB2"/>
    <w:rsid w:val="005D3E62"/>
    <w:rsid w:val="005D4C64"/>
    <w:rsid w:val="005D5A78"/>
    <w:rsid w:val="005E1126"/>
    <w:rsid w:val="005E2547"/>
    <w:rsid w:val="005E4799"/>
    <w:rsid w:val="005E6328"/>
    <w:rsid w:val="005F1BF2"/>
    <w:rsid w:val="005F2356"/>
    <w:rsid w:val="005F2CAC"/>
    <w:rsid w:val="005F4B05"/>
    <w:rsid w:val="0060161B"/>
    <w:rsid w:val="00603054"/>
    <w:rsid w:val="006058DD"/>
    <w:rsid w:val="00606205"/>
    <w:rsid w:val="00607083"/>
    <w:rsid w:val="006159D9"/>
    <w:rsid w:val="00615D84"/>
    <w:rsid w:val="00624E0D"/>
    <w:rsid w:val="00625FE0"/>
    <w:rsid w:val="00633043"/>
    <w:rsid w:val="00636649"/>
    <w:rsid w:val="00640D7A"/>
    <w:rsid w:val="00642C6C"/>
    <w:rsid w:val="0065006A"/>
    <w:rsid w:val="0065213B"/>
    <w:rsid w:val="00652835"/>
    <w:rsid w:val="006531A3"/>
    <w:rsid w:val="00655B01"/>
    <w:rsid w:val="0065724F"/>
    <w:rsid w:val="0065757D"/>
    <w:rsid w:val="006666EE"/>
    <w:rsid w:val="006667D4"/>
    <w:rsid w:val="00666816"/>
    <w:rsid w:val="0067231D"/>
    <w:rsid w:val="00674FE0"/>
    <w:rsid w:val="00677BC4"/>
    <w:rsid w:val="00681270"/>
    <w:rsid w:val="00682D73"/>
    <w:rsid w:val="006837FD"/>
    <w:rsid w:val="006917D6"/>
    <w:rsid w:val="00693DBB"/>
    <w:rsid w:val="00694786"/>
    <w:rsid w:val="00695CA2"/>
    <w:rsid w:val="006A7063"/>
    <w:rsid w:val="006B2A3B"/>
    <w:rsid w:val="006B2CEB"/>
    <w:rsid w:val="006B42E1"/>
    <w:rsid w:val="006B46C2"/>
    <w:rsid w:val="006B5EBF"/>
    <w:rsid w:val="006B6490"/>
    <w:rsid w:val="006C1714"/>
    <w:rsid w:val="006C6746"/>
    <w:rsid w:val="006D0A21"/>
    <w:rsid w:val="006D615F"/>
    <w:rsid w:val="006E1F2C"/>
    <w:rsid w:val="006E63EB"/>
    <w:rsid w:val="006F24FD"/>
    <w:rsid w:val="006F7F35"/>
    <w:rsid w:val="00712137"/>
    <w:rsid w:val="007131DB"/>
    <w:rsid w:val="00713973"/>
    <w:rsid w:val="00713D07"/>
    <w:rsid w:val="007214B3"/>
    <w:rsid w:val="00724BC3"/>
    <w:rsid w:val="0072667D"/>
    <w:rsid w:val="0072717A"/>
    <w:rsid w:val="00727B86"/>
    <w:rsid w:val="00732892"/>
    <w:rsid w:val="00733C7A"/>
    <w:rsid w:val="00733F64"/>
    <w:rsid w:val="0073451D"/>
    <w:rsid w:val="00741D7A"/>
    <w:rsid w:val="00744354"/>
    <w:rsid w:val="00744590"/>
    <w:rsid w:val="007460CE"/>
    <w:rsid w:val="00747171"/>
    <w:rsid w:val="00747C75"/>
    <w:rsid w:val="00753454"/>
    <w:rsid w:val="00755774"/>
    <w:rsid w:val="00756595"/>
    <w:rsid w:val="00763F08"/>
    <w:rsid w:val="00764FC1"/>
    <w:rsid w:val="00770A9E"/>
    <w:rsid w:val="00774EE0"/>
    <w:rsid w:val="007818E3"/>
    <w:rsid w:val="00781F19"/>
    <w:rsid w:val="00782128"/>
    <w:rsid w:val="007869F1"/>
    <w:rsid w:val="00791AAF"/>
    <w:rsid w:val="00795587"/>
    <w:rsid w:val="007967E9"/>
    <w:rsid w:val="00796F3A"/>
    <w:rsid w:val="007A011F"/>
    <w:rsid w:val="007A5C52"/>
    <w:rsid w:val="007A6285"/>
    <w:rsid w:val="007B2CFA"/>
    <w:rsid w:val="007B2DBD"/>
    <w:rsid w:val="007B4D5A"/>
    <w:rsid w:val="007B613A"/>
    <w:rsid w:val="007B6FBD"/>
    <w:rsid w:val="007C54A8"/>
    <w:rsid w:val="007C5B5D"/>
    <w:rsid w:val="007D1380"/>
    <w:rsid w:val="007D2EF8"/>
    <w:rsid w:val="007E1E87"/>
    <w:rsid w:val="007E5913"/>
    <w:rsid w:val="007E5E0A"/>
    <w:rsid w:val="007E6E49"/>
    <w:rsid w:val="007E7805"/>
    <w:rsid w:val="007F2259"/>
    <w:rsid w:val="007F3D9F"/>
    <w:rsid w:val="007F4058"/>
    <w:rsid w:val="007F4B04"/>
    <w:rsid w:val="007F529A"/>
    <w:rsid w:val="007F6F84"/>
    <w:rsid w:val="00806FBE"/>
    <w:rsid w:val="0081658C"/>
    <w:rsid w:val="0081762F"/>
    <w:rsid w:val="008203CA"/>
    <w:rsid w:val="0082336A"/>
    <w:rsid w:val="008273DA"/>
    <w:rsid w:val="008319F3"/>
    <w:rsid w:val="00833052"/>
    <w:rsid w:val="00833614"/>
    <w:rsid w:val="00836B74"/>
    <w:rsid w:val="00844242"/>
    <w:rsid w:val="008446B2"/>
    <w:rsid w:val="00847E40"/>
    <w:rsid w:val="00850E8F"/>
    <w:rsid w:val="00855D1E"/>
    <w:rsid w:val="008602AB"/>
    <w:rsid w:val="00860EE4"/>
    <w:rsid w:val="00861801"/>
    <w:rsid w:val="00872F1F"/>
    <w:rsid w:val="0087347E"/>
    <w:rsid w:val="00873E30"/>
    <w:rsid w:val="00876A07"/>
    <w:rsid w:val="00877882"/>
    <w:rsid w:val="00880CA8"/>
    <w:rsid w:val="00880F26"/>
    <w:rsid w:val="00882DA1"/>
    <w:rsid w:val="00882E86"/>
    <w:rsid w:val="00885E9A"/>
    <w:rsid w:val="008946F5"/>
    <w:rsid w:val="00897874"/>
    <w:rsid w:val="008A1722"/>
    <w:rsid w:val="008B19A5"/>
    <w:rsid w:val="008B5AA3"/>
    <w:rsid w:val="008B6DFD"/>
    <w:rsid w:val="008C13D6"/>
    <w:rsid w:val="008C2225"/>
    <w:rsid w:val="008C2F4B"/>
    <w:rsid w:val="008C331E"/>
    <w:rsid w:val="008C6032"/>
    <w:rsid w:val="008D02C3"/>
    <w:rsid w:val="008D4EEA"/>
    <w:rsid w:val="008E079D"/>
    <w:rsid w:val="008E11FB"/>
    <w:rsid w:val="008E5AF8"/>
    <w:rsid w:val="008F0704"/>
    <w:rsid w:val="008F68A0"/>
    <w:rsid w:val="008F7ABB"/>
    <w:rsid w:val="009004C1"/>
    <w:rsid w:val="009117F4"/>
    <w:rsid w:val="00912E77"/>
    <w:rsid w:val="00916218"/>
    <w:rsid w:val="00917B2A"/>
    <w:rsid w:val="009217F0"/>
    <w:rsid w:val="0092241D"/>
    <w:rsid w:val="00925500"/>
    <w:rsid w:val="00927AD8"/>
    <w:rsid w:val="009313EC"/>
    <w:rsid w:val="00934646"/>
    <w:rsid w:val="00935417"/>
    <w:rsid w:val="00943E4E"/>
    <w:rsid w:val="00944B51"/>
    <w:rsid w:val="00945B51"/>
    <w:rsid w:val="009512AA"/>
    <w:rsid w:val="009519C6"/>
    <w:rsid w:val="00951C45"/>
    <w:rsid w:val="00955F30"/>
    <w:rsid w:val="00956DC9"/>
    <w:rsid w:val="0096145B"/>
    <w:rsid w:val="00963F95"/>
    <w:rsid w:val="009656B0"/>
    <w:rsid w:val="009675DE"/>
    <w:rsid w:val="00970B7E"/>
    <w:rsid w:val="009763E1"/>
    <w:rsid w:val="0098329F"/>
    <w:rsid w:val="00986D2E"/>
    <w:rsid w:val="00993017"/>
    <w:rsid w:val="009976A1"/>
    <w:rsid w:val="00997DEC"/>
    <w:rsid w:val="009B13DB"/>
    <w:rsid w:val="009C0C9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A039DE"/>
    <w:rsid w:val="00A043BD"/>
    <w:rsid w:val="00A14FFA"/>
    <w:rsid w:val="00A23275"/>
    <w:rsid w:val="00A23590"/>
    <w:rsid w:val="00A24D92"/>
    <w:rsid w:val="00A26902"/>
    <w:rsid w:val="00A32466"/>
    <w:rsid w:val="00A353B5"/>
    <w:rsid w:val="00A403C0"/>
    <w:rsid w:val="00A41C37"/>
    <w:rsid w:val="00A45092"/>
    <w:rsid w:val="00A4607B"/>
    <w:rsid w:val="00A50B78"/>
    <w:rsid w:val="00A52144"/>
    <w:rsid w:val="00A532CA"/>
    <w:rsid w:val="00A5479D"/>
    <w:rsid w:val="00A62FAA"/>
    <w:rsid w:val="00A6516F"/>
    <w:rsid w:val="00A70085"/>
    <w:rsid w:val="00A70143"/>
    <w:rsid w:val="00A71AD1"/>
    <w:rsid w:val="00A71ECB"/>
    <w:rsid w:val="00A8082E"/>
    <w:rsid w:val="00A8470A"/>
    <w:rsid w:val="00A9015D"/>
    <w:rsid w:val="00A93AE4"/>
    <w:rsid w:val="00A9468D"/>
    <w:rsid w:val="00AA2F47"/>
    <w:rsid w:val="00AB3893"/>
    <w:rsid w:val="00AB399D"/>
    <w:rsid w:val="00AC1087"/>
    <w:rsid w:val="00AC4409"/>
    <w:rsid w:val="00AD04FA"/>
    <w:rsid w:val="00AD0A35"/>
    <w:rsid w:val="00AD34CA"/>
    <w:rsid w:val="00AD4704"/>
    <w:rsid w:val="00AD7431"/>
    <w:rsid w:val="00AE2F44"/>
    <w:rsid w:val="00AE3F48"/>
    <w:rsid w:val="00AE5AA6"/>
    <w:rsid w:val="00AF13DB"/>
    <w:rsid w:val="00B06D15"/>
    <w:rsid w:val="00B1446E"/>
    <w:rsid w:val="00B15AFF"/>
    <w:rsid w:val="00B16ADF"/>
    <w:rsid w:val="00B242F3"/>
    <w:rsid w:val="00B265FE"/>
    <w:rsid w:val="00B27603"/>
    <w:rsid w:val="00B31554"/>
    <w:rsid w:val="00B375A8"/>
    <w:rsid w:val="00B375C3"/>
    <w:rsid w:val="00B438B5"/>
    <w:rsid w:val="00B44F22"/>
    <w:rsid w:val="00B469BF"/>
    <w:rsid w:val="00B5096A"/>
    <w:rsid w:val="00B514F8"/>
    <w:rsid w:val="00B64EC7"/>
    <w:rsid w:val="00B65B94"/>
    <w:rsid w:val="00B703BE"/>
    <w:rsid w:val="00B718EB"/>
    <w:rsid w:val="00B73219"/>
    <w:rsid w:val="00B7432B"/>
    <w:rsid w:val="00B765C2"/>
    <w:rsid w:val="00B82F0B"/>
    <w:rsid w:val="00B83C5F"/>
    <w:rsid w:val="00B90531"/>
    <w:rsid w:val="00B919FF"/>
    <w:rsid w:val="00B91F22"/>
    <w:rsid w:val="00B96AD4"/>
    <w:rsid w:val="00BB6F77"/>
    <w:rsid w:val="00BB7EDD"/>
    <w:rsid w:val="00BC2483"/>
    <w:rsid w:val="00BC5598"/>
    <w:rsid w:val="00BD066F"/>
    <w:rsid w:val="00BD15F3"/>
    <w:rsid w:val="00BD4114"/>
    <w:rsid w:val="00BD4816"/>
    <w:rsid w:val="00BF5C3C"/>
    <w:rsid w:val="00BF6DA5"/>
    <w:rsid w:val="00C06D3E"/>
    <w:rsid w:val="00C0768E"/>
    <w:rsid w:val="00C20A0E"/>
    <w:rsid w:val="00C248C4"/>
    <w:rsid w:val="00C27277"/>
    <w:rsid w:val="00C27737"/>
    <w:rsid w:val="00C2779A"/>
    <w:rsid w:val="00C30B54"/>
    <w:rsid w:val="00C33321"/>
    <w:rsid w:val="00C344BB"/>
    <w:rsid w:val="00C37B5C"/>
    <w:rsid w:val="00C37FF1"/>
    <w:rsid w:val="00C437F4"/>
    <w:rsid w:val="00C439CA"/>
    <w:rsid w:val="00C43D6F"/>
    <w:rsid w:val="00C50362"/>
    <w:rsid w:val="00C503E7"/>
    <w:rsid w:val="00C66503"/>
    <w:rsid w:val="00C66DFC"/>
    <w:rsid w:val="00C72789"/>
    <w:rsid w:val="00C771E8"/>
    <w:rsid w:val="00C80105"/>
    <w:rsid w:val="00C80D34"/>
    <w:rsid w:val="00C833F4"/>
    <w:rsid w:val="00C851CF"/>
    <w:rsid w:val="00C91D6B"/>
    <w:rsid w:val="00C969B2"/>
    <w:rsid w:val="00CA1799"/>
    <w:rsid w:val="00CA4F09"/>
    <w:rsid w:val="00CB0A2C"/>
    <w:rsid w:val="00CB2233"/>
    <w:rsid w:val="00CB754A"/>
    <w:rsid w:val="00CC1A38"/>
    <w:rsid w:val="00CC22CD"/>
    <w:rsid w:val="00CC43FF"/>
    <w:rsid w:val="00CD1BE7"/>
    <w:rsid w:val="00CD1F4E"/>
    <w:rsid w:val="00CD62E9"/>
    <w:rsid w:val="00CF2E64"/>
    <w:rsid w:val="00CF4526"/>
    <w:rsid w:val="00CF52D5"/>
    <w:rsid w:val="00CF6AF3"/>
    <w:rsid w:val="00CF7862"/>
    <w:rsid w:val="00D056EF"/>
    <w:rsid w:val="00D124D2"/>
    <w:rsid w:val="00D150E7"/>
    <w:rsid w:val="00D21DAB"/>
    <w:rsid w:val="00D24251"/>
    <w:rsid w:val="00D258AD"/>
    <w:rsid w:val="00D25AE2"/>
    <w:rsid w:val="00D2622C"/>
    <w:rsid w:val="00D304AF"/>
    <w:rsid w:val="00D30C85"/>
    <w:rsid w:val="00D30FB2"/>
    <w:rsid w:val="00D32E48"/>
    <w:rsid w:val="00D378C7"/>
    <w:rsid w:val="00D40ADE"/>
    <w:rsid w:val="00D429E6"/>
    <w:rsid w:val="00D47335"/>
    <w:rsid w:val="00D51BF8"/>
    <w:rsid w:val="00D53344"/>
    <w:rsid w:val="00D542F8"/>
    <w:rsid w:val="00D5623C"/>
    <w:rsid w:val="00D56BAA"/>
    <w:rsid w:val="00D57959"/>
    <w:rsid w:val="00D6790A"/>
    <w:rsid w:val="00D71DD5"/>
    <w:rsid w:val="00D73309"/>
    <w:rsid w:val="00D76D29"/>
    <w:rsid w:val="00D81B78"/>
    <w:rsid w:val="00D83F1D"/>
    <w:rsid w:val="00D842CC"/>
    <w:rsid w:val="00D93092"/>
    <w:rsid w:val="00D933F7"/>
    <w:rsid w:val="00D93AB5"/>
    <w:rsid w:val="00D94886"/>
    <w:rsid w:val="00D9493C"/>
    <w:rsid w:val="00D967CA"/>
    <w:rsid w:val="00D96FF7"/>
    <w:rsid w:val="00DB0C8F"/>
    <w:rsid w:val="00DB69D7"/>
    <w:rsid w:val="00DC0E1E"/>
    <w:rsid w:val="00DC2F13"/>
    <w:rsid w:val="00DC4083"/>
    <w:rsid w:val="00DC5758"/>
    <w:rsid w:val="00DC779E"/>
    <w:rsid w:val="00DD0CF7"/>
    <w:rsid w:val="00DD39C3"/>
    <w:rsid w:val="00DD5584"/>
    <w:rsid w:val="00DE27B1"/>
    <w:rsid w:val="00E00A5A"/>
    <w:rsid w:val="00E01659"/>
    <w:rsid w:val="00E016C1"/>
    <w:rsid w:val="00E01BFE"/>
    <w:rsid w:val="00E0296B"/>
    <w:rsid w:val="00E02A4F"/>
    <w:rsid w:val="00E06138"/>
    <w:rsid w:val="00E07A17"/>
    <w:rsid w:val="00E13BD4"/>
    <w:rsid w:val="00E15398"/>
    <w:rsid w:val="00E17999"/>
    <w:rsid w:val="00E2184E"/>
    <w:rsid w:val="00E2575D"/>
    <w:rsid w:val="00E279A4"/>
    <w:rsid w:val="00E27AF0"/>
    <w:rsid w:val="00E331AB"/>
    <w:rsid w:val="00E3687A"/>
    <w:rsid w:val="00E413E4"/>
    <w:rsid w:val="00E424D5"/>
    <w:rsid w:val="00E45237"/>
    <w:rsid w:val="00E54555"/>
    <w:rsid w:val="00E55213"/>
    <w:rsid w:val="00E56EA5"/>
    <w:rsid w:val="00E64126"/>
    <w:rsid w:val="00E64478"/>
    <w:rsid w:val="00E664D9"/>
    <w:rsid w:val="00E6707A"/>
    <w:rsid w:val="00E67821"/>
    <w:rsid w:val="00E702BC"/>
    <w:rsid w:val="00E74460"/>
    <w:rsid w:val="00E748C2"/>
    <w:rsid w:val="00E76083"/>
    <w:rsid w:val="00E80BB3"/>
    <w:rsid w:val="00E82FC8"/>
    <w:rsid w:val="00E85507"/>
    <w:rsid w:val="00E85E43"/>
    <w:rsid w:val="00E875F0"/>
    <w:rsid w:val="00E87D84"/>
    <w:rsid w:val="00E920F7"/>
    <w:rsid w:val="00E9256A"/>
    <w:rsid w:val="00E952EC"/>
    <w:rsid w:val="00EA2FC5"/>
    <w:rsid w:val="00EB1D20"/>
    <w:rsid w:val="00EB27A2"/>
    <w:rsid w:val="00EB3F83"/>
    <w:rsid w:val="00EB6C86"/>
    <w:rsid w:val="00EB7480"/>
    <w:rsid w:val="00EB755A"/>
    <w:rsid w:val="00EC484A"/>
    <w:rsid w:val="00EC7653"/>
    <w:rsid w:val="00ED1EA4"/>
    <w:rsid w:val="00ED5B3C"/>
    <w:rsid w:val="00EE576A"/>
    <w:rsid w:val="00EF0236"/>
    <w:rsid w:val="00EF06E9"/>
    <w:rsid w:val="00EF1AC2"/>
    <w:rsid w:val="00EF4DDE"/>
    <w:rsid w:val="00F0248B"/>
    <w:rsid w:val="00F040D5"/>
    <w:rsid w:val="00F043DB"/>
    <w:rsid w:val="00F0537D"/>
    <w:rsid w:val="00F069C1"/>
    <w:rsid w:val="00F10C91"/>
    <w:rsid w:val="00F15613"/>
    <w:rsid w:val="00F17334"/>
    <w:rsid w:val="00F20A52"/>
    <w:rsid w:val="00F23FF6"/>
    <w:rsid w:val="00F23FFF"/>
    <w:rsid w:val="00F268A3"/>
    <w:rsid w:val="00F269EE"/>
    <w:rsid w:val="00F36064"/>
    <w:rsid w:val="00F40A5B"/>
    <w:rsid w:val="00F433CB"/>
    <w:rsid w:val="00F449F4"/>
    <w:rsid w:val="00F4551F"/>
    <w:rsid w:val="00F474F2"/>
    <w:rsid w:val="00F61F22"/>
    <w:rsid w:val="00F7145E"/>
    <w:rsid w:val="00F71EBE"/>
    <w:rsid w:val="00F73D33"/>
    <w:rsid w:val="00F74BD5"/>
    <w:rsid w:val="00F75912"/>
    <w:rsid w:val="00F77674"/>
    <w:rsid w:val="00F85AEC"/>
    <w:rsid w:val="00F86000"/>
    <w:rsid w:val="00F86060"/>
    <w:rsid w:val="00F90730"/>
    <w:rsid w:val="00F92499"/>
    <w:rsid w:val="00F92EA5"/>
    <w:rsid w:val="00FA3CCB"/>
    <w:rsid w:val="00FB04A9"/>
    <w:rsid w:val="00FB1AAC"/>
    <w:rsid w:val="00FB5AF1"/>
    <w:rsid w:val="00FB64F5"/>
    <w:rsid w:val="00FC12B3"/>
    <w:rsid w:val="00FC3030"/>
    <w:rsid w:val="00FC566E"/>
    <w:rsid w:val="00FC682B"/>
    <w:rsid w:val="00FC6B2F"/>
    <w:rsid w:val="00FD3369"/>
    <w:rsid w:val="00FE033E"/>
    <w:rsid w:val="00FE0A12"/>
    <w:rsid w:val="00FE0DF4"/>
    <w:rsid w:val="00FE35E5"/>
    <w:rsid w:val="00FE66CF"/>
    <w:rsid w:val="00FE7C72"/>
    <w:rsid w:val="00FE7CA0"/>
    <w:rsid w:val="00FE7FC6"/>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5:docId w15:val="{A6F7EDDA-B5C0-484D-8737-D58A84E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288" TargetMode="External"/><Relationship Id="rId13" Type="http://schemas.openxmlformats.org/officeDocument/2006/relationships/hyperlink" Target="http://eur-lex.europa.eu/eli/reg/2011/679?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1/679?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679?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1/679?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LV/AUTO/?uri=celex:32007R0834" TargetMode="External"/><Relationship Id="rId14" Type="http://schemas.openxmlformats.org/officeDocument/2006/relationships/hyperlink" Target="http://eur-lex.europa.eu/eli/reg/2011/6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29C0-2475-4FB0-9756-741EA28C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3688</Words>
  <Characters>25117</Characters>
  <Application>Microsoft Office Word</Application>
  <DocSecurity>0</DocSecurity>
  <Lines>1141</Lines>
  <Paragraphs>488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28317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Andris.Orlovskis@zm.gov.lv</dc:creator>
  <cp:lastModifiedBy>Renārs Žagars</cp:lastModifiedBy>
  <cp:revision>4</cp:revision>
  <cp:lastPrinted>2015-02-05T08:51:00Z</cp:lastPrinted>
  <dcterms:created xsi:type="dcterms:W3CDTF">2015-03-31T06:56:00Z</dcterms:created>
  <dcterms:modified xsi:type="dcterms:W3CDTF">2015-03-31T12:23:00Z</dcterms:modified>
</cp:coreProperties>
</file>