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7A" w:rsidRPr="00C63BBA" w:rsidRDefault="00B94C7A" w:rsidP="00AF1809">
      <w:pPr>
        <w:spacing w:after="120"/>
        <w:jc w:val="both"/>
      </w:pPr>
      <w:r w:rsidRPr="00C63BBA">
        <w:t>20</w:t>
      </w:r>
      <w:r w:rsidR="00021B37" w:rsidRPr="00C63BBA">
        <w:t>1</w:t>
      </w:r>
      <w:r w:rsidR="00766B5B" w:rsidRPr="00C63BBA">
        <w:t>5</w:t>
      </w:r>
      <w:r w:rsidRPr="00C63BBA">
        <w:t>.</w:t>
      </w:r>
      <w:r w:rsidR="006F1079" w:rsidRPr="00C63BBA">
        <w:t xml:space="preserve"> </w:t>
      </w:r>
      <w:r w:rsidRPr="00C63BBA">
        <w:t>gada ___._________</w:t>
      </w:r>
      <w:r w:rsidRPr="00C63BBA">
        <w:tab/>
      </w:r>
      <w:r w:rsidRPr="00C63BBA">
        <w:tab/>
      </w:r>
      <w:r w:rsidRPr="00C63BBA">
        <w:tab/>
      </w:r>
      <w:r w:rsidRPr="00C63BBA">
        <w:tab/>
      </w:r>
      <w:r w:rsidR="00BA5C3B" w:rsidRPr="00C63BBA">
        <w:tab/>
      </w:r>
      <w:r w:rsidR="00EE4587" w:rsidRPr="00C63BBA">
        <w:tab/>
      </w:r>
      <w:r w:rsidR="00AF1809" w:rsidRPr="00C63BBA">
        <w:tab/>
      </w:r>
      <w:r w:rsidRPr="00C63BBA">
        <w:t>Noteikumi Nr.</w:t>
      </w:r>
    </w:p>
    <w:p w:rsidR="00B94C7A" w:rsidRPr="00C63BBA" w:rsidRDefault="009E7171" w:rsidP="00AF1809">
      <w:pPr>
        <w:spacing w:after="120"/>
        <w:jc w:val="both"/>
      </w:pPr>
      <w:r w:rsidRPr="00C63BBA">
        <w:t>Rīgā</w:t>
      </w:r>
      <w:r w:rsidRPr="00C63BBA">
        <w:tab/>
      </w:r>
      <w:r w:rsidRPr="00C63BBA">
        <w:tab/>
      </w:r>
      <w:r w:rsidRPr="00C63BBA">
        <w:tab/>
      </w:r>
      <w:r w:rsidRPr="00C63BBA">
        <w:tab/>
      </w:r>
      <w:r w:rsidRPr="00C63BBA">
        <w:tab/>
      </w:r>
      <w:r w:rsidRPr="00C63BBA">
        <w:tab/>
      </w:r>
      <w:r w:rsidRPr="00C63BBA">
        <w:tab/>
      </w:r>
      <w:r w:rsidR="00BC59DB" w:rsidRPr="00C63BBA">
        <w:tab/>
      </w:r>
      <w:r w:rsidR="00BC59DB" w:rsidRPr="00C63BBA">
        <w:tab/>
      </w:r>
      <w:r w:rsidR="00AF1809" w:rsidRPr="00C63BBA">
        <w:tab/>
      </w:r>
      <w:r w:rsidRPr="00C63BBA">
        <w:t xml:space="preserve">(prot. </w:t>
      </w:r>
      <w:r w:rsidR="00BF6913" w:rsidRPr="00C63BBA">
        <w:t xml:space="preserve">  </w:t>
      </w:r>
      <w:r w:rsidRPr="00C63BBA">
        <w:t>Nr.   .§)</w:t>
      </w:r>
    </w:p>
    <w:p w:rsidR="00AB357E" w:rsidRPr="00C63BBA" w:rsidRDefault="00AB357E" w:rsidP="00AF1809">
      <w:pPr>
        <w:spacing w:after="120"/>
        <w:jc w:val="center"/>
        <w:rPr>
          <w:b/>
          <w:sz w:val="28"/>
          <w:szCs w:val="28"/>
        </w:rPr>
      </w:pPr>
    </w:p>
    <w:p w:rsidR="00B94C7A" w:rsidRPr="00C63BBA" w:rsidRDefault="00374FF3" w:rsidP="00AF1809">
      <w:pPr>
        <w:spacing w:after="120"/>
        <w:jc w:val="center"/>
        <w:rPr>
          <w:b/>
        </w:rPr>
      </w:pPr>
      <w:r w:rsidRPr="00C63BBA">
        <w:rPr>
          <w:b/>
        </w:rPr>
        <w:t>D</w:t>
      </w:r>
      <w:r w:rsidR="000E458D" w:rsidRPr="00C63BBA">
        <w:rPr>
          <w:b/>
        </w:rPr>
        <w:t xml:space="preserve">arbības programmas „Izaugsme un nodarbinātība” </w:t>
      </w:r>
      <w:r w:rsidR="00787093" w:rsidRPr="00C63BBA">
        <w:rPr>
          <w:b/>
        </w:rPr>
        <w:t>1.2.1.</w:t>
      </w:r>
      <w:r w:rsidR="00501635" w:rsidRPr="00C63BBA">
        <w:rPr>
          <w:b/>
        </w:rPr>
        <w:t xml:space="preserve">specifiskā </w:t>
      </w:r>
      <w:r w:rsidR="006C546A" w:rsidRPr="00C63BBA">
        <w:rPr>
          <w:b/>
        </w:rPr>
        <w:t>atbalst</w:t>
      </w:r>
      <w:r w:rsidR="00570A5C" w:rsidRPr="00C63BBA">
        <w:rPr>
          <w:b/>
        </w:rPr>
        <w:t>a</w:t>
      </w:r>
      <w:r w:rsidR="000E458D" w:rsidRPr="00C63BBA">
        <w:rPr>
          <w:b/>
        </w:rPr>
        <w:t xml:space="preserve"> </w:t>
      </w:r>
      <w:r w:rsidR="00501635" w:rsidRPr="00C63BBA">
        <w:rPr>
          <w:b/>
        </w:rPr>
        <w:t xml:space="preserve">mērķa </w:t>
      </w:r>
      <w:r w:rsidR="000E458D" w:rsidRPr="00C63BBA">
        <w:rPr>
          <w:b/>
        </w:rPr>
        <w:t>„</w:t>
      </w:r>
      <w:r w:rsidR="00787093" w:rsidRPr="00C63BBA">
        <w:rPr>
          <w:b/>
        </w:rPr>
        <w:t>Palielināt privātā sektora investīcijas P&amp;A</w:t>
      </w:r>
      <w:r w:rsidR="00534330" w:rsidRPr="00C63BBA">
        <w:rPr>
          <w:b/>
        </w:rPr>
        <w:t>”</w:t>
      </w:r>
      <w:r w:rsidR="00787093" w:rsidRPr="00C63BBA">
        <w:rPr>
          <w:b/>
        </w:rPr>
        <w:t xml:space="preserve"> 1.2.1.4.pasākuma „Atbalsts jaunu produktu ieviešanai ražošanā”</w:t>
      </w:r>
      <w:r w:rsidR="00534330" w:rsidRPr="00C63BBA">
        <w:rPr>
          <w:b/>
        </w:rPr>
        <w:t xml:space="preserve"> </w:t>
      </w:r>
      <w:r w:rsidR="00D523F2" w:rsidRPr="00C63BBA">
        <w:rPr>
          <w:b/>
        </w:rPr>
        <w:t>īstenošan</w:t>
      </w:r>
      <w:r w:rsidRPr="00C63BBA">
        <w:rPr>
          <w:b/>
        </w:rPr>
        <w:t>as noteikumi</w:t>
      </w:r>
    </w:p>
    <w:p w:rsidR="00AB357E" w:rsidRPr="00C63BBA" w:rsidRDefault="00AB357E" w:rsidP="00AF1809">
      <w:pPr>
        <w:pStyle w:val="naislab"/>
        <w:spacing w:before="0" w:after="120"/>
        <w:ind w:left="5580" w:firstLine="1440"/>
      </w:pPr>
    </w:p>
    <w:p w:rsidR="00B94C7A" w:rsidRPr="00C63BBA" w:rsidRDefault="0013713B" w:rsidP="00CB1490">
      <w:pPr>
        <w:pStyle w:val="naislab"/>
        <w:spacing w:before="0" w:after="120"/>
        <w:ind w:left="5103"/>
        <w:rPr>
          <w:i/>
        </w:rPr>
      </w:pPr>
      <w:r w:rsidRPr="00C63BBA">
        <w:rPr>
          <w:i/>
        </w:rPr>
        <w:t>Izdoti saskaņā ar Eiropas Savienības struktūrfondu un Kohēzijas fonda 2014.–2020. gada plānošanas perioda vadības likuma 20. panta 13. punktu</w:t>
      </w:r>
    </w:p>
    <w:p w:rsidR="00907094" w:rsidRPr="00C63BBA" w:rsidRDefault="00907094" w:rsidP="0013713B">
      <w:pPr>
        <w:pStyle w:val="ListParagraph"/>
        <w:spacing w:before="40" w:after="40"/>
        <w:ind w:left="0"/>
        <w:jc w:val="center"/>
        <w:rPr>
          <w:rFonts w:eastAsiaTheme="minorHAnsi"/>
          <w:b/>
          <w:bCs/>
          <w:sz w:val="25"/>
          <w:szCs w:val="25"/>
          <w:lang w:eastAsia="en-US"/>
        </w:rPr>
      </w:pPr>
    </w:p>
    <w:p w:rsidR="00B94C7A" w:rsidRPr="00C63BBA" w:rsidRDefault="009E7171" w:rsidP="0013713B">
      <w:pPr>
        <w:pStyle w:val="ListParagraph"/>
        <w:spacing w:before="40" w:after="40"/>
        <w:ind w:left="0"/>
        <w:jc w:val="center"/>
        <w:rPr>
          <w:rFonts w:eastAsiaTheme="minorHAnsi"/>
          <w:b/>
          <w:bCs/>
          <w:sz w:val="25"/>
          <w:szCs w:val="25"/>
          <w:lang w:eastAsia="en-US"/>
        </w:rPr>
      </w:pPr>
      <w:r w:rsidRPr="00C63BBA">
        <w:rPr>
          <w:rFonts w:eastAsiaTheme="minorHAnsi"/>
          <w:b/>
          <w:bCs/>
          <w:sz w:val="25"/>
          <w:szCs w:val="25"/>
          <w:lang w:eastAsia="en-US"/>
        </w:rPr>
        <w:t>I. Vispārīgie jautājumi</w:t>
      </w:r>
    </w:p>
    <w:p w:rsidR="00E1397A" w:rsidRPr="00C63BBA" w:rsidRDefault="0013713B" w:rsidP="006C0A4C">
      <w:pPr>
        <w:numPr>
          <w:ilvl w:val="0"/>
          <w:numId w:val="13"/>
        </w:numPr>
        <w:spacing w:before="120"/>
        <w:ind w:left="357" w:hanging="357"/>
        <w:jc w:val="both"/>
        <w:outlineLvl w:val="0"/>
      </w:pPr>
      <w:r w:rsidRPr="00C63BBA">
        <w:t>Noteikumi nosaka:</w:t>
      </w:r>
    </w:p>
    <w:p w:rsidR="0013713B" w:rsidRPr="00C63BBA" w:rsidRDefault="009E531E" w:rsidP="00464DB1">
      <w:pPr>
        <w:numPr>
          <w:ilvl w:val="1"/>
          <w:numId w:val="13"/>
        </w:numPr>
        <w:tabs>
          <w:tab w:val="left" w:pos="993"/>
        </w:tabs>
        <w:jc w:val="both"/>
        <w:outlineLvl w:val="0"/>
      </w:pPr>
      <w:r w:rsidRPr="00C63BBA">
        <w:t>kārtību, kādā īsteno darbības programmas „Izaugsme un nodar</w:t>
      </w:r>
      <w:r w:rsidR="00CB1490" w:rsidRPr="00C63BBA">
        <w:t>binātība” prioritārā virziena</w:t>
      </w:r>
      <w:r w:rsidR="00464DB1" w:rsidRPr="00C63BBA">
        <w:t xml:space="preserve"> </w:t>
      </w:r>
      <w:r w:rsidR="00DC2484" w:rsidRPr="00C63BBA">
        <w:t>„</w:t>
      </w:r>
      <w:r w:rsidR="00464DB1" w:rsidRPr="00C63BBA">
        <w:t>Sekmēt uzņēmumu investīcijas P&amp;I</w:t>
      </w:r>
      <w:r w:rsidRPr="00C63BBA">
        <w:t xml:space="preserve">” </w:t>
      </w:r>
      <w:r w:rsidR="00464DB1" w:rsidRPr="00C63BBA">
        <w:t>1.2.1.specifiskā atbalsta mērķa „Palielināt privātā sektora investīcijas P&amp;A” 1.2.1.4.pasākumu „Atbalsts jaunu produktu ieviešanai ražošanā”</w:t>
      </w:r>
      <w:r w:rsidRPr="00C63BBA">
        <w:t xml:space="preserve"> (turpmāk –</w:t>
      </w:r>
      <w:r w:rsidR="006C546A" w:rsidRPr="00C63BBA">
        <w:t xml:space="preserve"> </w:t>
      </w:r>
      <w:r w:rsidR="00464DB1" w:rsidRPr="00C63BBA">
        <w:t>pasākums</w:t>
      </w:r>
      <w:r w:rsidR="0012229B" w:rsidRPr="00C63BBA">
        <w:t>)</w:t>
      </w:r>
      <w:r w:rsidRPr="00C63BBA">
        <w:t>;</w:t>
      </w:r>
    </w:p>
    <w:p w:rsidR="00907094" w:rsidRPr="00C63BBA" w:rsidRDefault="00D16588" w:rsidP="001132D4">
      <w:pPr>
        <w:numPr>
          <w:ilvl w:val="1"/>
          <w:numId w:val="13"/>
        </w:numPr>
        <w:tabs>
          <w:tab w:val="left" w:pos="993"/>
        </w:tabs>
        <w:jc w:val="both"/>
        <w:outlineLvl w:val="0"/>
      </w:pPr>
      <w:r w:rsidRPr="00C63BBA">
        <w:t>pasākuma</w:t>
      </w:r>
      <w:r w:rsidR="00907094" w:rsidRPr="00C63BBA">
        <w:t xml:space="preserve"> mērķi;</w:t>
      </w:r>
    </w:p>
    <w:p w:rsidR="00DC2484" w:rsidRPr="00C63BBA" w:rsidRDefault="00DC2484" w:rsidP="001132D4">
      <w:pPr>
        <w:numPr>
          <w:ilvl w:val="1"/>
          <w:numId w:val="13"/>
        </w:numPr>
        <w:tabs>
          <w:tab w:val="left" w:pos="993"/>
        </w:tabs>
        <w:jc w:val="both"/>
        <w:outlineLvl w:val="0"/>
      </w:pPr>
      <w:r w:rsidRPr="00C63BBA">
        <w:t>pasākuma ietvaros sasniedzamos uzraudzības rādītājus;</w:t>
      </w:r>
    </w:p>
    <w:p w:rsidR="00907094" w:rsidRPr="00C63BBA" w:rsidRDefault="00D16588" w:rsidP="001132D4">
      <w:pPr>
        <w:numPr>
          <w:ilvl w:val="1"/>
          <w:numId w:val="13"/>
        </w:numPr>
        <w:tabs>
          <w:tab w:val="left" w:pos="993"/>
        </w:tabs>
        <w:jc w:val="both"/>
        <w:outlineLvl w:val="0"/>
      </w:pPr>
      <w:r w:rsidRPr="00C63BBA">
        <w:t>pasākumam</w:t>
      </w:r>
      <w:r w:rsidR="002B5981" w:rsidRPr="00C63BBA">
        <w:t xml:space="preserve"> </w:t>
      </w:r>
      <w:r w:rsidR="00907094" w:rsidRPr="00C63BBA">
        <w:t>pieejamo finansējumu;</w:t>
      </w:r>
    </w:p>
    <w:p w:rsidR="00907094" w:rsidRPr="00C63BBA" w:rsidRDefault="00907094" w:rsidP="001132D4">
      <w:pPr>
        <w:numPr>
          <w:ilvl w:val="1"/>
          <w:numId w:val="13"/>
        </w:numPr>
        <w:tabs>
          <w:tab w:val="left" w:pos="993"/>
        </w:tabs>
        <w:jc w:val="both"/>
        <w:outlineLvl w:val="0"/>
      </w:pPr>
      <w:r w:rsidRPr="00C63BBA">
        <w:t xml:space="preserve">prasības Eiropas </w:t>
      </w:r>
      <w:r w:rsidR="00974CBB" w:rsidRPr="00C63BBA">
        <w:t>Reģionālās attīstības</w:t>
      </w:r>
      <w:r w:rsidRPr="00C63BBA">
        <w:t xml:space="preserve"> fonda </w:t>
      </w:r>
      <w:r w:rsidR="006B7A70" w:rsidRPr="00C63BBA">
        <w:t xml:space="preserve">(turpmāk - ERAF) </w:t>
      </w:r>
      <w:r w:rsidRPr="00C63BBA">
        <w:t>projekta (turpmāk – projekts) iesniedzējam</w:t>
      </w:r>
      <w:r w:rsidR="00EF262D" w:rsidRPr="00C63BBA">
        <w:t xml:space="preserve"> (turpmāk – projekta iesniedzējs)</w:t>
      </w:r>
      <w:r w:rsidRPr="00C63BBA">
        <w:t>;</w:t>
      </w:r>
    </w:p>
    <w:p w:rsidR="00DC2484" w:rsidRPr="00C63BBA" w:rsidRDefault="00DC2484" w:rsidP="001132D4">
      <w:pPr>
        <w:numPr>
          <w:ilvl w:val="1"/>
          <w:numId w:val="13"/>
        </w:numPr>
        <w:tabs>
          <w:tab w:val="left" w:pos="993"/>
        </w:tabs>
        <w:jc w:val="both"/>
        <w:outlineLvl w:val="0"/>
      </w:pPr>
      <w:r w:rsidRPr="00C63BBA">
        <w:t>projekta īstenošanas nosacījumus;</w:t>
      </w:r>
    </w:p>
    <w:p w:rsidR="00907094" w:rsidRPr="00C63BBA" w:rsidRDefault="00907094" w:rsidP="001132D4">
      <w:pPr>
        <w:numPr>
          <w:ilvl w:val="1"/>
          <w:numId w:val="13"/>
        </w:numPr>
        <w:tabs>
          <w:tab w:val="left" w:pos="993"/>
        </w:tabs>
        <w:jc w:val="both"/>
        <w:outlineLvl w:val="0"/>
      </w:pPr>
      <w:r w:rsidRPr="00C63BBA">
        <w:t>atbalstāmo darbību un izmaksu attiecināmības nosacījumus;</w:t>
      </w:r>
    </w:p>
    <w:p w:rsidR="00DC2484" w:rsidRPr="00C63BBA" w:rsidRDefault="00DC2484" w:rsidP="00DC2484">
      <w:pPr>
        <w:numPr>
          <w:ilvl w:val="1"/>
          <w:numId w:val="13"/>
        </w:numPr>
        <w:tabs>
          <w:tab w:val="left" w:pos="993"/>
        </w:tabs>
        <w:jc w:val="both"/>
        <w:outlineLvl w:val="0"/>
      </w:pPr>
      <w:r w:rsidRPr="00C63BBA">
        <w:t>ar valsts atbalsta saņemšanu saistītos nosacījumus;</w:t>
      </w:r>
    </w:p>
    <w:p w:rsidR="00907094" w:rsidRPr="00C63BBA" w:rsidRDefault="00DC2484" w:rsidP="00A147E8">
      <w:pPr>
        <w:numPr>
          <w:ilvl w:val="1"/>
          <w:numId w:val="13"/>
        </w:numPr>
        <w:tabs>
          <w:tab w:val="left" w:pos="993"/>
        </w:tabs>
        <w:jc w:val="both"/>
        <w:outlineLvl w:val="0"/>
      </w:pPr>
      <w:r w:rsidRPr="00C63BBA">
        <w:t>kredītiestādes garantijas vēstules nosacījumus.</w:t>
      </w:r>
    </w:p>
    <w:p w:rsidR="009025B3" w:rsidRPr="00C63BBA" w:rsidRDefault="00464DB1" w:rsidP="00464DB1">
      <w:pPr>
        <w:numPr>
          <w:ilvl w:val="0"/>
          <w:numId w:val="13"/>
        </w:numPr>
        <w:spacing w:before="120"/>
        <w:ind w:left="357" w:hanging="357"/>
        <w:jc w:val="both"/>
        <w:outlineLvl w:val="0"/>
      </w:pPr>
      <w:r w:rsidRPr="00C63BBA">
        <w:t>Pasākumu</w:t>
      </w:r>
      <w:r w:rsidR="00802F91" w:rsidRPr="00C63BBA">
        <w:t xml:space="preserve"> īsteno </w:t>
      </w:r>
      <w:r w:rsidRPr="00C63BBA">
        <w:t>atklātas</w:t>
      </w:r>
      <w:r w:rsidR="00802F91" w:rsidRPr="00C63BBA">
        <w:t xml:space="preserve"> projektu iesniegumu atlases veidā</w:t>
      </w:r>
      <w:r w:rsidR="009025B3" w:rsidRPr="00C63BBA">
        <w:t>.</w:t>
      </w:r>
    </w:p>
    <w:p w:rsidR="00802F91" w:rsidRPr="00C63BBA" w:rsidRDefault="00464DB1" w:rsidP="006C0A4C">
      <w:pPr>
        <w:numPr>
          <w:ilvl w:val="0"/>
          <w:numId w:val="13"/>
        </w:numPr>
        <w:spacing w:before="120"/>
        <w:ind w:left="357" w:hanging="357"/>
        <w:jc w:val="both"/>
        <w:outlineLvl w:val="0"/>
      </w:pPr>
      <w:r w:rsidRPr="00C63BBA">
        <w:t>Pasākuma</w:t>
      </w:r>
      <w:r w:rsidR="00802F91" w:rsidRPr="00C63BBA">
        <w:t xml:space="preserve"> </w:t>
      </w:r>
      <w:r w:rsidR="00401DC8" w:rsidRPr="00C63BBA">
        <w:t xml:space="preserve">īstenošanu nodrošina </w:t>
      </w:r>
      <w:r w:rsidRPr="00C63BBA">
        <w:t>Ekonomikas</w:t>
      </w:r>
      <w:r w:rsidR="00401DC8" w:rsidRPr="00C63BBA">
        <w:t xml:space="preserve"> ministrija kā atbildīgā iestāde un </w:t>
      </w:r>
      <w:r w:rsidR="00C5239F" w:rsidRPr="00C63BBA">
        <w:t>Centrālā finanšu un līgumu aģentūra</w:t>
      </w:r>
      <w:r w:rsidRPr="00C63BBA">
        <w:t xml:space="preserve"> </w:t>
      </w:r>
      <w:r w:rsidR="00401DC8" w:rsidRPr="00C63BBA">
        <w:t>kā sadarbības iestāde.</w:t>
      </w:r>
    </w:p>
    <w:p w:rsidR="00CB1490" w:rsidRPr="00C63BBA" w:rsidRDefault="00CB1490" w:rsidP="0046549D">
      <w:pPr>
        <w:spacing w:before="120"/>
        <w:jc w:val="both"/>
        <w:outlineLvl w:val="0"/>
      </w:pPr>
    </w:p>
    <w:p w:rsidR="00EE4587" w:rsidRPr="00C63BBA" w:rsidRDefault="00217EE4" w:rsidP="0013713B">
      <w:pPr>
        <w:pStyle w:val="ListParagraph"/>
        <w:spacing w:before="40" w:after="40"/>
        <w:ind w:left="0"/>
        <w:jc w:val="center"/>
        <w:rPr>
          <w:rFonts w:eastAsiaTheme="minorHAnsi"/>
          <w:b/>
          <w:bCs/>
          <w:sz w:val="25"/>
          <w:szCs w:val="25"/>
          <w:lang w:eastAsia="en-US"/>
        </w:rPr>
      </w:pPr>
      <w:r w:rsidRPr="00C63BBA">
        <w:rPr>
          <w:rFonts w:eastAsiaTheme="minorHAnsi"/>
          <w:b/>
          <w:bCs/>
          <w:sz w:val="25"/>
          <w:szCs w:val="25"/>
          <w:lang w:eastAsia="en-US"/>
        </w:rPr>
        <w:t>II.</w:t>
      </w:r>
      <w:r w:rsidR="00907094" w:rsidRPr="00C63BBA">
        <w:rPr>
          <w:rFonts w:eastAsiaTheme="minorHAnsi"/>
          <w:b/>
          <w:bCs/>
          <w:sz w:val="25"/>
          <w:szCs w:val="25"/>
          <w:lang w:eastAsia="en-US"/>
        </w:rPr>
        <w:t xml:space="preserve"> </w:t>
      </w:r>
      <w:r w:rsidR="00600621" w:rsidRPr="00C63BBA">
        <w:rPr>
          <w:rFonts w:eastAsiaTheme="minorHAnsi"/>
          <w:b/>
          <w:bCs/>
          <w:sz w:val="25"/>
          <w:szCs w:val="25"/>
          <w:lang w:eastAsia="en-US"/>
        </w:rPr>
        <w:t>Pasākuma</w:t>
      </w:r>
      <w:r w:rsidR="008A346D" w:rsidRPr="00C63BBA">
        <w:rPr>
          <w:rFonts w:eastAsiaTheme="minorHAnsi"/>
          <w:b/>
          <w:bCs/>
          <w:sz w:val="25"/>
          <w:szCs w:val="25"/>
          <w:lang w:eastAsia="en-US"/>
        </w:rPr>
        <w:t xml:space="preserve"> </w:t>
      </w:r>
      <w:r w:rsidR="00802F91" w:rsidRPr="00C63BBA">
        <w:rPr>
          <w:rFonts w:eastAsiaTheme="minorHAnsi"/>
          <w:b/>
          <w:bCs/>
          <w:sz w:val="25"/>
          <w:szCs w:val="25"/>
          <w:lang w:eastAsia="en-US"/>
        </w:rPr>
        <w:t>mērķis</w:t>
      </w:r>
      <w:r w:rsidR="00B16933" w:rsidRPr="00C63BBA">
        <w:rPr>
          <w:rFonts w:eastAsiaTheme="minorHAnsi"/>
          <w:b/>
          <w:bCs/>
          <w:sz w:val="25"/>
          <w:szCs w:val="25"/>
          <w:lang w:eastAsia="en-US"/>
        </w:rPr>
        <w:t xml:space="preserve"> un sasniedzamie rādītāji</w:t>
      </w:r>
    </w:p>
    <w:p w:rsidR="008E12EC" w:rsidRPr="00C63BBA" w:rsidRDefault="0079009A" w:rsidP="00D75FBE">
      <w:pPr>
        <w:numPr>
          <w:ilvl w:val="0"/>
          <w:numId w:val="13"/>
        </w:numPr>
        <w:spacing w:before="120"/>
        <w:jc w:val="both"/>
        <w:outlineLvl w:val="0"/>
      </w:pPr>
      <w:r w:rsidRPr="00C63BBA">
        <w:t>Pasākuma</w:t>
      </w:r>
      <w:r w:rsidR="002B5981" w:rsidRPr="00C63BBA">
        <w:t xml:space="preserve"> </w:t>
      </w:r>
      <w:r w:rsidR="00802F91" w:rsidRPr="00C63BBA">
        <w:t>mērķis</w:t>
      </w:r>
      <w:r w:rsidR="00520187" w:rsidRPr="00C63BBA">
        <w:t xml:space="preserve"> ir</w:t>
      </w:r>
      <w:r w:rsidR="00802F91" w:rsidRPr="00C63BBA">
        <w:t xml:space="preserve"> </w:t>
      </w:r>
      <w:r w:rsidR="00DC2484" w:rsidRPr="00C63BBA">
        <w:t>ieviest</w:t>
      </w:r>
      <w:r w:rsidR="00D75FBE" w:rsidRPr="00C63BBA">
        <w:t xml:space="preserve"> ražošanā</w:t>
      </w:r>
      <w:r w:rsidRPr="00C63BBA">
        <w:t xml:space="preserve"> jaunu</w:t>
      </w:r>
      <w:r w:rsidR="00D75FBE" w:rsidRPr="00C63BBA">
        <w:t>s</w:t>
      </w:r>
      <w:r w:rsidRPr="00C63BBA">
        <w:t xml:space="preserve"> produktu</w:t>
      </w:r>
      <w:r w:rsidR="00D75FBE" w:rsidRPr="00C63BBA">
        <w:t>s</w:t>
      </w:r>
      <w:r w:rsidRPr="00C63BBA">
        <w:t xml:space="preserve"> un tehnoloģij</w:t>
      </w:r>
      <w:r w:rsidR="00D75FBE" w:rsidRPr="00C63BBA">
        <w:t>as</w:t>
      </w:r>
      <w:r w:rsidRPr="00C63BBA">
        <w:t xml:space="preserve"> un </w:t>
      </w:r>
      <w:r w:rsidR="00D75FBE" w:rsidRPr="00C63BBA">
        <w:t xml:space="preserve">paaugstināt </w:t>
      </w:r>
      <w:r w:rsidRPr="00C63BBA">
        <w:t>komersantu produktivitāt</w:t>
      </w:r>
      <w:r w:rsidR="00D75FBE" w:rsidRPr="00C63BBA">
        <w:t>i,</w:t>
      </w:r>
      <w:r w:rsidR="006D6E56" w:rsidRPr="00C63BBA">
        <w:t xml:space="preserve"> un</w:t>
      </w:r>
      <w:r w:rsidR="00D75FBE" w:rsidRPr="00C63BBA">
        <w:t xml:space="preserve"> projekta rezultātā nodrošinātu komersantu pētniecības un attīstības darbu</w:t>
      </w:r>
      <w:r w:rsidR="00871648" w:rsidRPr="00C63BBA">
        <w:t>s</w:t>
      </w:r>
      <w:r w:rsidR="00D75FBE" w:rsidRPr="00C63BBA">
        <w:t xml:space="preserve"> </w:t>
      </w:r>
      <w:r w:rsidR="00C41B38">
        <w:t xml:space="preserve">ik gadu </w:t>
      </w:r>
      <w:r w:rsidR="00D75FBE" w:rsidRPr="00C63BBA">
        <w:t>vismaz 0,72% apmērā no</w:t>
      </w:r>
      <w:r w:rsidR="00DC2484" w:rsidRPr="00C63BBA">
        <w:t xml:space="preserve"> </w:t>
      </w:r>
      <w:r w:rsidR="00D75FBE" w:rsidRPr="00C63BBA">
        <w:t xml:space="preserve">komersanta </w:t>
      </w:r>
      <w:r w:rsidR="006D6E56" w:rsidRPr="00C63BBA">
        <w:t xml:space="preserve">gada </w:t>
      </w:r>
      <w:r w:rsidR="00C41B38">
        <w:t xml:space="preserve">neto </w:t>
      </w:r>
      <w:r w:rsidR="00D75FBE" w:rsidRPr="00C63BBA">
        <w:t xml:space="preserve">apgrozījuma </w:t>
      </w:r>
      <w:r w:rsidR="006D6E56" w:rsidRPr="00C63BBA">
        <w:t>mikro, mazajiem un vidējiem komersantiem trīs gadus, lielajiem komersantiem piecus gadus</w:t>
      </w:r>
      <w:r w:rsidR="00C41B38">
        <w:t xml:space="preserve"> pēc projekta īstenošanas</w:t>
      </w:r>
      <w:r w:rsidR="006D6E56" w:rsidRPr="00C63BBA">
        <w:t xml:space="preserve"> (turpmāk - </w:t>
      </w:r>
      <w:r w:rsidR="00871648" w:rsidRPr="00C63BBA">
        <w:t>projekta uzraudzības period</w:t>
      </w:r>
      <w:r w:rsidR="006D6E56" w:rsidRPr="00C63BBA">
        <w:t>s)</w:t>
      </w:r>
      <w:r w:rsidR="008E12EC" w:rsidRPr="00C63BBA">
        <w:t>.</w:t>
      </w:r>
    </w:p>
    <w:p w:rsidR="00802F91" w:rsidRPr="00C63BBA" w:rsidRDefault="00CB1490" w:rsidP="006C0A4C">
      <w:pPr>
        <w:numPr>
          <w:ilvl w:val="0"/>
          <w:numId w:val="13"/>
        </w:numPr>
        <w:spacing w:before="120"/>
        <w:ind w:left="357" w:hanging="357"/>
        <w:jc w:val="both"/>
        <w:outlineLvl w:val="0"/>
      </w:pPr>
      <w:r w:rsidRPr="00C63BBA">
        <w:t xml:space="preserve">Pasākuma </w:t>
      </w:r>
      <w:r w:rsidR="0082067D" w:rsidRPr="00C63BBA">
        <w:t>mērķa</w:t>
      </w:r>
      <w:r w:rsidR="00802F91" w:rsidRPr="00C63BBA">
        <w:t xml:space="preserve"> grupa ir </w:t>
      </w:r>
      <w:r w:rsidR="00D03950" w:rsidRPr="00C63BBA">
        <w:t>komersanti</w:t>
      </w:r>
      <w:r w:rsidR="001478E8" w:rsidRPr="00C63BBA">
        <w:t>.</w:t>
      </w:r>
    </w:p>
    <w:p w:rsidR="00802F91" w:rsidRPr="00C63BBA" w:rsidRDefault="00C919C1" w:rsidP="006C0A4C">
      <w:pPr>
        <w:numPr>
          <w:ilvl w:val="0"/>
          <w:numId w:val="13"/>
        </w:numPr>
        <w:spacing w:before="120"/>
        <w:ind w:left="357" w:hanging="357"/>
        <w:jc w:val="both"/>
        <w:outlineLvl w:val="0"/>
      </w:pPr>
      <w:r w:rsidRPr="00C63BBA">
        <w:t>Pasākumu</w:t>
      </w:r>
      <w:r w:rsidR="0082067D" w:rsidRPr="00C63BBA">
        <w:t xml:space="preserve"> </w:t>
      </w:r>
      <w:r w:rsidR="00802F91" w:rsidRPr="00C63BBA">
        <w:t>īsteno līdz 2023.gada</w:t>
      </w:r>
      <w:r w:rsidR="00CB1490" w:rsidRPr="00C63BBA">
        <w:t xml:space="preserve"> 31.decembrim</w:t>
      </w:r>
      <w:r w:rsidR="00D03950" w:rsidRPr="00C63BBA">
        <w:t>,</w:t>
      </w:r>
      <w:r w:rsidR="00802F91" w:rsidRPr="00C63BBA">
        <w:t xml:space="preserve"> sasniedzot šādus iznākuma un finanšu rādītājus:</w:t>
      </w:r>
    </w:p>
    <w:p w:rsidR="00C514A2" w:rsidRPr="00C63BBA" w:rsidRDefault="00C514A2" w:rsidP="00C514A2">
      <w:pPr>
        <w:numPr>
          <w:ilvl w:val="1"/>
          <w:numId w:val="13"/>
        </w:numPr>
        <w:tabs>
          <w:tab w:val="left" w:pos="993"/>
        </w:tabs>
        <w:jc w:val="both"/>
        <w:outlineLvl w:val="0"/>
      </w:pPr>
      <w:r w:rsidRPr="00C63BBA">
        <w:t>iznākuma rādītāji:</w:t>
      </w:r>
    </w:p>
    <w:p w:rsidR="00C514A2" w:rsidRPr="00C63BBA" w:rsidRDefault="005553EF" w:rsidP="00C514A2">
      <w:pPr>
        <w:numPr>
          <w:ilvl w:val="2"/>
          <w:numId w:val="13"/>
        </w:numPr>
        <w:jc w:val="both"/>
        <w:outlineLvl w:val="0"/>
      </w:pPr>
      <w:r w:rsidRPr="00C63BBA">
        <w:t xml:space="preserve">atbalstīto komersantu skaits </w:t>
      </w:r>
      <w:r w:rsidR="00C514A2" w:rsidRPr="00C63BBA">
        <w:t xml:space="preserve">– </w:t>
      </w:r>
      <w:r w:rsidRPr="00C63BBA">
        <w:t>7</w:t>
      </w:r>
      <w:r w:rsidR="00F03DBC" w:rsidRPr="00C63BBA">
        <w:t>0</w:t>
      </w:r>
      <w:r w:rsidR="00C514A2" w:rsidRPr="00C63BBA">
        <w:t xml:space="preserve"> komersanti;</w:t>
      </w:r>
    </w:p>
    <w:p w:rsidR="00C514A2" w:rsidRPr="00C63BBA" w:rsidRDefault="005553EF" w:rsidP="005553EF">
      <w:pPr>
        <w:numPr>
          <w:ilvl w:val="2"/>
          <w:numId w:val="13"/>
        </w:numPr>
        <w:jc w:val="both"/>
        <w:outlineLvl w:val="0"/>
      </w:pPr>
      <w:r w:rsidRPr="00C63BBA">
        <w:lastRenderedPageBreak/>
        <w:t>jaunradīto produktu un tehnoloģiju skaits atbalstītajos uzņēmumos pēc atbalsta saņemšanas</w:t>
      </w:r>
      <w:r w:rsidR="00CB1490" w:rsidRPr="00C63BBA">
        <w:t>. Rādītāja novērtēšanai</w:t>
      </w:r>
      <w:r w:rsidRPr="00C63BBA">
        <w:t xml:space="preserve"> tiks uzkrātas faktiskās vērtības no </w:t>
      </w:r>
      <w:r w:rsidR="00CB1490" w:rsidRPr="00C63BBA">
        <w:t xml:space="preserve">finansējuma saņēmēju </w:t>
      </w:r>
      <w:r w:rsidRPr="00C63BBA">
        <w:t>atskaitēm.</w:t>
      </w:r>
    </w:p>
    <w:p w:rsidR="0013713B" w:rsidRPr="00C63BBA" w:rsidRDefault="00802F91" w:rsidP="001132D4">
      <w:pPr>
        <w:numPr>
          <w:ilvl w:val="1"/>
          <w:numId w:val="13"/>
        </w:numPr>
        <w:tabs>
          <w:tab w:val="left" w:pos="993"/>
        </w:tabs>
        <w:jc w:val="both"/>
        <w:outlineLvl w:val="0"/>
      </w:pPr>
      <w:r w:rsidRPr="00C63BBA">
        <w:t>finanšu rādītājs – līdz 2018.gadam sertificēti izdevumi</w:t>
      </w:r>
      <w:r w:rsidR="00374FF3" w:rsidRPr="00C63BBA">
        <w:t xml:space="preserve"> vismaz</w:t>
      </w:r>
      <w:r w:rsidRPr="00C63BBA">
        <w:t xml:space="preserve"> </w:t>
      </w:r>
      <w:r w:rsidR="00457A11" w:rsidRPr="00C63BBA">
        <w:t>9 000 000</w:t>
      </w:r>
      <w:r w:rsidR="0022485C" w:rsidRPr="00C63BBA">
        <w:t xml:space="preserve"> </w:t>
      </w:r>
      <w:r w:rsidR="00094FAE" w:rsidRPr="00C63BBA">
        <w:rPr>
          <w:i/>
        </w:rPr>
        <w:t>euro</w:t>
      </w:r>
      <w:r w:rsidRPr="00C63BBA">
        <w:t xml:space="preserve"> apmērā.</w:t>
      </w:r>
    </w:p>
    <w:p w:rsidR="00716E45" w:rsidRPr="00C63BBA" w:rsidRDefault="00716E45" w:rsidP="00716E45">
      <w:pPr>
        <w:pStyle w:val="ListParagraph"/>
        <w:spacing w:before="40" w:after="40"/>
        <w:ind w:left="0"/>
        <w:jc w:val="center"/>
        <w:rPr>
          <w:rFonts w:eastAsiaTheme="minorHAnsi"/>
          <w:b/>
          <w:bCs/>
          <w:sz w:val="25"/>
          <w:szCs w:val="25"/>
          <w:lang w:eastAsia="en-US"/>
        </w:rPr>
      </w:pPr>
    </w:p>
    <w:p w:rsidR="00802F91" w:rsidRPr="00C63BBA" w:rsidRDefault="00716E45" w:rsidP="00716E45">
      <w:pPr>
        <w:pStyle w:val="ListParagraph"/>
        <w:spacing w:before="40" w:after="40"/>
        <w:ind w:left="0"/>
        <w:jc w:val="center"/>
        <w:rPr>
          <w:rFonts w:eastAsiaTheme="minorHAnsi"/>
          <w:b/>
          <w:bCs/>
          <w:sz w:val="25"/>
          <w:szCs w:val="25"/>
          <w:lang w:eastAsia="en-US"/>
        </w:rPr>
      </w:pPr>
      <w:r w:rsidRPr="00C63BBA">
        <w:rPr>
          <w:rFonts w:eastAsiaTheme="minorHAnsi"/>
          <w:b/>
          <w:bCs/>
          <w:sz w:val="25"/>
          <w:szCs w:val="25"/>
          <w:lang w:eastAsia="en-US"/>
        </w:rPr>
        <w:t>III.</w:t>
      </w:r>
      <w:r w:rsidRPr="00C63BBA">
        <w:rPr>
          <w:rFonts w:eastAsiaTheme="minorHAnsi"/>
          <w:b/>
          <w:bCs/>
          <w:sz w:val="25"/>
          <w:szCs w:val="25"/>
          <w:lang w:eastAsia="en-US"/>
        </w:rPr>
        <w:tab/>
      </w:r>
      <w:r w:rsidR="00DC2484" w:rsidRPr="00C63BBA">
        <w:rPr>
          <w:rFonts w:eastAsiaTheme="minorHAnsi"/>
          <w:b/>
          <w:bCs/>
          <w:sz w:val="25"/>
          <w:szCs w:val="25"/>
          <w:lang w:eastAsia="en-US"/>
        </w:rPr>
        <w:t xml:space="preserve">Pasākumam </w:t>
      </w:r>
      <w:r w:rsidRPr="00C63BBA">
        <w:rPr>
          <w:rFonts w:eastAsiaTheme="minorHAnsi"/>
          <w:b/>
          <w:bCs/>
          <w:sz w:val="25"/>
          <w:szCs w:val="25"/>
          <w:lang w:eastAsia="en-US"/>
        </w:rPr>
        <w:t>pieejamais finansējums</w:t>
      </w:r>
      <w:r w:rsidR="009D0A46" w:rsidRPr="00C63BBA">
        <w:rPr>
          <w:rFonts w:eastAsiaTheme="minorHAnsi"/>
          <w:b/>
          <w:bCs/>
          <w:sz w:val="25"/>
          <w:szCs w:val="25"/>
          <w:lang w:eastAsia="en-US"/>
        </w:rPr>
        <w:t xml:space="preserve"> </w:t>
      </w:r>
    </w:p>
    <w:p w:rsidR="00716E45" w:rsidRPr="00C63BBA" w:rsidRDefault="006F2C05" w:rsidP="006C0A4C">
      <w:pPr>
        <w:numPr>
          <w:ilvl w:val="0"/>
          <w:numId w:val="13"/>
        </w:numPr>
        <w:spacing w:before="120"/>
        <w:ind w:left="357" w:hanging="357"/>
        <w:jc w:val="both"/>
        <w:outlineLvl w:val="0"/>
      </w:pPr>
      <w:r w:rsidRPr="00C63BBA">
        <w:t>Pasākuma</w:t>
      </w:r>
      <w:r w:rsidR="00716E45" w:rsidRPr="00C63BBA">
        <w:t xml:space="preserve"> </w:t>
      </w:r>
      <w:r w:rsidR="00F90835" w:rsidRPr="00C63BBA">
        <w:t>ietvaros pieejam</w:t>
      </w:r>
      <w:r w:rsidR="001D6826" w:rsidRPr="00C63BBA">
        <w:t>o</w:t>
      </w:r>
      <w:r w:rsidR="00F90835" w:rsidRPr="00C63BBA">
        <w:t xml:space="preserve"> publisk</w:t>
      </w:r>
      <w:r w:rsidR="001D6826" w:rsidRPr="00C63BBA">
        <w:t>o</w:t>
      </w:r>
      <w:r w:rsidR="00F90835" w:rsidRPr="00C63BBA">
        <w:t xml:space="preserve"> finansējum</w:t>
      </w:r>
      <w:r w:rsidR="007455C6" w:rsidRPr="00C63BBA">
        <w:t>u veido</w:t>
      </w:r>
      <w:r w:rsidR="001D6826" w:rsidRPr="00C63BBA">
        <w:t xml:space="preserve"> ERAF</w:t>
      </w:r>
      <w:r w:rsidR="00716E45" w:rsidRPr="00C63BBA">
        <w:t xml:space="preserve"> – </w:t>
      </w:r>
      <w:r w:rsidRPr="00C63BBA">
        <w:t>60 000 000</w:t>
      </w:r>
      <w:r w:rsidR="00F90835" w:rsidRPr="00C63BBA">
        <w:t xml:space="preserve"> </w:t>
      </w:r>
      <w:r w:rsidR="00094FAE" w:rsidRPr="00C63BBA">
        <w:rPr>
          <w:i/>
        </w:rPr>
        <w:t>euro</w:t>
      </w:r>
      <w:r w:rsidR="00716E45" w:rsidRPr="00C63BBA">
        <w:t>.</w:t>
      </w:r>
    </w:p>
    <w:p w:rsidR="00520187" w:rsidRPr="00C63BBA" w:rsidRDefault="001D6826">
      <w:pPr>
        <w:numPr>
          <w:ilvl w:val="0"/>
          <w:numId w:val="13"/>
        </w:numPr>
        <w:spacing w:before="120"/>
        <w:ind w:left="357" w:hanging="357"/>
        <w:jc w:val="both"/>
        <w:outlineLvl w:val="0"/>
      </w:pPr>
      <w:r w:rsidRPr="00C63BBA">
        <w:t>ERAF</w:t>
      </w:r>
      <w:r w:rsidR="00CD5FD6" w:rsidRPr="00C63BBA">
        <w:t xml:space="preserve"> līdzfinansējum</w:t>
      </w:r>
      <w:r w:rsidR="00C7769B" w:rsidRPr="00C63BBA">
        <w:t>a likme</w:t>
      </w:r>
      <w:r w:rsidR="0060534A" w:rsidRPr="00C63BBA">
        <w:t xml:space="preserve"> </w:t>
      </w:r>
      <w:r w:rsidR="000A3430" w:rsidRPr="00C63BBA">
        <w:t>no projekta iesniegumā norādītajām kopējām atti</w:t>
      </w:r>
      <w:r w:rsidR="007A42CE" w:rsidRPr="00C63BBA">
        <w:t>ecināmajām izmaksām nepārsniedz 35%.</w:t>
      </w:r>
    </w:p>
    <w:p w:rsidR="00F9576A" w:rsidRPr="00C63BBA" w:rsidRDefault="00E75017" w:rsidP="00E75017">
      <w:pPr>
        <w:numPr>
          <w:ilvl w:val="0"/>
          <w:numId w:val="13"/>
        </w:numPr>
        <w:spacing w:before="120"/>
        <w:jc w:val="both"/>
        <w:outlineLvl w:val="0"/>
      </w:pPr>
      <w:r w:rsidRPr="00C63BBA">
        <w:t>Finansējuma saņēmējs, izmantojot savus resursus vai ārējo finansējumu, kas nav saistīts ar jebkādu komercdarbības atbalstu, projekta īstenošanā iegulda vismaz 25 % no projekta kopējām attiecināmajām izmaksām.</w:t>
      </w:r>
    </w:p>
    <w:p w:rsidR="00F9576A" w:rsidRPr="00C63BBA" w:rsidRDefault="00F9576A" w:rsidP="00F9576A">
      <w:pPr>
        <w:numPr>
          <w:ilvl w:val="0"/>
          <w:numId w:val="13"/>
        </w:numPr>
        <w:spacing w:before="120"/>
        <w:ind w:left="357" w:hanging="357"/>
        <w:jc w:val="both"/>
        <w:outlineLvl w:val="0"/>
      </w:pPr>
      <w:r w:rsidRPr="00C63BBA">
        <w:t xml:space="preserve">Projekta minimālais </w:t>
      </w:r>
      <w:r w:rsidR="00B62668" w:rsidRPr="00C63BBA">
        <w:t xml:space="preserve">attiecināmo </w:t>
      </w:r>
      <w:r w:rsidR="005B6BAE" w:rsidRPr="00C63BBA">
        <w:t>izmaksu</w:t>
      </w:r>
      <w:r w:rsidR="0029234C" w:rsidRPr="00C63BBA">
        <w:t xml:space="preserve"> apmērs nav mazāks par 5</w:t>
      </w:r>
      <w:r w:rsidRPr="00C63BBA">
        <w:t xml:space="preserve">0 000 </w:t>
      </w:r>
      <w:r w:rsidRPr="00C63BBA">
        <w:rPr>
          <w:i/>
        </w:rPr>
        <w:t>euro</w:t>
      </w:r>
      <w:r w:rsidRPr="00C63BBA">
        <w:t>.</w:t>
      </w:r>
    </w:p>
    <w:p w:rsidR="000E1F83" w:rsidRPr="00C63BBA" w:rsidRDefault="006F2C05" w:rsidP="00044C73">
      <w:pPr>
        <w:numPr>
          <w:ilvl w:val="0"/>
          <w:numId w:val="13"/>
        </w:numPr>
        <w:spacing w:before="120"/>
        <w:jc w:val="both"/>
        <w:outlineLvl w:val="0"/>
      </w:pPr>
      <w:r w:rsidRPr="00C63BBA">
        <w:t>P</w:t>
      </w:r>
      <w:r w:rsidR="000E1F83" w:rsidRPr="00C63BBA">
        <w:t>asākuma</w:t>
      </w:r>
      <w:r w:rsidR="00684AE1" w:rsidRPr="00C63BBA">
        <w:t xml:space="preserve"> </w:t>
      </w:r>
      <w:r w:rsidR="000E1F83" w:rsidRPr="00C63BBA">
        <w:t xml:space="preserve">ietvaros </w:t>
      </w:r>
      <w:r w:rsidR="00044C73" w:rsidRPr="00C63BBA">
        <w:t xml:space="preserve">vienai projekta iesniedzēja saistīto personu grupai kopējais ERAF finansējums nepārsniedz 2 </w:t>
      </w:r>
      <w:r w:rsidR="00D54FFF" w:rsidRPr="00C63BBA">
        <w:t>000</w:t>
      </w:r>
      <w:r w:rsidR="00044C73" w:rsidRPr="00C63BBA">
        <w:t xml:space="preserve"> 000 </w:t>
      </w:r>
      <w:r w:rsidR="00044C73" w:rsidRPr="00C63BBA">
        <w:rPr>
          <w:i/>
        </w:rPr>
        <w:t>euro</w:t>
      </w:r>
      <w:r w:rsidR="00044C73" w:rsidRPr="00C63BBA">
        <w:t>.</w:t>
      </w:r>
    </w:p>
    <w:p w:rsidR="00802F91" w:rsidRPr="00C63BBA" w:rsidRDefault="00802F91" w:rsidP="000624AA">
      <w:pPr>
        <w:spacing w:after="120"/>
        <w:jc w:val="both"/>
        <w:outlineLvl w:val="0"/>
      </w:pPr>
    </w:p>
    <w:p w:rsidR="000624AA" w:rsidRPr="00C63BBA" w:rsidRDefault="000624AA" w:rsidP="000624AA">
      <w:pPr>
        <w:pStyle w:val="ListParagraph"/>
        <w:spacing w:before="40" w:after="40"/>
        <w:ind w:left="0"/>
        <w:jc w:val="center"/>
        <w:rPr>
          <w:rFonts w:eastAsiaTheme="minorHAnsi"/>
          <w:b/>
          <w:bCs/>
          <w:sz w:val="25"/>
          <w:szCs w:val="25"/>
          <w:lang w:eastAsia="en-US"/>
        </w:rPr>
      </w:pPr>
      <w:r w:rsidRPr="00C63BBA">
        <w:rPr>
          <w:rFonts w:eastAsiaTheme="minorHAnsi"/>
          <w:b/>
          <w:bCs/>
          <w:sz w:val="25"/>
          <w:szCs w:val="25"/>
          <w:lang w:eastAsia="en-US"/>
        </w:rPr>
        <w:t>IV.</w:t>
      </w:r>
      <w:r w:rsidRPr="00C63BBA">
        <w:rPr>
          <w:rFonts w:eastAsiaTheme="minorHAnsi"/>
          <w:b/>
          <w:bCs/>
          <w:sz w:val="25"/>
          <w:szCs w:val="25"/>
          <w:lang w:eastAsia="en-US"/>
        </w:rPr>
        <w:tab/>
        <w:t>Prasības projekta iesn</w:t>
      </w:r>
      <w:r w:rsidR="003B08BD" w:rsidRPr="00C63BBA">
        <w:rPr>
          <w:rFonts w:eastAsiaTheme="minorHAnsi"/>
          <w:b/>
          <w:bCs/>
          <w:sz w:val="25"/>
          <w:szCs w:val="25"/>
          <w:lang w:eastAsia="en-US"/>
        </w:rPr>
        <w:t>iedzējam</w:t>
      </w:r>
    </w:p>
    <w:p w:rsidR="007023AA" w:rsidRPr="00C63BBA" w:rsidRDefault="00EF02BC" w:rsidP="00CD2474">
      <w:pPr>
        <w:numPr>
          <w:ilvl w:val="0"/>
          <w:numId w:val="13"/>
        </w:numPr>
        <w:spacing w:before="120"/>
        <w:jc w:val="both"/>
        <w:outlineLvl w:val="0"/>
      </w:pPr>
      <w:r w:rsidRPr="00C63BBA">
        <w:t>Projekta iesniedzējs ir</w:t>
      </w:r>
      <w:r w:rsidR="006E5680" w:rsidRPr="00C63BBA">
        <w:t xml:space="preserve"> </w:t>
      </w:r>
      <w:r w:rsidR="00CD2474" w:rsidRPr="00C63BBA">
        <w:t>Latvij</w:t>
      </w:r>
      <w:r w:rsidR="00DC2484" w:rsidRPr="00C63BBA">
        <w:t>as Republikā</w:t>
      </w:r>
      <w:r w:rsidR="00CD2474" w:rsidRPr="00C63BBA">
        <w:t xml:space="preserve"> reģistrēts </w:t>
      </w:r>
      <w:r w:rsidR="006E5680" w:rsidRPr="00C63BBA">
        <w:t>komersants</w:t>
      </w:r>
      <w:r w:rsidR="00CD2474" w:rsidRPr="00C63BBA">
        <w:t>, kurš atbilst šādiem darbības un finanšu rādītājiem:</w:t>
      </w:r>
    </w:p>
    <w:p w:rsidR="00CD2474" w:rsidRPr="00C63BBA" w:rsidRDefault="00CD2474" w:rsidP="00CD2474">
      <w:pPr>
        <w:numPr>
          <w:ilvl w:val="1"/>
          <w:numId w:val="13"/>
        </w:numPr>
        <w:spacing w:before="120"/>
        <w:jc w:val="both"/>
        <w:outlineLvl w:val="0"/>
      </w:pPr>
      <w:r w:rsidRPr="00C63BBA">
        <w:t>projekta iesniedzējs projekta iesniegumā ir pamatojis, ka no projekta ietvaros saražotās produkcijas vai sniegto</w:t>
      </w:r>
      <w:r w:rsidR="00C75107" w:rsidRPr="00C63BBA">
        <w:t xml:space="preserve"> </w:t>
      </w:r>
      <w:r w:rsidRPr="00C63BBA">
        <w:t xml:space="preserve">pakalpojumu apjoma tas eksportēs vismaz </w:t>
      </w:r>
      <w:r w:rsidR="00D274A9" w:rsidRPr="00C63BBA">
        <w:t>50</w:t>
      </w:r>
      <w:r w:rsidRPr="00C63BBA">
        <w:t xml:space="preserve"> % </w:t>
      </w:r>
      <w:r w:rsidR="008F2F6D" w:rsidRPr="00C63BBA">
        <w:t>gadā (</w:t>
      </w:r>
      <w:r w:rsidRPr="00C63BBA">
        <w:t>vidēji nākamo triju kalendāra gadu laikā pēc projekta īstenošanas</w:t>
      </w:r>
      <w:r w:rsidR="00C75107" w:rsidRPr="00C63BBA">
        <w:t xml:space="preserve"> </w:t>
      </w:r>
      <w:r w:rsidRPr="00C63BBA">
        <w:t>pabeigšanas);</w:t>
      </w:r>
    </w:p>
    <w:p w:rsidR="007905B6" w:rsidRPr="00C63BBA" w:rsidRDefault="007639D0" w:rsidP="00CD2474">
      <w:pPr>
        <w:numPr>
          <w:ilvl w:val="1"/>
          <w:numId w:val="13"/>
        </w:numPr>
        <w:spacing w:before="120"/>
        <w:jc w:val="both"/>
        <w:outlineLvl w:val="0"/>
      </w:pPr>
      <w:r w:rsidRPr="00C63BBA">
        <w:t xml:space="preserve">projekta iesniedzējs </w:t>
      </w:r>
      <w:r w:rsidR="007905B6" w:rsidRPr="00C63BBA">
        <w:t>projekta ietvaros rada vismaz vienu jaunizveidotu darbavietu</w:t>
      </w:r>
      <w:r w:rsidR="00871648" w:rsidRPr="00C63BBA">
        <w:t>, ko saglabā projekta uzraudzības laikā,</w:t>
      </w:r>
      <w:r w:rsidR="007905B6" w:rsidRPr="00C63BBA">
        <w:t xml:space="preserve"> par katriem 200 000 </w:t>
      </w:r>
      <w:r w:rsidR="007905B6" w:rsidRPr="00C63BBA">
        <w:rPr>
          <w:i/>
        </w:rPr>
        <w:t>euro</w:t>
      </w:r>
      <w:r w:rsidR="007905B6" w:rsidRPr="00C63BBA">
        <w:t xml:space="preserve"> no projekta iesniegumā norādīt</w:t>
      </w:r>
      <w:r w:rsidR="00080070" w:rsidRPr="00C63BBA">
        <w:t>ā ERAF finansējuma</w:t>
      </w:r>
      <w:r w:rsidR="007905B6" w:rsidRPr="00C63BBA">
        <w:t xml:space="preserve">. </w:t>
      </w:r>
      <w:r w:rsidR="00080070" w:rsidRPr="00C63BBA">
        <w:t xml:space="preserve">Ja projekta iesniegumā norādītais ERAF finansējums </w:t>
      </w:r>
      <w:r w:rsidR="007905B6" w:rsidRPr="00C63BBA">
        <w:t xml:space="preserve">ir mazākas par 200 000 </w:t>
      </w:r>
      <w:r w:rsidR="007905B6" w:rsidRPr="00C63BBA">
        <w:rPr>
          <w:i/>
        </w:rPr>
        <w:t>euro</w:t>
      </w:r>
      <w:r w:rsidR="007905B6" w:rsidRPr="00C63BBA">
        <w:t>, tad projekta ietvaros rada vismaz vienu jaunizveidotu darba vietu;</w:t>
      </w:r>
    </w:p>
    <w:p w:rsidR="00CD2474" w:rsidRPr="00C63BBA" w:rsidRDefault="00CD2474" w:rsidP="00CD2474">
      <w:pPr>
        <w:numPr>
          <w:ilvl w:val="1"/>
          <w:numId w:val="13"/>
        </w:numPr>
        <w:spacing w:before="120"/>
        <w:jc w:val="both"/>
        <w:outlineLvl w:val="0"/>
      </w:pPr>
      <w:r w:rsidRPr="00C63BBA">
        <w:t xml:space="preserve">projekta iesniedzējs ir iesniedzis šo noteikumu </w:t>
      </w:r>
      <w:r w:rsidR="008F2F6D" w:rsidRPr="00C63BBA">
        <w:fldChar w:fldCharType="begin"/>
      </w:r>
      <w:r w:rsidR="008F2F6D" w:rsidRPr="00C63BBA">
        <w:instrText xml:space="preserve"> REF _Ref416954639 \r \h </w:instrText>
      </w:r>
      <w:r w:rsidR="00AE73C2" w:rsidRPr="00C63BBA">
        <w:instrText xml:space="preserve"> \* MERGEFORMAT </w:instrText>
      </w:r>
      <w:r w:rsidR="008F2F6D" w:rsidRPr="00C63BBA">
        <w:fldChar w:fldCharType="separate"/>
      </w:r>
      <w:r w:rsidR="00EF30FE" w:rsidRPr="00C63BBA">
        <w:t>37</w:t>
      </w:r>
      <w:r w:rsidR="008F2F6D" w:rsidRPr="00C63BBA">
        <w:fldChar w:fldCharType="end"/>
      </w:r>
      <w:r w:rsidR="008F2F6D" w:rsidRPr="00C63BBA">
        <w:t>.</w:t>
      </w:r>
      <w:r w:rsidRPr="00C63BBA">
        <w:t>punktā minēto kredītiestādes garantijas vēstuli.</w:t>
      </w:r>
    </w:p>
    <w:p w:rsidR="00C75107" w:rsidRPr="00C63BBA" w:rsidRDefault="00C75107" w:rsidP="00C75107">
      <w:pPr>
        <w:numPr>
          <w:ilvl w:val="0"/>
          <w:numId w:val="13"/>
        </w:numPr>
        <w:spacing w:before="120"/>
        <w:jc w:val="both"/>
        <w:outlineLvl w:val="0"/>
      </w:pPr>
      <w:r w:rsidRPr="00C63BBA">
        <w:t>Uz finansējumu nevar pretendēt, ja:</w:t>
      </w:r>
    </w:p>
    <w:p w:rsidR="008F2F6D" w:rsidRPr="00C63BBA" w:rsidRDefault="008F2F6D" w:rsidP="008F2F6D">
      <w:pPr>
        <w:numPr>
          <w:ilvl w:val="1"/>
          <w:numId w:val="13"/>
        </w:numPr>
        <w:spacing w:before="120"/>
        <w:jc w:val="both"/>
        <w:outlineLvl w:val="0"/>
      </w:pPr>
      <w:r w:rsidRPr="00C63BBA">
        <w:t>projekta iesniedzējs atbilst Eiropas Savienības struktūrfondu un Kohēzijas fonda 2014.-2020.gada plānošanas perioda vadības likuma 23.pantā noteiktiem projekta iesniedzēju izslēgšanas noteikumiem</w:t>
      </w:r>
      <w:r w:rsidR="00871648" w:rsidRPr="00C63BBA">
        <w:t>;</w:t>
      </w:r>
    </w:p>
    <w:p w:rsidR="00C75107" w:rsidRPr="00C63BBA" w:rsidRDefault="00C75107" w:rsidP="007639D0">
      <w:pPr>
        <w:numPr>
          <w:ilvl w:val="1"/>
          <w:numId w:val="13"/>
        </w:numPr>
        <w:spacing w:before="120"/>
        <w:jc w:val="both"/>
        <w:outlineLvl w:val="0"/>
      </w:pPr>
      <w:r w:rsidRPr="00C63BBA">
        <w:t xml:space="preserve">projekta iesniedzējs atbilst grūtībās nonākuša komersanta statusam saskaņā ar </w:t>
      </w:r>
      <w:r w:rsidR="007639D0" w:rsidRPr="00C63BBA">
        <w:t>Komisijas 2014. gada 17. jūnija Regulu (ES) Nr. 651/2014, ar ko noteiktas atbalsta kategorijas atzīst par saderīgām ar iekšējo tirgu, piemērojot Līguma 107. un 108. pantu (Eiropas Savienības Oficiālais Vēstnesis, 2014. gada 26. jūnijs, Nr. L 187) (turpmāk – Komisijas regula Nr.651/2014)</w:t>
      </w:r>
      <w:r w:rsidR="00C858A7" w:rsidRPr="00C63BBA">
        <w:t xml:space="preserve"> </w:t>
      </w:r>
      <w:r w:rsidRPr="00C63BBA">
        <w:t>2. panta 18. punkta definīciju;</w:t>
      </w:r>
    </w:p>
    <w:p w:rsidR="00C75107" w:rsidRPr="00C63BBA" w:rsidRDefault="00C75107" w:rsidP="005E024A">
      <w:pPr>
        <w:numPr>
          <w:ilvl w:val="1"/>
          <w:numId w:val="13"/>
        </w:numPr>
        <w:spacing w:before="120"/>
        <w:jc w:val="both"/>
        <w:outlineLvl w:val="0"/>
      </w:pPr>
      <w:r w:rsidRPr="00C63BBA">
        <w:t>projekta iesniedzējs – lielais komersants – nav iesniedzis projekta iesniedzēja parakstītu apliecinājumu, ka</w:t>
      </w:r>
      <w:r w:rsidR="00C858A7" w:rsidRPr="00C63BBA">
        <w:t xml:space="preserve"> </w:t>
      </w:r>
      <w:r w:rsidRPr="00C63BBA">
        <w:t>saņemtais atbalsts netiks izmantots, lai pārvietotu ražošanas vai pakalpojumu sniegšanas infrastruktūru no citas</w:t>
      </w:r>
      <w:r w:rsidR="00C858A7" w:rsidRPr="00C63BBA">
        <w:t xml:space="preserve"> </w:t>
      </w:r>
      <w:r w:rsidRPr="00C63BBA">
        <w:t>Eiropas Savienības dalībvalsts;</w:t>
      </w:r>
    </w:p>
    <w:p w:rsidR="0055529B" w:rsidRPr="00C63BBA" w:rsidRDefault="00A13CA2" w:rsidP="002377B5">
      <w:pPr>
        <w:numPr>
          <w:ilvl w:val="1"/>
          <w:numId w:val="13"/>
        </w:numPr>
        <w:spacing w:before="120"/>
        <w:jc w:val="both"/>
        <w:outlineLvl w:val="0"/>
      </w:pPr>
      <w:r w:rsidRPr="00C63BBA">
        <w:t>projekta iesnie</w:t>
      </w:r>
      <w:r w:rsidR="00A147E8" w:rsidRPr="00C63BBA">
        <w:t>gumā paredzēts saņemt</w:t>
      </w:r>
      <w:r w:rsidRPr="00C63BBA">
        <w:t xml:space="preserve"> </w:t>
      </w:r>
      <w:r w:rsidR="00A147E8" w:rsidRPr="00C63BBA">
        <w:t xml:space="preserve">atbalstu </w:t>
      </w:r>
      <w:r w:rsidR="002377B5" w:rsidRPr="00C63BBA">
        <w:t>neatbalstāmā nozarē</w:t>
      </w:r>
      <w:r w:rsidR="00A147E8" w:rsidRPr="00C63BBA">
        <w:t>.</w:t>
      </w:r>
      <w:r w:rsidRPr="00C63BBA">
        <w:t xml:space="preserve"> </w:t>
      </w:r>
      <w:r w:rsidR="002377B5" w:rsidRPr="00C63BBA">
        <w:t xml:space="preserve">Ja kāda no nozarēm, kurā darbojas projekta iesniedzējs, nav atbalstāma un projekta iesniedzējs </w:t>
      </w:r>
      <w:r w:rsidR="002377B5" w:rsidRPr="00C63BBA">
        <w:lastRenderedPageBreak/>
        <w:t>pretendē uz projekta īstenošanu atbalstāmajā nozarē, projekta iesniedzējs skaidri nodala atbalstāmās nozares projekta īstenošanas finanšu plūsmas no citu darbības nozaru finanšu plūsmām projekta īstenošanas laikā un trīs gadus pēc projekta īstenošanas, ja finansējuma saņēmējs atbilst sīko (mikro), mazo un vidējo komersantu statusam, bet piecus gadus pēc projekta īstenošanas, ja tas atbilst lielo komersantu statusam. Neatbalstāmās nozares ir uzskaitītas šo noteikumu 1.pielikumā</w:t>
      </w:r>
      <w:r w:rsidR="0055529B" w:rsidRPr="00C63BBA">
        <w:t>;</w:t>
      </w:r>
    </w:p>
    <w:p w:rsidR="00C75107" w:rsidRPr="00C63BBA" w:rsidRDefault="0055529B" w:rsidP="0055529B">
      <w:pPr>
        <w:numPr>
          <w:ilvl w:val="1"/>
          <w:numId w:val="13"/>
        </w:numPr>
        <w:spacing w:before="120"/>
        <w:jc w:val="both"/>
        <w:outlineLvl w:val="0"/>
      </w:pPr>
      <w:r w:rsidRPr="00C63BBA">
        <w:t>uz projekta iesniedzēju attiecas līdzekļu atgūšanas rīkojums, kas minēts Komisijas regulas Nr. 651/2014 1. panta 4. punkta "a" apakšpunktā</w:t>
      </w:r>
      <w:r w:rsidR="00C75107" w:rsidRPr="00C63BBA">
        <w:t>.</w:t>
      </w:r>
    </w:p>
    <w:p w:rsidR="007639D0" w:rsidRPr="00C63BBA" w:rsidRDefault="007639D0" w:rsidP="007639D0">
      <w:pPr>
        <w:spacing w:before="120"/>
        <w:ind w:left="792"/>
        <w:jc w:val="both"/>
        <w:outlineLvl w:val="0"/>
      </w:pPr>
    </w:p>
    <w:p w:rsidR="007639D0" w:rsidRPr="00C63BBA" w:rsidRDefault="009F03AD" w:rsidP="007639D0">
      <w:pPr>
        <w:spacing w:before="120"/>
        <w:jc w:val="center"/>
        <w:outlineLvl w:val="0"/>
        <w:rPr>
          <w:b/>
        </w:rPr>
      </w:pPr>
      <w:r w:rsidRPr="00C63BBA">
        <w:rPr>
          <w:b/>
        </w:rPr>
        <w:t>V</w:t>
      </w:r>
      <w:r w:rsidR="007639D0" w:rsidRPr="00C63BBA">
        <w:rPr>
          <w:b/>
        </w:rPr>
        <w:t>. Projektā atbalstāmo darbību un izmaksu attiecināmības nosacījumi</w:t>
      </w:r>
    </w:p>
    <w:p w:rsidR="005468C5" w:rsidRPr="00C63BBA" w:rsidRDefault="0012572D" w:rsidP="007B22BE">
      <w:pPr>
        <w:numPr>
          <w:ilvl w:val="0"/>
          <w:numId w:val="13"/>
        </w:numPr>
        <w:spacing w:before="120"/>
        <w:jc w:val="both"/>
        <w:outlineLvl w:val="0"/>
      </w:pPr>
      <w:r w:rsidRPr="00C63BBA">
        <w:t>Projekta tiešās attiecināmās izmaksas ir jaunu iekārtu (un aprīkojuma) iegādes izmaksas, kuras tieši nodrošina ražošanas vai pakalpojumu sniegšanas procesu projekta īstenošanas nozarē un kuras iekļautas finanšu pārskatos saskaņā ar normatīvajiem aktiem par grāmatvedību, kas nosaka un skaidro pamatlīdzekļu grāmatvedības uzskaiti un ar pamatlīdzekļiem saistītās informācijas norādīšanu finanšu pārskatos.</w:t>
      </w:r>
      <w:r w:rsidR="007B22BE" w:rsidRPr="00C63BBA">
        <w:t xml:space="preserve"> </w:t>
      </w:r>
    </w:p>
    <w:p w:rsidR="005468C5" w:rsidRPr="00C63BBA" w:rsidRDefault="007B22BE" w:rsidP="007639D0">
      <w:pPr>
        <w:numPr>
          <w:ilvl w:val="0"/>
          <w:numId w:val="13"/>
        </w:numPr>
        <w:spacing w:before="120"/>
        <w:jc w:val="both"/>
        <w:outlineLvl w:val="0"/>
      </w:pPr>
      <w:r w:rsidRPr="00C63BBA">
        <w:t>Izmaksas</w:t>
      </w:r>
      <w:r w:rsidR="00B206FA" w:rsidRPr="00C63BBA">
        <w:t xml:space="preserve"> ir </w:t>
      </w:r>
      <w:r w:rsidRPr="00C63BBA">
        <w:t>attiecināmas</w:t>
      </w:r>
      <w:r w:rsidR="00B206FA" w:rsidRPr="00C63BBA">
        <w:t xml:space="preserve">, ja tās ir </w:t>
      </w:r>
      <w:r w:rsidR="005A5142" w:rsidRPr="00C63BBA">
        <w:t>saistīta</w:t>
      </w:r>
      <w:r w:rsidR="00B206FA" w:rsidRPr="00C63BBA">
        <w:t>s</w:t>
      </w:r>
      <w:r w:rsidR="00961157" w:rsidRPr="00C63BBA">
        <w:t xml:space="preserve"> ar jaunas saimnieciskās darbības uzsākšanu vai esošas saimnieciskās darbības paplašināšanu, produkcijas dažādošanu ar jauniem produktiem vai ražošanas procesa būtisku maiņu. </w:t>
      </w:r>
    </w:p>
    <w:p w:rsidR="007435E3" w:rsidRPr="00C63BBA" w:rsidRDefault="007435E3" w:rsidP="009D4295">
      <w:pPr>
        <w:numPr>
          <w:ilvl w:val="0"/>
          <w:numId w:val="13"/>
        </w:numPr>
        <w:spacing w:before="120"/>
        <w:jc w:val="both"/>
        <w:outlineLvl w:val="0"/>
      </w:pPr>
      <w:r w:rsidRPr="00C63BBA">
        <w:t>Ja atbalstu piešķir būtiskām pārmaiņām ražošanas procesā, attiecināmajām izmaksām jābūt lielākām nekā ar modernizējamo darbību saistīto aktīvu amortizācijai iepriekšējo triju fiskālo gadu laikā. Ja atbalstu piešķir, lai dažādotu darbības attiecīgajā uzņēmējdarbības vietā, attiecināmajām izmaksām vismaz par 200 % jāpārsniedz atkārtoti izmantoto aktīvu uzskaites vērtība, kas reģistrēta iepriekšējā fiskālajā gadā pirms darbu sākšanas.</w:t>
      </w:r>
    </w:p>
    <w:p w:rsidR="00F82B1C" w:rsidRPr="00C63BBA" w:rsidRDefault="00F82B1C" w:rsidP="00F82B1C">
      <w:pPr>
        <w:numPr>
          <w:ilvl w:val="0"/>
          <w:numId w:val="13"/>
        </w:numPr>
        <w:spacing w:before="120"/>
        <w:jc w:val="both"/>
        <w:outlineLvl w:val="0"/>
      </w:pPr>
      <w:r w:rsidRPr="00C63BBA">
        <w:t xml:space="preserve">Ilgtermiņa ieguldījumi </w:t>
      </w:r>
      <w:r w:rsidR="00401F23" w:rsidRPr="00C63BBA">
        <w:t xml:space="preserve">(jaunu iekārtu un aprīkojuma iegādes izmaksas) </w:t>
      </w:r>
      <w:r w:rsidRPr="00C63BBA">
        <w:t>ir attiecināmi, ja tos:</w:t>
      </w:r>
    </w:p>
    <w:p w:rsidR="00F82B1C" w:rsidRPr="00C63BBA" w:rsidRDefault="00F82B1C" w:rsidP="00F82B1C">
      <w:pPr>
        <w:numPr>
          <w:ilvl w:val="1"/>
          <w:numId w:val="13"/>
        </w:numPr>
        <w:spacing w:before="120"/>
        <w:jc w:val="both"/>
        <w:outlineLvl w:val="0"/>
      </w:pPr>
      <w:r w:rsidRPr="00C63BBA">
        <w:t>izmanto tikai projekta iesniegumā norādītajā projekta īstenošanas vietā un tikai finansējuma saņēmēja saimnieciskajā darbībā;</w:t>
      </w:r>
    </w:p>
    <w:p w:rsidR="00F82B1C" w:rsidRPr="00C63BBA" w:rsidRDefault="00F82B1C" w:rsidP="00F82B1C">
      <w:pPr>
        <w:numPr>
          <w:ilvl w:val="1"/>
          <w:numId w:val="13"/>
        </w:numPr>
        <w:spacing w:before="120"/>
        <w:jc w:val="both"/>
        <w:outlineLvl w:val="0"/>
      </w:pPr>
      <w:r w:rsidRPr="00C63BBA">
        <w:t>iekļauj finansējuma saņēmēja aktīvos kā amortizējamus ilgtermiņa ieguldījumus, tie paliek finansējuma saņēmēja īpašumā un tos nenodod lietošanā trešajām personām:</w:t>
      </w:r>
    </w:p>
    <w:p w:rsidR="00F82B1C" w:rsidRPr="00C63BBA" w:rsidRDefault="00F82B1C" w:rsidP="00F82B1C">
      <w:pPr>
        <w:numPr>
          <w:ilvl w:val="2"/>
          <w:numId w:val="13"/>
        </w:numPr>
        <w:spacing w:before="120"/>
        <w:jc w:val="both"/>
        <w:outlineLvl w:val="0"/>
      </w:pPr>
      <w:r w:rsidRPr="00C63BBA">
        <w:t>sīkajiem (mikro), mazajiem un vidējiem komersantiem – vismaz trīs gadus pēc projekta īstenošanas pabeigšanas;</w:t>
      </w:r>
    </w:p>
    <w:p w:rsidR="00F82B1C" w:rsidRPr="00C63BBA" w:rsidRDefault="00F82B1C" w:rsidP="00F82B1C">
      <w:pPr>
        <w:numPr>
          <w:ilvl w:val="2"/>
          <w:numId w:val="13"/>
        </w:numPr>
        <w:spacing w:before="120"/>
        <w:jc w:val="both"/>
        <w:outlineLvl w:val="0"/>
      </w:pPr>
      <w:r w:rsidRPr="00C63BBA">
        <w:t>lielajiem komersantiem – vismaz piecus gadus pēc projekta īstenošanas pabeigšanas;</w:t>
      </w:r>
    </w:p>
    <w:p w:rsidR="00F82B1C" w:rsidRPr="00C63BBA" w:rsidRDefault="00F82B1C" w:rsidP="00F82B1C">
      <w:pPr>
        <w:numPr>
          <w:ilvl w:val="1"/>
          <w:numId w:val="13"/>
        </w:numPr>
        <w:spacing w:before="120"/>
        <w:jc w:val="both"/>
        <w:outlineLvl w:val="0"/>
      </w:pPr>
      <w:r w:rsidRPr="00C63BBA">
        <w:t xml:space="preserve">iegādājas no trešajām personām par tirgus </w:t>
      </w:r>
      <w:r w:rsidR="005072FF" w:rsidRPr="00C63BBA">
        <w:t xml:space="preserve">cenu un </w:t>
      </w:r>
      <w:r w:rsidRPr="00C63BBA">
        <w:t>nosacījumiem.</w:t>
      </w:r>
    </w:p>
    <w:p w:rsidR="00EF30FE" w:rsidRPr="00C63BBA" w:rsidRDefault="00EF30FE" w:rsidP="00EF30FE">
      <w:pPr>
        <w:numPr>
          <w:ilvl w:val="0"/>
          <w:numId w:val="13"/>
        </w:numPr>
        <w:spacing w:before="120"/>
        <w:jc w:val="both"/>
        <w:outlineLvl w:val="0"/>
      </w:pPr>
      <w:r w:rsidRPr="00C63BBA">
        <w:t xml:space="preserve">Pasākuma ietvaros finansē tikai tādas attiecināmās izmaksas, kuras tieši saistītas ar projekta ietvaros veiktajām darbībām, ir samērīgas, pamatotas un atbilst Eiropas Parlamenta un Padomes 2012.gada 25.oktobra regulas Nr.966/2012 par finanšu noteikumiem, ko piemēro Savienības vispārējam budžetam un par Padomes Regulas (EK, </w:t>
      </w:r>
      <w:proofErr w:type="spellStart"/>
      <w:r w:rsidRPr="00C63BBA">
        <w:t>Euratom</w:t>
      </w:r>
      <w:proofErr w:type="spellEnd"/>
      <w:r w:rsidRPr="00C63BBA">
        <w:t>) Nr.1605/2002 atcelšanu,</w:t>
      </w:r>
      <w:r w:rsidR="00C721FD">
        <w:t xml:space="preserve"> </w:t>
      </w:r>
      <w:r w:rsidRPr="00C63BBA">
        <w:t>prasībām.</w:t>
      </w:r>
    </w:p>
    <w:p w:rsidR="009D4295" w:rsidRPr="00C63BBA" w:rsidRDefault="007435E3" w:rsidP="00DD5D2E">
      <w:pPr>
        <w:numPr>
          <w:ilvl w:val="0"/>
          <w:numId w:val="13"/>
        </w:numPr>
        <w:spacing w:before="120"/>
        <w:jc w:val="both"/>
        <w:outlineLvl w:val="0"/>
      </w:pPr>
      <w:r w:rsidRPr="00C63BBA">
        <w:t>Projekta neattiecināmās izmaksas</w:t>
      </w:r>
      <w:r w:rsidR="00C721FD">
        <w:t xml:space="preserve"> ir</w:t>
      </w:r>
      <w:r w:rsidR="009D4295" w:rsidRPr="00C63BBA">
        <w:t>:</w:t>
      </w:r>
    </w:p>
    <w:p w:rsidR="009D4295" w:rsidRPr="00C63BBA" w:rsidRDefault="002F255F" w:rsidP="009D4295">
      <w:pPr>
        <w:numPr>
          <w:ilvl w:val="1"/>
          <w:numId w:val="13"/>
        </w:numPr>
        <w:spacing w:before="120"/>
        <w:jc w:val="both"/>
        <w:outlineLvl w:val="0"/>
      </w:pPr>
      <w:r w:rsidRPr="00C63BBA">
        <w:t>izmaksas, kas nav saistītas ar projekta mērķi</w:t>
      </w:r>
      <w:r w:rsidR="009D4295" w:rsidRPr="00C63BBA">
        <w:t xml:space="preserve"> un nav noteiktās kā attiecināmās;</w:t>
      </w:r>
    </w:p>
    <w:p w:rsidR="00EF30FE" w:rsidRPr="00C63BBA" w:rsidRDefault="009D4295" w:rsidP="009D4295">
      <w:pPr>
        <w:numPr>
          <w:ilvl w:val="1"/>
          <w:numId w:val="13"/>
        </w:numPr>
        <w:spacing w:before="120"/>
        <w:jc w:val="both"/>
        <w:outlineLvl w:val="0"/>
      </w:pPr>
      <w:r w:rsidRPr="00C63BBA">
        <w:t>kravu iekraušanas, izkraušanas, celšanas, pārvadāšanas un glabāšanas iekārtu iegādes izmaksas;</w:t>
      </w:r>
    </w:p>
    <w:p w:rsidR="00EF30FE" w:rsidRPr="00C63BBA" w:rsidRDefault="00EF30FE" w:rsidP="00EF30FE">
      <w:pPr>
        <w:numPr>
          <w:ilvl w:val="1"/>
          <w:numId w:val="13"/>
        </w:numPr>
        <w:spacing w:before="120"/>
        <w:jc w:val="both"/>
        <w:outlineLvl w:val="0"/>
      </w:pPr>
      <w:r w:rsidRPr="00C63BBA">
        <w:t>lietotu iekārtu iegādes izmaksas;</w:t>
      </w:r>
    </w:p>
    <w:p w:rsidR="00EF30FE" w:rsidRPr="00C63BBA" w:rsidRDefault="00EF30FE" w:rsidP="00EF30FE">
      <w:pPr>
        <w:numPr>
          <w:ilvl w:val="1"/>
          <w:numId w:val="13"/>
        </w:numPr>
        <w:spacing w:before="120"/>
        <w:jc w:val="both"/>
        <w:outlineLvl w:val="0"/>
      </w:pPr>
      <w:r w:rsidRPr="00C63BBA">
        <w:lastRenderedPageBreak/>
        <w:t>iekārtu rezerves daļu vai komponentu iegāde, kā arī sastāvdaļu iegāde, izņemot gadījumus, ja iegādājamā iekārtas sastāvdaļa spēj darboties autonomi;</w:t>
      </w:r>
    </w:p>
    <w:p w:rsidR="00EF30FE" w:rsidRPr="00C63BBA" w:rsidRDefault="00EF30FE" w:rsidP="00EF30FE">
      <w:pPr>
        <w:numPr>
          <w:ilvl w:val="1"/>
          <w:numId w:val="13"/>
        </w:numPr>
        <w:spacing w:before="120"/>
        <w:jc w:val="both"/>
        <w:outlineLvl w:val="0"/>
      </w:pPr>
      <w:r w:rsidRPr="00C63BBA">
        <w:t>operatīvais līzings;</w:t>
      </w:r>
    </w:p>
    <w:p w:rsidR="00EF30FE" w:rsidRPr="00C63BBA" w:rsidRDefault="00EF30FE" w:rsidP="00EF30FE">
      <w:pPr>
        <w:numPr>
          <w:ilvl w:val="1"/>
          <w:numId w:val="13"/>
        </w:numPr>
        <w:spacing w:before="120"/>
        <w:jc w:val="both"/>
        <w:outlineLvl w:val="0"/>
      </w:pPr>
      <w:r w:rsidRPr="00C63BBA">
        <w:t xml:space="preserve"> izmaksas, kas saistītas ar tādu iekārtu aizstāšanu ar jaunām iekārtām, kuru parametri neatšķiras un kas nenodrošina ražošanas paplašināšanu, izmaiņas produktā vai tehnoloģiskā procesa racionalizāciju, modernizāciju vai diversifikāciju;</w:t>
      </w:r>
    </w:p>
    <w:p w:rsidR="00EF30FE" w:rsidRPr="00C63BBA" w:rsidRDefault="00EF30FE" w:rsidP="00EF30FE">
      <w:pPr>
        <w:numPr>
          <w:ilvl w:val="1"/>
          <w:numId w:val="13"/>
        </w:numPr>
        <w:spacing w:before="120"/>
        <w:jc w:val="both"/>
        <w:outlineLvl w:val="0"/>
      </w:pPr>
      <w:r w:rsidRPr="00C63BBA">
        <w:t>ilgtermiņa ieguldījumu izmaksas, kas nav saistītas ar jaunas saimnieciskās darbības uzsākšanu vai esošas saimnieciskās darbības paplašināšanu, produkcijas dažādošanu ar jauniem produktiem vai ražošanas procesa būtisku maiņu;</w:t>
      </w:r>
    </w:p>
    <w:p w:rsidR="00EF30FE" w:rsidRPr="00C63BBA" w:rsidRDefault="008C6A5C" w:rsidP="00EF30FE">
      <w:pPr>
        <w:numPr>
          <w:ilvl w:val="1"/>
          <w:numId w:val="13"/>
        </w:numPr>
        <w:spacing w:before="120"/>
        <w:jc w:val="both"/>
        <w:outlineLvl w:val="0"/>
      </w:pPr>
      <w:r w:rsidRPr="00C63BBA">
        <w:t>izmaksas, kuras radušās pēc līguma par projekta īstenošanu termiņa beigām vai kuru maksājumi veikti vēlāk nekā mēneša laikā pēc projekta īstenošanas termiņa beigām;</w:t>
      </w:r>
      <w:r w:rsidR="00EF30FE" w:rsidRPr="00C63BBA">
        <w:t xml:space="preserve"> </w:t>
      </w:r>
    </w:p>
    <w:p w:rsidR="00EF30FE" w:rsidRPr="00C63BBA" w:rsidRDefault="00EF30FE" w:rsidP="00EF30FE">
      <w:pPr>
        <w:numPr>
          <w:ilvl w:val="1"/>
          <w:numId w:val="13"/>
        </w:numPr>
        <w:spacing w:before="120"/>
        <w:jc w:val="both"/>
        <w:outlineLvl w:val="0"/>
      </w:pPr>
      <w:r w:rsidRPr="00C63BBA">
        <w:t>izmaksas, kas nav sākotnēji paredzētas vai nav nepieciešamas projekta īstenošanai un nav tieši saistītas ar ražošanas vai pakalpojumu sniegšanas procesu projekta īstenošanas nozarē;</w:t>
      </w:r>
    </w:p>
    <w:p w:rsidR="007435E3" w:rsidRPr="00C63BBA" w:rsidRDefault="007435E3" w:rsidP="007435E3">
      <w:pPr>
        <w:numPr>
          <w:ilvl w:val="1"/>
          <w:numId w:val="13"/>
        </w:numPr>
        <w:spacing w:before="120"/>
        <w:jc w:val="both"/>
        <w:outlineLvl w:val="0"/>
      </w:pPr>
      <w:r w:rsidRPr="00C63BBA">
        <w:t>pievienotās vērtības nodoklis, muitas nodokļi, nodevas un līgumsoda maksājumi;</w:t>
      </w:r>
    </w:p>
    <w:p w:rsidR="007435E3" w:rsidRPr="00C63BBA" w:rsidRDefault="007435E3" w:rsidP="007435E3">
      <w:pPr>
        <w:numPr>
          <w:ilvl w:val="1"/>
          <w:numId w:val="13"/>
        </w:numPr>
        <w:spacing w:before="120"/>
        <w:jc w:val="both"/>
        <w:outlineLvl w:val="0"/>
      </w:pPr>
      <w:r w:rsidRPr="00C63BBA">
        <w:t>jebkāda veida pārvietojamās tehnikas, transportlīdzekļu un kuģošanas līdzekļu iegādes izmaksas, ja tiem saskaņā ar normatīvajiem aktiem satiksmes jomā ir nepieciešama reģistrācija Ceļu satiksmes drošības direkcijā vai Valsts tehniskās uzraudzības aģentūras Traktortehnikas reģistrā</w:t>
      </w:r>
      <w:r w:rsidR="00C721FD">
        <w:t>,</w:t>
      </w:r>
      <w:r w:rsidRPr="00C63BBA">
        <w:t xml:space="preserve"> vai ja tie tiek reģistrēti Civilās aviācijas aģentūras Gaisa kuģu reģistrā</w:t>
      </w:r>
      <w:r w:rsidR="00C721FD">
        <w:t>,</w:t>
      </w:r>
      <w:r w:rsidRPr="00C63BBA">
        <w:t xml:space="preserve"> vai kādā no Latvijas Jūras administrācijas kuģu reģistriem, vai ja uz tiem attiecas Latvijas Republikas normatīvie akti par kuģošanas līdzekļu satiksmi iekšējos ūdeņos;</w:t>
      </w:r>
    </w:p>
    <w:p w:rsidR="00EE3DB3" w:rsidRPr="00C63BBA" w:rsidRDefault="007435E3" w:rsidP="00EE3DB3">
      <w:pPr>
        <w:numPr>
          <w:ilvl w:val="1"/>
          <w:numId w:val="13"/>
        </w:numPr>
        <w:spacing w:before="120"/>
        <w:jc w:val="both"/>
        <w:outlineLvl w:val="0"/>
      </w:pPr>
      <w:r w:rsidRPr="00C63BBA">
        <w:t>tādu iekārtu, tehnikas un transportlīdzekļu iegādes izmaksas, kas paredzētas transporta (pārvadājumu) pakalpojumu sniegšanai (minēto pakalpojumu sniegšanai ir nepieciešama licence):</w:t>
      </w:r>
      <w:r w:rsidR="00C41A82" w:rsidRPr="00C63BBA">
        <w:t xml:space="preserve"> </w:t>
      </w:r>
      <w:r w:rsidRPr="00C63BBA">
        <w:t xml:space="preserve">jūras </w:t>
      </w:r>
      <w:r w:rsidR="00C41A82" w:rsidRPr="00C63BBA">
        <w:t xml:space="preserve">transporta pakalpojumu izmaksas, </w:t>
      </w:r>
      <w:r w:rsidRPr="00C63BBA">
        <w:t>gaisa transporta pakalpojumu izmaksas</w:t>
      </w:r>
      <w:r w:rsidR="00C41A82" w:rsidRPr="00C63BBA">
        <w:t xml:space="preserve">, </w:t>
      </w:r>
      <w:r w:rsidRPr="00C63BBA">
        <w:t>sauszemes auto</w:t>
      </w:r>
      <w:r w:rsidR="00C41A82" w:rsidRPr="00C63BBA">
        <w:t xml:space="preserve">transporta pakalpojumu izmaksas, </w:t>
      </w:r>
      <w:r w:rsidRPr="00C63BBA">
        <w:t xml:space="preserve">dzelzceļa </w:t>
      </w:r>
      <w:r w:rsidR="00C41A82" w:rsidRPr="00C63BBA">
        <w:t xml:space="preserve">transporta pakalpojumu izmaksas, </w:t>
      </w:r>
      <w:r w:rsidRPr="00C63BBA">
        <w:t xml:space="preserve">pilsētas </w:t>
      </w:r>
      <w:r w:rsidR="00C41A82" w:rsidRPr="00C63BBA">
        <w:t xml:space="preserve">transporta pakalpojumu izmaksas, </w:t>
      </w:r>
      <w:r w:rsidRPr="00C63BBA">
        <w:t>iekšzemes ūdens</w:t>
      </w:r>
      <w:r w:rsidR="00C41A82" w:rsidRPr="00C63BBA">
        <w:t xml:space="preserve">transporta pakalpojumu izmaksas, </w:t>
      </w:r>
      <w:r w:rsidRPr="00C63BBA">
        <w:t xml:space="preserve">kombinētā </w:t>
      </w:r>
      <w:r w:rsidR="00C41A82" w:rsidRPr="00C63BBA">
        <w:t>transporta pakalpojumu izmaksas</w:t>
      </w:r>
      <w:r w:rsidR="00AC7921">
        <w:t>.</w:t>
      </w:r>
    </w:p>
    <w:p w:rsidR="007435E3" w:rsidRPr="00C63BBA" w:rsidRDefault="007435E3" w:rsidP="007435E3">
      <w:pPr>
        <w:numPr>
          <w:ilvl w:val="1"/>
          <w:numId w:val="13"/>
        </w:numPr>
        <w:spacing w:before="120"/>
        <w:jc w:val="both"/>
        <w:outlineLvl w:val="0"/>
      </w:pPr>
      <w:r w:rsidRPr="00C63BBA">
        <w:t>sākotnējo ieguldījumu izmaksas, ja piegādātājs ir reģistrēts valstīs, kas minētas normatīvajos aktos par zemu</w:t>
      </w:r>
      <w:r w:rsidR="00492983" w:rsidRPr="00C63BBA">
        <w:t xml:space="preserve"> </w:t>
      </w:r>
      <w:r w:rsidRPr="00C63BBA">
        <w:t>nodokļu vai beznodokļu valstīm un teritori</w:t>
      </w:r>
      <w:r w:rsidR="008C6A5C" w:rsidRPr="00C63BBA">
        <w:t>jām.</w:t>
      </w:r>
    </w:p>
    <w:p w:rsidR="00EF30FE" w:rsidRPr="00C63BBA" w:rsidRDefault="00EF30FE" w:rsidP="00EF30FE">
      <w:pPr>
        <w:numPr>
          <w:ilvl w:val="0"/>
          <w:numId w:val="13"/>
        </w:numPr>
        <w:spacing w:before="120"/>
        <w:jc w:val="both"/>
        <w:outlineLvl w:val="0"/>
      </w:pPr>
      <w:r w:rsidRPr="00C63BBA">
        <w:t>Ja projekta īstenošanas laikā rodas papildu izdevumi vai sadārdzinājuma izmaksas, finansējuma saņēmējs sedz tos no saviem līdzekļiem.</w:t>
      </w:r>
    </w:p>
    <w:p w:rsidR="00EF30FE" w:rsidRPr="00C63BBA" w:rsidRDefault="00EF30FE" w:rsidP="00EF30FE">
      <w:pPr>
        <w:numPr>
          <w:ilvl w:val="0"/>
          <w:numId w:val="13"/>
        </w:numPr>
        <w:spacing w:before="120"/>
        <w:jc w:val="both"/>
        <w:outlineLvl w:val="0"/>
      </w:pPr>
      <w:r w:rsidRPr="00C63BBA">
        <w:t>Par neatbalstāmām darbībām šo noteikumu ietvaros tiek uzskatītas darbības, kas atbilst Komisijas regulas Nr.651/2014 1. panta 2. punktā un 13. panta "d" apakšpunktā noteiktajam.</w:t>
      </w:r>
    </w:p>
    <w:p w:rsidR="00EF30FE" w:rsidRPr="00C63BBA" w:rsidRDefault="00EF30FE" w:rsidP="00EF30FE">
      <w:pPr>
        <w:numPr>
          <w:ilvl w:val="0"/>
          <w:numId w:val="13"/>
        </w:numPr>
        <w:spacing w:before="120"/>
        <w:jc w:val="both"/>
        <w:outlineLvl w:val="0"/>
      </w:pPr>
      <w:r w:rsidRPr="00C63BBA">
        <w:t>Atbalstu nepiešķir Komisijas regulas Nr. 651/2014 1. panta 3. punkta "e" apakšpunktā noteiktajām reģionālā atbalsta kategorijām. Ja projekta iesniedzējs darbojas gan Komisijas regulas Nr. 651/2014 1. panta 3. punkta "a", "b" vai "c" apakšpunktā minētajās, gan citās nozarēs, uz kurām attiecas Komisijas regulā Nr. 651/2014 minētās darbības jomas, atbalstu drīkst piešķirt tikai tad, ja tiek skaidri nodalītas atbalstāmās darbības vai finanšu plūsmas no citu darbības nozaru finanšu plūsmas, nodrošinot, ka darbības izslēgtajās nozarēs negūst labumu no atbalsta, kas piešķirts saskaņā ar Komisijas regulu Nr. 651/2014.</w:t>
      </w:r>
    </w:p>
    <w:p w:rsidR="00791DAF" w:rsidRPr="00C63BBA" w:rsidRDefault="00791DAF" w:rsidP="00791DAF">
      <w:pPr>
        <w:numPr>
          <w:ilvl w:val="0"/>
          <w:numId w:val="13"/>
        </w:numPr>
        <w:spacing w:before="120"/>
        <w:jc w:val="both"/>
        <w:outlineLvl w:val="0"/>
      </w:pPr>
      <w:r w:rsidRPr="00C63BBA">
        <w:t xml:space="preserve">Projekta iesniedzējs nodrošina, ka projekta iesniegumā plānotās izmaksas nepārklājas ar izmaksām, kas paredzētas darbības programmas „Izaugsme un nodarbinātība” citu specifisko atbalsta mērķu vai citu ārvalstu finanšu palīdzības instrumentu aktivitāšu ietvaros. </w:t>
      </w:r>
    </w:p>
    <w:p w:rsidR="00484B70" w:rsidRPr="00C63BBA" w:rsidRDefault="00484B70" w:rsidP="00791DAF">
      <w:pPr>
        <w:numPr>
          <w:ilvl w:val="0"/>
          <w:numId w:val="13"/>
        </w:numPr>
        <w:spacing w:before="120"/>
        <w:jc w:val="both"/>
        <w:outlineLvl w:val="0"/>
      </w:pPr>
      <w:r w:rsidRPr="00C63BBA">
        <w:lastRenderedPageBreak/>
        <w:t xml:space="preserve">Projekta iesniedzējs nodrošina, ka projekta iesniegumā plānotās izmaksas nepārklājas ar izmaksām, </w:t>
      </w:r>
      <w:r w:rsidR="00EC3EF3" w:rsidRPr="00C63BBA">
        <w:t xml:space="preserve">par </w:t>
      </w:r>
      <w:r w:rsidRPr="00C63BBA">
        <w:t>kurām piešķirta uzņēmuma ienākuma nodokļa atlaide.</w:t>
      </w:r>
    </w:p>
    <w:p w:rsidR="005072FF" w:rsidRPr="00C63BBA" w:rsidRDefault="005072FF" w:rsidP="005072FF">
      <w:pPr>
        <w:spacing w:before="120"/>
        <w:ind w:left="360"/>
        <w:jc w:val="both"/>
        <w:outlineLvl w:val="0"/>
      </w:pPr>
    </w:p>
    <w:p w:rsidR="00AE73C2" w:rsidRPr="00C63BBA" w:rsidRDefault="00AE73C2" w:rsidP="00AE73C2">
      <w:pPr>
        <w:pStyle w:val="ListParagraph"/>
        <w:spacing w:before="40" w:after="40"/>
        <w:ind w:left="0"/>
        <w:jc w:val="center"/>
        <w:rPr>
          <w:rFonts w:eastAsiaTheme="minorHAnsi"/>
          <w:b/>
          <w:bCs/>
          <w:sz w:val="25"/>
          <w:szCs w:val="25"/>
          <w:lang w:eastAsia="en-US"/>
        </w:rPr>
      </w:pPr>
      <w:r w:rsidRPr="00C63BBA">
        <w:rPr>
          <w:rFonts w:eastAsiaTheme="minorHAnsi"/>
          <w:b/>
          <w:bCs/>
          <w:sz w:val="25"/>
          <w:szCs w:val="25"/>
          <w:lang w:eastAsia="en-US"/>
        </w:rPr>
        <w:t>VI. Projekta īstenošanas nosacījumi</w:t>
      </w:r>
    </w:p>
    <w:p w:rsidR="00AE73C2" w:rsidRPr="00C63BBA" w:rsidRDefault="00AE73C2" w:rsidP="00AE73C2">
      <w:pPr>
        <w:numPr>
          <w:ilvl w:val="0"/>
          <w:numId w:val="13"/>
        </w:numPr>
        <w:spacing w:before="120"/>
        <w:jc w:val="both"/>
        <w:outlineLvl w:val="0"/>
      </w:pPr>
      <w:bookmarkStart w:id="0" w:name="_Ref416955672"/>
      <w:r w:rsidRPr="00C63BBA">
        <w:t>Projekta īstenošanas vieta šo noteikumu izpratnē ir vieta, kur projekta iesniedzējs ražo savu produkciju vai sniedz pakalpojumus. Projektu var īstenot vairākās adresēs, ja šajās adresēs ir izvietota vienota ražošanas vai pakalpojumu sniegšanas ķēde. Projektu īsteno Latvijas Republikas teritorijā.</w:t>
      </w:r>
    </w:p>
    <w:p w:rsidR="00AE73C2" w:rsidRPr="00C63BBA" w:rsidRDefault="00AE73C2" w:rsidP="00AE73C2">
      <w:pPr>
        <w:numPr>
          <w:ilvl w:val="0"/>
          <w:numId w:val="13"/>
        </w:numPr>
        <w:spacing w:before="120"/>
        <w:jc w:val="both"/>
        <w:outlineLvl w:val="0"/>
      </w:pPr>
      <w:r w:rsidRPr="00C63BBA">
        <w:t>Lai noslēgtu līgumu ar sadarbības iestādi par projekta īstenošanu, projekta iesniedzējam ir jāiesniedz sadarbības iestādē viens no šādiem finansējumu pieejamību apliecinošajiem dokumentiem:</w:t>
      </w:r>
      <w:bookmarkEnd w:id="0"/>
    </w:p>
    <w:p w:rsidR="00AE73C2" w:rsidRPr="00C63BBA" w:rsidRDefault="00AE73C2" w:rsidP="00AE73C2">
      <w:pPr>
        <w:numPr>
          <w:ilvl w:val="1"/>
          <w:numId w:val="13"/>
        </w:numPr>
        <w:spacing w:before="120"/>
        <w:jc w:val="both"/>
        <w:outlineLvl w:val="0"/>
      </w:pPr>
      <w:r w:rsidRPr="00C63BBA">
        <w:t>līgums, kas noslēgts ar Eiropas Savienībā reģistrētu kredītiestādi, par projekta īstenošanai nepieciešamā aizdevuma piešķiršanu vismaz 50 % apmērā no projekta kopējām izmaksām;</w:t>
      </w:r>
    </w:p>
    <w:p w:rsidR="00AE73C2" w:rsidRPr="00C63BBA" w:rsidRDefault="00AE73C2" w:rsidP="00AE73C2">
      <w:pPr>
        <w:numPr>
          <w:ilvl w:val="1"/>
          <w:numId w:val="13"/>
        </w:numPr>
        <w:spacing w:before="120"/>
        <w:jc w:val="both"/>
        <w:outlineLvl w:val="0"/>
      </w:pPr>
      <w:r w:rsidRPr="00C63BBA">
        <w:t xml:space="preserve">līgums, kas noslēgts ar saistīto komersantu par projekta īstenošanai nepieciešamā finansējuma nodrošināšanu, ja šā saistītā komersanta pašu kapitāls veido vismaz 100 % no projekta </w:t>
      </w:r>
      <w:r w:rsidR="00635311">
        <w:t>kopējām izmaksām</w:t>
      </w:r>
      <w:r w:rsidRPr="00C63BBA">
        <w:t>;</w:t>
      </w:r>
    </w:p>
    <w:p w:rsidR="00AE73C2" w:rsidRPr="00C63BBA" w:rsidRDefault="00AE73C2" w:rsidP="00AE73C2">
      <w:pPr>
        <w:numPr>
          <w:ilvl w:val="1"/>
          <w:numId w:val="13"/>
        </w:numPr>
        <w:spacing w:before="120"/>
        <w:jc w:val="both"/>
        <w:outlineLvl w:val="0"/>
      </w:pPr>
      <w:r w:rsidRPr="00C63BBA">
        <w:t xml:space="preserve">projekta iesniedzēja valdes lēmums par projekta īstenošanai nepieciešamā finansējuma nodrošināšanu no pašu līdzekļiem, ja projekta iesniedzēja pašu kapitāls veido vismaz 100 % no projekta </w:t>
      </w:r>
      <w:r w:rsidR="00635311">
        <w:t>kopējām izmaksām</w:t>
      </w:r>
      <w:r w:rsidRPr="00C63BBA">
        <w:t>.</w:t>
      </w:r>
    </w:p>
    <w:p w:rsidR="00AE73C2" w:rsidRPr="00C63BBA" w:rsidRDefault="00AE73C2" w:rsidP="00AE73C2">
      <w:pPr>
        <w:numPr>
          <w:ilvl w:val="0"/>
          <w:numId w:val="13"/>
        </w:numPr>
        <w:spacing w:before="120"/>
        <w:jc w:val="both"/>
        <w:outlineLvl w:val="0"/>
      </w:pPr>
      <w:r w:rsidRPr="00C63BBA">
        <w:t xml:space="preserve">Šo noteikumu </w:t>
      </w:r>
      <w:r w:rsidR="00C41B38">
        <w:t>2</w:t>
      </w:r>
      <w:r w:rsidR="00635311">
        <w:t>6</w:t>
      </w:r>
      <w:r w:rsidRPr="00C63BBA">
        <w:t>.punktā minētos apliecinājuma dokumentus par finansējuma nodrošināšanu projekta īstenošanai var iesniegt katru par daļu no projekta kopējām izmaksām, ja to kopējā summa ir vienāda ar projekta īstenošanai nepieciešamo finansējumu.</w:t>
      </w:r>
    </w:p>
    <w:p w:rsidR="00AE73C2" w:rsidRPr="00C63BBA" w:rsidRDefault="00AE73C2" w:rsidP="00AE73C2">
      <w:pPr>
        <w:numPr>
          <w:ilvl w:val="0"/>
          <w:numId w:val="13"/>
        </w:numPr>
        <w:spacing w:before="120"/>
        <w:jc w:val="both"/>
        <w:outlineLvl w:val="0"/>
      </w:pPr>
      <w:r w:rsidRPr="00C63BBA">
        <w:t xml:space="preserve">Lai noslēgtu līgumu ar sadarbības iestādi par projekta īstenošanu, īpašums, tai skaitā zeme, kurā projekta ietvaros veiks ilgtermiņa ieguldījumus, ir projekta iesniedzēja īpašumā vai projekta iesniedzējam uz to ir zemesgrāmatā reģistrētas ilgtermiņa nomas tiesības </w:t>
      </w:r>
      <w:r w:rsidR="00EF30FE" w:rsidRPr="00C63BBA">
        <w:t>projekta uzraudzības periodā pēc projekta pabeigšanas</w:t>
      </w:r>
      <w:r w:rsidRPr="00C63BBA">
        <w:t>.</w:t>
      </w:r>
    </w:p>
    <w:p w:rsidR="00AE73C2" w:rsidRPr="00C63BBA" w:rsidRDefault="00AE73C2" w:rsidP="00AE73C2">
      <w:pPr>
        <w:numPr>
          <w:ilvl w:val="0"/>
          <w:numId w:val="13"/>
        </w:numPr>
        <w:spacing w:before="120"/>
        <w:jc w:val="both"/>
        <w:outlineLvl w:val="0"/>
      </w:pPr>
      <w:r w:rsidRPr="00C63BBA">
        <w:t>Projektu nevar uzsākt pirms projekta iesniegums iesniegts sadarbības iestādē un sadarbības iestāde, pirms finansējuma saņēmējs ir uzsācis projekta atbalstāmās darbības, ir veikusi pirmslīguma pārbaudi projekta īstenošanas vietā. Projekta atbalstāmās darbības tiek uzsāktas, kad tiek parakstīts līgums par iekārtu iegādi.</w:t>
      </w:r>
    </w:p>
    <w:p w:rsidR="00AE73C2" w:rsidRPr="00C63BBA" w:rsidRDefault="00AE73C2" w:rsidP="00AE73C2">
      <w:pPr>
        <w:numPr>
          <w:ilvl w:val="0"/>
          <w:numId w:val="13"/>
        </w:numPr>
        <w:spacing w:before="120"/>
        <w:jc w:val="both"/>
        <w:outlineLvl w:val="0"/>
      </w:pPr>
      <w:r w:rsidRPr="00C63BBA">
        <w:t xml:space="preserve">Ja projekta atbalstāmās darbības ir uzsāktas pēc projekta iesnieguma iesniegšanas sadarbības iestādē, projektu nevar pabeigt pirms sadarbības iestāde ir pieņēmusi lēmumu par projekta apstiprināšanu, apstiprināšanu ar nosacījumu vai noraidīšanu. </w:t>
      </w:r>
    </w:p>
    <w:p w:rsidR="00AE73C2" w:rsidRPr="00C63BBA" w:rsidRDefault="00AE73C2" w:rsidP="00AE73C2">
      <w:pPr>
        <w:numPr>
          <w:ilvl w:val="0"/>
          <w:numId w:val="13"/>
        </w:numPr>
        <w:spacing w:before="120"/>
        <w:ind w:left="357" w:hanging="357"/>
        <w:jc w:val="both"/>
        <w:outlineLvl w:val="0"/>
      </w:pPr>
      <w:r w:rsidRPr="00C63BBA">
        <w:t>Projektu īsteno ne ilgāk kā divus gadus</w:t>
      </w:r>
      <w:r w:rsidR="00635311">
        <w:t xml:space="preserve"> </w:t>
      </w:r>
      <w:r w:rsidRPr="00C63BBA">
        <w:t>no dienas, kad projekta iesniedzējs noslēdzis līgumu ar sadarbības iestādi, bet ne ilgāk kā līdz 2022.gada 30.decembrim.</w:t>
      </w:r>
    </w:p>
    <w:p w:rsidR="00AE73C2" w:rsidRPr="00C63BBA" w:rsidRDefault="00AE73C2" w:rsidP="00AE73C2">
      <w:pPr>
        <w:numPr>
          <w:ilvl w:val="0"/>
          <w:numId w:val="13"/>
        </w:numPr>
        <w:spacing w:before="120"/>
        <w:jc w:val="both"/>
        <w:outlineLvl w:val="0"/>
      </w:pPr>
      <w:bookmarkStart w:id="1" w:name="_Ref417301145"/>
      <w:r w:rsidRPr="00C63BBA">
        <w:t>Sadarbības iestāde var izbeigt līgumu par projekta īstenošanu, un finansējuma saņēmējam ir pienākums atmaksāt piešķirto finansējumu sadarbības iestādes norādītajā kontā līgumā par projekta īstenošanu noteiktajos gadījumos, kā arī:</w:t>
      </w:r>
      <w:bookmarkEnd w:id="1"/>
    </w:p>
    <w:p w:rsidR="00AE73C2" w:rsidRPr="00C63BBA" w:rsidRDefault="00AE73C2" w:rsidP="00AE73C2">
      <w:pPr>
        <w:numPr>
          <w:ilvl w:val="1"/>
          <w:numId w:val="13"/>
        </w:numPr>
        <w:spacing w:before="120"/>
        <w:jc w:val="both"/>
        <w:outlineLvl w:val="0"/>
      </w:pPr>
      <w:r w:rsidRPr="00C63BBA">
        <w:t>ja sešu mēnešu laikā no dienas, kad noslēgts līgums par projekta īstenošanu, finansējuma saņēmējs nav noslēdzis līgumus ar piegādātājiem par summu, ne mazāku kā 75 % no projektā paredzētajām jaunu iekārtu (un aprīkojuma) iegādes izmaksām;</w:t>
      </w:r>
    </w:p>
    <w:p w:rsidR="00AE73C2" w:rsidRPr="00C63BBA" w:rsidRDefault="00AE73C2" w:rsidP="00AE73C2">
      <w:pPr>
        <w:numPr>
          <w:ilvl w:val="1"/>
          <w:numId w:val="13"/>
        </w:numPr>
        <w:spacing w:before="120"/>
        <w:jc w:val="both"/>
        <w:outlineLvl w:val="0"/>
      </w:pPr>
      <w:r w:rsidRPr="00C63BBA">
        <w:lastRenderedPageBreak/>
        <w:t>ja 12 mēnešu laikā no dienas, kad noslēgts līgums par projekta īstenošanu, finansējuma saņēmējs nav noslēdzis līgumus ar piegādātājiem par visu summu no projektā paredzētajām jaunu iekārtu (un aprīkojuma) iegādes izmaksām;</w:t>
      </w:r>
    </w:p>
    <w:p w:rsidR="00AE73C2" w:rsidRPr="00C63BBA" w:rsidRDefault="00AE73C2" w:rsidP="00AE73C2">
      <w:pPr>
        <w:numPr>
          <w:ilvl w:val="1"/>
          <w:numId w:val="13"/>
        </w:numPr>
        <w:spacing w:before="120"/>
        <w:jc w:val="both"/>
        <w:outlineLvl w:val="0"/>
      </w:pPr>
      <w:r w:rsidRPr="00C63BBA">
        <w:t>ja 18 mēnešu laikā no dienas, kad noslēgts līgums par projekta īstenošanu, sadarbības iestādē nav iesniegti starpposma maksājumu pieprasījumi vismaz par 35 % no līgumā par projekta īstenošanu norādītā kopējā publiskā finansējuma apmēra.</w:t>
      </w:r>
    </w:p>
    <w:p w:rsidR="00AE73C2" w:rsidRPr="00C63BBA" w:rsidRDefault="00AE73C2" w:rsidP="00AE73C2">
      <w:pPr>
        <w:numPr>
          <w:ilvl w:val="0"/>
          <w:numId w:val="13"/>
        </w:numPr>
        <w:spacing w:before="120"/>
        <w:jc w:val="both"/>
        <w:outlineLvl w:val="0"/>
      </w:pPr>
      <w:r w:rsidRPr="00C63BBA">
        <w:t>Sadarbības iestādei ir tiesības starpposma un noslēguma pārskata vērtēšanas laikā, kā arī pēc maksājuma veikšanas, pieprasīt no finansējuma saņēmēja papildu informāciju, kas saistīta ar starpposma un noslēguma pārskata vērtēšanu, kā arī pieaicināt ekspertu, lai pārbaudītu, vai projekta izmaksu tāmē norādītās attiecināmās izmaksas ir samērīgas un ekonomiski pamatotas, kā arī</w:t>
      </w:r>
      <w:r w:rsidR="00635311">
        <w:t>,</w:t>
      </w:r>
      <w:r w:rsidRPr="00C63BBA">
        <w:t xml:space="preserve"> lai pārbaudītu attiecināmo izmaksu pozīciju atbilstību projektā plānotajam.</w:t>
      </w:r>
    </w:p>
    <w:p w:rsidR="00AE73C2" w:rsidRPr="00C63BBA" w:rsidRDefault="00AE73C2" w:rsidP="00EF30FE">
      <w:pPr>
        <w:spacing w:before="120"/>
        <w:ind w:left="360"/>
        <w:jc w:val="both"/>
        <w:outlineLvl w:val="0"/>
      </w:pPr>
    </w:p>
    <w:p w:rsidR="00AE73C2" w:rsidRPr="00C63BBA" w:rsidRDefault="00AE73C2" w:rsidP="00EF30FE">
      <w:pPr>
        <w:pStyle w:val="ListParagraph"/>
        <w:spacing w:before="40" w:after="40"/>
        <w:ind w:left="360"/>
        <w:jc w:val="center"/>
        <w:rPr>
          <w:rFonts w:eastAsiaTheme="minorHAnsi"/>
          <w:b/>
          <w:bCs/>
          <w:sz w:val="25"/>
          <w:szCs w:val="25"/>
          <w:lang w:eastAsia="en-US"/>
        </w:rPr>
      </w:pPr>
      <w:r w:rsidRPr="00C63BBA">
        <w:rPr>
          <w:rFonts w:eastAsiaTheme="minorHAnsi"/>
          <w:b/>
          <w:bCs/>
          <w:sz w:val="25"/>
          <w:szCs w:val="25"/>
          <w:lang w:eastAsia="en-US"/>
        </w:rPr>
        <w:t>V</w:t>
      </w:r>
      <w:r w:rsidR="009F03AD" w:rsidRPr="00C63BBA">
        <w:rPr>
          <w:rFonts w:eastAsiaTheme="minorHAnsi"/>
          <w:b/>
          <w:bCs/>
          <w:sz w:val="25"/>
          <w:szCs w:val="25"/>
          <w:lang w:eastAsia="en-US"/>
        </w:rPr>
        <w:t>I</w:t>
      </w:r>
      <w:r w:rsidRPr="00C63BBA">
        <w:rPr>
          <w:rFonts w:eastAsiaTheme="minorHAnsi"/>
          <w:b/>
          <w:bCs/>
          <w:sz w:val="25"/>
          <w:szCs w:val="25"/>
          <w:lang w:eastAsia="en-US"/>
        </w:rPr>
        <w:t>I. Maksājumus veikšanas nosacījumi</w:t>
      </w:r>
    </w:p>
    <w:p w:rsidR="00AE73C2" w:rsidRPr="00C63BBA" w:rsidRDefault="00AE73C2" w:rsidP="00AE73C2">
      <w:pPr>
        <w:numPr>
          <w:ilvl w:val="0"/>
          <w:numId w:val="13"/>
        </w:numPr>
        <w:spacing w:before="120"/>
        <w:jc w:val="both"/>
        <w:outlineLvl w:val="0"/>
      </w:pPr>
      <w:r w:rsidRPr="00C63BBA">
        <w:t xml:space="preserve">Finansējuma saņēmējs starpposma maksājumos un avansa maksājumos var saņemt līdz 35 % no projekta līgumā par projekta īstenošanu norādītā kopējā publiskā finansējuma apmēra. </w:t>
      </w:r>
    </w:p>
    <w:p w:rsidR="00AE73C2" w:rsidRPr="00C63BBA" w:rsidRDefault="00AE73C2" w:rsidP="00EF30FE">
      <w:pPr>
        <w:numPr>
          <w:ilvl w:val="1"/>
          <w:numId w:val="13"/>
        </w:numPr>
        <w:spacing w:before="120"/>
        <w:jc w:val="both"/>
        <w:outlineLvl w:val="0"/>
      </w:pPr>
      <w:r w:rsidRPr="00C63BBA">
        <w:t xml:space="preserve">Avansu izsniedz, ja sadarbības iestāde gūst pārliecību par avansa pilnīgas un efektīvas izmantošanas iespējām izdevumu attiecināmības periodā un kredītiestādes garantijas saņemšanas nosacījumi neliedz izmantot avansu projektā nepieciešamajiem maksājumiem piegādātājiem. </w:t>
      </w:r>
    </w:p>
    <w:p w:rsidR="00AE73C2" w:rsidRPr="00C63BBA" w:rsidRDefault="00AE73C2" w:rsidP="00EF30FE">
      <w:pPr>
        <w:numPr>
          <w:ilvl w:val="1"/>
          <w:numId w:val="13"/>
        </w:numPr>
        <w:spacing w:before="120"/>
        <w:jc w:val="both"/>
        <w:outlineLvl w:val="0"/>
      </w:pPr>
      <w:r w:rsidRPr="00C63BBA">
        <w:t>Lai saņemtu avansa maksājumu, finansējuma saņēmējs iesniedz sadarbības iestādē Eiropas Savienībā reģistrētas kredītiestādes garantiju par avansa atdošanu. Kredītiestādes garantijas termiņš ir vismaz divi mēneši pēc līgumā par projekta īstenošanu paredzētā projekta īstenošanas beigu datuma. Finansējuma saņēmējs līdz projekta īstenošanas beigām iesniedz sadarbības iestādē maksājuma pieprasījumu vai pieprasījumus par izsniegtā avansa apjomu.</w:t>
      </w:r>
    </w:p>
    <w:p w:rsidR="00AE73C2" w:rsidRPr="00C63BBA" w:rsidRDefault="00AE73C2" w:rsidP="00AE73C2">
      <w:pPr>
        <w:numPr>
          <w:ilvl w:val="0"/>
          <w:numId w:val="13"/>
        </w:numPr>
        <w:spacing w:before="120"/>
        <w:jc w:val="both"/>
        <w:outlineLvl w:val="0"/>
      </w:pPr>
      <w:r w:rsidRPr="00C63BBA">
        <w:t xml:space="preserve">Attiecināmajās izmaksās iekļauj tikai tos ilgtermiņa ieguldījumus, par kuriem projekta noslēguma vai starpposma pārskata iesniegšanas dienā būs pilnībā samaksāts, kuri uz projekta noslēguma brīdi būs finansējuma saņēmēja īpašumā Latvijā projekta iesniegumā norādītajā projekta īstenošanas vietā un kuri tiks izmantoti projektā paredzētās saimnieciskās darbības veikšanai. </w:t>
      </w:r>
    </w:p>
    <w:p w:rsidR="00AE73C2" w:rsidRPr="00C63BBA" w:rsidRDefault="00AE73C2" w:rsidP="00AE73C2">
      <w:pPr>
        <w:numPr>
          <w:ilvl w:val="1"/>
          <w:numId w:val="13"/>
        </w:numPr>
        <w:spacing w:before="120"/>
        <w:jc w:val="both"/>
        <w:outlineLvl w:val="0"/>
      </w:pPr>
      <w:r w:rsidRPr="00C63BBA">
        <w:t xml:space="preserve">Starpposma attiecināmajās izmaksās var iekļaut arī atbilstoši projekta iesniegumam faktiski veiktos izdevumus par ilgtermiņa ieguldījumiem, kas vēl nav finansējuma saņēmēja īpašumā Latvijā, ja sadarbības iestāde ir konstatējusi, ka ir iestājies šo noteikumu </w:t>
      </w:r>
      <w:r w:rsidRPr="00C63BBA">
        <w:fldChar w:fldCharType="begin"/>
      </w:r>
      <w:r w:rsidRPr="00C63BBA">
        <w:instrText xml:space="preserve"> REF _Ref417036073 \r \h </w:instrText>
      </w:r>
      <w:r w:rsidR="00C63BBA">
        <w:instrText xml:space="preserve"> \* MERGEFORMAT </w:instrText>
      </w:r>
      <w:r w:rsidRPr="00C63BBA">
        <w:fldChar w:fldCharType="separate"/>
      </w:r>
      <w:r w:rsidR="00EF30FE" w:rsidRPr="00C63BBA">
        <w:t>36</w:t>
      </w:r>
      <w:r w:rsidRPr="00C63BBA">
        <w:fldChar w:fldCharType="end"/>
      </w:r>
      <w:r w:rsidRPr="00C63BBA">
        <w:t>.punktā  minētais gadījums, vai ja par starpposma pārskatā norādīto finansējuma apmēru ir iesniegta Eiropas Savienībā reģistrētas kredītiestādes garantija, ka ilgtermiņa ieguldījumi projekta noslēguma pārskata iesniegšanas dienā būs pilnībā samaksāti, būs finansējuma saņēmēja īpašumā Latvijā un tiks izmantoti projektā paredzētās saimnieciskās darbības veikšanai. Kredītiestādes garantijas termiņš ir vismaz divi mēneši pēc līgumā par projekta īstenošanu paredzētā projekta īstenošanas beigu datuma.</w:t>
      </w:r>
    </w:p>
    <w:p w:rsidR="00AE73C2" w:rsidRPr="00C63BBA" w:rsidRDefault="00AE73C2" w:rsidP="00AE73C2">
      <w:pPr>
        <w:numPr>
          <w:ilvl w:val="0"/>
          <w:numId w:val="13"/>
        </w:numPr>
        <w:spacing w:before="120"/>
        <w:jc w:val="both"/>
        <w:outlineLvl w:val="0"/>
      </w:pPr>
      <w:bookmarkStart w:id="2" w:name="_Ref417036073"/>
      <w:r w:rsidRPr="00C63BBA">
        <w:t xml:space="preserve">Sadarbības iestādei ir tiesības izmaksāt starpposma maksājumu, kurā ietvertas attiecināmās izmaksas par atbilstoši projekta iesniegumam faktiski veiktajiem izdevumiem par ilgtermiņa ieguldījumiem, kas vēl nav finansējuma saņēmēja īpašumā Latvijā, un, ja sadarbības iestāde, ievērojot drošas finanšu vadības principu, gūst pārliecību, ka nepastāv apstākļi, kas liecina par būtiskiem riskiem projekta īstenošanā, tai skaitā finansējuma saņēmēja iepriekšējā noslēgtā finanšu pārskata gada neto apgrozījums vismaz trīs reizes pārsniedz apstiprinātā </w:t>
      </w:r>
      <w:r w:rsidRPr="00C63BBA">
        <w:lastRenderedPageBreak/>
        <w:t xml:space="preserve">projekta attiecināmās izmaksas vai ir vismaz 4 745 000 </w:t>
      </w:r>
      <w:r w:rsidRPr="00CD2357">
        <w:rPr>
          <w:i/>
        </w:rPr>
        <w:t>euro</w:t>
      </w:r>
      <w:r w:rsidRPr="00C63BBA">
        <w:t xml:space="preserve"> un projektā paredzēto iekārtu piegādātājs ir šo iekārtu ražotājs no Eiropas Savienības vai Eiropas Savienības un Eiropas Ekonomikas zonas dalībvalsts.</w:t>
      </w:r>
      <w:bookmarkEnd w:id="2"/>
    </w:p>
    <w:p w:rsidR="00AE73C2" w:rsidRPr="00C63BBA" w:rsidRDefault="00AE73C2" w:rsidP="00AE73C2">
      <w:pPr>
        <w:spacing w:before="120"/>
        <w:jc w:val="center"/>
        <w:outlineLvl w:val="0"/>
        <w:rPr>
          <w:b/>
        </w:rPr>
      </w:pPr>
    </w:p>
    <w:p w:rsidR="00AE73C2" w:rsidRPr="00C63BBA" w:rsidRDefault="00AE73C2" w:rsidP="00AE73C2">
      <w:pPr>
        <w:spacing w:before="120"/>
        <w:jc w:val="center"/>
        <w:outlineLvl w:val="0"/>
        <w:rPr>
          <w:b/>
        </w:rPr>
      </w:pPr>
      <w:r w:rsidRPr="00C63BBA">
        <w:rPr>
          <w:b/>
        </w:rPr>
        <w:t>VIII. Kredītiestādes garantijas vēstule</w:t>
      </w:r>
    </w:p>
    <w:p w:rsidR="00AE73C2" w:rsidRPr="00C63BBA" w:rsidRDefault="00AE73C2" w:rsidP="00AE73C2">
      <w:pPr>
        <w:numPr>
          <w:ilvl w:val="0"/>
          <w:numId w:val="13"/>
        </w:numPr>
        <w:spacing w:before="120"/>
        <w:jc w:val="both"/>
        <w:outlineLvl w:val="0"/>
      </w:pPr>
      <w:bookmarkStart w:id="3" w:name="_Ref416954639"/>
      <w:r w:rsidRPr="00C63BBA">
        <w:t xml:space="preserve">Projekta iesniedzējs </w:t>
      </w:r>
      <w:r w:rsidR="00EF30FE" w:rsidRPr="00C63BBA">
        <w:t xml:space="preserve">kopā ar projekta iesniegumu </w:t>
      </w:r>
      <w:r w:rsidRPr="00C63BBA">
        <w:t xml:space="preserve">iesniedz sadarbības iestādē Eiropas Savienībā reģistrētas kredītiestādes izsniegtu pirmā pieprasījuma līguma izpildes garantijas vēstuli četru procentu vērtībā no pieprasītā publiskā finansējuma, kas nodrošina garantijas izmaksu šo noteikumu </w:t>
      </w:r>
      <w:r w:rsidRPr="00C63BBA">
        <w:fldChar w:fldCharType="begin"/>
      </w:r>
      <w:r w:rsidRPr="00C63BBA">
        <w:instrText xml:space="preserve"> REF _Ref417033230 \r \h </w:instrText>
      </w:r>
      <w:r w:rsidR="00C63BBA">
        <w:instrText xml:space="preserve"> \* MERGEFORMAT </w:instrText>
      </w:r>
      <w:r w:rsidRPr="00C63BBA">
        <w:fldChar w:fldCharType="separate"/>
      </w:r>
      <w:r w:rsidR="00EF30FE" w:rsidRPr="00C63BBA">
        <w:t>40</w:t>
      </w:r>
      <w:r w:rsidRPr="00C63BBA">
        <w:fldChar w:fldCharType="end"/>
      </w:r>
      <w:r w:rsidRPr="00C63BBA">
        <w:t>.</w:t>
      </w:r>
      <w:bookmarkEnd w:id="3"/>
      <w:r w:rsidRPr="00C63BBA">
        <w:t>punktā norādītajos gadījumos.</w:t>
      </w:r>
    </w:p>
    <w:p w:rsidR="00AE73C2" w:rsidRPr="00C63BBA" w:rsidRDefault="00AE73C2" w:rsidP="00AE73C2">
      <w:pPr>
        <w:numPr>
          <w:ilvl w:val="0"/>
          <w:numId w:val="13"/>
        </w:numPr>
        <w:spacing w:before="120"/>
        <w:jc w:val="both"/>
        <w:outlineLvl w:val="0"/>
      </w:pPr>
      <w:bookmarkStart w:id="4" w:name="_Ref416955627"/>
      <w:r w:rsidRPr="00C63BBA">
        <w:t>Garantijas vēstules garantijas termiņš ir vismaz divi mēneši pēc projekta iesniegumā norādītā projekta īstenošanas beigu datuma.</w:t>
      </w:r>
      <w:bookmarkEnd w:id="4"/>
    </w:p>
    <w:p w:rsidR="00AE73C2" w:rsidRPr="00C63BBA" w:rsidRDefault="00AE73C2" w:rsidP="00AE73C2">
      <w:pPr>
        <w:numPr>
          <w:ilvl w:val="0"/>
          <w:numId w:val="13"/>
        </w:numPr>
        <w:spacing w:before="120"/>
        <w:jc w:val="both"/>
        <w:outlineLvl w:val="0"/>
      </w:pPr>
      <w:r w:rsidRPr="00C63BBA">
        <w:t xml:space="preserve">Sadarbības iestādei ir pienākums atbrīvot garantijas vēstulē norādīto summu pirms šo noteikumu </w:t>
      </w:r>
      <w:r w:rsidRPr="00C63BBA">
        <w:fldChar w:fldCharType="begin"/>
      </w:r>
      <w:r w:rsidRPr="00C63BBA">
        <w:instrText xml:space="preserve"> REF _Ref416955627 \r \h </w:instrText>
      </w:r>
      <w:r w:rsidR="00C63BBA">
        <w:instrText xml:space="preserve"> \* MERGEFORMAT </w:instrText>
      </w:r>
      <w:r w:rsidRPr="00C63BBA">
        <w:fldChar w:fldCharType="separate"/>
      </w:r>
      <w:r w:rsidR="00EF30FE" w:rsidRPr="00C63BBA">
        <w:t>38</w:t>
      </w:r>
      <w:r w:rsidRPr="00C63BBA">
        <w:fldChar w:fldCharType="end"/>
      </w:r>
      <w:r w:rsidRPr="00C63BBA">
        <w:t>.punktā noteiktā termiņa šādos gadījumos:</w:t>
      </w:r>
    </w:p>
    <w:p w:rsidR="00AE73C2" w:rsidRPr="00C63BBA" w:rsidRDefault="00AE73C2" w:rsidP="00AE73C2">
      <w:pPr>
        <w:numPr>
          <w:ilvl w:val="1"/>
          <w:numId w:val="13"/>
        </w:numPr>
        <w:spacing w:before="120"/>
        <w:jc w:val="both"/>
        <w:outlineLvl w:val="0"/>
      </w:pPr>
      <w:r w:rsidRPr="00C63BBA">
        <w:t>ja sadarbības iestāde pēc projekta iesnieguma vērtēšanas ir pieņēmusi lēmumu par projekta iesnieguma noraidīšanu vai parakstījusi atzinumu par projekta iesniedzēja iesniegtās informācijas neatbilstību lēmumā par projekta iesnieguma apstiprināšanu ar nosacījumu ietvertajiem nosacījumiem;</w:t>
      </w:r>
    </w:p>
    <w:p w:rsidR="00AE73C2" w:rsidRPr="00C63BBA" w:rsidRDefault="00AE73C2" w:rsidP="00AE73C2">
      <w:pPr>
        <w:numPr>
          <w:ilvl w:val="1"/>
          <w:numId w:val="13"/>
        </w:numPr>
        <w:spacing w:before="120"/>
        <w:jc w:val="both"/>
        <w:outlineLvl w:val="0"/>
      </w:pPr>
      <w:r w:rsidRPr="00C63BBA">
        <w:t>ja sadarbības iestāde ir konstatējusi, ka finansējuma saņēmējs 18 mēnešu laikā no dienas, kad noslēgts līgums par projekta īstenošanu, sadarbības iestādē ir iesniedzis starpposma maksājuma pieprasījumu vismaz par 35% no pieprasītā publiskā finansējuma apmēra, un tas atbilst līguma, kurš noslēgts starp sadarbības iestādi un finansējuma saņēmēju, nosacījumiem.</w:t>
      </w:r>
    </w:p>
    <w:p w:rsidR="00AE73C2" w:rsidRPr="00C63BBA" w:rsidRDefault="00AE73C2" w:rsidP="00AE73C2">
      <w:pPr>
        <w:numPr>
          <w:ilvl w:val="0"/>
          <w:numId w:val="13"/>
        </w:numPr>
        <w:spacing w:before="120"/>
        <w:jc w:val="both"/>
        <w:outlineLvl w:val="0"/>
      </w:pPr>
      <w:bookmarkStart w:id="5" w:name="_Ref417033230"/>
      <w:r w:rsidRPr="00C63BBA">
        <w:t>Garantijas vēstulē norādīto summu kredītiestāde izmaksā pēc pirmā sadarbības iestādes pieprasījuma šādos gadījumos:</w:t>
      </w:r>
      <w:bookmarkEnd w:id="5"/>
    </w:p>
    <w:p w:rsidR="00AE73C2" w:rsidRPr="00C63BBA" w:rsidRDefault="00AE73C2" w:rsidP="00AE73C2">
      <w:pPr>
        <w:numPr>
          <w:ilvl w:val="1"/>
          <w:numId w:val="13"/>
        </w:numPr>
        <w:spacing w:before="120"/>
        <w:jc w:val="both"/>
        <w:outlineLvl w:val="0"/>
      </w:pPr>
      <w:r w:rsidRPr="00C63BBA">
        <w:t>ja projekta iesniedzējs ir atsaucis iesniegto projekta iesniegumu;</w:t>
      </w:r>
    </w:p>
    <w:p w:rsidR="00AE73C2" w:rsidRPr="00C63BBA" w:rsidRDefault="00AE73C2" w:rsidP="00AE73C2">
      <w:pPr>
        <w:numPr>
          <w:ilvl w:val="1"/>
          <w:numId w:val="13"/>
        </w:numPr>
        <w:spacing w:before="120"/>
        <w:jc w:val="both"/>
        <w:outlineLvl w:val="0"/>
      </w:pPr>
      <w:r w:rsidRPr="00C63BBA">
        <w:t>ja sadarbības iestāde ir pieņēmusi lēmumu par projekta iesnieguma apstiprināšanu ar nosacījumu, bet noteiktajā termiņā projekta iesniedzējs nav sniedzis nepieciešamo informāciju vai nav sniedzis argumentētu pamatojumu par nespēju sniegt nepieciešamo informāciju;</w:t>
      </w:r>
    </w:p>
    <w:p w:rsidR="00AE73C2" w:rsidRPr="00C63BBA" w:rsidRDefault="00AE73C2" w:rsidP="00AE73C2">
      <w:pPr>
        <w:numPr>
          <w:ilvl w:val="1"/>
          <w:numId w:val="13"/>
        </w:numPr>
        <w:spacing w:before="120"/>
        <w:jc w:val="both"/>
        <w:outlineLvl w:val="0"/>
      </w:pPr>
      <w:r w:rsidRPr="00C63BBA">
        <w:t>ja sadarbības iestāde ir pieņēmusi lēmumu par projekta iesnieguma apstiprināšanu, bet noteiktajā termiņā projekta iesniedzējs nav noslēdzis ar sadarbības iestādi līgumu par projekta īstenošanu;</w:t>
      </w:r>
    </w:p>
    <w:p w:rsidR="00AE73C2" w:rsidRPr="00C63BBA" w:rsidRDefault="00AE73C2" w:rsidP="00AE73C2">
      <w:pPr>
        <w:numPr>
          <w:ilvl w:val="1"/>
          <w:numId w:val="13"/>
        </w:numPr>
        <w:spacing w:before="120"/>
        <w:jc w:val="both"/>
        <w:outlineLvl w:val="0"/>
      </w:pPr>
      <w:r w:rsidRPr="00C63BBA">
        <w:t xml:space="preserve">ja līgums par projekta īstenošanu tiek izbeigts pēc finansējuma saņēmēja vai sadarbības iestādes iniciatīvas, tai skaitā šo noteikumu </w:t>
      </w:r>
      <w:r w:rsidRPr="00C63BBA">
        <w:fldChar w:fldCharType="begin"/>
      </w:r>
      <w:r w:rsidRPr="00C63BBA">
        <w:instrText xml:space="preserve"> REF _Ref417301145 \r \h </w:instrText>
      </w:r>
      <w:r w:rsidR="00C63BBA">
        <w:instrText xml:space="preserve"> \* MERGEFORMAT </w:instrText>
      </w:r>
      <w:r w:rsidRPr="00C63BBA">
        <w:fldChar w:fldCharType="separate"/>
      </w:r>
      <w:r w:rsidR="00EF30FE" w:rsidRPr="00C63BBA">
        <w:t>32</w:t>
      </w:r>
      <w:r w:rsidRPr="00C63BBA">
        <w:fldChar w:fldCharType="end"/>
      </w:r>
      <w:r w:rsidRPr="00C63BBA">
        <w:t>.punktā minētajos gadījumos;</w:t>
      </w:r>
    </w:p>
    <w:p w:rsidR="00AE73C2" w:rsidRPr="00C63BBA" w:rsidRDefault="00AE73C2" w:rsidP="00AE73C2">
      <w:pPr>
        <w:numPr>
          <w:ilvl w:val="1"/>
          <w:numId w:val="13"/>
        </w:numPr>
        <w:spacing w:before="120"/>
        <w:jc w:val="both"/>
        <w:outlineLvl w:val="0"/>
      </w:pPr>
      <w:r w:rsidRPr="00C63BBA">
        <w:t>ja projekta iesniegumā paredzētie ilgtermiņa ieguldījumi neatbilst tirgus cenai un nosacījumiem vai netiek iegādāti par tirgus cenu</w:t>
      </w:r>
      <w:r w:rsidR="008E75C7">
        <w:t xml:space="preserve"> un uz tirgus nosacījumiem</w:t>
      </w:r>
      <w:r w:rsidRPr="00C63BBA">
        <w:t>.</w:t>
      </w:r>
    </w:p>
    <w:p w:rsidR="00AE73C2" w:rsidRPr="00C63BBA" w:rsidRDefault="00AE73C2" w:rsidP="00AE73C2">
      <w:pPr>
        <w:numPr>
          <w:ilvl w:val="0"/>
          <w:numId w:val="13"/>
        </w:numPr>
        <w:spacing w:before="120"/>
        <w:jc w:val="both"/>
        <w:outlineLvl w:val="0"/>
      </w:pPr>
      <w:r w:rsidRPr="00C63BBA">
        <w:t xml:space="preserve">Šo noteikumu </w:t>
      </w:r>
      <w:r w:rsidRPr="00C63BBA">
        <w:fldChar w:fldCharType="begin"/>
      </w:r>
      <w:r w:rsidRPr="00C63BBA">
        <w:instrText xml:space="preserve"> REF _Ref417033230 \r \h </w:instrText>
      </w:r>
      <w:r w:rsidR="00C63BBA">
        <w:instrText xml:space="preserve"> \* MERGEFORMAT </w:instrText>
      </w:r>
      <w:r w:rsidRPr="00C63BBA">
        <w:fldChar w:fldCharType="separate"/>
      </w:r>
      <w:r w:rsidR="00EF30FE" w:rsidRPr="00C63BBA">
        <w:t>40</w:t>
      </w:r>
      <w:r w:rsidRPr="00C63BBA">
        <w:fldChar w:fldCharType="end"/>
      </w:r>
      <w:r w:rsidRPr="00C63BBA">
        <w:t>.punktā noteiktajā kārtībā iegūtos finanšu līdzekļus ieskaita valsts pamatbudžeta ieņēmumos.</w:t>
      </w:r>
    </w:p>
    <w:p w:rsidR="00AE73C2" w:rsidRPr="00C63BBA" w:rsidRDefault="00AE73C2" w:rsidP="005072FF">
      <w:pPr>
        <w:spacing w:before="120"/>
        <w:ind w:left="360"/>
        <w:jc w:val="center"/>
        <w:outlineLvl w:val="0"/>
        <w:rPr>
          <w:b/>
        </w:rPr>
      </w:pPr>
    </w:p>
    <w:p w:rsidR="005072FF" w:rsidRPr="00C63BBA" w:rsidRDefault="005072FF" w:rsidP="005072FF">
      <w:pPr>
        <w:spacing w:before="120"/>
        <w:ind w:left="360"/>
        <w:jc w:val="center"/>
        <w:outlineLvl w:val="0"/>
        <w:rPr>
          <w:b/>
        </w:rPr>
      </w:pPr>
      <w:r w:rsidRPr="00C63BBA">
        <w:rPr>
          <w:b/>
        </w:rPr>
        <w:t>I</w:t>
      </w:r>
      <w:r w:rsidR="009F03AD" w:rsidRPr="00C63BBA">
        <w:rPr>
          <w:b/>
        </w:rPr>
        <w:t>X</w:t>
      </w:r>
      <w:r w:rsidRPr="00C63BBA">
        <w:rPr>
          <w:b/>
        </w:rPr>
        <w:t>. Ar valsts atbalsta saņemšanu saistītie nosacījumi</w:t>
      </w:r>
    </w:p>
    <w:p w:rsidR="005072FF" w:rsidRPr="00C63BBA" w:rsidRDefault="005072FF" w:rsidP="005072FF">
      <w:pPr>
        <w:numPr>
          <w:ilvl w:val="0"/>
          <w:numId w:val="13"/>
        </w:numPr>
        <w:spacing w:before="120"/>
        <w:jc w:val="both"/>
        <w:outlineLvl w:val="0"/>
      </w:pPr>
      <w:r w:rsidRPr="00C63BBA">
        <w:t xml:space="preserve">Finanšu atbalstu šo noteikumu ietvaros sniedz saskaņā ar Komisijas 2014. gada 17. jūnija Regulu (ES) Nr.651/2014, ar ko noteiktas atbalsta kategorijas atzīst par saderīgām ar iekšējo </w:t>
      </w:r>
      <w:r w:rsidRPr="00C63BBA">
        <w:lastRenderedPageBreak/>
        <w:t>tirgu, piemērojot Līguma 107. un 108. pantu (Eiropas Savienības Oficiālais Vēstnesis, 2014. gada 26. jūnijs, Nr. L 187).</w:t>
      </w:r>
    </w:p>
    <w:p w:rsidR="005072FF" w:rsidRPr="00C63BBA" w:rsidRDefault="005072FF" w:rsidP="005072FF">
      <w:pPr>
        <w:numPr>
          <w:ilvl w:val="0"/>
          <w:numId w:val="13"/>
        </w:numPr>
        <w:spacing w:before="120"/>
        <w:jc w:val="both"/>
        <w:outlineLvl w:val="0"/>
      </w:pPr>
      <w:r w:rsidRPr="00C63BBA">
        <w:t>Sīkie (mikro), mazie un vidējie komersanti šo noteikumu izpratnē ir komersanti, kas atbilst– Komisijas regula Nr.651/2014 1. pielikumā noteiktajai definīcijai.</w:t>
      </w:r>
    </w:p>
    <w:p w:rsidR="005072FF" w:rsidRPr="00C63BBA" w:rsidRDefault="005072FF" w:rsidP="005072FF">
      <w:pPr>
        <w:numPr>
          <w:ilvl w:val="0"/>
          <w:numId w:val="13"/>
        </w:numPr>
        <w:spacing w:before="120"/>
        <w:jc w:val="both"/>
        <w:outlineLvl w:val="0"/>
      </w:pPr>
      <w:r w:rsidRPr="00C63BBA">
        <w:t>Lielie komersanti šo noteikumu izpratnē ir komersanti, kas atbilst Komisijas regulas Nr. 651/2014 2. panta 24. punktā noteiktajai definīcijai.</w:t>
      </w:r>
    </w:p>
    <w:p w:rsidR="005072FF" w:rsidRPr="00C63BBA" w:rsidRDefault="005072FF" w:rsidP="005072FF">
      <w:pPr>
        <w:numPr>
          <w:ilvl w:val="0"/>
          <w:numId w:val="13"/>
        </w:numPr>
        <w:spacing w:before="120"/>
        <w:jc w:val="both"/>
        <w:outlineLvl w:val="0"/>
      </w:pPr>
      <w:r w:rsidRPr="00C63BBA">
        <w:t>Saistītās personas šo noteikumu izpratnē atbilst Komisijas regulas Nr. 651/2014 1. pielikumā noteiktajai saistīto komersantu definīcijai. Projekta iesniedzēja saistīto personu grupas statuss tiek fiksēts atbilstoši situācijai, kāda ir lēmuma par projekta iesnieguma apstiprināšanu, apstiprināšanu ar nosacījumu vai noraidīšanu pieņemšanas dienā.</w:t>
      </w:r>
    </w:p>
    <w:p w:rsidR="005072FF" w:rsidRPr="00C63BBA" w:rsidRDefault="005072FF" w:rsidP="005072FF">
      <w:pPr>
        <w:numPr>
          <w:ilvl w:val="0"/>
          <w:numId w:val="13"/>
        </w:numPr>
        <w:spacing w:before="120"/>
        <w:jc w:val="both"/>
        <w:outlineLvl w:val="0"/>
      </w:pPr>
      <w:r w:rsidRPr="00C63BBA">
        <w:t>Piešķirot atbalstu, vērtē, vai atbalsta projekts nav kvalificējams kā vienots investīciju projekts atbilstoši Komisijas regulas Nr. 651/2014 14. panta 13. punktam. Ja tas ir vienots investīciju projekts, piemēro nosacījumus atbilstoši Komisijas regulas Nr. 651/2014 14. panta 13. punktam</w:t>
      </w:r>
    </w:p>
    <w:p w:rsidR="00D172E3" w:rsidRPr="00C63BBA" w:rsidRDefault="00D172E3" w:rsidP="00D172E3">
      <w:pPr>
        <w:numPr>
          <w:ilvl w:val="0"/>
          <w:numId w:val="13"/>
        </w:numPr>
        <w:spacing w:before="120"/>
        <w:jc w:val="both"/>
        <w:outlineLvl w:val="0"/>
      </w:pPr>
      <w:r w:rsidRPr="00C63BBA">
        <w:t xml:space="preserve">Piešķirto finansējumu šo noteikumu ietvaros attiecībā uz tām pašām attiecināmajām izmaksām var apvienot ar </w:t>
      </w:r>
      <w:proofErr w:type="spellStart"/>
      <w:r w:rsidRPr="00C63BBA">
        <w:rPr>
          <w:i/>
        </w:rPr>
        <w:t>de</w:t>
      </w:r>
      <w:proofErr w:type="spellEnd"/>
      <w:r w:rsidRPr="00C63BBA">
        <w:rPr>
          <w:i/>
        </w:rPr>
        <w:t xml:space="preserve"> </w:t>
      </w:r>
      <w:proofErr w:type="spellStart"/>
      <w:r w:rsidRPr="00C63BBA">
        <w:rPr>
          <w:i/>
        </w:rPr>
        <w:t>minimis</w:t>
      </w:r>
      <w:proofErr w:type="spellEnd"/>
      <w:r w:rsidRPr="00C63BBA">
        <w:t xml:space="preserve"> atbalstu, ja piešķirtais finansējums kopā ar </w:t>
      </w:r>
      <w:proofErr w:type="spellStart"/>
      <w:r w:rsidRPr="00C63BBA">
        <w:rPr>
          <w:i/>
        </w:rPr>
        <w:t>de</w:t>
      </w:r>
      <w:proofErr w:type="spellEnd"/>
      <w:r w:rsidRPr="00C63BBA">
        <w:rPr>
          <w:i/>
        </w:rPr>
        <w:t xml:space="preserve"> </w:t>
      </w:r>
      <w:proofErr w:type="spellStart"/>
      <w:r w:rsidRPr="00C63BBA">
        <w:rPr>
          <w:i/>
        </w:rPr>
        <w:t>minimis</w:t>
      </w:r>
      <w:proofErr w:type="spellEnd"/>
      <w:r w:rsidRPr="00C63BBA">
        <w:t xml:space="preserve"> atbalstu nepārsniedz maksimāli pieļaujamo reģionālā finansējuma intensitāti (sīkajiem (mikro) un mazajiem komersantiem – 55 %, vidējiem komersantiem – 45 % un lielajiem komersantiem – 35 % no projekta kopējām attiecināmajām izmaksām) neatkarīgi no tā, vai finansējums tiek sniegts no vietējiem, reģionālajiem vai valsts līdzekļiem. </w:t>
      </w:r>
    </w:p>
    <w:p w:rsidR="00D172E3" w:rsidRPr="00C63BBA" w:rsidRDefault="00D172E3" w:rsidP="00D172E3">
      <w:pPr>
        <w:numPr>
          <w:ilvl w:val="0"/>
          <w:numId w:val="13"/>
        </w:numPr>
        <w:spacing w:before="120"/>
        <w:jc w:val="both"/>
        <w:outlineLvl w:val="0"/>
      </w:pPr>
      <w:r w:rsidRPr="00C63BBA">
        <w:t>Piešķirto finansējumu šajos noteikumos noteiktajām attiecināmajām izmaksām var apvienot ar citas atbalsta programmas vai individuālā atbalsta projekta ietvaros piešķirto finansējumu, ievērojot nosacījumu, ka šo noteikumu ietvaros piešķirtais finansējums kopā ar citas atbalsta programmas vai individuālā atbalsta projekta ietvaros piešķirto finansējumu nepārsniedz maksimāli pieļaujamo reģionālā finansējuma intensitāti neatkarīgi no tā, vai finansējums tiek sniegts no vietējiem, reģionālajiem vai valsts līdzekļiem:</w:t>
      </w:r>
    </w:p>
    <w:p w:rsidR="00D172E3" w:rsidRPr="00C63BBA" w:rsidRDefault="00D172E3" w:rsidP="00D172E3">
      <w:pPr>
        <w:numPr>
          <w:ilvl w:val="1"/>
          <w:numId w:val="13"/>
        </w:numPr>
        <w:spacing w:before="120"/>
        <w:jc w:val="both"/>
        <w:outlineLvl w:val="0"/>
      </w:pPr>
      <w:r w:rsidRPr="00C63BBA">
        <w:t>sīkajiem (mikro) vai mazajiem komersantiem – 55 %;</w:t>
      </w:r>
    </w:p>
    <w:p w:rsidR="00D172E3" w:rsidRPr="00C63BBA" w:rsidRDefault="00D172E3" w:rsidP="00D172E3">
      <w:pPr>
        <w:numPr>
          <w:ilvl w:val="1"/>
          <w:numId w:val="13"/>
        </w:numPr>
        <w:spacing w:before="120"/>
        <w:jc w:val="both"/>
        <w:outlineLvl w:val="0"/>
      </w:pPr>
      <w:r w:rsidRPr="00C63BBA">
        <w:t>vidējiem komersantiem – 45 %;</w:t>
      </w:r>
    </w:p>
    <w:p w:rsidR="00484B70" w:rsidRPr="00C63BBA" w:rsidRDefault="00D172E3" w:rsidP="00D172E3">
      <w:pPr>
        <w:numPr>
          <w:ilvl w:val="1"/>
          <w:numId w:val="13"/>
        </w:numPr>
        <w:spacing w:before="120"/>
        <w:jc w:val="both"/>
        <w:outlineLvl w:val="0"/>
      </w:pPr>
      <w:r w:rsidRPr="00C63BBA">
        <w:t>lielajiem komersantiem – 35 %.</w:t>
      </w:r>
    </w:p>
    <w:p w:rsidR="00D172E3" w:rsidRPr="00C63BBA" w:rsidRDefault="00D172E3" w:rsidP="00D172E3">
      <w:pPr>
        <w:numPr>
          <w:ilvl w:val="0"/>
          <w:numId w:val="13"/>
        </w:numPr>
        <w:spacing w:before="120"/>
        <w:jc w:val="both"/>
        <w:outlineLvl w:val="0"/>
      </w:pPr>
      <w:r w:rsidRPr="00C63BBA">
        <w:t>Atbalstu, kura attiecināmās izmaksas ir nosakāmas, var apvienot ar:</w:t>
      </w:r>
    </w:p>
    <w:p w:rsidR="00D172E3" w:rsidRPr="00C63BBA" w:rsidRDefault="00D172E3" w:rsidP="00D172E3">
      <w:pPr>
        <w:numPr>
          <w:ilvl w:val="1"/>
          <w:numId w:val="13"/>
        </w:numPr>
        <w:spacing w:before="120"/>
        <w:jc w:val="both"/>
        <w:outlineLvl w:val="0"/>
      </w:pPr>
      <w:r w:rsidRPr="00C63BBA">
        <w:t>citu valsts atbalstu, ja vien šie pasākumi attiecas uz dažādām nosakāmām attiecināmajām izmaksām;</w:t>
      </w:r>
    </w:p>
    <w:p w:rsidR="00D172E3" w:rsidRPr="00C63BBA" w:rsidRDefault="00D172E3" w:rsidP="00D172E3">
      <w:pPr>
        <w:numPr>
          <w:ilvl w:val="1"/>
          <w:numId w:val="13"/>
        </w:numPr>
        <w:spacing w:before="120"/>
        <w:jc w:val="both"/>
        <w:outlineLvl w:val="0"/>
      </w:pPr>
      <w:r w:rsidRPr="00C63BBA">
        <w:t>citu valsts atbalstu attiecībā uz tām pašām attiecināmajām izmaksām, kas daļēji vai pilnībā pārklājas, tikai tādā gadījumā, ja šādas apvienošanas rezultātā netiek pārsniegta lielākā saskaņā ar šiem noteikumiem un Komisijas regulu Nr. 651/2014 piemērojamā finansējuma intensitāte vai maksimālais publiskā finansējuma apjoms.</w:t>
      </w:r>
    </w:p>
    <w:p w:rsidR="00791DAF" w:rsidRPr="00C63BBA" w:rsidRDefault="008B62E5" w:rsidP="008B62E5">
      <w:pPr>
        <w:numPr>
          <w:ilvl w:val="0"/>
          <w:numId w:val="13"/>
        </w:numPr>
        <w:spacing w:before="120"/>
        <w:jc w:val="both"/>
        <w:outlineLvl w:val="0"/>
      </w:pPr>
      <w:r w:rsidRPr="00C63BBA">
        <w:t>Atbalstu, kura attiecināmās izmaksas nav nosakāmas un kuram saskaņā ar Komisijas regulas Nr. 651/2014 21., 22. un 23. pantu piešķirts atbrīvojums, var apvienot ar citu valsts atbalstu, kura attiecināmās izmaksas ir nosakāmas. Atbalstu, kura attiecināmās izmaksas nav nosakāmas, var apvienot ar citu valsts atbalstu, kura attiecināmās izmaksas nav nosakāmas, nepārsniedzot attiecīgo augstāko kopējā finansējuma robežvērtību, kas konkrētā gadījuma īpašajiem apstākļiem noteikta Komisijas regulā Nr. 651/2014 vai citā Komisijas pieņemtā grupu atbrīvojuma regulā vai lēmumā.</w:t>
      </w:r>
    </w:p>
    <w:p w:rsidR="0010426D" w:rsidRPr="00C63BBA" w:rsidRDefault="0010426D" w:rsidP="00D523F2">
      <w:pPr>
        <w:tabs>
          <w:tab w:val="num" w:pos="426"/>
        </w:tabs>
        <w:spacing w:after="120"/>
        <w:jc w:val="both"/>
        <w:outlineLvl w:val="0"/>
      </w:pPr>
    </w:p>
    <w:p w:rsidR="0097370A" w:rsidRPr="00C63BBA" w:rsidRDefault="0097370A" w:rsidP="00E56E98">
      <w:pPr>
        <w:spacing w:before="120"/>
        <w:jc w:val="both"/>
        <w:rPr>
          <w:color w:val="000000"/>
        </w:rPr>
      </w:pPr>
    </w:p>
    <w:p w:rsidR="00E56E98" w:rsidRPr="00C63BBA" w:rsidRDefault="00E56E98" w:rsidP="00E56E98">
      <w:pPr>
        <w:spacing w:before="120"/>
        <w:jc w:val="both"/>
        <w:rPr>
          <w:color w:val="000000"/>
        </w:rPr>
      </w:pPr>
      <w:r w:rsidRPr="00C63BBA">
        <w:rPr>
          <w:color w:val="000000"/>
        </w:rPr>
        <w:t>Ministru prezidente</w:t>
      </w:r>
      <w:r w:rsidRPr="00C63BBA">
        <w:rPr>
          <w:color w:val="000000"/>
        </w:rPr>
        <w:tab/>
        <w:t xml:space="preserve">   </w:t>
      </w:r>
      <w:r w:rsidRPr="00C63BBA">
        <w:rPr>
          <w:color w:val="000000"/>
        </w:rPr>
        <w:tab/>
      </w:r>
      <w:r w:rsidRPr="00C63BBA">
        <w:rPr>
          <w:color w:val="000000"/>
        </w:rPr>
        <w:tab/>
      </w:r>
      <w:r w:rsidRPr="00C63BBA">
        <w:rPr>
          <w:color w:val="000000"/>
        </w:rPr>
        <w:tab/>
      </w:r>
      <w:r w:rsidRPr="00C63BBA">
        <w:rPr>
          <w:color w:val="000000"/>
        </w:rPr>
        <w:tab/>
      </w:r>
      <w:r w:rsidRPr="00C63BBA">
        <w:rPr>
          <w:color w:val="000000"/>
        </w:rPr>
        <w:tab/>
      </w:r>
      <w:r w:rsidRPr="00C63BBA">
        <w:rPr>
          <w:color w:val="000000"/>
        </w:rPr>
        <w:tab/>
        <w:t xml:space="preserve">      </w:t>
      </w:r>
      <w:r w:rsidR="00487B1D" w:rsidRPr="00C63BBA">
        <w:rPr>
          <w:color w:val="000000"/>
        </w:rPr>
        <w:tab/>
      </w:r>
      <w:r w:rsidRPr="00C63BBA">
        <w:rPr>
          <w:color w:val="000000"/>
        </w:rPr>
        <w:t>L.Straujuma</w:t>
      </w:r>
    </w:p>
    <w:p w:rsidR="00E56E98" w:rsidRPr="00C63BBA" w:rsidRDefault="00E56E98" w:rsidP="00E56E98">
      <w:pPr>
        <w:jc w:val="both"/>
        <w:rPr>
          <w:color w:val="000000"/>
        </w:rPr>
      </w:pPr>
    </w:p>
    <w:p w:rsidR="00E56E98" w:rsidRPr="00C63BBA" w:rsidRDefault="00600621" w:rsidP="00E56E98">
      <w:pPr>
        <w:jc w:val="both"/>
        <w:rPr>
          <w:color w:val="000000"/>
        </w:rPr>
      </w:pPr>
      <w:r w:rsidRPr="00C63BBA">
        <w:rPr>
          <w:color w:val="000000"/>
        </w:rPr>
        <w:t>Ekonomikas ministre</w:t>
      </w:r>
      <w:r w:rsidRPr="00C63BBA">
        <w:rPr>
          <w:color w:val="000000"/>
        </w:rPr>
        <w:tab/>
      </w:r>
      <w:r w:rsidRPr="00C63BBA">
        <w:rPr>
          <w:color w:val="000000"/>
        </w:rPr>
        <w:tab/>
      </w:r>
      <w:r w:rsidRPr="00C63BBA">
        <w:rPr>
          <w:color w:val="000000"/>
        </w:rPr>
        <w:tab/>
      </w:r>
      <w:r w:rsidRPr="00C63BBA">
        <w:rPr>
          <w:color w:val="000000"/>
        </w:rPr>
        <w:tab/>
      </w:r>
      <w:r w:rsidR="00D523F2" w:rsidRPr="00C63BBA">
        <w:rPr>
          <w:color w:val="000000"/>
        </w:rPr>
        <w:tab/>
      </w:r>
      <w:r w:rsidR="00D523F2" w:rsidRPr="00C63BBA">
        <w:rPr>
          <w:color w:val="000000"/>
        </w:rPr>
        <w:tab/>
      </w:r>
      <w:r w:rsidR="00D523F2" w:rsidRPr="00C63BBA">
        <w:rPr>
          <w:color w:val="000000"/>
        </w:rPr>
        <w:tab/>
      </w:r>
      <w:r w:rsidR="00D523F2" w:rsidRPr="00C63BBA">
        <w:rPr>
          <w:color w:val="000000"/>
        </w:rPr>
        <w:tab/>
      </w:r>
      <w:proofErr w:type="spellStart"/>
      <w:r w:rsidRPr="00C63BBA">
        <w:rPr>
          <w:color w:val="000000"/>
        </w:rPr>
        <w:t>D.Reizniece-Ozola</w:t>
      </w:r>
      <w:proofErr w:type="spellEnd"/>
    </w:p>
    <w:p w:rsidR="00912F7B" w:rsidRPr="00C63BBA" w:rsidRDefault="00912F7B" w:rsidP="00E56E98">
      <w:pPr>
        <w:jc w:val="both"/>
        <w:rPr>
          <w:color w:val="000000"/>
        </w:rPr>
      </w:pPr>
    </w:p>
    <w:p w:rsidR="00912F7B" w:rsidRPr="00C63BBA" w:rsidRDefault="00912F7B" w:rsidP="00E56E98">
      <w:pPr>
        <w:jc w:val="both"/>
        <w:rPr>
          <w:color w:val="000000"/>
        </w:rPr>
      </w:pPr>
    </w:p>
    <w:p w:rsidR="00E56E98" w:rsidRPr="00C63BBA" w:rsidRDefault="00E56E98" w:rsidP="00E56E98">
      <w:pPr>
        <w:jc w:val="both"/>
        <w:rPr>
          <w:color w:val="000000"/>
        </w:rPr>
      </w:pPr>
      <w:r w:rsidRPr="00C63BBA">
        <w:rPr>
          <w:color w:val="000000"/>
        </w:rPr>
        <w:t>Iesniedzējs:</w:t>
      </w:r>
    </w:p>
    <w:p w:rsidR="00600621" w:rsidRPr="00C63BBA" w:rsidRDefault="008F2F6D" w:rsidP="00600621">
      <w:pPr>
        <w:jc w:val="both"/>
        <w:rPr>
          <w:color w:val="000000"/>
        </w:rPr>
      </w:pPr>
      <w:r w:rsidRPr="00C63BBA">
        <w:rPr>
          <w:color w:val="000000"/>
        </w:rPr>
        <w:t>Ekonomikas ministre</w:t>
      </w:r>
      <w:r w:rsidRPr="00C63BBA">
        <w:rPr>
          <w:color w:val="000000"/>
        </w:rPr>
        <w:tab/>
      </w:r>
      <w:r w:rsidRPr="00C63BBA">
        <w:rPr>
          <w:color w:val="000000"/>
        </w:rPr>
        <w:tab/>
      </w:r>
      <w:r w:rsidRPr="00C63BBA">
        <w:rPr>
          <w:color w:val="000000"/>
        </w:rPr>
        <w:tab/>
      </w:r>
      <w:r w:rsidRPr="00C63BBA">
        <w:rPr>
          <w:color w:val="000000"/>
        </w:rPr>
        <w:tab/>
      </w:r>
      <w:r w:rsidRPr="00C63BBA">
        <w:rPr>
          <w:color w:val="000000"/>
        </w:rPr>
        <w:tab/>
      </w:r>
      <w:r w:rsidRPr="00C63BBA">
        <w:rPr>
          <w:color w:val="000000"/>
        </w:rPr>
        <w:tab/>
      </w:r>
      <w:r w:rsidRPr="00C63BBA">
        <w:rPr>
          <w:color w:val="000000"/>
        </w:rPr>
        <w:tab/>
      </w:r>
      <w:r w:rsidRPr="00C63BBA">
        <w:rPr>
          <w:color w:val="000000"/>
        </w:rPr>
        <w:tab/>
      </w:r>
      <w:proofErr w:type="spellStart"/>
      <w:r w:rsidR="00600621" w:rsidRPr="00C63BBA">
        <w:rPr>
          <w:color w:val="000000"/>
        </w:rPr>
        <w:t>D.Reizniece-Ozola</w:t>
      </w:r>
      <w:proofErr w:type="spellEnd"/>
    </w:p>
    <w:p w:rsidR="000170B3" w:rsidRPr="00C63BBA" w:rsidRDefault="000170B3" w:rsidP="00E56E98">
      <w:pPr>
        <w:spacing w:before="120"/>
        <w:jc w:val="both"/>
        <w:rPr>
          <w:color w:val="000000"/>
        </w:rPr>
      </w:pPr>
    </w:p>
    <w:p w:rsidR="000170B3" w:rsidRPr="00C63BBA" w:rsidRDefault="000170B3" w:rsidP="00E56E98">
      <w:pPr>
        <w:spacing w:before="120"/>
        <w:jc w:val="both"/>
        <w:rPr>
          <w:color w:val="000000"/>
        </w:rPr>
      </w:pPr>
    </w:p>
    <w:p w:rsidR="00745296" w:rsidRPr="00C63BBA" w:rsidRDefault="00C11D45" w:rsidP="00C11D45">
      <w:pPr>
        <w:pStyle w:val="EnvelopeReturn"/>
        <w:tabs>
          <w:tab w:val="right" w:pos="8222"/>
        </w:tabs>
        <w:spacing w:before="0" w:line="276" w:lineRule="auto"/>
        <w:jc w:val="both"/>
        <w:rPr>
          <w:sz w:val="24"/>
          <w:szCs w:val="24"/>
          <w:lang w:val="lv-LV"/>
        </w:rPr>
      </w:pPr>
      <w:r w:rsidRPr="00C63BBA">
        <w:rPr>
          <w:sz w:val="24"/>
          <w:szCs w:val="24"/>
          <w:lang w:val="lv-LV"/>
        </w:rPr>
        <w:t>Vīza: Valsts sekretā</w:t>
      </w:r>
      <w:r w:rsidR="00745296" w:rsidRPr="00C63BBA">
        <w:rPr>
          <w:sz w:val="24"/>
          <w:szCs w:val="24"/>
          <w:lang w:val="lv-LV"/>
        </w:rPr>
        <w:t>ra pienākumu izpildītājs,</w:t>
      </w:r>
    </w:p>
    <w:p w:rsidR="00C11D45" w:rsidRPr="00C63BBA" w:rsidRDefault="00E76A19" w:rsidP="00C11D45">
      <w:pPr>
        <w:pStyle w:val="EnvelopeReturn"/>
        <w:tabs>
          <w:tab w:val="right" w:pos="8222"/>
        </w:tabs>
        <w:spacing w:before="0" w:line="276" w:lineRule="auto"/>
        <w:jc w:val="both"/>
        <w:rPr>
          <w:sz w:val="24"/>
          <w:szCs w:val="24"/>
          <w:lang w:val="lv-LV"/>
        </w:rPr>
      </w:pPr>
      <w:r w:rsidRPr="00C63BBA">
        <w:rPr>
          <w:sz w:val="24"/>
          <w:szCs w:val="24"/>
          <w:lang w:val="lv-LV"/>
        </w:rPr>
        <w:t>v</w:t>
      </w:r>
      <w:r w:rsidR="00745296" w:rsidRPr="00C63BBA">
        <w:rPr>
          <w:sz w:val="24"/>
          <w:szCs w:val="24"/>
          <w:lang w:val="lv-LV"/>
        </w:rPr>
        <w:t>alsts sekretāra vietnieks</w:t>
      </w:r>
      <w:r w:rsidR="008F2F6D" w:rsidRPr="00C63BBA">
        <w:rPr>
          <w:sz w:val="24"/>
          <w:szCs w:val="24"/>
          <w:lang w:val="lv-LV"/>
        </w:rPr>
        <w:tab/>
      </w:r>
      <w:proofErr w:type="spellStart"/>
      <w:r w:rsidR="00745296" w:rsidRPr="00C63BBA">
        <w:rPr>
          <w:sz w:val="24"/>
          <w:szCs w:val="24"/>
          <w:lang w:val="lv-LV"/>
        </w:rPr>
        <w:t>J.Spiridonovs</w:t>
      </w:r>
      <w:proofErr w:type="spellEnd"/>
    </w:p>
    <w:p w:rsidR="0021560E" w:rsidRPr="00C63BBA" w:rsidRDefault="0021560E" w:rsidP="00C11D45">
      <w:pPr>
        <w:pStyle w:val="EnvelopeReturn"/>
        <w:tabs>
          <w:tab w:val="right" w:pos="8222"/>
        </w:tabs>
        <w:spacing w:before="0" w:line="276" w:lineRule="auto"/>
        <w:jc w:val="both"/>
        <w:rPr>
          <w:sz w:val="24"/>
          <w:szCs w:val="24"/>
          <w:lang w:val="lv-LV"/>
        </w:rPr>
      </w:pPr>
    </w:p>
    <w:p w:rsidR="006063F2" w:rsidRPr="00C63BBA" w:rsidRDefault="006063F2" w:rsidP="00C11D45">
      <w:pPr>
        <w:pStyle w:val="EnvelopeReturn"/>
        <w:tabs>
          <w:tab w:val="right" w:pos="8222"/>
        </w:tabs>
        <w:spacing w:before="0" w:line="276" w:lineRule="auto"/>
        <w:jc w:val="both"/>
        <w:rPr>
          <w:sz w:val="24"/>
          <w:szCs w:val="24"/>
          <w:lang w:val="lv-LV"/>
        </w:rPr>
      </w:pPr>
    </w:p>
    <w:p w:rsidR="005E7EBC" w:rsidRPr="00C63BBA" w:rsidRDefault="004C6295" w:rsidP="005E7EBC">
      <w:pPr>
        <w:pStyle w:val="naislab"/>
        <w:spacing w:before="0" w:after="0"/>
        <w:jc w:val="left"/>
        <w:rPr>
          <w:sz w:val="20"/>
          <w:szCs w:val="20"/>
        </w:rPr>
      </w:pPr>
      <w:r>
        <w:rPr>
          <w:sz w:val="20"/>
          <w:szCs w:val="20"/>
        </w:rPr>
        <w:t>27.04.2015 14:18</w:t>
      </w:r>
      <w:bookmarkStart w:id="6" w:name="_GoBack"/>
      <w:bookmarkEnd w:id="6"/>
    </w:p>
    <w:p w:rsidR="005E7EBC" w:rsidRPr="00C63BBA" w:rsidRDefault="00722231" w:rsidP="005E7EBC">
      <w:pPr>
        <w:pStyle w:val="naislab"/>
        <w:spacing w:before="0" w:after="0"/>
        <w:jc w:val="left"/>
        <w:rPr>
          <w:sz w:val="20"/>
          <w:szCs w:val="20"/>
        </w:rPr>
      </w:pPr>
      <w:fldSimple w:instr=" NUMWORDS   \* MERGEFORMAT ">
        <w:r w:rsidR="004C6295" w:rsidRPr="004C6295">
          <w:rPr>
            <w:noProof/>
            <w:sz w:val="20"/>
            <w:szCs w:val="20"/>
          </w:rPr>
          <w:t>3065</w:t>
        </w:r>
      </w:fldSimple>
    </w:p>
    <w:p w:rsidR="005E7EBC" w:rsidRPr="00C63BBA" w:rsidRDefault="005E7EBC" w:rsidP="005E7EBC">
      <w:pPr>
        <w:pStyle w:val="naislab"/>
        <w:spacing w:before="0" w:after="0"/>
        <w:jc w:val="left"/>
        <w:rPr>
          <w:sz w:val="20"/>
          <w:szCs w:val="20"/>
        </w:rPr>
      </w:pPr>
      <w:r w:rsidRPr="00C63BBA">
        <w:rPr>
          <w:sz w:val="20"/>
          <w:szCs w:val="20"/>
        </w:rPr>
        <w:t>Armands Blumbergs</w:t>
      </w:r>
    </w:p>
    <w:p w:rsidR="005E7EBC" w:rsidRPr="006C6C78" w:rsidRDefault="00C44329" w:rsidP="005E7EBC">
      <w:pPr>
        <w:pStyle w:val="naislab"/>
        <w:spacing w:before="0" w:after="0"/>
        <w:jc w:val="left"/>
        <w:rPr>
          <w:sz w:val="20"/>
          <w:szCs w:val="20"/>
        </w:rPr>
      </w:pPr>
      <w:hyperlink r:id="rId9" w:history="1">
        <w:r w:rsidR="005E7EBC" w:rsidRPr="00C63BBA">
          <w:rPr>
            <w:rStyle w:val="Hyperlink"/>
            <w:sz w:val="20"/>
            <w:szCs w:val="20"/>
          </w:rPr>
          <w:t>Armands.Blumbergs@em.gov.lv</w:t>
        </w:r>
      </w:hyperlink>
      <w:r w:rsidR="005E7EBC" w:rsidRPr="00C63BBA">
        <w:rPr>
          <w:sz w:val="20"/>
          <w:szCs w:val="20"/>
        </w:rPr>
        <w:t>, 67013297</w:t>
      </w:r>
      <w:r w:rsidR="005E7EBC" w:rsidRPr="006C6C78">
        <w:rPr>
          <w:sz w:val="20"/>
          <w:szCs w:val="20"/>
        </w:rPr>
        <w:t xml:space="preserve"> </w:t>
      </w:r>
    </w:p>
    <w:p w:rsidR="000B0BB4" w:rsidRPr="005039E9" w:rsidRDefault="000B0BB4" w:rsidP="005E7EBC">
      <w:pPr>
        <w:rPr>
          <w:sz w:val="28"/>
          <w:szCs w:val="28"/>
        </w:rPr>
      </w:pPr>
    </w:p>
    <w:sectPr w:rsidR="000B0BB4" w:rsidRPr="005039E9" w:rsidSect="00487B1D">
      <w:headerReference w:type="default" r:id="rId10"/>
      <w:footerReference w:type="default" r:id="rId11"/>
      <w:headerReference w:type="first" r:id="rId12"/>
      <w:footerReference w:type="first" r:id="rId13"/>
      <w:pgSz w:w="11906" w:h="16838"/>
      <w:pgMar w:top="1701" w:right="1134" w:bottom="1134" w:left="1418" w:header="709" w:footer="33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0B6C0" w15:done="0"/>
  <w15:commentEx w15:paraId="6067B78E" w15:done="0"/>
  <w15:commentEx w15:paraId="2616CF3A" w15:done="0"/>
  <w15:commentEx w15:paraId="54189D04" w15:done="0"/>
  <w15:commentEx w15:paraId="292A43FC" w15:done="0"/>
  <w15:commentEx w15:paraId="68BEC5EE" w15:done="0"/>
  <w15:commentEx w15:paraId="52E80430" w15:done="0"/>
  <w15:commentEx w15:paraId="465996AC" w15:done="0"/>
  <w15:commentEx w15:paraId="369E5EC6" w15:done="0"/>
  <w15:commentEx w15:paraId="6446A454" w15:done="0"/>
  <w15:commentEx w15:paraId="192835E5" w15:done="0"/>
  <w15:commentEx w15:paraId="6283661C" w15:done="0"/>
  <w15:commentEx w15:paraId="0BAD5C28" w15:done="0"/>
  <w15:commentEx w15:paraId="3DD5D099" w15:done="0"/>
  <w15:commentEx w15:paraId="12C69D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29" w:rsidRDefault="00C44329" w:rsidP="00842DE7">
      <w:r>
        <w:separator/>
      </w:r>
    </w:p>
  </w:endnote>
  <w:endnote w:type="continuationSeparator" w:id="0">
    <w:p w:rsidR="00C44329" w:rsidRDefault="00C44329"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35" w:rsidRPr="00600621" w:rsidRDefault="00A638E8" w:rsidP="004A0935">
    <w:pPr>
      <w:jc w:val="both"/>
      <w:rPr>
        <w:noProof/>
        <w:sz w:val="18"/>
        <w:szCs w:val="18"/>
      </w:rPr>
    </w:pPr>
    <w:r w:rsidRPr="00600621">
      <w:rPr>
        <w:sz w:val="18"/>
        <w:szCs w:val="18"/>
      </w:rPr>
      <w:fldChar w:fldCharType="begin"/>
    </w:r>
    <w:r w:rsidRPr="00600621">
      <w:rPr>
        <w:sz w:val="18"/>
        <w:szCs w:val="18"/>
      </w:rPr>
      <w:instrText xml:space="preserve"> FILENAME   \* MERGEFORMAT </w:instrText>
    </w:r>
    <w:r w:rsidRPr="00600621">
      <w:rPr>
        <w:sz w:val="18"/>
        <w:szCs w:val="18"/>
      </w:rPr>
      <w:fldChar w:fldCharType="separate"/>
    </w:r>
    <w:r w:rsidR="004C6295">
      <w:rPr>
        <w:noProof/>
        <w:sz w:val="18"/>
        <w:szCs w:val="18"/>
      </w:rPr>
      <w:t>EMnot_27042015_1214SAM</w:t>
    </w:r>
    <w:r w:rsidRPr="00600621">
      <w:rPr>
        <w:noProof/>
        <w:sz w:val="18"/>
        <w:szCs w:val="18"/>
      </w:rPr>
      <w:fldChar w:fldCharType="end"/>
    </w:r>
    <w:r w:rsidR="004A0935" w:rsidRPr="00600621">
      <w:rPr>
        <w:noProof/>
        <w:sz w:val="18"/>
        <w:szCs w:val="18"/>
      </w:rPr>
      <w:t xml:space="preserve">; </w:t>
    </w:r>
    <w:r w:rsidR="00600621" w:rsidRPr="00600621">
      <w:rPr>
        <w:noProof/>
        <w:sz w:val="18"/>
        <w:szCs w:val="18"/>
      </w:rPr>
      <w:t>Darbības programmas „Izaugsme un nodarbinātība” 1.2.1.specifiskā atbalsta mērķa „Palielināt privātā sektora investīcijas P&amp;A” 1.2.1.4.pasākuma „Atbalsts jaunu produktu ieviešanai ražošanā”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35" w:rsidRPr="00600621" w:rsidRDefault="00A638E8" w:rsidP="00D15482">
    <w:pPr>
      <w:jc w:val="both"/>
      <w:rPr>
        <w:noProof/>
        <w:sz w:val="18"/>
        <w:szCs w:val="18"/>
      </w:rPr>
    </w:pPr>
    <w:r w:rsidRPr="00600621">
      <w:rPr>
        <w:sz w:val="18"/>
        <w:szCs w:val="18"/>
      </w:rPr>
      <w:fldChar w:fldCharType="begin"/>
    </w:r>
    <w:r w:rsidRPr="00600621">
      <w:rPr>
        <w:sz w:val="18"/>
        <w:szCs w:val="18"/>
      </w:rPr>
      <w:instrText xml:space="preserve"> FILENAME   \* MERGEFORMAT </w:instrText>
    </w:r>
    <w:r w:rsidRPr="00600621">
      <w:rPr>
        <w:sz w:val="18"/>
        <w:szCs w:val="18"/>
      </w:rPr>
      <w:fldChar w:fldCharType="separate"/>
    </w:r>
    <w:r w:rsidR="004C6295">
      <w:rPr>
        <w:noProof/>
        <w:sz w:val="18"/>
        <w:szCs w:val="18"/>
      </w:rPr>
      <w:t>EMnot_27042015_1214SAM</w:t>
    </w:r>
    <w:r w:rsidRPr="00600621">
      <w:rPr>
        <w:noProof/>
        <w:sz w:val="18"/>
        <w:szCs w:val="18"/>
      </w:rPr>
      <w:fldChar w:fldCharType="end"/>
    </w:r>
    <w:r w:rsidR="004A0935" w:rsidRPr="00600621">
      <w:rPr>
        <w:noProof/>
        <w:sz w:val="18"/>
        <w:szCs w:val="18"/>
      </w:rPr>
      <w:t xml:space="preserve">; </w:t>
    </w:r>
    <w:r w:rsidR="00600621" w:rsidRPr="00600621">
      <w:rPr>
        <w:noProof/>
        <w:sz w:val="18"/>
        <w:szCs w:val="18"/>
      </w:rPr>
      <w:t>Darbības programmas „Izaugsme un nodarbinātība” 1.2.1.specifiskā atbalsta mērķa „Palielināt privātā sektora investīcijas P&amp;A” 1.2.1.4.pasākuma „Atbalsts jaunu produktu ieviešanai ražošanā”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29" w:rsidRDefault="00C44329" w:rsidP="00842DE7">
      <w:r>
        <w:separator/>
      </w:r>
    </w:p>
  </w:footnote>
  <w:footnote w:type="continuationSeparator" w:id="0">
    <w:p w:rsidR="00C44329" w:rsidRDefault="00C44329"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35" w:rsidRDefault="0085702A">
    <w:pPr>
      <w:pStyle w:val="Header"/>
      <w:jc w:val="center"/>
    </w:pPr>
    <w:r>
      <w:fldChar w:fldCharType="begin"/>
    </w:r>
    <w:r>
      <w:instrText xml:space="preserve"> PAGE   \* MERGEFORMAT </w:instrText>
    </w:r>
    <w:r>
      <w:fldChar w:fldCharType="separate"/>
    </w:r>
    <w:r w:rsidR="004C6295">
      <w:rPr>
        <w:noProof/>
      </w:rPr>
      <w:t>9</w:t>
    </w:r>
    <w:r>
      <w:rPr>
        <w:noProof/>
      </w:rPr>
      <w:fldChar w:fldCharType="end"/>
    </w:r>
  </w:p>
  <w:p w:rsidR="004A0935" w:rsidRDefault="004A0935" w:rsidP="00842DE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35" w:rsidRPr="00A245A9" w:rsidRDefault="004A0935" w:rsidP="0059059A">
    <w:pPr>
      <w:pStyle w:val="Header"/>
      <w:jc w:val="right"/>
      <w:rPr>
        <w:i/>
      </w:rPr>
    </w:pPr>
    <w:r w:rsidRPr="00A245A9">
      <w:rPr>
        <w:i/>
      </w:rPr>
      <w:t>PROJEKTS</w:t>
    </w:r>
  </w:p>
  <w:p w:rsidR="004A0935" w:rsidRDefault="004A0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4">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A911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5"/>
  </w:num>
  <w:num w:numId="5">
    <w:abstractNumId w:val="0"/>
  </w:num>
  <w:num w:numId="6">
    <w:abstractNumId w:val="19"/>
  </w:num>
  <w:num w:numId="7">
    <w:abstractNumId w:val="3"/>
  </w:num>
  <w:num w:numId="8">
    <w:abstractNumId w:val="16"/>
  </w:num>
  <w:num w:numId="9">
    <w:abstractNumId w:val="13"/>
  </w:num>
  <w:num w:numId="10">
    <w:abstractNumId w:val="18"/>
  </w:num>
  <w:num w:numId="11">
    <w:abstractNumId w:val="20"/>
  </w:num>
  <w:num w:numId="12">
    <w:abstractNumId w:val="17"/>
  </w:num>
  <w:num w:numId="13">
    <w:abstractNumId w:val="10"/>
  </w:num>
  <w:num w:numId="14">
    <w:abstractNumId w:val="11"/>
  </w:num>
  <w:num w:numId="15">
    <w:abstractNumId w:val="5"/>
  </w:num>
  <w:num w:numId="16">
    <w:abstractNumId w:val="8"/>
  </w:num>
  <w:num w:numId="17">
    <w:abstractNumId w:val="24"/>
  </w:num>
  <w:num w:numId="18">
    <w:abstractNumId w:val="14"/>
  </w:num>
  <w:num w:numId="19">
    <w:abstractNumId w:val="21"/>
  </w:num>
  <w:num w:numId="20">
    <w:abstractNumId w:val="23"/>
  </w:num>
  <w:num w:numId="21">
    <w:abstractNumId w:val="9"/>
  </w:num>
  <w:num w:numId="22">
    <w:abstractNumId w:val="7"/>
  </w:num>
  <w:num w:numId="23">
    <w:abstractNumId w:val="22"/>
  </w:num>
  <w:num w:numId="24">
    <w:abstractNumId w:val="4"/>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PD">
    <w15:presenceInfo w15:providerId="None" w15:userId="I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E7"/>
    <w:rsid w:val="00000A19"/>
    <w:rsid w:val="00000AE3"/>
    <w:rsid w:val="000024DD"/>
    <w:rsid w:val="00002AFF"/>
    <w:rsid w:val="00002C14"/>
    <w:rsid w:val="000039BB"/>
    <w:rsid w:val="00003E8F"/>
    <w:rsid w:val="00003ED8"/>
    <w:rsid w:val="000042FD"/>
    <w:rsid w:val="00004D51"/>
    <w:rsid w:val="000065FB"/>
    <w:rsid w:val="00006B26"/>
    <w:rsid w:val="00007662"/>
    <w:rsid w:val="00007701"/>
    <w:rsid w:val="00007E4A"/>
    <w:rsid w:val="00007ED6"/>
    <w:rsid w:val="0001288D"/>
    <w:rsid w:val="00013D6A"/>
    <w:rsid w:val="0001407C"/>
    <w:rsid w:val="000148F0"/>
    <w:rsid w:val="00014903"/>
    <w:rsid w:val="000153D4"/>
    <w:rsid w:val="0001550B"/>
    <w:rsid w:val="000168A1"/>
    <w:rsid w:val="000170B3"/>
    <w:rsid w:val="000172CF"/>
    <w:rsid w:val="00017FAB"/>
    <w:rsid w:val="00020242"/>
    <w:rsid w:val="00020B01"/>
    <w:rsid w:val="0002131D"/>
    <w:rsid w:val="0002195A"/>
    <w:rsid w:val="00021A6D"/>
    <w:rsid w:val="00021B37"/>
    <w:rsid w:val="000225E2"/>
    <w:rsid w:val="000242C4"/>
    <w:rsid w:val="000254AE"/>
    <w:rsid w:val="00025992"/>
    <w:rsid w:val="00027CC5"/>
    <w:rsid w:val="00027DB5"/>
    <w:rsid w:val="00027E1E"/>
    <w:rsid w:val="00030C3B"/>
    <w:rsid w:val="00031581"/>
    <w:rsid w:val="00032B3A"/>
    <w:rsid w:val="00032C07"/>
    <w:rsid w:val="00032C0F"/>
    <w:rsid w:val="000338EB"/>
    <w:rsid w:val="00033D6D"/>
    <w:rsid w:val="000343DA"/>
    <w:rsid w:val="00034A70"/>
    <w:rsid w:val="00035D1A"/>
    <w:rsid w:val="000362B6"/>
    <w:rsid w:val="000369E1"/>
    <w:rsid w:val="0003783B"/>
    <w:rsid w:val="00037F53"/>
    <w:rsid w:val="0004129D"/>
    <w:rsid w:val="00041FAF"/>
    <w:rsid w:val="0004265F"/>
    <w:rsid w:val="00042692"/>
    <w:rsid w:val="00043201"/>
    <w:rsid w:val="00043BA3"/>
    <w:rsid w:val="000444AB"/>
    <w:rsid w:val="00044A76"/>
    <w:rsid w:val="00044C73"/>
    <w:rsid w:val="00044EC3"/>
    <w:rsid w:val="00045AB1"/>
    <w:rsid w:val="00045F70"/>
    <w:rsid w:val="00046D40"/>
    <w:rsid w:val="000505B2"/>
    <w:rsid w:val="000508CE"/>
    <w:rsid w:val="0005179A"/>
    <w:rsid w:val="000536B1"/>
    <w:rsid w:val="00054884"/>
    <w:rsid w:val="00054A2A"/>
    <w:rsid w:val="00055EDC"/>
    <w:rsid w:val="0005602C"/>
    <w:rsid w:val="000568C7"/>
    <w:rsid w:val="00060455"/>
    <w:rsid w:val="00060B76"/>
    <w:rsid w:val="00061C5F"/>
    <w:rsid w:val="000624AA"/>
    <w:rsid w:val="000631D6"/>
    <w:rsid w:val="00063BD2"/>
    <w:rsid w:val="00063CBC"/>
    <w:rsid w:val="00063EA1"/>
    <w:rsid w:val="0006440C"/>
    <w:rsid w:val="00065354"/>
    <w:rsid w:val="00065AAA"/>
    <w:rsid w:val="00071412"/>
    <w:rsid w:val="00075AAF"/>
    <w:rsid w:val="0007653A"/>
    <w:rsid w:val="000766B2"/>
    <w:rsid w:val="0007695A"/>
    <w:rsid w:val="00076ECD"/>
    <w:rsid w:val="00077CDD"/>
    <w:rsid w:val="00080070"/>
    <w:rsid w:val="00080BE3"/>
    <w:rsid w:val="00081528"/>
    <w:rsid w:val="00081BEF"/>
    <w:rsid w:val="00081E4E"/>
    <w:rsid w:val="000833F9"/>
    <w:rsid w:val="000860B8"/>
    <w:rsid w:val="00086DA6"/>
    <w:rsid w:val="00087A8B"/>
    <w:rsid w:val="00090627"/>
    <w:rsid w:val="00093CA6"/>
    <w:rsid w:val="0009464E"/>
    <w:rsid w:val="00094CE4"/>
    <w:rsid w:val="00094FAE"/>
    <w:rsid w:val="00096FC8"/>
    <w:rsid w:val="000A19B5"/>
    <w:rsid w:val="000A2E25"/>
    <w:rsid w:val="000A3430"/>
    <w:rsid w:val="000A3B65"/>
    <w:rsid w:val="000A4E62"/>
    <w:rsid w:val="000A5571"/>
    <w:rsid w:val="000A5CD6"/>
    <w:rsid w:val="000B0BB4"/>
    <w:rsid w:val="000B0BBA"/>
    <w:rsid w:val="000B3C4B"/>
    <w:rsid w:val="000B456A"/>
    <w:rsid w:val="000B6B74"/>
    <w:rsid w:val="000B6DE7"/>
    <w:rsid w:val="000B796A"/>
    <w:rsid w:val="000C00F0"/>
    <w:rsid w:val="000C0797"/>
    <w:rsid w:val="000C0CDF"/>
    <w:rsid w:val="000C1873"/>
    <w:rsid w:val="000C20D5"/>
    <w:rsid w:val="000C2724"/>
    <w:rsid w:val="000C2F94"/>
    <w:rsid w:val="000C36B2"/>
    <w:rsid w:val="000C46C2"/>
    <w:rsid w:val="000C6268"/>
    <w:rsid w:val="000C7484"/>
    <w:rsid w:val="000C77B9"/>
    <w:rsid w:val="000C77D2"/>
    <w:rsid w:val="000D1683"/>
    <w:rsid w:val="000D23AD"/>
    <w:rsid w:val="000D28C8"/>
    <w:rsid w:val="000D2AF9"/>
    <w:rsid w:val="000D314B"/>
    <w:rsid w:val="000D3631"/>
    <w:rsid w:val="000D37A5"/>
    <w:rsid w:val="000D4B9B"/>
    <w:rsid w:val="000D654F"/>
    <w:rsid w:val="000D695C"/>
    <w:rsid w:val="000D7D80"/>
    <w:rsid w:val="000E0148"/>
    <w:rsid w:val="000E0241"/>
    <w:rsid w:val="000E1F83"/>
    <w:rsid w:val="000E27D8"/>
    <w:rsid w:val="000E37AF"/>
    <w:rsid w:val="000E458D"/>
    <w:rsid w:val="000E48EB"/>
    <w:rsid w:val="000E4994"/>
    <w:rsid w:val="000E579D"/>
    <w:rsid w:val="000E7462"/>
    <w:rsid w:val="000E79D6"/>
    <w:rsid w:val="000E7F99"/>
    <w:rsid w:val="000F2BAB"/>
    <w:rsid w:val="000F559C"/>
    <w:rsid w:val="000F6F58"/>
    <w:rsid w:val="000F7B37"/>
    <w:rsid w:val="001004A5"/>
    <w:rsid w:val="00100D32"/>
    <w:rsid w:val="00101111"/>
    <w:rsid w:val="001015C2"/>
    <w:rsid w:val="00101962"/>
    <w:rsid w:val="001023B5"/>
    <w:rsid w:val="001023C8"/>
    <w:rsid w:val="0010296E"/>
    <w:rsid w:val="00102AFB"/>
    <w:rsid w:val="00103F1F"/>
    <w:rsid w:val="00104105"/>
    <w:rsid w:val="0010426D"/>
    <w:rsid w:val="001049D8"/>
    <w:rsid w:val="00104AFF"/>
    <w:rsid w:val="001057C1"/>
    <w:rsid w:val="00105D35"/>
    <w:rsid w:val="00106AB6"/>
    <w:rsid w:val="00107DCB"/>
    <w:rsid w:val="00110D56"/>
    <w:rsid w:val="0011254C"/>
    <w:rsid w:val="001132D4"/>
    <w:rsid w:val="001139D7"/>
    <w:rsid w:val="0011585D"/>
    <w:rsid w:val="00115916"/>
    <w:rsid w:val="00115B57"/>
    <w:rsid w:val="00116E49"/>
    <w:rsid w:val="00117804"/>
    <w:rsid w:val="00117A24"/>
    <w:rsid w:val="00117DE8"/>
    <w:rsid w:val="00121D74"/>
    <w:rsid w:val="00121E62"/>
    <w:rsid w:val="0012229B"/>
    <w:rsid w:val="00123F1A"/>
    <w:rsid w:val="001254DB"/>
    <w:rsid w:val="0012572D"/>
    <w:rsid w:val="00125E5B"/>
    <w:rsid w:val="00125F41"/>
    <w:rsid w:val="00126BA0"/>
    <w:rsid w:val="00126EB6"/>
    <w:rsid w:val="00127473"/>
    <w:rsid w:val="00127B50"/>
    <w:rsid w:val="001308B2"/>
    <w:rsid w:val="001308B4"/>
    <w:rsid w:val="00130C52"/>
    <w:rsid w:val="00131391"/>
    <w:rsid w:val="001338EA"/>
    <w:rsid w:val="001342F5"/>
    <w:rsid w:val="0013713B"/>
    <w:rsid w:val="0013747E"/>
    <w:rsid w:val="00137AF7"/>
    <w:rsid w:val="00137D8F"/>
    <w:rsid w:val="00137F9F"/>
    <w:rsid w:val="001404B0"/>
    <w:rsid w:val="00142516"/>
    <w:rsid w:val="00146C8B"/>
    <w:rsid w:val="001478E8"/>
    <w:rsid w:val="0015042C"/>
    <w:rsid w:val="00150D44"/>
    <w:rsid w:val="001514A8"/>
    <w:rsid w:val="0015161D"/>
    <w:rsid w:val="00152238"/>
    <w:rsid w:val="001522E7"/>
    <w:rsid w:val="0015242E"/>
    <w:rsid w:val="001524D0"/>
    <w:rsid w:val="00152810"/>
    <w:rsid w:val="00153138"/>
    <w:rsid w:val="001541E7"/>
    <w:rsid w:val="001548DD"/>
    <w:rsid w:val="0015523C"/>
    <w:rsid w:val="0015551B"/>
    <w:rsid w:val="00156646"/>
    <w:rsid w:val="00156A59"/>
    <w:rsid w:val="00160505"/>
    <w:rsid w:val="00162F6E"/>
    <w:rsid w:val="0016460F"/>
    <w:rsid w:val="00164C48"/>
    <w:rsid w:val="0016677E"/>
    <w:rsid w:val="001716DE"/>
    <w:rsid w:val="001742B4"/>
    <w:rsid w:val="00176313"/>
    <w:rsid w:val="001807C2"/>
    <w:rsid w:val="001815A4"/>
    <w:rsid w:val="00182795"/>
    <w:rsid w:val="00183996"/>
    <w:rsid w:val="00183DCF"/>
    <w:rsid w:val="00184B9C"/>
    <w:rsid w:val="00184DD8"/>
    <w:rsid w:val="00185395"/>
    <w:rsid w:val="00191334"/>
    <w:rsid w:val="00195235"/>
    <w:rsid w:val="001954BB"/>
    <w:rsid w:val="001967FF"/>
    <w:rsid w:val="001969A1"/>
    <w:rsid w:val="00196D45"/>
    <w:rsid w:val="001A0372"/>
    <w:rsid w:val="001A068A"/>
    <w:rsid w:val="001A1391"/>
    <w:rsid w:val="001A1655"/>
    <w:rsid w:val="001A187A"/>
    <w:rsid w:val="001A1FC9"/>
    <w:rsid w:val="001A2410"/>
    <w:rsid w:val="001A2475"/>
    <w:rsid w:val="001A33BE"/>
    <w:rsid w:val="001A5191"/>
    <w:rsid w:val="001A600A"/>
    <w:rsid w:val="001A6FC2"/>
    <w:rsid w:val="001A7D8F"/>
    <w:rsid w:val="001B09A1"/>
    <w:rsid w:val="001B17A7"/>
    <w:rsid w:val="001B252F"/>
    <w:rsid w:val="001B28AE"/>
    <w:rsid w:val="001B2F16"/>
    <w:rsid w:val="001B34BB"/>
    <w:rsid w:val="001B473F"/>
    <w:rsid w:val="001B774B"/>
    <w:rsid w:val="001B7E76"/>
    <w:rsid w:val="001C230F"/>
    <w:rsid w:val="001C2AA8"/>
    <w:rsid w:val="001C31B6"/>
    <w:rsid w:val="001C3FF4"/>
    <w:rsid w:val="001C436F"/>
    <w:rsid w:val="001C4648"/>
    <w:rsid w:val="001C4827"/>
    <w:rsid w:val="001C58F0"/>
    <w:rsid w:val="001C6C11"/>
    <w:rsid w:val="001C7E60"/>
    <w:rsid w:val="001D054A"/>
    <w:rsid w:val="001D0957"/>
    <w:rsid w:val="001D19E1"/>
    <w:rsid w:val="001D217E"/>
    <w:rsid w:val="001D43D9"/>
    <w:rsid w:val="001D46FC"/>
    <w:rsid w:val="001D4AD2"/>
    <w:rsid w:val="001D5F5F"/>
    <w:rsid w:val="001D6054"/>
    <w:rsid w:val="001D636A"/>
    <w:rsid w:val="001D6826"/>
    <w:rsid w:val="001E170F"/>
    <w:rsid w:val="001E1887"/>
    <w:rsid w:val="001E207C"/>
    <w:rsid w:val="001E2D18"/>
    <w:rsid w:val="001E34A3"/>
    <w:rsid w:val="001E4153"/>
    <w:rsid w:val="001E4BCB"/>
    <w:rsid w:val="001E5B1C"/>
    <w:rsid w:val="001E5BCD"/>
    <w:rsid w:val="001E61CF"/>
    <w:rsid w:val="001F0332"/>
    <w:rsid w:val="001F0363"/>
    <w:rsid w:val="001F0D51"/>
    <w:rsid w:val="001F10F8"/>
    <w:rsid w:val="001F29DB"/>
    <w:rsid w:val="001F4575"/>
    <w:rsid w:val="001F4F5B"/>
    <w:rsid w:val="001F5C68"/>
    <w:rsid w:val="001F6D45"/>
    <w:rsid w:val="001F7167"/>
    <w:rsid w:val="0020169D"/>
    <w:rsid w:val="00202566"/>
    <w:rsid w:val="00202B32"/>
    <w:rsid w:val="0020369F"/>
    <w:rsid w:val="00205349"/>
    <w:rsid w:val="00205E8C"/>
    <w:rsid w:val="00206B00"/>
    <w:rsid w:val="00206E66"/>
    <w:rsid w:val="0020720D"/>
    <w:rsid w:val="00207244"/>
    <w:rsid w:val="0020760E"/>
    <w:rsid w:val="0020785C"/>
    <w:rsid w:val="002114F5"/>
    <w:rsid w:val="00212CE5"/>
    <w:rsid w:val="00213190"/>
    <w:rsid w:val="002153FC"/>
    <w:rsid w:val="0021560E"/>
    <w:rsid w:val="00215892"/>
    <w:rsid w:val="002168E0"/>
    <w:rsid w:val="0021747F"/>
    <w:rsid w:val="002174E2"/>
    <w:rsid w:val="00217785"/>
    <w:rsid w:val="00217EE4"/>
    <w:rsid w:val="002205CF"/>
    <w:rsid w:val="00220EB5"/>
    <w:rsid w:val="00221717"/>
    <w:rsid w:val="002218F1"/>
    <w:rsid w:val="00222073"/>
    <w:rsid w:val="0022485C"/>
    <w:rsid w:val="00224A0F"/>
    <w:rsid w:val="00224A46"/>
    <w:rsid w:val="002302BC"/>
    <w:rsid w:val="00230872"/>
    <w:rsid w:val="00230DE0"/>
    <w:rsid w:val="002327D3"/>
    <w:rsid w:val="00232815"/>
    <w:rsid w:val="00234E22"/>
    <w:rsid w:val="00235E99"/>
    <w:rsid w:val="00236504"/>
    <w:rsid w:val="0023726D"/>
    <w:rsid w:val="002377B5"/>
    <w:rsid w:val="002420D8"/>
    <w:rsid w:val="0024396E"/>
    <w:rsid w:val="00245C26"/>
    <w:rsid w:val="00247268"/>
    <w:rsid w:val="002503F0"/>
    <w:rsid w:val="002518A5"/>
    <w:rsid w:val="002530F4"/>
    <w:rsid w:val="002533D8"/>
    <w:rsid w:val="00254590"/>
    <w:rsid w:val="00256E5D"/>
    <w:rsid w:val="0025761E"/>
    <w:rsid w:val="0026003C"/>
    <w:rsid w:val="00260E24"/>
    <w:rsid w:val="002617AB"/>
    <w:rsid w:val="0026207A"/>
    <w:rsid w:val="00262BD9"/>
    <w:rsid w:val="00263649"/>
    <w:rsid w:val="00263659"/>
    <w:rsid w:val="00265BBB"/>
    <w:rsid w:val="002670BC"/>
    <w:rsid w:val="0027075A"/>
    <w:rsid w:val="00270B84"/>
    <w:rsid w:val="00271052"/>
    <w:rsid w:val="00271CB0"/>
    <w:rsid w:val="00273337"/>
    <w:rsid w:val="00274233"/>
    <w:rsid w:val="0027598C"/>
    <w:rsid w:val="00276332"/>
    <w:rsid w:val="002811A6"/>
    <w:rsid w:val="0028137F"/>
    <w:rsid w:val="0028138B"/>
    <w:rsid w:val="002818A5"/>
    <w:rsid w:val="00281A60"/>
    <w:rsid w:val="0028214B"/>
    <w:rsid w:val="00284049"/>
    <w:rsid w:val="002841B6"/>
    <w:rsid w:val="002842C1"/>
    <w:rsid w:val="0028578A"/>
    <w:rsid w:val="00285B35"/>
    <w:rsid w:val="0028661A"/>
    <w:rsid w:val="002904C1"/>
    <w:rsid w:val="00291447"/>
    <w:rsid w:val="00291E91"/>
    <w:rsid w:val="00291FEC"/>
    <w:rsid w:val="0029234C"/>
    <w:rsid w:val="00292D59"/>
    <w:rsid w:val="00293EB8"/>
    <w:rsid w:val="00294050"/>
    <w:rsid w:val="00294247"/>
    <w:rsid w:val="00294F43"/>
    <w:rsid w:val="00295951"/>
    <w:rsid w:val="00296214"/>
    <w:rsid w:val="00296B07"/>
    <w:rsid w:val="002A105B"/>
    <w:rsid w:val="002A1245"/>
    <w:rsid w:val="002A33DF"/>
    <w:rsid w:val="002A3454"/>
    <w:rsid w:val="002A3E1D"/>
    <w:rsid w:val="002A43A5"/>
    <w:rsid w:val="002A46C2"/>
    <w:rsid w:val="002A52A7"/>
    <w:rsid w:val="002A6CF8"/>
    <w:rsid w:val="002B038B"/>
    <w:rsid w:val="002B1166"/>
    <w:rsid w:val="002B1791"/>
    <w:rsid w:val="002B4F88"/>
    <w:rsid w:val="002B5981"/>
    <w:rsid w:val="002B6574"/>
    <w:rsid w:val="002B6D70"/>
    <w:rsid w:val="002B7E71"/>
    <w:rsid w:val="002B7EE1"/>
    <w:rsid w:val="002C00B4"/>
    <w:rsid w:val="002C09F3"/>
    <w:rsid w:val="002C1DB9"/>
    <w:rsid w:val="002C337B"/>
    <w:rsid w:val="002C3CB2"/>
    <w:rsid w:val="002C4FDC"/>
    <w:rsid w:val="002C531B"/>
    <w:rsid w:val="002C628B"/>
    <w:rsid w:val="002C74FD"/>
    <w:rsid w:val="002D0C47"/>
    <w:rsid w:val="002D14B5"/>
    <w:rsid w:val="002D1D78"/>
    <w:rsid w:val="002D4049"/>
    <w:rsid w:val="002D471E"/>
    <w:rsid w:val="002D4AD1"/>
    <w:rsid w:val="002D4BB9"/>
    <w:rsid w:val="002D66D8"/>
    <w:rsid w:val="002D70B8"/>
    <w:rsid w:val="002D7494"/>
    <w:rsid w:val="002E0514"/>
    <w:rsid w:val="002E0620"/>
    <w:rsid w:val="002E18EB"/>
    <w:rsid w:val="002E35D3"/>
    <w:rsid w:val="002E3B9D"/>
    <w:rsid w:val="002E46AC"/>
    <w:rsid w:val="002E6980"/>
    <w:rsid w:val="002E72CD"/>
    <w:rsid w:val="002E751A"/>
    <w:rsid w:val="002F255F"/>
    <w:rsid w:val="002F2779"/>
    <w:rsid w:val="002F3C90"/>
    <w:rsid w:val="002F471A"/>
    <w:rsid w:val="002F476D"/>
    <w:rsid w:val="002F48D0"/>
    <w:rsid w:val="002F49F8"/>
    <w:rsid w:val="002F50A9"/>
    <w:rsid w:val="002F5228"/>
    <w:rsid w:val="002F565A"/>
    <w:rsid w:val="002F5C09"/>
    <w:rsid w:val="002F78DC"/>
    <w:rsid w:val="003004BC"/>
    <w:rsid w:val="00300EF0"/>
    <w:rsid w:val="00301325"/>
    <w:rsid w:val="003016C3"/>
    <w:rsid w:val="0030197D"/>
    <w:rsid w:val="00301D7B"/>
    <w:rsid w:val="00302E05"/>
    <w:rsid w:val="00302EBC"/>
    <w:rsid w:val="0030330C"/>
    <w:rsid w:val="0030337A"/>
    <w:rsid w:val="00303BF6"/>
    <w:rsid w:val="00304E40"/>
    <w:rsid w:val="00304EB0"/>
    <w:rsid w:val="003101BF"/>
    <w:rsid w:val="00310B5E"/>
    <w:rsid w:val="00311410"/>
    <w:rsid w:val="00311756"/>
    <w:rsid w:val="003142D3"/>
    <w:rsid w:val="00316A33"/>
    <w:rsid w:val="00316BD4"/>
    <w:rsid w:val="003173A1"/>
    <w:rsid w:val="003207E9"/>
    <w:rsid w:val="0032101E"/>
    <w:rsid w:val="00324332"/>
    <w:rsid w:val="00324BCD"/>
    <w:rsid w:val="00325C1C"/>
    <w:rsid w:val="00326674"/>
    <w:rsid w:val="0033005C"/>
    <w:rsid w:val="003312A7"/>
    <w:rsid w:val="003327A1"/>
    <w:rsid w:val="00334815"/>
    <w:rsid w:val="003350F9"/>
    <w:rsid w:val="00335664"/>
    <w:rsid w:val="003359C8"/>
    <w:rsid w:val="00336F78"/>
    <w:rsid w:val="00340779"/>
    <w:rsid w:val="00340BF0"/>
    <w:rsid w:val="00341AF9"/>
    <w:rsid w:val="00343E71"/>
    <w:rsid w:val="003440E3"/>
    <w:rsid w:val="003443AC"/>
    <w:rsid w:val="0034528E"/>
    <w:rsid w:val="00346322"/>
    <w:rsid w:val="00347907"/>
    <w:rsid w:val="0035256A"/>
    <w:rsid w:val="00354103"/>
    <w:rsid w:val="00354373"/>
    <w:rsid w:val="0035499C"/>
    <w:rsid w:val="003549AD"/>
    <w:rsid w:val="00354D99"/>
    <w:rsid w:val="003565A6"/>
    <w:rsid w:val="00356757"/>
    <w:rsid w:val="00356A81"/>
    <w:rsid w:val="00360274"/>
    <w:rsid w:val="00362AA7"/>
    <w:rsid w:val="00363AA5"/>
    <w:rsid w:val="00364633"/>
    <w:rsid w:val="0036569F"/>
    <w:rsid w:val="00366495"/>
    <w:rsid w:val="003664E1"/>
    <w:rsid w:val="003675FF"/>
    <w:rsid w:val="00367F5D"/>
    <w:rsid w:val="00370AA5"/>
    <w:rsid w:val="00370F6C"/>
    <w:rsid w:val="00371D0E"/>
    <w:rsid w:val="00373C3E"/>
    <w:rsid w:val="00374FF3"/>
    <w:rsid w:val="00375219"/>
    <w:rsid w:val="00376035"/>
    <w:rsid w:val="00376138"/>
    <w:rsid w:val="00376709"/>
    <w:rsid w:val="003771E6"/>
    <w:rsid w:val="00380528"/>
    <w:rsid w:val="003813FE"/>
    <w:rsid w:val="003816ED"/>
    <w:rsid w:val="00381AC0"/>
    <w:rsid w:val="003822F8"/>
    <w:rsid w:val="00382898"/>
    <w:rsid w:val="0038500F"/>
    <w:rsid w:val="0038546E"/>
    <w:rsid w:val="003856EA"/>
    <w:rsid w:val="0039022B"/>
    <w:rsid w:val="003908D4"/>
    <w:rsid w:val="00390933"/>
    <w:rsid w:val="00392A9E"/>
    <w:rsid w:val="00392CB7"/>
    <w:rsid w:val="003A0F83"/>
    <w:rsid w:val="003A27F7"/>
    <w:rsid w:val="003A38F0"/>
    <w:rsid w:val="003A6B50"/>
    <w:rsid w:val="003A7632"/>
    <w:rsid w:val="003B08BD"/>
    <w:rsid w:val="003B5092"/>
    <w:rsid w:val="003B5640"/>
    <w:rsid w:val="003B60AB"/>
    <w:rsid w:val="003B7947"/>
    <w:rsid w:val="003B79F3"/>
    <w:rsid w:val="003C0421"/>
    <w:rsid w:val="003C15F7"/>
    <w:rsid w:val="003C20AB"/>
    <w:rsid w:val="003C3234"/>
    <w:rsid w:val="003C3945"/>
    <w:rsid w:val="003C50A1"/>
    <w:rsid w:val="003C7085"/>
    <w:rsid w:val="003C70B9"/>
    <w:rsid w:val="003D308B"/>
    <w:rsid w:val="003D3F92"/>
    <w:rsid w:val="003D438B"/>
    <w:rsid w:val="003D5435"/>
    <w:rsid w:val="003D6BCA"/>
    <w:rsid w:val="003D6EA0"/>
    <w:rsid w:val="003D6F65"/>
    <w:rsid w:val="003D76AA"/>
    <w:rsid w:val="003D7E3B"/>
    <w:rsid w:val="003E3619"/>
    <w:rsid w:val="003E3694"/>
    <w:rsid w:val="003E37D3"/>
    <w:rsid w:val="003E58AB"/>
    <w:rsid w:val="003E5D86"/>
    <w:rsid w:val="003E63E4"/>
    <w:rsid w:val="003F0844"/>
    <w:rsid w:val="003F08A7"/>
    <w:rsid w:val="003F08EC"/>
    <w:rsid w:val="003F1D0F"/>
    <w:rsid w:val="003F27B1"/>
    <w:rsid w:val="003F3C97"/>
    <w:rsid w:val="003F5778"/>
    <w:rsid w:val="003F7F67"/>
    <w:rsid w:val="0040052F"/>
    <w:rsid w:val="0040125B"/>
    <w:rsid w:val="00401BD7"/>
    <w:rsid w:val="00401BE1"/>
    <w:rsid w:val="00401DC8"/>
    <w:rsid w:val="00401F23"/>
    <w:rsid w:val="00403235"/>
    <w:rsid w:val="00404407"/>
    <w:rsid w:val="00404C67"/>
    <w:rsid w:val="00404E17"/>
    <w:rsid w:val="004063F2"/>
    <w:rsid w:val="00407347"/>
    <w:rsid w:val="00407543"/>
    <w:rsid w:val="00407B7A"/>
    <w:rsid w:val="00413691"/>
    <w:rsid w:val="0041552D"/>
    <w:rsid w:val="00416AC5"/>
    <w:rsid w:val="00416F0B"/>
    <w:rsid w:val="00417AB0"/>
    <w:rsid w:val="00420727"/>
    <w:rsid w:val="004210AE"/>
    <w:rsid w:val="00421963"/>
    <w:rsid w:val="00423EAE"/>
    <w:rsid w:val="004256FD"/>
    <w:rsid w:val="00425BAE"/>
    <w:rsid w:val="00425EC8"/>
    <w:rsid w:val="00426883"/>
    <w:rsid w:val="00427621"/>
    <w:rsid w:val="00427880"/>
    <w:rsid w:val="004331B8"/>
    <w:rsid w:val="00433784"/>
    <w:rsid w:val="0043419F"/>
    <w:rsid w:val="00434632"/>
    <w:rsid w:val="00436150"/>
    <w:rsid w:val="00436317"/>
    <w:rsid w:val="00436792"/>
    <w:rsid w:val="00437F8D"/>
    <w:rsid w:val="00440121"/>
    <w:rsid w:val="0044174D"/>
    <w:rsid w:val="00443AA7"/>
    <w:rsid w:val="00445E19"/>
    <w:rsid w:val="00445F5A"/>
    <w:rsid w:val="00447054"/>
    <w:rsid w:val="00450395"/>
    <w:rsid w:val="00450AF7"/>
    <w:rsid w:val="00450E64"/>
    <w:rsid w:val="004520C7"/>
    <w:rsid w:val="00452A5F"/>
    <w:rsid w:val="00452BF3"/>
    <w:rsid w:val="00453AF9"/>
    <w:rsid w:val="00454A20"/>
    <w:rsid w:val="00454DFB"/>
    <w:rsid w:val="00455604"/>
    <w:rsid w:val="00456C74"/>
    <w:rsid w:val="00457A11"/>
    <w:rsid w:val="004600A6"/>
    <w:rsid w:val="004623D4"/>
    <w:rsid w:val="00462E17"/>
    <w:rsid w:val="00462F56"/>
    <w:rsid w:val="004638E7"/>
    <w:rsid w:val="00464DB1"/>
    <w:rsid w:val="0046549D"/>
    <w:rsid w:val="004654A6"/>
    <w:rsid w:val="00465D53"/>
    <w:rsid w:val="00465F06"/>
    <w:rsid w:val="00467B5D"/>
    <w:rsid w:val="00470384"/>
    <w:rsid w:val="004724A0"/>
    <w:rsid w:val="0047283F"/>
    <w:rsid w:val="0047391D"/>
    <w:rsid w:val="00476398"/>
    <w:rsid w:val="004767E1"/>
    <w:rsid w:val="004769E0"/>
    <w:rsid w:val="00477A0B"/>
    <w:rsid w:val="00480BF7"/>
    <w:rsid w:val="00481BCC"/>
    <w:rsid w:val="00483CC4"/>
    <w:rsid w:val="00484B70"/>
    <w:rsid w:val="00484FB8"/>
    <w:rsid w:val="004856C7"/>
    <w:rsid w:val="00485AD5"/>
    <w:rsid w:val="00485DBF"/>
    <w:rsid w:val="00485F7B"/>
    <w:rsid w:val="004862F6"/>
    <w:rsid w:val="0048791F"/>
    <w:rsid w:val="00487B1D"/>
    <w:rsid w:val="00487B29"/>
    <w:rsid w:val="004912DC"/>
    <w:rsid w:val="0049146E"/>
    <w:rsid w:val="00491C9D"/>
    <w:rsid w:val="00491EA9"/>
    <w:rsid w:val="00492983"/>
    <w:rsid w:val="00492DA0"/>
    <w:rsid w:val="00492DA8"/>
    <w:rsid w:val="00492DFA"/>
    <w:rsid w:val="00492E1E"/>
    <w:rsid w:val="004931C3"/>
    <w:rsid w:val="00497120"/>
    <w:rsid w:val="004A03F8"/>
    <w:rsid w:val="004A0935"/>
    <w:rsid w:val="004A1978"/>
    <w:rsid w:val="004A1993"/>
    <w:rsid w:val="004A1D29"/>
    <w:rsid w:val="004A5412"/>
    <w:rsid w:val="004A58A9"/>
    <w:rsid w:val="004A5D1D"/>
    <w:rsid w:val="004A639A"/>
    <w:rsid w:val="004A66D9"/>
    <w:rsid w:val="004A71A9"/>
    <w:rsid w:val="004A7C17"/>
    <w:rsid w:val="004B0458"/>
    <w:rsid w:val="004B2948"/>
    <w:rsid w:val="004B2DB2"/>
    <w:rsid w:val="004B35D3"/>
    <w:rsid w:val="004B4F25"/>
    <w:rsid w:val="004B6EB2"/>
    <w:rsid w:val="004B723C"/>
    <w:rsid w:val="004B7518"/>
    <w:rsid w:val="004B7919"/>
    <w:rsid w:val="004C2AA5"/>
    <w:rsid w:val="004C43AC"/>
    <w:rsid w:val="004C508B"/>
    <w:rsid w:val="004C6295"/>
    <w:rsid w:val="004C641C"/>
    <w:rsid w:val="004C7987"/>
    <w:rsid w:val="004D07FA"/>
    <w:rsid w:val="004D0B8A"/>
    <w:rsid w:val="004D1EC0"/>
    <w:rsid w:val="004D1EDB"/>
    <w:rsid w:val="004D20B5"/>
    <w:rsid w:val="004D21FE"/>
    <w:rsid w:val="004D370F"/>
    <w:rsid w:val="004D6179"/>
    <w:rsid w:val="004D6706"/>
    <w:rsid w:val="004D7483"/>
    <w:rsid w:val="004E02EF"/>
    <w:rsid w:val="004E4D1F"/>
    <w:rsid w:val="004E5240"/>
    <w:rsid w:val="004E5272"/>
    <w:rsid w:val="004E553F"/>
    <w:rsid w:val="004E6375"/>
    <w:rsid w:val="004E6AB8"/>
    <w:rsid w:val="004E6D44"/>
    <w:rsid w:val="004E7222"/>
    <w:rsid w:val="004E7CF7"/>
    <w:rsid w:val="004F08FE"/>
    <w:rsid w:val="004F0D61"/>
    <w:rsid w:val="004F1AF5"/>
    <w:rsid w:val="004F2804"/>
    <w:rsid w:val="004F3580"/>
    <w:rsid w:val="004F3EE0"/>
    <w:rsid w:val="004F4957"/>
    <w:rsid w:val="004F49F7"/>
    <w:rsid w:val="004F5CB0"/>
    <w:rsid w:val="004F5D1F"/>
    <w:rsid w:val="004F7DE2"/>
    <w:rsid w:val="005015CC"/>
    <w:rsid w:val="00501635"/>
    <w:rsid w:val="0050231B"/>
    <w:rsid w:val="005025CF"/>
    <w:rsid w:val="005039E9"/>
    <w:rsid w:val="0050642A"/>
    <w:rsid w:val="00506553"/>
    <w:rsid w:val="00506664"/>
    <w:rsid w:val="005072FF"/>
    <w:rsid w:val="00507652"/>
    <w:rsid w:val="00507B13"/>
    <w:rsid w:val="00507DBB"/>
    <w:rsid w:val="00510369"/>
    <w:rsid w:val="0051060D"/>
    <w:rsid w:val="0051216E"/>
    <w:rsid w:val="00512604"/>
    <w:rsid w:val="00513041"/>
    <w:rsid w:val="0051563F"/>
    <w:rsid w:val="00516022"/>
    <w:rsid w:val="00516D53"/>
    <w:rsid w:val="00516F71"/>
    <w:rsid w:val="00517493"/>
    <w:rsid w:val="00517672"/>
    <w:rsid w:val="00520187"/>
    <w:rsid w:val="00521378"/>
    <w:rsid w:val="0052190B"/>
    <w:rsid w:val="005219EF"/>
    <w:rsid w:val="00522573"/>
    <w:rsid w:val="00524B42"/>
    <w:rsid w:val="005270FE"/>
    <w:rsid w:val="00527161"/>
    <w:rsid w:val="005274A2"/>
    <w:rsid w:val="00527B52"/>
    <w:rsid w:val="005305DB"/>
    <w:rsid w:val="00530AEE"/>
    <w:rsid w:val="00530CC7"/>
    <w:rsid w:val="005324B8"/>
    <w:rsid w:val="00534330"/>
    <w:rsid w:val="005350E8"/>
    <w:rsid w:val="00536192"/>
    <w:rsid w:val="0053645F"/>
    <w:rsid w:val="00537091"/>
    <w:rsid w:val="00537310"/>
    <w:rsid w:val="00537EF9"/>
    <w:rsid w:val="00540714"/>
    <w:rsid w:val="00542C34"/>
    <w:rsid w:val="00543205"/>
    <w:rsid w:val="005432CB"/>
    <w:rsid w:val="005436D4"/>
    <w:rsid w:val="00543837"/>
    <w:rsid w:val="005459C2"/>
    <w:rsid w:val="00546776"/>
    <w:rsid w:val="005468C5"/>
    <w:rsid w:val="005477FD"/>
    <w:rsid w:val="00550861"/>
    <w:rsid w:val="0055109D"/>
    <w:rsid w:val="00551806"/>
    <w:rsid w:val="005522EE"/>
    <w:rsid w:val="005534E9"/>
    <w:rsid w:val="0055529B"/>
    <w:rsid w:val="005553EF"/>
    <w:rsid w:val="005579E0"/>
    <w:rsid w:val="00560325"/>
    <w:rsid w:val="00560465"/>
    <w:rsid w:val="00560934"/>
    <w:rsid w:val="00560BD2"/>
    <w:rsid w:val="00561665"/>
    <w:rsid w:val="005618DB"/>
    <w:rsid w:val="005628D1"/>
    <w:rsid w:val="00564390"/>
    <w:rsid w:val="005645CF"/>
    <w:rsid w:val="005666FB"/>
    <w:rsid w:val="00566E7E"/>
    <w:rsid w:val="005676E9"/>
    <w:rsid w:val="0056781C"/>
    <w:rsid w:val="00567AD3"/>
    <w:rsid w:val="00570418"/>
    <w:rsid w:val="00570A5C"/>
    <w:rsid w:val="00571391"/>
    <w:rsid w:val="0057219C"/>
    <w:rsid w:val="00572700"/>
    <w:rsid w:val="0057688F"/>
    <w:rsid w:val="00576B65"/>
    <w:rsid w:val="005771CD"/>
    <w:rsid w:val="005813C1"/>
    <w:rsid w:val="0058290A"/>
    <w:rsid w:val="00582B08"/>
    <w:rsid w:val="00583BB2"/>
    <w:rsid w:val="0058466E"/>
    <w:rsid w:val="0058477F"/>
    <w:rsid w:val="0058581A"/>
    <w:rsid w:val="005879D4"/>
    <w:rsid w:val="0059059A"/>
    <w:rsid w:val="0059098F"/>
    <w:rsid w:val="00592000"/>
    <w:rsid w:val="005935A7"/>
    <w:rsid w:val="00594A21"/>
    <w:rsid w:val="00595894"/>
    <w:rsid w:val="00595897"/>
    <w:rsid w:val="0059703A"/>
    <w:rsid w:val="00597A71"/>
    <w:rsid w:val="005A05E9"/>
    <w:rsid w:val="005A24E6"/>
    <w:rsid w:val="005A2BC4"/>
    <w:rsid w:val="005A32EC"/>
    <w:rsid w:val="005A5142"/>
    <w:rsid w:val="005A58A3"/>
    <w:rsid w:val="005A72B5"/>
    <w:rsid w:val="005B0223"/>
    <w:rsid w:val="005B1698"/>
    <w:rsid w:val="005B1904"/>
    <w:rsid w:val="005B2462"/>
    <w:rsid w:val="005B3795"/>
    <w:rsid w:val="005B4BD0"/>
    <w:rsid w:val="005B58B7"/>
    <w:rsid w:val="005B5A58"/>
    <w:rsid w:val="005B6BAE"/>
    <w:rsid w:val="005C15CA"/>
    <w:rsid w:val="005C1681"/>
    <w:rsid w:val="005C1751"/>
    <w:rsid w:val="005C1DD0"/>
    <w:rsid w:val="005C1DD2"/>
    <w:rsid w:val="005C2D49"/>
    <w:rsid w:val="005C31E5"/>
    <w:rsid w:val="005C48D3"/>
    <w:rsid w:val="005C5431"/>
    <w:rsid w:val="005C66FE"/>
    <w:rsid w:val="005C6CCA"/>
    <w:rsid w:val="005C76BD"/>
    <w:rsid w:val="005D0168"/>
    <w:rsid w:val="005D061D"/>
    <w:rsid w:val="005D0C92"/>
    <w:rsid w:val="005D1EE7"/>
    <w:rsid w:val="005D4A68"/>
    <w:rsid w:val="005D4A85"/>
    <w:rsid w:val="005D4BA5"/>
    <w:rsid w:val="005D54DE"/>
    <w:rsid w:val="005D65E8"/>
    <w:rsid w:val="005D6D81"/>
    <w:rsid w:val="005D7CAD"/>
    <w:rsid w:val="005D7FD9"/>
    <w:rsid w:val="005E024A"/>
    <w:rsid w:val="005E0B04"/>
    <w:rsid w:val="005E0C96"/>
    <w:rsid w:val="005E1D9D"/>
    <w:rsid w:val="005E2BEE"/>
    <w:rsid w:val="005E2F67"/>
    <w:rsid w:val="005E5E1D"/>
    <w:rsid w:val="005E7C18"/>
    <w:rsid w:val="005E7EBC"/>
    <w:rsid w:val="005F1EFF"/>
    <w:rsid w:val="005F2D2D"/>
    <w:rsid w:val="005F3C31"/>
    <w:rsid w:val="005F4D38"/>
    <w:rsid w:val="005F5E08"/>
    <w:rsid w:val="005F5E2A"/>
    <w:rsid w:val="006002A4"/>
    <w:rsid w:val="00600621"/>
    <w:rsid w:val="00601CA1"/>
    <w:rsid w:val="00603CCC"/>
    <w:rsid w:val="00603CFE"/>
    <w:rsid w:val="00603FB3"/>
    <w:rsid w:val="006047A4"/>
    <w:rsid w:val="0060530A"/>
    <w:rsid w:val="0060534A"/>
    <w:rsid w:val="006059B1"/>
    <w:rsid w:val="00605C51"/>
    <w:rsid w:val="00606056"/>
    <w:rsid w:val="006063F2"/>
    <w:rsid w:val="0060745D"/>
    <w:rsid w:val="00607AFD"/>
    <w:rsid w:val="00607C58"/>
    <w:rsid w:val="00611B5D"/>
    <w:rsid w:val="0061253D"/>
    <w:rsid w:val="00612F3C"/>
    <w:rsid w:val="006135A4"/>
    <w:rsid w:val="0061447C"/>
    <w:rsid w:val="00614669"/>
    <w:rsid w:val="0061466D"/>
    <w:rsid w:val="00622C69"/>
    <w:rsid w:val="00623274"/>
    <w:rsid w:val="0062414A"/>
    <w:rsid w:val="00624734"/>
    <w:rsid w:val="00624FB6"/>
    <w:rsid w:val="00624FD6"/>
    <w:rsid w:val="0062695A"/>
    <w:rsid w:val="006273F9"/>
    <w:rsid w:val="00630201"/>
    <w:rsid w:val="006305A3"/>
    <w:rsid w:val="00631842"/>
    <w:rsid w:val="00631A37"/>
    <w:rsid w:val="00631B8D"/>
    <w:rsid w:val="00631CAB"/>
    <w:rsid w:val="0063285A"/>
    <w:rsid w:val="00633463"/>
    <w:rsid w:val="00633719"/>
    <w:rsid w:val="00633A69"/>
    <w:rsid w:val="00633DDE"/>
    <w:rsid w:val="00635311"/>
    <w:rsid w:val="00636CF0"/>
    <w:rsid w:val="00640D94"/>
    <w:rsid w:val="00643469"/>
    <w:rsid w:val="0064444C"/>
    <w:rsid w:val="00646065"/>
    <w:rsid w:val="006466E3"/>
    <w:rsid w:val="00646D37"/>
    <w:rsid w:val="0065032B"/>
    <w:rsid w:val="0065430B"/>
    <w:rsid w:val="006548C1"/>
    <w:rsid w:val="00654DE2"/>
    <w:rsid w:val="006557F6"/>
    <w:rsid w:val="00655D8F"/>
    <w:rsid w:val="00656283"/>
    <w:rsid w:val="006618E6"/>
    <w:rsid w:val="006629B9"/>
    <w:rsid w:val="00663B32"/>
    <w:rsid w:val="00667016"/>
    <w:rsid w:val="006673BD"/>
    <w:rsid w:val="00667C51"/>
    <w:rsid w:val="00672AAF"/>
    <w:rsid w:val="00672ABD"/>
    <w:rsid w:val="00672B79"/>
    <w:rsid w:val="006752C6"/>
    <w:rsid w:val="00676B22"/>
    <w:rsid w:val="00676B69"/>
    <w:rsid w:val="00677959"/>
    <w:rsid w:val="00677BEB"/>
    <w:rsid w:val="00677CB7"/>
    <w:rsid w:val="006801B9"/>
    <w:rsid w:val="00680A83"/>
    <w:rsid w:val="00681376"/>
    <w:rsid w:val="00681C07"/>
    <w:rsid w:val="006833AB"/>
    <w:rsid w:val="00683A1F"/>
    <w:rsid w:val="00684AE1"/>
    <w:rsid w:val="00690C79"/>
    <w:rsid w:val="00692037"/>
    <w:rsid w:val="006945F8"/>
    <w:rsid w:val="00696C73"/>
    <w:rsid w:val="0069746B"/>
    <w:rsid w:val="00697662"/>
    <w:rsid w:val="00697A9B"/>
    <w:rsid w:val="006A04BE"/>
    <w:rsid w:val="006A0967"/>
    <w:rsid w:val="006A0A90"/>
    <w:rsid w:val="006A0E40"/>
    <w:rsid w:val="006A1583"/>
    <w:rsid w:val="006A31ED"/>
    <w:rsid w:val="006A383F"/>
    <w:rsid w:val="006A538C"/>
    <w:rsid w:val="006A5909"/>
    <w:rsid w:val="006A60F4"/>
    <w:rsid w:val="006A73E0"/>
    <w:rsid w:val="006A7C13"/>
    <w:rsid w:val="006B07BF"/>
    <w:rsid w:val="006B0E99"/>
    <w:rsid w:val="006B2011"/>
    <w:rsid w:val="006B2B0D"/>
    <w:rsid w:val="006B3041"/>
    <w:rsid w:val="006B42BE"/>
    <w:rsid w:val="006B5592"/>
    <w:rsid w:val="006B686C"/>
    <w:rsid w:val="006B72B7"/>
    <w:rsid w:val="006B7A70"/>
    <w:rsid w:val="006B7E85"/>
    <w:rsid w:val="006C0A4C"/>
    <w:rsid w:val="006C1A6F"/>
    <w:rsid w:val="006C3857"/>
    <w:rsid w:val="006C4416"/>
    <w:rsid w:val="006C4EEF"/>
    <w:rsid w:val="006C546A"/>
    <w:rsid w:val="006C59CF"/>
    <w:rsid w:val="006C5A37"/>
    <w:rsid w:val="006C61DD"/>
    <w:rsid w:val="006D1797"/>
    <w:rsid w:val="006D26B0"/>
    <w:rsid w:val="006D33F6"/>
    <w:rsid w:val="006D3858"/>
    <w:rsid w:val="006D41EE"/>
    <w:rsid w:val="006D45C5"/>
    <w:rsid w:val="006D45DF"/>
    <w:rsid w:val="006D47D2"/>
    <w:rsid w:val="006D47EE"/>
    <w:rsid w:val="006D54C1"/>
    <w:rsid w:val="006D6E56"/>
    <w:rsid w:val="006D7661"/>
    <w:rsid w:val="006E0537"/>
    <w:rsid w:val="006E0FE0"/>
    <w:rsid w:val="006E200E"/>
    <w:rsid w:val="006E276D"/>
    <w:rsid w:val="006E2BD3"/>
    <w:rsid w:val="006E2CD2"/>
    <w:rsid w:val="006E5680"/>
    <w:rsid w:val="006E5717"/>
    <w:rsid w:val="006E609A"/>
    <w:rsid w:val="006E60AB"/>
    <w:rsid w:val="006E65B3"/>
    <w:rsid w:val="006E6F6B"/>
    <w:rsid w:val="006E7284"/>
    <w:rsid w:val="006F0329"/>
    <w:rsid w:val="006F1079"/>
    <w:rsid w:val="006F1359"/>
    <w:rsid w:val="006F15E5"/>
    <w:rsid w:val="006F1B2D"/>
    <w:rsid w:val="006F2A5A"/>
    <w:rsid w:val="006F2C05"/>
    <w:rsid w:val="006F3972"/>
    <w:rsid w:val="006F3C2B"/>
    <w:rsid w:val="006F461E"/>
    <w:rsid w:val="006F50E9"/>
    <w:rsid w:val="006F5C51"/>
    <w:rsid w:val="006F5F3D"/>
    <w:rsid w:val="006F78BE"/>
    <w:rsid w:val="006F7934"/>
    <w:rsid w:val="006F7FDD"/>
    <w:rsid w:val="007003EE"/>
    <w:rsid w:val="00700C7D"/>
    <w:rsid w:val="007023AA"/>
    <w:rsid w:val="00702ED6"/>
    <w:rsid w:val="00706952"/>
    <w:rsid w:val="0071094F"/>
    <w:rsid w:val="00710AC6"/>
    <w:rsid w:val="00712073"/>
    <w:rsid w:val="00713628"/>
    <w:rsid w:val="00713FC6"/>
    <w:rsid w:val="0071507B"/>
    <w:rsid w:val="007156F1"/>
    <w:rsid w:val="0071581D"/>
    <w:rsid w:val="00715F51"/>
    <w:rsid w:val="00716E45"/>
    <w:rsid w:val="0071701B"/>
    <w:rsid w:val="00717830"/>
    <w:rsid w:val="00720527"/>
    <w:rsid w:val="00720E9A"/>
    <w:rsid w:val="0072106F"/>
    <w:rsid w:val="0072115D"/>
    <w:rsid w:val="007211D3"/>
    <w:rsid w:val="007219CD"/>
    <w:rsid w:val="00722231"/>
    <w:rsid w:val="007230A3"/>
    <w:rsid w:val="00724318"/>
    <w:rsid w:val="00725283"/>
    <w:rsid w:val="007268E8"/>
    <w:rsid w:val="00731CB7"/>
    <w:rsid w:val="00733054"/>
    <w:rsid w:val="007333A5"/>
    <w:rsid w:val="0073458B"/>
    <w:rsid w:val="00734611"/>
    <w:rsid w:val="00735392"/>
    <w:rsid w:val="00735D91"/>
    <w:rsid w:val="00737409"/>
    <w:rsid w:val="00737649"/>
    <w:rsid w:val="00737686"/>
    <w:rsid w:val="00737838"/>
    <w:rsid w:val="00743438"/>
    <w:rsid w:val="007435E3"/>
    <w:rsid w:val="007435F4"/>
    <w:rsid w:val="007439D9"/>
    <w:rsid w:val="007442F4"/>
    <w:rsid w:val="00744733"/>
    <w:rsid w:val="00744C01"/>
    <w:rsid w:val="00745296"/>
    <w:rsid w:val="007455C6"/>
    <w:rsid w:val="00745E31"/>
    <w:rsid w:val="00745F1C"/>
    <w:rsid w:val="00746AE1"/>
    <w:rsid w:val="0075024E"/>
    <w:rsid w:val="00750D2F"/>
    <w:rsid w:val="00752140"/>
    <w:rsid w:val="007526DA"/>
    <w:rsid w:val="00753860"/>
    <w:rsid w:val="00753E9E"/>
    <w:rsid w:val="00753F07"/>
    <w:rsid w:val="00754B63"/>
    <w:rsid w:val="00754DC8"/>
    <w:rsid w:val="007556C4"/>
    <w:rsid w:val="00755A2B"/>
    <w:rsid w:val="00756220"/>
    <w:rsid w:val="00756C1F"/>
    <w:rsid w:val="0075778B"/>
    <w:rsid w:val="007577CC"/>
    <w:rsid w:val="00757DFA"/>
    <w:rsid w:val="00760517"/>
    <w:rsid w:val="00760679"/>
    <w:rsid w:val="00760BDE"/>
    <w:rsid w:val="007613A7"/>
    <w:rsid w:val="007639D0"/>
    <w:rsid w:val="0076506E"/>
    <w:rsid w:val="00766B5B"/>
    <w:rsid w:val="00767C4D"/>
    <w:rsid w:val="00775047"/>
    <w:rsid w:val="007754E5"/>
    <w:rsid w:val="0077553F"/>
    <w:rsid w:val="00775ADF"/>
    <w:rsid w:val="00775C03"/>
    <w:rsid w:val="0077642D"/>
    <w:rsid w:val="00777106"/>
    <w:rsid w:val="007772C9"/>
    <w:rsid w:val="00777D02"/>
    <w:rsid w:val="00777D77"/>
    <w:rsid w:val="00780089"/>
    <w:rsid w:val="00780334"/>
    <w:rsid w:val="00781618"/>
    <w:rsid w:val="00781A63"/>
    <w:rsid w:val="0078432D"/>
    <w:rsid w:val="00784E1B"/>
    <w:rsid w:val="007856AD"/>
    <w:rsid w:val="007859A1"/>
    <w:rsid w:val="007859C4"/>
    <w:rsid w:val="007869E0"/>
    <w:rsid w:val="00787093"/>
    <w:rsid w:val="007873BF"/>
    <w:rsid w:val="0079009A"/>
    <w:rsid w:val="007905B6"/>
    <w:rsid w:val="00791767"/>
    <w:rsid w:val="00791DAF"/>
    <w:rsid w:val="00792465"/>
    <w:rsid w:val="007925FB"/>
    <w:rsid w:val="00793753"/>
    <w:rsid w:val="00793793"/>
    <w:rsid w:val="007944EF"/>
    <w:rsid w:val="0079491B"/>
    <w:rsid w:val="0079552C"/>
    <w:rsid w:val="00795B42"/>
    <w:rsid w:val="0079680A"/>
    <w:rsid w:val="00797583"/>
    <w:rsid w:val="0079758A"/>
    <w:rsid w:val="007975CB"/>
    <w:rsid w:val="00797C78"/>
    <w:rsid w:val="007A2FDC"/>
    <w:rsid w:val="007A3556"/>
    <w:rsid w:val="007A42CE"/>
    <w:rsid w:val="007A521C"/>
    <w:rsid w:val="007A58E4"/>
    <w:rsid w:val="007A603F"/>
    <w:rsid w:val="007B0FF2"/>
    <w:rsid w:val="007B1253"/>
    <w:rsid w:val="007B1C0E"/>
    <w:rsid w:val="007B22BE"/>
    <w:rsid w:val="007B25B7"/>
    <w:rsid w:val="007B2CCF"/>
    <w:rsid w:val="007B319D"/>
    <w:rsid w:val="007B3C17"/>
    <w:rsid w:val="007B4369"/>
    <w:rsid w:val="007B4F1D"/>
    <w:rsid w:val="007B51ED"/>
    <w:rsid w:val="007B5A46"/>
    <w:rsid w:val="007B75B8"/>
    <w:rsid w:val="007C0203"/>
    <w:rsid w:val="007C1575"/>
    <w:rsid w:val="007C1ADB"/>
    <w:rsid w:val="007C1D40"/>
    <w:rsid w:val="007C2FD0"/>
    <w:rsid w:val="007C3413"/>
    <w:rsid w:val="007C42BC"/>
    <w:rsid w:val="007C43B1"/>
    <w:rsid w:val="007C6AF4"/>
    <w:rsid w:val="007C71A3"/>
    <w:rsid w:val="007D1A92"/>
    <w:rsid w:val="007D2121"/>
    <w:rsid w:val="007D4674"/>
    <w:rsid w:val="007D4D19"/>
    <w:rsid w:val="007D6C24"/>
    <w:rsid w:val="007D7165"/>
    <w:rsid w:val="007E0100"/>
    <w:rsid w:val="007E0550"/>
    <w:rsid w:val="007E0FE8"/>
    <w:rsid w:val="007E2D05"/>
    <w:rsid w:val="007E4ABB"/>
    <w:rsid w:val="007E57FA"/>
    <w:rsid w:val="007E7229"/>
    <w:rsid w:val="007F1388"/>
    <w:rsid w:val="007F1C7F"/>
    <w:rsid w:val="007F23F3"/>
    <w:rsid w:val="007F2AC7"/>
    <w:rsid w:val="007F2EC2"/>
    <w:rsid w:val="007F33C0"/>
    <w:rsid w:val="007F58E2"/>
    <w:rsid w:val="007F79E3"/>
    <w:rsid w:val="007F7E60"/>
    <w:rsid w:val="008009F1"/>
    <w:rsid w:val="00800D0F"/>
    <w:rsid w:val="00801F34"/>
    <w:rsid w:val="00802933"/>
    <w:rsid w:val="00802F91"/>
    <w:rsid w:val="008041BB"/>
    <w:rsid w:val="00804821"/>
    <w:rsid w:val="00807425"/>
    <w:rsid w:val="00810C96"/>
    <w:rsid w:val="00810E5B"/>
    <w:rsid w:val="00811FDB"/>
    <w:rsid w:val="00812B4C"/>
    <w:rsid w:val="00812F89"/>
    <w:rsid w:val="00813468"/>
    <w:rsid w:val="008145C1"/>
    <w:rsid w:val="008153AA"/>
    <w:rsid w:val="00816F18"/>
    <w:rsid w:val="00817754"/>
    <w:rsid w:val="0082067D"/>
    <w:rsid w:val="00820C46"/>
    <w:rsid w:val="00821574"/>
    <w:rsid w:val="008237E1"/>
    <w:rsid w:val="00824611"/>
    <w:rsid w:val="008256BC"/>
    <w:rsid w:val="008269D1"/>
    <w:rsid w:val="00827366"/>
    <w:rsid w:val="0082756B"/>
    <w:rsid w:val="008311B5"/>
    <w:rsid w:val="00831D52"/>
    <w:rsid w:val="00832F2A"/>
    <w:rsid w:val="00833570"/>
    <w:rsid w:val="00834926"/>
    <w:rsid w:val="00834E54"/>
    <w:rsid w:val="0083622B"/>
    <w:rsid w:val="00836CD3"/>
    <w:rsid w:val="008376B5"/>
    <w:rsid w:val="00837CCB"/>
    <w:rsid w:val="00837CF8"/>
    <w:rsid w:val="008413CF"/>
    <w:rsid w:val="00842386"/>
    <w:rsid w:val="00842C91"/>
    <w:rsid w:val="00842DE7"/>
    <w:rsid w:val="0084325D"/>
    <w:rsid w:val="00843E33"/>
    <w:rsid w:val="00844A43"/>
    <w:rsid w:val="00844C49"/>
    <w:rsid w:val="008451E7"/>
    <w:rsid w:val="008466A1"/>
    <w:rsid w:val="0085121E"/>
    <w:rsid w:val="0085140F"/>
    <w:rsid w:val="00852E52"/>
    <w:rsid w:val="008532F4"/>
    <w:rsid w:val="008545E5"/>
    <w:rsid w:val="0085482F"/>
    <w:rsid w:val="00854A51"/>
    <w:rsid w:val="00854BBA"/>
    <w:rsid w:val="0085641F"/>
    <w:rsid w:val="0085702A"/>
    <w:rsid w:val="00857A89"/>
    <w:rsid w:val="008600A1"/>
    <w:rsid w:val="00861112"/>
    <w:rsid w:val="00861317"/>
    <w:rsid w:val="008615C6"/>
    <w:rsid w:val="00861FA2"/>
    <w:rsid w:val="008621E0"/>
    <w:rsid w:val="008624C8"/>
    <w:rsid w:val="008626BE"/>
    <w:rsid w:val="008632E4"/>
    <w:rsid w:val="00864016"/>
    <w:rsid w:val="00864337"/>
    <w:rsid w:val="00864695"/>
    <w:rsid w:val="0086491A"/>
    <w:rsid w:val="00866075"/>
    <w:rsid w:val="00867BE7"/>
    <w:rsid w:val="00867CE9"/>
    <w:rsid w:val="00867DBE"/>
    <w:rsid w:val="00871648"/>
    <w:rsid w:val="008725EA"/>
    <w:rsid w:val="0087303F"/>
    <w:rsid w:val="008756AA"/>
    <w:rsid w:val="00876C6D"/>
    <w:rsid w:val="00876E4E"/>
    <w:rsid w:val="00877613"/>
    <w:rsid w:val="00877BA6"/>
    <w:rsid w:val="00880DB7"/>
    <w:rsid w:val="008818D2"/>
    <w:rsid w:val="00883057"/>
    <w:rsid w:val="00883156"/>
    <w:rsid w:val="00883873"/>
    <w:rsid w:val="008838F0"/>
    <w:rsid w:val="00883CEE"/>
    <w:rsid w:val="00883D8B"/>
    <w:rsid w:val="00884A3C"/>
    <w:rsid w:val="00884DEA"/>
    <w:rsid w:val="0088575A"/>
    <w:rsid w:val="008857F0"/>
    <w:rsid w:val="008869BC"/>
    <w:rsid w:val="008871CC"/>
    <w:rsid w:val="00887319"/>
    <w:rsid w:val="00890102"/>
    <w:rsid w:val="0089114A"/>
    <w:rsid w:val="00891A4A"/>
    <w:rsid w:val="0089242D"/>
    <w:rsid w:val="0089546B"/>
    <w:rsid w:val="008959E8"/>
    <w:rsid w:val="008A06C6"/>
    <w:rsid w:val="008A19CE"/>
    <w:rsid w:val="008A1B9C"/>
    <w:rsid w:val="008A1E7E"/>
    <w:rsid w:val="008A2A37"/>
    <w:rsid w:val="008A2E75"/>
    <w:rsid w:val="008A32E2"/>
    <w:rsid w:val="008A346D"/>
    <w:rsid w:val="008A34D7"/>
    <w:rsid w:val="008A3B7A"/>
    <w:rsid w:val="008A3F2E"/>
    <w:rsid w:val="008A796F"/>
    <w:rsid w:val="008A79A4"/>
    <w:rsid w:val="008B0A9C"/>
    <w:rsid w:val="008B15C7"/>
    <w:rsid w:val="008B259A"/>
    <w:rsid w:val="008B2FD7"/>
    <w:rsid w:val="008B32B4"/>
    <w:rsid w:val="008B62E5"/>
    <w:rsid w:val="008B6820"/>
    <w:rsid w:val="008B7CD8"/>
    <w:rsid w:val="008C0950"/>
    <w:rsid w:val="008C32C3"/>
    <w:rsid w:val="008C3713"/>
    <w:rsid w:val="008C44AF"/>
    <w:rsid w:val="008C496C"/>
    <w:rsid w:val="008C630E"/>
    <w:rsid w:val="008C6A5C"/>
    <w:rsid w:val="008D0C56"/>
    <w:rsid w:val="008D1CBC"/>
    <w:rsid w:val="008D1F03"/>
    <w:rsid w:val="008D1F87"/>
    <w:rsid w:val="008D4444"/>
    <w:rsid w:val="008D472B"/>
    <w:rsid w:val="008D4D5A"/>
    <w:rsid w:val="008D56A3"/>
    <w:rsid w:val="008E0BAC"/>
    <w:rsid w:val="008E0BC6"/>
    <w:rsid w:val="008E12EC"/>
    <w:rsid w:val="008E20DA"/>
    <w:rsid w:val="008E4425"/>
    <w:rsid w:val="008E55DD"/>
    <w:rsid w:val="008E6379"/>
    <w:rsid w:val="008E75C7"/>
    <w:rsid w:val="008F0C7A"/>
    <w:rsid w:val="008F1312"/>
    <w:rsid w:val="008F2950"/>
    <w:rsid w:val="008F2F6D"/>
    <w:rsid w:val="008F32A6"/>
    <w:rsid w:val="008F3331"/>
    <w:rsid w:val="008F33DD"/>
    <w:rsid w:val="008F4B95"/>
    <w:rsid w:val="008F519B"/>
    <w:rsid w:val="008F57E3"/>
    <w:rsid w:val="008F6022"/>
    <w:rsid w:val="008F7104"/>
    <w:rsid w:val="008F7730"/>
    <w:rsid w:val="008F7C39"/>
    <w:rsid w:val="00900EEB"/>
    <w:rsid w:val="00901591"/>
    <w:rsid w:val="009025B3"/>
    <w:rsid w:val="009030D6"/>
    <w:rsid w:val="009031C0"/>
    <w:rsid w:val="009035D6"/>
    <w:rsid w:val="009046B9"/>
    <w:rsid w:val="0090486A"/>
    <w:rsid w:val="00905C76"/>
    <w:rsid w:val="00906270"/>
    <w:rsid w:val="00906632"/>
    <w:rsid w:val="00907094"/>
    <w:rsid w:val="00910119"/>
    <w:rsid w:val="00910D6F"/>
    <w:rsid w:val="00910E0C"/>
    <w:rsid w:val="00912E65"/>
    <w:rsid w:val="00912F7B"/>
    <w:rsid w:val="00912F97"/>
    <w:rsid w:val="0091325D"/>
    <w:rsid w:val="009161FC"/>
    <w:rsid w:val="009168EC"/>
    <w:rsid w:val="00916FCC"/>
    <w:rsid w:val="00917521"/>
    <w:rsid w:val="00920E76"/>
    <w:rsid w:val="00922336"/>
    <w:rsid w:val="00922C1E"/>
    <w:rsid w:val="009231A8"/>
    <w:rsid w:val="00923DC6"/>
    <w:rsid w:val="00924881"/>
    <w:rsid w:val="00924C11"/>
    <w:rsid w:val="00925A6A"/>
    <w:rsid w:val="00927048"/>
    <w:rsid w:val="00927405"/>
    <w:rsid w:val="00927C8D"/>
    <w:rsid w:val="009300F6"/>
    <w:rsid w:val="00931111"/>
    <w:rsid w:val="0093280A"/>
    <w:rsid w:val="00934A1A"/>
    <w:rsid w:val="009353E8"/>
    <w:rsid w:val="00935D95"/>
    <w:rsid w:val="00935EFE"/>
    <w:rsid w:val="00935F3A"/>
    <w:rsid w:val="009412C8"/>
    <w:rsid w:val="009419F4"/>
    <w:rsid w:val="00941DD2"/>
    <w:rsid w:val="009428EA"/>
    <w:rsid w:val="00943D96"/>
    <w:rsid w:val="0094414B"/>
    <w:rsid w:val="009442A8"/>
    <w:rsid w:val="00944880"/>
    <w:rsid w:val="0094555F"/>
    <w:rsid w:val="009467EF"/>
    <w:rsid w:val="009468D3"/>
    <w:rsid w:val="00946B10"/>
    <w:rsid w:val="00950842"/>
    <w:rsid w:val="00953E0C"/>
    <w:rsid w:val="00955504"/>
    <w:rsid w:val="00955F70"/>
    <w:rsid w:val="00957345"/>
    <w:rsid w:val="009608DF"/>
    <w:rsid w:val="00961157"/>
    <w:rsid w:val="00961796"/>
    <w:rsid w:val="00963A65"/>
    <w:rsid w:val="00963AEB"/>
    <w:rsid w:val="0096498E"/>
    <w:rsid w:val="00965276"/>
    <w:rsid w:val="00966704"/>
    <w:rsid w:val="00966D11"/>
    <w:rsid w:val="00970BB4"/>
    <w:rsid w:val="00972849"/>
    <w:rsid w:val="0097301E"/>
    <w:rsid w:val="0097370A"/>
    <w:rsid w:val="009741B4"/>
    <w:rsid w:val="00974512"/>
    <w:rsid w:val="00974C81"/>
    <w:rsid w:val="00974CBB"/>
    <w:rsid w:val="00975101"/>
    <w:rsid w:val="00975801"/>
    <w:rsid w:val="00975DB8"/>
    <w:rsid w:val="00976C0D"/>
    <w:rsid w:val="009804CC"/>
    <w:rsid w:val="00981F0E"/>
    <w:rsid w:val="00981F1E"/>
    <w:rsid w:val="009825EE"/>
    <w:rsid w:val="0098347C"/>
    <w:rsid w:val="00983543"/>
    <w:rsid w:val="009839F2"/>
    <w:rsid w:val="00983BEC"/>
    <w:rsid w:val="00983E6E"/>
    <w:rsid w:val="00983F54"/>
    <w:rsid w:val="00984369"/>
    <w:rsid w:val="0098526F"/>
    <w:rsid w:val="00985955"/>
    <w:rsid w:val="00986F08"/>
    <w:rsid w:val="0099018D"/>
    <w:rsid w:val="0099116E"/>
    <w:rsid w:val="00992A65"/>
    <w:rsid w:val="00992CEB"/>
    <w:rsid w:val="009950F9"/>
    <w:rsid w:val="00995BDE"/>
    <w:rsid w:val="00995EAC"/>
    <w:rsid w:val="0099630B"/>
    <w:rsid w:val="009965AC"/>
    <w:rsid w:val="00996861"/>
    <w:rsid w:val="0099733A"/>
    <w:rsid w:val="00997FB8"/>
    <w:rsid w:val="009A1DB4"/>
    <w:rsid w:val="009A243A"/>
    <w:rsid w:val="009A24AB"/>
    <w:rsid w:val="009A371B"/>
    <w:rsid w:val="009A3B1C"/>
    <w:rsid w:val="009A4BBA"/>
    <w:rsid w:val="009A5CFA"/>
    <w:rsid w:val="009A724A"/>
    <w:rsid w:val="009B08EA"/>
    <w:rsid w:val="009B1900"/>
    <w:rsid w:val="009B1C3C"/>
    <w:rsid w:val="009B3D04"/>
    <w:rsid w:val="009B4C4A"/>
    <w:rsid w:val="009C0280"/>
    <w:rsid w:val="009C0C2E"/>
    <w:rsid w:val="009C0E52"/>
    <w:rsid w:val="009C116A"/>
    <w:rsid w:val="009C40BD"/>
    <w:rsid w:val="009C4EF5"/>
    <w:rsid w:val="009C5034"/>
    <w:rsid w:val="009C550D"/>
    <w:rsid w:val="009C73F3"/>
    <w:rsid w:val="009D078E"/>
    <w:rsid w:val="009D0A46"/>
    <w:rsid w:val="009D0E23"/>
    <w:rsid w:val="009D14E9"/>
    <w:rsid w:val="009D1FE2"/>
    <w:rsid w:val="009D29FA"/>
    <w:rsid w:val="009D4295"/>
    <w:rsid w:val="009D5146"/>
    <w:rsid w:val="009D5960"/>
    <w:rsid w:val="009D68AA"/>
    <w:rsid w:val="009D7069"/>
    <w:rsid w:val="009D70FB"/>
    <w:rsid w:val="009D74E7"/>
    <w:rsid w:val="009E09F7"/>
    <w:rsid w:val="009E2038"/>
    <w:rsid w:val="009E30AA"/>
    <w:rsid w:val="009E312C"/>
    <w:rsid w:val="009E35B4"/>
    <w:rsid w:val="009E3C3F"/>
    <w:rsid w:val="009E4322"/>
    <w:rsid w:val="009E487D"/>
    <w:rsid w:val="009E5250"/>
    <w:rsid w:val="009E52D7"/>
    <w:rsid w:val="009E531E"/>
    <w:rsid w:val="009E5854"/>
    <w:rsid w:val="009E6960"/>
    <w:rsid w:val="009E7171"/>
    <w:rsid w:val="009E7EB4"/>
    <w:rsid w:val="009F03AD"/>
    <w:rsid w:val="009F0AFB"/>
    <w:rsid w:val="009F1AFF"/>
    <w:rsid w:val="009F2609"/>
    <w:rsid w:val="009F38E7"/>
    <w:rsid w:val="009F3BA0"/>
    <w:rsid w:val="009F3F11"/>
    <w:rsid w:val="009F3F8E"/>
    <w:rsid w:val="009F64B8"/>
    <w:rsid w:val="009F6EF1"/>
    <w:rsid w:val="009F79A3"/>
    <w:rsid w:val="00A01548"/>
    <w:rsid w:val="00A039BA"/>
    <w:rsid w:val="00A06756"/>
    <w:rsid w:val="00A06886"/>
    <w:rsid w:val="00A11959"/>
    <w:rsid w:val="00A126E5"/>
    <w:rsid w:val="00A12B6F"/>
    <w:rsid w:val="00A13CA2"/>
    <w:rsid w:val="00A13CE0"/>
    <w:rsid w:val="00A14038"/>
    <w:rsid w:val="00A14380"/>
    <w:rsid w:val="00A147E8"/>
    <w:rsid w:val="00A14A01"/>
    <w:rsid w:val="00A1578E"/>
    <w:rsid w:val="00A168FF"/>
    <w:rsid w:val="00A21A27"/>
    <w:rsid w:val="00A2452D"/>
    <w:rsid w:val="00A2522B"/>
    <w:rsid w:val="00A25E76"/>
    <w:rsid w:val="00A27154"/>
    <w:rsid w:val="00A315D2"/>
    <w:rsid w:val="00A31C25"/>
    <w:rsid w:val="00A3345F"/>
    <w:rsid w:val="00A33E32"/>
    <w:rsid w:val="00A349DE"/>
    <w:rsid w:val="00A34DAB"/>
    <w:rsid w:val="00A36DE4"/>
    <w:rsid w:val="00A40AC3"/>
    <w:rsid w:val="00A41157"/>
    <w:rsid w:val="00A42B2B"/>
    <w:rsid w:val="00A432ED"/>
    <w:rsid w:val="00A44F88"/>
    <w:rsid w:val="00A453E8"/>
    <w:rsid w:val="00A461B5"/>
    <w:rsid w:val="00A4665B"/>
    <w:rsid w:val="00A50D7C"/>
    <w:rsid w:val="00A529AC"/>
    <w:rsid w:val="00A53711"/>
    <w:rsid w:val="00A5410D"/>
    <w:rsid w:val="00A54440"/>
    <w:rsid w:val="00A55953"/>
    <w:rsid w:val="00A55BCA"/>
    <w:rsid w:val="00A57946"/>
    <w:rsid w:val="00A60BB8"/>
    <w:rsid w:val="00A61179"/>
    <w:rsid w:val="00A6155C"/>
    <w:rsid w:val="00A616D6"/>
    <w:rsid w:val="00A638E8"/>
    <w:rsid w:val="00A64CFD"/>
    <w:rsid w:val="00A65660"/>
    <w:rsid w:val="00A669E6"/>
    <w:rsid w:val="00A66D5A"/>
    <w:rsid w:val="00A71AE9"/>
    <w:rsid w:val="00A722A6"/>
    <w:rsid w:val="00A72D00"/>
    <w:rsid w:val="00A732CB"/>
    <w:rsid w:val="00A74AB6"/>
    <w:rsid w:val="00A74D35"/>
    <w:rsid w:val="00A750D3"/>
    <w:rsid w:val="00A750E3"/>
    <w:rsid w:val="00A770D4"/>
    <w:rsid w:val="00A804B8"/>
    <w:rsid w:val="00A8143A"/>
    <w:rsid w:val="00A81ADB"/>
    <w:rsid w:val="00A81B5D"/>
    <w:rsid w:val="00A81E13"/>
    <w:rsid w:val="00A8399A"/>
    <w:rsid w:val="00A84CA3"/>
    <w:rsid w:val="00A86A30"/>
    <w:rsid w:val="00A901CF"/>
    <w:rsid w:val="00A90989"/>
    <w:rsid w:val="00A92267"/>
    <w:rsid w:val="00A929FC"/>
    <w:rsid w:val="00A93005"/>
    <w:rsid w:val="00A93A0B"/>
    <w:rsid w:val="00A94A9C"/>
    <w:rsid w:val="00A9587D"/>
    <w:rsid w:val="00A95AC9"/>
    <w:rsid w:val="00A96EFC"/>
    <w:rsid w:val="00AA0511"/>
    <w:rsid w:val="00AA4CDB"/>
    <w:rsid w:val="00AA61A4"/>
    <w:rsid w:val="00AA6445"/>
    <w:rsid w:val="00AA71AE"/>
    <w:rsid w:val="00AA74B3"/>
    <w:rsid w:val="00AB02D9"/>
    <w:rsid w:val="00AB10A5"/>
    <w:rsid w:val="00AB12BA"/>
    <w:rsid w:val="00AB2A75"/>
    <w:rsid w:val="00AB357E"/>
    <w:rsid w:val="00AB36DA"/>
    <w:rsid w:val="00AB4855"/>
    <w:rsid w:val="00AB49AF"/>
    <w:rsid w:val="00AB6D03"/>
    <w:rsid w:val="00AB71D6"/>
    <w:rsid w:val="00AB7F69"/>
    <w:rsid w:val="00AC014A"/>
    <w:rsid w:val="00AC08DF"/>
    <w:rsid w:val="00AC1C1B"/>
    <w:rsid w:val="00AC26D7"/>
    <w:rsid w:val="00AC2F8D"/>
    <w:rsid w:val="00AC31BD"/>
    <w:rsid w:val="00AC710E"/>
    <w:rsid w:val="00AC7311"/>
    <w:rsid w:val="00AC7921"/>
    <w:rsid w:val="00AD017C"/>
    <w:rsid w:val="00AD1FF0"/>
    <w:rsid w:val="00AD20DF"/>
    <w:rsid w:val="00AD26F0"/>
    <w:rsid w:val="00AD2AF0"/>
    <w:rsid w:val="00AD2D12"/>
    <w:rsid w:val="00AD3A4E"/>
    <w:rsid w:val="00AD3F93"/>
    <w:rsid w:val="00AD4474"/>
    <w:rsid w:val="00AD45CE"/>
    <w:rsid w:val="00AD4F32"/>
    <w:rsid w:val="00AD507A"/>
    <w:rsid w:val="00AD7DCF"/>
    <w:rsid w:val="00AD7E69"/>
    <w:rsid w:val="00AE069E"/>
    <w:rsid w:val="00AE12FC"/>
    <w:rsid w:val="00AE19CA"/>
    <w:rsid w:val="00AE2169"/>
    <w:rsid w:val="00AE3E6C"/>
    <w:rsid w:val="00AE5BC2"/>
    <w:rsid w:val="00AE672D"/>
    <w:rsid w:val="00AE73C2"/>
    <w:rsid w:val="00AE7D91"/>
    <w:rsid w:val="00AE7FFB"/>
    <w:rsid w:val="00AF02FC"/>
    <w:rsid w:val="00AF0619"/>
    <w:rsid w:val="00AF1265"/>
    <w:rsid w:val="00AF130B"/>
    <w:rsid w:val="00AF1809"/>
    <w:rsid w:val="00AF201E"/>
    <w:rsid w:val="00AF222E"/>
    <w:rsid w:val="00AF26CD"/>
    <w:rsid w:val="00AF41ED"/>
    <w:rsid w:val="00AF47D6"/>
    <w:rsid w:val="00AF5A0E"/>
    <w:rsid w:val="00AF5EF2"/>
    <w:rsid w:val="00AF60DE"/>
    <w:rsid w:val="00AF648D"/>
    <w:rsid w:val="00AF6A03"/>
    <w:rsid w:val="00AF6B78"/>
    <w:rsid w:val="00AF7A04"/>
    <w:rsid w:val="00AF7AF8"/>
    <w:rsid w:val="00B00110"/>
    <w:rsid w:val="00B0056D"/>
    <w:rsid w:val="00B00FCC"/>
    <w:rsid w:val="00B0119B"/>
    <w:rsid w:val="00B01511"/>
    <w:rsid w:val="00B01EEA"/>
    <w:rsid w:val="00B04124"/>
    <w:rsid w:val="00B059AE"/>
    <w:rsid w:val="00B05E51"/>
    <w:rsid w:val="00B06186"/>
    <w:rsid w:val="00B0685A"/>
    <w:rsid w:val="00B07024"/>
    <w:rsid w:val="00B07E31"/>
    <w:rsid w:val="00B10041"/>
    <w:rsid w:val="00B104E7"/>
    <w:rsid w:val="00B11907"/>
    <w:rsid w:val="00B12E23"/>
    <w:rsid w:val="00B13050"/>
    <w:rsid w:val="00B1326E"/>
    <w:rsid w:val="00B13282"/>
    <w:rsid w:val="00B146BC"/>
    <w:rsid w:val="00B15D53"/>
    <w:rsid w:val="00B15D7D"/>
    <w:rsid w:val="00B16933"/>
    <w:rsid w:val="00B17EB4"/>
    <w:rsid w:val="00B206FA"/>
    <w:rsid w:val="00B20D98"/>
    <w:rsid w:val="00B20F33"/>
    <w:rsid w:val="00B2458F"/>
    <w:rsid w:val="00B2493D"/>
    <w:rsid w:val="00B24A00"/>
    <w:rsid w:val="00B25478"/>
    <w:rsid w:val="00B25706"/>
    <w:rsid w:val="00B25CA3"/>
    <w:rsid w:val="00B2659E"/>
    <w:rsid w:val="00B26D7C"/>
    <w:rsid w:val="00B27429"/>
    <w:rsid w:val="00B27D15"/>
    <w:rsid w:val="00B3058A"/>
    <w:rsid w:val="00B33231"/>
    <w:rsid w:val="00B33C12"/>
    <w:rsid w:val="00B34DA8"/>
    <w:rsid w:val="00B3558A"/>
    <w:rsid w:val="00B373BC"/>
    <w:rsid w:val="00B379A6"/>
    <w:rsid w:val="00B37FA7"/>
    <w:rsid w:val="00B40EBA"/>
    <w:rsid w:val="00B41C1F"/>
    <w:rsid w:val="00B425AC"/>
    <w:rsid w:val="00B43255"/>
    <w:rsid w:val="00B434C4"/>
    <w:rsid w:val="00B43CA6"/>
    <w:rsid w:val="00B44B83"/>
    <w:rsid w:val="00B45701"/>
    <w:rsid w:val="00B45CC1"/>
    <w:rsid w:val="00B46D77"/>
    <w:rsid w:val="00B47A20"/>
    <w:rsid w:val="00B50467"/>
    <w:rsid w:val="00B5192E"/>
    <w:rsid w:val="00B5320D"/>
    <w:rsid w:val="00B538D5"/>
    <w:rsid w:val="00B53D43"/>
    <w:rsid w:val="00B53F5B"/>
    <w:rsid w:val="00B554DB"/>
    <w:rsid w:val="00B5558F"/>
    <w:rsid w:val="00B55F8C"/>
    <w:rsid w:val="00B55FF1"/>
    <w:rsid w:val="00B57565"/>
    <w:rsid w:val="00B57696"/>
    <w:rsid w:val="00B579D2"/>
    <w:rsid w:val="00B57C02"/>
    <w:rsid w:val="00B60195"/>
    <w:rsid w:val="00B602BE"/>
    <w:rsid w:val="00B61205"/>
    <w:rsid w:val="00B616BA"/>
    <w:rsid w:val="00B61E0E"/>
    <w:rsid w:val="00B62668"/>
    <w:rsid w:val="00B63F7D"/>
    <w:rsid w:val="00B64014"/>
    <w:rsid w:val="00B64DCB"/>
    <w:rsid w:val="00B64E1A"/>
    <w:rsid w:val="00B65279"/>
    <w:rsid w:val="00B657A6"/>
    <w:rsid w:val="00B65927"/>
    <w:rsid w:val="00B65AE2"/>
    <w:rsid w:val="00B67D75"/>
    <w:rsid w:val="00B67E99"/>
    <w:rsid w:val="00B70317"/>
    <w:rsid w:val="00B70678"/>
    <w:rsid w:val="00B71178"/>
    <w:rsid w:val="00B7133E"/>
    <w:rsid w:val="00B7285E"/>
    <w:rsid w:val="00B730B2"/>
    <w:rsid w:val="00B73FF8"/>
    <w:rsid w:val="00B77A66"/>
    <w:rsid w:val="00B80EAE"/>
    <w:rsid w:val="00B81311"/>
    <w:rsid w:val="00B8184F"/>
    <w:rsid w:val="00B819A7"/>
    <w:rsid w:val="00B81A7D"/>
    <w:rsid w:val="00B821B5"/>
    <w:rsid w:val="00B82D1C"/>
    <w:rsid w:val="00B831F7"/>
    <w:rsid w:val="00B84470"/>
    <w:rsid w:val="00B849E1"/>
    <w:rsid w:val="00B84D68"/>
    <w:rsid w:val="00B84FDC"/>
    <w:rsid w:val="00B86832"/>
    <w:rsid w:val="00B91D24"/>
    <w:rsid w:val="00B92DD8"/>
    <w:rsid w:val="00B943F6"/>
    <w:rsid w:val="00B9455C"/>
    <w:rsid w:val="00B94731"/>
    <w:rsid w:val="00B947AE"/>
    <w:rsid w:val="00B94C60"/>
    <w:rsid w:val="00B94C7A"/>
    <w:rsid w:val="00B94DF7"/>
    <w:rsid w:val="00B959C1"/>
    <w:rsid w:val="00B96C88"/>
    <w:rsid w:val="00BA11C4"/>
    <w:rsid w:val="00BA16A6"/>
    <w:rsid w:val="00BA548C"/>
    <w:rsid w:val="00BA5C3B"/>
    <w:rsid w:val="00BA6C0D"/>
    <w:rsid w:val="00BA6CA2"/>
    <w:rsid w:val="00BA7077"/>
    <w:rsid w:val="00BA7926"/>
    <w:rsid w:val="00BB01D7"/>
    <w:rsid w:val="00BB06BF"/>
    <w:rsid w:val="00BB093C"/>
    <w:rsid w:val="00BB1789"/>
    <w:rsid w:val="00BB1A16"/>
    <w:rsid w:val="00BB2BFD"/>
    <w:rsid w:val="00BB2F30"/>
    <w:rsid w:val="00BB347F"/>
    <w:rsid w:val="00BB36C2"/>
    <w:rsid w:val="00BB5515"/>
    <w:rsid w:val="00BB6579"/>
    <w:rsid w:val="00BB71E6"/>
    <w:rsid w:val="00BC0920"/>
    <w:rsid w:val="00BC1430"/>
    <w:rsid w:val="00BC18EC"/>
    <w:rsid w:val="00BC18FB"/>
    <w:rsid w:val="00BC1B74"/>
    <w:rsid w:val="00BC2BEE"/>
    <w:rsid w:val="00BC3210"/>
    <w:rsid w:val="00BC3445"/>
    <w:rsid w:val="00BC38F3"/>
    <w:rsid w:val="00BC4BEC"/>
    <w:rsid w:val="00BC5787"/>
    <w:rsid w:val="00BC59DB"/>
    <w:rsid w:val="00BC72F5"/>
    <w:rsid w:val="00BC7CE9"/>
    <w:rsid w:val="00BD1645"/>
    <w:rsid w:val="00BD2314"/>
    <w:rsid w:val="00BD2B76"/>
    <w:rsid w:val="00BD317C"/>
    <w:rsid w:val="00BD461C"/>
    <w:rsid w:val="00BD4679"/>
    <w:rsid w:val="00BD5012"/>
    <w:rsid w:val="00BD6419"/>
    <w:rsid w:val="00BD6B2C"/>
    <w:rsid w:val="00BD6E60"/>
    <w:rsid w:val="00BE0115"/>
    <w:rsid w:val="00BE0A45"/>
    <w:rsid w:val="00BE0A48"/>
    <w:rsid w:val="00BE3065"/>
    <w:rsid w:val="00BE3E2F"/>
    <w:rsid w:val="00BE4B50"/>
    <w:rsid w:val="00BE4D50"/>
    <w:rsid w:val="00BE573F"/>
    <w:rsid w:val="00BE6092"/>
    <w:rsid w:val="00BE655D"/>
    <w:rsid w:val="00BE658E"/>
    <w:rsid w:val="00BE7A75"/>
    <w:rsid w:val="00BF0CCE"/>
    <w:rsid w:val="00BF2184"/>
    <w:rsid w:val="00BF282E"/>
    <w:rsid w:val="00BF2E74"/>
    <w:rsid w:val="00BF467C"/>
    <w:rsid w:val="00BF611A"/>
    <w:rsid w:val="00BF6913"/>
    <w:rsid w:val="00BF7469"/>
    <w:rsid w:val="00BF77E8"/>
    <w:rsid w:val="00BF7F23"/>
    <w:rsid w:val="00C00309"/>
    <w:rsid w:val="00C016CC"/>
    <w:rsid w:val="00C0284C"/>
    <w:rsid w:val="00C02AB6"/>
    <w:rsid w:val="00C02C45"/>
    <w:rsid w:val="00C03351"/>
    <w:rsid w:val="00C044D5"/>
    <w:rsid w:val="00C04867"/>
    <w:rsid w:val="00C05425"/>
    <w:rsid w:val="00C05683"/>
    <w:rsid w:val="00C05AF4"/>
    <w:rsid w:val="00C065AF"/>
    <w:rsid w:val="00C06EBA"/>
    <w:rsid w:val="00C07A97"/>
    <w:rsid w:val="00C10753"/>
    <w:rsid w:val="00C10E1D"/>
    <w:rsid w:val="00C11D45"/>
    <w:rsid w:val="00C12139"/>
    <w:rsid w:val="00C1398C"/>
    <w:rsid w:val="00C13C82"/>
    <w:rsid w:val="00C13ED1"/>
    <w:rsid w:val="00C144BF"/>
    <w:rsid w:val="00C14F1F"/>
    <w:rsid w:val="00C157FA"/>
    <w:rsid w:val="00C1602D"/>
    <w:rsid w:val="00C1696E"/>
    <w:rsid w:val="00C1743F"/>
    <w:rsid w:val="00C20A06"/>
    <w:rsid w:val="00C21298"/>
    <w:rsid w:val="00C24B03"/>
    <w:rsid w:val="00C2674E"/>
    <w:rsid w:val="00C269C6"/>
    <w:rsid w:val="00C27197"/>
    <w:rsid w:val="00C279C8"/>
    <w:rsid w:val="00C27BC1"/>
    <w:rsid w:val="00C27E96"/>
    <w:rsid w:val="00C30534"/>
    <w:rsid w:val="00C30E14"/>
    <w:rsid w:val="00C333F3"/>
    <w:rsid w:val="00C33483"/>
    <w:rsid w:val="00C34777"/>
    <w:rsid w:val="00C3514E"/>
    <w:rsid w:val="00C351FC"/>
    <w:rsid w:val="00C37635"/>
    <w:rsid w:val="00C378EC"/>
    <w:rsid w:val="00C37F7D"/>
    <w:rsid w:val="00C40164"/>
    <w:rsid w:val="00C40782"/>
    <w:rsid w:val="00C407A4"/>
    <w:rsid w:val="00C41A82"/>
    <w:rsid w:val="00C41B38"/>
    <w:rsid w:val="00C41C81"/>
    <w:rsid w:val="00C41CDF"/>
    <w:rsid w:val="00C42E38"/>
    <w:rsid w:val="00C42F87"/>
    <w:rsid w:val="00C438E1"/>
    <w:rsid w:val="00C44329"/>
    <w:rsid w:val="00C45AB4"/>
    <w:rsid w:val="00C46045"/>
    <w:rsid w:val="00C47861"/>
    <w:rsid w:val="00C5068A"/>
    <w:rsid w:val="00C50905"/>
    <w:rsid w:val="00C50D7E"/>
    <w:rsid w:val="00C514A2"/>
    <w:rsid w:val="00C51C26"/>
    <w:rsid w:val="00C51F2F"/>
    <w:rsid w:val="00C5239F"/>
    <w:rsid w:val="00C5241A"/>
    <w:rsid w:val="00C5259D"/>
    <w:rsid w:val="00C536D0"/>
    <w:rsid w:val="00C53D7B"/>
    <w:rsid w:val="00C563ED"/>
    <w:rsid w:val="00C568B9"/>
    <w:rsid w:val="00C57905"/>
    <w:rsid w:val="00C6006B"/>
    <w:rsid w:val="00C61AC6"/>
    <w:rsid w:val="00C61E6F"/>
    <w:rsid w:val="00C62F66"/>
    <w:rsid w:val="00C6324F"/>
    <w:rsid w:val="00C63900"/>
    <w:rsid w:val="00C63BBA"/>
    <w:rsid w:val="00C641FD"/>
    <w:rsid w:val="00C6439D"/>
    <w:rsid w:val="00C64832"/>
    <w:rsid w:val="00C65DC2"/>
    <w:rsid w:val="00C67464"/>
    <w:rsid w:val="00C701D9"/>
    <w:rsid w:val="00C70CB2"/>
    <w:rsid w:val="00C721FD"/>
    <w:rsid w:val="00C74B6E"/>
    <w:rsid w:val="00C75107"/>
    <w:rsid w:val="00C7529C"/>
    <w:rsid w:val="00C75C99"/>
    <w:rsid w:val="00C7769B"/>
    <w:rsid w:val="00C77827"/>
    <w:rsid w:val="00C80378"/>
    <w:rsid w:val="00C81769"/>
    <w:rsid w:val="00C83C46"/>
    <w:rsid w:val="00C84E44"/>
    <w:rsid w:val="00C84F19"/>
    <w:rsid w:val="00C8556B"/>
    <w:rsid w:val="00C858A7"/>
    <w:rsid w:val="00C86820"/>
    <w:rsid w:val="00C8738F"/>
    <w:rsid w:val="00C875EF"/>
    <w:rsid w:val="00C876B6"/>
    <w:rsid w:val="00C87C82"/>
    <w:rsid w:val="00C900C7"/>
    <w:rsid w:val="00C90EF6"/>
    <w:rsid w:val="00C919C1"/>
    <w:rsid w:val="00C931F9"/>
    <w:rsid w:val="00C93A7E"/>
    <w:rsid w:val="00C942A2"/>
    <w:rsid w:val="00C95A6B"/>
    <w:rsid w:val="00C9629B"/>
    <w:rsid w:val="00C96942"/>
    <w:rsid w:val="00C96D3E"/>
    <w:rsid w:val="00CA02C2"/>
    <w:rsid w:val="00CA0621"/>
    <w:rsid w:val="00CA0654"/>
    <w:rsid w:val="00CA0EB2"/>
    <w:rsid w:val="00CA1FCE"/>
    <w:rsid w:val="00CA2248"/>
    <w:rsid w:val="00CA25EF"/>
    <w:rsid w:val="00CA3C57"/>
    <w:rsid w:val="00CA40FA"/>
    <w:rsid w:val="00CA46C3"/>
    <w:rsid w:val="00CA5622"/>
    <w:rsid w:val="00CA5BF2"/>
    <w:rsid w:val="00CA66A8"/>
    <w:rsid w:val="00CA744A"/>
    <w:rsid w:val="00CA7B45"/>
    <w:rsid w:val="00CB1490"/>
    <w:rsid w:val="00CB1E56"/>
    <w:rsid w:val="00CB2685"/>
    <w:rsid w:val="00CB2993"/>
    <w:rsid w:val="00CB39EB"/>
    <w:rsid w:val="00CB3A77"/>
    <w:rsid w:val="00CB485D"/>
    <w:rsid w:val="00CB4D46"/>
    <w:rsid w:val="00CB60B0"/>
    <w:rsid w:val="00CB67B5"/>
    <w:rsid w:val="00CB718C"/>
    <w:rsid w:val="00CC338C"/>
    <w:rsid w:val="00CC38B7"/>
    <w:rsid w:val="00CC394B"/>
    <w:rsid w:val="00CC5447"/>
    <w:rsid w:val="00CC556C"/>
    <w:rsid w:val="00CC5919"/>
    <w:rsid w:val="00CC67CC"/>
    <w:rsid w:val="00CC6B00"/>
    <w:rsid w:val="00CD1470"/>
    <w:rsid w:val="00CD1B4D"/>
    <w:rsid w:val="00CD2357"/>
    <w:rsid w:val="00CD2474"/>
    <w:rsid w:val="00CD2F6F"/>
    <w:rsid w:val="00CD30C9"/>
    <w:rsid w:val="00CD392F"/>
    <w:rsid w:val="00CD3BAD"/>
    <w:rsid w:val="00CD4369"/>
    <w:rsid w:val="00CD4483"/>
    <w:rsid w:val="00CD5FD6"/>
    <w:rsid w:val="00CD6D6D"/>
    <w:rsid w:val="00CD7F67"/>
    <w:rsid w:val="00CE0DF5"/>
    <w:rsid w:val="00CE3472"/>
    <w:rsid w:val="00CE4581"/>
    <w:rsid w:val="00CE476D"/>
    <w:rsid w:val="00CE5098"/>
    <w:rsid w:val="00CE604F"/>
    <w:rsid w:val="00CE6B0C"/>
    <w:rsid w:val="00CE76D4"/>
    <w:rsid w:val="00CF0722"/>
    <w:rsid w:val="00CF0AAC"/>
    <w:rsid w:val="00CF0B7C"/>
    <w:rsid w:val="00CF0C61"/>
    <w:rsid w:val="00CF11A3"/>
    <w:rsid w:val="00CF224A"/>
    <w:rsid w:val="00CF22CD"/>
    <w:rsid w:val="00CF4C74"/>
    <w:rsid w:val="00CF6079"/>
    <w:rsid w:val="00CF61E1"/>
    <w:rsid w:val="00D005D5"/>
    <w:rsid w:val="00D00677"/>
    <w:rsid w:val="00D00FFC"/>
    <w:rsid w:val="00D016EB"/>
    <w:rsid w:val="00D01A24"/>
    <w:rsid w:val="00D0211C"/>
    <w:rsid w:val="00D024BD"/>
    <w:rsid w:val="00D0288E"/>
    <w:rsid w:val="00D0367A"/>
    <w:rsid w:val="00D03950"/>
    <w:rsid w:val="00D049B1"/>
    <w:rsid w:val="00D05814"/>
    <w:rsid w:val="00D06E91"/>
    <w:rsid w:val="00D0794F"/>
    <w:rsid w:val="00D104C2"/>
    <w:rsid w:val="00D12712"/>
    <w:rsid w:val="00D12A8B"/>
    <w:rsid w:val="00D13715"/>
    <w:rsid w:val="00D13FE1"/>
    <w:rsid w:val="00D142C5"/>
    <w:rsid w:val="00D14ADF"/>
    <w:rsid w:val="00D15482"/>
    <w:rsid w:val="00D1615D"/>
    <w:rsid w:val="00D161DC"/>
    <w:rsid w:val="00D161F6"/>
    <w:rsid w:val="00D163CE"/>
    <w:rsid w:val="00D16588"/>
    <w:rsid w:val="00D172E3"/>
    <w:rsid w:val="00D2047B"/>
    <w:rsid w:val="00D21E9B"/>
    <w:rsid w:val="00D22BAA"/>
    <w:rsid w:val="00D23C5F"/>
    <w:rsid w:val="00D25440"/>
    <w:rsid w:val="00D27066"/>
    <w:rsid w:val="00D27370"/>
    <w:rsid w:val="00D274A9"/>
    <w:rsid w:val="00D278C5"/>
    <w:rsid w:val="00D27A5A"/>
    <w:rsid w:val="00D27D06"/>
    <w:rsid w:val="00D27FAD"/>
    <w:rsid w:val="00D3091E"/>
    <w:rsid w:val="00D30F7C"/>
    <w:rsid w:val="00D31617"/>
    <w:rsid w:val="00D31658"/>
    <w:rsid w:val="00D31F4E"/>
    <w:rsid w:val="00D32A72"/>
    <w:rsid w:val="00D32D88"/>
    <w:rsid w:val="00D3345A"/>
    <w:rsid w:val="00D33CC4"/>
    <w:rsid w:val="00D350F5"/>
    <w:rsid w:val="00D358CE"/>
    <w:rsid w:val="00D401A7"/>
    <w:rsid w:val="00D40CB8"/>
    <w:rsid w:val="00D4291E"/>
    <w:rsid w:val="00D42D69"/>
    <w:rsid w:val="00D436E5"/>
    <w:rsid w:val="00D44682"/>
    <w:rsid w:val="00D46391"/>
    <w:rsid w:val="00D47CDC"/>
    <w:rsid w:val="00D50251"/>
    <w:rsid w:val="00D51728"/>
    <w:rsid w:val="00D517E8"/>
    <w:rsid w:val="00D523F2"/>
    <w:rsid w:val="00D52F01"/>
    <w:rsid w:val="00D53305"/>
    <w:rsid w:val="00D53561"/>
    <w:rsid w:val="00D53B00"/>
    <w:rsid w:val="00D53D28"/>
    <w:rsid w:val="00D542D1"/>
    <w:rsid w:val="00D544D0"/>
    <w:rsid w:val="00D54FFF"/>
    <w:rsid w:val="00D557C7"/>
    <w:rsid w:val="00D55B05"/>
    <w:rsid w:val="00D56D75"/>
    <w:rsid w:val="00D60165"/>
    <w:rsid w:val="00D60F13"/>
    <w:rsid w:val="00D62575"/>
    <w:rsid w:val="00D6411B"/>
    <w:rsid w:val="00D65209"/>
    <w:rsid w:val="00D65B8B"/>
    <w:rsid w:val="00D6679F"/>
    <w:rsid w:val="00D66A48"/>
    <w:rsid w:val="00D66AEF"/>
    <w:rsid w:val="00D675AC"/>
    <w:rsid w:val="00D71566"/>
    <w:rsid w:val="00D72095"/>
    <w:rsid w:val="00D721C9"/>
    <w:rsid w:val="00D72ACE"/>
    <w:rsid w:val="00D72C1E"/>
    <w:rsid w:val="00D72E5F"/>
    <w:rsid w:val="00D730AB"/>
    <w:rsid w:val="00D734B1"/>
    <w:rsid w:val="00D74C51"/>
    <w:rsid w:val="00D753A1"/>
    <w:rsid w:val="00D75FBE"/>
    <w:rsid w:val="00D8120C"/>
    <w:rsid w:val="00D81C15"/>
    <w:rsid w:val="00D81D4D"/>
    <w:rsid w:val="00D826B7"/>
    <w:rsid w:val="00D82E1A"/>
    <w:rsid w:val="00D82F81"/>
    <w:rsid w:val="00D83150"/>
    <w:rsid w:val="00D85350"/>
    <w:rsid w:val="00D87A13"/>
    <w:rsid w:val="00D90AEA"/>
    <w:rsid w:val="00D913F5"/>
    <w:rsid w:val="00D92709"/>
    <w:rsid w:val="00D92946"/>
    <w:rsid w:val="00D94564"/>
    <w:rsid w:val="00D97515"/>
    <w:rsid w:val="00D978BD"/>
    <w:rsid w:val="00DA08A9"/>
    <w:rsid w:val="00DA190D"/>
    <w:rsid w:val="00DA1BC3"/>
    <w:rsid w:val="00DA1F33"/>
    <w:rsid w:val="00DA35CF"/>
    <w:rsid w:val="00DA4025"/>
    <w:rsid w:val="00DA5683"/>
    <w:rsid w:val="00DA679B"/>
    <w:rsid w:val="00DA7A55"/>
    <w:rsid w:val="00DB10D5"/>
    <w:rsid w:val="00DB1F9C"/>
    <w:rsid w:val="00DB3CB0"/>
    <w:rsid w:val="00DB4F52"/>
    <w:rsid w:val="00DB5394"/>
    <w:rsid w:val="00DB5A79"/>
    <w:rsid w:val="00DB6687"/>
    <w:rsid w:val="00DB700B"/>
    <w:rsid w:val="00DB747B"/>
    <w:rsid w:val="00DB75E4"/>
    <w:rsid w:val="00DB7E57"/>
    <w:rsid w:val="00DC0412"/>
    <w:rsid w:val="00DC2208"/>
    <w:rsid w:val="00DC227F"/>
    <w:rsid w:val="00DC23A5"/>
    <w:rsid w:val="00DC2484"/>
    <w:rsid w:val="00DC2C6C"/>
    <w:rsid w:val="00DC37AE"/>
    <w:rsid w:val="00DC3F13"/>
    <w:rsid w:val="00DC40DA"/>
    <w:rsid w:val="00DC5210"/>
    <w:rsid w:val="00DC7D45"/>
    <w:rsid w:val="00DD1148"/>
    <w:rsid w:val="00DD22F5"/>
    <w:rsid w:val="00DD3A41"/>
    <w:rsid w:val="00DD3AE5"/>
    <w:rsid w:val="00DD3DB2"/>
    <w:rsid w:val="00DD422F"/>
    <w:rsid w:val="00DD4C45"/>
    <w:rsid w:val="00DD5D2E"/>
    <w:rsid w:val="00DD63FD"/>
    <w:rsid w:val="00DD7116"/>
    <w:rsid w:val="00DE0980"/>
    <w:rsid w:val="00DE1756"/>
    <w:rsid w:val="00DE23A6"/>
    <w:rsid w:val="00DE2579"/>
    <w:rsid w:val="00DE30E4"/>
    <w:rsid w:val="00DE35F0"/>
    <w:rsid w:val="00DE37E9"/>
    <w:rsid w:val="00DE397A"/>
    <w:rsid w:val="00DE4776"/>
    <w:rsid w:val="00DE4A12"/>
    <w:rsid w:val="00DE570A"/>
    <w:rsid w:val="00DE5F28"/>
    <w:rsid w:val="00DE6030"/>
    <w:rsid w:val="00DE60E8"/>
    <w:rsid w:val="00DE6254"/>
    <w:rsid w:val="00DE68CA"/>
    <w:rsid w:val="00DE7197"/>
    <w:rsid w:val="00DE77E0"/>
    <w:rsid w:val="00DF0051"/>
    <w:rsid w:val="00DF153E"/>
    <w:rsid w:val="00DF2E2C"/>
    <w:rsid w:val="00DF322A"/>
    <w:rsid w:val="00DF37B7"/>
    <w:rsid w:val="00DF4A52"/>
    <w:rsid w:val="00DF5E90"/>
    <w:rsid w:val="00DF6274"/>
    <w:rsid w:val="00DF6493"/>
    <w:rsid w:val="00E000FE"/>
    <w:rsid w:val="00E00D6B"/>
    <w:rsid w:val="00E01C5C"/>
    <w:rsid w:val="00E0243F"/>
    <w:rsid w:val="00E03B12"/>
    <w:rsid w:val="00E04542"/>
    <w:rsid w:val="00E04C24"/>
    <w:rsid w:val="00E0545A"/>
    <w:rsid w:val="00E06242"/>
    <w:rsid w:val="00E0789D"/>
    <w:rsid w:val="00E07D84"/>
    <w:rsid w:val="00E115F9"/>
    <w:rsid w:val="00E117C9"/>
    <w:rsid w:val="00E12077"/>
    <w:rsid w:val="00E1222E"/>
    <w:rsid w:val="00E12282"/>
    <w:rsid w:val="00E12E33"/>
    <w:rsid w:val="00E1397A"/>
    <w:rsid w:val="00E148A9"/>
    <w:rsid w:val="00E14C4C"/>
    <w:rsid w:val="00E15124"/>
    <w:rsid w:val="00E15CFB"/>
    <w:rsid w:val="00E160CF"/>
    <w:rsid w:val="00E162A1"/>
    <w:rsid w:val="00E2085C"/>
    <w:rsid w:val="00E20A5F"/>
    <w:rsid w:val="00E2234A"/>
    <w:rsid w:val="00E2296A"/>
    <w:rsid w:val="00E231E9"/>
    <w:rsid w:val="00E237E7"/>
    <w:rsid w:val="00E23AB9"/>
    <w:rsid w:val="00E243F7"/>
    <w:rsid w:val="00E24A79"/>
    <w:rsid w:val="00E26472"/>
    <w:rsid w:val="00E26BED"/>
    <w:rsid w:val="00E31FEE"/>
    <w:rsid w:val="00E320D0"/>
    <w:rsid w:val="00E34AFC"/>
    <w:rsid w:val="00E35993"/>
    <w:rsid w:val="00E3634C"/>
    <w:rsid w:val="00E365BB"/>
    <w:rsid w:val="00E367DF"/>
    <w:rsid w:val="00E430FE"/>
    <w:rsid w:val="00E43316"/>
    <w:rsid w:val="00E43527"/>
    <w:rsid w:val="00E44534"/>
    <w:rsid w:val="00E44749"/>
    <w:rsid w:val="00E44790"/>
    <w:rsid w:val="00E452AE"/>
    <w:rsid w:val="00E4538C"/>
    <w:rsid w:val="00E45C6D"/>
    <w:rsid w:val="00E46A3E"/>
    <w:rsid w:val="00E46D2E"/>
    <w:rsid w:val="00E50427"/>
    <w:rsid w:val="00E5092F"/>
    <w:rsid w:val="00E5217C"/>
    <w:rsid w:val="00E524CC"/>
    <w:rsid w:val="00E52E6B"/>
    <w:rsid w:val="00E53839"/>
    <w:rsid w:val="00E540AE"/>
    <w:rsid w:val="00E553FF"/>
    <w:rsid w:val="00E55876"/>
    <w:rsid w:val="00E55C37"/>
    <w:rsid w:val="00E55D3E"/>
    <w:rsid w:val="00E56E98"/>
    <w:rsid w:val="00E601A4"/>
    <w:rsid w:val="00E6115A"/>
    <w:rsid w:val="00E61254"/>
    <w:rsid w:val="00E62D00"/>
    <w:rsid w:val="00E62D60"/>
    <w:rsid w:val="00E63E24"/>
    <w:rsid w:val="00E640FE"/>
    <w:rsid w:val="00E64234"/>
    <w:rsid w:val="00E6429F"/>
    <w:rsid w:val="00E642C0"/>
    <w:rsid w:val="00E64E39"/>
    <w:rsid w:val="00E64F74"/>
    <w:rsid w:val="00E661AF"/>
    <w:rsid w:val="00E70540"/>
    <w:rsid w:val="00E706FC"/>
    <w:rsid w:val="00E711D8"/>
    <w:rsid w:val="00E73038"/>
    <w:rsid w:val="00E73925"/>
    <w:rsid w:val="00E75017"/>
    <w:rsid w:val="00E758AE"/>
    <w:rsid w:val="00E76A19"/>
    <w:rsid w:val="00E76D98"/>
    <w:rsid w:val="00E77C4E"/>
    <w:rsid w:val="00E77C9B"/>
    <w:rsid w:val="00E80391"/>
    <w:rsid w:val="00E827AD"/>
    <w:rsid w:val="00E82FD7"/>
    <w:rsid w:val="00E83F1D"/>
    <w:rsid w:val="00E84B1D"/>
    <w:rsid w:val="00E854F2"/>
    <w:rsid w:val="00E8561A"/>
    <w:rsid w:val="00E869ED"/>
    <w:rsid w:val="00E869F1"/>
    <w:rsid w:val="00E875DC"/>
    <w:rsid w:val="00E91DDA"/>
    <w:rsid w:val="00E93040"/>
    <w:rsid w:val="00E93E00"/>
    <w:rsid w:val="00E976C9"/>
    <w:rsid w:val="00E97958"/>
    <w:rsid w:val="00E97E1C"/>
    <w:rsid w:val="00EA0327"/>
    <w:rsid w:val="00EA0935"/>
    <w:rsid w:val="00EA177E"/>
    <w:rsid w:val="00EA21F5"/>
    <w:rsid w:val="00EA3BAC"/>
    <w:rsid w:val="00EA53D0"/>
    <w:rsid w:val="00EA55E9"/>
    <w:rsid w:val="00EA5ACB"/>
    <w:rsid w:val="00EA5CD4"/>
    <w:rsid w:val="00EA5F22"/>
    <w:rsid w:val="00EA6FF3"/>
    <w:rsid w:val="00EA7627"/>
    <w:rsid w:val="00EA7C0E"/>
    <w:rsid w:val="00EB061C"/>
    <w:rsid w:val="00EB0E36"/>
    <w:rsid w:val="00EB2BE5"/>
    <w:rsid w:val="00EB3897"/>
    <w:rsid w:val="00EB4328"/>
    <w:rsid w:val="00EB4346"/>
    <w:rsid w:val="00EB4664"/>
    <w:rsid w:val="00EB46EB"/>
    <w:rsid w:val="00EB58CE"/>
    <w:rsid w:val="00EB5A41"/>
    <w:rsid w:val="00EB5D93"/>
    <w:rsid w:val="00EB6B50"/>
    <w:rsid w:val="00EB7059"/>
    <w:rsid w:val="00EB794C"/>
    <w:rsid w:val="00EC1845"/>
    <w:rsid w:val="00EC1C1E"/>
    <w:rsid w:val="00EC3EF3"/>
    <w:rsid w:val="00EC4C65"/>
    <w:rsid w:val="00EC4F24"/>
    <w:rsid w:val="00EC6165"/>
    <w:rsid w:val="00EC694D"/>
    <w:rsid w:val="00ED0594"/>
    <w:rsid w:val="00ED068B"/>
    <w:rsid w:val="00ED2E5F"/>
    <w:rsid w:val="00ED3577"/>
    <w:rsid w:val="00ED43EB"/>
    <w:rsid w:val="00EE0FEC"/>
    <w:rsid w:val="00EE17FF"/>
    <w:rsid w:val="00EE1AF8"/>
    <w:rsid w:val="00EE314A"/>
    <w:rsid w:val="00EE337A"/>
    <w:rsid w:val="00EE3876"/>
    <w:rsid w:val="00EE3DB3"/>
    <w:rsid w:val="00EE4587"/>
    <w:rsid w:val="00EE4791"/>
    <w:rsid w:val="00EE4DD2"/>
    <w:rsid w:val="00EE52B6"/>
    <w:rsid w:val="00EE53EF"/>
    <w:rsid w:val="00EE5FBA"/>
    <w:rsid w:val="00EE5FD1"/>
    <w:rsid w:val="00EE65F1"/>
    <w:rsid w:val="00EF02BC"/>
    <w:rsid w:val="00EF0A09"/>
    <w:rsid w:val="00EF1B10"/>
    <w:rsid w:val="00EF262D"/>
    <w:rsid w:val="00EF30FE"/>
    <w:rsid w:val="00EF3999"/>
    <w:rsid w:val="00EF3EC0"/>
    <w:rsid w:val="00EF41D0"/>
    <w:rsid w:val="00EF4A30"/>
    <w:rsid w:val="00F00483"/>
    <w:rsid w:val="00F00A91"/>
    <w:rsid w:val="00F014AD"/>
    <w:rsid w:val="00F01650"/>
    <w:rsid w:val="00F0183E"/>
    <w:rsid w:val="00F027FC"/>
    <w:rsid w:val="00F02C1E"/>
    <w:rsid w:val="00F03D6E"/>
    <w:rsid w:val="00F03DBC"/>
    <w:rsid w:val="00F03F3B"/>
    <w:rsid w:val="00F03F83"/>
    <w:rsid w:val="00F04573"/>
    <w:rsid w:val="00F06BF8"/>
    <w:rsid w:val="00F07C7B"/>
    <w:rsid w:val="00F103A5"/>
    <w:rsid w:val="00F109BF"/>
    <w:rsid w:val="00F12AC3"/>
    <w:rsid w:val="00F13D89"/>
    <w:rsid w:val="00F148A7"/>
    <w:rsid w:val="00F15003"/>
    <w:rsid w:val="00F15890"/>
    <w:rsid w:val="00F15A92"/>
    <w:rsid w:val="00F15CBA"/>
    <w:rsid w:val="00F15D71"/>
    <w:rsid w:val="00F16082"/>
    <w:rsid w:val="00F20672"/>
    <w:rsid w:val="00F2177B"/>
    <w:rsid w:val="00F22639"/>
    <w:rsid w:val="00F25712"/>
    <w:rsid w:val="00F264DF"/>
    <w:rsid w:val="00F2670A"/>
    <w:rsid w:val="00F26AA7"/>
    <w:rsid w:val="00F3035E"/>
    <w:rsid w:val="00F3088A"/>
    <w:rsid w:val="00F31F82"/>
    <w:rsid w:val="00F32C1C"/>
    <w:rsid w:val="00F336EE"/>
    <w:rsid w:val="00F365FE"/>
    <w:rsid w:val="00F374D3"/>
    <w:rsid w:val="00F379D2"/>
    <w:rsid w:val="00F408B4"/>
    <w:rsid w:val="00F41623"/>
    <w:rsid w:val="00F43800"/>
    <w:rsid w:val="00F43FFB"/>
    <w:rsid w:val="00F44017"/>
    <w:rsid w:val="00F443C0"/>
    <w:rsid w:val="00F4464E"/>
    <w:rsid w:val="00F46FA3"/>
    <w:rsid w:val="00F47CEF"/>
    <w:rsid w:val="00F501DA"/>
    <w:rsid w:val="00F527A3"/>
    <w:rsid w:val="00F540C6"/>
    <w:rsid w:val="00F54A63"/>
    <w:rsid w:val="00F55A45"/>
    <w:rsid w:val="00F56AA3"/>
    <w:rsid w:val="00F60982"/>
    <w:rsid w:val="00F60B21"/>
    <w:rsid w:val="00F60C28"/>
    <w:rsid w:val="00F63E97"/>
    <w:rsid w:val="00F643B3"/>
    <w:rsid w:val="00F64A52"/>
    <w:rsid w:val="00F661A2"/>
    <w:rsid w:val="00F6670B"/>
    <w:rsid w:val="00F66E5A"/>
    <w:rsid w:val="00F66F5B"/>
    <w:rsid w:val="00F67A9F"/>
    <w:rsid w:val="00F67CD3"/>
    <w:rsid w:val="00F706CF"/>
    <w:rsid w:val="00F71F2A"/>
    <w:rsid w:val="00F72077"/>
    <w:rsid w:val="00F72A17"/>
    <w:rsid w:val="00F73883"/>
    <w:rsid w:val="00F73C52"/>
    <w:rsid w:val="00F73ED3"/>
    <w:rsid w:val="00F73FBB"/>
    <w:rsid w:val="00F74450"/>
    <w:rsid w:val="00F76179"/>
    <w:rsid w:val="00F771CB"/>
    <w:rsid w:val="00F77CB7"/>
    <w:rsid w:val="00F81CEA"/>
    <w:rsid w:val="00F8207F"/>
    <w:rsid w:val="00F82B1C"/>
    <w:rsid w:val="00F82F08"/>
    <w:rsid w:val="00F83079"/>
    <w:rsid w:val="00F8320F"/>
    <w:rsid w:val="00F832A5"/>
    <w:rsid w:val="00F847B7"/>
    <w:rsid w:val="00F84855"/>
    <w:rsid w:val="00F856C2"/>
    <w:rsid w:val="00F85B14"/>
    <w:rsid w:val="00F85C54"/>
    <w:rsid w:val="00F87247"/>
    <w:rsid w:val="00F87A5D"/>
    <w:rsid w:val="00F90835"/>
    <w:rsid w:val="00F908EC"/>
    <w:rsid w:val="00F9171F"/>
    <w:rsid w:val="00F9576A"/>
    <w:rsid w:val="00F96508"/>
    <w:rsid w:val="00F96884"/>
    <w:rsid w:val="00F9783C"/>
    <w:rsid w:val="00FA19CE"/>
    <w:rsid w:val="00FA2272"/>
    <w:rsid w:val="00FA2757"/>
    <w:rsid w:val="00FA5AA1"/>
    <w:rsid w:val="00FA62E4"/>
    <w:rsid w:val="00FA7979"/>
    <w:rsid w:val="00FB0B0C"/>
    <w:rsid w:val="00FB0C01"/>
    <w:rsid w:val="00FB1295"/>
    <w:rsid w:val="00FB1458"/>
    <w:rsid w:val="00FB1514"/>
    <w:rsid w:val="00FB19D3"/>
    <w:rsid w:val="00FB1C4A"/>
    <w:rsid w:val="00FB2026"/>
    <w:rsid w:val="00FB3261"/>
    <w:rsid w:val="00FB3889"/>
    <w:rsid w:val="00FB3C74"/>
    <w:rsid w:val="00FB45EC"/>
    <w:rsid w:val="00FB4E21"/>
    <w:rsid w:val="00FB5B1E"/>
    <w:rsid w:val="00FB720D"/>
    <w:rsid w:val="00FB7446"/>
    <w:rsid w:val="00FB793D"/>
    <w:rsid w:val="00FC029E"/>
    <w:rsid w:val="00FC0BCA"/>
    <w:rsid w:val="00FC12B2"/>
    <w:rsid w:val="00FC143E"/>
    <w:rsid w:val="00FC16ED"/>
    <w:rsid w:val="00FC1A9C"/>
    <w:rsid w:val="00FC1EE1"/>
    <w:rsid w:val="00FC321F"/>
    <w:rsid w:val="00FC336D"/>
    <w:rsid w:val="00FC37AF"/>
    <w:rsid w:val="00FC4880"/>
    <w:rsid w:val="00FC4A61"/>
    <w:rsid w:val="00FC7337"/>
    <w:rsid w:val="00FC762A"/>
    <w:rsid w:val="00FD37CE"/>
    <w:rsid w:val="00FD4964"/>
    <w:rsid w:val="00FD4980"/>
    <w:rsid w:val="00FD587E"/>
    <w:rsid w:val="00FD7000"/>
    <w:rsid w:val="00FD722A"/>
    <w:rsid w:val="00FD76CF"/>
    <w:rsid w:val="00FE0EE4"/>
    <w:rsid w:val="00FE0F91"/>
    <w:rsid w:val="00FE10EA"/>
    <w:rsid w:val="00FE15C4"/>
    <w:rsid w:val="00FE2262"/>
    <w:rsid w:val="00FE3B3F"/>
    <w:rsid w:val="00FE4AFF"/>
    <w:rsid w:val="00FE595E"/>
    <w:rsid w:val="00FE5FA3"/>
    <w:rsid w:val="00FE6100"/>
    <w:rsid w:val="00FE6406"/>
    <w:rsid w:val="00FE76A0"/>
    <w:rsid w:val="00FE7A1A"/>
    <w:rsid w:val="00FF0D44"/>
    <w:rsid w:val="00FF10CE"/>
    <w:rsid w:val="00FF1B7D"/>
    <w:rsid w:val="00FF1F6F"/>
    <w:rsid w:val="00FF4299"/>
    <w:rsid w:val="00FF4594"/>
    <w:rsid w:val="00FF45DF"/>
    <w:rsid w:val="00FF4894"/>
    <w:rsid w:val="00FF5543"/>
    <w:rsid w:val="00FF5D33"/>
    <w:rsid w:val="00FF78A1"/>
    <w:rsid w:val="00FF7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semiHidden/>
    <w:rsid w:val="00793753"/>
    <w:rPr>
      <w:rFonts w:cs="Times New Roman"/>
      <w:sz w:val="16"/>
      <w:szCs w:val="16"/>
    </w:rPr>
  </w:style>
  <w:style w:type="paragraph" w:styleId="CommentText">
    <w:name w:val="annotation text"/>
    <w:basedOn w:val="Normal"/>
    <w:link w:val="CommentTextChar"/>
    <w:semiHidden/>
    <w:rsid w:val="00793753"/>
    <w:rPr>
      <w:rFonts w:eastAsia="Times New Roman"/>
      <w:sz w:val="20"/>
      <w:szCs w:val="20"/>
    </w:rPr>
  </w:style>
  <w:style w:type="character" w:customStyle="1" w:styleId="CommentTextChar">
    <w:name w:val="Comment Text Char"/>
    <w:link w:val="CommentText"/>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paragraph" w:styleId="NoSpacing">
    <w:name w:val="No Spacing"/>
    <w:uiPriority w:val="1"/>
    <w:qFormat/>
    <w:rsid w:val="00CB1490"/>
    <w:rPr>
      <w:rFonts w:asciiTheme="minorHAnsi" w:eastAsiaTheme="minorHAnsi" w:hAnsiTheme="minorHAnsi" w:cstheme="minorBidi"/>
      <w:sz w:val="22"/>
      <w:szCs w:val="22"/>
      <w:lang w:eastAsia="en-US"/>
    </w:rPr>
  </w:style>
  <w:style w:type="paragraph" w:customStyle="1" w:styleId="normal2">
    <w:name w:val="normal2"/>
    <w:basedOn w:val="Normal"/>
    <w:rsid w:val="00910E0C"/>
    <w:pPr>
      <w:spacing w:before="120" w:line="312" w:lineRule="atLeast"/>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semiHidden/>
    <w:rsid w:val="00793753"/>
    <w:rPr>
      <w:rFonts w:cs="Times New Roman"/>
      <w:sz w:val="16"/>
      <w:szCs w:val="16"/>
    </w:rPr>
  </w:style>
  <w:style w:type="paragraph" w:styleId="CommentText">
    <w:name w:val="annotation text"/>
    <w:basedOn w:val="Normal"/>
    <w:link w:val="CommentTextChar"/>
    <w:semiHidden/>
    <w:rsid w:val="00793753"/>
    <w:rPr>
      <w:rFonts w:eastAsia="Times New Roman"/>
      <w:sz w:val="20"/>
      <w:szCs w:val="20"/>
    </w:rPr>
  </w:style>
  <w:style w:type="character" w:customStyle="1" w:styleId="CommentTextChar">
    <w:name w:val="Comment Text Char"/>
    <w:link w:val="CommentText"/>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paragraph" w:styleId="NoSpacing">
    <w:name w:val="No Spacing"/>
    <w:uiPriority w:val="1"/>
    <w:qFormat/>
    <w:rsid w:val="00CB1490"/>
    <w:rPr>
      <w:rFonts w:asciiTheme="minorHAnsi" w:eastAsiaTheme="minorHAnsi" w:hAnsiTheme="minorHAnsi" w:cstheme="minorBidi"/>
      <w:sz w:val="22"/>
      <w:szCs w:val="22"/>
      <w:lang w:eastAsia="en-US"/>
    </w:rPr>
  </w:style>
  <w:style w:type="paragraph" w:customStyle="1" w:styleId="normal2">
    <w:name w:val="normal2"/>
    <w:basedOn w:val="Normal"/>
    <w:rsid w:val="00910E0C"/>
    <w:pPr>
      <w:spacing w:before="120" w:line="312" w:lineRule="atLeast"/>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696197059">
      <w:bodyDiv w:val="1"/>
      <w:marLeft w:val="0"/>
      <w:marRight w:val="0"/>
      <w:marTop w:val="0"/>
      <w:marBottom w:val="0"/>
      <w:divBdr>
        <w:top w:val="none" w:sz="0" w:space="0" w:color="auto"/>
        <w:left w:val="none" w:sz="0" w:space="0" w:color="auto"/>
        <w:bottom w:val="none" w:sz="0" w:space="0" w:color="auto"/>
        <w:right w:val="none" w:sz="0" w:space="0" w:color="auto"/>
      </w:divBdr>
      <w:divsChild>
        <w:div w:id="2052610969">
          <w:marLeft w:val="0"/>
          <w:marRight w:val="0"/>
          <w:marTop w:val="0"/>
          <w:marBottom w:val="0"/>
          <w:divBdr>
            <w:top w:val="none" w:sz="0" w:space="0" w:color="auto"/>
            <w:left w:val="none" w:sz="0" w:space="0" w:color="auto"/>
            <w:bottom w:val="none" w:sz="0" w:space="0" w:color="auto"/>
            <w:right w:val="none" w:sz="0" w:space="0" w:color="auto"/>
          </w:divBdr>
          <w:divsChild>
            <w:div w:id="2083285813">
              <w:marLeft w:val="0"/>
              <w:marRight w:val="0"/>
              <w:marTop w:val="0"/>
              <w:marBottom w:val="0"/>
              <w:divBdr>
                <w:top w:val="none" w:sz="0" w:space="0" w:color="auto"/>
                <w:left w:val="none" w:sz="0" w:space="0" w:color="auto"/>
                <w:bottom w:val="none" w:sz="0" w:space="0" w:color="auto"/>
                <w:right w:val="none" w:sz="0" w:space="0" w:color="auto"/>
              </w:divBdr>
              <w:divsChild>
                <w:div w:id="599222429">
                  <w:marLeft w:val="0"/>
                  <w:marRight w:val="0"/>
                  <w:marTop w:val="0"/>
                  <w:marBottom w:val="0"/>
                  <w:divBdr>
                    <w:top w:val="none" w:sz="0" w:space="0" w:color="auto"/>
                    <w:left w:val="none" w:sz="0" w:space="0" w:color="auto"/>
                    <w:bottom w:val="none" w:sz="0" w:space="0" w:color="auto"/>
                    <w:right w:val="none" w:sz="0" w:space="0" w:color="auto"/>
                  </w:divBdr>
                  <w:divsChild>
                    <w:div w:id="1840148575">
                      <w:marLeft w:val="1"/>
                      <w:marRight w:val="1"/>
                      <w:marTop w:val="0"/>
                      <w:marBottom w:val="0"/>
                      <w:divBdr>
                        <w:top w:val="none" w:sz="0" w:space="0" w:color="auto"/>
                        <w:left w:val="none" w:sz="0" w:space="0" w:color="auto"/>
                        <w:bottom w:val="none" w:sz="0" w:space="0" w:color="auto"/>
                        <w:right w:val="none" w:sz="0" w:space="0" w:color="auto"/>
                      </w:divBdr>
                      <w:divsChild>
                        <w:div w:id="1272320491">
                          <w:marLeft w:val="0"/>
                          <w:marRight w:val="0"/>
                          <w:marTop w:val="0"/>
                          <w:marBottom w:val="0"/>
                          <w:divBdr>
                            <w:top w:val="none" w:sz="0" w:space="0" w:color="auto"/>
                            <w:left w:val="none" w:sz="0" w:space="0" w:color="auto"/>
                            <w:bottom w:val="none" w:sz="0" w:space="0" w:color="auto"/>
                            <w:right w:val="none" w:sz="0" w:space="0" w:color="auto"/>
                          </w:divBdr>
                          <w:divsChild>
                            <w:div w:id="530723111">
                              <w:marLeft w:val="0"/>
                              <w:marRight w:val="0"/>
                              <w:marTop w:val="0"/>
                              <w:marBottom w:val="360"/>
                              <w:divBdr>
                                <w:top w:val="none" w:sz="0" w:space="0" w:color="auto"/>
                                <w:left w:val="none" w:sz="0" w:space="0" w:color="auto"/>
                                <w:bottom w:val="none" w:sz="0" w:space="0" w:color="auto"/>
                                <w:right w:val="none" w:sz="0" w:space="0" w:color="auto"/>
                              </w:divBdr>
                              <w:divsChild>
                                <w:div w:id="1824811583">
                                  <w:marLeft w:val="0"/>
                                  <w:marRight w:val="0"/>
                                  <w:marTop w:val="0"/>
                                  <w:marBottom w:val="0"/>
                                  <w:divBdr>
                                    <w:top w:val="none" w:sz="0" w:space="0" w:color="auto"/>
                                    <w:left w:val="none" w:sz="0" w:space="0" w:color="auto"/>
                                    <w:bottom w:val="none" w:sz="0" w:space="0" w:color="auto"/>
                                    <w:right w:val="none" w:sz="0" w:space="0" w:color="auto"/>
                                  </w:divBdr>
                                  <w:divsChild>
                                    <w:div w:id="87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rmands.Blumberg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2A8F-D199-49C9-8F4C-CEAB37FF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3056</Words>
  <Characters>21484</Characters>
  <Application>Microsoft Office Word</Application>
  <DocSecurity>0</DocSecurity>
  <Lines>364</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„Uzņēmējdarbība un inovācijas” papildinājuma 2.3.2.1. aktivitāti „Biznesa inkubatori”</vt:lpstr>
      <vt:lpstr>2008</vt:lpstr>
    </vt:vector>
  </TitlesOfParts>
  <Company>LR Ekonomikas ministrija</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2.3.2.1. aktivitāti „Biznesa inkubatori”</dc:title>
  <dc:subject>Noteikumu projekts</dc:subject>
  <dc:creator>Ritvars Timermanis</dc:creator>
  <dc:description>67013209
Gatis.Silovs@em.gov.lv</dc:description>
  <cp:lastModifiedBy>Armands Blumbergs</cp:lastModifiedBy>
  <cp:revision>6</cp:revision>
  <cp:lastPrinted>2014-10-21T09:58:00Z</cp:lastPrinted>
  <dcterms:created xsi:type="dcterms:W3CDTF">2015-04-27T05:46:00Z</dcterms:created>
  <dcterms:modified xsi:type="dcterms:W3CDTF">2015-04-27T11:18:00Z</dcterms:modified>
</cp:coreProperties>
</file>