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8D" w:rsidRPr="00442355" w:rsidRDefault="00442355" w:rsidP="0005188D">
      <w:pPr>
        <w:pStyle w:val="Heading1"/>
        <w:spacing w:before="0" w:after="0" w:line="276" w:lineRule="auto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442355">
        <w:rPr>
          <w:rFonts w:ascii="Times New Roman" w:hAnsi="Times New Roman" w:cs="Times New Roman"/>
          <w:b w:val="0"/>
          <w:sz w:val="25"/>
          <w:szCs w:val="25"/>
        </w:rPr>
        <w:t>1</w:t>
      </w:r>
      <w:r w:rsidR="0005188D" w:rsidRPr="00442355">
        <w:rPr>
          <w:rFonts w:ascii="Times New Roman" w:hAnsi="Times New Roman" w:cs="Times New Roman"/>
          <w:b w:val="0"/>
          <w:sz w:val="25"/>
          <w:szCs w:val="25"/>
        </w:rPr>
        <w:t>. pielikums</w:t>
      </w:r>
    </w:p>
    <w:p w:rsidR="0005188D" w:rsidRPr="00442355" w:rsidRDefault="0005188D" w:rsidP="0005188D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442355">
        <w:rPr>
          <w:rFonts w:ascii="Times New Roman" w:hAnsi="Times New Roman" w:cs="Times New Roman"/>
          <w:sz w:val="25"/>
          <w:szCs w:val="25"/>
        </w:rPr>
        <w:t>Ministru kabineta</w:t>
      </w:r>
    </w:p>
    <w:p w:rsidR="0005188D" w:rsidRPr="00442355" w:rsidRDefault="0005188D" w:rsidP="0005188D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442355">
        <w:rPr>
          <w:rFonts w:ascii="Times New Roman" w:hAnsi="Times New Roman" w:cs="Times New Roman"/>
          <w:sz w:val="25"/>
          <w:szCs w:val="25"/>
        </w:rPr>
        <w:t>201</w:t>
      </w:r>
      <w:r w:rsidR="00442355" w:rsidRPr="00442355">
        <w:rPr>
          <w:rFonts w:ascii="Times New Roman" w:hAnsi="Times New Roman" w:cs="Times New Roman"/>
          <w:sz w:val="25"/>
          <w:szCs w:val="25"/>
        </w:rPr>
        <w:t>5</w:t>
      </w:r>
      <w:r w:rsidRPr="00442355">
        <w:rPr>
          <w:rFonts w:ascii="Times New Roman" w:hAnsi="Times New Roman" w:cs="Times New Roman"/>
          <w:sz w:val="25"/>
          <w:szCs w:val="25"/>
        </w:rPr>
        <w:t xml:space="preserve">.gada </w:t>
      </w:r>
      <w:r w:rsidR="00086D6D" w:rsidRPr="00442355">
        <w:rPr>
          <w:sz w:val="25"/>
          <w:szCs w:val="25"/>
        </w:rPr>
        <w:t>___._______</w:t>
      </w:r>
    </w:p>
    <w:p w:rsidR="0005188D" w:rsidRPr="00442355" w:rsidRDefault="0005188D" w:rsidP="0005188D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442355">
        <w:rPr>
          <w:rFonts w:ascii="Times New Roman" w:hAnsi="Times New Roman" w:cs="Times New Roman"/>
          <w:sz w:val="25"/>
          <w:szCs w:val="25"/>
        </w:rPr>
        <w:t>noteikumiem Nr._________</w:t>
      </w:r>
    </w:p>
    <w:p w:rsidR="00C4489F" w:rsidRPr="00442355" w:rsidRDefault="00C4489F" w:rsidP="00C4489F">
      <w:pPr>
        <w:pStyle w:val="naisnod"/>
        <w:rPr>
          <w:sz w:val="25"/>
          <w:szCs w:val="25"/>
        </w:rPr>
      </w:pPr>
      <w:r w:rsidRPr="00442355">
        <w:rPr>
          <w:sz w:val="25"/>
          <w:szCs w:val="25"/>
        </w:rPr>
        <w:t>Nozares, kurām nav paredzēts atbalsts</w:t>
      </w:r>
    </w:p>
    <w:p w:rsidR="00C4489F" w:rsidRPr="00442355" w:rsidRDefault="00C4489F" w:rsidP="00C4489F">
      <w:pPr>
        <w:pStyle w:val="naisnod"/>
        <w:rPr>
          <w:sz w:val="25"/>
          <w:szCs w:val="25"/>
        </w:rPr>
      </w:pPr>
      <w:r w:rsidRPr="00442355">
        <w:rPr>
          <w:sz w:val="25"/>
          <w:szCs w:val="25"/>
        </w:rPr>
        <w:t> </w:t>
      </w:r>
    </w:p>
    <w:p w:rsidR="00C4489F" w:rsidRPr="00136965" w:rsidRDefault="00136965" w:rsidP="00C4489F">
      <w:pPr>
        <w:pStyle w:val="naisf"/>
        <w:rPr>
          <w:sz w:val="25"/>
          <w:szCs w:val="25"/>
        </w:rPr>
      </w:pPr>
      <w:r w:rsidRPr="00136965">
        <w:rPr>
          <w:sz w:val="25"/>
          <w:szCs w:val="25"/>
        </w:rPr>
        <w:t>Darbības programmas „Izaugsme un nodarbinātība” 1.2.1.specifiskā atbalsta mērķa „Palielināt privātā sektora investīcijas P&amp;A” 1.2.1.4.pasākuma „Atbalsts jaunu produktu ieviešanai ražošanā” ietvaros</w:t>
      </w:r>
      <w:r w:rsidR="00C4489F" w:rsidRPr="00136965">
        <w:rPr>
          <w:sz w:val="25"/>
          <w:szCs w:val="25"/>
        </w:rPr>
        <w:t xml:space="preserve"> finansējums netiek sniegts šādās nozarēs:</w:t>
      </w:r>
    </w:p>
    <w:p w:rsidR="00C4489F" w:rsidRPr="00DE556C" w:rsidRDefault="00C4489F" w:rsidP="00DE556C">
      <w:pPr>
        <w:pStyle w:val="naisf"/>
        <w:spacing w:before="75"/>
        <w:rPr>
          <w:sz w:val="25"/>
          <w:szCs w:val="25"/>
        </w:rPr>
      </w:pPr>
      <w:r w:rsidRPr="00136965">
        <w:rPr>
          <w:sz w:val="25"/>
          <w:szCs w:val="25"/>
        </w:rPr>
        <w:t> </w:t>
      </w:r>
    </w:p>
    <w:p w:rsidR="00DE556C" w:rsidRPr="00820B54" w:rsidRDefault="00DE556C" w:rsidP="00DE556C">
      <w:pPr>
        <w:pStyle w:val="tvhtml"/>
        <w:jc w:val="both"/>
        <w:rPr>
          <w:sz w:val="25"/>
          <w:szCs w:val="25"/>
        </w:rPr>
      </w:pPr>
      <w:r w:rsidRPr="00820B54">
        <w:rPr>
          <w:rStyle w:val="tvhtml1"/>
          <w:sz w:val="25"/>
          <w:szCs w:val="25"/>
        </w:rPr>
        <w:t>1. Vairumtirdzniecība un mazumtirdzniecība (ierobežojumus nosaka saskaņā ar NACE 2.red. saimniecisko darbību statistiskās klasifikācijas kodu G sadaļu "Vairumtirdzniecība un mazumtirdzniecība; automobiļu un motociklu remonts", izņemot grupu 45.2 "Automobiļu apkope un remonts").</w:t>
      </w:r>
    </w:p>
    <w:p w:rsidR="00DE556C" w:rsidRPr="00820B54" w:rsidRDefault="00DE556C" w:rsidP="00DE556C">
      <w:pPr>
        <w:pStyle w:val="tvhtml"/>
        <w:jc w:val="both"/>
        <w:rPr>
          <w:sz w:val="25"/>
          <w:szCs w:val="25"/>
        </w:rPr>
      </w:pPr>
      <w:r w:rsidRPr="00820B54">
        <w:rPr>
          <w:rStyle w:val="tvhtml1"/>
          <w:sz w:val="25"/>
          <w:szCs w:val="25"/>
        </w:rPr>
        <w:t>2. Finanšu starpniecība (ierobežojumus nosaka saskaņā ar NACE 2.red. saimniecisko darbību statistiskās klasifikācijas kodu K sadaļu "Finanšu un apdrošināšanas darbības").</w:t>
      </w:r>
    </w:p>
    <w:p w:rsidR="00DE556C" w:rsidRPr="00820B54" w:rsidRDefault="00DE556C" w:rsidP="00DE556C">
      <w:pPr>
        <w:pStyle w:val="tvhtml"/>
        <w:jc w:val="both"/>
        <w:rPr>
          <w:sz w:val="25"/>
          <w:szCs w:val="25"/>
        </w:rPr>
      </w:pPr>
      <w:r w:rsidRPr="00820B54">
        <w:rPr>
          <w:rStyle w:val="tvhtml1"/>
          <w:sz w:val="25"/>
          <w:szCs w:val="25"/>
        </w:rPr>
        <w:t>3. Komercpakalpojumi (ierobežojumus nosaka saskaņā ar NACE 2.red. saimniecisko darbību statistiskās klasifikācijas kodu L sadaļu "Operācijas ar nekustamo īpašumu" un 77.nodaļu "Iznomāšana un ekspluatācijas līzings").</w:t>
      </w:r>
    </w:p>
    <w:p w:rsidR="00DE556C" w:rsidRPr="00820B54" w:rsidRDefault="00DE556C" w:rsidP="00DE556C">
      <w:pPr>
        <w:pStyle w:val="tvhtml"/>
        <w:jc w:val="both"/>
        <w:rPr>
          <w:sz w:val="25"/>
          <w:szCs w:val="25"/>
        </w:rPr>
      </w:pPr>
      <w:r w:rsidRPr="00820B54">
        <w:rPr>
          <w:rStyle w:val="tvhtml1"/>
          <w:sz w:val="25"/>
          <w:szCs w:val="25"/>
        </w:rPr>
        <w:t>4. Azartspēles un derības (ierobežojumus nosaka saskaņā ar NACE 2.red. saimniecisko darbību statistiskās klasifikācijas kodu 92.nodaļu "Azartspēles un derības").</w:t>
      </w:r>
    </w:p>
    <w:p w:rsidR="00DE556C" w:rsidRPr="00924014" w:rsidRDefault="00820B54" w:rsidP="00DE556C">
      <w:pPr>
        <w:pStyle w:val="tvhtml"/>
        <w:jc w:val="both"/>
        <w:rPr>
          <w:rStyle w:val="tvhtml1"/>
          <w:sz w:val="25"/>
          <w:szCs w:val="25"/>
        </w:rPr>
      </w:pPr>
      <w:r w:rsidRPr="00924014">
        <w:rPr>
          <w:rStyle w:val="tvhtml1"/>
          <w:sz w:val="25"/>
          <w:szCs w:val="25"/>
        </w:rPr>
        <w:t>5</w:t>
      </w:r>
      <w:r w:rsidR="00DE556C" w:rsidRPr="00924014">
        <w:rPr>
          <w:rStyle w:val="tvhtml1"/>
          <w:sz w:val="25"/>
          <w:szCs w:val="25"/>
        </w:rPr>
        <w:t xml:space="preserve">. Zivsaimniecība un akvakultūra. Atbilstoši Komisijas regulas Nr.  </w:t>
      </w:r>
      <w:hyperlink r:id="rId7" w:tgtFrame="_blank" w:history="1">
        <w:r w:rsidR="00DE556C" w:rsidRPr="00924014">
          <w:rPr>
            <w:rStyle w:val="Hyperlink"/>
            <w:sz w:val="25"/>
            <w:szCs w:val="25"/>
          </w:rPr>
          <w:t>651/2014</w:t>
        </w:r>
      </w:hyperlink>
      <w:r w:rsidR="00DE556C" w:rsidRPr="00924014">
        <w:rPr>
          <w:rStyle w:val="tvhtml1"/>
          <w:sz w:val="25"/>
          <w:szCs w:val="25"/>
        </w:rPr>
        <w:t xml:space="preserve"> 1. panta 3. punkta "a" apakšpunktā noteiktajai definīcijai.</w:t>
      </w:r>
    </w:p>
    <w:p w:rsidR="00D26F65" w:rsidRPr="00924014" w:rsidRDefault="00820B54" w:rsidP="00D26F65">
      <w:pPr>
        <w:pStyle w:val="tvhtml"/>
        <w:jc w:val="both"/>
        <w:rPr>
          <w:sz w:val="25"/>
          <w:szCs w:val="25"/>
        </w:rPr>
      </w:pPr>
      <w:r w:rsidRPr="00924014">
        <w:rPr>
          <w:rStyle w:val="tvhtml1"/>
          <w:sz w:val="25"/>
          <w:szCs w:val="25"/>
        </w:rPr>
        <w:t>6</w:t>
      </w:r>
      <w:r w:rsidR="00D26F65" w:rsidRPr="00924014">
        <w:rPr>
          <w:rStyle w:val="tvhtml1"/>
          <w:sz w:val="25"/>
          <w:szCs w:val="25"/>
        </w:rPr>
        <w:t xml:space="preserve">. Lauksaimniecības nozare. Atbilstoši Komisijas regulas Nr.  </w:t>
      </w:r>
      <w:hyperlink r:id="rId8" w:tgtFrame="_blank" w:history="1">
        <w:r w:rsidR="00D26F65" w:rsidRPr="00924014">
          <w:rPr>
            <w:rStyle w:val="Hyperlink"/>
            <w:sz w:val="25"/>
            <w:szCs w:val="25"/>
          </w:rPr>
          <w:t>651/2014</w:t>
        </w:r>
      </w:hyperlink>
      <w:r w:rsidR="00D26F65" w:rsidRPr="00924014">
        <w:rPr>
          <w:rStyle w:val="tvhtml1"/>
          <w:sz w:val="25"/>
          <w:szCs w:val="25"/>
        </w:rPr>
        <w:t xml:space="preserve"> 2. panta 9. un 11. punktā noteiktajām definīcijām.</w:t>
      </w:r>
    </w:p>
    <w:p w:rsidR="00DE556C" w:rsidRPr="00820B54" w:rsidRDefault="00820B54" w:rsidP="00DE556C">
      <w:pPr>
        <w:pStyle w:val="tvhtml"/>
        <w:jc w:val="both"/>
        <w:rPr>
          <w:sz w:val="25"/>
          <w:szCs w:val="25"/>
        </w:rPr>
      </w:pPr>
      <w:r w:rsidRPr="00924014">
        <w:rPr>
          <w:rStyle w:val="tvhtml1"/>
          <w:sz w:val="25"/>
          <w:szCs w:val="25"/>
        </w:rPr>
        <w:t>7</w:t>
      </w:r>
      <w:r w:rsidR="00DE556C" w:rsidRPr="00924014">
        <w:rPr>
          <w:rStyle w:val="tvhtml1"/>
          <w:sz w:val="25"/>
          <w:szCs w:val="25"/>
        </w:rPr>
        <w:t>. Kuģu būve:</w:t>
      </w:r>
    </w:p>
    <w:p w:rsidR="00DE556C" w:rsidRPr="00820B54" w:rsidRDefault="00820B54" w:rsidP="00DE556C">
      <w:pPr>
        <w:pStyle w:val="tvhtml"/>
        <w:jc w:val="both"/>
        <w:rPr>
          <w:sz w:val="25"/>
          <w:szCs w:val="25"/>
        </w:rPr>
      </w:pPr>
      <w:r w:rsidRPr="00820B54">
        <w:rPr>
          <w:rStyle w:val="tvhtml1"/>
          <w:sz w:val="25"/>
          <w:szCs w:val="25"/>
        </w:rPr>
        <w:t>7</w:t>
      </w:r>
      <w:r w:rsidR="00DE556C" w:rsidRPr="00820B54">
        <w:rPr>
          <w:rStyle w:val="tvhtml1"/>
          <w:sz w:val="25"/>
          <w:szCs w:val="25"/>
        </w:rPr>
        <w:t xml:space="preserve">.1. atbilstoši Nostādnēm par valsts atbalstu kuģu būvei (Eiropas Savienības Oficiālais Vēstnesis, 2003.gada 30.decembris, C 317, 11.lpp.) kuģu būve tiek definēta kā </w:t>
      </w:r>
      <w:proofErr w:type="spellStart"/>
      <w:r w:rsidR="00DE556C" w:rsidRPr="00820B54">
        <w:rPr>
          <w:rStyle w:val="tvhtml1"/>
          <w:sz w:val="25"/>
          <w:szCs w:val="25"/>
        </w:rPr>
        <w:t>pašpiedziņas</w:t>
      </w:r>
      <w:proofErr w:type="spellEnd"/>
      <w:r w:rsidR="00DE556C" w:rsidRPr="00820B54">
        <w:rPr>
          <w:rStyle w:val="tvhtml1"/>
          <w:sz w:val="25"/>
          <w:szCs w:val="25"/>
        </w:rPr>
        <w:t xml:space="preserve"> jūras tirdzniecības kuģu būve Eiropas Savienībā;</w:t>
      </w:r>
    </w:p>
    <w:p w:rsidR="00DE556C" w:rsidRPr="00820B54" w:rsidRDefault="00820B54" w:rsidP="00DE556C">
      <w:pPr>
        <w:pStyle w:val="tvhtml"/>
        <w:jc w:val="both"/>
        <w:rPr>
          <w:sz w:val="25"/>
          <w:szCs w:val="25"/>
        </w:rPr>
      </w:pPr>
      <w:r w:rsidRPr="00820B54">
        <w:rPr>
          <w:rStyle w:val="tvhtml1"/>
          <w:sz w:val="25"/>
          <w:szCs w:val="25"/>
        </w:rPr>
        <w:t>7</w:t>
      </w:r>
      <w:r w:rsidR="00DE556C" w:rsidRPr="00820B54">
        <w:rPr>
          <w:rStyle w:val="tvhtml1"/>
          <w:sz w:val="25"/>
          <w:szCs w:val="25"/>
        </w:rPr>
        <w:t>.2. kuģu būves nozare ietilpst NACE 2.red. saimniecisko darbību statistiskās klasifikācijas kodu klasē 30.11 "Kuģu un peldošo iekārtu būve".</w:t>
      </w:r>
    </w:p>
    <w:p w:rsidR="00DE556C" w:rsidRPr="00820B54" w:rsidRDefault="00820B54" w:rsidP="00DE556C">
      <w:pPr>
        <w:pStyle w:val="tvhtml"/>
        <w:jc w:val="both"/>
        <w:rPr>
          <w:sz w:val="25"/>
          <w:szCs w:val="25"/>
        </w:rPr>
      </w:pPr>
      <w:r w:rsidRPr="00820B54">
        <w:rPr>
          <w:rStyle w:val="tvhtml1"/>
          <w:sz w:val="25"/>
          <w:szCs w:val="25"/>
        </w:rPr>
        <w:lastRenderedPageBreak/>
        <w:t>8</w:t>
      </w:r>
      <w:r w:rsidR="00DE556C" w:rsidRPr="00820B54">
        <w:rPr>
          <w:rStyle w:val="tvhtml1"/>
          <w:sz w:val="25"/>
          <w:szCs w:val="25"/>
        </w:rPr>
        <w:t xml:space="preserve">. Ogļu rūpniecība. Atbilstoši Komisijas regulas Nr.  </w:t>
      </w:r>
      <w:hyperlink r:id="rId9" w:tgtFrame="_blank" w:history="1">
        <w:r w:rsidR="00DE556C" w:rsidRPr="00820B54">
          <w:rPr>
            <w:rStyle w:val="Hyperlink"/>
            <w:sz w:val="25"/>
            <w:szCs w:val="25"/>
          </w:rPr>
          <w:t>651/2014</w:t>
        </w:r>
      </w:hyperlink>
      <w:r w:rsidR="00DE556C" w:rsidRPr="00820B54">
        <w:rPr>
          <w:rStyle w:val="tvhtml1"/>
          <w:sz w:val="25"/>
          <w:szCs w:val="25"/>
        </w:rPr>
        <w:t xml:space="preserve"> 2. panta 13. punktā noteiktajai definīcijai.</w:t>
      </w:r>
    </w:p>
    <w:p w:rsidR="00DE556C" w:rsidRPr="00820B54" w:rsidRDefault="00820B54" w:rsidP="00DE556C">
      <w:pPr>
        <w:pStyle w:val="tvhtml"/>
        <w:jc w:val="both"/>
        <w:rPr>
          <w:sz w:val="25"/>
          <w:szCs w:val="25"/>
        </w:rPr>
      </w:pPr>
      <w:r w:rsidRPr="00820B54">
        <w:rPr>
          <w:rStyle w:val="tvhtml1"/>
          <w:sz w:val="25"/>
          <w:szCs w:val="25"/>
        </w:rPr>
        <w:t>9</w:t>
      </w:r>
      <w:r w:rsidR="00DE556C" w:rsidRPr="00820B54">
        <w:rPr>
          <w:rStyle w:val="tvhtml1"/>
          <w:sz w:val="25"/>
          <w:szCs w:val="25"/>
        </w:rPr>
        <w:t xml:space="preserve">. Tērauda rūpniecība. Atbilstoši Komisijas regulas Nr.  </w:t>
      </w:r>
      <w:hyperlink r:id="rId10" w:tgtFrame="_blank" w:history="1">
        <w:r w:rsidR="00DE556C" w:rsidRPr="00820B54">
          <w:rPr>
            <w:rStyle w:val="Hyperlink"/>
            <w:sz w:val="25"/>
            <w:szCs w:val="25"/>
          </w:rPr>
          <w:t>651/2014</w:t>
        </w:r>
      </w:hyperlink>
      <w:r w:rsidR="00DE556C" w:rsidRPr="00820B54">
        <w:rPr>
          <w:rStyle w:val="tvhtml1"/>
          <w:sz w:val="25"/>
          <w:szCs w:val="25"/>
        </w:rPr>
        <w:t xml:space="preserve"> 2. panta 43. punktā noteiktajai definīcijai.</w:t>
      </w:r>
    </w:p>
    <w:p w:rsidR="00DE556C" w:rsidRPr="00820B54" w:rsidRDefault="00820B54" w:rsidP="00DE556C">
      <w:pPr>
        <w:pStyle w:val="tvhtml"/>
        <w:jc w:val="both"/>
        <w:rPr>
          <w:sz w:val="25"/>
          <w:szCs w:val="25"/>
        </w:rPr>
      </w:pPr>
      <w:r w:rsidRPr="00820B54">
        <w:rPr>
          <w:rStyle w:val="tvhtml1"/>
          <w:sz w:val="25"/>
          <w:szCs w:val="25"/>
        </w:rPr>
        <w:t>10</w:t>
      </w:r>
      <w:r w:rsidR="00DE556C" w:rsidRPr="00820B54">
        <w:rPr>
          <w:rStyle w:val="tvhtml1"/>
          <w:sz w:val="25"/>
          <w:szCs w:val="25"/>
        </w:rPr>
        <w:t xml:space="preserve">. Sintētisko šķiedru ražošanas nozare. Atbilstoši Komisijas regulas Nr.  </w:t>
      </w:r>
      <w:hyperlink r:id="rId11" w:tgtFrame="_blank" w:history="1">
        <w:r w:rsidR="00DE556C" w:rsidRPr="00820B54">
          <w:rPr>
            <w:rStyle w:val="Hyperlink"/>
            <w:sz w:val="25"/>
            <w:szCs w:val="25"/>
          </w:rPr>
          <w:t>651/2014</w:t>
        </w:r>
      </w:hyperlink>
      <w:r w:rsidR="00DE556C" w:rsidRPr="00820B54">
        <w:rPr>
          <w:rStyle w:val="tvhtml1"/>
          <w:sz w:val="25"/>
          <w:szCs w:val="25"/>
        </w:rPr>
        <w:t xml:space="preserve"> 2. panta 44. punktā noteiktajai definīcijai.</w:t>
      </w:r>
    </w:p>
    <w:p w:rsidR="00DE556C" w:rsidRPr="00474B29" w:rsidRDefault="00DE556C" w:rsidP="00DE556C">
      <w:pPr>
        <w:pStyle w:val="tvhtml"/>
        <w:jc w:val="both"/>
        <w:rPr>
          <w:sz w:val="25"/>
          <w:szCs w:val="25"/>
        </w:rPr>
      </w:pPr>
      <w:r w:rsidRPr="00474B29">
        <w:rPr>
          <w:rStyle w:val="tvhtml1"/>
          <w:sz w:val="25"/>
          <w:szCs w:val="25"/>
        </w:rPr>
        <w:t>1</w:t>
      </w:r>
      <w:r w:rsidR="00820B54" w:rsidRPr="00474B29">
        <w:rPr>
          <w:rStyle w:val="tvhtml1"/>
          <w:sz w:val="25"/>
          <w:szCs w:val="25"/>
        </w:rPr>
        <w:t>1</w:t>
      </w:r>
      <w:r w:rsidRPr="00474B29">
        <w:rPr>
          <w:rStyle w:val="tvhtml1"/>
          <w:sz w:val="25"/>
          <w:szCs w:val="25"/>
        </w:rPr>
        <w:t xml:space="preserve">. Elektroenerģija, gāzes apgāde, siltumapgāde un gaisa kondicionēšana, kā arī elektroenerģijas, tvaiku, biodegvielas vai biogāzes iegūšana no atkritumiem. Elektroenerģijas un gāzes ražošanas, sadales un infrastruktūras nozare atbilstoši Komisijas regulas Nr.  </w:t>
      </w:r>
      <w:hyperlink r:id="rId12" w:tgtFrame="_blank" w:history="1">
        <w:r w:rsidRPr="00474B29">
          <w:rPr>
            <w:rStyle w:val="Hyperlink"/>
            <w:sz w:val="25"/>
            <w:szCs w:val="25"/>
          </w:rPr>
          <w:t>651/2014</w:t>
        </w:r>
      </w:hyperlink>
      <w:r w:rsidRPr="00474B29">
        <w:rPr>
          <w:rStyle w:val="tvhtml1"/>
          <w:sz w:val="25"/>
          <w:szCs w:val="25"/>
        </w:rPr>
        <w:t xml:space="preserve"> 2. panta 130. punktā un 13. panta "a" un "c" ("</w:t>
      </w:r>
      <w:proofErr w:type="spellStart"/>
      <w:r w:rsidRPr="00474B29">
        <w:rPr>
          <w:rStyle w:val="tvhtml1"/>
          <w:sz w:val="25"/>
          <w:szCs w:val="25"/>
        </w:rPr>
        <w:t>ii</w:t>
      </w:r>
      <w:proofErr w:type="spellEnd"/>
      <w:r w:rsidRPr="00474B29">
        <w:rPr>
          <w:rStyle w:val="tvhtml1"/>
          <w:sz w:val="25"/>
          <w:szCs w:val="25"/>
        </w:rPr>
        <w:t>") apakšpunktā noteiktajām definīcijām. Siltumapgādei un gaisa kondicionēšanai ierobežojumu nosaka saskaņā ar NACE 2. </w:t>
      </w:r>
      <w:proofErr w:type="spellStart"/>
      <w:r w:rsidRPr="00474B29">
        <w:rPr>
          <w:rStyle w:val="tvhtml1"/>
          <w:sz w:val="25"/>
          <w:szCs w:val="25"/>
        </w:rPr>
        <w:t>red</w:t>
      </w:r>
      <w:proofErr w:type="spellEnd"/>
      <w:r w:rsidRPr="00474B29">
        <w:rPr>
          <w:rStyle w:val="tvhtml1"/>
          <w:sz w:val="25"/>
          <w:szCs w:val="25"/>
        </w:rPr>
        <w:t>. saimniecisko darbību statistiskās klasifikācijas kodu grupā 35.3. "Tvaika piegāde un gaisa kondicionēšana"</w:t>
      </w:r>
      <w:r w:rsidR="00924014" w:rsidRPr="00474B29">
        <w:rPr>
          <w:rStyle w:val="tvhtml1"/>
          <w:sz w:val="25"/>
          <w:szCs w:val="25"/>
        </w:rPr>
        <w:t xml:space="preserve"> </w:t>
      </w:r>
      <w:r w:rsidRPr="00474B29">
        <w:rPr>
          <w:rStyle w:val="tvhtml1"/>
          <w:sz w:val="25"/>
          <w:szCs w:val="25"/>
        </w:rPr>
        <w:t>un tvaiku, biodegvielas vai biogāzes iegūšana no atkritumiem, kas ietilpst NACE 2. </w:t>
      </w:r>
      <w:proofErr w:type="spellStart"/>
      <w:r w:rsidRPr="00474B29">
        <w:rPr>
          <w:rStyle w:val="tvhtml1"/>
          <w:sz w:val="25"/>
          <w:szCs w:val="25"/>
        </w:rPr>
        <w:t>red</w:t>
      </w:r>
      <w:proofErr w:type="spellEnd"/>
      <w:r w:rsidRPr="00474B29">
        <w:rPr>
          <w:rStyle w:val="tvhtml1"/>
          <w:sz w:val="25"/>
          <w:szCs w:val="25"/>
        </w:rPr>
        <w:t>. saimniecisko darbību statistiskās klasifikācijas kodu klasē 38.21 "Atkritumu apstrāde un izvietošana (izņemot bīstamos atkritumus)".</w:t>
      </w:r>
    </w:p>
    <w:p w:rsidR="00DE556C" w:rsidRPr="00474B29" w:rsidRDefault="00DE556C" w:rsidP="00DE556C">
      <w:pPr>
        <w:pStyle w:val="tvhtml"/>
        <w:jc w:val="both"/>
        <w:rPr>
          <w:sz w:val="25"/>
          <w:szCs w:val="25"/>
        </w:rPr>
      </w:pPr>
      <w:r w:rsidRPr="00474B29">
        <w:rPr>
          <w:rStyle w:val="tvhtml1"/>
          <w:sz w:val="25"/>
          <w:szCs w:val="25"/>
        </w:rPr>
        <w:t>1</w:t>
      </w:r>
      <w:r w:rsidR="00820B54" w:rsidRPr="00474B29">
        <w:rPr>
          <w:rStyle w:val="tvhtml1"/>
          <w:sz w:val="25"/>
          <w:szCs w:val="25"/>
        </w:rPr>
        <w:t>2</w:t>
      </w:r>
      <w:r w:rsidRPr="00474B29">
        <w:rPr>
          <w:rStyle w:val="tvhtml1"/>
          <w:sz w:val="25"/>
          <w:szCs w:val="25"/>
        </w:rPr>
        <w:t xml:space="preserve">. Transporta nozare. Atbilstoši Komisijas regulas </w:t>
      </w:r>
      <w:hyperlink r:id="rId13" w:tgtFrame="_blank" w:history="1">
        <w:r w:rsidRPr="00474B29">
          <w:rPr>
            <w:rStyle w:val="Hyperlink"/>
            <w:sz w:val="25"/>
            <w:szCs w:val="25"/>
          </w:rPr>
          <w:t>651/2014</w:t>
        </w:r>
      </w:hyperlink>
      <w:r w:rsidRPr="00474B29">
        <w:rPr>
          <w:rStyle w:val="tvhtml1"/>
          <w:sz w:val="25"/>
          <w:szCs w:val="25"/>
        </w:rPr>
        <w:t xml:space="preserve"> 2. panta 45. punktā un 13. panta "a" apakšpunktā noteiktajām definīcijām.</w:t>
      </w:r>
    </w:p>
    <w:p w:rsidR="006C6C78" w:rsidRPr="00DE556C" w:rsidRDefault="006C6C78" w:rsidP="00D26F65">
      <w:pPr>
        <w:pStyle w:val="naisf"/>
        <w:spacing w:before="75"/>
        <w:rPr>
          <w:sz w:val="25"/>
          <w:szCs w:val="25"/>
          <w:highlight w:val="yellow"/>
        </w:rPr>
      </w:pPr>
    </w:p>
    <w:p w:rsidR="006C6C78" w:rsidRPr="00DE556C" w:rsidRDefault="006C6C78" w:rsidP="00C4489F">
      <w:pPr>
        <w:pStyle w:val="naisf"/>
        <w:spacing w:before="75"/>
        <w:rPr>
          <w:color w:val="000000" w:themeColor="text1"/>
          <w:sz w:val="25"/>
          <w:szCs w:val="25"/>
        </w:rPr>
      </w:pPr>
    </w:p>
    <w:p w:rsidR="00F045EB" w:rsidRPr="003D2B46" w:rsidRDefault="006D1ADA" w:rsidP="00F045EB">
      <w:pPr>
        <w:pStyle w:val="Signature"/>
        <w:tabs>
          <w:tab w:val="left" w:pos="6663"/>
          <w:tab w:val="left" w:pos="7655"/>
        </w:tabs>
        <w:spacing w:before="0"/>
        <w:ind w:firstLine="0"/>
        <w:rPr>
          <w:sz w:val="25"/>
          <w:szCs w:val="25"/>
          <w:lang w:val="lv-LV"/>
        </w:rPr>
      </w:pPr>
      <w:r w:rsidRPr="00DE556C">
        <w:rPr>
          <w:sz w:val="25"/>
          <w:szCs w:val="25"/>
          <w:lang w:val="lv-LV"/>
        </w:rPr>
        <w:t>Ekonomikas ministre</w:t>
      </w:r>
      <w:r w:rsidR="00F045EB" w:rsidRPr="00DE556C">
        <w:rPr>
          <w:sz w:val="25"/>
          <w:szCs w:val="25"/>
          <w:lang w:val="lv-LV"/>
        </w:rPr>
        <w:t xml:space="preserve">                                                                    </w:t>
      </w:r>
      <w:proofErr w:type="spellStart"/>
      <w:r w:rsidRPr="00DE556C">
        <w:rPr>
          <w:sz w:val="25"/>
          <w:szCs w:val="25"/>
          <w:lang w:val="lv-LV"/>
        </w:rPr>
        <w:t>D.Reizniece</w:t>
      </w:r>
      <w:r w:rsidRPr="003D2B46">
        <w:rPr>
          <w:sz w:val="25"/>
          <w:szCs w:val="25"/>
          <w:lang w:val="lv-LV"/>
        </w:rPr>
        <w:t>-Ozola</w:t>
      </w:r>
      <w:proofErr w:type="spellEnd"/>
    </w:p>
    <w:p w:rsidR="00F045EB" w:rsidRPr="003D2B46" w:rsidRDefault="00F045EB" w:rsidP="00F045EB">
      <w:pPr>
        <w:pStyle w:val="naisf"/>
        <w:spacing w:before="0" w:after="0"/>
        <w:rPr>
          <w:sz w:val="25"/>
          <w:szCs w:val="25"/>
        </w:rPr>
      </w:pPr>
    </w:p>
    <w:p w:rsidR="00F045EB" w:rsidRPr="003D2B46" w:rsidRDefault="00F045EB" w:rsidP="00F045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  <w:lang w:bidi="lo-LA"/>
        </w:rPr>
      </w:pPr>
    </w:p>
    <w:p w:rsidR="00F045EB" w:rsidRPr="003D2B46" w:rsidRDefault="00F045EB" w:rsidP="00F045E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  <w:lang w:bidi="lo-LA"/>
        </w:rPr>
      </w:pPr>
      <w:r w:rsidRPr="003D2B46">
        <w:rPr>
          <w:rFonts w:ascii="Times New Roman" w:hAnsi="Times New Roman"/>
          <w:sz w:val="25"/>
          <w:szCs w:val="25"/>
          <w:lang w:bidi="lo-LA"/>
        </w:rPr>
        <w:t>Iesniedzējs:</w:t>
      </w:r>
    </w:p>
    <w:p w:rsidR="006D1ADA" w:rsidRPr="003D2B46" w:rsidRDefault="006D1ADA" w:rsidP="006D1ADA">
      <w:pPr>
        <w:pStyle w:val="Signature"/>
        <w:tabs>
          <w:tab w:val="left" w:pos="6663"/>
          <w:tab w:val="left" w:pos="7655"/>
        </w:tabs>
        <w:spacing w:before="0"/>
        <w:ind w:firstLine="0"/>
        <w:rPr>
          <w:sz w:val="25"/>
          <w:szCs w:val="25"/>
          <w:lang w:val="lv-LV"/>
        </w:rPr>
      </w:pPr>
      <w:r w:rsidRPr="003D2B46">
        <w:rPr>
          <w:sz w:val="25"/>
          <w:szCs w:val="25"/>
          <w:lang w:val="lv-LV"/>
        </w:rPr>
        <w:t xml:space="preserve">Ekonomikas ministre                                                                    </w:t>
      </w:r>
      <w:proofErr w:type="spellStart"/>
      <w:r w:rsidRPr="003D2B46">
        <w:rPr>
          <w:sz w:val="25"/>
          <w:szCs w:val="25"/>
          <w:lang w:val="lv-LV"/>
        </w:rPr>
        <w:t>D.Reizniece-Ozola</w:t>
      </w:r>
      <w:proofErr w:type="spellEnd"/>
    </w:p>
    <w:p w:rsidR="00F045EB" w:rsidRPr="003D2B46" w:rsidRDefault="00F045EB" w:rsidP="00F045EB">
      <w:pPr>
        <w:pStyle w:val="EnvelopeReturn"/>
        <w:spacing w:before="0"/>
        <w:rPr>
          <w:sz w:val="25"/>
          <w:szCs w:val="25"/>
          <w:lang w:val="lv-LV"/>
        </w:rPr>
      </w:pPr>
    </w:p>
    <w:p w:rsidR="00F045EB" w:rsidRPr="003D2B46" w:rsidRDefault="00F045EB" w:rsidP="00F045EB">
      <w:pPr>
        <w:pStyle w:val="EnvelopeReturn"/>
        <w:tabs>
          <w:tab w:val="left" w:pos="8222"/>
        </w:tabs>
        <w:spacing w:before="0"/>
        <w:rPr>
          <w:sz w:val="25"/>
          <w:szCs w:val="25"/>
          <w:lang w:val="lv-LV"/>
        </w:rPr>
      </w:pPr>
    </w:p>
    <w:p w:rsidR="006D1ADA" w:rsidRPr="003D2B46" w:rsidRDefault="006D1ADA" w:rsidP="00F045EB">
      <w:pPr>
        <w:pStyle w:val="EnvelopeReturn"/>
        <w:tabs>
          <w:tab w:val="left" w:pos="8222"/>
        </w:tabs>
        <w:spacing w:before="0"/>
        <w:rPr>
          <w:sz w:val="25"/>
          <w:szCs w:val="25"/>
          <w:lang w:val="lv-LV"/>
        </w:rPr>
      </w:pPr>
      <w:r w:rsidRPr="003D2B46">
        <w:rPr>
          <w:sz w:val="25"/>
          <w:szCs w:val="25"/>
          <w:lang w:val="lv-LV"/>
        </w:rPr>
        <w:t>Vīza: Valsts sekretāra pienākumu izpildītājs,</w:t>
      </w:r>
    </w:p>
    <w:p w:rsidR="00F045EB" w:rsidRPr="003D2B46" w:rsidRDefault="006D1ADA" w:rsidP="00F045EB">
      <w:pPr>
        <w:pStyle w:val="EnvelopeReturn"/>
        <w:tabs>
          <w:tab w:val="left" w:pos="8222"/>
        </w:tabs>
        <w:spacing w:before="0"/>
        <w:rPr>
          <w:sz w:val="25"/>
          <w:szCs w:val="25"/>
          <w:lang w:val="lv-LV"/>
        </w:rPr>
      </w:pPr>
      <w:r w:rsidRPr="003D2B46">
        <w:rPr>
          <w:sz w:val="25"/>
          <w:szCs w:val="25"/>
          <w:lang w:val="lv-LV"/>
        </w:rPr>
        <w:t>valsts sekretāra vietnieks</w:t>
      </w:r>
      <w:r w:rsidR="00F045EB" w:rsidRPr="003D2B46">
        <w:rPr>
          <w:sz w:val="25"/>
          <w:szCs w:val="25"/>
          <w:lang w:val="lv-LV"/>
        </w:rPr>
        <w:t xml:space="preserve">                                                                       </w:t>
      </w:r>
      <w:r w:rsidRPr="003D2B46">
        <w:rPr>
          <w:sz w:val="25"/>
          <w:szCs w:val="25"/>
          <w:lang w:val="lv-LV"/>
        </w:rPr>
        <w:t>J.Spiridonovs</w:t>
      </w:r>
      <w:r w:rsidR="00F045EB" w:rsidRPr="003D2B46">
        <w:rPr>
          <w:sz w:val="25"/>
          <w:szCs w:val="25"/>
          <w:lang w:val="lv-LV"/>
        </w:rPr>
        <w:t xml:space="preserve"> </w:t>
      </w:r>
    </w:p>
    <w:p w:rsidR="006C6C78" w:rsidRPr="003D2B46" w:rsidRDefault="006C6C78" w:rsidP="006C6C78">
      <w:pPr>
        <w:pStyle w:val="naislab"/>
        <w:spacing w:before="0" w:after="0"/>
        <w:jc w:val="left"/>
        <w:rPr>
          <w:sz w:val="20"/>
          <w:szCs w:val="20"/>
        </w:rPr>
      </w:pPr>
    </w:p>
    <w:p w:rsidR="006C6C78" w:rsidRPr="003D2B46" w:rsidRDefault="006C6C78" w:rsidP="006C6C78">
      <w:pPr>
        <w:pStyle w:val="naislab"/>
        <w:spacing w:before="0" w:after="0"/>
        <w:jc w:val="left"/>
        <w:rPr>
          <w:sz w:val="20"/>
          <w:szCs w:val="20"/>
        </w:rPr>
      </w:pPr>
    </w:p>
    <w:p w:rsidR="006C6C78" w:rsidRPr="003D2B46" w:rsidRDefault="006C6C78" w:rsidP="006C6C78">
      <w:pPr>
        <w:pStyle w:val="naislab"/>
        <w:spacing w:before="0" w:after="0"/>
        <w:jc w:val="left"/>
        <w:rPr>
          <w:sz w:val="20"/>
          <w:szCs w:val="20"/>
        </w:rPr>
      </w:pPr>
    </w:p>
    <w:p w:rsidR="006C6C78" w:rsidRPr="003D2B46" w:rsidRDefault="006C6C78" w:rsidP="006C6C78">
      <w:pPr>
        <w:pStyle w:val="naislab"/>
        <w:spacing w:before="0" w:after="0"/>
        <w:jc w:val="left"/>
        <w:rPr>
          <w:sz w:val="20"/>
          <w:szCs w:val="20"/>
        </w:rPr>
      </w:pPr>
    </w:p>
    <w:p w:rsidR="006C6C78" w:rsidRPr="003D2B46" w:rsidRDefault="006C6C78" w:rsidP="006C6C78">
      <w:pPr>
        <w:pStyle w:val="naislab"/>
        <w:spacing w:before="0" w:after="0"/>
        <w:jc w:val="left"/>
        <w:rPr>
          <w:sz w:val="20"/>
          <w:szCs w:val="20"/>
        </w:rPr>
      </w:pPr>
    </w:p>
    <w:p w:rsidR="006C6C78" w:rsidRPr="003D2B46" w:rsidRDefault="006C6C78" w:rsidP="006C6C78">
      <w:pPr>
        <w:pStyle w:val="naislab"/>
        <w:spacing w:before="0" w:after="0"/>
        <w:jc w:val="left"/>
        <w:rPr>
          <w:sz w:val="20"/>
          <w:szCs w:val="20"/>
        </w:rPr>
      </w:pPr>
    </w:p>
    <w:p w:rsidR="006C6C78" w:rsidRPr="003D2B46" w:rsidRDefault="00DC6B0E" w:rsidP="006C6C78">
      <w:pPr>
        <w:pStyle w:val="naislab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27.04.2015 14:18</w:t>
      </w:r>
      <w:bookmarkStart w:id="0" w:name="_GoBack"/>
      <w:bookmarkEnd w:id="0"/>
    </w:p>
    <w:p w:rsidR="006C6C78" w:rsidRPr="003D2B46" w:rsidRDefault="00A67A7A" w:rsidP="006C6C78">
      <w:pPr>
        <w:pStyle w:val="naislab"/>
        <w:spacing w:before="0" w:after="0"/>
        <w:jc w:val="left"/>
        <w:rPr>
          <w:sz w:val="20"/>
          <w:szCs w:val="20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DC6B0E" w:rsidRPr="00DC6B0E">
        <w:rPr>
          <w:noProof/>
          <w:sz w:val="20"/>
          <w:szCs w:val="20"/>
        </w:rPr>
        <w:t>397</w:t>
      </w:r>
      <w:r>
        <w:rPr>
          <w:noProof/>
          <w:sz w:val="20"/>
          <w:szCs w:val="20"/>
        </w:rPr>
        <w:fldChar w:fldCharType="end"/>
      </w:r>
    </w:p>
    <w:p w:rsidR="006C6C78" w:rsidRPr="003D2B46" w:rsidRDefault="00412E7D" w:rsidP="006C6C78">
      <w:pPr>
        <w:pStyle w:val="naislab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Armands Blumbergs</w:t>
      </w:r>
    </w:p>
    <w:p w:rsidR="006C6C78" w:rsidRPr="006C6C78" w:rsidRDefault="00A67A7A" w:rsidP="006C6C78">
      <w:pPr>
        <w:pStyle w:val="naislab"/>
        <w:spacing w:before="0" w:after="0"/>
        <w:jc w:val="left"/>
        <w:rPr>
          <w:sz w:val="20"/>
          <w:szCs w:val="20"/>
        </w:rPr>
      </w:pPr>
      <w:hyperlink r:id="rId14" w:history="1">
        <w:r w:rsidR="00412E7D" w:rsidRPr="00952612">
          <w:rPr>
            <w:rStyle w:val="Hyperlink"/>
            <w:sz w:val="20"/>
            <w:szCs w:val="20"/>
          </w:rPr>
          <w:t>Armands.Blumbergs@em.gov.lv</w:t>
        </w:r>
      </w:hyperlink>
      <w:r w:rsidR="006C6C78" w:rsidRPr="003D2B46">
        <w:rPr>
          <w:sz w:val="20"/>
          <w:szCs w:val="20"/>
        </w:rPr>
        <w:t>, 67013</w:t>
      </w:r>
      <w:r w:rsidR="0057528A" w:rsidRPr="003D2B46">
        <w:rPr>
          <w:sz w:val="20"/>
          <w:szCs w:val="20"/>
        </w:rPr>
        <w:t>2</w:t>
      </w:r>
      <w:r w:rsidR="00412E7D">
        <w:rPr>
          <w:sz w:val="20"/>
          <w:szCs w:val="20"/>
        </w:rPr>
        <w:t>97</w:t>
      </w:r>
      <w:r w:rsidR="006C6C78" w:rsidRPr="006C6C78">
        <w:rPr>
          <w:sz w:val="20"/>
          <w:szCs w:val="20"/>
        </w:rPr>
        <w:t xml:space="preserve"> </w:t>
      </w:r>
    </w:p>
    <w:sectPr w:rsidR="006C6C78" w:rsidRPr="006C6C78" w:rsidSect="00F153E0">
      <w:headerReference w:type="default" r:id="rId15"/>
      <w:footerReference w:type="default" r:id="rId16"/>
      <w:footerReference w:type="first" r:id="rId1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7A" w:rsidRDefault="00A67A7A" w:rsidP="007A42C7">
      <w:pPr>
        <w:spacing w:after="0" w:line="240" w:lineRule="auto"/>
      </w:pPr>
      <w:r>
        <w:separator/>
      </w:r>
    </w:p>
  </w:endnote>
  <w:endnote w:type="continuationSeparator" w:id="0">
    <w:p w:rsidR="00A67A7A" w:rsidRDefault="00A67A7A" w:rsidP="007A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C7" w:rsidRPr="007A42C7" w:rsidRDefault="008C4801" w:rsidP="00F52EF1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DC6B0E">
      <w:rPr>
        <w:rFonts w:ascii="Times New Roman" w:hAnsi="Times New Roman" w:cs="Times New Roman"/>
        <w:noProof/>
        <w:sz w:val="20"/>
        <w:szCs w:val="20"/>
      </w:rPr>
      <w:t>EMnotp1_27042015_1214SAM</w:t>
    </w:r>
    <w:r>
      <w:rPr>
        <w:rFonts w:ascii="Times New Roman" w:hAnsi="Times New Roman" w:cs="Times New Roman"/>
        <w:sz w:val="20"/>
        <w:szCs w:val="20"/>
      </w:rPr>
      <w:fldChar w:fldCharType="end"/>
    </w:r>
    <w:r w:rsidR="007A42C7" w:rsidRPr="007A42C7">
      <w:rPr>
        <w:rFonts w:ascii="Times New Roman" w:hAnsi="Times New Roman" w:cs="Times New Roman"/>
        <w:sz w:val="20"/>
        <w:szCs w:val="20"/>
      </w:rPr>
      <w:t xml:space="preserve">; </w:t>
    </w:r>
    <w:r w:rsidRPr="008C4801">
      <w:rPr>
        <w:rFonts w:ascii="Times New Roman" w:hAnsi="Times New Roman" w:cs="Times New Roman"/>
        <w:sz w:val="20"/>
        <w:szCs w:val="20"/>
      </w:rPr>
      <w:t>Darbības programmas „Izaugsme un nodarbinātība” 1.2.1.specifiskā atbalsta mērķa „Palielināt privātā sektora investīcijas P&amp;A” 1.2.1.4.pasākuma „Atbalsts jaunu produktu ieviešanai ražošanā” īstenošanas noteikumi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4B" w:rsidRDefault="008C4801" w:rsidP="00A1384B">
    <w:pPr>
      <w:pStyle w:val="Footer"/>
      <w:jc w:val="both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DC6B0E">
      <w:rPr>
        <w:rFonts w:ascii="Times New Roman" w:hAnsi="Times New Roman" w:cs="Times New Roman"/>
        <w:noProof/>
        <w:sz w:val="20"/>
        <w:szCs w:val="20"/>
      </w:rPr>
      <w:t>EMnotp1_27042015_1214SAM</w:t>
    </w:r>
    <w:r>
      <w:rPr>
        <w:rFonts w:ascii="Times New Roman" w:hAnsi="Times New Roman" w:cs="Times New Roman"/>
        <w:sz w:val="20"/>
        <w:szCs w:val="20"/>
      </w:rPr>
      <w:fldChar w:fldCharType="end"/>
    </w:r>
    <w:r w:rsidR="00A1384B" w:rsidRPr="007A42C7">
      <w:rPr>
        <w:rFonts w:ascii="Times New Roman" w:hAnsi="Times New Roman" w:cs="Times New Roman"/>
        <w:sz w:val="20"/>
        <w:szCs w:val="20"/>
      </w:rPr>
      <w:t xml:space="preserve">; </w:t>
    </w:r>
    <w:r w:rsidRPr="008C4801">
      <w:rPr>
        <w:rFonts w:ascii="Times New Roman" w:hAnsi="Times New Roman" w:cs="Times New Roman"/>
        <w:sz w:val="20"/>
        <w:szCs w:val="20"/>
      </w:rPr>
      <w:t>Darbības programmas „Izaugsme un nodarbinātība” 1.2.1.specifiskā atbalsta mērķa „Palielināt privātā sektora investīcijas P&amp;A” 1.2.1.4.pasākuma „Atbalsts jaunu produktu ieviešanai ražošanā” īstenošanas noteikumi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7A" w:rsidRDefault="00A67A7A" w:rsidP="007A42C7">
      <w:pPr>
        <w:spacing w:after="0" w:line="240" w:lineRule="auto"/>
      </w:pPr>
      <w:r>
        <w:separator/>
      </w:r>
    </w:p>
  </w:footnote>
  <w:footnote w:type="continuationSeparator" w:id="0">
    <w:p w:rsidR="00A67A7A" w:rsidRDefault="00A67A7A" w:rsidP="007A4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17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153E0" w:rsidRPr="00F153E0" w:rsidRDefault="004014E6">
        <w:pPr>
          <w:pStyle w:val="Header"/>
          <w:jc w:val="center"/>
          <w:rPr>
            <w:rFonts w:ascii="Times New Roman" w:hAnsi="Times New Roman" w:cs="Times New Roman"/>
          </w:rPr>
        </w:pPr>
        <w:r w:rsidRPr="00F153E0">
          <w:rPr>
            <w:rFonts w:ascii="Times New Roman" w:hAnsi="Times New Roman" w:cs="Times New Roman"/>
          </w:rPr>
          <w:fldChar w:fldCharType="begin"/>
        </w:r>
        <w:r w:rsidR="00F153E0" w:rsidRPr="00F153E0">
          <w:rPr>
            <w:rFonts w:ascii="Times New Roman" w:hAnsi="Times New Roman" w:cs="Times New Roman"/>
          </w:rPr>
          <w:instrText xml:space="preserve"> PAGE   \* MERGEFORMAT </w:instrText>
        </w:r>
        <w:r w:rsidRPr="00F153E0">
          <w:rPr>
            <w:rFonts w:ascii="Times New Roman" w:hAnsi="Times New Roman" w:cs="Times New Roman"/>
          </w:rPr>
          <w:fldChar w:fldCharType="separate"/>
        </w:r>
        <w:r w:rsidR="00DC6B0E">
          <w:rPr>
            <w:rFonts w:ascii="Times New Roman" w:hAnsi="Times New Roman" w:cs="Times New Roman"/>
            <w:noProof/>
          </w:rPr>
          <w:t>2</w:t>
        </w:r>
        <w:r w:rsidRPr="00F153E0">
          <w:rPr>
            <w:rFonts w:ascii="Times New Roman" w:hAnsi="Times New Roman" w:cs="Times New Roman"/>
          </w:rPr>
          <w:fldChar w:fldCharType="end"/>
        </w:r>
      </w:p>
    </w:sdtContent>
  </w:sdt>
  <w:p w:rsidR="00F153E0" w:rsidRDefault="00F153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89F"/>
    <w:rsid w:val="00042CC1"/>
    <w:rsid w:val="0005188D"/>
    <w:rsid w:val="00053596"/>
    <w:rsid w:val="00074AF5"/>
    <w:rsid w:val="00086D6D"/>
    <w:rsid w:val="00103DE8"/>
    <w:rsid w:val="0013022D"/>
    <w:rsid w:val="00136965"/>
    <w:rsid w:val="001376E8"/>
    <w:rsid w:val="00145114"/>
    <w:rsid w:val="0015342A"/>
    <w:rsid w:val="001A713A"/>
    <w:rsid w:val="001E0737"/>
    <w:rsid w:val="001F0C67"/>
    <w:rsid w:val="00231556"/>
    <w:rsid w:val="00234A09"/>
    <w:rsid w:val="00285C46"/>
    <w:rsid w:val="002A0654"/>
    <w:rsid w:val="00306034"/>
    <w:rsid w:val="00323536"/>
    <w:rsid w:val="00386B8C"/>
    <w:rsid w:val="00392AB6"/>
    <w:rsid w:val="003D2B46"/>
    <w:rsid w:val="003E39E5"/>
    <w:rsid w:val="003E50DA"/>
    <w:rsid w:val="004014E6"/>
    <w:rsid w:val="00412E7D"/>
    <w:rsid w:val="00442355"/>
    <w:rsid w:val="00446C8D"/>
    <w:rsid w:val="00456AB8"/>
    <w:rsid w:val="00474B29"/>
    <w:rsid w:val="004804E8"/>
    <w:rsid w:val="0048311F"/>
    <w:rsid w:val="00490B7E"/>
    <w:rsid w:val="004B1191"/>
    <w:rsid w:val="004D65E2"/>
    <w:rsid w:val="004E2B0D"/>
    <w:rsid w:val="00507419"/>
    <w:rsid w:val="00507945"/>
    <w:rsid w:val="00510533"/>
    <w:rsid w:val="00541A36"/>
    <w:rsid w:val="00542026"/>
    <w:rsid w:val="00553007"/>
    <w:rsid w:val="0057528A"/>
    <w:rsid w:val="005A0A5B"/>
    <w:rsid w:val="005C04A4"/>
    <w:rsid w:val="005C13D4"/>
    <w:rsid w:val="005F52FF"/>
    <w:rsid w:val="005F7B91"/>
    <w:rsid w:val="006060CB"/>
    <w:rsid w:val="0062061F"/>
    <w:rsid w:val="0063381B"/>
    <w:rsid w:val="00636462"/>
    <w:rsid w:val="006505E5"/>
    <w:rsid w:val="006563BE"/>
    <w:rsid w:val="00660766"/>
    <w:rsid w:val="006660DE"/>
    <w:rsid w:val="00676FE6"/>
    <w:rsid w:val="006778B0"/>
    <w:rsid w:val="006937BD"/>
    <w:rsid w:val="006A2CD1"/>
    <w:rsid w:val="006C0714"/>
    <w:rsid w:val="006C29D6"/>
    <w:rsid w:val="006C6C78"/>
    <w:rsid w:val="006C6DA9"/>
    <w:rsid w:val="006C6E43"/>
    <w:rsid w:val="006D1ADA"/>
    <w:rsid w:val="006D308E"/>
    <w:rsid w:val="007334ED"/>
    <w:rsid w:val="0076392F"/>
    <w:rsid w:val="00765D15"/>
    <w:rsid w:val="00770B4C"/>
    <w:rsid w:val="007A42C7"/>
    <w:rsid w:val="007C0BB0"/>
    <w:rsid w:val="008061DE"/>
    <w:rsid w:val="008204A6"/>
    <w:rsid w:val="00820B54"/>
    <w:rsid w:val="0084150C"/>
    <w:rsid w:val="00863F91"/>
    <w:rsid w:val="00880BA4"/>
    <w:rsid w:val="008B3E34"/>
    <w:rsid w:val="008C4801"/>
    <w:rsid w:val="008D373C"/>
    <w:rsid w:val="008E25F8"/>
    <w:rsid w:val="00924014"/>
    <w:rsid w:val="00936BB1"/>
    <w:rsid w:val="0094234E"/>
    <w:rsid w:val="00955766"/>
    <w:rsid w:val="009B6F4F"/>
    <w:rsid w:val="009E392C"/>
    <w:rsid w:val="00A0089D"/>
    <w:rsid w:val="00A1384B"/>
    <w:rsid w:val="00A35400"/>
    <w:rsid w:val="00A605BA"/>
    <w:rsid w:val="00A67A7A"/>
    <w:rsid w:val="00A72B00"/>
    <w:rsid w:val="00A73BA2"/>
    <w:rsid w:val="00A8517F"/>
    <w:rsid w:val="00AF0F97"/>
    <w:rsid w:val="00B460D3"/>
    <w:rsid w:val="00BB00F7"/>
    <w:rsid w:val="00BB15CE"/>
    <w:rsid w:val="00BF54BC"/>
    <w:rsid w:val="00BF5975"/>
    <w:rsid w:val="00C019A5"/>
    <w:rsid w:val="00C21E2D"/>
    <w:rsid w:val="00C2520A"/>
    <w:rsid w:val="00C355D6"/>
    <w:rsid w:val="00C4489F"/>
    <w:rsid w:val="00C53992"/>
    <w:rsid w:val="00C870E4"/>
    <w:rsid w:val="00CA7F36"/>
    <w:rsid w:val="00CB166E"/>
    <w:rsid w:val="00CE1E68"/>
    <w:rsid w:val="00D01B41"/>
    <w:rsid w:val="00D26F65"/>
    <w:rsid w:val="00D4296B"/>
    <w:rsid w:val="00D57BC1"/>
    <w:rsid w:val="00D87A0A"/>
    <w:rsid w:val="00DB1BAB"/>
    <w:rsid w:val="00DC6B0E"/>
    <w:rsid w:val="00DE3DD4"/>
    <w:rsid w:val="00DE556C"/>
    <w:rsid w:val="00E467BE"/>
    <w:rsid w:val="00EB642A"/>
    <w:rsid w:val="00F045EB"/>
    <w:rsid w:val="00F15088"/>
    <w:rsid w:val="00F153E0"/>
    <w:rsid w:val="00F17943"/>
    <w:rsid w:val="00F32AD0"/>
    <w:rsid w:val="00F33BC4"/>
    <w:rsid w:val="00F46AD9"/>
    <w:rsid w:val="00F52EF1"/>
    <w:rsid w:val="00F85540"/>
    <w:rsid w:val="00FD4C09"/>
    <w:rsid w:val="00F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ED"/>
  </w:style>
  <w:style w:type="paragraph" w:styleId="Heading1">
    <w:name w:val="heading 1"/>
    <w:basedOn w:val="Normal"/>
    <w:next w:val="Normal"/>
    <w:link w:val="Heading1Char"/>
    <w:qFormat/>
    <w:rsid w:val="000518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6C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C4489F"/>
    <w:pPr>
      <w:spacing w:before="22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C4489F"/>
    <w:pPr>
      <w:spacing w:before="225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C4489F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C4489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5188D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customStyle="1" w:styleId="naisc">
    <w:name w:val="naisc"/>
    <w:basedOn w:val="Normal"/>
    <w:rsid w:val="00F46AD9"/>
    <w:pPr>
      <w:spacing w:before="68" w:after="6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F46AD9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semiHidden/>
    <w:rsid w:val="00F46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semiHidden/>
    <w:rsid w:val="00F46AD9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Strong">
    <w:name w:val="Strong"/>
    <w:basedOn w:val="DefaultParagraphFont"/>
    <w:qFormat/>
    <w:rsid w:val="00F46AD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A42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C7"/>
  </w:style>
  <w:style w:type="paragraph" w:styleId="Footer">
    <w:name w:val="footer"/>
    <w:basedOn w:val="Normal"/>
    <w:link w:val="FooterChar"/>
    <w:uiPriority w:val="99"/>
    <w:unhideWhenUsed/>
    <w:rsid w:val="007A42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C7"/>
  </w:style>
  <w:style w:type="character" w:customStyle="1" w:styleId="Heading3Char">
    <w:name w:val="Heading 3 Char"/>
    <w:basedOn w:val="DefaultParagraphFont"/>
    <w:link w:val="Heading3"/>
    <w:uiPriority w:val="9"/>
    <w:semiHidden/>
    <w:rsid w:val="006C6C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F5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2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FF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semiHidden/>
    <w:unhideWhenUsed/>
    <w:rsid w:val="00F045EB"/>
    <w:pPr>
      <w:keepLines/>
      <w:widowControl w:val="0"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Signature">
    <w:name w:val="Signature"/>
    <w:basedOn w:val="Normal"/>
    <w:next w:val="EnvelopeReturn"/>
    <w:link w:val="SignatureChar"/>
    <w:unhideWhenUsed/>
    <w:rsid w:val="00F045EB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rsid w:val="00F045EB"/>
    <w:rPr>
      <w:rFonts w:ascii="Times New Roman" w:eastAsia="Times New Roman" w:hAnsi="Times New Roman" w:cs="Times New Roman"/>
      <w:sz w:val="26"/>
      <w:szCs w:val="20"/>
      <w:lang w:val="en-AU"/>
    </w:rPr>
  </w:style>
  <w:style w:type="paragraph" w:customStyle="1" w:styleId="tvhtml">
    <w:name w:val="tv_html"/>
    <w:basedOn w:val="Normal"/>
    <w:rsid w:val="00DE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DE556C"/>
  </w:style>
  <w:style w:type="character" w:styleId="FollowedHyperlink">
    <w:name w:val="FollowedHyperlink"/>
    <w:basedOn w:val="DefaultParagraphFont"/>
    <w:uiPriority w:val="99"/>
    <w:semiHidden/>
    <w:unhideWhenUsed/>
    <w:rsid w:val="009240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14/651?locale=LV" TargetMode="External"/><Relationship Id="rId13" Type="http://schemas.openxmlformats.org/officeDocument/2006/relationships/hyperlink" Target="http://eur-lex.europa.eu/eli/reg/2014/651?locale=L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reg/2014/651?locale=LV" TargetMode="External"/><Relationship Id="rId12" Type="http://schemas.openxmlformats.org/officeDocument/2006/relationships/hyperlink" Target="http://eur-lex.europa.eu/eli/reg/2014/651?locale=LV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ur-lex.europa.eu/eli/reg/2014/651?locale=LV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eur-lex.europa.eu/eli/reg/2014/651?locale=L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eli/reg/2014/651?locale=LV" TargetMode="External"/><Relationship Id="rId14" Type="http://schemas.openxmlformats.org/officeDocument/2006/relationships/hyperlink" Target="mailto:Armands.Blumbergs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500</Words>
  <Characters>3698</Characters>
  <Application>Microsoft Office Word</Application>
  <DocSecurity>0</DocSecurity>
  <Lines>92</Lines>
  <Paragraphs>41</Paragraphs>
  <ScaleCrop>false</ScaleCrop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darbības programmas „Uzņēmējdarbība un inovācijas” papildinājuma 2.1.2.4.aktivitātes „Augstas pievienotās vērtības investīcijas” projektu iesniegumu atlases otro un turpmākajām kārtām</dc:title>
  <dc:subject>3.pielikums</dc:subject>
  <dc:creator>Māris Krūmiņš</dc:creator>
  <dc:description>Maris.Krumins@em.gov.lv, 67013082</dc:description>
  <cp:lastModifiedBy>Armands Blumbergs</cp:lastModifiedBy>
  <cp:revision>51</cp:revision>
  <cp:lastPrinted>2011-08-08T10:18:00Z</cp:lastPrinted>
  <dcterms:created xsi:type="dcterms:W3CDTF">2011-08-05T06:21:00Z</dcterms:created>
  <dcterms:modified xsi:type="dcterms:W3CDTF">2015-04-27T11:18:00Z</dcterms:modified>
</cp:coreProperties>
</file>