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A" w:rsidRPr="006E1657" w:rsidRDefault="00CD135A" w:rsidP="00CD135A">
      <w:pPr>
        <w:jc w:val="center"/>
        <w:rPr>
          <w:rFonts w:cs="Times New Roman"/>
          <w:b/>
          <w:sz w:val="28"/>
          <w:szCs w:val="28"/>
          <w:lang w:eastAsia="lv-LV" w:bidi="ar-SA"/>
        </w:rPr>
      </w:pPr>
      <w:bookmarkStart w:id="0" w:name="468683"/>
      <w:bookmarkEnd w:id="0"/>
      <w:r w:rsidRPr="006E1657">
        <w:rPr>
          <w:rFonts w:cs="Times New Roman"/>
          <w:b/>
          <w:sz w:val="28"/>
          <w:szCs w:val="28"/>
          <w:lang w:eastAsia="lv-LV" w:bidi="ar-SA"/>
        </w:rPr>
        <w:t>Ministru kabineta noteikumu</w:t>
      </w:r>
      <w:r w:rsidRPr="006E1657">
        <w:rPr>
          <w:b/>
          <w:bCs/>
          <w:sz w:val="28"/>
          <w:szCs w:val="28"/>
        </w:rPr>
        <w:t xml:space="preserve"> projekta</w:t>
      </w:r>
    </w:p>
    <w:p w:rsidR="00226001" w:rsidRPr="006E1657" w:rsidRDefault="00CD135A" w:rsidP="00CD135A">
      <w:pPr>
        <w:jc w:val="center"/>
        <w:rPr>
          <w:rFonts w:cs="Times New Roman"/>
          <w:b/>
          <w:sz w:val="28"/>
          <w:szCs w:val="28"/>
          <w:lang w:eastAsia="lv-LV" w:bidi="ar-SA"/>
        </w:rPr>
      </w:pPr>
      <w:r w:rsidRPr="006E1657">
        <w:rPr>
          <w:rFonts w:cs="Times New Roman"/>
          <w:b/>
          <w:sz w:val="28"/>
          <w:szCs w:val="28"/>
          <w:lang w:eastAsia="lv-LV" w:bidi="ar-SA"/>
        </w:rPr>
        <w:t>„</w:t>
      </w:r>
      <w:r w:rsidR="00965EEB">
        <w:rPr>
          <w:rFonts w:cs="Times New Roman"/>
          <w:b/>
          <w:sz w:val="28"/>
          <w:szCs w:val="28"/>
          <w:lang w:eastAsia="lv-LV" w:bidi="ar-SA"/>
        </w:rPr>
        <w:t>Grozījums Ministru kabineta 2014.gada 26.augusta noteikumos Nr.509</w:t>
      </w:r>
      <w:r w:rsidRPr="006E1657">
        <w:rPr>
          <w:rFonts w:cs="Times New Roman"/>
          <w:b/>
          <w:sz w:val="28"/>
          <w:szCs w:val="28"/>
          <w:lang w:eastAsia="lv-LV" w:bidi="ar-SA"/>
        </w:rPr>
        <w:t xml:space="preserve"> </w:t>
      </w:r>
      <w:r w:rsidR="00965EEB">
        <w:rPr>
          <w:rFonts w:cs="Times New Roman"/>
          <w:b/>
          <w:sz w:val="28"/>
          <w:szCs w:val="28"/>
          <w:lang w:eastAsia="lv-LV" w:bidi="ar-SA"/>
        </w:rPr>
        <w:t xml:space="preserve">„Noteikumi </w:t>
      </w:r>
      <w:r w:rsidRPr="006E1657">
        <w:rPr>
          <w:rFonts w:cs="Times New Roman"/>
          <w:b/>
          <w:sz w:val="28"/>
          <w:szCs w:val="28"/>
          <w:lang w:eastAsia="lv-LV" w:bidi="ar-SA"/>
        </w:rPr>
        <w:t>p</w:t>
      </w:r>
      <w:r w:rsidRPr="006E1657">
        <w:rPr>
          <w:rFonts w:cs="Times New Roman"/>
          <w:b/>
          <w:bCs/>
          <w:sz w:val="28"/>
          <w:szCs w:val="28"/>
          <w:lang w:eastAsia="lv-LV" w:bidi="ar-SA"/>
        </w:rPr>
        <w:t>ar karavīra mēnešalgas un speciālo piemaksu noteikšanas kārtību un to apmēru</w:t>
      </w:r>
      <w:r w:rsidRPr="006E1657">
        <w:rPr>
          <w:rFonts w:cs="Times New Roman"/>
          <w:b/>
          <w:sz w:val="28"/>
          <w:szCs w:val="28"/>
          <w:lang w:eastAsia="lv-LV" w:bidi="ar-SA"/>
        </w:rPr>
        <w:t>”</w:t>
      </w:r>
      <w:r w:rsidRPr="006E1657">
        <w:rPr>
          <w:b/>
          <w:bCs/>
          <w:sz w:val="28"/>
          <w:szCs w:val="28"/>
        </w:rPr>
        <w:t xml:space="preserve"> </w:t>
      </w:r>
      <w:r w:rsidR="00226001" w:rsidRPr="006E1657">
        <w:rPr>
          <w:b/>
          <w:bCs/>
          <w:sz w:val="28"/>
          <w:szCs w:val="28"/>
        </w:rPr>
        <w:t>sākotnējās ietekmes novērtējuma ziņojums (anotācija)</w:t>
      </w:r>
    </w:p>
    <w:p w:rsidR="00226001" w:rsidRPr="006E1657" w:rsidRDefault="00226001" w:rsidP="00226001">
      <w:pPr>
        <w:rPr>
          <w:iCs/>
          <w:color w:val="FF0000"/>
        </w:rPr>
      </w:pPr>
    </w:p>
    <w:tbl>
      <w:tblPr>
        <w:tblW w:w="5699"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2404"/>
        <w:gridCol w:w="6211"/>
      </w:tblGrid>
      <w:tr w:rsidR="007C1053" w:rsidRPr="006E1657" w:rsidTr="00EB2F97">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226001" w:rsidRPr="006E1657" w:rsidRDefault="00226001" w:rsidP="00226001">
            <w:pPr>
              <w:rPr>
                <w:b/>
                <w:bCs/>
                <w:sz w:val="28"/>
                <w:szCs w:val="28"/>
              </w:rPr>
            </w:pPr>
            <w:r w:rsidRPr="006E1657">
              <w:rPr>
                <w:b/>
                <w:bCs/>
                <w:sz w:val="28"/>
                <w:szCs w:val="28"/>
              </w:rPr>
              <w:t>I. Tiesību akta projekta izstrādes nepieciešamība</w:t>
            </w:r>
          </w:p>
        </w:tc>
      </w:tr>
      <w:tr w:rsidR="007C1053" w:rsidRPr="006E1657" w:rsidTr="00EB2F97">
        <w:trPr>
          <w:trHeight w:val="405"/>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1.</w:t>
            </w:r>
          </w:p>
        </w:tc>
        <w:tc>
          <w:tcPr>
            <w:tcW w:w="1239" w:type="pct"/>
            <w:tcBorders>
              <w:top w:val="outset" w:sz="6" w:space="0" w:color="auto"/>
              <w:left w:val="outset" w:sz="6" w:space="0" w:color="auto"/>
              <w:bottom w:val="outset" w:sz="6" w:space="0" w:color="auto"/>
              <w:right w:val="outset" w:sz="6" w:space="0" w:color="auto"/>
            </w:tcBorders>
            <w:hideMark/>
          </w:tcPr>
          <w:p w:rsidR="00055AF4" w:rsidRPr="006E1657" w:rsidRDefault="00226001" w:rsidP="00226001">
            <w:pPr>
              <w:rPr>
                <w:sz w:val="28"/>
                <w:szCs w:val="28"/>
              </w:rPr>
            </w:pPr>
            <w:r w:rsidRPr="006E1657">
              <w:rPr>
                <w:sz w:val="28"/>
                <w:szCs w:val="28"/>
              </w:rPr>
              <w:t>Pamatojums</w:t>
            </w:r>
          </w:p>
          <w:p w:rsidR="00226001" w:rsidRPr="006E1657" w:rsidRDefault="00226001" w:rsidP="00055AF4">
            <w:pPr>
              <w:jc w:val="center"/>
              <w:rPr>
                <w:sz w:val="28"/>
                <w:szCs w:val="28"/>
              </w:rPr>
            </w:pPr>
          </w:p>
        </w:tc>
        <w:tc>
          <w:tcPr>
            <w:tcW w:w="3187" w:type="pct"/>
            <w:tcBorders>
              <w:top w:val="outset" w:sz="6" w:space="0" w:color="auto"/>
              <w:left w:val="outset" w:sz="6" w:space="0" w:color="auto"/>
              <w:bottom w:val="outset" w:sz="6" w:space="0" w:color="auto"/>
              <w:right w:val="outset" w:sz="6" w:space="0" w:color="auto"/>
            </w:tcBorders>
            <w:hideMark/>
          </w:tcPr>
          <w:p w:rsidR="00A705C7" w:rsidRPr="00517CE2" w:rsidRDefault="00C664B0" w:rsidP="0038132B">
            <w:pPr>
              <w:ind w:firstLine="554"/>
              <w:jc w:val="both"/>
              <w:rPr>
                <w:sz w:val="28"/>
                <w:szCs w:val="28"/>
              </w:rPr>
            </w:pPr>
            <w:r w:rsidRPr="00517CE2">
              <w:rPr>
                <w:sz w:val="28"/>
                <w:szCs w:val="28"/>
              </w:rPr>
              <w:t>Ministru kabineta 2014.gada 12.novembra sēdes protokola Nr.62 2.§ 6.punkts, kas nosaka Aizsardzības ministrijai pārskatīt karavīru atlīdzības skalu</w:t>
            </w:r>
            <w:r w:rsidR="0038132B">
              <w:rPr>
                <w:sz w:val="28"/>
                <w:szCs w:val="28"/>
              </w:rPr>
              <w:t>.</w:t>
            </w:r>
          </w:p>
        </w:tc>
      </w:tr>
      <w:tr w:rsidR="007C1053" w:rsidRPr="006E1657" w:rsidTr="00EB2F97">
        <w:trPr>
          <w:trHeight w:val="465"/>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2.</w:t>
            </w:r>
          </w:p>
        </w:tc>
        <w:tc>
          <w:tcPr>
            <w:tcW w:w="1239"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Pašreizējā situācija un problēmas, kuru risināšanai tiesību akta projekts izstrādāts, tiesiskā regulējuma mērķis un būtība</w:t>
            </w:r>
          </w:p>
        </w:tc>
        <w:tc>
          <w:tcPr>
            <w:tcW w:w="3187" w:type="pct"/>
            <w:tcBorders>
              <w:top w:val="outset" w:sz="6" w:space="0" w:color="auto"/>
              <w:left w:val="outset" w:sz="6" w:space="0" w:color="auto"/>
              <w:bottom w:val="outset" w:sz="6" w:space="0" w:color="auto"/>
              <w:right w:val="outset" w:sz="6" w:space="0" w:color="auto"/>
            </w:tcBorders>
            <w:hideMark/>
          </w:tcPr>
          <w:p w:rsidR="00EE4C17" w:rsidRDefault="00C664B0" w:rsidP="001F67E2">
            <w:pPr>
              <w:pStyle w:val="ListParagraph"/>
              <w:ind w:left="129" w:firstLine="591"/>
              <w:jc w:val="both"/>
              <w:rPr>
                <w:rFonts w:cs="Times New Roman"/>
                <w:sz w:val="28"/>
                <w:szCs w:val="28"/>
                <w:highlight w:val="yellow"/>
                <w:lang w:bidi="ar-SA"/>
              </w:rPr>
            </w:pPr>
            <w:r>
              <w:rPr>
                <w:rFonts w:cs="Times New Roman"/>
                <w:sz w:val="28"/>
                <w:szCs w:val="28"/>
                <w:lang w:bidi="ar-SA"/>
              </w:rPr>
              <w:t>I</w:t>
            </w:r>
            <w:r w:rsidRPr="005315AA">
              <w:rPr>
                <w:rFonts w:cs="Times New Roman"/>
                <w:sz w:val="28"/>
                <w:szCs w:val="28"/>
                <w:lang w:bidi="ar-SA"/>
              </w:rPr>
              <w:t xml:space="preserve">zpildot </w:t>
            </w:r>
            <w:r w:rsidRPr="005315AA">
              <w:rPr>
                <w:sz w:val="28"/>
                <w:szCs w:val="28"/>
              </w:rPr>
              <w:t>Ministru kabineta 2014.gada 12.novembra sēdes protokola Nr.62 2.§ 6.punktā noteikto, Aizsardzības ministrija ir pārskatījusi karavīru atlīdzības skalu un izdevumus atlīdzībai karavīriem 201</w:t>
            </w:r>
            <w:r w:rsidR="00A705C7">
              <w:rPr>
                <w:sz w:val="28"/>
                <w:szCs w:val="28"/>
              </w:rPr>
              <w:t>6</w:t>
            </w:r>
            <w:r w:rsidRPr="005315AA">
              <w:rPr>
                <w:sz w:val="28"/>
                <w:szCs w:val="28"/>
              </w:rPr>
              <w:t>. un turpmākajiem gadiem Aizsardzības ministrijai piešķirto valsts</w:t>
            </w:r>
            <w:r>
              <w:rPr>
                <w:sz w:val="28"/>
                <w:szCs w:val="28"/>
              </w:rPr>
              <w:t xml:space="preserve"> budžeta līdzekļu ietvaros</w:t>
            </w:r>
            <w:r w:rsidR="00E251BF">
              <w:rPr>
                <w:sz w:val="28"/>
                <w:szCs w:val="28"/>
              </w:rPr>
              <w:t>.</w:t>
            </w:r>
          </w:p>
          <w:p w:rsidR="000D5EC6" w:rsidRDefault="00130CFE" w:rsidP="00C664B0">
            <w:pPr>
              <w:pStyle w:val="ListParagraph"/>
              <w:ind w:left="129" w:firstLine="591"/>
              <w:jc w:val="both"/>
              <w:rPr>
                <w:rFonts w:cs="Times New Roman"/>
                <w:sz w:val="28"/>
                <w:szCs w:val="28"/>
                <w:lang w:bidi="ar-SA"/>
              </w:rPr>
            </w:pPr>
            <w:r w:rsidRPr="005315AA">
              <w:rPr>
                <w:rFonts w:cs="Times New Roman"/>
                <w:sz w:val="28"/>
                <w:szCs w:val="28"/>
                <w:lang w:bidi="ar-SA"/>
              </w:rPr>
              <w:t>Saskaņā ar pastāvošo atlīdzības sistēmu un atalgojuma struktūru,</w:t>
            </w:r>
            <w:r>
              <w:rPr>
                <w:rFonts w:cs="Times New Roman"/>
                <w:sz w:val="28"/>
                <w:szCs w:val="28"/>
                <w:lang w:bidi="ar-SA"/>
              </w:rPr>
              <w:t xml:space="preserve"> m</w:t>
            </w:r>
            <w:r w:rsidR="00181F91" w:rsidRPr="00181F91">
              <w:rPr>
                <w:rFonts w:cs="Times New Roman"/>
                <w:sz w:val="28"/>
                <w:szCs w:val="28"/>
                <w:lang w:bidi="ar-SA"/>
              </w:rPr>
              <w:t>ēnešalga, kas noteikta kareivim</w:t>
            </w:r>
            <w:r w:rsidR="00366149">
              <w:rPr>
                <w:rFonts w:cs="Times New Roman"/>
                <w:sz w:val="28"/>
                <w:szCs w:val="28"/>
                <w:lang w:bidi="ar-SA"/>
              </w:rPr>
              <w:t xml:space="preserve"> </w:t>
            </w:r>
            <w:r w:rsidR="001934B2">
              <w:rPr>
                <w:rFonts w:cs="Times New Roman"/>
                <w:sz w:val="28"/>
                <w:szCs w:val="28"/>
                <w:lang w:bidi="ar-SA"/>
              </w:rPr>
              <w:t>(m</w:t>
            </w:r>
            <w:r w:rsidR="00366149">
              <w:rPr>
                <w:rFonts w:cs="Times New Roman"/>
                <w:sz w:val="28"/>
                <w:szCs w:val="28"/>
                <w:lang w:bidi="ar-SA"/>
              </w:rPr>
              <w:t>atrozim</w:t>
            </w:r>
            <w:r w:rsidR="001934B2">
              <w:rPr>
                <w:rFonts w:cs="Times New Roman"/>
                <w:sz w:val="28"/>
                <w:szCs w:val="28"/>
                <w:lang w:bidi="ar-SA"/>
              </w:rPr>
              <w:t>)</w:t>
            </w:r>
            <w:r w:rsidR="00181F91" w:rsidRPr="00181F91">
              <w:rPr>
                <w:rFonts w:cs="Times New Roman"/>
                <w:sz w:val="28"/>
                <w:szCs w:val="28"/>
                <w:lang w:bidi="ar-SA"/>
              </w:rPr>
              <w:t xml:space="preserve">, uzsākot militāro dienestu, ir līdzvērtīga algai valsts vai pašvaldības institūcijā </w:t>
            </w:r>
            <w:r w:rsidR="00181F91">
              <w:rPr>
                <w:rFonts w:cs="Times New Roman"/>
                <w:sz w:val="28"/>
                <w:szCs w:val="28"/>
                <w:lang w:bidi="ar-SA"/>
              </w:rPr>
              <w:t xml:space="preserve">nodarbinātam </w:t>
            </w:r>
            <w:r w:rsidR="00181F91" w:rsidRPr="00181F91">
              <w:rPr>
                <w:rFonts w:cs="Times New Roman"/>
                <w:sz w:val="28"/>
                <w:szCs w:val="28"/>
                <w:lang w:bidi="ar-SA"/>
              </w:rPr>
              <w:t>darbiniekam bez iepriekšējas pieredzes 2</w:t>
            </w:r>
            <w:r w:rsidR="001934B2">
              <w:rPr>
                <w:rFonts w:cs="Times New Roman"/>
                <w:sz w:val="28"/>
                <w:szCs w:val="28"/>
                <w:lang w:bidi="ar-SA"/>
              </w:rPr>
              <w:t>.</w:t>
            </w:r>
            <w:r w:rsidR="00181F91" w:rsidRPr="00181F91">
              <w:rPr>
                <w:rFonts w:cs="Times New Roman"/>
                <w:sz w:val="28"/>
                <w:szCs w:val="28"/>
                <w:lang w:bidi="ar-SA"/>
              </w:rPr>
              <w:t>-4</w:t>
            </w:r>
            <w:r w:rsidR="001934B2">
              <w:rPr>
                <w:rFonts w:cs="Times New Roman"/>
                <w:sz w:val="28"/>
                <w:szCs w:val="28"/>
                <w:lang w:bidi="ar-SA"/>
              </w:rPr>
              <w:t>.</w:t>
            </w:r>
            <w:r w:rsidR="00181F91" w:rsidRPr="00181F91">
              <w:rPr>
                <w:rFonts w:cs="Times New Roman"/>
                <w:sz w:val="28"/>
                <w:szCs w:val="28"/>
                <w:lang w:bidi="ar-SA"/>
              </w:rPr>
              <w:t xml:space="preserve"> mēnešalg</w:t>
            </w:r>
            <w:r w:rsidR="003616B6">
              <w:rPr>
                <w:rFonts w:cs="Times New Roman"/>
                <w:sz w:val="28"/>
                <w:szCs w:val="28"/>
                <w:lang w:bidi="ar-SA"/>
              </w:rPr>
              <w:t>u</w:t>
            </w:r>
            <w:r w:rsidR="00181F91" w:rsidRPr="00181F91">
              <w:rPr>
                <w:rFonts w:cs="Times New Roman"/>
                <w:sz w:val="28"/>
                <w:szCs w:val="28"/>
                <w:lang w:bidi="ar-SA"/>
              </w:rPr>
              <w:t xml:space="preserve"> grupā</w:t>
            </w:r>
            <w:r w:rsidR="00E0634B">
              <w:rPr>
                <w:rFonts w:cs="Times New Roman"/>
                <w:sz w:val="28"/>
                <w:szCs w:val="28"/>
                <w:lang w:bidi="ar-SA"/>
              </w:rPr>
              <w:t xml:space="preserve">. Kopš 2008.gada kareivja </w:t>
            </w:r>
            <w:r w:rsidR="001934B2">
              <w:rPr>
                <w:rFonts w:cs="Times New Roman"/>
                <w:sz w:val="28"/>
                <w:szCs w:val="28"/>
                <w:lang w:bidi="ar-SA"/>
              </w:rPr>
              <w:t>(</w:t>
            </w:r>
            <w:r w:rsidR="00E0634B">
              <w:rPr>
                <w:rFonts w:cs="Times New Roman"/>
                <w:sz w:val="28"/>
                <w:szCs w:val="28"/>
                <w:lang w:bidi="ar-SA"/>
              </w:rPr>
              <w:t>matroža</w:t>
            </w:r>
            <w:r w:rsidR="001934B2">
              <w:rPr>
                <w:rFonts w:cs="Times New Roman"/>
                <w:sz w:val="28"/>
                <w:szCs w:val="28"/>
                <w:lang w:bidi="ar-SA"/>
              </w:rPr>
              <w:t>)</w:t>
            </w:r>
            <w:r w:rsidR="00E0634B">
              <w:rPr>
                <w:rFonts w:cs="Times New Roman"/>
                <w:sz w:val="28"/>
                <w:szCs w:val="28"/>
                <w:lang w:bidi="ar-SA"/>
              </w:rPr>
              <w:t xml:space="preserve"> mēnešalgas bāze ar nemainīgu tendenci ir tuvinājusies </w:t>
            </w:r>
            <w:r w:rsidR="00FD24E2">
              <w:rPr>
                <w:rFonts w:cs="Times New Roman"/>
                <w:sz w:val="28"/>
                <w:szCs w:val="28"/>
                <w:lang w:bidi="ar-SA"/>
              </w:rPr>
              <w:t>valstī noteikt</w:t>
            </w:r>
            <w:r w:rsidR="00E0634B">
              <w:rPr>
                <w:rFonts w:cs="Times New Roman"/>
                <w:sz w:val="28"/>
                <w:szCs w:val="28"/>
                <w:lang w:bidi="ar-SA"/>
              </w:rPr>
              <w:t>ajai</w:t>
            </w:r>
            <w:r w:rsidR="00FD24E2">
              <w:rPr>
                <w:rFonts w:cs="Times New Roman"/>
                <w:sz w:val="28"/>
                <w:szCs w:val="28"/>
                <w:lang w:bidi="ar-SA"/>
              </w:rPr>
              <w:t xml:space="preserve"> minimāl</w:t>
            </w:r>
            <w:r w:rsidR="00E0634B">
              <w:rPr>
                <w:rFonts w:cs="Times New Roman"/>
                <w:sz w:val="28"/>
                <w:szCs w:val="28"/>
                <w:lang w:bidi="ar-SA"/>
              </w:rPr>
              <w:t>ajai</w:t>
            </w:r>
            <w:r w:rsidR="00FD24E2">
              <w:rPr>
                <w:rFonts w:cs="Times New Roman"/>
                <w:sz w:val="28"/>
                <w:szCs w:val="28"/>
                <w:lang w:bidi="ar-SA"/>
              </w:rPr>
              <w:t xml:space="preserve"> alg</w:t>
            </w:r>
            <w:r w:rsidR="00E0634B">
              <w:rPr>
                <w:rFonts w:cs="Times New Roman"/>
                <w:sz w:val="28"/>
                <w:szCs w:val="28"/>
                <w:lang w:bidi="ar-SA"/>
              </w:rPr>
              <w:t>ai</w:t>
            </w:r>
            <w:r w:rsidR="001934B2">
              <w:rPr>
                <w:rFonts w:cs="Times New Roman"/>
                <w:sz w:val="28"/>
                <w:szCs w:val="28"/>
                <w:lang w:bidi="ar-SA"/>
              </w:rPr>
              <w:t>,</w:t>
            </w:r>
            <w:r w:rsidR="00E0634B">
              <w:rPr>
                <w:rFonts w:cs="Times New Roman"/>
                <w:sz w:val="28"/>
                <w:szCs w:val="28"/>
                <w:lang w:bidi="ar-SA"/>
              </w:rPr>
              <w:t xml:space="preserve"> un 2015.gadā pārsniedz minimālo algu </w:t>
            </w:r>
            <w:r w:rsidR="00FD24E2">
              <w:rPr>
                <w:rFonts w:cs="Times New Roman"/>
                <w:sz w:val="28"/>
                <w:szCs w:val="28"/>
                <w:lang w:bidi="ar-SA"/>
              </w:rPr>
              <w:t>tikai par 14 procentiem</w:t>
            </w:r>
            <w:r w:rsidR="00E0634B">
              <w:rPr>
                <w:rFonts w:cs="Times New Roman"/>
                <w:sz w:val="28"/>
                <w:szCs w:val="28"/>
                <w:lang w:bidi="ar-SA"/>
              </w:rPr>
              <w:t xml:space="preserve">, </w:t>
            </w:r>
            <w:r w:rsidR="004C6E7B">
              <w:rPr>
                <w:rFonts w:cs="Times New Roman"/>
                <w:sz w:val="28"/>
                <w:szCs w:val="28"/>
                <w:lang w:bidi="ar-SA"/>
              </w:rPr>
              <w:t xml:space="preserve">tādējādi mazinot karavīra profesijas prestižu un konkurētspēju. </w:t>
            </w:r>
          </w:p>
          <w:p w:rsidR="0041157E" w:rsidRDefault="00130CFE" w:rsidP="00130CFE">
            <w:pPr>
              <w:pStyle w:val="ListParagraph"/>
              <w:ind w:left="129" w:firstLine="591"/>
              <w:jc w:val="both"/>
              <w:rPr>
                <w:rFonts w:cs="Times New Roman"/>
                <w:sz w:val="28"/>
                <w:szCs w:val="28"/>
                <w:lang w:bidi="ar-SA"/>
              </w:rPr>
            </w:pPr>
            <w:r w:rsidRPr="005315AA">
              <w:rPr>
                <w:rFonts w:cs="Times New Roman"/>
                <w:sz w:val="28"/>
                <w:szCs w:val="28"/>
                <w:lang w:bidi="ar-SA"/>
              </w:rPr>
              <w:t xml:space="preserve">Analizējot karavīru atvaļināšanās statistiku, ir konstatētas galvenās personāla grupas, kurām nepieciešama mērķtiecīgāka dienestā noturēšanas politika, līdz ar to </w:t>
            </w:r>
            <w:r>
              <w:rPr>
                <w:rFonts w:cs="Times New Roman"/>
                <w:sz w:val="28"/>
                <w:szCs w:val="28"/>
                <w:lang w:bidi="ar-SA"/>
              </w:rPr>
              <w:t>konstatēja</w:t>
            </w:r>
            <w:r w:rsidRPr="005315AA">
              <w:rPr>
                <w:rFonts w:cs="Times New Roman"/>
                <w:sz w:val="28"/>
                <w:szCs w:val="28"/>
                <w:lang w:bidi="ar-SA"/>
              </w:rPr>
              <w:t xml:space="preserve">mi arī svarīgākie atalgojuma politikas pamatprincipi. Noturēšana dienestā kļuvusi </w:t>
            </w:r>
            <w:r>
              <w:rPr>
                <w:rFonts w:cs="Times New Roman"/>
                <w:sz w:val="28"/>
                <w:szCs w:val="28"/>
                <w:lang w:bidi="ar-SA"/>
              </w:rPr>
              <w:t xml:space="preserve">īpaši </w:t>
            </w:r>
            <w:r w:rsidRPr="005315AA">
              <w:rPr>
                <w:rFonts w:cs="Times New Roman"/>
                <w:sz w:val="28"/>
                <w:szCs w:val="28"/>
                <w:lang w:bidi="ar-SA"/>
              </w:rPr>
              <w:t>aktuāla situācijā, kad rekrutēšanas intensitāte un iesaucamo kvalitāte spēj uzturēt tikai karavīru kvantitatīvo skaitu esošajā līmenī, bet tiek zaudēta pieredze un kvalitāte, kā arī nav panākams pe</w:t>
            </w:r>
            <w:r w:rsidR="002E58C9">
              <w:rPr>
                <w:rFonts w:cs="Times New Roman"/>
                <w:sz w:val="28"/>
                <w:szCs w:val="28"/>
                <w:lang w:bidi="ar-SA"/>
              </w:rPr>
              <w:t>rsonāla skaitliskais pieaugums</w:t>
            </w:r>
            <w:r w:rsidRPr="005315AA">
              <w:rPr>
                <w:rFonts w:cs="Times New Roman"/>
                <w:sz w:val="28"/>
                <w:szCs w:val="28"/>
                <w:lang w:bidi="ar-SA"/>
              </w:rPr>
              <w:t xml:space="preserve">. </w:t>
            </w:r>
            <w:r>
              <w:rPr>
                <w:rFonts w:cs="Times New Roman"/>
                <w:sz w:val="28"/>
                <w:szCs w:val="28"/>
                <w:lang w:bidi="ar-SA"/>
              </w:rPr>
              <w:t>L</w:t>
            </w:r>
            <w:r w:rsidRPr="005315AA">
              <w:rPr>
                <w:rFonts w:cs="Times New Roman"/>
                <w:sz w:val="28"/>
                <w:szCs w:val="28"/>
                <w:lang w:bidi="ar-SA"/>
              </w:rPr>
              <w:t xml:space="preserve">ai panāktu karavīru skaita pieaugumu, nepietiek tikai ar jauno karavīru iesaukšanu un apmācību, nepieciešama arī mērķtiecīgāka šobrīd Nacionālajos bruņotajos spēkos dienošo karavīru noturēšana, </w:t>
            </w:r>
            <w:r w:rsidRPr="005315AA">
              <w:rPr>
                <w:rFonts w:cs="Times New Roman"/>
                <w:sz w:val="28"/>
                <w:szCs w:val="28"/>
                <w:lang w:bidi="ar-SA"/>
              </w:rPr>
              <w:lastRenderedPageBreak/>
              <w:t>motivējot</w:t>
            </w:r>
            <w:r>
              <w:rPr>
                <w:rFonts w:cs="Times New Roman"/>
                <w:sz w:val="28"/>
                <w:szCs w:val="28"/>
                <w:lang w:bidi="ar-SA"/>
              </w:rPr>
              <w:t xml:space="preserve"> tos</w:t>
            </w:r>
            <w:r w:rsidRPr="005315AA">
              <w:rPr>
                <w:rFonts w:cs="Times New Roman"/>
                <w:sz w:val="28"/>
                <w:szCs w:val="28"/>
                <w:lang w:bidi="ar-SA"/>
              </w:rPr>
              <w:t xml:space="preserve"> ilgstošam dienestam</w:t>
            </w:r>
            <w:r w:rsidR="0064333E">
              <w:rPr>
                <w:rFonts w:cs="Times New Roman"/>
                <w:sz w:val="28"/>
                <w:szCs w:val="28"/>
                <w:lang w:bidi="ar-SA"/>
              </w:rPr>
              <w:t>.</w:t>
            </w:r>
          </w:p>
          <w:p w:rsidR="000060D4" w:rsidRDefault="004355DD" w:rsidP="00FF641D">
            <w:pPr>
              <w:pStyle w:val="ListParagraph"/>
              <w:ind w:left="129" w:firstLine="591"/>
              <w:jc w:val="both"/>
              <w:rPr>
                <w:rFonts w:cs="Times New Roman"/>
                <w:sz w:val="28"/>
                <w:szCs w:val="28"/>
                <w:lang w:bidi="ar-SA"/>
              </w:rPr>
            </w:pPr>
            <w:r>
              <w:rPr>
                <w:rFonts w:cs="Times New Roman"/>
                <w:sz w:val="28"/>
                <w:szCs w:val="28"/>
                <w:lang w:bidi="ar-SA"/>
              </w:rPr>
              <w:t xml:space="preserve"> </w:t>
            </w:r>
            <w:r w:rsidR="00FF641D">
              <w:rPr>
                <w:rFonts w:cs="Times New Roman"/>
                <w:sz w:val="28"/>
                <w:szCs w:val="28"/>
                <w:lang w:bidi="ar-SA"/>
              </w:rPr>
              <w:t xml:space="preserve">Militārā dienesta likums paredz, ka karavīru var iecelt </w:t>
            </w:r>
            <w:r w:rsidR="0064333E">
              <w:rPr>
                <w:rFonts w:cs="Times New Roman"/>
                <w:sz w:val="28"/>
                <w:szCs w:val="28"/>
                <w:lang w:bidi="ar-SA"/>
              </w:rPr>
              <w:t xml:space="preserve">par </w:t>
            </w:r>
            <w:r w:rsidR="00FF641D">
              <w:rPr>
                <w:rFonts w:cs="Times New Roman"/>
                <w:sz w:val="28"/>
                <w:szCs w:val="28"/>
                <w:lang w:bidi="ar-SA"/>
              </w:rPr>
              <w:t>vien</w:t>
            </w:r>
            <w:r w:rsidR="0064333E">
              <w:rPr>
                <w:rFonts w:cs="Times New Roman"/>
                <w:sz w:val="28"/>
                <w:szCs w:val="28"/>
                <w:lang w:bidi="ar-SA"/>
              </w:rPr>
              <w:t>u pakāp</w:t>
            </w:r>
            <w:r w:rsidR="00FF641D">
              <w:rPr>
                <w:rFonts w:cs="Times New Roman"/>
                <w:sz w:val="28"/>
                <w:szCs w:val="28"/>
                <w:lang w:bidi="ar-SA"/>
              </w:rPr>
              <w:t xml:space="preserve">i augstākā amatā un tikai izņēmuma gadījumos – arī </w:t>
            </w:r>
            <w:r w:rsidR="0064333E">
              <w:rPr>
                <w:rFonts w:cs="Times New Roman"/>
                <w:sz w:val="28"/>
                <w:szCs w:val="28"/>
                <w:lang w:bidi="ar-SA"/>
              </w:rPr>
              <w:t xml:space="preserve">par </w:t>
            </w:r>
            <w:r w:rsidR="00FF641D">
              <w:rPr>
                <w:rFonts w:cs="Times New Roman"/>
                <w:sz w:val="28"/>
                <w:szCs w:val="28"/>
                <w:lang w:bidi="ar-SA"/>
              </w:rPr>
              <w:t xml:space="preserve">divām pakāpēm augstākā amatā, turklāt karavīra iecelšana augstākas pakāpes amatā ir viens no priekšnoteikumiem nākamās dienesta pakāpes saņemšanai. </w:t>
            </w:r>
            <w:r w:rsidR="003616B6">
              <w:rPr>
                <w:rFonts w:cs="Times New Roman"/>
                <w:sz w:val="28"/>
                <w:szCs w:val="28"/>
                <w:lang w:bidi="ar-SA"/>
              </w:rPr>
              <w:t>Tāpat Militārā dienesta likum</w:t>
            </w:r>
            <w:r w:rsidR="00CF54C7">
              <w:rPr>
                <w:rFonts w:cs="Times New Roman"/>
                <w:sz w:val="28"/>
                <w:szCs w:val="28"/>
                <w:lang w:bidi="ar-SA"/>
              </w:rPr>
              <w:t>ā</w:t>
            </w:r>
            <w:r w:rsidR="003616B6">
              <w:rPr>
                <w:rFonts w:cs="Times New Roman"/>
                <w:sz w:val="28"/>
                <w:szCs w:val="28"/>
                <w:lang w:bidi="ar-SA"/>
              </w:rPr>
              <w:t xml:space="preserve"> no</w:t>
            </w:r>
            <w:r w:rsidR="00CF54C7">
              <w:rPr>
                <w:rFonts w:cs="Times New Roman"/>
                <w:sz w:val="28"/>
                <w:szCs w:val="28"/>
                <w:lang w:bidi="ar-SA"/>
              </w:rPr>
              <w:t>teikts</w:t>
            </w:r>
            <w:r w:rsidR="003616B6">
              <w:rPr>
                <w:rFonts w:cs="Times New Roman"/>
                <w:sz w:val="28"/>
                <w:szCs w:val="28"/>
                <w:lang w:bidi="ar-SA"/>
              </w:rPr>
              <w:t xml:space="preserve"> katrai pakāpei nepiecie</w:t>
            </w:r>
            <w:r w:rsidR="00CF54C7">
              <w:rPr>
                <w:rFonts w:cs="Times New Roman"/>
                <w:sz w:val="28"/>
                <w:szCs w:val="28"/>
                <w:lang w:bidi="ar-SA"/>
              </w:rPr>
              <w:t>šamais</w:t>
            </w:r>
            <w:r w:rsidR="003616B6">
              <w:rPr>
                <w:rFonts w:cs="Times New Roman"/>
                <w:sz w:val="28"/>
                <w:szCs w:val="28"/>
                <w:lang w:bidi="ar-SA"/>
              </w:rPr>
              <w:t xml:space="preserve"> izglītības līmeni</w:t>
            </w:r>
            <w:r w:rsidR="00CF54C7">
              <w:rPr>
                <w:rFonts w:cs="Times New Roman"/>
                <w:sz w:val="28"/>
                <w:szCs w:val="28"/>
                <w:lang w:bidi="ar-SA"/>
              </w:rPr>
              <w:t>s</w:t>
            </w:r>
            <w:r w:rsidR="003616B6">
              <w:rPr>
                <w:rFonts w:cs="Times New Roman"/>
                <w:sz w:val="28"/>
                <w:szCs w:val="28"/>
                <w:lang w:bidi="ar-SA"/>
              </w:rPr>
              <w:t xml:space="preserve"> – militārās izglīt</w:t>
            </w:r>
            <w:r w:rsidR="00CF54C7">
              <w:rPr>
                <w:rFonts w:cs="Times New Roman"/>
                <w:sz w:val="28"/>
                <w:szCs w:val="28"/>
                <w:lang w:bidi="ar-SA"/>
              </w:rPr>
              <w:t>ības kurss</w:t>
            </w:r>
            <w:r w:rsidR="003616B6">
              <w:rPr>
                <w:rFonts w:cs="Times New Roman"/>
                <w:sz w:val="28"/>
                <w:szCs w:val="28"/>
                <w:lang w:bidi="ar-SA"/>
              </w:rPr>
              <w:t xml:space="preserve">, kas nepieciešams attiecīgās </w:t>
            </w:r>
            <w:r w:rsidR="00CF54C7">
              <w:rPr>
                <w:rFonts w:cs="Times New Roman"/>
                <w:sz w:val="28"/>
                <w:szCs w:val="28"/>
                <w:lang w:bidi="ar-SA"/>
              </w:rPr>
              <w:t xml:space="preserve">dienesta </w:t>
            </w:r>
            <w:r w:rsidR="003616B6">
              <w:rPr>
                <w:rFonts w:cs="Times New Roman"/>
                <w:sz w:val="28"/>
                <w:szCs w:val="28"/>
                <w:lang w:bidi="ar-SA"/>
              </w:rPr>
              <w:t xml:space="preserve">pakāpes </w:t>
            </w:r>
            <w:r w:rsidR="00CF54C7">
              <w:rPr>
                <w:rFonts w:cs="Times New Roman"/>
                <w:sz w:val="28"/>
                <w:szCs w:val="28"/>
                <w:lang w:bidi="ar-SA"/>
              </w:rPr>
              <w:t xml:space="preserve">iegūšanai un šīs pakāpes </w:t>
            </w:r>
            <w:r w:rsidR="003616B6">
              <w:rPr>
                <w:rFonts w:cs="Times New Roman"/>
                <w:sz w:val="28"/>
                <w:szCs w:val="28"/>
                <w:lang w:bidi="ar-SA"/>
              </w:rPr>
              <w:t xml:space="preserve">amata pienākumu veikšanai. </w:t>
            </w:r>
            <w:r w:rsidR="00CF54C7">
              <w:rPr>
                <w:rFonts w:cs="Times New Roman"/>
                <w:sz w:val="28"/>
                <w:szCs w:val="28"/>
                <w:lang w:bidi="ar-SA"/>
              </w:rPr>
              <w:t xml:space="preserve">Karavīrs, kurš iecelts augstākas pakāpes amatā, saņem mēnešalgu atbilstoši viņa dienesta pakāpei un izdienai un piemaksu par augstākas pakāpes amata pildīšanu.  </w:t>
            </w:r>
          </w:p>
          <w:p w:rsidR="00FF641D" w:rsidRDefault="0064333E" w:rsidP="00FF641D">
            <w:pPr>
              <w:pStyle w:val="ListParagraph"/>
              <w:ind w:left="129" w:firstLine="591"/>
              <w:jc w:val="both"/>
              <w:rPr>
                <w:rFonts w:cs="Times New Roman"/>
                <w:sz w:val="28"/>
                <w:szCs w:val="28"/>
                <w:lang w:bidi="ar-SA"/>
              </w:rPr>
            </w:pPr>
            <w:r>
              <w:rPr>
                <w:rFonts w:cs="Times New Roman"/>
                <w:sz w:val="28"/>
                <w:szCs w:val="28"/>
                <w:lang w:bidi="ar-SA"/>
              </w:rPr>
              <w:t>E</w:t>
            </w:r>
            <w:r w:rsidR="00FF641D">
              <w:rPr>
                <w:rFonts w:cs="Times New Roman"/>
                <w:sz w:val="28"/>
                <w:szCs w:val="28"/>
                <w:lang w:bidi="ar-SA"/>
              </w:rPr>
              <w:t>sošajā karavīru atalgojuma sistēmā nav paredzēti pasākumi, kas efektīvi motivētu karavīru paaugstināt savu profesionālo sagatavotību,</w:t>
            </w:r>
            <w:r w:rsidR="002E58C9">
              <w:rPr>
                <w:rFonts w:cs="Times New Roman"/>
                <w:sz w:val="28"/>
                <w:szCs w:val="28"/>
                <w:lang w:bidi="ar-SA"/>
              </w:rPr>
              <w:t xml:space="preserve"> </w:t>
            </w:r>
            <w:r w:rsidR="00FF641D">
              <w:rPr>
                <w:rFonts w:cs="Times New Roman"/>
                <w:sz w:val="28"/>
                <w:szCs w:val="28"/>
                <w:lang w:bidi="ar-SA"/>
              </w:rPr>
              <w:t>īpaši gadījumos</w:t>
            </w:r>
            <w:r>
              <w:rPr>
                <w:rFonts w:cs="Times New Roman"/>
                <w:sz w:val="28"/>
                <w:szCs w:val="28"/>
                <w:lang w:bidi="ar-SA"/>
              </w:rPr>
              <w:t>, kad karavīrs iecelts augstākas</w:t>
            </w:r>
            <w:r w:rsidR="00FF641D">
              <w:rPr>
                <w:rFonts w:cs="Times New Roman"/>
                <w:sz w:val="28"/>
                <w:szCs w:val="28"/>
                <w:lang w:bidi="ar-SA"/>
              </w:rPr>
              <w:t xml:space="preserve"> </w:t>
            </w:r>
            <w:r>
              <w:rPr>
                <w:rFonts w:cs="Times New Roman"/>
                <w:sz w:val="28"/>
                <w:szCs w:val="28"/>
                <w:lang w:bidi="ar-SA"/>
              </w:rPr>
              <w:t>pakāpes</w:t>
            </w:r>
            <w:r w:rsidR="00FF641D">
              <w:rPr>
                <w:rFonts w:cs="Times New Roman"/>
                <w:sz w:val="28"/>
                <w:szCs w:val="28"/>
                <w:lang w:bidi="ar-SA"/>
              </w:rPr>
              <w:t xml:space="preserve"> amatā</w:t>
            </w:r>
            <w:r w:rsidR="000060D4">
              <w:rPr>
                <w:rFonts w:cs="Times New Roman"/>
                <w:sz w:val="28"/>
                <w:szCs w:val="28"/>
                <w:lang w:bidi="ar-SA"/>
              </w:rPr>
              <w:t xml:space="preserve">, </w:t>
            </w:r>
            <w:r w:rsidR="00693187">
              <w:rPr>
                <w:rFonts w:cs="Times New Roman"/>
                <w:sz w:val="28"/>
                <w:szCs w:val="28"/>
                <w:lang w:bidi="ar-SA"/>
              </w:rPr>
              <w:t xml:space="preserve">un šī sistēma šobrīd </w:t>
            </w:r>
            <w:r w:rsidR="000060D4">
              <w:rPr>
                <w:rFonts w:cs="Times New Roman"/>
                <w:sz w:val="28"/>
                <w:szCs w:val="28"/>
                <w:lang w:bidi="ar-SA"/>
              </w:rPr>
              <w:t>neparedz</w:t>
            </w:r>
            <w:r w:rsidR="00FF641D">
              <w:rPr>
                <w:rFonts w:cs="Times New Roman"/>
                <w:sz w:val="28"/>
                <w:szCs w:val="28"/>
                <w:lang w:bidi="ar-SA"/>
              </w:rPr>
              <w:t xml:space="preserve"> </w:t>
            </w:r>
            <w:r w:rsidR="0005411B">
              <w:rPr>
                <w:rFonts w:cs="Times New Roman"/>
                <w:sz w:val="28"/>
                <w:szCs w:val="28"/>
                <w:lang w:bidi="ar-SA"/>
              </w:rPr>
              <w:t>diferencēt</w:t>
            </w:r>
            <w:r w:rsidR="00FF641D">
              <w:rPr>
                <w:rFonts w:cs="Times New Roman"/>
                <w:sz w:val="28"/>
                <w:szCs w:val="28"/>
                <w:lang w:bidi="ar-SA"/>
              </w:rPr>
              <w:t xml:space="preserve"> mēnešalgas likmi </w:t>
            </w:r>
            <w:r w:rsidR="0005411B">
              <w:rPr>
                <w:rFonts w:cs="Times New Roman"/>
                <w:sz w:val="28"/>
                <w:szCs w:val="28"/>
                <w:lang w:bidi="ar-SA"/>
              </w:rPr>
              <w:t>atbilstoši</w:t>
            </w:r>
            <w:r w:rsidR="00FF641D">
              <w:rPr>
                <w:rFonts w:cs="Times New Roman"/>
                <w:sz w:val="28"/>
                <w:szCs w:val="28"/>
                <w:lang w:bidi="ar-SA"/>
              </w:rPr>
              <w:t xml:space="preserve"> karavīra kvalifikācij</w:t>
            </w:r>
            <w:r w:rsidR="0005411B">
              <w:rPr>
                <w:rFonts w:cs="Times New Roman"/>
                <w:sz w:val="28"/>
                <w:szCs w:val="28"/>
                <w:lang w:bidi="ar-SA"/>
              </w:rPr>
              <w:t>ai</w:t>
            </w:r>
            <w:r w:rsidR="00FF641D">
              <w:rPr>
                <w:rFonts w:cs="Times New Roman"/>
                <w:sz w:val="28"/>
                <w:szCs w:val="28"/>
                <w:lang w:bidi="ar-SA"/>
              </w:rPr>
              <w:t xml:space="preserve"> (Militārā dienesta likumā noteiktie </w:t>
            </w:r>
            <w:r>
              <w:rPr>
                <w:rFonts w:cs="Times New Roman"/>
                <w:sz w:val="28"/>
                <w:szCs w:val="28"/>
                <w:lang w:bidi="ar-SA"/>
              </w:rPr>
              <w:t>militārās izglītības</w:t>
            </w:r>
            <w:r w:rsidR="0005411B">
              <w:rPr>
                <w:rFonts w:cs="Times New Roman"/>
                <w:sz w:val="28"/>
                <w:szCs w:val="28"/>
                <w:lang w:bidi="ar-SA"/>
              </w:rPr>
              <w:t xml:space="preserve"> kursi) un kompetencēm</w:t>
            </w:r>
            <w:r w:rsidR="000060D4">
              <w:rPr>
                <w:rFonts w:cs="Times New Roman"/>
                <w:sz w:val="28"/>
                <w:szCs w:val="28"/>
                <w:lang w:bidi="ar-SA"/>
              </w:rPr>
              <w:t xml:space="preserve">, tādējādi karavīrs, kurš pilda augstākas pakāpes amatu ar šai pakāpei nepieciešamo militārās izglītības līmeni faktiski saņem tādu pašu </w:t>
            </w:r>
            <w:r w:rsidR="007673B0">
              <w:rPr>
                <w:rFonts w:cs="Times New Roman"/>
                <w:sz w:val="28"/>
                <w:szCs w:val="28"/>
                <w:lang w:bidi="ar-SA"/>
              </w:rPr>
              <w:t>mēnešalgu</w:t>
            </w:r>
            <w:r w:rsidR="000060D4">
              <w:rPr>
                <w:rFonts w:cs="Times New Roman"/>
                <w:sz w:val="28"/>
                <w:szCs w:val="28"/>
                <w:lang w:bidi="ar-SA"/>
              </w:rPr>
              <w:t xml:space="preserve"> kā karavīrs, kurš nav apguvis Militārā dienesta likumā augstākas pakāpes amata pildīšanai noteiktos militārās izglītības kursus.</w:t>
            </w:r>
          </w:p>
          <w:p w:rsidR="006B4E97" w:rsidRDefault="00D500D9" w:rsidP="00C664B0">
            <w:pPr>
              <w:pStyle w:val="ListParagraph"/>
              <w:ind w:left="129" w:firstLine="591"/>
              <w:jc w:val="both"/>
              <w:rPr>
                <w:rFonts w:cs="Times New Roman"/>
                <w:sz w:val="28"/>
                <w:szCs w:val="28"/>
                <w:lang w:bidi="ar-SA"/>
              </w:rPr>
            </w:pPr>
            <w:r>
              <w:rPr>
                <w:rFonts w:cs="Times New Roman"/>
                <w:sz w:val="28"/>
                <w:szCs w:val="28"/>
                <w:lang w:bidi="ar-SA"/>
              </w:rPr>
              <w:t>L</w:t>
            </w:r>
            <w:r w:rsidRPr="005315AA">
              <w:rPr>
                <w:rFonts w:cs="Times New Roman"/>
                <w:sz w:val="28"/>
                <w:szCs w:val="28"/>
                <w:lang w:bidi="ar-SA"/>
              </w:rPr>
              <w:t xml:space="preserve">ai </w:t>
            </w:r>
            <w:r>
              <w:rPr>
                <w:rFonts w:cs="Times New Roman"/>
                <w:sz w:val="28"/>
                <w:szCs w:val="28"/>
                <w:lang w:bidi="ar-SA"/>
              </w:rPr>
              <w:t xml:space="preserve">piesaistītu un apmācītu militārajam dienestam pietiekamu karavīru skaitu un nodrošinātu Nacionālo bruņoto spēku uzdevumu izpildei nepieciešamā karavīru skaita uzturēšanu, </w:t>
            </w:r>
            <w:r w:rsidR="006B4E97">
              <w:rPr>
                <w:rFonts w:cs="Times New Roman"/>
                <w:sz w:val="28"/>
                <w:szCs w:val="28"/>
                <w:lang w:bidi="ar-SA"/>
              </w:rPr>
              <w:t>tiek pilnveidota karavīru</w:t>
            </w:r>
            <w:r w:rsidR="006B4E97" w:rsidRPr="005315AA">
              <w:rPr>
                <w:rFonts w:cs="Times New Roman"/>
                <w:sz w:val="28"/>
                <w:szCs w:val="28"/>
                <w:lang w:bidi="ar-SA"/>
              </w:rPr>
              <w:t xml:space="preserve"> mēnešalgu likmes noteikšanas metodik</w:t>
            </w:r>
            <w:r w:rsidR="006B4E97">
              <w:rPr>
                <w:rFonts w:cs="Times New Roman"/>
                <w:sz w:val="28"/>
                <w:szCs w:val="28"/>
                <w:lang w:bidi="ar-SA"/>
              </w:rPr>
              <w:t>a, un karavīru atlīdzības sistēma tiek pārstrukturēta, balstoties uz šādiem mēnešalgu noteikšanas principiem:</w:t>
            </w:r>
          </w:p>
          <w:p w:rsidR="006C4C8D" w:rsidRDefault="00E64713" w:rsidP="0081116E">
            <w:pPr>
              <w:pStyle w:val="ListParagraph"/>
              <w:numPr>
                <w:ilvl w:val="0"/>
                <w:numId w:val="7"/>
              </w:numPr>
              <w:tabs>
                <w:tab w:val="left" w:pos="1121"/>
              </w:tabs>
              <w:ind w:left="129" w:firstLine="591"/>
              <w:jc w:val="both"/>
              <w:rPr>
                <w:rFonts w:cs="Times New Roman"/>
                <w:sz w:val="28"/>
                <w:szCs w:val="28"/>
                <w:lang w:bidi="ar-SA"/>
              </w:rPr>
            </w:pPr>
            <w:r>
              <w:rPr>
                <w:rFonts w:cs="Times New Roman"/>
                <w:sz w:val="28"/>
                <w:szCs w:val="28"/>
                <w:lang w:bidi="ar-SA"/>
              </w:rPr>
              <w:t>kopumā k</w:t>
            </w:r>
            <w:r w:rsidR="0080451E">
              <w:rPr>
                <w:rFonts w:cs="Times New Roman"/>
                <w:sz w:val="28"/>
                <w:szCs w:val="28"/>
                <w:lang w:bidi="ar-SA"/>
              </w:rPr>
              <w:t xml:space="preserve">aravīru atalgojuma sistēmas veidošanā tiek saglabāta mēnešalgas </w:t>
            </w:r>
            <w:r w:rsidR="00CF54C7">
              <w:rPr>
                <w:rFonts w:cs="Times New Roman"/>
                <w:sz w:val="28"/>
                <w:szCs w:val="28"/>
                <w:lang w:bidi="ar-SA"/>
              </w:rPr>
              <w:t>pamat</w:t>
            </w:r>
            <w:r w:rsidR="0080451E">
              <w:rPr>
                <w:rFonts w:cs="Times New Roman"/>
                <w:sz w:val="28"/>
                <w:szCs w:val="28"/>
                <w:lang w:bidi="ar-SA"/>
              </w:rPr>
              <w:t>likmes</w:t>
            </w:r>
            <w:r w:rsidR="00CF54C7">
              <w:rPr>
                <w:rFonts w:cs="Times New Roman"/>
                <w:sz w:val="28"/>
                <w:szCs w:val="28"/>
                <w:lang w:bidi="ar-SA"/>
              </w:rPr>
              <w:t xml:space="preserve"> (I</w:t>
            </w:r>
            <w:r w:rsidR="00693187">
              <w:rPr>
                <w:rFonts w:cs="Times New Roman"/>
                <w:sz w:val="28"/>
                <w:szCs w:val="28"/>
                <w:lang w:bidi="ar-SA"/>
              </w:rPr>
              <w:t xml:space="preserve"> mēnešalgas likme</w:t>
            </w:r>
            <w:r w:rsidR="00CF54C7">
              <w:rPr>
                <w:rFonts w:cs="Times New Roman"/>
                <w:sz w:val="28"/>
                <w:szCs w:val="28"/>
                <w:lang w:bidi="ar-SA"/>
              </w:rPr>
              <w:t>)</w:t>
            </w:r>
            <w:r w:rsidR="0080451E">
              <w:rPr>
                <w:rFonts w:cs="Times New Roman"/>
                <w:sz w:val="28"/>
                <w:szCs w:val="28"/>
                <w:lang w:bidi="ar-SA"/>
              </w:rPr>
              <w:t xml:space="preserve"> noteikšana atbilstoši dienesta pakāpei un izdienai, vienlaicīgi tuvinot </w:t>
            </w:r>
            <w:r w:rsidR="0081116E">
              <w:rPr>
                <w:rFonts w:cs="Times New Roman"/>
                <w:sz w:val="28"/>
                <w:szCs w:val="28"/>
                <w:lang w:bidi="ar-SA"/>
              </w:rPr>
              <w:t>karavīru mēnešalg</w:t>
            </w:r>
            <w:r w:rsidR="00AD6920">
              <w:rPr>
                <w:rFonts w:cs="Times New Roman"/>
                <w:sz w:val="28"/>
                <w:szCs w:val="28"/>
                <w:lang w:bidi="ar-SA"/>
              </w:rPr>
              <w:t>as</w:t>
            </w:r>
            <w:r w:rsidR="0081116E">
              <w:rPr>
                <w:rFonts w:cs="Times New Roman"/>
                <w:sz w:val="28"/>
                <w:szCs w:val="28"/>
                <w:lang w:bidi="ar-SA"/>
              </w:rPr>
              <w:t xml:space="preserve"> apmēra diapazon</w:t>
            </w:r>
            <w:r w:rsidR="0080451E">
              <w:rPr>
                <w:rFonts w:cs="Times New Roman"/>
                <w:sz w:val="28"/>
                <w:szCs w:val="28"/>
                <w:lang w:bidi="ar-SA"/>
              </w:rPr>
              <w:t>u</w:t>
            </w:r>
            <w:r w:rsidR="0081116E">
              <w:rPr>
                <w:rFonts w:cs="Times New Roman"/>
                <w:sz w:val="28"/>
                <w:szCs w:val="28"/>
                <w:lang w:bidi="ar-SA"/>
              </w:rPr>
              <w:t xml:space="preserve"> katras pakāpes ietvaros valsts un pašvaldību institūciju darbiniekiem un amatpersonām noteiktajām </w:t>
            </w:r>
            <w:r w:rsidR="0081116E">
              <w:rPr>
                <w:rFonts w:cs="Times New Roman"/>
                <w:sz w:val="28"/>
                <w:szCs w:val="28"/>
                <w:lang w:bidi="ar-SA"/>
              </w:rPr>
              <w:lastRenderedPageBreak/>
              <w:t>mēnešalgu grupām</w:t>
            </w:r>
            <w:r w:rsidR="006C4C8D">
              <w:rPr>
                <w:rFonts w:cs="Times New Roman"/>
                <w:sz w:val="28"/>
                <w:szCs w:val="28"/>
                <w:lang w:bidi="ar-SA"/>
              </w:rPr>
              <w:t>: kareivju sastāvam 5</w:t>
            </w:r>
            <w:r w:rsidR="002E58C9">
              <w:rPr>
                <w:rFonts w:cs="Times New Roman"/>
                <w:sz w:val="28"/>
                <w:szCs w:val="28"/>
                <w:lang w:bidi="ar-SA"/>
              </w:rPr>
              <w:t>.</w:t>
            </w:r>
            <w:r w:rsidR="006C4C8D">
              <w:rPr>
                <w:rFonts w:cs="Times New Roman"/>
                <w:sz w:val="28"/>
                <w:szCs w:val="28"/>
                <w:lang w:bidi="ar-SA"/>
              </w:rPr>
              <w:t>-6</w:t>
            </w:r>
            <w:r w:rsidR="002E58C9">
              <w:rPr>
                <w:rFonts w:cs="Times New Roman"/>
                <w:sz w:val="28"/>
                <w:szCs w:val="28"/>
                <w:lang w:bidi="ar-SA"/>
              </w:rPr>
              <w:t>. mēnešalgu grupas</w:t>
            </w:r>
            <w:r w:rsidR="006C4C8D">
              <w:rPr>
                <w:rFonts w:cs="Times New Roman"/>
                <w:sz w:val="28"/>
                <w:szCs w:val="28"/>
                <w:lang w:bidi="ar-SA"/>
              </w:rPr>
              <w:t xml:space="preserve">, </w:t>
            </w:r>
            <w:r w:rsidR="00C97FA8">
              <w:rPr>
                <w:rFonts w:cs="Times New Roman"/>
                <w:sz w:val="28"/>
                <w:szCs w:val="28"/>
                <w:lang w:bidi="ar-SA"/>
              </w:rPr>
              <w:t xml:space="preserve">jaunāko un vecāko </w:t>
            </w:r>
            <w:r w:rsidR="006C4C8D">
              <w:rPr>
                <w:rFonts w:cs="Times New Roman"/>
                <w:sz w:val="28"/>
                <w:szCs w:val="28"/>
                <w:lang w:bidi="ar-SA"/>
              </w:rPr>
              <w:t>instruktoru sastāvam –7</w:t>
            </w:r>
            <w:r w:rsidR="002E58C9">
              <w:rPr>
                <w:rFonts w:cs="Times New Roman"/>
                <w:sz w:val="28"/>
                <w:szCs w:val="28"/>
                <w:lang w:bidi="ar-SA"/>
              </w:rPr>
              <w:t>.</w:t>
            </w:r>
            <w:r w:rsidR="006C4C8D">
              <w:rPr>
                <w:rFonts w:cs="Times New Roman"/>
                <w:sz w:val="28"/>
                <w:szCs w:val="28"/>
                <w:lang w:bidi="ar-SA"/>
              </w:rPr>
              <w:t>-1</w:t>
            </w:r>
            <w:r w:rsidR="00C97FA8">
              <w:rPr>
                <w:rFonts w:cs="Times New Roman"/>
                <w:sz w:val="28"/>
                <w:szCs w:val="28"/>
                <w:lang w:bidi="ar-SA"/>
              </w:rPr>
              <w:t>0</w:t>
            </w:r>
            <w:r w:rsidR="002E58C9">
              <w:rPr>
                <w:rFonts w:cs="Times New Roman"/>
                <w:sz w:val="28"/>
                <w:szCs w:val="28"/>
                <w:lang w:bidi="ar-SA"/>
              </w:rPr>
              <w:t>. mēnešalgu grupas</w:t>
            </w:r>
            <w:r w:rsidR="006C4C8D">
              <w:rPr>
                <w:rFonts w:cs="Times New Roman"/>
                <w:sz w:val="28"/>
                <w:szCs w:val="28"/>
                <w:lang w:bidi="ar-SA"/>
              </w:rPr>
              <w:t xml:space="preserve">, </w:t>
            </w:r>
            <w:r w:rsidR="00C97FA8">
              <w:rPr>
                <w:rFonts w:cs="Times New Roman"/>
                <w:sz w:val="28"/>
                <w:szCs w:val="28"/>
                <w:lang w:bidi="ar-SA"/>
              </w:rPr>
              <w:t>augstāko instruktoru sastāvam –10</w:t>
            </w:r>
            <w:r w:rsidR="002E58C9">
              <w:rPr>
                <w:rFonts w:cs="Times New Roman"/>
                <w:sz w:val="28"/>
                <w:szCs w:val="28"/>
                <w:lang w:bidi="ar-SA"/>
              </w:rPr>
              <w:t>.</w:t>
            </w:r>
            <w:r w:rsidR="00C97FA8">
              <w:rPr>
                <w:rFonts w:cs="Times New Roman"/>
                <w:sz w:val="28"/>
                <w:szCs w:val="28"/>
                <w:lang w:bidi="ar-SA"/>
              </w:rPr>
              <w:t>-11</w:t>
            </w:r>
            <w:r w:rsidR="002E58C9">
              <w:rPr>
                <w:rFonts w:cs="Times New Roman"/>
                <w:sz w:val="28"/>
                <w:szCs w:val="28"/>
                <w:lang w:bidi="ar-SA"/>
              </w:rPr>
              <w:t>. mēnešalgu grupas</w:t>
            </w:r>
            <w:r w:rsidR="00C97FA8">
              <w:rPr>
                <w:rFonts w:cs="Times New Roman"/>
                <w:sz w:val="28"/>
                <w:szCs w:val="28"/>
                <w:lang w:bidi="ar-SA"/>
              </w:rPr>
              <w:t xml:space="preserve">, </w:t>
            </w:r>
            <w:r w:rsidR="006C4C8D">
              <w:rPr>
                <w:rFonts w:cs="Times New Roman"/>
                <w:sz w:val="28"/>
                <w:szCs w:val="28"/>
                <w:lang w:bidi="ar-SA"/>
              </w:rPr>
              <w:t>virsniek</w:t>
            </w:r>
            <w:r w:rsidR="00C97FA8">
              <w:rPr>
                <w:rFonts w:cs="Times New Roman"/>
                <w:sz w:val="28"/>
                <w:szCs w:val="28"/>
                <w:lang w:bidi="ar-SA"/>
              </w:rPr>
              <w:t xml:space="preserve">iem </w:t>
            </w:r>
            <w:r w:rsidR="0005169C">
              <w:rPr>
                <w:rFonts w:cs="Times New Roman"/>
                <w:sz w:val="28"/>
                <w:szCs w:val="28"/>
                <w:lang w:bidi="ar-SA"/>
              </w:rPr>
              <w:t>zemākā līmeņa vadītājiem atbilstošās pakāpēs –7</w:t>
            </w:r>
            <w:r w:rsidR="002E58C9">
              <w:rPr>
                <w:rFonts w:cs="Times New Roman"/>
                <w:sz w:val="28"/>
                <w:szCs w:val="28"/>
                <w:lang w:bidi="ar-SA"/>
              </w:rPr>
              <w:t>.</w:t>
            </w:r>
            <w:r w:rsidR="0005169C">
              <w:rPr>
                <w:rFonts w:cs="Times New Roman"/>
                <w:sz w:val="28"/>
                <w:szCs w:val="28"/>
                <w:lang w:bidi="ar-SA"/>
              </w:rPr>
              <w:t>-11</w:t>
            </w:r>
            <w:r w:rsidR="002E58C9">
              <w:rPr>
                <w:rFonts w:cs="Times New Roman"/>
                <w:sz w:val="28"/>
                <w:szCs w:val="28"/>
                <w:lang w:bidi="ar-SA"/>
              </w:rPr>
              <w:t>. mēnešalgu grupas</w:t>
            </w:r>
            <w:r w:rsidR="0005169C">
              <w:rPr>
                <w:rFonts w:cs="Times New Roman"/>
                <w:sz w:val="28"/>
                <w:szCs w:val="28"/>
                <w:lang w:bidi="ar-SA"/>
              </w:rPr>
              <w:t>, virsniekiem vidējā līmeņa vadītājiem atbilstošās pakāpēs –12</w:t>
            </w:r>
            <w:r w:rsidR="002E58C9">
              <w:rPr>
                <w:rFonts w:cs="Times New Roman"/>
                <w:sz w:val="28"/>
                <w:szCs w:val="28"/>
                <w:lang w:bidi="ar-SA"/>
              </w:rPr>
              <w:t>.</w:t>
            </w:r>
            <w:r w:rsidR="0005169C">
              <w:rPr>
                <w:rFonts w:cs="Times New Roman"/>
                <w:sz w:val="28"/>
                <w:szCs w:val="28"/>
                <w:lang w:bidi="ar-SA"/>
              </w:rPr>
              <w:t>-13</w:t>
            </w:r>
            <w:r w:rsidR="002E58C9">
              <w:rPr>
                <w:rFonts w:cs="Times New Roman"/>
                <w:sz w:val="28"/>
                <w:szCs w:val="28"/>
                <w:lang w:bidi="ar-SA"/>
              </w:rPr>
              <w:t>. mēnešalgu grupas</w:t>
            </w:r>
            <w:r w:rsidR="0005169C">
              <w:rPr>
                <w:rFonts w:cs="Times New Roman"/>
                <w:sz w:val="28"/>
                <w:szCs w:val="28"/>
                <w:lang w:bidi="ar-SA"/>
              </w:rPr>
              <w:t>, bet virsniekiem augstākā līmeņa vadītāju pakāpēs –14</w:t>
            </w:r>
            <w:r w:rsidR="002E58C9">
              <w:rPr>
                <w:rFonts w:cs="Times New Roman"/>
                <w:sz w:val="28"/>
                <w:szCs w:val="28"/>
                <w:lang w:bidi="ar-SA"/>
              </w:rPr>
              <w:t>.</w:t>
            </w:r>
            <w:r w:rsidR="0005169C">
              <w:rPr>
                <w:rFonts w:cs="Times New Roman"/>
                <w:sz w:val="28"/>
                <w:szCs w:val="28"/>
                <w:lang w:bidi="ar-SA"/>
              </w:rPr>
              <w:t>-16</w:t>
            </w:r>
            <w:r w:rsidR="002E58C9">
              <w:rPr>
                <w:rFonts w:cs="Times New Roman"/>
                <w:sz w:val="28"/>
                <w:szCs w:val="28"/>
                <w:lang w:bidi="ar-SA"/>
              </w:rPr>
              <w:t>. mēnešalgu grupas</w:t>
            </w:r>
            <w:r w:rsidR="0005169C">
              <w:rPr>
                <w:rFonts w:cs="Times New Roman"/>
                <w:sz w:val="28"/>
                <w:szCs w:val="28"/>
                <w:lang w:bidi="ar-SA"/>
              </w:rPr>
              <w:t xml:space="preserve"> </w:t>
            </w:r>
            <w:r w:rsidR="006C4C8D">
              <w:rPr>
                <w:rFonts w:cs="Times New Roman"/>
                <w:sz w:val="28"/>
                <w:szCs w:val="28"/>
                <w:lang w:bidi="ar-SA"/>
              </w:rPr>
              <w:t>ietvaros;</w:t>
            </w:r>
          </w:p>
          <w:p w:rsidR="009E6FF5" w:rsidRPr="001E69C3" w:rsidRDefault="00CF54C7" w:rsidP="009E6FF5">
            <w:pPr>
              <w:pStyle w:val="ListParagraph"/>
              <w:numPr>
                <w:ilvl w:val="0"/>
                <w:numId w:val="7"/>
              </w:numPr>
              <w:tabs>
                <w:tab w:val="left" w:pos="1121"/>
              </w:tabs>
              <w:ind w:left="129" w:firstLine="591"/>
              <w:jc w:val="both"/>
              <w:rPr>
                <w:rFonts w:cs="Times New Roman"/>
                <w:sz w:val="28"/>
                <w:szCs w:val="28"/>
                <w:lang w:bidi="ar-SA"/>
              </w:rPr>
            </w:pPr>
            <w:r w:rsidRPr="009E6FF5">
              <w:rPr>
                <w:rFonts w:cs="Times New Roman"/>
                <w:sz w:val="28"/>
                <w:szCs w:val="28"/>
                <w:lang w:bidi="ar-SA"/>
              </w:rPr>
              <w:t>lai motivētu karavīru paaugstināt savu profesionālo kvalifikāciju, tiek paredzēts karavīram, kurš</w:t>
            </w:r>
            <w:r w:rsidR="002E58C9" w:rsidRPr="009E6FF5">
              <w:rPr>
                <w:rFonts w:cs="Times New Roman"/>
                <w:sz w:val="28"/>
                <w:szCs w:val="28"/>
                <w:lang w:bidi="ar-SA"/>
              </w:rPr>
              <w:t xml:space="preserve"> </w:t>
            </w:r>
            <w:r w:rsidRPr="009E6FF5">
              <w:rPr>
                <w:rFonts w:cs="Times New Roman"/>
                <w:sz w:val="28"/>
                <w:szCs w:val="28"/>
                <w:lang w:bidi="ar-SA"/>
              </w:rPr>
              <w:t>apguvis Militārā dienesta likumā noteiktos, nākamās dienesta pakāpes saņemšanai un augstākas pakāpes amata pildīšanai nepieciešamos militārās</w:t>
            </w:r>
            <w:r w:rsidR="004C525A">
              <w:rPr>
                <w:rFonts w:cs="Times New Roman"/>
                <w:sz w:val="28"/>
                <w:szCs w:val="28"/>
                <w:lang w:bidi="ar-SA"/>
              </w:rPr>
              <w:t xml:space="preserve"> izglītības kursus,</w:t>
            </w:r>
            <w:r w:rsidR="007673B0">
              <w:rPr>
                <w:rFonts w:cs="Times New Roman"/>
                <w:sz w:val="28"/>
                <w:szCs w:val="28"/>
                <w:lang w:bidi="ar-SA"/>
              </w:rPr>
              <w:t xml:space="preserve"> nosakot Valsts un pašvaldību institūciju amatpersonu un darbinieku atlīdzības likuma 9.panta otrajā daļā noteikto piemaksu,</w:t>
            </w:r>
            <w:r w:rsidR="004C525A">
              <w:rPr>
                <w:rFonts w:cs="Times New Roman"/>
                <w:sz w:val="28"/>
                <w:szCs w:val="28"/>
                <w:lang w:bidi="ar-SA"/>
              </w:rPr>
              <w:t xml:space="preserve"> piemērot II </w:t>
            </w:r>
            <w:r w:rsidR="00E64713" w:rsidRPr="009E6FF5">
              <w:rPr>
                <w:rFonts w:cs="Times New Roman"/>
                <w:sz w:val="28"/>
                <w:szCs w:val="28"/>
                <w:lang w:bidi="ar-SA"/>
              </w:rPr>
              <w:t>mēnešalgas li</w:t>
            </w:r>
            <w:r w:rsidRPr="009E6FF5">
              <w:rPr>
                <w:rFonts w:cs="Times New Roman"/>
                <w:sz w:val="28"/>
                <w:szCs w:val="28"/>
                <w:lang w:bidi="ar-SA"/>
              </w:rPr>
              <w:t>kmi</w:t>
            </w:r>
            <w:r w:rsidR="009E6FF5" w:rsidRPr="009E6FF5">
              <w:rPr>
                <w:rFonts w:cs="Times New Roman"/>
                <w:sz w:val="28"/>
                <w:szCs w:val="28"/>
                <w:lang w:bidi="ar-SA"/>
              </w:rPr>
              <w:t>,</w:t>
            </w:r>
            <w:r w:rsidR="009E6FF5">
              <w:rPr>
                <w:rFonts w:cs="Times New Roman"/>
                <w:sz w:val="28"/>
                <w:szCs w:val="28"/>
                <w:lang w:bidi="ar-SA"/>
              </w:rPr>
              <w:t xml:space="preserve"> ņemot vērā konkrētajai pakāpju grupai noteikto atbildības līmeni, amata pienākumu izpildei nepieciešamo speciālo profesionālo sagatavotību un kompetences. S</w:t>
            </w:r>
            <w:r w:rsidR="009E6FF5" w:rsidRPr="001E69C3">
              <w:rPr>
                <w:rFonts w:cs="Times New Roman"/>
                <w:sz w:val="28"/>
                <w:szCs w:val="28"/>
                <w:lang w:bidi="ar-SA"/>
              </w:rPr>
              <w:t>traujāks mēnešalgas likmes pieaugums tiek noteikts, pārejot no kareivju sastāva uz instruktoru sastāvu (saņemot kaprāļa pakāpi) un virsnieku sastāvu (saņemot leitnanta pakāpi), kā arī augstāko instruktoru un augstāko virsnieku pakāpēm, kuru iegūšanai nepieciešama ilgstoša (vairāk kā 20 gadu) izdiena un augsta plaša profesionālā sagatavotība (secīgi apgūti četri karjeras kursi);</w:t>
            </w:r>
          </w:p>
          <w:p w:rsidR="00833773" w:rsidRPr="007C0E32" w:rsidRDefault="007C0E32" w:rsidP="007C0E32">
            <w:pPr>
              <w:pStyle w:val="ListParagraph"/>
              <w:ind w:left="129" w:firstLine="591"/>
              <w:jc w:val="both"/>
              <w:rPr>
                <w:rFonts w:cs="Times New Roman"/>
                <w:sz w:val="28"/>
                <w:szCs w:val="28"/>
                <w:lang w:bidi="ar-SA"/>
              </w:rPr>
            </w:pPr>
            <w:r>
              <w:rPr>
                <w:rFonts w:cs="Times New Roman"/>
                <w:sz w:val="28"/>
                <w:szCs w:val="28"/>
                <w:lang w:bidi="ar-SA"/>
              </w:rPr>
              <w:t xml:space="preserve">Veiktās izmaiņas nodrošina papildus motivēšanas pasākumus visos Nacionālo bruņoto spēku cilvēkresursu politikas īstenošanas posmos: personāla piesaistē un sagatavošanā dienestam, profesionālajā pilnveidē un izaugsmē, kā arī karavīru noturēšanā dienestā. Vienlaikus tiek īstenota mēnešalgas likmes dinamikas piesaiste katras dienesta pakāpes un katras izdienas kategorijas specifikai. </w:t>
            </w:r>
          </w:p>
        </w:tc>
      </w:tr>
      <w:tr w:rsidR="007C1053" w:rsidRPr="006E1657" w:rsidTr="00EB2F97">
        <w:trPr>
          <w:trHeight w:val="465"/>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lastRenderedPageBreak/>
              <w:t>3.</w:t>
            </w:r>
          </w:p>
        </w:tc>
        <w:tc>
          <w:tcPr>
            <w:tcW w:w="1239"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Projekta izstrādē iesaistītās institūcijas</w:t>
            </w:r>
          </w:p>
        </w:tc>
        <w:tc>
          <w:tcPr>
            <w:tcW w:w="3187" w:type="pct"/>
            <w:tcBorders>
              <w:top w:val="outset" w:sz="6" w:space="0" w:color="auto"/>
              <w:left w:val="outset" w:sz="6" w:space="0" w:color="auto"/>
              <w:bottom w:val="outset" w:sz="6" w:space="0" w:color="auto"/>
              <w:right w:val="outset" w:sz="6" w:space="0" w:color="auto"/>
            </w:tcBorders>
            <w:hideMark/>
          </w:tcPr>
          <w:p w:rsidR="00226001" w:rsidRPr="006E1657" w:rsidRDefault="00910940" w:rsidP="00BF5ABA">
            <w:pPr>
              <w:ind w:firstLine="554"/>
              <w:jc w:val="both"/>
              <w:rPr>
                <w:sz w:val="28"/>
                <w:szCs w:val="28"/>
              </w:rPr>
            </w:pPr>
            <w:r w:rsidRPr="00B168AB">
              <w:rPr>
                <w:sz w:val="28"/>
                <w:szCs w:val="28"/>
              </w:rPr>
              <w:t>Noteikumu projekts ir izstrādāts Aizsardzības ministrijā sadarbībā ar Nacionālajiem bruņotajiem spēkiem.</w:t>
            </w:r>
          </w:p>
        </w:tc>
      </w:tr>
      <w:tr w:rsidR="007C1053" w:rsidRPr="006E1657" w:rsidTr="00EB2F97">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4.</w:t>
            </w:r>
          </w:p>
        </w:tc>
        <w:tc>
          <w:tcPr>
            <w:tcW w:w="1239"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Cita informācija</w:t>
            </w:r>
          </w:p>
        </w:tc>
        <w:tc>
          <w:tcPr>
            <w:tcW w:w="3187" w:type="pct"/>
            <w:tcBorders>
              <w:top w:val="outset" w:sz="6" w:space="0" w:color="auto"/>
              <w:left w:val="outset" w:sz="6" w:space="0" w:color="auto"/>
              <w:bottom w:val="outset" w:sz="6" w:space="0" w:color="auto"/>
              <w:right w:val="outset" w:sz="6" w:space="0" w:color="auto"/>
            </w:tcBorders>
            <w:hideMark/>
          </w:tcPr>
          <w:p w:rsidR="00C664B0" w:rsidRPr="006E1657" w:rsidRDefault="00D81FF1" w:rsidP="00D81FF1">
            <w:pPr>
              <w:ind w:firstLine="31"/>
              <w:jc w:val="both"/>
              <w:rPr>
                <w:sz w:val="28"/>
                <w:szCs w:val="28"/>
              </w:rPr>
            </w:pPr>
            <w:r>
              <w:rPr>
                <w:sz w:val="28"/>
                <w:szCs w:val="28"/>
              </w:rPr>
              <w:t>Nav</w:t>
            </w:r>
          </w:p>
        </w:tc>
      </w:tr>
    </w:tbl>
    <w:p w:rsidR="00EB2F97" w:rsidRDefault="00EB2F97"/>
    <w:tbl>
      <w:tblPr>
        <w:tblW w:w="5699"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
        <w:gridCol w:w="2387"/>
        <w:gridCol w:w="6325"/>
      </w:tblGrid>
      <w:tr w:rsidR="00226001" w:rsidRPr="006E1657" w:rsidTr="00426F29">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226001" w:rsidRPr="00B168AB" w:rsidRDefault="00226001" w:rsidP="00226001">
            <w:pPr>
              <w:rPr>
                <w:b/>
                <w:bCs/>
                <w:sz w:val="28"/>
                <w:szCs w:val="28"/>
              </w:rPr>
            </w:pPr>
            <w:r w:rsidRPr="006E1657">
              <w:t> </w:t>
            </w:r>
            <w:r w:rsidRPr="00B168AB">
              <w:rPr>
                <w:b/>
                <w:bCs/>
                <w:sz w:val="28"/>
                <w:szCs w:val="28"/>
              </w:rPr>
              <w:t>II. Tiesību akta projekta ietekme uz sabiedrību, tautsaimniecības attīstību un administratīvo slogu</w:t>
            </w:r>
          </w:p>
        </w:tc>
      </w:tr>
      <w:tr w:rsidR="00F24779" w:rsidRPr="00D623BB" w:rsidTr="00EB2F97">
        <w:trPr>
          <w:trHeight w:val="465"/>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1.</w:t>
            </w:r>
          </w:p>
        </w:tc>
        <w:tc>
          <w:tcPr>
            <w:tcW w:w="123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Sabiedrības mērķgrupas, kuras tiesiskais regulējums ietekmē vai varētu ietekmēt</w:t>
            </w:r>
          </w:p>
        </w:tc>
        <w:tc>
          <w:tcPr>
            <w:tcW w:w="3248" w:type="pct"/>
            <w:tcBorders>
              <w:top w:val="outset" w:sz="6" w:space="0" w:color="auto"/>
              <w:left w:val="outset" w:sz="6" w:space="0" w:color="auto"/>
              <w:bottom w:val="outset" w:sz="6" w:space="0" w:color="auto"/>
              <w:right w:val="outset" w:sz="6" w:space="0" w:color="auto"/>
            </w:tcBorders>
            <w:hideMark/>
          </w:tcPr>
          <w:p w:rsidR="00910940" w:rsidRPr="00B168AB" w:rsidRDefault="00910940" w:rsidP="006B1A16">
            <w:pPr>
              <w:jc w:val="both"/>
              <w:rPr>
                <w:sz w:val="28"/>
                <w:szCs w:val="28"/>
              </w:rPr>
            </w:pPr>
            <w:r w:rsidRPr="00B168AB">
              <w:rPr>
                <w:sz w:val="28"/>
                <w:szCs w:val="28"/>
              </w:rPr>
              <w:t xml:space="preserve">Noteikumu projekts attiecināms uz </w:t>
            </w:r>
            <w:r w:rsidR="00DD7579" w:rsidRPr="00B168AB">
              <w:rPr>
                <w:sz w:val="28"/>
                <w:szCs w:val="28"/>
              </w:rPr>
              <w:t>Nacionālo bruņoto spēku karavīri</w:t>
            </w:r>
            <w:r w:rsidRPr="00B168AB">
              <w:rPr>
                <w:sz w:val="28"/>
                <w:szCs w:val="28"/>
              </w:rPr>
              <w:t>em</w:t>
            </w:r>
            <w:r w:rsidR="006B1A16" w:rsidRPr="00B168AB">
              <w:rPr>
                <w:sz w:val="28"/>
                <w:szCs w:val="28"/>
              </w:rPr>
              <w:t>.</w:t>
            </w:r>
          </w:p>
        </w:tc>
      </w:tr>
      <w:tr w:rsidR="00F24779" w:rsidRPr="00D623BB" w:rsidTr="00EB2F97">
        <w:trPr>
          <w:trHeight w:val="510"/>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2.</w:t>
            </w:r>
          </w:p>
        </w:tc>
        <w:tc>
          <w:tcPr>
            <w:tcW w:w="123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Tiesiskā regulējuma ietekme uz tautsaimniecību un administratīvo slogu</w:t>
            </w:r>
          </w:p>
        </w:tc>
        <w:tc>
          <w:tcPr>
            <w:tcW w:w="3248" w:type="pct"/>
            <w:tcBorders>
              <w:top w:val="outset" w:sz="6" w:space="0" w:color="auto"/>
              <w:left w:val="outset" w:sz="6" w:space="0" w:color="auto"/>
              <w:bottom w:val="outset" w:sz="6" w:space="0" w:color="auto"/>
              <w:right w:val="outset" w:sz="6" w:space="0" w:color="auto"/>
            </w:tcBorders>
            <w:hideMark/>
          </w:tcPr>
          <w:p w:rsidR="00226001" w:rsidRPr="00B168AB" w:rsidRDefault="00910940" w:rsidP="006B1A16">
            <w:pPr>
              <w:jc w:val="both"/>
              <w:rPr>
                <w:sz w:val="28"/>
                <w:szCs w:val="28"/>
              </w:rPr>
            </w:pPr>
            <w:r w:rsidRPr="00B168AB">
              <w:rPr>
                <w:sz w:val="28"/>
                <w:szCs w:val="28"/>
              </w:rPr>
              <w:t>Noteikumu projekts nemaina tiesības un pienākumus, kā arī veicamās darbības</w:t>
            </w:r>
            <w:r w:rsidR="006B1A16" w:rsidRPr="00B168AB">
              <w:rPr>
                <w:sz w:val="28"/>
                <w:szCs w:val="28"/>
              </w:rPr>
              <w:t>.</w:t>
            </w:r>
          </w:p>
        </w:tc>
      </w:tr>
      <w:tr w:rsidR="00F24779" w:rsidRPr="00D623BB" w:rsidTr="00EB2F97">
        <w:trPr>
          <w:trHeight w:val="510"/>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3.</w:t>
            </w:r>
          </w:p>
        </w:tc>
        <w:tc>
          <w:tcPr>
            <w:tcW w:w="123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Administratīvo izmaksu monetārs novērtējums</w:t>
            </w:r>
          </w:p>
        </w:tc>
        <w:tc>
          <w:tcPr>
            <w:tcW w:w="3248" w:type="pct"/>
            <w:tcBorders>
              <w:top w:val="outset" w:sz="6" w:space="0" w:color="auto"/>
              <w:left w:val="outset" w:sz="6" w:space="0" w:color="auto"/>
              <w:bottom w:val="outset" w:sz="6" w:space="0" w:color="auto"/>
              <w:right w:val="outset" w:sz="6" w:space="0" w:color="auto"/>
            </w:tcBorders>
            <w:hideMark/>
          </w:tcPr>
          <w:p w:rsidR="00226001" w:rsidRPr="00B168AB" w:rsidRDefault="009235D7" w:rsidP="00226001">
            <w:pPr>
              <w:rPr>
                <w:sz w:val="28"/>
                <w:szCs w:val="28"/>
              </w:rPr>
            </w:pPr>
            <w:r w:rsidRPr="00B168AB">
              <w:rPr>
                <w:sz w:val="28"/>
                <w:szCs w:val="28"/>
              </w:rPr>
              <w:t>Projekts šo jomu neskar.</w:t>
            </w:r>
          </w:p>
        </w:tc>
      </w:tr>
      <w:tr w:rsidR="00F24779" w:rsidRPr="006E1657" w:rsidTr="00EB2F97">
        <w:trPr>
          <w:trHeight w:val="456"/>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4.</w:t>
            </w:r>
          </w:p>
        </w:tc>
        <w:tc>
          <w:tcPr>
            <w:tcW w:w="1230"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Cita informācija</w:t>
            </w:r>
          </w:p>
        </w:tc>
        <w:tc>
          <w:tcPr>
            <w:tcW w:w="3248" w:type="pct"/>
            <w:tcBorders>
              <w:top w:val="outset" w:sz="6" w:space="0" w:color="auto"/>
              <w:left w:val="outset" w:sz="6" w:space="0" w:color="auto"/>
              <w:bottom w:val="outset" w:sz="6" w:space="0" w:color="auto"/>
              <w:right w:val="outset" w:sz="6" w:space="0" w:color="auto"/>
            </w:tcBorders>
            <w:hideMark/>
          </w:tcPr>
          <w:p w:rsidR="00226001" w:rsidRPr="00B168AB" w:rsidRDefault="00226001" w:rsidP="00226001">
            <w:pPr>
              <w:rPr>
                <w:sz w:val="28"/>
                <w:szCs w:val="28"/>
              </w:rPr>
            </w:pPr>
            <w:r w:rsidRPr="00B168AB">
              <w:rPr>
                <w:sz w:val="28"/>
                <w:szCs w:val="28"/>
              </w:rPr>
              <w:t>Na</w:t>
            </w:r>
            <w:r w:rsidR="009235D7" w:rsidRPr="00B168AB">
              <w:rPr>
                <w:sz w:val="28"/>
                <w:szCs w:val="28"/>
              </w:rPr>
              <w:t>v</w:t>
            </w:r>
          </w:p>
        </w:tc>
      </w:tr>
    </w:tbl>
    <w:p w:rsidR="00226001" w:rsidRDefault="00226001" w:rsidP="00226001"/>
    <w:p w:rsidR="00EB2F97" w:rsidRPr="006E1657" w:rsidRDefault="00EB2F97" w:rsidP="00226001"/>
    <w:tbl>
      <w:tblPr>
        <w:tblW w:w="974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02"/>
        <w:gridCol w:w="1374"/>
        <w:gridCol w:w="1375"/>
        <w:gridCol w:w="1463"/>
        <w:gridCol w:w="1461"/>
        <w:gridCol w:w="1572"/>
      </w:tblGrid>
      <w:tr w:rsidR="00BD6584" w:rsidRPr="00BD6584" w:rsidTr="00EB2F97">
        <w:trPr>
          <w:trHeight w:val="361"/>
          <w:tblCellSpacing w:w="20" w:type="dxa"/>
          <w:jc w:val="center"/>
        </w:trPr>
        <w:tc>
          <w:tcPr>
            <w:tcW w:w="9667" w:type="dxa"/>
            <w:gridSpan w:val="6"/>
            <w:vAlign w:val="center"/>
          </w:tcPr>
          <w:p w:rsidR="00BD6584" w:rsidRPr="00BD6584" w:rsidRDefault="00226001" w:rsidP="00CB29C0">
            <w:pPr>
              <w:pStyle w:val="naisnod"/>
              <w:spacing w:before="0" w:after="0"/>
              <w:rPr>
                <w:b w:val="0"/>
                <w:i/>
                <w:sz w:val="28"/>
                <w:szCs w:val="28"/>
              </w:rPr>
            </w:pPr>
            <w:r w:rsidRPr="006E1657">
              <w:t> </w:t>
            </w:r>
            <w:r w:rsidRPr="006E1657">
              <w:rPr>
                <w:sz w:val="28"/>
                <w:szCs w:val="28"/>
              </w:rPr>
              <w:t>  </w:t>
            </w:r>
            <w:r w:rsidR="00BD6584" w:rsidRPr="00BD6584">
              <w:rPr>
                <w:sz w:val="28"/>
                <w:szCs w:val="28"/>
              </w:rPr>
              <w:br w:type="page"/>
              <w:t>III. Tiesību akta projekta ietekme uz valsts budžetu un pašvaldību budžetiem</w:t>
            </w:r>
          </w:p>
        </w:tc>
      </w:tr>
      <w:tr w:rsidR="00BD6584" w:rsidRPr="00BD6584" w:rsidTr="00EB2F97">
        <w:trPr>
          <w:tblCellSpacing w:w="20" w:type="dxa"/>
          <w:jc w:val="center"/>
        </w:trPr>
        <w:tc>
          <w:tcPr>
            <w:tcW w:w="2442" w:type="dxa"/>
            <w:vMerge w:val="restart"/>
            <w:vAlign w:val="center"/>
          </w:tcPr>
          <w:p w:rsidR="00BD6584" w:rsidRPr="00BD6584" w:rsidRDefault="00BD6584" w:rsidP="00CB29C0">
            <w:pPr>
              <w:pStyle w:val="naisf"/>
              <w:spacing w:before="0" w:after="0"/>
              <w:jc w:val="center"/>
              <w:rPr>
                <w:b/>
                <w:sz w:val="28"/>
                <w:szCs w:val="28"/>
              </w:rPr>
            </w:pPr>
            <w:r w:rsidRPr="00BD6584">
              <w:rPr>
                <w:b/>
                <w:sz w:val="28"/>
                <w:szCs w:val="28"/>
              </w:rPr>
              <w:t>Rādītāji</w:t>
            </w:r>
          </w:p>
        </w:tc>
        <w:tc>
          <w:tcPr>
            <w:tcW w:w="2709" w:type="dxa"/>
            <w:gridSpan w:val="2"/>
            <w:vMerge w:val="restart"/>
            <w:vAlign w:val="center"/>
          </w:tcPr>
          <w:p w:rsidR="00BD6584" w:rsidRPr="00BD6584" w:rsidRDefault="00BD6584" w:rsidP="00CB29C0">
            <w:pPr>
              <w:pStyle w:val="naisf"/>
              <w:spacing w:before="0" w:after="0"/>
              <w:jc w:val="center"/>
              <w:rPr>
                <w:b/>
                <w:sz w:val="28"/>
                <w:szCs w:val="28"/>
              </w:rPr>
            </w:pPr>
            <w:r w:rsidRPr="00BD6584">
              <w:rPr>
                <w:b/>
                <w:sz w:val="28"/>
                <w:szCs w:val="28"/>
              </w:rPr>
              <w:t>2015</w:t>
            </w:r>
          </w:p>
        </w:tc>
        <w:tc>
          <w:tcPr>
            <w:tcW w:w="4436" w:type="dxa"/>
            <w:gridSpan w:val="3"/>
            <w:vAlign w:val="center"/>
          </w:tcPr>
          <w:p w:rsidR="00BD6584" w:rsidRPr="00BD6584" w:rsidRDefault="00BD6584" w:rsidP="00CB29C0">
            <w:pPr>
              <w:pStyle w:val="naisf"/>
              <w:spacing w:before="0" w:after="0"/>
              <w:jc w:val="center"/>
              <w:rPr>
                <w:b/>
                <w:i/>
                <w:sz w:val="28"/>
                <w:szCs w:val="28"/>
              </w:rPr>
            </w:pPr>
            <w:r w:rsidRPr="00BD6584">
              <w:rPr>
                <w:sz w:val="28"/>
                <w:szCs w:val="28"/>
              </w:rPr>
              <w:t>Turpmākie trīs gadi (</w:t>
            </w:r>
            <w:proofErr w:type="spellStart"/>
            <w:r w:rsidRPr="00BD6584">
              <w:rPr>
                <w:i/>
                <w:sz w:val="28"/>
                <w:szCs w:val="28"/>
              </w:rPr>
              <w:t>euro</w:t>
            </w:r>
            <w:proofErr w:type="spellEnd"/>
            <w:r w:rsidRPr="00BD6584">
              <w:rPr>
                <w:sz w:val="28"/>
                <w:szCs w:val="28"/>
              </w:rPr>
              <w:t>)</w:t>
            </w:r>
          </w:p>
        </w:tc>
      </w:tr>
      <w:tr w:rsidR="00BD6584" w:rsidRPr="00BD6584" w:rsidTr="00EB2F97">
        <w:trPr>
          <w:tblCellSpacing w:w="20" w:type="dxa"/>
          <w:jc w:val="center"/>
        </w:trPr>
        <w:tc>
          <w:tcPr>
            <w:tcW w:w="2442" w:type="dxa"/>
            <w:vMerge/>
            <w:vAlign w:val="center"/>
          </w:tcPr>
          <w:p w:rsidR="00BD6584" w:rsidRPr="00BD6584" w:rsidRDefault="00BD6584" w:rsidP="00CB29C0">
            <w:pPr>
              <w:pStyle w:val="naisf"/>
              <w:spacing w:before="0" w:after="0"/>
              <w:jc w:val="center"/>
              <w:rPr>
                <w:b/>
                <w:i/>
                <w:sz w:val="28"/>
                <w:szCs w:val="28"/>
              </w:rPr>
            </w:pPr>
          </w:p>
        </w:tc>
        <w:tc>
          <w:tcPr>
            <w:tcW w:w="2709" w:type="dxa"/>
            <w:gridSpan w:val="2"/>
            <w:vMerge/>
            <w:vAlign w:val="center"/>
          </w:tcPr>
          <w:p w:rsidR="00BD6584" w:rsidRPr="00BD6584" w:rsidRDefault="00BD6584" w:rsidP="00CB29C0">
            <w:pPr>
              <w:pStyle w:val="naisf"/>
              <w:spacing w:before="0" w:after="0"/>
              <w:jc w:val="center"/>
              <w:rPr>
                <w:b/>
                <w:i/>
                <w:sz w:val="28"/>
                <w:szCs w:val="28"/>
              </w:rPr>
            </w:pPr>
          </w:p>
        </w:tc>
        <w:tc>
          <w:tcPr>
            <w:tcW w:w="1423" w:type="dxa"/>
            <w:vAlign w:val="center"/>
          </w:tcPr>
          <w:p w:rsidR="00BD6584" w:rsidRPr="00BD6584" w:rsidRDefault="00BD6584" w:rsidP="00CB29C0">
            <w:pPr>
              <w:pStyle w:val="naisf"/>
              <w:spacing w:before="0" w:after="0"/>
              <w:jc w:val="center"/>
              <w:rPr>
                <w:b/>
                <w:i/>
                <w:sz w:val="28"/>
                <w:szCs w:val="28"/>
              </w:rPr>
            </w:pPr>
            <w:r w:rsidRPr="00BD6584">
              <w:rPr>
                <w:b/>
                <w:bCs/>
                <w:sz w:val="28"/>
                <w:szCs w:val="28"/>
              </w:rPr>
              <w:t>2016</w:t>
            </w:r>
          </w:p>
        </w:tc>
        <w:tc>
          <w:tcPr>
            <w:tcW w:w="1421" w:type="dxa"/>
            <w:vAlign w:val="center"/>
          </w:tcPr>
          <w:p w:rsidR="00BD6584" w:rsidRPr="00BD6584" w:rsidRDefault="00BD6584" w:rsidP="00CB29C0">
            <w:pPr>
              <w:pStyle w:val="naisf"/>
              <w:spacing w:before="0" w:after="0"/>
              <w:jc w:val="center"/>
              <w:rPr>
                <w:b/>
                <w:i/>
                <w:sz w:val="28"/>
                <w:szCs w:val="28"/>
              </w:rPr>
            </w:pPr>
            <w:r w:rsidRPr="00BD6584">
              <w:rPr>
                <w:b/>
                <w:bCs/>
                <w:sz w:val="28"/>
                <w:szCs w:val="28"/>
              </w:rPr>
              <w:t>2017</w:t>
            </w:r>
          </w:p>
        </w:tc>
        <w:tc>
          <w:tcPr>
            <w:tcW w:w="1512" w:type="dxa"/>
            <w:vAlign w:val="center"/>
          </w:tcPr>
          <w:p w:rsidR="00BD6584" w:rsidRPr="00BD6584" w:rsidRDefault="00BD6584" w:rsidP="00CB29C0">
            <w:pPr>
              <w:pStyle w:val="naisf"/>
              <w:spacing w:before="0" w:after="0"/>
              <w:jc w:val="center"/>
              <w:rPr>
                <w:b/>
                <w:i/>
                <w:sz w:val="28"/>
                <w:szCs w:val="28"/>
              </w:rPr>
            </w:pPr>
            <w:r w:rsidRPr="00BD6584">
              <w:rPr>
                <w:b/>
                <w:bCs/>
                <w:sz w:val="28"/>
                <w:szCs w:val="28"/>
              </w:rPr>
              <w:t>2018</w:t>
            </w:r>
          </w:p>
        </w:tc>
      </w:tr>
      <w:tr w:rsidR="00BD6584" w:rsidRPr="00BD6584" w:rsidTr="00EB2F97">
        <w:trPr>
          <w:tblCellSpacing w:w="20" w:type="dxa"/>
          <w:jc w:val="center"/>
        </w:trPr>
        <w:tc>
          <w:tcPr>
            <w:tcW w:w="2442" w:type="dxa"/>
            <w:vMerge/>
            <w:vAlign w:val="center"/>
          </w:tcPr>
          <w:p w:rsidR="00BD6584" w:rsidRPr="00BD6584" w:rsidRDefault="00BD6584" w:rsidP="00CB29C0">
            <w:pPr>
              <w:pStyle w:val="naisf"/>
              <w:spacing w:before="0" w:after="0"/>
              <w:jc w:val="center"/>
              <w:rPr>
                <w:b/>
                <w:i/>
                <w:sz w:val="28"/>
                <w:szCs w:val="28"/>
              </w:rPr>
            </w:pPr>
          </w:p>
        </w:tc>
        <w:tc>
          <w:tcPr>
            <w:tcW w:w="1334" w:type="dxa"/>
            <w:vAlign w:val="center"/>
          </w:tcPr>
          <w:p w:rsidR="00BD6584" w:rsidRPr="00BD6584" w:rsidRDefault="00BD6584" w:rsidP="00BD6584">
            <w:pPr>
              <w:pStyle w:val="naisf"/>
              <w:spacing w:before="0" w:after="0"/>
              <w:ind w:firstLine="0"/>
              <w:jc w:val="center"/>
              <w:rPr>
                <w:b/>
                <w:i/>
                <w:sz w:val="28"/>
                <w:szCs w:val="28"/>
              </w:rPr>
            </w:pPr>
            <w:r w:rsidRPr="00BD6584">
              <w:rPr>
                <w:sz w:val="28"/>
                <w:szCs w:val="28"/>
              </w:rPr>
              <w:t>saskaņā ar valsts budžetu kārtējam gadam</w:t>
            </w:r>
          </w:p>
        </w:tc>
        <w:tc>
          <w:tcPr>
            <w:tcW w:w="1335" w:type="dxa"/>
            <w:vAlign w:val="center"/>
          </w:tcPr>
          <w:p w:rsidR="00BD6584" w:rsidRPr="00BD6584" w:rsidRDefault="00BD6584" w:rsidP="00BD6584">
            <w:pPr>
              <w:pStyle w:val="naisf"/>
              <w:spacing w:before="0" w:after="0"/>
              <w:ind w:firstLine="0"/>
              <w:jc w:val="center"/>
              <w:rPr>
                <w:b/>
                <w:i/>
                <w:sz w:val="28"/>
                <w:szCs w:val="28"/>
              </w:rPr>
            </w:pPr>
            <w:r w:rsidRPr="00BD6584">
              <w:rPr>
                <w:sz w:val="28"/>
                <w:szCs w:val="28"/>
              </w:rPr>
              <w:t>izmaiņas kārtējā gadā, salīdzinot ar budžetu kārtējam gadam</w:t>
            </w:r>
          </w:p>
        </w:tc>
        <w:tc>
          <w:tcPr>
            <w:tcW w:w="1423" w:type="dxa"/>
            <w:vAlign w:val="center"/>
          </w:tcPr>
          <w:p w:rsidR="00BD6584" w:rsidRPr="00BD6584" w:rsidRDefault="00BD6584" w:rsidP="00BD6584">
            <w:pPr>
              <w:pStyle w:val="naisf"/>
              <w:spacing w:before="0" w:after="0"/>
              <w:ind w:firstLine="0"/>
              <w:jc w:val="center"/>
              <w:rPr>
                <w:b/>
                <w:i/>
                <w:sz w:val="28"/>
                <w:szCs w:val="28"/>
              </w:rPr>
            </w:pPr>
            <w:r w:rsidRPr="00BD6584">
              <w:rPr>
                <w:sz w:val="28"/>
                <w:szCs w:val="28"/>
              </w:rPr>
              <w:t>izmaiņas, salīdzinot ar kārtējo 2015. gadu</w:t>
            </w:r>
          </w:p>
        </w:tc>
        <w:tc>
          <w:tcPr>
            <w:tcW w:w="1421" w:type="dxa"/>
            <w:vAlign w:val="center"/>
          </w:tcPr>
          <w:p w:rsidR="00BD6584" w:rsidRPr="00BD6584" w:rsidRDefault="00BD6584" w:rsidP="00BD6584">
            <w:pPr>
              <w:pStyle w:val="naisf"/>
              <w:spacing w:before="0" w:after="0"/>
              <w:ind w:firstLine="0"/>
              <w:jc w:val="center"/>
              <w:rPr>
                <w:b/>
                <w:i/>
                <w:sz w:val="28"/>
                <w:szCs w:val="28"/>
              </w:rPr>
            </w:pPr>
            <w:r w:rsidRPr="00BD6584">
              <w:rPr>
                <w:sz w:val="28"/>
                <w:szCs w:val="28"/>
              </w:rPr>
              <w:t>izmaiņas, salīdzinot ar kārtējo 2015.gadu</w:t>
            </w:r>
          </w:p>
        </w:tc>
        <w:tc>
          <w:tcPr>
            <w:tcW w:w="1512" w:type="dxa"/>
            <w:vAlign w:val="center"/>
          </w:tcPr>
          <w:p w:rsidR="00BD6584" w:rsidRPr="00BD6584" w:rsidRDefault="00BD6584" w:rsidP="00BD6584">
            <w:pPr>
              <w:pStyle w:val="naisf"/>
              <w:spacing w:before="0" w:after="0"/>
              <w:ind w:firstLine="12"/>
              <w:jc w:val="center"/>
              <w:rPr>
                <w:b/>
                <w:i/>
                <w:sz w:val="28"/>
                <w:szCs w:val="28"/>
              </w:rPr>
            </w:pPr>
            <w:r w:rsidRPr="00BD6584">
              <w:rPr>
                <w:sz w:val="28"/>
                <w:szCs w:val="28"/>
              </w:rPr>
              <w:t>izmaiņas, salīdzinot ar kārtējo 2015.gadu</w:t>
            </w:r>
          </w:p>
        </w:tc>
      </w:tr>
      <w:tr w:rsidR="00BD6584" w:rsidRPr="00BD6584" w:rsidTr="00EB2F97">
        <w:trPr>
          <w:trHeight w:val="321"/>
          <w:tblCellSpacing w:w="20" w:type="dxa"/>
          <w:jc w:val="center"/>
        </w:trPr>
        <w:tc>
          <w:tcPr>
            <w:tcW w:w="2442" w:type="dxa"/>
            <w:vAlign w:val="center"/>
          </w:tcPr>
          <w:p w:rsidR="00BD6584" w:rsidRPr="00BD6584" w:rsidRDefault="00BD6584" w:rsidP="00CB29C0">
            <w:pPr>
              <w:pStyle w:val="naisf"/>
              <w:spacing w:before="0" w:after="0"/>
              <w:jc w:val="center"/>
              <w:rPr>
                <w:bCs/>
                <w:sz w:val="28"/>
                <w:szCs w:val="28"/>
              </w:rPr>
            </w:pPr>
            <w:r w:rsidRPr="00BD6584">
              <w:rPr>
                <w:bCs/>
                <w:sz w:val="28"/>
                <w:szCs w:val="28"/>
              </w:rPr>
              <w:t>1</w:t>
            </w:r>
          </w:p>
        </w:tc>
        <w:tc>
          <w:tcPr>
            <w:tcW w:w="1334" w:type="dxa"/>
            <w:vAlign w:val="center"/>
          </w:tcPr>
          <w:p w:rsidR="00BD6584" w:rsidRPr="00BD6584" w:rsidRDefault="00BD6584" w:rsidP="00CB29C0">
            <w:pPr>
              <w:pStyle w:val="naisf"/>
              <w:spacing w:before="0" w:after="0"/>
              <w:jc w:val="center"/>
              <w:rPr>
                <w:bCs/>
                <w:sz w:val="28"/>
                <w:szCs w:val="28"/>
              </w:rPr>
            </w:pPr>
            <w:r w:rsidRPr="00BD6584">
              <w:rPr>
                <w:bCs/>
                <w:sz w:val="28"/>
                <w:szCs w:val="28"/>
              </w:rPr>
              <w:t>2</w:t>
            </w:r>
          </w:p>
        </w:tc>
        <w:tc>
          <w:tcPr>
            <w:tcW w:w="1335" w:type="dxa"/>
            <w:vAlign w:val="center"/>
          </w:tcPr>
          <w:p w:rsidR="00BD6584" w:rsidRPr="00BD6584" w:rsidRDefault="00BD6584" w:rsidP="00CB29C0">
            <w:pPr>
              <w:pStyle w:val="naisf"/>
              <w:spacing w:before="0" w:after="0"/>
              <w:jc w:val="center"/>
              <w:rPr>
                <w:bCs/>
                <w:sz w:val="28"/>
                <w:szCs w:val="28"/>
              </w:rPr>
            </w:pPr>
            <w:r w:rsidRPr="00BD6584">
              <w:rPr>
                <w:bCs/>
                <w:sz w:val="28"/>
                <w:szCs w:val="28"/>
              </w:rPr>
              <w:t>3</w:t>
            </w:r>
          </w:p>
        </w:tc>
        <w:tc>
          <w:tcPr>
            <w:tcW w:w="1423" w:type="dxa"/>
            <w:vAlign w:val="center"/>
          </w:tcPr>
          <w:p w:rsidR="00BD6584" w:rsidRPr="00BD6584" w:rsidRDefault="00BD6584" w:rsidP="00CB29C0">
            <w:pPr>
              <w:pStyle w:val="naisf"/>
              <w:spacing w:before="0" w:after="0"/>
              <w:jc w:val="center"/>
              <w:rPr>
                <w:bCs/>
                <w:sz w:val="28"/>
                <w:szCs w:val="28"/>
              </w:rPr>
            </w:pPr>
            <w:r w:rsidRPr="00BD6584">
              <w:rPr>
                <w:bCs/>
                <w:sz w:val="28"/>
                <w:szCs w:val="28"/>
              </w:rPr>
              <w:t>4</w:t>
            </w:r>
          </w:p>
        </w:tc>
        <w:tc>
          <w:tcPr>
            <w:tcW w:w="1421" w:type="dxa"/>
            <w:vAlign w:val="center"/>
          </w:tcPr>
          <w:p w:rsidR="00BD6584" w:rsidRPr="00BD6584" w:rsidRDefault="00BD6584" w:rsidP="00CB29C0">
            <w:pPr>
              <w:pStyle w:val="naisf"/>
              <w:spacing w:before="0" w:after="0"/>
              <w:jc w:val="center"/>
              <w:rPr>
                <w:bCs/>
                <w:sz w:val="28"/>
                <w:szCs w:val="28"/>
              </w:rPr>
            </w:pPr>
            <w:r w:rsidRPr="00BD6584">
              <w:rPr>
                <w:bCs/>
                <w:sz w:val="28"/>
                <w:szCs w:val="28"/>
              </w:rPr>
              <w:t>5</w:t>
            </w:r>
          </w:p>
        </w:tc>
        <w:tc>
          <w:tcPr>
            <w:tcW w:w="1512" w:type="dxa"/>
            <w:vAlign w:val="center"/>
          </w:tcPr>
          <w:p w:rsidR="00BD6584" w:rsidRPr="00BD6584" w:rsidRDefault="00BD6584" w:rsidP="00CB29C0">
            <w:pPr>
              <w:pStyle w:val="naisf"/>
              <w:spacing w:before="0" w:after="0"/>
              <w:jc w:val="center"/>
              <w:rPr>
                <w:bCs/>
                <w:sz w:val="28"/>
                <w:szCs w:val="28"/>
              </w:rPr>
            </w:pPr>
            <w:r w:rsidRPr="00BD6584">
              <w:rPr>
                <w:bCs/>
                <w:sz w:val="28"/>
                <w:szCs w:val="28"/>
              </w:rPr>
              <w:t>6</w:t>
            </w:r>
          </w:p>
        </w:tc>
      </w:tr>
      <w:tr w:rsidR="00DD10BE" w:rsidRPr="00BD6584" w:rsidTr="00EB2F97">
        <w:trPr>
          <w:tblCellSpacing w:w="20" w:type="dxa"/>
          <w:jc w:val="center"/>
        </w:trPr>
        <w:tc>
          <w:tcPr>
            <w:tcW w:w="2442" w:type="dxa"/>
          </w:tcPr>
          <w:p w:rsidR="00DD10BE" w:rsidRPr="00BD6584" w:rsidRDefault="00DD10BE" w:rsidP="00CB29C0">
            <w:pPr>
              <w:pStyle w:val="naisf"/>
              <w:spacing w:before="0" w:after="0"/>
              <w:ind w:firstLine="0"/>
              <w:rPr>
                <w:i/>
                <w:sz w:val="28"/>
                <w:szCs w:val="28"/>
              </w:rPr>
            </w:pPr>
            <w:r w:rsidRPr="00BD6584">
              <w:rPr>
                <w:sz w:val="28"/>
                <w:szCs w:val="28"/>
              </w:rPr>
              <w:t>1. Budžeta ieņēmumi:</w:t>
            </w:r>
          </w:p>
        </w:tc>
        <w:tc>
          <w:tcPr>
            <w:tcW w:w="1334" w:type="dxa"/>
          </w:tcPr>
          <w:p w:rsidR="00DD10BE" w:rsidRPr="00DD10BE" w:rsidRDefault="0064426B" w:rsidP="00DD10BE">
            <w:pPr>
              <w:pStyle w:val="naisf"/>
              <w:spacing w:before="0" w:after="0"/>
              <w:ind w:firstLine="15"/>
              <w:jc w:val="center"/>
              <w:rPr>
                <w:spacing w:val="-34"/>
                <w:sz w:val="28"/>
                <w:szCs w:val="28"/>
              </w:rPr>
            </w:pPr>
            <w:r>
              <w:rPr>
                <w:spacing w:val="-34"/>
                <w:sz w:val="28"/>
                <w:szCs w:val="28"/>
              </w:rPr>
              <w:t>79  615 296</w:t>
            </w:r>
          </w:p>
        </w:tc>
        <w:tc>
          <w:tcPr>
            <w:tcW w:w="1335" w:type="dxa"/>
          </w:tcPr>
          <w:p w:rsidR="00DD10BE" w:rsidRPr="00BD6584" w:rsidRDefault="00DD10BE" w:rsidP="00CB29C0">
            <w:pPr>
              <w:pStyle w:val="naisf"/>
              <w:spacing w:before="0" w:after="0"/>
              <w:jc w:val="center"/>
              <w:rPr>
                <w:sz w:val="28"/>
                <w:szCs w:val="28"/>
              </w:rPr>
            </w:pPr>
            <w:r>
              <w:rPr>
                <w:sz w:val="28"/>
                <w:szCs w:val="28"/>
              </w:rPr>
              <w:t>0</w:t>
            </w:r>
          </w:p>
        </w:tc>
        <w:tc>
          <w:tcPr>
            <w:tcW w:w="1423"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421"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512"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r>
      <w:tr w:rsidR="00DD10BE" w:rsidRPr="00BD6584" w:rsidTr="00EB2F97">
        <w:trPr>
          <w:tblCellSpacing w:w="20" w:type="dxa"/>
          <w:jc w:val="center"/>
        </w:trPr>
        <w:tc>
          <w:tcPr>
            <w:tcW w:w="2442" w:type="dxa"/>
          </w:tcPr>
          <w:p w:rsidR="00DD10BE" w:rsidRPr="00BD6584" w:rsidRDefault="00DD10BE" w:rsidP="00CB29C0">
            <w:pPr>
              <w:pStyle w:val="naisf"/>
              <w:spacing w:before="0" w:after="0"/>
              <w:ind w:firstLine="0"/>
              <w:rPr>
                <w:i/>
                <w:sz w:val="28"/>
                <w:szCs w:val="28"/>
              </w:rPr>
            </w:pPr>
            <w:r w:rsidRPr="00BD6584">
              <w:rPr>
                <w:sz w:val="28"/>
                <w:szCs w:val="28"/>
              </w:rPr>
              <w:t>1.1. valsts pamatbudžets, tai skaitā ieņēmumi no maksas pakalpojumiem un citi pašu ieņēmumi</w:t>
            </w:r>
          </w:p>
        </w:tc>
        <w:tc>
          <w:tcPr>
            <w:tcW w:w="1334" w:type="dxa"/>
          </w:tcPr>
          <w:p w:rsidR="00DD10BE" w:rsidRPr="00DD10BE" w:rsidRDefault="0064426B" w:rsidP="00DD10BE">
            <w:pPr>
              <w:pStyle w:val="naisf"/>
              <w:spacing w:before="0" w:after="0"/>
              <w:ind w:firstLine="15"/>
              <w:jc w:val="center"/>
              <w:rPr>
                <w:spacing w:val="-34"/>
                <w:sz w:val="28"/>
                <w:szCs w:val="28"/>
              </w:rPr>
            </w:pPr>
            <w:r>
              <w:rPr>
                <w:spacing w:val="-34"/>
                <w:sz w:val="28"/>
                <w:szCs w:val="28"/>
              </w:rPr>
              <w:t>79 615 296</w:t>
            </w:r>
          </w:p>
        </w:tc>
        <w:tc>
          <w:tcPr>
            <w:tcW w:w="1335" w:type="dxa"/>
          </w:tcPr>
          <w:p w:rsidR="00DD10BE" w:rsidRPr="00BD6584" w:rsidRDefault="00DD10BE" w:rsidP="00CB29C0">
            <w:pPr>
              <w:pStyle w:val="naisf"/>
              <w:spacing w:before="0" w:after="0"/>
              <w:jc w:val="center"/>
              <w:rPr>
                <w:sz w:val="28"/>
                <w:szCs w:val="28"/>
              </w:rPr>
            </w:pPr>
            <w:r>
              <w:rPr>
                <w:sz w:val="28"/>
                <w:szCs w:val="28"/>
              </w:rPr>
              <w:t>0</w:t>
            </w:r>
          </w:p>
        </w:tc>
        <w:tc>
          <w:tcPr>
            <w:tcW w:w="1423"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421" w:type="dxa"/>
          </w:tcPr>
          <w:p w:rsidR="00DD10BE" w:rsidRPr="00607726" w:rsidRDefault="00DD10BE" w:rsidP="00CB29C0">
            <w:pPr>
              <w:pStyle w:val="naisf"/>
              <w:spacing w:before="0" w:after="0"/>
              <w:ind w:firstLine="63"/>
              <w:jc w:val="center"/>
              <w:rPr>
                <w:spacing w:val="-28"/>
                <w:sz w:val="28"/>
                <w:szCs w:val="28"/>
              </w:rPr>
            </w:pPr>
            <w:r w:rsidRPr="00607726">
              <w:rPr>
                <w:spacing w:val="-28"/>
                <w:sz w:val="28"/>
                <w:szCs w:val="28"/>
              </w:rPr>
              <w:t>10 000 000</w:t>
            </w:r>
          </w:p>
        </w:tc>
        <w:tc>
          <w:tcPr>
            <w:tcW w:w="1512"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r>
      <w:tr w:rsidR="00BD6584" w:rsidRPr="00BD6584" w:rsidTr="00EB2F97">
        <w:trPr>
          <w:tblCellSpacing w:w="20" w:type="dxa"/>
          <w:jc w:val="center"/>
        </w:trPr>
        <w:tc>
          <w:tcPr>
            <w:tcW w:w="2442" w:type="dxa"/>
          </w:tcPr>
          <w:p w:rsidR="00BD6584" w:rsidRPr="00BD6584" w:rsidRDefault="00BD6584" w:rsidP="00CB29C0">
            <w:pPr>
              <w:pStyle w:val="naisf"/>
              <w:spacing w:before="0" w:after="0"/>
              <w:ind w:firstLine="0"/>
              <w:rPr>
                <w:i/>
                <w:sz w:val="28"/>
                <w:szCs w:val="28"/>
              </w:rPr>
            </w:pPr>
            <w:r w:rsidRPr="00BD6584">
              <w:rPr>
                <w:sz w:val="28"/>
                <w:szCs w:val="28"/>
              </w:rPr>
              <w:lastRenderedPageBreak/>
              <w:t>1.2. valsts speciālais budžets</w:t>
            </w:r>
          </w:p>
        </w:tc>
        <w:tc>
          <w:tcPr>
            <w:tcW w:w="1334" w:type="dxa"/>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pStyle w:val="naisf"/>
              <w:spacing w:before="0" w:after="0"/>
              <w:ind w:firstLine="0"/>
              <w:rPr>
                <w:i/>
                <w:sz w:val="28"/>
                <w:szCs w:val="28"/>
              </w:rPr>
            </w:pPr>
            <w:r w:rsidRPr="00BD6584">
              <w:rPr>
                <w:sz w:val="28"/>
                <w:szCs w:val="28"/>
              </w:rPr>
              <w:t>1.3. pašvaldību budžets</w:t>
            </w:r>
          </w:p>
        </w:tc>
        <w:tc>
          <w:tcPr>
            <w:tcW w:w="1334" w:type="dxa"/>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DD10BE" w:rsidRPr="00BD6584" w:rsidTr="00EB2F97">
        <w:trPr>
          <w:tblCellSpacing w:w="20" w:type="dxa"/>
          <w:jc w:val="center"/>
        </w:trPr>
        <w:tc>
          <w:tcPr>
            <w:tcW w:w="2442" w:type="dxa"/>
          </w:tcPr>
          <w:p w:rsidR="00DD10BE" w:rsidRPr="00BD6584" w:rsidRDefault="00DD10BE" w:rsidP="00CB29C0">
            <w:pPr>
              <w:rPr>
                <w:rFonts w:cs="Times New Roman"/>
                <w:sz w:val="28"/>
                <w:szCs w:val="28"/>
              </w:rPr>
            </w:pPr>
            <w:r w:rsidRPr="00BD6584">
              <w:rPr>
                <w:rFonts w:cs="Times New Roman"/>
                <w:sz w:val="28"/>
                <w:szCs w:val="28"/>
              </w:rPr>
              <w:t>2. Budžeta izdevumi:</w:t>
            </w:r>
          </w:p>
        </w:tc>
        <w:tc>
          <w:tcPr>
            <w:tcW w:w="1334" w:type="dxa"/>
          </w:tcPr>
          <w:p w:rsidR="00DD10BE" w:rsidRPr="00DD10BE" w:rsidRDefault="0064426B" w:rsidP="00DD10BE">
            <w:pPr>
              <w:pStyle w:val="naisf"/>
              <w:spacing w:before="0" w:after="0"/>
              <w:ind w:firstLine="15"/>
              <w:jc w:val="center"/>
              <w:rPr>
                <w:spacing w:val="-34"/>
                <w:sz w:val="28"/>
                <w:szCs w:val="28"/>
              </w:rPr>
            </w:pPr>
            <w:r>
              <w:rPr>
                <w:spacing w:val="-34"/>
                <w:sz w:val="28"/>
                <w:szCs w:val="28"/>
              </w:rPr>
              <w:t>79 615 296</w:t>
            </w:r>
          </w:p>
        </w:tc>
        <w:tc>
          <w:tcPr>
            <w:tcW w:w="1335" w:type="dxa"/>
          </w:tcPr>
          <w:p w:rsidR="00DD10BE" w:rsidRPr="00BD6584" w:rsidRDefault="00DD10BE" w:rsidP="00607726">
            <w:pPr>
              <w:pStyle w:val="naisf"/>
              <w:spacing w:before="0" w:after="0"/>
              <w:jc w:val="center"/>
              <w:rPr>
                <w:sz w:val="28"/>
                <w:szCs w:val="28"/>
              </w:rPr>
            </w:pPr>
            <w:r>
              <w:rPr>
                <w:sz w:val="28"/>
                <w:szCs w:val="28"/>
              </w:rPr>
              <w:t>0</w:t>
            </w:r>
          </w:p>
        </w:tc>
        <w:tc>
          <w:tcPr>
            <w:tcW w:w="1423"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421"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512"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r>
      <w:tr w:rsidR="00DD10BE" w:rsidRPr="00BD6584" w:rsidTr="00EB2F97">
        <w:trPr>
          <w:tblCellSpacing w:w="20" w:type="dxa"/>
          <w:jc w:val="center"/>
        </w:trPr>
        <w:tc>
          <w:tcPr>
            <w:tcW w:w="2442" w:type="dxa"/>
          </w:tcPr>
          <w:p w:rsidR="00DD10BE" w:rsidRPr="00BD6584" w:rsidRDefault="00DD10BE" w:rsidP="00CB29C0">
            <w:pPr>
              <w:rPr>
                <w:rFonts w:cs="Times New Roman"/>
                <w:sz w:val="28"/>
                <w:szCs w:val="28"/>
              </w:rPr>
            </w:pPr>
            <w:r w:rsidRPr="00BD6584">
              <w:rPr>
                <w:rFonts w:cs="Times New Roman"/>
                <w:sz w:val="28"/>
                <w:szCs w:val="28"/>
              </w:rPr>
              <w:t>2.1. valsts pamatbudžets</w:t>
            </w:r>
          </w:p>
        </w:tc>
        <w:tc>
          <w:tcPr>
            <w:tcW w:w="1334" w:type="dxa"/>
          </w:tcPr>
          <w:p w:rsidR="00DD10BE" w:rsidRPr="00DD10BE" w:rsidRDefault="0064426B" w:rsidP="00DD10BE">
            <w:pPr>
              <w:pStyle w:val="naisf"/>
              <w:spacing w:before="0" w:after="0"/>
              <w:ind w:firstLine="15"/>
              <w:jc w:val="center"/>
              <w:rPr>
                <w:spacing w:val="-34"/>
                <w:sz w:val="28"/>
                <w:szCs w:val="28"/>
              </w:rPr>
            </w:pPr>
            <w:r>
              <w:rPr>
                <w:spacing w:val="-34"/>
                <w:sz w:val="28"/>
                <w:szCs w:val="28"/>
              </w:rPr>
              <w:t>79 615 296</w:t>
            </w:r>
          </w:p>
        </w:tc>
        <w:tc>
          <w:tcPr>
            <w:tcW w:w="1335" w:type="dxa"/>
          </w:tcPr>
          <w:p w:rsidR="00DD10BE" w:rsidRPr="00BD6584" w:rsidRDefault="00DD10BE" w:rsidP="00607726">
            <w:pPr>
              <w:pStyle w:val="naisf"/>
              <w:spacing w:before="0" w:after="0"/>
              <w:jc w:val="center"/>
              <w:rPr>
                <w:sz w:val="28"/>
                <w:szCs w:val="28"/>
              </w:rPr>
            </w:pPr>
            <w:r>
              <w:rPr>
                <w:sz w:val="28"/>
                <w:szCs w:val="28"/>
              </w:rPr>
              <w:t>0</w:t>
            </w:r>
          </w:p>
        </w:tc>
        <w:tc>
          <w:tcPr>
            <w:tcW w:w="1423"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421"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c>
          <w:tcPr>
            <w:tcW w:w="1512" w:type="dxa"/>
          </w:tcPr>
          <w:p w:rsidR="00DD10BE" w:rsidRPr="00607726" w:rsidRDefault="00DD10BE" w:rsidP="00CB29C0">
            <w:pPr>
              <w:pStyle w:val="naisf"/>
              <w:spacing w:before="0" w:after="0"/>
              <w:ind w:firstLine="0"/>
              <w:jc w:val="center"/>
              <w:rPr>
                <w:spacing w:val="-28"/>
                <w:sz w:val="28"/>
                <w:szCs w:val="28"/>
              </w:rPr>
            </w:pPr>
            <w:r w:rsidRPr="00607726">
              <w:rPr>
                <w:spacing w:val="-28"/>
                <w:sz w:val="28"/>
                <w:szCs w:val="28"/>
              </w:rPr>
              <w:t>10 000 000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2.2. valsts speciālais budžets</w:t>
            </w:r>
          </w:p>
        </w:tc>
        <w:tc>
          <w:tcPr>
            <w:tcW w:w="1334" w:type="dxa"/>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 xml:space="preserve">2.3. pašvaldību budžets </w:t>
            </w:r>
          </w:p>
        </w:tc>
        <w:tc>
          <w:tcPr>
            <w:tcW w:w="1334" w:type="dxa"/>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3. Finansiālā ietekme:</w:t>
            </w:r>
          </w:p>
        </w:tc>
        <w:tc>
          <w:tcPr>
            <w:tcW w:w="1334" w:type="dxa"/>
            <w:shd w:val="clear" w:color="auto" w:fill="auto"/>
            <w:vAlign w:val="center"/>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3.1. valsts pamatbudžets</w:t>
            </w:r>
          </w:p>
        </w:tc>
        <w:tc>
          <w:tcPr>
            <w:tcW w:w="1334" w:type="dxa"/>
            <w:shd w:val="clear" w:color="auto" w:fill="auto"/>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3.2. speciālais budžets</w:t>
            </w:r>
          </w:p>
        </w:tc>
        <w:tc>
          <w:tcPr>
            <w:tcW w:w="1334" w:type="dxa"/>
            <w:shd w:val="clear" w:color="auto" w:fill="auto"/>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 xml:space="preserve">3.3. pašvaldību budžets </w:t>
            </w:r>
          </w:p>
        </w:tc>
        <w:tc>
          <w:tcPr>
            <w:tcW w:w="1334" w:type="dxa"/>
            <w:shd w:val="clear" w:color="auto" w:fill="auto"/>
          </w:tcPr>
          <w:p w:rsidR="00BD6584" w:rsidRPr="00BD6584" w:rsidRDefault="00BD6584" w:rsidP="00CB29C0">
            <w:pPr>
              <w:pStyle w:val="naisf"/>
              <w:spacing w:before="0" w:after="0"/>
              <w:jc w:val="center"/>
              <w:rPr>
                <w:sz w:val="28"/>
                <w:szCs w:val="28"/>
              </w:rPr>
            </w:pPr>
            <w:r w:rsidRPr="00BD6584">
              <w:rPr>
                <w:sz w:val="28"/>
                <w:szCs w:val="28"/>
              </w:rPr>
              <w:t>0</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vMerge w:val="restart"/>
          </w:tcPr>
          <w:p w:rsidR="00BD6584" w:rsidRPr="00BD6584" w:rsidRDefault="00BD6584" w:rsidP="00CB29C0">
            <w:pPr>
              <w:rPr>
                <w:rFonts w:cs="Times New Roman"/>
                <w:sz w:val="28"/>
                <w:szCs w:val="28"/>
              </w:rPr>
            </w:pPr>
            <w:r w:rsidRPr="00BD6584">
              <w:rPr>
                <w:rFonts w:cs="Times New Roman"/>
                <w:sz w:val="28"/>
                <w:szCs w:val="28"/>
              </w:rPr>
              <w:t>4. Finanšu līdzekļi papildu izdevumu finansēšanai (kompensējošu izdevumu samazinājumu norāda ar "+" zīmi)</w:t>
            </w:r>
          </w:p>
        </w:tc>
        <w:tc>
          <w:tcPr>
            <w:tcW w:w="1334" w:type="dxa"/>
            <w:vMerge w:val="restart"/>
          </w:tcPr>
          <w:p w:rsidR="00BD6584" w:rsidRPr="00BD6584" w:rsidRDefault="00BD6584" w:rsidP="00CB29C0">
            <w:pPr>
              <w:pStyle w:val="naisf"/>
              <w:spacing w:before="0" w:after="0"/>
              <w:jc w:val="center"/>
              <w:rPr>
                <w:i/>
                <w:sz w:val="28"/>
                <w:szCs w:val="28"/>
              </w:rPr>
            </w:pPr>
            <w:r w:rsidRPr="00BD6584">
              <w:rPr>
                <w:sz w:val="28"/>
                <w:szCs w:val="28"/>
              </w:rPr>
              <w:t>X</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vMerge/>
          </w:tcPr>
          <w:p w:rsidR="00BD6584" w:rsidRPr="00BD6584" w:rsidRDefault="00BD6584" w:rsidP="00CB29C0">
            <w:pPr>
              <w:rPr>
                <w:rFonts w:cs="Times New Roman"/>
                <w:sz w:val="28"/>
                <w:szCs w:val="28"/>
              </w:rPr>
            </w:pPr>
          </w:p>
        </w:tc>
        <w:tc>
          <w:tcPr>
            <w:tcW w:w="1334" w:type="dxa"/>
            <w:vMerge/>
          </w:tcPr>
          <w:p w:rsidR="00BD6584" w:rsidRPr="00BD6584" w:rsidRDefault="00BD6584" w:rsidP="00CB29C0">
            <w:pPr>
              <w:pStyle w:val="naisf"/>
              <w:spacing w:before="0" w:after="0"/>
              <w:jc w:val="center"/>
              <w:rPr>
                <w:i/>
                <w:sz w:val="28"/>
                <w:szCs w:val="28"/>
              </w:rPr>
            </w:pP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vMerge/>
          </w:tcPr>
          <w:p w:rsidR="00BD6584" w:rsidRPr="00BD6584" w:rsidRDefault="00BD6584" w:rsidP="00CB29C0">
            <w:pPr>
              <w:rPr>
                <w:rFonts w:cs="Times New Roman"/>
                <w:sz w:val="28"/>
                <w:szCs w:val="28"/>
              </w:rPr>
            </w:pPr>
          </w:p>
        </w:tc>
        <w:tc>
          <w:tcPr>
            <w:tcW w:w="1334" w:type="dxa"/>
            <w:vMerge/>
          </w:tcPr>
          <w:p w:rsidR="00BD6584" w:rsidRPr="00BD6584" w:rsidRDefault="00BD6584" w:rsidP="00CB29C0">
            <w:pPr>
              <w:pStyle w:val="naisf"/>
              <w:spacing w:before="0" w:after="0"/>
              <w:jc w:val="center"/>
              <w:rPr>
                <w:i/>
                <w:sz w:val="28"/>
                <w:szCs w:val="28"/>
              </w:rPr>
            </w:pP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5. Precizēta finansiālā ietekme:</w:t>
            </w:r>
          </w:p>
        </w:tc>
        <w:tc>
          <w:tcPr>
            <w:tcW w:w="1334" w:type="dxa"/>
            <w:vMerge w:val="restart"/>
          </w:tcPr>
          <w:p w:rsidR="00BD6584" w:rsidRPr="00BD6584" w:rsidRDefault="00BD6584" w:rsidP="00CB29C0">
            <w:pPr>
              <w:pStyle w:val="naisf"/>
              <w:spacing w:before="0" w:after="0"/>
              <w:jc w:val="center"/>
              <w:rPr>
                <w:i/>
                <w:sz w:val="28"/>
                <w:szCs w:val="28"/>
              </w:rPr>
            </w:pPr>
            <w:r w:rsidRPr="00BD6584">
              <w:rPr>
                <w:sz w:val="28"/>
                <w:szCs w:val="28"/>
              </w:rPr>
              <w:t>X</w:t>
            </w: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5.1. valsts pamatbudžets</w:t>
            </w:r>
          </w:p>
        </w:tc>
        <w:tc>
          <w:tcPr>
            <w:tcW w:w="1334" w:type="dxa"/>
            <w:vMerge/>
            <w:vAlign w:val="center"/>
          </w:tcPr>
          <w:p w:rsidR="00BD6584" w:rsidRPr="00BD6584" w:rsidRDefault="00BD6584" w:rsidP="00CB29C0">
            <w:pPr>
              <w:pStyle w:val="naisf"/>
              <w:spacing w:before="0" w:after="0"/>
              <w:jc w:val="center"/>
              <w:rPr>
                <w:i/>
                <w:sz w:val="28"/>
                <w:szCs w:val="28"/>
              </w:rPr>
            </w:pP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5.2. speciālais budžets</w:t>
            </w:r>
          </w:p>
        </w:tc>
        <w:tc>
          <w:tcPr>
            <w:tcW w:w="1334" w:type="dxa"/>
            <w:vMerge/>
            <w:vAlign w:val="center"/>
          </w:tcPr>
          <w:p w:rsidR="00BD6584" w:rsidRPr="00BD6584" w:rsidRDefault="00BD6584" w:rsidP="00CB29C0">
            <w:pPr>
              <w:pStyle w:val="naisf"/>
              <w:spacing w:before="0" w:after="0"/>
              <w:jc w:val="center"/>
              <w:rPr>
                <w:i/>
                <w:sz w:val="28"/>
                <w:szCs w:val="28"/>
              </w:rPr>
            </w:pP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 xml:space="preserve">5.3. pašvaldību budžets </w:t>
            </w:r>
          </w:p>
        </w:tc>
        <w:tc>
          <w:tcPr>
            <w:tcW w:w="1334" w:type="dxa"/>
            <w:vMerge/>
            <w:vAlign w:val="center"/>
          </w:tcPr>
          <w:p w:rsidR="00BD6584" w:rsidRPr="00BD6584" w:rsidRDefault="00BD6584" w:rsidP="00CB29C0">
            <w:pPr>
              <w:pStyle w:val="naisf"/>
              <w:spacing w:before="0" w:after="0"/>
              <w:jc w:val="center"/>
              <w:rPr>
                <w:i/>
                <w:sz w:val="28"/>
                <w:szCs w:val="28"/>
              </w:rPr>
            </w:pPr>
          </w:p>
        </w:tc>
        <w:tc>
          <w:tcPr>
            <w:tcW w:w="1335"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3" w:type="dxa"/>
          </w:tcPr>
          <w:p w:rsidR="00BD6584" w:rsidRPr="00BD6584" w:rsidRDefault="00BD6584" w:rsidP="00CB29C0">
            <w:pPr>
              <w:pStyle w:val="naisf"/>
              <w:spacing w:before="0" w:after="0"/>
              <w:jc w:val="center"/>
              <w:rPr>
                <w:sz w:val="28"/>
                <w:szCs w:val="28"/>
              </w:rPr>
            </w:pPr>
            <w:r w:rsidRPr="00BD6584">
              <w:rPr>
                <w:sz w:val="28"/>
                <w:szCs w:val="28"/>
              </w:rPr>
              <w:t>0</w:t>
            </w:r>
          </w:p>
        </w:tc>
        <w:tc>
          <w:tcPr>
            <w:tcW w:w="1421" w:type="dxa"/>
          </w:tcPr>
          <w:p w:rsidR="00BD6584" w:rsidRPr="00BD6584" w:rsidRDefault="00BD6584" w:rsidP="00CB29C0">
            <w:pPr>
              <w:pStyle w:val="naisf"/>
              <w:spacing w:before="0" w:after="0"/>
              <w:jc w:val="center"/>
              <w:rPr>
                <w:sz w:val="28"/>
                <w:szCs w:val="28"/>
              </w:rPr>
            </w:pPr>
            <w:r w:rsidRPr="00BD6584">
              <w:rPr>
                <w:sz w:val="28"/>
                <w:szCs w:val="28"/>
              </w:rPr>
              <w:t>0</w:t>
            </w:r>
          </w:p>
        </w:tc>
        <w:tc>
          <w:tcPr>
            <w:tcW w:w="1512" w:type="dxa"/>
          </w:tcPr>
          <w:p w:rsidR="00BD6584" w:rsidRPr="00BD6584" w:rsidRDefault="00BD6584" w:rsidP="00CB29C0">
            <w:pPr>
              <w:pStyle w:val="naisf"/>
              <w:spacing w:before="0" w:after="0"/>
              <w:jc w:val="center"/>
              <w:rPr>
                <w:sz w:val="28"/>
                <w:szCs w:val="28"/>
              </w:rPr>
            </w:pPr>
            <w:r w:rsidRPr="00BD6584">
              <w:rPr>
                <w:sz w:val="28"/>
                <w:szCs w:val="28"/>
              </w:rPr>
              <w:t>0</w:t>
            </w: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6. Detalizēts ieņēmumu un izdevumu aprēķins (ja nepie</w:t>
            </w:r>
            <w:r w:rsidRPr="00BD6584">
              <w:rPr>
                <w:rFonts w:cs="Times New Roman"/>
                <w:sz w:val="28"/>
                <w:szCs w:val="28"/>
              </w:rPr>
              <w:softHyphen/>
              <w:t xml:space="preserve">ciešams, detalizētu </w:t>
            </w:r>
            <w:r w:rsidRPr="00BD6584">
              <w:rPr>
                <w:rFonts w:cs="Times New Roman"/>
                <w:sz w:val="28"/>
                <w:szCs w:val="28"/>
              </w:rPr>
              <w:lastRenderedPageBreak/>
              <w:t>ieņēmumu un izdevumu aprēķinu var pie</w:t>
            </w:r>
            <w:r w:rsidRPr="00BD6584">
              <w:rPr>
                <w:rFonts w:cs="Times New Roman"/>
                <w:sz w:val="28"/>
                <w:szCs w:val="28"/>
              </w:rPr>
              <w:softHyphen/>
              <w:t>vienot anotācijas pielikumā):</w:t>
            </w:r>
          </w:p>
        </w:tc>
        <w:tc>
          <w:tcPr>
            <w:tcW w:w="7185" w:type="dxa"/>
            <w:gridSpan w:val="5"/>
            <w:vMerge w:val="restart"/>
            <w:vAlign w:val="center"/>
          </w:tcPr>
          <w:p w:rsidR="00BD6584" w:rsidRPr="00BD6584" w:rsidRDefault="00BD6584" w:rsidP="00CB29C0">
            <w:pPr>
              <w:pStyle w:val="naisf"/>
              <w:spacing w:before="0" w:after="0"/>
              <w:rPr>
                <w:b/>
                <w:sz w:val="28"/>
                <w:szCs w:val="28"/>
              </w:rPr>
            </w:pP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lastRenderedPageBreak/>
              <w:t>6.1. detalizēts ieņēmumu aprēķins</w:t>
            </w:r>
          </w:p>
        </w:tc>
        <w:tc>
          <w:tcPr>
            <w:tcW w:w="7185" w:type="dxa"/>
            <w:gridSpan w:val="5"/>
            <w:vMerge/>
          </w:tcPr>
          <w:p w:rsidR="00BD6584" w:rsidRPr="00BD6584" w:rsidRDefault="00BD6584" w:rsidP="00CB29C0">
            <w:pPr>
              <w:pStyle w:val="naisf"/>
              <w:spacing w:before="0" w:after="0"/>
              <w:rPr>
                <w:b/>
                <w:i/>
                <w:sz w:val="28"/>
                <w:szCs w:val="28"/>
              </w:rPr>
            </w:pPr>
          </w:p>
        </w:tc>
      </w:tr>
      <w:tr w:rsidR="00BD6584" w:rsidRPr="00BD6584" w:rsidTr="00EB2F97">
        <w:trPr>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6.2. detalizēts izdevumu aprēķins</w:t>
            </w:r>
          </w:p>
        </w:tc>
        <w:tc>
          <w:tcPr>
            <w:tcW w:w="7185" w:type="dxa"/>
            <w:gridSpan w:val="5"/>
            <w:vMerge/>
          </w:tcPr>
          <w:p w:rsidR="00BD6584" w:rsidRPr="00BD6584" w:rsidRDefault="00BD6584" w:rsidP="00CB29C0">
            <w:pPr>
              <w:pStyle w:val="naisf"/>
              <w:spacing w:before="0" w:after="0"/>
              <w:rPr>
                <w:b/>
                <w:i/>
                <w:sz w:val="28"/>
                <w:szCs w:val="28"/>
              </w:rPr>
            </w:pPr>
          </w:p>
        </w:tc>
      </w:tr>
      <w:tr w:rsidR="00BD6584" w:rsidRPr="00BD6584" w:rsidTr="00EB2F97">
        <w:trPr>
          <w:trHeight w:val="556"/>
          <w:tblCellSpacing w:w="20" w:type="dxa"/>
          <w:jc w:val="center"/>
        </w:trPr>
        <w:tc>
          <w:tcPr>
            <w:tcW w:w="2442" w:type="dxa"/>
          </w:tcPr>
          <w:p w:rsidR="00BD6584" w:rsidRPr="00BD6584" w:rsidRDefault="00BD6584" w:rsidP="00CB29C0">
            <w:pPr>
              <w:rPr>
                <w:rFonts w:cs="Times New Roman"/>
                <w:sz w:val="28"/>
                <w:szCs w:val="28"/>
              </w:rPr>
            </w:pPr>
            <w:r w:rsidRPr="00BD6584">
              <w:rPr>
                <w:rFonts w:cs="Times New Roman"/>
                <w:sz w:val="28"/>
                <w:szCs w:val="28"/>
              </w:rPr>
              <w:t>7. Cita informācija</w:t>
            </w:r>
          </w:p>
        </w:tc>
        <w:tc>
          <w:tcPr>
            <w:tcW w:w="7185" w:type="dxa"/>
            <w:gridSpan w:val="5"/>
          </w:tcPr>
          <w:p w:rsidR="00426F29" w:rsidRDefault="00426F29" w:rsidP="00BD6584">
            <w:pPr>
              <w:ind w:firstLine="796"/>
              <w:jc w:val="both"/>
              <w:rPr>
                <w:sz w:val="28"/>
                <w:szCs w:val="28"/>
              </w:rPr>
            </w:pPr>
          </w:p>
          <w:p w:rsidR="0064426B" w:rsidRDefault="00DD10BE" w:rsidP="00BD6584">
            <w:pPr>
              <w:ind w:firstLine="796"/>
              <w:jc w:val="both"/>
              <w:rPr>
                <w:sz w:val="28"/>
                <w:szCs w:val="28"/>
              </w:rPr>
            </w:pPr>
            <w:r>
              <w:rPr>
                <w:sz w:val="28"/>
                <w:szCs w:val="28"/>
              </w:rPr>
              <w:t xml:space="preserve">Saskaņā ar likumu „Par valsts budžetu 2015.gadam” karavīru atlīdzībai paredzēti </w:t>
            </w:r>
            <w:r w:rsidR="0064426B">
              <w:rPr>
                <w:sz w:val="28"/>
                <w:szCs w:val="28"/>
              </w:rPr>
              <w:t>79 615 296</w:t>
            </w:r>
            <w:r>
              <w:rPr>
                <w:sz w:val="28"/>
                <w:szCs w:val="28"/>
              </w:rPr>
              <w:t xml:space="preserve"> </w:t>
            </w:r>
            <w:proofErr w:type="spellStart"/>
            <w:r w:rsidRPr="00DD10BE">
              <w:rPr>
                <w:i/>
                <w:sz w:val="28"/>
                <w:szCs w:val="28"/>
              </w:rPr>
              <w:t>euro</w:t>
            </w:r>
            <w:proofErr w:type="spellEnd"/>
            <w:r>
              <w:rPr>
                <w:i/>
                <w:sz w:val="28"/>
                <w:szCs w:val="28"/>
              </w:rPr>
              <w:t xml:space="preserve"> (</w:t>
            </w:r>
            <w:r w:rsidRPr="00DD10BE">
              <w:rPr>
                <w:sz w:val="28"/>
                <w:szCs w:val="28"/>
              </w:rPr>
              <w:t xml:space="preserve">t.sk. atalgojumam </w:t>
            </w:r>
            <w:r w:rsidR="0064426B">
              <w:rPr>
                <w:sz w:val="28"/>
                <w:szCs w:val="28"/>
              </w:rPr>
              <w:t>40 791 964</w:t>
            </w:r>
            <w:r>
              <w:rPr>
                <w:i/>
                <w:sz w:val="28"/>
                <w:szCs w:val="28"/>
              </w:rPr>
              <w:t xml:space="preserve"> </w:t>
            </w:r>
            <w:proofErr w:type="spellStart"/>
            <w:r>
              <w:rPr>
                <w:i/>
                <w:sz w:val="28"/>
                <w:szCs w:val="28"/>
              </w:rPr>
              <w:t>euro</w:t>
            </w:r>
            <w:proofErr w:type="spellEnd"/>
            <w:r>
              <w:rPr>
                <w:i/>
                <w:sz w:val="28"/>
                <w:szCs w:val="28"/>
              </w:rPr>
              <w:t>)</w:t>
            </w:r>
            <w:r>
              <w:rPr>
                <w:sz w:val="28"/>
                <w:szCs w:val="28"/>
              </w:rPr>
              <w:t>.</w:t>
            </w:r>
            <w:r w:rsidR="0020383F">
              <w:rPr>
                <w:sz w:val="28"/>
                <w:szCs w:val="28"/>
              </w:rPr>
              <w:t xml:space="preserve"> </w:t>
            </w:r>
          </w:p>
          <w:p w:rsidR="00426F29" w:rsidRDefault="00607726" w:rsidP="00BD6584">
            <w:pPr>
              <w:ind w:firstLine="796"/>
              <w:jc w:val="both"/>
              <w:rPr>
                <w:sz w:val="28"/>
                <w:szCs w:val="28"/>
              </w:rPr>
            </w:pPr>
            <w:r>
              <w:rPr>
                <w:sz w:val="28"/>
                <w:szCs w:val="28"/>
              </w:rPr>
              <w:t>Normatīvajā aktā paredzētā karavīru mēnešalgu reforma tiks īstenota no 2016.gada 1.janvāra.</w:t>
            </w:r>
          </w:p>
          <w:p w:rsidR="00195EB0" w:rsidRDefault="00426F29" w:rsidP="00BD6584">
            <w:pPr>
              <w:ind w:firstLine="796"/>
              <w:jc w:val="both"/>
              <w:rPr>
                <w:sz w:val="28"/>
                <w:szCs w:val="28"/>
              </w:rPr>
            </w:pPr>
            <w:r w:rsidRPr="00BD6584">
              <w:rPr>
                <w:sz w:val="28"/>
                <w:szCs w:val="28"/>
              </w:rPr>
              <w:t>Saskaņā ar likumu „Par vidēja termiņa budžeta ietvaru 2015., 2016. un 2017.gadam”</w:t>
            </w:r>
            <w:r w:rsidR="004133AE">
              <w:rPr>
                <w:sz w:val="28"/>
                <w:szCs w:val="28"/>
              </w:rPr>
              <w:t xml:space="preserve"> karavīru mēnešalg</w:t>
            </w:r>
            <w:r w:rsidR="0064426B">
              <w:rPr>
                <w:sz w:val="28"/>
                <w:szCs w:val="28"/>
              </w:rPr>
              <w:t xml:space="preserve">u </w:t>
            </w:r>
            <w:r w:rsidR="004133AE">
              <w:rPr>
                <w:sz w:val="28"/>
                <w:szCs w:val="28"/>
              </w:rPr>
              <w:t xml:space="preserve">skalas pārskatīšanai </w:t>
            </w:r>
            <w:r w:rsidR="00DA7126">
              <w:rPr>
                <w:sz w:val="28"/>
                <w:szCs w:val="28"/>
              </w:rPr>
              <w:t xml:space="preserve">JPI „Karavīru mēnešalgu reforma” ietvaros </w:t>
            </w:r>
            <w:r w:rsidR="004133AE">
              <w:rPr>
                <w:sz w:val="28"/>
                <w:szCs w:val="28"/>
              </w:rPr>
              <w:t>2016. un 2017.gadam tika atbalstīts finansējums 10</w:t>
            </w:r>
            <w:r w:rsidR="00E43C79">
              <w:rPr>
                <w:sz w:val="28"/>
                <w:szCs w:val="28"/>
              </w:rPr>
              <w:t> </w:t>
            </w:r>
            <w:r w:rsidR="004133AE">
              <w:rPr>
                <w:sz w:val="28"/>
                <w:szCs w:val="28"/>
              </w:rPr>
              <w:t>milj.</w:t>
            </w:r>
            <w:r w:rsidR="004133AE" w:rsidRPr="004133AE">
              <w:rPr>
                <w:i/>
                <w:sz w:val="28"/>
                <w:szCs w:val="28"/>
              </w:rPr>
              <w:t xml:space="preserve"> </w:t>
            </w:r>
            <w:proofErr w:type="spellStart"/>
            <w:r w:rsidR="004133AE" w:rsidRPr="004133AE">
              <w:rPr>
                <w:i/>
                <w:sz w:val="28"/>
                <w:szCs w:val="28"/>
              </w:rPr>
              <w:t>euro</w:t>
            </w:r>
            <w:proofErr w:type="spellEnd"/>
            <w:r w:rsidR="004133AE">
              <w:rPr>
                <w:sz w:val="28"/>
                <w:szCs w:val="28"/>
              </w:rPr>
              <w:t xml:space="preserve"> apmērā ik gadu</w:t>
            </w:r>
            <w:r w:rsidR="0064426B">
              <w:rPr>
                <w:sz w:val="28"/>
                <w:szCs w:val="28"/>
              </w:rPr>
              <w:t>, kas ir aptuveni 11 procenti no kopējā atlīdzības fonda karavīriem:</w:t>
            </w:r>
          </w:p>
          <w:p w:rsidR="00554C7C" w:rsidRDefault="00554C7C" w:rsidP="00BD6584">
            <w:pPr>
              <w:ind w:firstLine="796"/>
              <w:jc w:val="both"/>
              <w:rPr>
                <w:sz w:val="28"/>
                <w:szCs w:val="28"/>
              </w:rPr>
            </w:pPr>
          </w:p>
          <w:tbl>
            <w:tblPr>
              <w:tblW w:w="5640" w:type="dxa"/>
              <w:jc w:val="center"/>
              <w:tblLook w:val="04A0" w:firstRow="1" w:lastRow="0" w:firstColumn="1" w:lastColumn="0" w:noHBand="0" w:noVBand="1"/>
            </w:tblPr>
            <w:tblGrid>
              <w:gridCol w:w="2980"/>
              <w:gridCol w:w="1384"/>
              <w:gridCol w:w="1276"/>
            </w:tblGrid>
            <w:tr w:rsidR="00554C7C" w:rsidRPr="00554C7C" w:rsidTr="00554C7C">
              <w:trPr>
                <w:trHeight w:val="300"/>
                <w:jc w:val="center"/>
              </w:trPr>
              <w:tc>
                <w:tcPr>
                  <w:tcW w:w="2980"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rPr>
                      <w:rFonts w:cs="Times New Roman"/>
                      <w:color w:val="000000"/>
                      <w:sz w:val="22"/>
                      <w:szCs w:val="22"/>
                      <w:lang w:eastAsia="lv-LV" w:bidi="ar-SA"/>
                    </w:rPr>
                  </w:pPr>
                  <w:r w:rsidRPr="00554C7C">
                    <w:rPr>
                      <w:rFonts w:cs="Times New Roman"/>
                      <w:color w:val="000000"/>
                      <w:sz w:val="22"/>
                      <w:szCs w:val="22"/>
                      <w:lang w:eastAsia="lv-LV" w:bidi="ar-SA"/>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4C7C" w:rsidRPr="00554C7C" w:rsidRDefault="00554C7C" w:rsidP="00554C7C">
                  <w:pPr>
                    <w:rPr>
                      <w:rFonts w:cs="Times New Roman"/>
                      <w:color w:val="000000"/>
                      <w:sz w:val="22"/>
                      <w:szCs w:val="22"/>
                      <w:lang w:eastAsia="lv-LV" w:bidi="ar-SA"/>
                    </w:rPr>
                  </w:pPr>
                  <w:r w:rsidRPr="00554C7C">
                    <w:rPr>
                      <w:rFonts w:cs="Times New Roman"/>
                      <w:color w:val="000000"/>
                      <w:sz w:val="22"/>
                      <w:szCs w:val="22"/>
                      <w:lang w:eastAsia="lv-LV" w:bidi="ar-SA"/>
                    </w:rPr>
                    <w:t>2016.g.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54C7C" w:rsidRPr="00554C7C" w:rsidRDefault="00554C7C" w:rsidP="00554C7C">
                  <w:pPr>
                    <w:rPr>
                      <w:rFonts w:cs="Times New Roman"/>
                      <w:color w:val="000000"/>
                      <w:sz w:val="22"/>
                      <w:szCs w:val="22"/>
                      <w:lang w:eastAsia="lv-LV" w:bidi="ar-SA"/>
                    </w:rPr>
                  </w:pPr>
                  <w:r w:rsidRPr="00554C7C">
                    <w:rPr>
                      <w:rFonts w:cs="Times New Roman"/>
                      <w:color w:val="000000"/>
                      <w:sz w:val="22"/>
                      <w:szCs w:val="22"/>
                      <w:lang w:eastAsia="lv-LV" w:bidi="ar-SA"/>
                    </w:rPr>
                    <w:t>2017.g.</w:t>
                  </w:r>
                </w:p>
              </w:tc>
            </w:tr>
            <w:tr w:rsidR="00554C7C" w:rsidRPr="00554C7C" w:rsidTr="00554C7C">
              <w:trPr>
                <w:trHeight w:val="600"/>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4C7C" w:rsidRPr="00554C7C" w:rsidRDefault="00554C7C" w:rsidP="00554C7C">
                  <w:pPr>
                    <w:rPr>
                      <w:rFonts w:cs="Times New Roman"/>
                      <w:color w:val="000000"/>
                      <w:sz w:val="22"/>
                      <w:szCs w:val="22"/>
                      <w:lang w:eastAsia="lv-LV" w:bidi="ar-SA"/>
                    </w:rPr>
                  </w:pPr>
                  <w:r w:rsidRPr="00554C7C">
                    <w:rPr>
                      <w:rFonts w:cs="Times New Roman"/>
                      <w:color w:val="000000"/>
                      <w:sz w:val="22"/>
                      <w:szCs w:val="22"/>
                      <w:lang w:eastAsia="lv-LV" w:bidi="ar-SA"/>
                    </w:rPr>
                    <w:t>Atlīdzības fonds karavīriem kopā (</w:t>
                  </w:r>
                  <w:proofErr w:type="spellStart"/>
                  <w:r w:rsidRPr="00554C7C">
                    <w:rPr>
                      <w:rFonts w:cs="Times New Roman"/>
                      <w:i/>
                      <w:iCs/>
                      <w:color w:val="000000"/>
                      <w:sz w:val="22"/>
                      <w:szCs w:val="22"/>
                      <w:lang w:eastAsia="lv-LV" w:bidi="ar-SA"/>
                    </w:rPr>
                    <w:t>euro</w:t>
                  </w:r>
                  <w:proofErr w:type="spellEnd"/>
                  <w:r w:rsidRPr="00554C7C">
                    <w:rPr>
                      <w:rFonts w:cs="Times New Roman"/>
                      <w:color w:val="000000"/>
                      <w:sz w:val="22"/>
                      <w:szCs w:val="22"/>
                      <w:lang w:eastAsia="lv-LV" w:bidi="ar-SA"/>
                    </w:rPr>
                    <w:t>)</w:t>
                  </w:r>
                </w:p>
              </w:tc>
              <w:tc>
                <w:tcPr>
                  <w:tcW w:w="1384"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cs="Times New Roman"/>
                      <w:color w:val="000000"/>
                      <w:sz w:val="22"/>
                      <w:szCs w:val="22"/>
                      <w:lang w:eastAsia="lv-LV" w:bidi="ar-SA"/>
                    </w:rPr>
                  </w:pPr>
                  <w:r w:rsidRPr="00554C7C">
                    <w:rPr>
                      <w:rFonts w:cs="Times New Roman"/>
                      <w:color w:val="000000"/>
                      <w:sz w:val="22"/>
                      <w:szCs w:val="22"/>
                      <w:lang w:eastAsia="lv-LV" w:bidi="ar-SA"/>
                    </w:rPr>
                    <w:t>90 397 502</w:t>
                  </w:r>
                </w:p>
              </w:tc>
              <w:tc>
                <w:tcPr>
                  <w:tcW w:w="1276"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cs="Times New Roman"/>
                      <w:color w:val="000000"/>
                      <w:sz w:val="22"/>
                      <w:szCs w:val="22"/>
                      <w:lang w:eastAsia="lv-LV" w:bidi="ar-SA"/>
                    </w:rPr>
                  </w:pPr>
                  <w:r w:rsidRPr="00554C7C">
                    <w:rPr>
                      <w:rFonts w:cs="Times New Roman"/>
                      <w:color w:val="000000"/>
                      <w:sz w:val="22"/>
                      <w:szCs w:val="22"/>
                      <w:lang w:eastAsia="lv-LV" w:bidi="ar-SA"/>
                    </w:rPr>
                    <w:t>91 580 366</w:t>
                  </w:r>
                </w:p>
              </w:tc>
            </w:tr>
            <w:tr w:rsidR="00554C7C" w:rsidRPr="00554C7C" w:rsidTr="00554C7C">
              <w:trPr>
                <w:trHeight w:val="525"/>
                <w:jc w:val="center"/>
              </w:trPr>
              <w:tc>
                <w:tcPr>
                  <w:tcW w:w="2980" w:type="dxa"/>
                  <w:tcBorders>
                    <w:top w:val="nil"/>
                    <w:left w:val="single" w:sz="4" w:space="0" w:color="auto"/>
                    <w:bottom w:val="single" w:sz="4" w:space="0" w:color="auto"/>
                    <w:right w:val="nil"/>
                  </w:tcBorders>
                  <w:shd w:val="clear" w:color="auto" w:fill="auto"/>
                  <w:vAlign w:val="bottom"/>
                  <w:hideMark/>
                </w:tcPr>
                <w:p w:rsidR="00554C7C" w:rsidRPr="00554C7C" w:rsidRDefault="00554C7C" w:rsidP="0064426B">
                  <w:pPr>
                    <w:ind w:left="295" w:hanging="1"/>
                    <w:rPr>
                      <w:rFonts w:cs="Times New Roman"/>
                      <w:color w:val="000000"/>
                      <w:lang w:eastAsia="lv-LV" w:bidi="ar-SA"/>
                    </w:rPr>
                  </w:pPr>
                  <w:r w:rsidRPr="00554C7C">
                    <w:rPr>
                      <w:rFonts w:cs="Times New Roman"/>
                      <w:color w:val="000000"/>
                      <w:lang w:eastAsia="lv-LV" w:bidi="ar-SA"/>
                    </w:rPr>
                    <w:t>t.sk. JPI "Karavīru mēnešalgu reforma" piešķirtā atlīdzība</w:t>
                  </w:r>
                </w:p>
              </w:tc>
              <w:tc>
                <w:tcPr>
                  <w:tcW w:w="1384" w:type="dxa"/>
                  <w:tcBorders>
                    <w:top w:val="nil"/>
                    <w:left w:val="nil"/>
                    <w:bottom w:val="single" w:sz="4" w:space="0" w:color="auto"/>
                    <w:right w:val="nil"/>
                  </w:tcBorders>
                  <w:shd w:val="clear" w:color="auto" w:fill="auto"/>
                  <w:noWrap/>
                  <w:vAlign w:val="bottom"/>
                  <w:hideMark/>
                </w:tcPr>
                <w:p w:rsidR="00554C7C" w:rsidRPr="00554C7C" w:rsidRDefault="00554C7C" w:rsidP="00554C7C">
                  <w:pPr>
                    <w:rPr>
                      <w:rFonts w:ascii="Calibri" w:hAnsi="Calibri" w:cs="Times New Roman"/>
                      <w:color w:val="000000"/>
                      <w:sz w:val="22"/>
                      <w:szCs w:val="22"/>
                      <w:lang w:eastAsia="lv-LV" w:bidi="ar-SA"/>
                    </w:rPr>
                  </w:pPr>
                  <w:r w:rsidRPr="00554C7C">
                    <w:rPr>
                      <w:rFonts w:ascii="Calibri" w:hAnsi="Calibri" w:cs="Times New Roman"/>
                      <w:color w:val="000000"/>
                      <w:sz w:val="22"/>
                      <w:szCs w:val="22"/>
                      <w:lang w:eastAsia="lv-LV" w:bidi="ar-SA"/>
                    </w:rPr>
                    <w:t> </w:t>
                  </w:r>
                </w:p>
              </w:tc>
              <w:tc>
                <w:tcPr>
                  <w:tcW w:w="1276" w:type="dxa"/>
                  <w:tcBorders>
                    <w:top w:val="nil"/>
                    <w:left w:val="nil"/>
                    <w:bottom w:val="single" w:sz="4" w:space="0" w:color="auto"/>
                    <w:right w:val="nil"/>
                  </w:tcBorders>
                  <w:shd w:val="clear" w:color="auto" w:fill="auto"/>
                  <w:noWrap/>
                  <w:vAlign w:val="bottom"/>
                  <w:hideMark/>
                </w:tcPr>
                <w:p w:rsidR="00554C7C" w:rsidRPr="00554C7C" w:rsidRDefault="00554C7C" w:rsidP="00554C7C">
                  <w:pPr>
                    <w:rPr>
                      <w:rFonts w:ascii="Calibri" w:hAnsi="Calibri" w:cs="Times New Roman"/>
                      <w:color w:val="000000"/>
                      <w:sz w:val="22"/>
                      <w:szCs w:val="22"/>
                      <w:lang w:eastAsia="lv-LV" w:bidi="ar-SA"/>
                    </w:rPr>
                  </w:pPr>
                  <w:r w:rsidRPr="00554C7C">
                    <w:rPr>
                      <w:rFonts w:ascii="Calibri" w:hAnsi="Calibri" w:cs="Times New Roman"/>
                      <w:color w:val="000000"/>
                      <w:sz w:val="22"/>
                      <w:szCs w:val="22"/>
                      <w:lang w:eastAsia="lv-LV" w:bidi="ar-SA"/>
                    </w:rPr>
                    <w:t> </w:t>
                  </w:r>
                </w:p>
              </w:tc>
            </w:tr>
            <w:tr w:rsidR="00554C7C" w:rsidRPr="00554C7C" w:rsidTr="00554C7C">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4C7C" w:rsidRPr="00554C7C" w:rsidRDefault="00554C7C" w:rsidP="00554C7C">
                  <w:pPr>
                    <w:ind w:firstLineChars="200" w:firstLine="400"/>
                    <w:rPr>
                      <w:rFonts w:cs="Times New Roman"/>
                      <w:i/>
                      <w:iCs/>
                      <w:color w:val="000000"/>
                      <w:lang w:eastAsia="lv-LV" w:bidi="ar-SA"/>
                    </w:rPr>
                  </w:pPr>
                  <w:proofErr w:type="spellStart"/>
                  <w:r w:rsidRPr="00554C7C">
                    <w:rPr>
                      <w:rFonts w:cs="Times New Roman"/>
                      <w:i/>
                      <w:iCs/>
                      <w:color w:val="000000"/>
                      <w:lang w:eastAsia="lv-LV" w:bidi="ar-SA"/>
                    </w:rPr>
                    <w:t>euro</w:t>
                  </w:r>
                  <w:proofErr w:type="spellEnd"/>
                </w:p>
              </w:tc>
              <w:tc>
                <w:tcPr>
                  <w:tcW w:w="1384"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cs="Times New Roman"/>
                      <w:color w:val="000000"/>
                      <w:lang w:eastAsia="lv-LV" w:bidi="ar-SA"/>
                    </w:rPr>
                  </w:pPr>
                  <w:r w:rsidRPr="00554C7C">
                    <w:rPr>
                      <w:rFonts w:cs="Times New Roman"/>
                      <w:color w:val="000000"/>
                      <w:lang w:eastAsia="lv-LV" w:bidi="ar-SA"/>
                    </w:rPr>
                    <w:t>10 000 000</w:t>
                  </w:r>
                </w:p>
              </w:tc>
              <w:tc>
                <w:tcPr>
                  <w:tcW w:w="1276"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cs="Times New Roman"/>
                      <w:color w:val="000000"/>
                      <w:lang w:eastAsia="lv-LV" w:bidi="ar-SA"/>
                    </w:rPr>
                  </w:pPr>
                  <w:r w:rsidRPr="00554C7C">
                    <w:rPr>
                      <w:rFonts w:cs="Times New Roman"/>
                      <w:color w:val="000000"/>
                      <w:lang w:eastAsia="lv-LV" w:bidi="ar-SA"/>
                    </w:rPr>
                    <w:t>10 000 000</w:t>
                  </w:r>
                </w:p>
              </w:tc>
            </w:tr>
            <w:tr w:rsidR="00554C7C" w:rsidRPr="00554C7C" w:rsidTr="00554C7C">
              <w:trPr>
                <w:trHeight w:val="525"/>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4C7C" w:rsidRPr="00554C7C" w:rsidRDefault="00554C7C" w:rsidP="0064426B">
                  <w:pPr>
                    <w:ind w:leftChars="200" w:left="436" w:hangingChars="18" w:hanging="36"/>
                    <w:rPr>
                      <w:rFonts w:cs="Times New Roman"/>
                      <w:i/>
                      <w:iCs/>
                      <w:color w:val="000000"/>
                      <w:lang w:eastAsia="lv-LV" w:bidi="ar-SA"/>
                    </w:rPr>
                  </w:pPr>
                  <w:r w:rsidRPr="00554C7C">
                    <w:rPr>
                      <w:rFonts w:cs="Times New Roman"/>
                      <w:i/>
                      <w:iCs/>
                      <w:color w:val="000000"/>
                      <w:lang w:eastAsia="lv-LV" w:bidi="ar-SA"/>
                    </w:rPr>
                    <w:t>% no kopējā atlīdzības fonda karavīriem</w:t>
                  </w:r>
                </w:p>
              </w:tc>
              <w:tc>
                <w:tcPr>
                  <w:tcW w:w="1384"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ascii="Calibri" w:hAnsi="Calibri" w:cs="Times New Roman"/>
                      <w:color w:val="000000"/>
                      <w:lang w:eastAsia="lv-LV" w:bidi="ar-SA"/>
                    </w:rPr>
                  </w:pPr>
                  <w:r w:rsidRPr="00554C7C">
                    <w:rPr>
                      <w:rFonts w:ascii="Calibri" w:hAnsi="Calibri" w:cs="Times New Roman"/>
                      <w:color w:val="000000"/>
                      <w:lang w:eastAsia="lv-LV" w:bidi="ar-SA"/>
                    </w:rPr>
                    <w:t>11.06%</w:t>
                  </w:r>
                </w:p>
              </w:tc>
              <w:tc>
                <w:tcPr>
                  <w:tcW w:w="1276" w:type="dxa"/>
                  <w:tcBorders>
                    <w:top w:val="nil"/>
                    <w:left w:val="nil"/>
                    <w:bottom w:val="single" w:sz="4" w:space="0" w:color="auto"/>
                    <w:right w:val="single" w:sz="4" w:space="0" w:color="auto"/>
                  </w:tcBorders>
                  <w:shd w:val="clear" w:color="auto" w:fill="auto"/>
                  <w:noWrap/>
                  <w:vAlign w:val="bottom"/>
                  <w:hideMark/>
                </w:tcPr>
                <w:p w:rsidR="00554C7C" w:rsidRPr="00554C7C" w:rsidRDefault="00554C7C" w:rsidP="00554C7C">
                  <w:pPr>
                    <w:jc w:val="right"/>
                    <w:rPr>
                      <w:rFonts w:ascii="Calibri" w:hAnsi="Calibri" w:cs="Times New Roman"/>
                      <w:color w:val="000000"/>
                      <w:lang w:eastAsia="lv-LV" w:bidi="ar-SA"/>
                    </w:rPr>
                  </w:pPr>
                  <w:r w:rsidRPr="00554C7C">
                    <w:rPr>
                      <w:rFonts w:ascii="Calibri" w:hAnsi="Calibri" w:cs="Times New Roman"/>
                      <w:color w:val="000000"/>
                      <w:lang w:eastAsia="lv-LV" w:bidi="ar-SA"/>
                    </w:rPr>
                    <w:t>10.92%</w:t>
                  </w:r>
                </w:p>
              </w:tc>
            </w:tr>
          </w:tbl>
          <w:p w:rsidR="00195EB0" w:rsidRDefault="00195EB0" w:rsidP="00BD6584">
            <w:pPr>
              <w:ind w:firstLine="796"/>
              <w:jc w:val="both"/>
              <w:rPr>
                <w:sz w:val="28"/>
                <w:szCs w:val="28"/>
              </w:rPr>
            </w:pPr>
          </w:p>
          <w:p w:rsidR="00BD6584" w:rsidRPr="00BD6584" w:rsidRDefault="00426F29" w:rsidP="00195EB0">
            <w:pPr>
              <w:ind w:firstLine="796"/>
              <w:jc w:val="both"/>
              <w:rPr>
                <w:sz w:val="28"/>
                <w:szCs w:val="28"/>
              </w:rPr>
            </w:pPr>
            <w:r w:rsidRPr="00BD6584">
              <w:rPr>
                <w:sz w:val="28"/>
                <w:szCs w:val="28"/>
              </w:rPr>
              <w:t xml:space="preserve">Aizsardzības ministrija </w:t>
            </w:r>
            <w:r>
              <w:rPr>
                <w:sz w:val="28"/>
                <w:szCs w:val="28"/>
              </w:rPr>
              <w:t>n</w:t>
            </w:r>
            <w:r w:rsidR="00BD6584" w:rsidRPr="00BD6584">
              <w:rPr>
                <w:sz w:val="28"/>
                <w:szCs w:val="28"/>
              </w:rPr>
              <w:t xml:space="preserve">ormatīvā akta izpildi 2016.gadā un turpmākajos gados īstenos atbilstoši tai piešķirtajiem valsts budžeta līdzekļiem </w:t>
            </w:r>
            <w:r w:rsidR="00DD10BE">
              <w:rPr>
                <w:sz w:val="28"/>
                <w:szCs w:val="28"/>
              </w:rPr>
              <w:t>JPI</w:t>
            </w:r>
            <w:r w:rsidR="00BD6584" w:rsidRPr="00BD6584">
              <w:rPr>
                <w:sz w:val="28"/>
                <w:szCs w:val="28"/>
              </w:rPr>
              <w:t xml:space="preserve"> „Karavīru mēnešalgas reforma” no budžeta programmas 22.00.00 „Nacionālie bruņotie spēki” apakšprogrammas 22.10.00 „Starptautisko operāciju un Nacionālo bruņoto spēku personālsastāva centralizētais atalgojums” ietvaros. </w:t>
            </w:r>
          </w:p>
        </w:tc>
      </w:tr>
    </w:tbl>
    <w:p w:rsidR="00BD6584" w:rsidRDefault="00BD6584"/>
    <w:p w:rsidR="0038132B" w:rsidRDefault="0038132B"/>
    <w:p w:rsidR="00EB2F97" w:rsidRDefault="00EB2F97"/>
    <w:p w:rsidR="00EB2F97" w:rsidRDefault="00EB2F97"/>
    <w:p w:rsidR="00EB2F97" w:rsidRDefault="00EB2F97"/>
    <w:tbl>
      <w:tblPr>
        <w:tblW w:w="9529" w:type="dxa"/>
        <w:jc w:val="center"/>
        <w:tblCellSpacing w:w="15" w:type="dxa"/>
        <w:tblInd w:w="-3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051"/>
        <w:gridCol w:w="2469"/>
        <w:gridCol w:w="6009"/>
      </w:tblGrid>
      <w:tr w:rsidR="00226001" w:rsidRPr="006E1657" w:rsidTr="00426F29">
        <w:trPr>
          <w:trHeight w:val="375"/>
          <w:tblCellSpacing w:w="15" w:type="dxa"/>
          <w:jc w:val="center"/>
        </w:trPr>
        <w:tc>
          <w:tcPr>
            <w:tcW w:w="9469" w:type="dxa"/>
            <w:gridSpan w:val="3"/>
            <w:vAlign w:val="center"/>
            <w:hideMark/>
          </w:tcPr>
          <w:p w:rsidR="00226001" w:rsidRPr="006E1657" w:rsidRDefault="00226001" w:rsidP="00226001">
            <w:pPr>
              <w:rPr>
                <w:b/>
                <w:bCs/>
                <w:sz w:val="28"/>
                <w:szCs w:val="28"/>
              </w:rPr>
            </w:pPr>
            <w:r w:rsidRPr="006E1657">
              <w:rPr>
                <w:b/>
                <w:bCs/>
                <w:sz w:val="28"/>
                <w:szCs w:val="28"/>
              </w:rPr>
              <w:lastRenderedPageBreak/>
              <w:t>VII. Tiesību akta projekta izpildes nodrošināšana un tās ietekme uz institūcijām</w:t>
            </w:r>
          </w:p>
        </w:tc>
      </w:tr>
      <w:tr w:rsidR="00204FD2" w:rsidRPr="00D623BB" w:rsidTr="00426F29">
        <w:trPr>
          <w:trHeight w:val="420"/>
          <w:tblCellSpacing w:w="15" w:type="dxa"/>
          <w:jc w:val="center"/>
        </w:trPr>
        <w:tc>
          <w:tcPr>
            <w:tcW w:w="1006" w:type="dxa"/>
            <w:hideMark/>
          </w:tcPr>
          <w:p w:rsidR="00226001" w:rsidRPr="00B168AB" w:rsidRDefault="00226001" w:rsidP="00226001">
            <w:pPr>
              <w:rPr>
                <w:sz w:val="28"/>
                <w:szCs w:val="28"/>
              </w:rPr>
            </w:pPr>
            <w:r w:rsidRPr="00B168AB">
              <w:rPr>
                <w:sz w:val="28"/>
                <w:szCs w:val="28"/>
              </w:rPr>
              <w:t>1.</w:t>
            </w:r>
          </w:p>
        </w:tc>
        <w:tc>
          <w:tcPr>
            <w:tcW w:w="2439" w:type="dxa"/>
            <w:hideMark/>
          </w:tcPr>
          <w:p w:rsidR="00226001" w:rsidRPr="00B168AB" w:rsidRDefault="00226001" w:rsidP="00226001">
            <w:pPr>
              <w:rPr>
                <w:sz w:val="28"/>
                <w:szCs w:val="28"/>
              </w:rPr>
            </w:pPr>
            <w:r w:rsidRPr="00B168AB">
              <w:rPr>
                <w:sz w:val="28"/>
                <w:szCs w:val="28"/>
              </w:rPr>
              <w:t>Projekta izpildē iesaistītās institūcijas</w:t>
            </w:r>
          </w:p>
        </w:tc>
        <w:tc>
          <w:tcPr>
            <w:tcW w:w="5964" w:type="dxa"/>
            <w:hideMark/>
          </w:tcPr>
          <w:p w:rsidR="00226001" w:rsidRPr="00B168AB" w:rsidRDefault="00C3358A" w:rsidP="007C495B">
            <w:pPr>
              <w:jc w:val="both"/>
              <w:rPr>
                <w:sz w:val="28"/>
                <w:szCs w:val="28"/>
              </w:rPr>
            </w:pPr>
            <w:r w:rsidRPr="00B168AB">
              <w:rPr>
                <w:sz w:val="28"/>
                <w:szCs w:val="28"/>
              </w:rPr>
              <w:t>Projekta izpildi nodrošinās Aizsardzības ministrija</w:t>
            </w:r>
            <w:r w:rsidR="006B1A16" w:rsidRPr="00B168AB">
              <w:rPr>
                <w:sz w:val="28"/>
                <w:szCs w:val="28"/>
              </w:rPr>
              <w:t>,</w:t>
            </w:r>
            <w:r w:rsidRPr="00B168AB">
              <w:rPr>
                <w:sz w:val="28"/>
                <w:szCs w:val="28"/>
              </w:rPr>
              <w:t xml:space="preserve"> Nacionālie bruņotie spēki</w:t>
            </w:r>
            <w:r w:rsidR="006B1A16" w:rsidRPr="00B168AB">
              <w:rPr>
                <w:sz w:val="28"/>
                <w:szCs w:val="28"/>
              </w:rPr>
              <w:t>, Valsts aizsardzības milit</w:t>
            </w:r>
            <w:r w:rsidR="00E43C39" w:rsidRPr="00B168AB">
              <w:rPr>
                <w:sz w:val="28"/>
                <w:szCs w:val="28"/>
              </w:rPr>
              <w:t>āro objektu un iepirkumu centrs un</w:t>
            </w:r>
            <w:r w:rsidR="006B1A16" w:rsidRPr="00B168AB">
              <w:rPr>
                <w:sz w:val="28"/>
                <w:szCs w:val="28"/>
              </w:rPr>
              <w:t xml:space="preserve"> </w:t>
            </w:r>
            <w:r w:rsidR="007C495B" w:rsidRPr="00B168AB">
              <w:rPr>
                <w:sz w:val="28"/>
                <w:szCs w:val="28"/>
              </w:rPr>
              <w:t>Rekrutēšanas un j</w:t>
            </w:r>
            <w:r w:rsidR="006B1A16" w:rsidRPr="00B168AB">
              <w:rPr>
                <w:sz w:val="28"/>
                <w:szCs w:val="28"/>
              </w:rPr>
              <w:t>aunsardzes centrs</w:t>
            </w:r>
            <w:r w:rsidRPr="00B168AB">
              <w:rPr>
                <w:sz w:val="28"/>
                <w:szCs w:val="28"/>
              </w:rPr>
              <w:t xml:space="preserve"> normatīvajos aktos noteiktajā kārtībā.</w:t>
            </w:r>
          </w:p>
        </w:tc>
      </w:tr>
      <w:tr w:rsidR="00204FD2" w:rsidRPr="006E1657" w:rsidTr="00426F29">
        <w:trPr>
          <w:trHeight w:val="450"/>
          <w:tblCellSpacing w:w="15" w:type="dxa"/>
          <w:jc w:val="center"/>
        </w:trPr>
        <w:tc>
          <w:tcPr>
            <w:tcW w:w="1006" w:type="dxa"/>
            <w:hideMark/>
          </w:tcPr>
          <w:p w:rsidR="00226001" w:rsidRPr="00B168AB" w:rsidRDefault="00226001" w:rsidP="00226001">
            <w:pPr>
              <w:rPr>
                <w:sz w:val="28"/>
                <w:szCs w:val="28"/>
              </w:rPr>
            </w:pPr>
            <w:r w:rsidRPr="00B168AB">
              <w:rPr>
                <w:sz w:val="28"/>
                <w:szCs w:val="28"/>
              </w:rPr>
              <w:t>2.</w:t>
            </w:r>
          </w:p>
        </w:tc>
        <w:tc>
          <w:tcPr>
            <w:tcW w:w="2439" w:type="dxa"/>
            <w:hideMark/>
          </w:tcPr>
          <w:p w:rsidR="00226001" w:rsidRPr="00B168AB" w:rsidRDefault="00226001" w:rsidP="00226001">
            <w:pPr>
              <w:rPr>
                <w:sz w:val="28"/>
                <w:szCs w:val="28"/>
              </w:rPr>
            </w:pPr>
            <w:r w:rsidRPr="00B168AB">
              <w:rPr>
                <w:sz w:val="28"/>
                <w:szCs w:val="28"/>
              </w:rPr>
              <w:t xml:space="preserve">Projekta izpildes ietekme uz pārvaldes funkcijām un institucionālo struktūru. </w:t>
            </w:r>
          </w:p>
          <w:p w:rsidR="00226001" w:rsidRPr="00B168AB" w:rsidRDefault="00226001" w:rsidP="00226001">
            <w:pPr>
              <w:rPr>
                <w:sz w:val="28"/>
                <w:szCs w:val="28"/>
              </w:rPr>
            </w:pPr>
            <w:r w:rsidRPr="00B168AB">
              <w:rPr>
                <w:sz w:val="28"/>
                <w:szCs w:val="28"/>
              </w:rPr>
              <w:t>Jaunu institūciju izveide, esošu institūciju likvidācija vai reorganizācija, to ietekme uz institūcijas cilvēkresursiem</w:t>
            </w:r>
          </w:p>
        </w:tc>
        <w:tc>
          <w:tcPr>
            <w:tcW w:w="5964" w:type="dxa"/>
            <w:hideMark/>
          </w:tcPr>
          <w:p w:rsidR="00226001" w:rsidRPr="00B168AB" w:rsidRDefault="006E64F5" w:rsidP="006B1A16">
            <w:pPr>
              <w:jc w:val="both"/>
              <w:rPr>
                <w:sz w:val="28"/>
                <w:szCs w:val="28"/>
              </w:rPr>
            </w:pPr>
            <w:r w:rsidRPr="00B168AB">
              <w:rPr>
                <w:sz w:val="28"/>
                <w:szCs w:val="28"/>
              </w:rPr>
              <w:t xml:space="preserve">Projekta izpilde notiks esošo pārvaldes funkciju ietvaros. </w:t>
            </w:r>
            <w:r w:rsidR="00C3358A" w:rsidRPr="00B168AB">
              <w:rPr>
                <w:sz w:val="28"/>
                <w:szCs w:val="28"/>
              </w:rPr>
              <w:t>Veicamās funkcijas un uzdevumi netiek paplašināti vai sašaurināti.</w:t>
            </w:r>
            <w:r w:rsidR="0015005A" w:rsidRPr="00B168AB">
              <w:rPr>
                <w:sz w:val="28"/>
                <w:szCs w:val="28"/>
              </w:rPr>
              <w:t xml:space="preserve"> </w:t>
            </w:r>
          </w:p>
        </w:tc>
      </w:tr>
      <w:tr w:rsidR="00204FD2" w:rsidRPr="006E1657" w:rsidTr="00426F29">
        <w:trPr>
          <w:trHeight w:val="390"/>
          <w:tblCellSpacing w:w="15" w:type="dxa"/>
          <w:jc w:val="center"/>
        </w:trPr>
        <w:tc>
          <w:tcPr>
            <w:tcW w:w="1006" w:type="dxa"/>
            <w:hideMark/>
          </w:tcPr>
          <w:p w:rsidR="00226001" w:rsidRPr="00B168AB" w:rsidRDefault="00226001" w:rsidP="00226001">
            <w:pPr>
              <w:rPr>
                <w:sz w:val="28"/>
                <w:szCs w:val="28"/>
              </w:rPr>
            </w:pPr>
            <w:r w:rsidRPr="00B168AB">
              <w:rPr>
                <w:sz w:val="28"/>
                <w:szCs w:val="28"/>
              </w:rPr>
              <w:t>3.</w:t>
            </w:r>
          </w:p>
        </w:tc>
        <w:tc>
          <w:tcPr>
            <w:tcW w:w="2439" w:type="dxa"/>
            <w:hideMark/>
          </w:tcPr>
          <w:p w:rsidR="00226001" w:rsidRPr="00B168AB" w:rsidRDefault="00226001" w:rsidP="00226001">
            <w:pPr>
              <w:rPr>
                <w:sz w:val="28"/>
                <w:szCs w:val="28"/>
              </w:rPr>
            </w:pPr>
            <w:r w:rsidRPr="00B168AB">
              <w:rPr>
                <w:sz w:val="28"/>
                <w:szCs w:val="28"/>
              </w:rPr>
              <w:t>Cita informācija</w:t>
            </w:r>
          </w:p>
        </w:tc>
        <w:tc>
          <w:tcPr>
            <w:tcW w:w="5964" w:type="dxa"/>
            <w:hideMark/>
          </w:tcPr>
          <w:p w:rsidR="00226001" w:rsidRPr="00B168AB" w:rsidRDefault="00226001" w:rsidP="00226001">
            <w:pPr>
              <w:rPr>
                <w:sz w:val="28"/>
                <w:szCs w:val="28"/>
              </w:rPr>
            </w:pPr>
            <w:r w:rsidRPr="00B168AB">
              <w:rPr>
                <w:sz w:val="28"/>
                <w:szCs w:val="28"/>
              </w:rPr>
              <w:t>Nav</w:t>
            </w:r>
          </w:p>
        </w:tc>
      </w:tr>
    </w:tbl>
    <w:p w:rsidR="009F337A" w:rsidRPr="006E1657" w:rsidRDefault="009F337A" w:rsidP="00CB08E1">
      <w:pPr>
        <w:rPr>
          <w:rFonts w:cs="Times New Roman"/>
          <w:sz w:val="28"/>
          <w:szCs w:val="28"/>
          <w:lang w:eastAsia="lv-LV" w:bidi="ar-SA"/>
        </w:rPr>
      </w:pPr>
    </w:p>
    <w:p w:rsidR="00364681" w:rsidRPr="006E1657" w:rsidRDefault="009F337A" w:rsidP="00CD33D9">
      <w:pPr>
        <w:ind w:left="-709"/>
        <w:rPr>
          <w:rFonts w:cs="Times New Roman"/>
          <w:sz w:val="28"/>
          <w:szCs w:val="28"/>
          <w:lang w:eastAsia="lv-LV" w:bidi="ar-SA"/>
        </w:rPr>
      </w:pPr>
      <w:r w:rsidRPr="006E1657">
        <w:rPr>
          <w:rFonts w:cs="Times New Roman"/>
          <w:sz w:val="28"/>
          <w:szCs w:val="28"/>
          <w:lang w:eastAsia="lv-LV" w:bidi="ar-SA"/>
        </w:rPr>
        <w:t xml:space="preserve">  </w:t>
      </w:r>
      <w:r w:rsidR="00CD33D9" w:rsidRPr="006E1657">
        <w:rPr>
          <w:rFonts w:cs="Times New Roman"/>
          <w:sz w:val="28"/>
          <w:szCs w:val="28"/>
          <w:lang w:eastAsia="lv-LV" w:bidi="ar-SA"/>
        </w:rPr>
        <w:t xml:space="preserve">  </w:t>
      </w:r>
      <w:r w:rsidR="00790A41" w:rsidRPr="006E1657">
        <w:rPr>
          <w:rFonts w:cs="Times New Roman"/>
          <w:i/>
          <w:sz w:val="28"/>
          <w:szCs w:val="28"/>
          <w:lang w:eastAsia="lv-LV" w:bidi="ar-SA"/>
        </w:rPr>
        <w:t>An</w:t>
      </w:r>
      <w:r w:rsidR="00D41263" w:rsidRPr="006E1657">
        <w:rPr>
          <w:rFonts w:cs="Times New Roman"/>
          <w:i/>
          <w:sz w:val="28"/>
          <w:szCs w:val="28"/>
          <w:lang w:eastAsia="lv-LV" w:bidi="ar-SA"/>
        </w:rPr>
        <w:t>otācijas</w:t>
      </w:r>
      <w:r w:rsidR="00790A41" w:rsidRPr="006E1657">
        <w:rPr>
          <w:rFonts w:cs="Times New Roman"/>
          <w:i/>
          <w:sz w:val="28"/>
          <w:szCs w:val="28"/>
          <w:lang w:eastAsia="lv-LV" w:bidi="ar-SA"/>
        </w:rPr>
        <w:t xml:space="preserve"> </w:t>
      </w:r>
      <w:r w:rsidR="006B1A16">
        <w:rPr>
          <w:rFonts w:cs="Times New Roman"/>
          <w:i/>
          <w:sz w:val="28"/>
          <w:szCs w:val="28"/>
          <w:lang w:eastAsia="lv-LV" w:bidi="ar-SA"/>
        </w:rPr>
        <w:t xml:space="preserve">IV, </w:t>
      </w:r>
      <w:r w:rsidR="001E7CA9" w:rsidRPr="006E1657">
        <w:rPr>
          <w:rFonts w:cs="Times New Roman"/>
          <w:i/>
          <w:sz w:val="28"/>
          <w:szCs w:val="28"/>
          <w:lang w:eastAsia="lv-LV" w:bidi="ar-SA"/>
        </w:rPr>
        <w:t>V un VI sadaļa – projekts šīs jomas</w:t>
      </w:r>
      <w:r w:rsidR="00FD1311" w:rsidRPr="006E1657">
        <w:rPr>
          <w:rFonts w:cs="Times New Roman"/>
          <w:i/>
          <w:sz w:val="28"/>
          <w:szCs w:val="28"/>
          <w:lang w:eastAsia="lv-LV" w:bidi="ar-SA"/>
        </w:rPr>
        <w:t xml:space="preserve"> neskar</w:t>
      </w:r>
      <w:r w:rsidR="0032333C">
        <w:rPr>
          <w:rFonts w:cs="Times New Roman"/>
          <w:i/>
          <w:sz w:val="28"/>
          <w:szCs w:val="28"/>
          <w:lang w:eastAsia="lv-LV" w:bidi="ar-SA"/>
        </w:rPr>
        <w:t>.</w:t>
      </w:r>
      <w:bookmarkStart w:id="1" w:name="_GoBack"/>
      <w:bookmarkEnd w:id="1"/>
    </w:p>
    <w:p w:rsidR="00892928" w:rsidRPr="006E1657" w:rsidRDefault="00892928" w:rsidP="00790A41">
      <w:pPr>
        <w:tabs>
          <w:tab w:val="right" w:pos="9074"/>
        </w:tabs>
        <w:ind w:left="-709"/>
        <w:rPr>
          <w:rFonts w:cs="Times New Roman"/>
          <w:sz w:val="28"/>
          <w:szCs w:val="28"/>
          <w:lang w:eastAsia="lv-LV" w:bidi="ar-SA"/>
        </w:rPr>
      </w:pPr>
    </w:p>
    <w:p w:rsidR="00456BE6" w:rsidRPr="006E1657" w:rsidRDefault="00456BE6" w:rsidP="00790A41">
      <w:pPr>
        <w:tabs>
          <w:tab w:val="right" w:pos="9074"/>
        </w:tabs>
        <w:ind w:left="-709"/>
        <w:rPr>
          <w:rFonts w:cs="Times New Roman"/>
          <w:sz w:val="28"/>
          <w:szCs w:val="28"/>
          <w:lang w:eastAsia="lv-LV" w:bidi="ar-SA"/>
        </w:rPr>
      </w:pPr>
    </w:p>
    <w:p w:rsidR="00790A41" w:rsidRPr="006E1657" w:rsidRDefault="00892928" w:rsidP="00E5011C">
      <w:pPr>
        <w:tabs>
          <w:tab w:val="left" w:pos="6946"/>
          <w:tab w:val="right" w:pos="9074"/>
        </w:tabs>
        <w:ind w:left="-709"/>
        <w:rPr>
          <w:rFonts w:cs="Times New Roman"/>
          <w:sz w:val="28"/>
          <w:szCs w:val="28"/>
          <w:lang w:eastAsia="lv-LV" w:bidi="ar-SA"/>
        </w:rPr>
      </w:pPr>
      <w:r w:rsidRPr="006E1657">
        <w:rPr>
          <w:rFonts w:cs="Times New Roman"/>
          <w:sz w:val="28"/>
          <w:szCs w:val="28"/>
          <w:lang w:eastAsia="lv-LV" w:bidi="ar-SA"/>
        </w:rPr>
        <w:t xml:space="preserve">     </w:t>
      </w:r>
      <w:r w:rsidR="00790A41" w:rsidRPr="006E1657">
        <w:rPr>
          <w:rFonts w:cs="Times New Roman"/>
          <w:sz w:val="28"/>
          <w:szCs w:val="28"/>
          <w:lang w:eastAsia="lv-LV" w:bidi="ar-SA"/>
        </w:rPr>
        <w:t>Aizsardzības ministrs</w:t>
      </w:r>
      <w:r w:rsidR="00E5011C">
        <w:rPr>
          <w:rFonts w:cs="Times New Roman"/>
          <w:sz w:val="28"/>
          <w:szCs w:val="28"/>
          <w:lang w:eastAsia="lv-LV" w:bidi="ar-SA"/>
        </w:rPr>
        <w:tab/>
      </w:r>
      <w:proofErr w:type="spellStart"/>
      <w:r w:rsidR="00790A41" w:rsidRPr="006E1657">
        <w:rPr>
          <w:rFonts w:cs="Times New Roman"/>
          <w:sz w:val="28"/>
          <w:szCs w:val="28"/>
          <w:lang w:eastAsia="lv-LV" w:bidi="ar-SA"/>
        </w:rPr>
        <w:t>R.Vējonis</w:t>
      </w:r>
      <w:proofErr w:type="spellEnd"/>
      <w:r w:rsidR="00790A41" w:rsidRPr="006E1657">
        <w:rPr>
          <w:rFonts w:cs="Times New Roman"/>
          <w:sz w:val="28"/>
          <w:szCs w:val="28"/>
          <w:lang w:eastAsia="lv-LV" w:bidi="ar-SA"/>
        </w:rPr>
        <w:t xml:space="preserve"> </w:t>
      </w:r>
    </w:p>
    <w:p w:rsidR="00790A41" w:rsidRPr="006E1657" w:rsidRDefault="00790A41" w:rsidP="00790A41">
      <w:pPr>
        <w:tabs>
          <w:tab w:val="right" w:pos="9074"/>
        </w:tabs>
        <w:rPr>
          <w:rFonts w:cs="Times New Roman"/>
          <w:sz w:val="28"/>
          <w:szCs w:val="28"/>
          <w:lang w:eastAsia="lv-LV" w:bidi="ar-SA"/>
        </w:rPr>
      </w:pPr>
    </w:p>
    <w:p w:rsidR="007568C6" w:rsidRPr="006E1657" w:rsidRDefault="00055AF4" w:rsidP="007568C6">
      <w:pPr>
        <w:ind w:left="-709"/>
        <w:rPr>
          <w:rFonts w:cs="Times New Roman"/>
          <w:sz w:val="28"/>
          <w:szCs w:val="28"/>
          <w:lang w:eastAsia="lv-LV" w:bidi="ar-SA"/>
        </w:rPr>
      </w:pPr>
      <w:r w:rsidRPr="006E1657">
        <w:rPr>
          <w:rFonts w:cs="Times New Roman"/>
          <w:sz w:val="28"/>
          <w:szCs w:val="28"/>
          <w:lang w:eastAsia="lv-LV" w:bidi="ar-SA"/>
        </w:rPr>
        <w:t xml:space="preserve">     </w:t>
      </w:r>
    </w:p>
    <w:p w:rsidR="00790A41" w:rsidRPr="006E1657" w:rsidRDefault="007568C6" w:rsidP="007568C6">
      <w:pPr>
        <w:ind w:left="-709"/>
        <w:rPr>
          <w:rFonts w:cs="Times New Roman"/>
          <w:sz w:val="28"/>
          <w:szCs w:val="28"/>
          <w:lang w:eastAsia="lv-LV" w:bidi="ar-SA"/>
        </w:rPr>
      </w:pPr>
      <w:r w:rsidRPr="006E1657">
        <w:rPr>
          <w:rFonts w:cs="Times New Roman"/>
          <w:sz w:val="28"/>
          <w:szCs w:val="28"/>
          <w:lang w:eastAsia="lv-LV" w:bidi="ar-SA"/>
        </w:rPr>
        <w:t xml:space="preserve">     </w:t>
      </w:r>
      <w:r w:rsidR="00790A41" w:rsidRPr="006E1657">
        <w:rPr>
          <w:rFonts w:cs="Times New Roman"/>
          <w:sz w:val="28"/>
          <w:szCs w:val="28"/>
          <w:lang w:eastAsia="lv-LV" w:bidi="ar-SA"/>
        </w:rPr>
        <w:t>Vīza: Valsts sekretār</w:t>
      </w:r>
      <w:r w:rsidR="006E1657">
        <w:rPr>
          <w:rFonts w:cs="Times New Roman"/>
          <w:sz w:val="28"/>
          <w:szCs w:val="28"/>
          <w:lang w:eastAsia="lv-LV" w:bidi="ar-SA"/>
        </w:rPr>
        <w:t>s</w:t>
      </w:r>
      <w:r w:rsidR="00790A41" w:rsidRPr="006E1657">
        <w:rPr>
          <w:rFonts w:cs="Times New Roman"/>
          <w:sz w:val="28"/>
          <w:szCs w:val="28"/>
          <w:lang w:eastAsia="lv-LV" w:bidi="ar-SA"/>
        </w:rPr>
        <w:tab/>
      </w:r>
      <w:r w:rsidR="00790A41" w:rsidRPr="006E1657">
        <w:rPr>
          <w:rFonts w:cs="Times New Roman"/>
          <w:sz w:val="28"/>
          <w:szCs w:val="28"/>
          <w:lang w:eastAsia="lv-LV" w:bidi="ar-SA"/>
        </w:rPr>
        <w:tab/>
      </w:r>
      <w:r w:rsidR="00055AF4" w:rsidRPr="006E1657">
        <w:rPr>
          <w:rFonts w:cs="Times New Roman"/>
          <w:sz w:val="28"/>
          <w:szCs w:val="28"/>
          <w:lang w:eastAsia="lv-LV" w:bidi="ar-SA"/>
        </w:rPr>
        <w:tab/>
      </w:r>
      <w:r w:rsidR="00055AF4" w:rsidRPr="006E1657">
        <w:rPr>
          <w:rFonts w:cs="Times New Roman"/>
          <w:sz w:val="28"/>
          <w:szCs w:val="28"/>
          <w:lang w:eastAsia="lv-LV" w:bidi="ar-SA"/>
        </w:rPr>
        <w:tab/>
      </w:r>
      <w:r w:rsidR="00055AF4" w:rsidRPr="006E1657">
        <w:rPr>
          <w:rFonts w:cs="Times New Roman"/>
          <w:sz w:val="28"/>
          <w:szCs w:val="28"/>
          <w:lang w:eastAsia="lv-LV" w:bidi="ar-SA"/>
        </w:rPr>
        <w:tab/>
        <w:t xml:space="preserve">               </w:t>
      </w:r>
      <w:r w:rsidR="006E1657">
        <w:rPr>
          <w:rFonts w:cs="Times New Roman"/>
          <w:sz w:val="28"/>
          <w:szCs w:val="28"/>
          <w:lang w:eastAsia="lv-LV" w:bidi="ar-SA"/>
        </w:rPr>
        <w:t xml:space="preserve">         </w:t>
      </w:r>
      <w:r w:rsidR="00055AF4" w:rsidRPr="006E1657">
        <w:rPr>
          <w:rFonts w:cs="Times New Roman"/>
          <w:sz w:val="28"/>
          <w:szCs w:val="28"/>
          <w:lang w:eastAsia="lv-LV" w:bidi="ar-SA"/>
        </w:rPr>
        <w:t xml:space="preserve"> </w:t>
      </w:r>
      <w:r w:rsidRPr="006E1657">
        <w:rPr>
          <w:rFonts w:cs="Times New Roman"/>
          <w:sz w:val="28"/>
          <w:szCs w:val="28"/>
          <w:lang w:eastAsia="lv-LV" w:bidi="ar-SA"/>
        </w:rPr>
        <w:t xml:space="preserve"> </w:t>
      </w:r>
      <w:r w:rsidR="00055AF4" w:rsidRPr="006E1657">
        <w:rPr>
          <w:rFonts w:cs="Times New Roman"/>
          <w:sz w:val="28"/>
          <w:szCs w:val="28"/>
          <w:lang w:eastAsia="lv-LV" w:bidi="ar-SA"/>
        </w:rPr>
        <w:t xml:space="preserve"> </w:t>
      </w:r>
      <w:r w:rsidR="006E1657">
        <w:rPr>
          <w:rFonts w:cs="Times New Roman"/>
          <w:sz w:val="28"/>
          <w:szCs w:val="28"/>
          <w:lang w:eastAsia="lv-LV" w:bidi="ar-SA"/>
        </w:rPr>
        <w:t>J.Sārts</w:t>
      </w:r>
    </w:p>
    <w:p w:rsidR="00790A41" w:rsidRPr="006E1657" w:rsidRDefault="00790A41" w:rsidP="00790A41">
      <w:pPr>
        <w:ind w:left="-709"/>
        <w:rPr>
          <w:rFonts w:cs="Times New Roman"/>
          <w:color w:val="FF0000"/>
          <w:lang w:eastAsia="lv-LV" w:bidi="ar-SA"/>
        </w:rPr>
      </w:pPr>
    </w:p>
    <w:p w:rsidR="00332D02" w:rsidRDefault="00332D02" w:rsidP="00790A41">
      <w:pPr>
        <w:ind w:left="-709"/>
        <w:rPr>
          <w:rFonts w:cs="Times New Roman"/>
          <w:color w:val="FF0000"/>
          <w:lang w:eastAsia="lv-LV" w:bidi="ar-SA"/>
        </w:rPr>
      </w:pPr>
    </w:p>
    <w:p w:rsidR="004C40C0" w:rsidRPr="004C40C0" w:rsidRDefault="004F450B" w:rsidP="004C40C0">
      <w:pPr>
        <w:rPr>
          <w:rFonts w:cs="Times New Roman"/>
        </w:rPr>
      </w:pPr>
      <w:r>
        <w:rPr>
          <w:rFonts w:cs="Times New Roman"/>
        </w:rPr>
        <w:t>14</w:t>
      </w:r>
      <w:r w:rsidR="00FB3BF5">
        <w:rPr>
          <w:rFonts w:cs="Times New Roman"/>
        </w:rPr>
        <w:t>.04</w:t>
      </w:r>
      <w:r w:rsidR="004C40C0" w:rsidRPr="004C40C0">
        <w:rPr>
          <w:rFonts w:cs="Times New Roman"/>
        </w:rPr>
        <w:t>.201</w:t>
      </w:r>
      <w:r w:rsidR="00B168AB">
        <w:rPr>
          <w:rFonts w:cs="Times New Roman"/>
        </w:rPr>
        <w:t>5</w:t>
      </w:r>
      <w:r w:rsidR="004C40C0" w:rsidRPr="004C40C0">
        <w:rPr>
          <w:rFonts w:cs="Times New Roman"/>
        </w:rPr>
        <w:t xml:space="preserve">. </w:t>
      </w:r>
      <w:r w:rsidR="00FF4232">
        <w:rPr>
          <w:rFonts w:cs="Times New Roman"/>
        </w:rPr>
        <w:t>11:23</w:t>
      </w:r>
    </w:p>
    <w:p w:rsidR="004C40C0" w:rsidRPr="004C40C0" w:rsidRDefault="0032333C" w:rsidP="00CD341E">
      <w:pPr>
        <w:tabs>
          <w:tab w:val="center" w:pos="4153"/>
        </w:tabs>
        <w:rPr>
          <w:rFonts w:cs="Times New Roman"/>
        </w:rPr>
      </w:pPr>
      <w:r>
        <w:fldChar w:fldCharType="begin"/>
      </w:r>
      <w:r>
        <w:instrText xml:space="preserve"> NUMWORDS   \* MERGEFORMAT </w:instrText>
      </w:r>
      <w:r>
        <w:fldChar w:fldCharType="separate"/>
      </w:r>
      <w:r w:rsidR="00EB2F97" w:rsidRPr="00EB2F97">
        <w:rPr>
          <w:rFonts w:cs="Times New Roman"/>
          <w:noProof/>
        </w:rPr>
        <w:t>1309</w:t>
      </w:r>
      <w:r>
        <w:rPr>
          <w:rFonts w:cs="Times New Roman"/>
          <w:noProof/>
        </w:rPr>
        <w:fldChar w:fldCharType="end"/>
      </w:r>
      <w:r w:rsidR="00CD341E">
        <w:rPr>
          <w:rFonts w:cs="Times New Roman"/>
          <w:noProof/>
        </w:rPr>
        <w:tab/>
      </w:r>
    </w:p>
    <w:p w:rsidR="00E5011C" w:rsidRDefault="00E5011C" w:rsidP="004C40C0">
      <w:pPr>
        <w:rPr>
          <w:rFonts w:cs="Times New Roman"/>
        </w:rPr>
      </w:pPr>
      <w:proofErr w:type="spellStart"/>
      <w:r>
        <w:rPr>
          <w:rFonts w:cs="Times New Roman"/>
        </w:rPr>
        <w:t>I.Jursiņa-Videmane</w:t>
      </w:r>
      <w:proofErr w:type="spellEnd"/>
    </w:p>
    <w:p w:rsidR="00E5011C" w:rsidRDefault="00E5011C" w:rsidP="004C40C0">
      <w:pPr>
        <w:rPr>
          <w:rFonts w:cs="Times New Roman"/>
        </w:rPr>
      </w:pPr>
      <w:r>
        <w:rPr>
          <w:rFonts w:cs="Times New Roman"/>
        </w:rPr>
        <w:t xml:space="preserve">Tālr.: 67335162 </w:t>
      </w:r>
    </w:p>
    <w:p w:rsidR="00E5011C" w:rsidRDefault="00E5011C" w:rsidP="004C40C0">
      <w:pPr>
        <w:rPr>
          <w:rFonts w:cs="Times New Roman"/>
        </w:rPr>
      </w:pPr>
      <w:r>
        <w:rPr>
          <w:rFonts w:cs="Times New Roman"/>
        </w:rPr>
        <w:t xml:space="preserve">e-pasta adrese: </w:t>
      </w:r>
      <w:hyperlink r:id="rId9" w:history="1">
        <w:r w:rsidRPr="00E766DD">
          <w:rPr>
            <w:rStyle w:val="Hyperlink"/>
            <w:rFonts w:cs="Times New Roman"/>
          </w:rPr>
          <w:t>ineta.jursina@mod.gov.lv</w:t>
        </w:r>
      </w:hyperlink>
    </w:p>
    <w:sectPr w:rsidR="00E5011C" w:rsidSect="00693187">
      <w:footerReference w:type="default" r:id="rId10"/>
      <w:pgSz w:w="11906" w:h="16838"/>
      <w:pgMar w:top="1134" w:right="1800" w:bottom="1440" w:left="1800" w:header="68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BA" w:rsidRDefault="00594DBA" w:rsidP="00721C60">
      <w:r>
        <w:separator/>
      </w:r>
    </w:p>
  </w:endnote>
  <w:endnote w:type="continuationSeparator" w:id="0">
    <w:p w:rsidR="00594DBA" w:rsidRDefault="00594DBA" w:rsidP="007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C0" w:rsidRDefault="0032333C" w:rsidP="004C40C0">
    <w:pPr>
      <w:jc w:val="both"/>
      <w:rPr>
        <w:rFonts w:cs="Times New Roman"/>
      </w:rPr>
    </w:pPr>
    <w:r>
      <w:fldChar w:fldCharType="begin"/>
    </w:r>
    <w:r>
      <w:instrText xml:space="preserve"> FILENAME   \* MERGEFORMAT </w:instrText>
    </w:r>
    <w:r>
      <w:fldChar w:fldCharType="separate"/>
    </w:r>
    <w:r w:rsidR="00F27876" w:rsidRPr="00F27876">
      <w:rPr>
        <w:rFonts w:cs="Times New Roman"/>
        <w:noProof/>
      </w:rPr>
      <w:t>AIMAnot_140415.docx</w:t>
    </w:r>
    <w:r>
      <w:rPr>
        <w:rFonts w:cs="Times New Roman"/>
        <w:noProof/>
      </w:rPr>
      <w:fldChar w:fldCharType="end"/>
    </w:r>
    <w:r w:rsidR="004C40C0">
      <w:rPr>
        <w:rFonts w:cs="Times New Roman"/>
      </w:rPr>
      <w:t xml:space="preserve">; </w:t>
    </w:r>
    <w:r w:rsidR="004C40C0" w:rsidRPr="00A81032">
      <w:rPr>
        <w:rFonts w:cs="Times New Roman"/>
      </w:rPr>
      <w:t>Minist</w:t>
    </w:r>
    <w:r w:rsidR="004C40C0">
      <w:rPr>
        <w:rFonts w:cs="Times New Roman"/>
      </w:rPr>
      <w:t>ru kabineta noteikumu projekta</w:t>
    </w:r>
    <w:r w:rsidR="004C40C0" w:rsidRPr="00A81032">
      <w:rPr>
        <w:rFonts w:cs="Times New Roman"/>
      </w:rPr>
      <w:t xml:space="preserve"> „Grozījums Ministru kabineta 2014.gada 26.augusta noteikumos Nr.509 „Noteikumi par karavīra mēnešalgas un speciālo piemaksu noteikšanas kārtību un to apmēru””</w:t>
    </w:r>
    <w:r w:rsidR="004C40C0">
      <w:rPr>
        <w:rFonts w:cs="Times New Roman"/>
      </w:rPr>
      <w:t xml:space="preserve"> sākotnējās ietekmes novērtējuma ziņojums (anotācija)</w:t>
    </w:r>
  </w:p>
  <w:p w:rsidR="00055AF4" w:rsidRPr="00055AF4" w:rsidRDefault="008B68E0" w:rsidP="00055AF4">
    <w:pPr>
      <w:tabs>
        <w:tab w:val="center" w:pos="4153"/>
        <w:tab w:val="right" w:pos="8306"/>
      </w:tabs>
      <w:jc w:val="right"/>
      <w:rPr>
        <w:rFonts w:cs="Times New Roman"/>
        <w:sz w:val="24"/>
        <w:szCs w:val="24"/>
        <w:lang w:eastAsia="lv-LV" w:bidi="ar-SA"/>
      </w:rPr>
    </w:pPr>
    <w:r w:rsidRPr="00055AF4">
      <w:rPr>
        <w:rFonts w:cs="Times New Roman"/>
        <w:sz w:val="24"/>
        <w:szCs w:val="24"/>
        <w:lang w:eastAsia="lv-LV" w:bidi="ar-SA"/>
      </w:rPr>
      <w:fldChar w:fldCharType="begin"/>
    </w:r>
    <w:r w:rsidR="00055AF4" w:rsidRPr="00055AF4">
      <w:rPr>
        <w:rFonts w:cs="Times New Roman"/>
        <w:sz w:val="24"/>
        <w:szCs w:val="24"/>
        <w:lang w:eastAsia="lv-LV" w:bidi="ar-SA"/>
      </w:rPr>
      <w:instrText xml:space="preserve"> PAGE   \* MERGEFORMAT </w:instrText>
    </w:r>
    <w:r w:rsidRPr="00055AF4">
      <w:rPr>
        <w:rFonts w:cs="Times New Roman"/>
        <w:sz w:val="24"/>
        <w:szCs w:val="24"/>
        <w:lang w:eastAsia="lv-LV" w:bidi="ar-SA"/>
      </w:rPr>
      <w:fldChar w:fldCharType="separate"/>
    </w:r>
    <w:r w:rsidR="0032333C">
      <w:rPr>
        <w:rFonts w:cs="Times New Roman"/>
        <w:noProof/>
        <w:sz w:val="24"/>
        <w:szCs w:val="24"/>
        <w:lang w:eastAsia="lv-LV" w:bidi="ar-SA"/>
      </w:rPr>
      <w:t>7</w:t>
    </w:r>
    <w:r w:rsidRPr="00055AF4">
      <w:rPr>
        <w:rFonts w:cs="Times New Roman"/>
        <w:noProof/>
        <w:sz w:val="24"/>
        <w:szCs w:val="24"/>
        <w:lang w:eastAsia="lv-LV" w:bidi="ar-SA"/>
      </w:rPr>
      <w:fldChar w:fldCharType="end"/>
    </w:r>
  </w:p>
  <w:p w:rsidR="00055AF4" w:rsidRPr="00055AF4" w:rsidRDefault="00055AF4" w:rsidP="00055AF4">
    <w:pPr>
      <w:jc w:val="both"/>
      <w:rPr>
        <w:rFonts w:cs="Times New Roman"/>
        <w:lang w:eastAsia="lv-LV" w:bidi="ar-SA"/>
      </w:rPr>
    </w:pPr>
  </w:p>
  <w:p w:rsidR="00721C60" w:rsidRDefault="0072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BA" w:rsidRDefault="00594DBA" w:rsidP="00721C60">
      <w:r>
        <w:separator/>
      </w:r>
    </w:p>
  </w:footnote>
  <w:footnote w:type="continuationSeparator" w:id="0">
    <w:p w:rsidR="00594DBA" w:rsidRDefault="00594DBA" w:rsidP="0072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188"/>
    <w:multiLevelType w:val="hybridMultilevel"/>
    <w:tmpl w:val="F6DA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E7628"/>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EA588F"/>
    <w:multiLevelType w:val="hybridMultilevel"/>
    <w:tmpl w:val="8A8A6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385B17"/>
    <w:multiLevelType w:val="hybridMultilevel"/>
    <w:tmpl w:val="3FE497EC"/>
    <w:lvl w:ilvl="0" w:tplc="B046F0FA">
      <w:start w:val="1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D92C9B"/>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9D5400"/>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D4163D"/>
    <w:multiLevelType w:val="hybridMultilevel"/>
    <w:tmpl w:val="C23CF6E6"/>
    <w:lvl w:ilvl="0" w:tplc="5B2AB6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521103"/>
    <w:multiLevelType w:val="hybridMultilevel"/>
    <w:tmpl w:val="86A4DAFE"/>
    <w:lvl w:ilvl="0" w:tplc="F880EBAC">
      <w:start w:val="1"/>
      <w:numFmt w:val="decimal"/>
      <w:lvlText w:val="%1)"/>
      <w:lvlJc w:val="left"/>
      <w:pPr>
        <w:ind w:left="1080" w:hanging="360"/>
      </w:pPr>
      <w:rPr>
        <w:rFonts w:hint="default"/>
      </w:rPr>
    </w:lvl>
    <w:lvl w:ilvl="1" w:tplc="E34A23FE">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7"/>
    <w:rsid w:val="000060D4"/>
    <w:rsid w:val="00021F5D"/>
    <w:rsid w:val="00042181"/>
    <w:rsid w:val="00042F0F"/>
    <w:rsid w:val="00045145"/>
    <w:rsid w:val="0005169C"/>
    <w:rsid w:val="0005411B"/>
    <w:rsid w:val="00055AF4"/>
    <w:rsid w:val="000764E2"/>
    <w:rsid w:val="000D1336"/>
    <w:rsid w:val="000D5EC6"/>
    <w:rsid w:val="000E443D"/>
    <w:rsid w:val="000F493B"/>
    <w:rsid w:val="000F53CC"/>
    <w:rsid w:val="0010471B"/>
    <w:rsid w:val="00130CFE"/>
    <w:rsid w:val="00131927"/>
    <w:rsid w:val="00135EE7"/>
    <w:rsid w:val="0013670B"/>
    <w:rsid w:val="00146413"/>
    <w:rsid w:val="0015005A"/>
    <w:rsid w:val="00181F91"/>
    <w:rsid w:val="00184257"/>
    <w:rsid w:val="001934B2"/>
    <w:rsid w:val="00193DE6"/>
    <w:rsid w:val="001951D0"/>
    <w:rsid w:val="00195EB0"/>
    <w:rsid w:val="00196E32"/>
    <w:rsid w:val="001A5282"/>
    <w:rsid w:val="001C0FC5"/>
    <w:rsid w:val="001C25DB"/>
    <w:rsid w:val="001C6616"/>
    <w:rsid w:val="001C6E3F"/>
    <w:rsid w:val="001D5687"/>
    <w:rsid w:val="001D5C7A"/>
    <w:rsid w:val="001E69C3"/>
    <w:rsid w:val="001E7CA9"/>
    <w:rsid w:val="001F6099"/>
    <w:rsid w:val="001F67E2"/>
    <w:rsid w:val="0020383F"/>
    <w:rsid w:val="00204FD2"/>
    <w:rsid w:val="00214049"/>
    <w:rsid w:val="00226001"/>
    <w:rsid w:val="002276DA"/>
    <w:rsid w:val="00230D1E"/>
    <w:rsid w:val="002534CD"/>
    <w:rsid w:val="0026236D"/>
    <w:rsid w:val="00281AF8"/>
    <w:rsid w:val="00290E04"/>
    <w:rsid w:val="0029183A"/>
    <w:rsid w:val="00296C32"/>
    <w:rsid w:val="002A05A7"/>
    <w:rsid w:val="002A5FAE"/>
    <w:rsid w:val="002B7DAC"/>
    <w:rsid w:val="002E2CC4"/>
    <w:rsid w:val="002E58C9"/>
    <w:rsid w:val="002F4AF9"/>
    <w:rsid w:val="00302CB0"/>
    <w:rsid w:val="00304507"/>
    <w:rsid w:val="003077AE"/>
    <w:rsid w:val="003103CD"/>
    <w:rsid w:val="0032333C"/>
    <w:rsid w:val="00332D02"/>
    <w:rsid w:val="00333274"/>
    <w:rsid w:val="00333F45"/>
    <w:rsid w:val="00335C32"/>
    <w:rsid w:val="003616B6"/>
    <w:rsid w:val="00364681"/>
    <w:rsid w:val="00366149"/>
    <w:rsid w:val="0037209C"/>
    <w:rsid w:val="0038132B"/>
    <w:rsid w:val="00392774"/>
    <w:rsid w:val="00396F6B"/>
    <w:rsid w:val="003A10A1"/>
    <w:rsid w:val="003A56E4"/>
    <w:rsid w:val="003B135F"/>
    <w:rsid w:val="003B56EF"/>
    <w:rsid w:val="003C497E"/>
    <w:rsid w:val="003C5875"/>
    <w:rsid w:val="003C6D77"/>
    <w:rsid w:val="003D217F"/>
    <w:rsid w:val="003E53AB"/>
    <w:rsid w:val="0040091B"/>
    <w:rsid w:val="004062A2"/>
    <w:rsid w:val="0041157E"/>
    <w:rsid w:val="004133AE"/>
    <w:rsid w:val="0041677F"/>
    <w:rsid w:val="00424B4B"/>
    <w:rsid w:val="00426F29"/>
    <w:rsid w:val="004355DD"/>
    <w:rsid w:val="00456BE6"/>
    <w:rsid w:val="00457A2D"/>
    <w:rsid w:val="004920C8"/>
    <w:rsid w:val="004C2B6A"/>
    <w:rsid w:val="004C40C0"/>
    <w:rsid w:val="004C525A"/>
    <w:rsid w:val="004C5CB4"/>
    <w:rsid w:val="004C6E7B"/>
    <w:rsid w:val="004D6CBB"/>
    <w:rsid w:val="004F37CD"/>
    <w:rsid w:val="004F450B"/>
    <w:rsid w:val="004F77DB"/>
    <w:rsid w:val="00511A3D"/>
    <w:rsid w:val="0051248E"/>
    <w:rsid w:val="00517CE2"/>
    <w:rsid w:val="00521500"/>
    <w:rsid w:val="005315AA"/>
    <w:rsid w:val="0053727C"/>
    <w:rsid w:val="00554C7C"/>
    <w:rsid w:val="00564858"/>
    <w:rsid w:val="005864ED"/>
    <w:rsid w:val="0059118B"/>
    <w:rsid w:val="00594DBA"/>
    <w:rsid w:val="005A0BC7"/>
    <w:rsid w:val="005A5FC5"/>
    <w:rsid w:val="005A6830"/>
    <w:rsid w:val="005A6B38"/>
    <w:rsid w:val="005A70AA"/>
    <w:rsid w:val="005B3197"/>
    <w:rsid w:val="005B38C5"/>
    <w:rsid w:val="005B4C6F"/>
    <w:rsid w:val="005F520F"/>
    <w:rsid w:val="00607726"/>
    <w:rsid w:val="00627937"/>
    <w:rsid w:val="006369BF"/>
    <w:rsid w:val="00636B94"/>
    <w:rsid w:val="0064333E"/>
    <w:rsid w:val="0064426B"/>
    <w:rsid w:val="00683762"/>
    <w:rsid w:val="00693187"/>
    <w:rsid w:val="00697F1E"/>
    <w:rsid w:val="006B1A16"/>
    <w:rsid w:val="006B3862"/>
    <w:rsid w:val="006B4918"/>
    <w:rsid w:val="006B4E97"/>
    <w:rsid w:val="006C2C6E"/>
    <w:rsid w:val="006C4C8D"/>
    <w:rsid w:val="006D079F"/>
    <w:rsid w:val="006D1E8B"/>
    <w:rsid w:val="006D2226"/>
    <w:rsid w:val="006D358B"/>
    <w:rsid w:val="006D384E"/>
    <w:rsid w:val="006E1657"/>
    <w:rsid w:val="006E64F5"/>
    <w:rsid w:val="0070041B"/>
    <w:rsid w:val="007027FC"/>
    <w:rsid w:val="00715F58"/>
    <w:rsid w:val="00721C60"/>
    <w:rsid w:val="00732702"/>
    <w:rsid w:val="007568C6"/>
    <w:rsid w:val="0076163E"/>
    <w:rsid w:val="007622CB"/>
    <w:rsid w:val="007635F3"/>
    <w:rsid w:val="007658FD"/>
    <w:rsid w:val="007673B0"/>
    <w:rsid w:val="00771352"/>
    <w:rsid w:val="00777C16"/>
    <w:rsid w:val="00780963"/>
    <w:rsid w:val="0079061F"/>
    <w:rsid w:val="00790815"/>
    <w:rsid w:val="00790A41"/>
    <w:rsid w:val="00796381"/>
    <w:rsid w:val="007A0562"/>
    <w:rsid w:val="007A5830"/>
    <w:rsid w:val="007C0E32"/>
    <w:rsid w:val="007C1053"/>
    <w:rsid w:val="007C495B"/>
    <w:rsid w:val="007D21DE"/>
    <w:rsid w:val="007D458D"/>
    <w:rsid w:val="007F11C4"/>
    <w:rsid w:val="007F1938"/>
    <w:rsid w:val="007F4377"/>
    <w:rsid w:val="00802F61"/>
    <w:rsid w:val="0080451E"/>
    <w:rsid w:val="0081116E"/>
    <w:rsid w:val="008171F7"/>
    <w:rsid w:val="00833773"/>
    <w:rsid w:val="008376E5"/>
    <w:rsid w:val="008444EF"/>
    <w:rsid w:val="008468A3"/>
    <w:rsid w:val="008533DF"/>
    <w:rsid w:val="00854C82"/>
    <w:rsid w:val="00856AAF"/>
    <w:rsid w:val="00856F83"/>
    <w:rsid w:val="008646BE"/>
    <w:rsid w:val="00866C30"/>
    <w:rsid w:val="008779D4"/>
    <w:rsid w:val="0088025F"/>
    <w:rsid w:val="008804EF"/>
    <w:rsid w:val="00892928"/>
    <w:rsid w:val="00893967"/>
    <w:rsid w:val="008944AB"/>
    <w:rsid w:val="008A6D6A"/>
    <w:rsid w:val="008B0935"/>
    <w:rsid w:val="008B3CF4"/>
    <w:rsid w:val="008B68E0"/>
    <w:rsid w:val="008C1C39"/>
    <w:rsid w:val="008E6D94"/>
    <w:rsid w:val="008F0A5B"/>
    <w:rsid w:val="008F5AD3"/>
    <w:rsid w:val="008F65AF"/>
    <w:rsid w:val="008F6DE2"/>
    <w:rsid w:val="009013C0"/>
    <w:rsid w:val="00910940"/>
    <w:rsid w:val="009235D7"/>
    <w:rsid w:val="0095145F"/>
    <w:rsid w:val="00961EAA"/>
    <w:rsid w:val="0096447E"/>
    <w:rsid w:val="00965B0E"/>
    <w:rsid w:val="00965EEB"/>
    <w:rsid w:val="0096701F"/>
    <w:rsid w:val="0099072B"/>
    <w:rsid w:val="00991899"/>
    <w:rsid w:val="009A48D6"/>
    <w:rsid w:val="009B3281"/>
    <w:rsid w:val="009C5B57"/>
    <w:rsid w:val="009D1A1A"/>
    <w:rsid w:val="009E3130"/>
    <w:rsid w:val="009E6FF5"/>
    <w:rsid w:val="009F337A"/>
    <w:rsid w:val="00A0404F"/>
    <w:rsid w:val="00A04DD0"/>
    <w:rsid w:val="00A14FF3"/>
    <w:rsid w:val="00A17E0F"/>
    <w:rsid w:val="00A23FBF"/>
    <w:rsid w:val="00A32227"/>
    <w:rsid w:val="00A32467"/>
    <w:rsid w:val="00A61AB9"/>
    <w:rsid w:val="00A705C7"/>
    <w:rsid w:val="00A822E2"/>
    <w:rsid w:val="00A937F1"/>
    <w:rsid w:val="00A952E7"/>
    <w:rsid w:val="00AB10EB"/>
    <w:rsid w:val="00AD208D"/>
    <w:rsid w:val="00AD4150"/>
    <w:rsid w:val="00AD6920"/>
    <w:rsid w:val="00AD7B70"/>
    <w:rsid w:val="00AF3AC3"/>
    <w:rsid w:val="00B00BD4"/>
    <w:rsid w:val="00B03C03"/>
    <w:rsid w:val="00B1200F"/>
    <w:rsid w:val="00B12015"/>
    <w:rsid w:val="00B168AB"/>
    <w:rsid w:val="00B371D1"/>
    <w:rsid w:val="00B424B3"/>
    <w:rsid w:val="00B43608"/>
    <w:rsid w:val="00B44769"/>
    <w:rsid w:val="00B71ED7"/>
    <w:rsid w:val="00B736F4"/>
    <w:rsid w:val="00B931BD"/>
    <w:rsid w:val="00BD065A"/>
    <w:rsid w:val="00BD3CC6"/>
    <w:rsid w:val="00BD4489"/>
    <w:rsid w:val="00BD482C"/>
    <w:rsid w:val="00BD6584"/>
    <w:rsid w:val="00BE33F1"/>
    <w:rsid w:val="00BF1ACA"/>
    <w:rsid w:val="00BF5ABA"/>
    <w:rsid w:val="00C01B5F"/>
    <w:rsid w:val="00C02BED"/>
    <w:rsid w:val="00C16194"/>
    <w:rsid w:val="00C20110"/>
    <w:rsid w:val="00C27BB0"/>
    <w:rsid w:val="00C30F99"/>
    <w:rsid w:val="00C3237D"/>
    <w:rsid w:val="00C3358A"/>
    <w:rsid w:val="00C429DC"/>
    <w:rsid w:val="00C440ED"/>
    <w:rsid w:val="00C47459"/>
    <w:rsid w:val="00C55CC7"/>
    <w:rsid w:val="00C61474"/>
    <w:rsid w:val="00C664B0"/>
    <w:rsid w:val="00C729FB"/>
    <w:rsid w:val="00C81C18"/>
    <w:rsid w:val="00C84CE0"/>
    <w:rsid w:val="00C91C2E"/>
    <w:rsid w:val="00C978D5"/>
    <w:rsid w:val="00C97FA8"/>
    <w:rsid w:val="00CB08E1"/>
    <w:rsid w:val="00CB1BBD"/>
    <w:rsid w:val="00CB7567"/>
    <w:rsid w:val="00CD135A"/>
    <w:rsid w:val="00CD33D9"/>
    <w:rsid w:val="00CD341E"/>
    <w:rsid w:val="00CD58B7"/>
    <w:rsid w:val="00CE0F83"/>
    <w:rsid w:val="00CE6831"/>
    <w:rsid w:val="00CF54C7"/>
    <w:rsid w:val="00CF5CF2"/>
    <w:rsid w:val="00CF6861"/>
    <w:rsid w:val="00D03EA2"/>
    <w:rsid w:val="00D07280"/>
    <w:rsid w:val="00D16953"/>
    <w:rsid w:val="00D36ED9"/>
    <w:rsid w:val="00D41263"/>
    <w:rsid w:val="00D41A30"/>
    <w:rsid w:val="00D500D9"/>
    <w:rsid w:val="00D51502"/>
    <w:rsid w:val="00D51782"/>
    <w:rsid w:val="00D623BB"/>
    <w:rsid w:val="00D73C26"/>
    <w:rsid w:val="00D81FF1"/>
    <w:rsid w:val="00D8501E"/>
    <w:rsid w:val="00D869D5"/>
    <w:rsid w:val="00D870CC"/>
    <w:rsid w:val="00D960F6"/>
    <w:rsid w:val="00DA7126"/>
    <w:rsid w:val="00DD10BE"/>
    <w:rsid w:val="00DD1759"/>
    <w:rsid w:val="00DD2690"/>
    <w:rsid w:val="00DD4D52"/>
    <w:rsid w:val="00DD7579"/>
    <w:rsid w:val="00DE3821"/>
    <w:rsid w:val="00DE6BE4"/>
    <w:rsid w:val="00DF2364"/>
    <w:rsid w:val="00E006E5"/>
    <w:rsid w:val="00E0634B"/>
    <w:rsid w:val="00E22FA0"/>
    <w:rsid w:val="00E251BF"/>
    <w:rsid w:val="00E26306"/>
    <w:rsid w:val="00E37E70"/>
    <w:rsid w:val="00E43C39"/>
    <w:rsid w:val="00E43C79"/>
    <w:rsid w:val="00E4593B"/>
    <w:rsid w:val="00E45DFB"/>
    <w:rsid w:val="00E47CD2"/>
    <w:rsid w:val="00E5011C"/>
    <w:rsid w:val="00E50A9E"/>
    <w:rsid w:val="00E64713"/>
    <w:rsid w:val="00E7009D"/>
    <w:rsid w:val="00E713B5"/>
    <w:rsid w:val="00E737A6"/>
    <w:rsid w:val="00E74E30"/>
    <w:rsid w:val="00E924F1"/>
    <w:rsid w:val="00EB0A95"/>
    <w:rsid w:val="00EB2F97"/>
    <w:rsid w:val="00EC1681"/>
    <w:rsid w:val="00EC62E3"/>
    <w:rsid w:val="00ED192E"/>
    <w:rsid w:val="00EE4C17"/>
    <w:rsid w:val="00F12A5A"/>
    <w:rsid w:val="00F154E6"/>
    <w:rsid w:val="00F210BE"/>
    <w:rsid w:val="00F22346"/>
    <w:rsid w:val="00F24779"/>
    <w:rsid w:val="00F27876"/>
    <w:rsid w:val="00F44627"/>
    <w:rsid w:val="00F5030A"/>
    <w:rsid w:val="00F530FE"/>
    <w:rsid w:val="00F56727"/>
    <w:rsid w:val="00F663BE"/>
    <w:rsid w:val="00F665C1"/>
    <w:rsid w:val="00F8210A"/>
    <w:rsid w:val="00F854DC"/>
    <w:rsid w:val="00F94E6A"/>
    <w:rsid w:val="00FA2539"/>
    <w:rsid w:val="00FB3BF5"/>
    <w:rsid w:val="00FC7562"/>
    <w:rsid w:val="00FD1311"/>
    <w:rsid w:val="00FD24E2"/>
    <w:rsid w:val="00FE0356"/>
    <w:rsid w:val="00FE5D6C"/>
    <w:rsid w:val="00FE67DE"/>
    <w:rsid w:val="00FF4232"/>
    <w:rsid w:val="00FF6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customStyle="1" w:styleId="naisf">
    <w:name w:val="naisf"/>
    <w:basedOn w:val="Normal"/>
    <w:rsid w:val="00BD6584"/>
    <w:pPr>
      <w:spacing w:before="75" w:after="75"/>
      <w:ind w:firstLine="375"/>
      <w:jc w:val="both"/>
    </w:pPr>
    <w:rPr>
      <w:rFonts w:cs="Times New Roman"/>
      <w:sz w:val="24"/>
      <w:szCs w:val="24"/>
      <w:lang w:eastAsia="lv-LV" w:bidi="ar-SA"/>
    </w:rPr>
  </w:style>
  <w:style w:type="paragraph" w:customStyle="1" w:styleId="naisnod">
    <w:name w:val="naisnod"/>
    <w:basedOn w:val="Normal"/>
    <w:rsid w:val="00BD6584"/>
    <w:pPr>
      <w:spacing w:before="150" w:after="150"/>
      <w:jc w:val="center"/>
    </w:pPr>
    <w:rPr>
      <w:rFonts w:cs="Times New Roman"/>
      <w:b/>
      <w:bCs/>
      <w:sz w:val="24"/>
      <w:szCs w:val="24"/>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customStyle="1" w:styleId="naisf">
    <w:name w:val="naisf"/>
    <w:basedOn w:val="Normal"/>
    <w:rsid w:val="00BD6584"/>
    <w:pPr>
      <w:spacing w:before="75" w:after="75"/>
      <w:ind w:firstLine="375"/>
      <w:jc w:val="both"/>
    </w:pPr>
    <w:rPr>
      <w:rFonts w:cs="Times New Roman"/>
      <w:sz w:val="24"/>
      <w:szCs w:val="24"/>
      <w:lang w:eastAsia="lv-LV" w:bidi="ar-SA"/>
    </w:rPr>
  </w:style>
  <w:style w:type="paragraph" w:customStyle="1" w:styleId="naisnod">
    <w:name w:val="naisnod"/>
    <w:basedOn w:val="Normal"/>
    <w:rsid w:val="00BD6584"/>
    <w:pPr>
      <w:spacing w:before="150" w:after="150"/>
      <w:jc w:val="center"/>
    </w:pPr>
    <w:rPr>
      <w:rFonts w:cs="Times New Roman"/>
      <w:b/>
      <w:bCs/>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4793">
      <w:bodyDiv w:val="1"/>
      <w:marLeft w:val="0"/>
      <w:marRight w:val="0"/>
      <w:marTop w:val="0"/>
      <w:marBottom w:val="0"/>
      <w:divBdr>
        <w:top w:val="none" w:sz="0" w:space="0" w:color="auto"/>
        <w:left w:val="none" w:sz="0" w:space="0" w:color="auto"/>
        <w:bottom w:val="none" w:sz="0" w:space="0" w:color="auto"/>
        <w:right w:val="none" w:sz="0" w:space="0" w:color="auto"/>
      </w:divBdr>
    </w:div>
    <w:div w:id="748884561">
      <w:bodyDiv w:val="1"/>
      <w:marLeft w:val="0"/>
      <w:marRight w:val="0"/>
      <w:marTop w:val="0"/>
      <w:marBottom w:val="0"/>
      <w:divBdr>
        <w:top w:val="none" w:sz="0" w:space="0" w:color="auto"/>
        <w:left w:val="none" w:sz="0" w:space="0" w:color="auto"/>
        <w:bottom w:val="none" w:sz="0" w:space="0" w:color="auto"/>
        <w:right w:val="none" w:sz="0" w:space="0" w:color="auto"/>
      </w:divBdr>
    </w:div>
    <w:div w:id="1540892722">
      <w:bodyDiv w:val="1"/>
      <w:marLeft w:val="0"/>
      <w:marRight w:val="0"/>
      <w:marTop w:val="0"/>
      <w:marBottom w:val="0"/>
      <w:divBdr>
        <w:top w:val="none" w:sz="0" w:space="0" w:color="auto"/>
        <w:left w:val="none" w:sz="0" w:space="0" w:color="auto"/>
        <w:bottom w:val="none" w:sz="0" w:space="0" w:color="auto"/>
        <w:right w:val="none" w:sz="0" w:space="0" w:color="auto"/>
      </w:divBdr>
    </w:div>
    <w:div w:id="1583758086">
      <w:bodyDiv w:val="1"/>
      <w:marLeft w:val="0"/>
      <w:marRight w:val="0"/>
      <w:marTop w:val="0"/>
      <w:marBottom w:val="0"/>
      <w:divBdr>
        <w:top w:val="none" w:sz="0" w:space="0" w:color="auto"/>
        <w:left w:val="none" w:sz="0" w:space="0" w:color="auto"/>
        <w:bottom w:val="none" w:sz="0" w:space="0" w:color="auto"/>
        <w:right w:val="none" w:sz="0" w:space="0" w:color="auto"/>
      </w:divBdr>
      <w:divsChild>
        <w:div w:id="1990472987">
          <w:marLeft w:val="0"/>
          <w:marRight w:val="0"/>
          <w:marTop w:val="0"/>
          <w:marBottom w:val="0"/>
          <w:divBdr>
            <w:top w:val="none" w:sz="0" w:space="0" w:color="auto"/>
            <w:left w:val="none" w:sz="0" w:space="0" w:color="auto"/>
            <w:bottom w:val="none" w:sz="0" w:space="0" w:color="auto"/>
            <w:right w:val="none" w:sz="0" w:space="0" w:color="auto"/>
          </w:divBdr>
          <w:divsChild>
            <w:div w:id="1242714614">
              <w:marLeft w:val="0"/>
              <w:marRight w:val="0"/>
              <w:marTop w:val="0"/>
              <w:marBottom w:val="0"/>
              <w:divBdr>
                <w:top w:val="none" w:sz="0" w:space="0" w:color="auto"/>
                <w:left w:val="none" w:sz="0" w:space="0" w:color="auto"/>
                <w:bottom w:val="none" w:sz="0" w:space="0" w:color="auto"/>
                <w:right w:val="none" w:sz="0" w:space="0" w:color="auto"/>
              </w:divBdr>
              <w:divsChild>
                <w:div w:id="1468816763">
                  <w:marLeft w:val="0"/>
                  <w:marRight w:val="0"/>
                  <w:marTop w:val="0"/>
                  <w:marBottom w:val="0"/>
                  <w:divBdr>
                    <w:top w:val="none" w:sz="0" w:space="0" w:color="auto"/>
                    <w:left w:val="none" w:sz="0" w:space="0" w:color="auto"/>
                    <w:bottom w:val="none" w:sz="0" w:space="0" w:color="auto"/>
                    <w:right w:val="none" w:sz="0" w:space="0" w:color="auto"/>
                  </w:divBdr>
                  <w:divsChild>
                    <w:div w:id="1345278504">
                      <w:marLeft w:val="0"/>
                      <w:marRight w:val="0"/>
                      <w:marTop w:val="0"/>
                      <w:marBottom w:val="0"/>
                      <w:divBdr>
                        <w:top w:val="none" w:sz="0" w:space="0" w:color="auto"/>
                        <w:left w:val="none" w:sz="0" w:space="0" w:color="auto"/>
                        <w:bottom w:val="none" w:sz="0" w:space="0" w:color="auto"/>
                        <w:right w:val="none" w:sz="0" w:space="0" w:color="auto"/>
                      </w:divBdr>
                      <w:divsChild>
                        <w:div w:id="1820608018">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400"/>
                              <w:marBottom w:val="0"/>
                              <w:divBdr>
                                <w:top w:val="none" w:sz="0" w:space="0" w:color="auto"/>
                                <w:left w:val="none" w:sz="0" w:space="0" w:color="auto"/>
                                <w:bottom w:val="none" w:sz="0" w:space="0" w:color="auto"/>
                                <w:right w:val="none" w:sz="0" w:space="0" w:color="auto"/>
                              </w:divBdr>
                            </w:div>
                            <w:div w:id="113213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4039">
      <w:bodyDiv w:val="1"/>
      <w:marLeft w:val="0"/>
      <w:marRight w:val="0"/>
      <w:marTop w:val="0"/>
      <w:marBottom w:val="0"/>
      <w:divBdr>
        <w:top w:val="none" w:sz="0" w:space="0" w:color="auto"/>
        <w:left w:val="none" w:sz="0" w:space="0" w:color="auto"/>
        <w:bottom w:val="none" w:sz="0" w:space="0" w:color="auto"/>
        <w:right w:val="none" w:sz="0" w:space="0" w:color="auto"/>
      </w:divBdr>
    </w:div>
    <w:div w:id="1689746175">
      <w:bodyDiv w:val="1"/>
      <w:marLeft w:val="0"/>
      <w:marRight w:val="0"/>
      <w:marTop w:val="0"/>
      <w:marBottom w:val="0"/>
      <w:divBdr>
        <w:top w:val="none" w:sz="0" w:space="0" w:color="auto"/>
        <w:left w:val="none" w:sz="0" w:space="0" w:color="auto"/>
        <w:bottom w:val="none" w:sz="0" w:space="0" w:color="auto"/>
        <w:right w:val="none" w:sz="0" w:space="0" w:color="auto"/>
      </w:divBdr>
    </w:div>
    <w:div w:id="1963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eta.jursin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302C-79CE-4DE2-ABFB-D2ED8D81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E94C49E0.dotm</Template>
  <TotalTime>3</TotalTime>
  <Pages>7</Pages>
  <Words>1309</Words>
  <Characters>8975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Grozījums MK 26.08.2014. not. Nr.509 " Noteikumi par karavīra mēnešalgas un speciālo piemaksu noteikšanas kārtību un to apmēru"</vt:lpstr>
    </vt:vector>
  </TitlesOfParts>
  <Manager>RPD</Manager>
  <Company>AIM</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26.08.2014. not. Nr.509 " Noteikumi par karavīra mēnešalgas un speciālo piemaksu noteikšanas kārtību un to apmēru"</dc:title>
  <dc:subject>MK noteikumu projekts</dc:subject>
  <dc:creator>I.Jursiņa-Videmane</dc:creator>
  <dc:description>I.Jursiņa-Videmane_x000d_
Tālr.: 67335162; ineta.jursina@mod.gov.lv</dc:description>
  <cp:lastModifiedBy>Ineta Jursina</cp:lastModifiedBy>
  <cp:revision>5</cp:revision>
  <cp:lastPrinted>2015-04-14T11:12:00Z</cp:lastPrinted>
  <dcterms:created xsi:type="dcterms:W3CDTF">2015-04-14T11:08:00Z</dcterms:created>
  <dcterms:modified xsi:type="dcterms:W3CDTF">2015-04-14T11:16:00Z</dcterms:modified>
</cp:coreProperties>
</file>