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70" w:rsidRPr="00C96F2B" w:rsidRDefault="00CC7870" w:rsidP="00CC7870">
      <w:pPr>
        <w:spacing w:line="240" w:lineRule="auto"/>
        <w:jc w:val="center"/>
        <w:rPr>
          <w:rFonts w:ascii="Times New Roman" w:hAnsi="Times New Roman" w:cs="Times New Roman"/>
          <w:b/>
          <w:sz w:val="24"/>
          <w:szCs w:val="24"/>
        </w:rPr>
      </w:pPr>
      <w:r w:rsidRPr="00C96F2B">
        <w:rPr>
          <w:rFonts w:ascii="Times New Roman" w:hAnsi="Times New Roman" w:cs="Times New Roman"/>
          <w:b/>
          <w:sz w:val="24"/>
          <w:szCs w:val="24"/>
        </w:rPr>
        <w:t xml:space="preserve">Ministru kabineta rīkojuma projekta </w:t>
      </w:r>
      <w:r w:rsidR="001744B2" w:rsidRPr="001744B2">
        <w:rPr>
          <w:rFonts w:ascii="Times New Roman" w:hAnsi="Times New Roman" w:cs="Times New Roman"/>
          <w:b/>
          <w:sz w:val="24"/>
          <w:szCs w:val="24"/>
          <w:lang w:eastAsia="lv-LV"/>
        </w:rPr>
        <w:t>„</w:t>
      </w:r>
      <w:r w:rsidR="001744B2" w:rsidRPr="001744B2">
        <w:rPr>
          <w:rFonts w:ascii="Times New Roman" w:eastAsia="Arial" w:hAnsi="Times New Roman" w:cs="Times New Roman"/>
          <w:b/>
          <w:kern w:val="1"/>
          <w:sz w:val="24"/>
          <w:szCs w:val="24"/>
        </w:rPr>
        <w:t>Par finanšu līdzekļu piešķiršanu no valsts budžeta programmas „Līdzekļi neparedzētiem gadījumiem”</w:t>
      </w:r>
      <w:r w:rsidR="001744B2">
        <w:rPr>
          <w:rFonts w:ascii="Times New Roman" w:eastAsia="Arial" w:hAnsi="Times New Roman" w:cs="Times New Roman"/>
          <w:kern w:val="1"/>
          <w:sz w:val="24"/>
          <w:szCs w:val="24"/>
        </w:rPr>
        <w:t xml:space="preserve"> </w:t>
      </w:r>
      <w:r w:rsidRPr="00C96F2B">
        <w:rPr>
          <w:rFonts w:ascii="Times New Roman" w:hAnsi="Times New Roman" w:cs="Times New Roman"/>
          <w:b/>
          <w:sz w:val="24"/>
          <w:szCs w:val="24"/>
        </w:rPr>
        <w:t>sākotnējās ietekmes novērtējuma ziņojums (anotācija)</w:t>
      </w:r>
    </w:p>
    <w:p w:rsidR="001813AA" w:rsidRPr="00C96F2B"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499"/>
        <w:gridCol w:w="6232"/>
      </w:tblGrid>
      <w:tr w:rsidR="002674D5" w:rsidRPr="00C96F2B" w:rsidTr="000905B6">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 Tiesību akta projekta izstrādes nepieciešamība</w:t>
            </w:r>
          </w:p>
        </w:tc>
      </w:tr>
      <w:tr w:rsidR="002674D5" w:rsidRPr="00C96F2B" w:rsidTr="000905B6">
        <w:trPr>
          <w:trHeight w:val="1200"/>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C96F2B" w:rsidRDefault="001813AA" w:rsidP="00D44CE5">
            <w:pPr>
              <w:spacing w:after="12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348" w:type="pct"/>
            <w:tcBorders>
              <w:top w:val="outset" w:sz="6" w:space="0" w:color="auto"/>
              <w:left w:val="outset" w:sz="6" w:space="0" w:color="auto"/>
              <w:bottom w:val="outset" w:sz="6" w:space="0" w:color="auto"/>
              <w:right w:val="outset" w:sz="6" w:space="0" w:color="auto"/>
            </w:tcBorders>
            <w:hideMark/>
          </w:tcPr>
          <w:p w:rsidR="001813AA" w:rsidRPr="00C96F2B" w:rsidRDefault="001813AA" w:rsidP="00D44CE5">
            <w:pPr>
              <w:spacing w:after="12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Pamatojums</w:t>
            </w:r>
          </w:p>
        </w:tc>
        <w:tc>
          <w:tcPr>
            <w:tcW w:w="3344" w:type="pct"/>
            <w:tcBorders>
              <w:top w:val="outset" w:sz="6" w:space="0" w:color="auto"/>
              <w:left w:val="outset" w:sz="6" w:space="0" w:color="auto"/>
              <w:bottom w:val="outset" w:sz="6" w:space="0" w:color="auto"/>
              <w:right w:val="outset" w:sz="6" w:space="0" w:color="auto"/>
            </w:tcBorders>
            <w:hideMark/>
          </w:tcPr>
          <w:p w:rsidR="00022EB5" w:rsidRPr="00022EB5" w:rsidRDefault="00022EB5" w:rsidP="00CB68B5">
            <w:pPr>
              <w:spacing w:after="0" w:line="240" w:lineRule="auto"/>
              <w:jc w:val="both"/>
              <w:rPr>
                <w:rFonts w:ascii="Times New Roman" w:hAnsi="Times New Roman" w:cs="Times New Roman"/>
                <w:sz w:val="24"/>
                <w:szCs w:val="24"/>
                <w:lang w:eastAsia="lv-LV"/>
              </w:rPr>
            </w:pPr>
            <w:r w:rsidRPr="00022EB5">
              <w:rPr>
                <w:rFonts w:ascii="Times New Roman" w:hAnsi="Times New Roman" w:cs="Times New Roman"/>
                <w:sz w:val="24"/>
                <w:szCs w:val="24"/>
              </w:rPr>
              <w:t>Ministru kabineta 2009.</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gada 22.</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decembra noteikumu Nr.1644 „Kārtība, kādā pieprasa un izlieto budžeta programmas „Līdzekļi neparedzētiem gadījumiem” līdzekļus” (turpmāk – noteikumi Nr.1644) 2.punkts.</w:t>
            </w:r>
          </w:p>
        </w:tc>
      </w:tr>
      <w:tr w:rsidR="00721D61" w:rsidRPr="00721D61" w:rsidTr="000905B6">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721D61" w:rsidRDefault="001813AA" w:rsidP="00D44CE5">
            <w:pPr>
              <w:spacing w:after="120" w:line="240" w:lineRule="auto"/>
              <w:jc w:val="center"/>
              <w:rPr>
                <w:rFonts w:ascii="Times New Roman" w:eastAsia="Times New Roman" w:hAnsi="Times New Roman" w:cs="Times New Roman"/>
                <w:sz w:val="24"/>
                <w:szCs w:val="24"/>
                <w:lang w:eastAsia="lv-LV"/>
              </w:rPr>
            </w:pPr>
            <w:r w:rsidRPr="00721D61">
              <w:rPr>
                <w:rFonts w:ascii="Times New Roman" w:eastAsia="Times New Roman" w:hAnsi="Times New Roman" w:cs="Times New Roman"/>
                <w:sz w:val="24"/>
                <w:szCs w:val="24"/>
                <w:lang w:eastAsia="lv-LV"/>
              </w:rPr>
              <w:t>2.</w:t>
            </w:r>
          </w:p>
        </w:tc>
        <w:tc>
          <w:tcPr>
            <w:tcW w:w="1348" w:type="pct"/>
            <w:tcBorders>
              <w:top w:val="outset" w:sz="6" w:space="0" w:color="auto"/>
              <w:left w:val="outset" w:sz="6" w:space="0" w:color="auto"/>
              <w:bottom w:val="outset" w:sz="6" w:space="0" w:color="auto"/>
              <w:right w:val="outset" w:sz="6" w:space="0" w:color="auto"/>
            </w:tcBorders>
            <w:hideMark/>
          </w:tcPr>
          <w:p w:rsidR="001813AA" w:rsidRPr="00721D61" w:rsidRDefault="001813AA" w:rsidP="00D44CE5">
            <w:pPr>
              <w:spacing w:after="120" w:line="240" w:lineRule="auto"/>
              <w:rPr>
                <w:rFonts w:ascii="Times New Roman" w:eastAsia="Times New Roman" w:hAnsi="Times New Roman" w:cs="Times New Roman"/>
                <w:sz w:val="24"/>
                <w:szCs w:val="24"/>
                <w:lang w:eastAsia="lv-LV"/>
              </w:rPr>
            </w:pPr>
            <w:r w:rsidRPr="00721D6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44" w:type="pct"/>
            <w:tcBorders>
              <w:top w:val="outset" w:sz="6" w:space="0" w:color="auto"/>
              <w:left w:val="outset" w:sz="6" w:space="0" w:color="auto"/>
              <w:bottom w:val="outset" w:sz="6" w:space="0" w:color="auto"/>
              <w:right w:val="outset" w:sz="6" w:space="0" w:color="auto"/>
            </w:tcBorders>
            <w:hideMark/>
          </w:tcPr>
          <w:p w:rsidR="00724CFA" w:rsidRDefault="006C3722" w:rsidP="00554D74">
            <w:pPr>
              <w:spacing w:after="0" w:line="240" w:lineRule="auto"/>
              <w:jc w:val="both"/>
              <w:rPr>
                <w:rFonts w:ascii="Times New Roman" w:hAnsi="Times New Roman" w:cs="Times New Roman"/>
                <w:sz w:val="24"/>
                <w:szCs w:val="24"/>
              </w:rPr>
            </w:pPr>
            <w:r w:rsidRPr="006C3722">
              <w:rPr>
                <w:rFonts w:ascii="Times New Roman" w:hAnsi="Times New Roman" w:cs="Times New Roman"/>
                <w:sz w:val="24"/>
                <w:szCs w:val="24"/>
              </w:rPr>
              <w:t>Ņemot vērā saspringto starptautisko situāciju, d</w:t>
            </w:r>
            <w:r w:rsidR="00F80A3F">
              <w:rPr>
                <w:rFonts w:ascii="Times New Roman" w:hAnsi="Times New Roman" w:cs="Times New Roman"/>
                <w:sz w:val="24"/>
                <w:szCs w:val="24"/>
              </w:rPr>
              <w:t>abas katastrofas izraisītās sek</w:t>
            </w:r>
            <w:r w:rsidRPr="006C3722">
              <w:rPr>
                <w:rFonts w:ascii="Times New Roman" w:hAnsi="Times New Roman" w:cs="Times New Roman"/>
                <w:sz w:val="24"/>
                <w:szCs w:val="24"/>
              </w:rPr>
              <w:t>a</w:t>
            </w:r>
            <w:r w:rsidR="00F80A3F">
              <w:rPr>
                <w:rFonts w:ascii="Times New Roman" w:hAnsi="Times New Roman" w:cs="Times New Roman"/>
                <w:sz w:val="24"/>
                <w:szCs w:val="24"/>
              </w:rPr>
              <w:t>s</w:t>
            </w:r>
            <w:r w:rsidRPr="006C3722">
              <w:rPr>
                <w:rFonts w:ascii="Times New Roman" w:hAnsi="Times New Roman" w:cs="Times New Roman"/>
                <w:sz w:val="24"/>
                <w:szCs w:val="24"/>
              </w:rPr>
              <w:t>, kā arī konstatēto steidzami ārkārtas nepieciešamo remontdarbu veikšanu, lai novērstu ārkārtas situāciju vēstniecībās un nodrošinātu drošu ēku ekspluatāciju vēstniecībās Krievijas Federācijā un Francijas Republikā,</w:t>
            </w:r>
            <w:proofErr w:type="gramStart"/>
            <w:r w:rsidRPr="006C372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F80A3F">
              <w:rPr>
                <w:rFonts w:ascii="Times New Roman" w:hAnsi="Times New Roman" w:cs="Times New Roman"/>
                <w:sz w:val="24"/>
                <w:szCs w:val="24"/>
              </w:rPr>
              <w:t>52</w:t>
            </w:r>
            <w:r w:rsidRPr="006C3722">
              <w:rPr>
                <w:rFonts w:ascii="Times New Roman" w:hAnsi="Times New Roman" w:cs="Times New Roman"/>
                <w:sz w:val="24"/>
                <w:szCs w:val="24"/>
              </w:rPr>
              <w:t xml:space="preserve">2 000 </w:t>
            </w:r>
            <w:proofErr w:type="spellStart"/>
            <w:r w:rsidRPr="007F7E78">
              <w:rPr>
                <w:rFonts w:ascii="Times New Roman" w:hAnsi="Times New Roman" w:cs="Times New Roman"/>
                <w:i/>
                <w:sz w:val="24"/>
                <w:szCs w:val="24"/>
              </w:rPr>
              <w:t>euro</w:t>
            </w:r>
            <w:proofErr w:type="spellEnd"/>
            <w:r w:rsidRPr="006C3722">
              <w:rPr>
                <w:rFonts w:ascii="Times New Roman" w:hAnsi="Times New Roman" w:cs="Times New Roman"/>
                <w:sz w:val="24"/>
                <w:szCs w:val="24"/>
              </w:rPr>
              <w:t xml:space="preserve"> liels finansējums jāpiešķir no budžeta programmas „Līdzekļi neparedzētiem gadījumiem”. </w:t>
            </w:r>
          </w:p>
          <w:p w:rsidR="006C3722" w:rsidRPr="00724CFA" w:rsidRDefault="006C3722" w:rsidP="00554D74">
            <w:pPr>
              <w:spacing w:after="0" w:line="240" w:lineRule="auto"/>
              <w:jc w:val="both"/>
              <w:rPr>
                <w:rFonts w:ascii="Times New Roman" w:hAnsi="Times New Roman" w:cs="Times New Roman"/>
                <w:sz w:val="24"/>
                <w:szCs w:val="24"/>
              </w:rPr>
            </w:pPr>
          </w:p>
          <w:p w:rsidR="00CA05E0" w:rsidRPr="00724CFA" w:rsidRDefault="00CA05E0" w:rsidP="00574F23">
            <w:pPr>
              <w:pStyle w:val="ListParagraph"/>
              <w:numPr>
                <w:ilvl w:val="0"/>
                <w:numId w:val="6"/>
              </w:numPr>
              <w:spacing w:after="120" w:line="240" w:lineRule="auto"/>
              <w:ind w:right="67"/>
              <w:jc w:val="both"/>
              <w:rPr>
                <w:rFonts w:ascii="Times New Roman" w:hAnsi="Times New Roman" w:cs="Times New Roman"/>
                <w:b/>
                <w:sz w:val="24"/>
                <w:szCs w:val="24"/>
              </w:rPr>
            </w:pPr>
            <w:r w:rsidRPr="00724CFA">
              <w:rPr>
                <w:rFonts w:ascii="Times New Roman" w:hAnsi="Times New Roman" w:cs="Times New Roman"/>
                <w:b/>
                <w:sz w:val="24"/>
                <w:szCs w:val="24"/>
              </w:rPr>
              <w:t>Atbalsts Ukrainas stabilizācijai un reformu procesam</w:t>
            </w:r>
          </w:p>
          <w:p w:rsidR="00721D61" w:rsidRPr="00724CFA" w:rsidRDefault="00721D61" w:rsidP="00721D61">
            <w:pPr>
              <w:spacing w:after="0" w:line="240" w:lineRule="auto"/>
              <w:jc w:val="both"/>
              <w:rPr>
                <w:rFonts w:ascii="Times New Roman" w:hAnsi="Times New Roman"/>
                <w:sz w:val="24"/>
                <w:szCs w:val="24"/>
              </w:rPr>
            </w:pPr>
            <w:r w:rsidRPr="00724CFA">
              <w:rPr>
                <w:rFonts w:ascii="Times New Roman" w:hAnsi="Times New Roman"/>
                <w:sz w:val="24"/>
                <w:szCs w:val="24"/>
              </w:rPr>
              <w:t xml:space="preserve">Krievijas izvērstā agresija Ukrainā un ekonomiskā krīze ir radījusi virkni  faktoru, kas atstāj iespaidu, gan uz reģionālo drošību un stabilitāti, gan ES īstenoto Austrumu partnerības politiku, gan divpusējām attiecībām. Latvijas, tāpat kā visas ES, interesēs ir izveidojušās situācijas negatīvo seku iespējami ātra mazināšana. Droša un ekonomiski attīstīta Ukraina, kuru ar ES vieno ciešas saites un vērtības, ir svarīgs nosacījums ES Austrumu partnerības politikas tālākai veiksmīgai attīstībai. Vienlaicīgi Latvija ir ieinteresētā, lai Ukraina būtu stabils tirdzniecības un ekonomiskais partneris. Latvija ir konsekventi atbalstījusi Ukrainas stabilizācijas centienus un reformu procesu. 2014. gadā Latvija ir sniegusi ievērojamu atbalstu Ukrainai drošības, humānās palīdzības un attīstības sadarbības jomās, kā arī veikusi iemaksas starptautiskajās organizācijās un fondos Ukrainas atbalstam. Attiecībā uz attīstības sadarbību, projekti ir tikuši veikti ar pamata mērķi atbalstīt Ukrainas visaptverošo reformu procesu, sniedzot artavu valsts stabilizācijā, modernizācijā un </w:t>
            </w:r>
            <w:proofErr w:type="spellStart"/>
            <w:r w:rsidRPr="00724CFA">
              <w:rPr>
                <w:rFonts w:ascii="Times New Roman" w:hAnsi="Times New Roman"/>
                <w:sz w:val="24"/>
                <w:szCs w:val="24"/>
              </w:rPr>
              <w:t>eirointergrācijas</w:t>
            </w:r>
            <w:proofErr w:type="spellEnd"/>
            <w:r w:rsidRPr="00724CFA">
              <w:rPr>
                <w:rFonts w:ascii="Times New Roman" w:hAnsi="Times New Roman"/>
                <w:sz w:val="24"/>
                <w:szCs w:val="24"/>
              </w:rPr>
              <w:t xml:space="preserve"> veicināšanā. Šajā sakarā ES izveidotās Atbalsta grupas Ukrainai (</w:t>
            </w:r>
            <w:proofErr w:type="spellStart"/>
            <w:r w:rsidRPr="00724CFA">
              <w:rPr>
                <w:rFonts w:ascii="Times New Roman" w:hAnsi="Times New Roman"/>
                <w:i/>
                <w:iCs/>
                <w:sz w:val="24"/>
                <w:szCs w:val="24"/>
              </w:rPr>
              <w:t>Support</w:t>
            </w:r>
            <w:proofErr w:type="spellEnd"/>
            <w:r w:rsidRPr="00724CFA">
              <w:rPr>
                <w:rFonts w:ascii="Times New Roman" w:hAnsi="Times New Roman"/>
                <w:i/>
                <w:iCs/>
                <w:sz w:val="24"/>
                <w:szCs w:val="24"/>
              </w:rPr>
              <w:t xml:space="preserve"> </w:t>
            </w:r>
            <w:proofErr w:type="spellStart"/>
            <w:r w:rsidRPr="00724CFA">
              <w:rPr>
                <w:rFonts w:ascii="Times New Roman" w:hAnsi="Times New Roman"/>
                <w:i/>
                <w:iCs/>
                <w:sz w:val="24"/>
                <w:szCs w:val="24"/>
              </w:rPr>
              <w:t>Group</w:t>
            </w:r>
            <w:proofErr w:type="spellEnd"/>
            <w:r w:rsidRPr="00724CFA">
              <w:rPr>
                <w:rFonts w:ascii="Times New Roman" w:hAnsi="Times New Roman"/>
                <w:i/>
                <w:iCs/>
                <w:sz w:val="24"/>
                <w:szCs w:val="24"/>
              </w:rPr>
              <w:t xml:space="preserve"> </w:t>
            </w:r>
            <w:proofErr w:type="spellStart"/>
            <w:r w:rsidRPr="00724CFA">
              <w:rPr>
                <w:rFonts w:ascii="Times New Roman" w:hAnsi="Times New Roman"/>
                <w:i/>
                <w:iCs/>
                <w:sz w:val="24"/>
                <w:szCs w:val="24"/>
              </w:rPr>
              <w:t>for</w:t>
            </w:r>
            <w:proofErr w:type="spellEnd"/>
            <w:r w:rsidRPr="00724CFA">
              <w:rPr>
                <w:rFonts w:ascii="Times New Roman" w:hAnsi="Times New Roman"/>
                <w:i/>
                <w:iCs/>
                <w:sz w:val="24"/>
                <w:szCs w:val="24"/>
              </w:rPr>
              <w:t xml:space="preserve"> </w:t>
            </w:r>
            <w:proofErr w:type="spellStart"/>
            <w:r w:rsidRPr="00724CFA">
              <w:rPr>
                <w:rFonts w:ascii="Times New Roman" w:hAnsi="Times New Roman"/>
                <w:i/>
                <w:iCs/>
                <w:sz w:val="24"/>
                <w:szCs w:val="24"/>
              </w:rPr>
              <w:t>Ukraine</w:t>
            </w:r>
            <w:proofErr w:type="spellEnd"/>
            <w:r w:rsidRPr="00724CFA">
              <w:rPr>
                <w:rFonts w:ascii="Times New Roman" w:hAnsi="Times New Roman"/>
                <w:sz w:val="24"/>
                <w:szCs w:val="24"/>
              </w:rPr>
              <w:t xml:space="preserve">) vadītājs Pīters </w:t>
            </w:r>
            <w:proofErr w:type="spellStart"/>
            <w:r w:rsidRPr="00724CFA">
              <w:rPr>
                <w:rFonts w:ascii="Times New Roman" w:hAnsi="Times New Roman"/>
                <w:sz w:val="24"/>
                <w:szCs w:val="24"/>
              </w:rPr>
              <w:t>Balāžs</w:t>
            </w:r>
            <w:proofErr w:type="spellEnd"/>
            <w:r w:rsidRPr="00724CFA">
              <w:rPr>
                <w:rFonts w:ascii="Times New Roman" w:hAnsi="Times New Roman"/>
                <w:sz w:val="24"/>
                <w:szCs w:val="24"/>
              </w:rPr>
              <w:t xml:space="preserve"> ir aicinājis Latviju vēl aktīvāk nodot uzkrāto reformu ekspertīzi Ukrainai. Stingra atbalsta demonstrēšana Ukrainai atbilst Latvijas ārpolitiskajām prioritātēm, kā arī kopējam ES ārpolitikas kursam.</w:t>
            </w:r>
          </w:p>
          <w:p w:rsidR="00721D61" w:rsidRPr="00724CFA" w:rsidRDefault="00721D61" w:rsidP="00721D61">
            <w:pPr>
              <w:spacing w:after="0" w:line="240" w:lineRule="auto"/>
              <w:jc w:val="both"/>
              <w:rPr>
                <w:rFonts w:ascii="Times New Roman" w:hAnsi="Times New Roman"/>
                <w:sz w:val="24"/>
                <w:szCs w:val="24"/>
              </w:rPr>
            </w:pPr>
            <w:r w:rsidRPr="00724CFA">
              <w:rPr>
                <w:rFonts w:ascii="Times New Roman" w:hAnsi="Times New Roman"/>
                <w:sz w:val="24"/>
                <w:szCs w:val="24"/>
              </w:rPr>
              <w:t xml:space="preserve">Lai piesaistītu papildu starptautiskās sabiedrības atbalstu konflikta Ukrainas austrumos seku likvidēšanai un valsts sociālekonomisko vajadzību risināšanai, kā arī visaptverošo reformu īstenošanai, Ukrainas valdība šī gada 28. aprīlī Kijevā rīkoja Starptautisko konferenci Ukrainas atbalstam. Konferencē Latviju pārstāvēja ministru prezidente Laimdota Straujuma. Konferences dalībnieki atzīmēja Ukrainas reformu procesa progresu, vienlaikus norādīja uz nepieciešamību šo </w:t>
            </w:r>
            <w:r w:rsidRPr="00724CFA">
              <w:rPr>
                <w:rFonts w:ascii="Times New Roman" w:hAnsi="Times New Roman"/>
                <w:sz w:val="24"/>
                <w:szCs w:val="24"/>
              </w:rPr>
              <w:lastRenderedPageBreak/>
              <w:t xml:space="preserve">kursu turpināt un stiprināt, īpaši attiecībā uz prioritārajām reformu jomām. ES valstu, t.sk. Eiropas Komisijas, līderi apliecināja, ka ES ir gatava turpināt sniegt atbalstu Ukrainas reformu procesam.  </w:t>
            </w:r>
          </w:p>
          <w:p w:rsidR="00721D61" w:rsidRPr="00724CFA" w:rsidRDefault="00721D61" w:rsidP="00721D61">
            <w:pPr>
              <w:spacing w:after="0" w:line="240" w:lineRule="auto"/>
              <w:jc w:val="both"/>
              <w:rPr>
                <w:rFonts w:ascii="Times New Roman" w:hAnsi="Times New Roman"/>
                <w:i/>
                <w:iCs/>
                <w:sz w:val="24"/>
                <w:szCs w:val="24"/>
              </w:rPr>
            </w:pPr>
            <w:r w:rsidRPr="00724CFA">
              <w:rPr>
                <w:rFonts w:ascii="Times New Roman" w:hAnsi="Times New Roman"/>
                <w:sz w:val="24"/>
                <w:szCs w:val="24"/>
              </w:rPr>
              <w:t xml:space="preserve">Ņemot vērā sarežģīto stāvokli Ukrainā, valsts sociālekonomiskās vajadzības, kā arī Starptautiskās konferences Ukrainas atbalstam rezultātus, Ārlietu ministrija ierosina izskatīt papildus iespējas piešķirt Ukrainas atbalstam 300 000 </w:t>
            </w:r>
            <w:proofErr w:type="spellStart"/>
            <w:r w:rsidRPr="00724CFA">
              <w:rPr>
                <w:rFonts w:ascii="Times New Roman" w:hAnsi="Times New Roman"/>
                <w:i/>
                <w:iCs/>
                <w:sz w:val="24"/>
                <w:szCs w:val="24"/>
              </w:rPr>
              <w:t>euro</w:t>
            </w:r>
            <w:proofErr w:type="spellEnd"/>
            <w:r w:rsidRPr="00724CFA">
              <w:rPr>
                <w:rFonts w:ascii="Times New Roman" w:hAnsi="Times New Roman"/>
                <w:sz w:val="24"/>
                <w:szCs w:val="24"/>
              </w:rPr>
              <w:t xml:space="preserve">  (150 000 </w:t>
            </w:r>
            <w:proofErr w:type="spellStart"/>
            <w:r w:rsidRPr="00724CFA">
              <w:rPr>
                <w:rFonts w:ascii="Times New Roman" w:hAnsi="Times New Roman"/>
                <w:i/>
                <w:iCs/>
                <w:sz w:val="24"/>
                <w:szCs w:val="24"/>
              </w:rPr>
              <w:t>euro</w:t>
            </w:r>
            <w:proofErr w:type="spellEnd"/>
            <w:r w:rsidRPr="00724CFA">
              <w:rPr>
                <w:rFonts w:ascii="Times New Roman" w:hAnsi="Times New Roman"/>
                <w:sz w:val="24"/>
                <w:szCs w:val="24"/>
              </w:rPr>
              <w:t xml:space="preserve"> – attīstības sadarbības projektiem; 50 000 </w:t>
            </w:r>
            <w:proofErr w:type="spellStart"/>
            <w:r w:rsidRPr="00724CFA">
              <w:rPr>
                <w:rFonts w:ascii="Times New Roman" w:hAnsi="Times New Roman"/>
                <w:i/>
                <w:iCs/>
                <w:sz w:val="24"/>
                <w:szCs w:val="24"/>
              </w:rPr>
              <w:t>euro</w:t>
            </w:r>
            <w:proofErr w:type="spellEnd"/>
            <w:r w:rsidRPr="00724CFA">
              <w:rPr>
                <w:rFonts w:ascii="Times New Roman" w:hAnsi="Times New Roman"/>
                <w:sz w:val="24"/>
                <w:szCs w:val="24"/>
              </w:rPr>
              <w:t xml:space="preserve"> – iemaksām OECD; 100 000 – </w:t>
            </w:r>
            <w:proofErr w:type="spellStart"/>
            <w:r w:rsidRPr="00724CFA">
              <w:rPr>
                <w:rFonts w:ascii="Times New Roman" w:hAnsi="Times New Roman"/>
                <w:i/>
                <w:iCs/>
                <w:sz w:val="24"/>
                <w:szCs w:val="24"/>
              </w:rPr>
              <w:t>euro</w:t>
            </w:r>
            <w:proofErr w:type="spellEnd"/>
            <w:r w:rsidRPr="00724CFA">
              <w:rPr>
                <w:rFonts w:ascii="Times New Roman" w:hAnsi="Times New Roman"/>
                <w:sz w:val="24"/>
                <w:szCs w:val="24"/>
              </w:rPr>
              <w:t xml:space="preserve"> iemaksām citās starptautiskajās organizācijās un fondos).</w:t>
            </w:r>
            <w:r w:rsidRPr="00724CFA">
              <w:rPr>
                <w:rFonts w:ascii="Times New Roman" w:hAnsi="Times New Roman"/>
                <w:b/>
                <w:bCs/>
                <w:sz w:val="24"/>
                <w:szCs w:val="24"/>
              </w:rPr>
              <w:t xml:space="preserve"> </w:t>
            </w:r>
          </w:p>
          <w:p w:rsidR="00721D61" w:rsidRPr="00724CFA" w:rsidRDefault="00721D61" w:rsidP="00721D61">
            <w:pPr>
              <w:spacing w:after="0" w:line="240" w:lineRule="auto"/>
              <w:ind w:right="67"/>
              <w:jc w:val="both"/>
              <w:rPr>
                <w:rFonts w:ascii="Times New Roman" w:hAnsi="Times New Roman"/>
                <w:sz w:val="24"/>
                <w:szCs w:val="24"/>
                <w:lang w:eastAsia="lv-LV"/>
              </w:rPr>
            </w:pPr>
            <w:r w:rsidRPr="00724CFA">
              <w:rPr>
                <w:rFonts w:ascii="Times New Roman" w:hAnsi="Times New Roman"/>
                <w:sz w:val="24"/>
                <w:szCs w:val="24"/>
                <w:lang w:eastAsia="lv-LV"/>
              </w:rPr>
              <w:t>Atsaucoties uz Ukrainas puses sniegto informāciju par atbalsta vajadzībām, Latvijas attīstības sadarbības politikas prioritātēm un uzkrāto pieredzi Ukrainā, kā arī ES izvirzītajām jomām Ukrainas reformu īstenošanas atbalstam, Ārlietu ministrija ierosina finansējumu novirzīt sekojošām aktivitātēm:</w:t>
            </w:r>
          </w:p>
          <w:p w:rsidR="00721D61" w:rsidRPr="00724CFA" w:rsidRDefault="00721D61" w:rsidP="00721D61">
            <w:pPr>
              <w:spacing w:after="0" w:line="240" w:lineRule="auto"/>
              <w:ind w:right="67"/>
              <w:jc w:val="both"/>
              <w:rPr>
                <w:rFonts w:ascii="Times New Roman" w:hAnsi="Times New Roman"/>
                <w:sz w:val="24"/>
                <w:szCs w:val="24"/>
                <w:lang w:eastAsia="lv-LV"/>
              </w:rPr>
            </w:pPr>
          </w:p>
          <w:p w:rsidR="00721D61" w:rsidRPr="00724CFA" w:rsidRDefault="00721D61" w:rsidP="00721D61">
            <w:pPr>
              <w:pStyle w:val="ListParagraph"/>
              <w:numPr>
                <w:ilvl w:val="1"/>
                <w:numId w:val="6"/>
              </w:numPr>
              <w:spacing w:after="120" w:line="240" w:lineRule="auto"/>
              <w:ind w:left="350" w:right="67" w:hanging="284"/>
              <w:jc w:val="both"/>
              <w:rPr>
                <w:rFonts w:ascii="Times New Roman" w:hAnsi="Times New Roman" w:cs="Times New Roman"/>
                <w:sz w:val="24"/>
                <w:szCs w:val="24"/>
              </w:rPr>
            </w:pPr>
            <w:r w:rsidRPr="00724CFA">
              <w:rPr>
                <w:rFonts w:ascii="Times New Roman" w:hAnsi="Times New Roman" w:cs="Times New Roman"/>
                <w:sz w:val="24"/>
                <w:szCs w:val="24"/>
              </w:rPr>
              <w:t xml:space="preserve">150 000 </w:t>
            </w:r>
            <w:proofErr w:type="spellStart"/>
            <w:r w:rsidRPr="00724CFA">
              <w:rPr>
                <w:rFonts w:ascii="Times New Roman" w:hAnsi="Times New Roman" w:cs="Times New Roman"/>
                <w:sz w:val="24"/>
                <w:szCs w:val="24"/>
              </w:rPr>
              <w:t>euro</w:t>
            </w:r>
            <w:proofErr w:type="spellEnd"/>
            <w:r w:rsidRPr="00724CFA">
              <w:rPr>
                <w:rFonts w:ascii="Times New Roman" w:hAnsi="Times New Roman" w:cs="Times New Roman"/>
                <w:sz w:val="24"/>
                <w:szCs w:val="24"/>
              </w:rPr>
              <w:t xml:space="preserve"> Attīstības sadarbības projektiem, šādās jomās:</w:t>
            </w:r>
          </w:p>
          <w:p w:rsidR="00721D61" w:rsidRPr="00724CFA" w:rsidRDefault="00721D61" w:rsidP="00721D61">
            <w:pPr>
              <w:pStyle w:val="ListParagraph"/>
              <w:numPr>
                <w:ilvl w:val="0"/>
                <w:numId w:val="2"/>
              </w:numPr>
              <w:spacing w:after="120" w:line="240" w:lineRule="auto"/>
              <w:ind w:right="67"/>
              <w:contextualSpacing w:val="0"/>
              <w:jc w:val="both"/>
              <w:rPr>
                <w:rFonts w:ascii="Times New Roman" w:hAnsi="Times New Roman" w:cs="Times New Roman"/>
                <w:i/>
                <w:sz w:val="24"/>
                <w:szCs w:val="24"/>
              </w:rPr>
            </w:pPr>
            <w:r w:rsidRPr="00724CFA">
              <w:rPr>
                <w:rFonts w:ascii="Times New Roman" w:hAnsi="Times New Roman" w:cs="Times New Roman"/>
                <w:i/>
                <w:sz w:val="24"/>
                <w:szCs w:val="24"/>
              </w:rPr>
              <w:t>Korupcijas apkarošana</w:t>
            </w:r>
          </w:p>
          <w:p w:rsidR="00721D61" w:rsidRPr="00724CFA" w:rsidRDefault="00721D61" w:rsidP="00721D61">
            <w:pPr>
              <w:spacing w:after="120" w:line="240" w:lineRule="auto"/>
              <w:ind w:right="67"/>
              <w:jc w:val="both"/>
              <w:rPr>
                <w:rFonts w:ascii="Times New Roman" w:hAnsi="Times New Roman" w:cs="Times New Roman"/>
                <w:sz w:val="24"/>
                <w:szCs w:val="24"/>
              </w:rPr>
            </w:pPr>
            <w:r w:rsidRPr="00724CFA">
              <w:rPr>
                <w:rFonts w:ascii="Times New Roman" w:hAnsi="Times New Roman" w:cs="Times New Roman"/>
                <w:sz w:val="24"/>
                <w:szCs w:val="24"/>
              </w:rPr>
              <w:t xml:space="preserve">Plaša mēroga korupcija ir iezīmējusies kā viena no lielākajām sistēmiskajām problēmām Ukrainā, kas ievērojami kavē valsts attīstību. Ukrainas valdība ir izvirzījusi korupcijas apkarošanu kā reformu prioritāti, veltot tam nozīmīgu politisku uzmanību. 2015. gada sākumā darbību ir uzsācis Korupcijas apkarošanas birojs. Arī starptautiskās organizācijas (t.sk. ES un Eiropas Padome) korupcijas apkarošanu ir atzīmējušas kā vienu no Ukrainas reformu prioritātēm, sniedzot attiecīgu atbalstu. </w:t>
            </w:r>
          </w:p>
          <w:p w:rsidR="00721D61" w:rsidRPr="00724CFA" w:rsidRDefault="00721D61" w:rsidP="00721D61">
            <w:pPr>
              <w:spacing w:after="120" w:line="240" w:lineRule="auto"/>
              <w:ind w:right="67"/>
              <w:jc w:val="both"/>
              <w:rPr>
                <w:rFonts w:ascii="Times New Roman" w:eastAsia="Calibri" w:hAnsi="Times New Roman" w:cs="Times New Roman"/>
                <w:sz w:val="24"/>
                <w:szCs w:val="24"/>
              </w:rPr>
            </w:pPr>
            <w:r w:rsidRPr="00724CFA">
              <w:rPr>
                <w:rFonts w:ascii="Times New Roman" w:hAnsi="Times New Roman" w:cs="Times New Roman"/>
                <w:sz w:val="24"/>
                <w:szCs w:val="24"/>
              </w:rPr>
              <w:t xml:space="preserve">2014. gada </w:t>
            </w:r>
            <w:r w:rsidRPr="00724CFA">
              <w:rPr>
                <w:rFonts w:ascii="Times New Roman" w:eastAsia="Calibri" w:hAnsi="Times New Roman" w:cs="Times New Roman"/>
                <w:sz w:val="24"/>
                <w:szCs w:val="24"/>
              </w:rPr>
              <w:t>12.-14. novembrī sadarbībā ar Rīgas Juridisko augstskolu Rīgā notika seminārs Ukrainas ekspertiem par korupcijas apkarošanu. Latvijas korupcijas apkarošanas eksperti ir vairākkārt apmeklējuši Ukrainu pieredzes apmaiņas vizītēs, un izveidojuši ievērojamu kontaktu loku ar Ukrainas ekspertiem. Ņemot vērā līdzšinējo pieredzi, ĀM rosina veidot paplašinātu semināru ciklu Ukrainas pārstāvjiem korupcijas apkarošanas jautājumos.</w:t>
            </w:r>
          </w:p>
          <w:p w:rsidR="00721D61" w:rsidRPr="00724CFA" w:rsidRDefault="00721D61" w:rsidP="00721D61">
            <w:pPr>
              <w:pStyle w:val="ListParagraph"/>
              <w:numPr>
                <w:ilvl w:val="0"/>
                <w:numId w:val="2"/>
              </w:numPr>
              <w:spacing w:after="120" w:line="240" w:lineRule="auto"/>
              <w:ind w:right="67"/>
              <w:contextualSpacing w:val="0"/>
              <w:jc w:val="both"/>
              <w:rPr>
                <w:rFonts w:ascii="Times New Roman" w:hAnsi="Times New Roman" w:cs="Times New Roman"/>
                <w:i/>
                <w:sz w:val="24"/>
                <w:szCs w:val="24"/>
              </w:rPr>
            </w:pPr>
            <w:r w:rsidRPr="00724CFA">
              <w:rPr>
                <w:rFonts w:ascii="Times New Roman" w:hAnsi="Times New Roman" w:cs="Times New Roman"/>
                <w:i/>
                <w:sz w:val="24"/>
                <w:szCs w:val="24"/>
              </w:rPr>
              <w:t>Lauksaimniecība un lauku attīstība</w:t>
            </w:r>
          </w:p>
          <w:p w:rsidR="00721D61" w:rsidRPr="00724CFA" w:rsidRDefault="00721D61" w:rsidP="00721D61">
            <w:pPr>
              <w:spacing w:after="120" w:line="240" w:lineRule="auto"/>
              <w:ind w:right="67"/>
              <w:jc w:val="both"/>
              <w:rPr>
                <w:rFonts w:ascii="Times New Roman" w:hAnsi="Times New Roman" w:cs="Times New Roman"/>
                <w:sz w:val="24"/>
                <w:szCs w:val="24"/>
              </w:rPr>
            </w:pPr>
            <w:r w:rsidRPr="00724CFA">
              <w:rPr>
                <w:rFonts w:ascii="Times New Roman" w:hAnsi="Times New Roman" w:cs="Times New Roman"/>
                <w:sz w:val="24"/>
                <w:szCs w:val="24"/>
              </w:rPr>
              <w:t xml:space="preserve">Lauksaimniecības un lauku attīstības joma ir būtiska Ukrainas ekonomikas stabilizēšanā, lauksaimniecības produktu eksportam veidojot 37% no kopējā eksporta. Jomai ir būtisks potenciāls, t.sk., ņemot vērā stiprinātas ES – Ukrainas attiecības tirdzniecībā, un iespējas Ukrainas lauksaimniecības produktu eksportam uz ES tirgiem. Vienlaikus vairākas starptautiskās organizācijas (ES, Pasaules Banka) ir norādījušas uz steidzamu strukturālu reformu un modernizācijas nepieciešamību sektorā, lai šo potenciālu īstenotu.    </w:t>
            </w:r>
          </w:p>
          <w:p w:rsidR="00721D61" w:rsidRPr="00724CFA" w:rsidRDefault="00721D61" w:rsidP="00721D61">
            <w:pPr>
              <w:spacing w:after="120" w:line="240" w:lineRule="auto"/>
              <w:ind w:right="67"/>
              <w:jc w:val="both"/>
              <w:rPr>
                <w:rFonts w:ascii="Times New Roman" w:hAnsi="Times New Roman" w:cs="Times New Roman"/>
                <w:bCs/>
                <w:sz w:val="24"/>
                <w:szCs w:val="24"/>
              </w:rPr>
            </w:pPr>
            <w:r w:rsidRPr="00724CFA">
              <w:rPr>
                <w:rFonts w:ascii="Times New Roman" w:hAnsi="Times New Roman" w:cs="Times New Roman"/>
                <w:sz w:val="24"/>
                <w:szCs w:val="24"/>
              </w:rPr>
              <w:t xml:space="preserve">2014. gada </w:t>
            </w:r>
            <w:r w:rsidRPr="00724CFA">
              <w:rPr>
                <w:rFonts w:ascii="Times New Roman" w:eastAsia="Calibri" w:hAnsi="Times New Roman" w:cs="Times New Roman"/>
                <w:iCs/>
                <w:sz w:val="24"/>
                <w:szCs w:val="24"/>
              </w:rPr>
              <w:t xml:space="preserve">17. decembrī notika Ukrainas piensaimniecības </w:t>
            </w:r>
            <w:r w:rsidRPr="00724CFA">
              <w:rPr>
                <w:rFonts w:ascii="Times New Roman" w:eastAsia="Calibri" w:hAnsi="Times New Roman" w:cs="Times New Roman"/>
                <w:iCs/>
                <w:sz w:val="24"/>
                <w:szCs w:val="24"/>
              </w:rPr>
              <w:lastRenderedPageBreak/>
              <w:t xml:space="preserve">ekspertu vizīte Latvijā </w:t>
            </w:r>
            <w:r w:rsidRPr="00724CFA">
              <w:rPr>
                <w:rFonts w:ascii="Times New Roman" w:hAnsi="Times New Roman" w:cs="Times New Roman"/>
                <w:sz w:val="24"/>
                <w:szCs w:val="24"/>
              </w:rPr>
              <w:t>(kooperācijas, ES standartu ieviešana un sertifikācija jomā)</w:t>
            </w:r>
            <w:r w:rsidRPr="00724CFA">
              <w:rPr>
                <w:rFonts w:ascii="Times New Roman" w:eastAsia="Calibri" w:hAnsi="Times New Roman" w:cs="Times New Roman"/>
                <w:iCs/>
                <w:sz w:val="24"/>
                <w:szCs w:val="24"/>
              </w:rPr>
              <w:t xml:space="preserve">, kas tika organizēta sadarbībā ar </w:t>
            </w:r>
            <w:r w:rsidRPr="00724CFA">
              <w:rPr>
                <w:rFonts w:ascii="Times New Roman" w:hAnsi="Times New Roman" w:cs="Times New Roman"/>
                <w:bCs/>
                <w:sz w:val="24"/>
                <w:szCs w:val="24"/>
              </w:rPr>
              <w:t xml:space="preserve">SIA „Latvijas Lauku konsultāciju un izglītības centrs”, kura pārstāvji ir izrādījuši interesi turpināt sadarbību gan minētajā apakšsektorā, gan citos ar lauksaimniecības modernizāciju saistītos apakšsektoros. Ukrainas Agrārās politikas un pārtikas ministrija ir uzrunājusi Latvijas Zemkopības ministriju par vēlmi iepazīties ar Latvijas pieredzi fitosanitārajā jomā. </w:t>
            </w:r>
            <w:r w:rsidR="00CF0E26">
              <w:rPr>
                <w:rFonts w:ascii="Times New Roman" w:hAnsi="Times New Roman" w:cs="Times New Roman"/>
                <w:bCs/>
                <w:sz w:val="24"/>
                <w:szCs w:val="24"/>
              </w:rPr>
              <w:t xml:space="preserve">2015. </w:t>
            </w:r>
            <w:r w:rsidRPr="00724CFA">
              <w:rPr>
                <w:rFonts w:ascii="Times New Roman" w:hAnsi="Times New Roman" w:cs="Times New Roman"/>
                <w:bCs/>
                <w:sz w:val="24"/>
                <w:szCs w:val="24"/>
              </w:rPr>
              <w:t>g</w:t>
            </w:r>
            <w:r w:rsidR="00CF0E26">
              <w:rPr>
                <w:rFonts w:ascii="Times New Roman" w:hAnsi="Times New Roman" w:cs="Times New Roman"/>
                <w:bCs/>
                <w:sz w:val="24"/>
                <w:szCs w:val="24"/>
              </w:rPr>
              <w:t>ada</w:t>
            </w:r>
            <w:r w:rsidRPr="00724CFA">
              <w:rPr>
                <w:rFonts w:ascii="Times New Roman" w:hAnsi="Times New Roman" w:cs="Times New Roman"/>
                <w:bCs/>
                <w:sz w:val="24"/>
                <w:szCs w:val="24"/>
              </w:rPr>
              <w:t xml:space="preserve"> 15. un 16. aprīlī Rīgā notika starptautiska konference „Lauku un lauksaimniecības konsultāciju sistēmas: labākā prakse un pieredze Austrumu partnerībā”, kuras paziņojumā Austrumu partnerības, tai skaitā Ukrainas, pārstāvji pauda nepieciešamību padziļināt sadarbību lauksaimniecības jomā starp ES un Austrumu partnerības valstīm. </w:t>
            </w:r>
          </w:p>
          <w:p w:rsidR="00721D61" w:rsidRPr="00724CFA" w:rsidRDefault="00721D61" w:rsidP="00721D61">
            <w:pPr>
              <w:pStyle w:val="ListParagraph"/>
              <w:numPr>
                <w:ilvl w:val="0"/>
                <w:numId w:val="2"/>
              </w:numPr>
              <w:spacing w:after="120" w:line="240" w:lineRule="auto"/>
              <w:ind w:right="67"/>
              <w:contextualSpacing w:val="0"/>
              <w:jc w:val="both"/>
              <w:rPr>
                <w:rFonts w:ascii="Times New Roman" w:hAnsi="Times New Roman" w:cs="Times New Roman"/>
                <w:i/>
                <w:sz w:val="24"/>
                <w:szCs w:val="24"/>
              </w:rPr>
            </w:pPr>
            <w:r w:rsidRPr="00724CFA">
              <w:rPr>
                <w:rFonts w:ascii="Times New Roman" w:hAnsi="Times New Roman" w:cs="Times New Roman"/>
                <w:i/>
                <w:sz w:val="24"/>
                <w:szCs w:val="24"/>
              </w:rPr>
              <w:t>Reģionālā attīstība</w:t>
            </w:r>
          </w:p>
          <w:p w:rsidR="00721D61" w:rsidRPr="00724CFA" w:rsidRDefault="00721D61" w:rsidP="00721D61">
            <w:pPr>
              <w:spacing w:after="120" w:line="240" w:lineRule="auto"/>
              <w:ind w:right="67"/>
              <w:jc w:val="both"/>
              <w:rPr>
                <w:rFonts w:ascii="Times New Roman" w:hAnsi="Times New Roman" w:cs="Times New Roman"/>
                <w:sz w:val="24"/>
                <w:szCs w:val="24"/>
              </w:rPr>
            </w:pPr>
            <w:r w:rsidRPr="00724CFA">
              <w:rPr>
                <w:rFonts w:ascii="Times New Roman" w:hAnsi="Times New Roman" w:cs="Times New Roman"/>
                <w:sz w:val="24"/>
                <w:szCs w:val="24"/>
              </w:rPr>
              <w:t xml:space="preserve">Kā vienu no valsts reformu prioritātēm Ukraina ir izvirzījusi decentralizāciju un reģionālo attīstību. 2014. gadā Ukrainas valdība apstiprināja Reģionālās attīstības stratēģiju 2020. gadam, kas ietver visaptverošu reģionālo reformu ar nolūku veicināt pārdomātu decentralizāciju un reģionu konkurētspējas un kohēzijas stiprināšanu. ES – Ukrainas dialogā reģionālā attīstība ir tradicionāli bijusi prioritāra atbalsta joma. </w:t>
            </w:r>
          </w:p>
          <w:p w:rsidR="00721D61" w:rsidRPr="00724CFA" w:rsidRDefault="00721D61" w:rsidP="00721D61">
            <w:pPr>
              <w:spacing w:after="120" w:line="240" w:lineRule="auto"/>
              <w:ind w:right="67"/>
              <w:jc w:val="both"/>
              <w:rPr>
                <w:rFonts w:ascii="Times New Roman" w:hAnsi="Times New Roman" w:cs="Times New Roman"/>
                <w:sz w:val="24"/>
                <w:szCs w:val="24"/>
              </w:rPr>
            </w:pPr>
            <w:r w:rsidRPr="00724CFA">
              <w:rPr>
                <w:rFonts w:ascii="Times New Roman" w:hAnsi="Times New Roman" w:cs="Times New Roman"/>
                <w:sz w:val="24"/>
                <w:szCs w:val="24"/>
              </w:rPr>
              <w:t>Pateicoties 2014.</w:t>
            </w:r>
            <w:r w:rsidRPr="00724CFA">
              <w:t xml:space="preserve"> </w:t>
            </w:r>
            <w:r w:rsidRPr="00724CFA">
              <w:rPr>
                <w:rFonts w:ascii="Times New Roman" w:hAnsi="Times New Roman" w:cs="Times New Roman"/>
                <w:sz w:val="24"/>
                <w:szCs w:val="24"/>
              </w:rPr>
              <w:t xml:space="preserve">gadā īstenotajiem pieredzes apmaiņas projektiem (administratīvi – teritoriālā reforma, </w:t>
            </w:r>
            <w:proofErr w:type="spellStart"/>
            <w:r w:rsidRPr="00724CFA">
              <w:rPr>
                <w:rFonts w:ascii="Times New Roman" w:hAnsi="Times New Roman" w:cs="Times New Roman"/>
                <w:sz w:val="24"/>
                <w:szCs w:val="24"/>
              </w:rPr>
              <w:t>eirointegrācija</w:t>
            </w:r>
            <w:proofErr w:type="spellEnd"/>
            <w:r w:rsidRPr="00724CFA">
              <w:rPr>
                <w:rFonts w:ascii="Times New Roman" w:hAnsi="Times New Roman" w:cs="Times New Roman"/>
                <w:sz w:val="24"/>
                <w:szCs w:val="24"/>
              </w:rPr>
              <w:t xml:space="preserve">, e-pārvalde), Latvijas Vides aizsardzības un reģionālās attīstības ministrijai ir izveidojusies laba sadarbība ar Ukrainas Reģionālās attīstības, celtniecības un komunālās saimniecības ministriju, kā arī </w:t>
            </w:r>
            <w:proofErr w:type="spellStart"/>
            <w:r w:rsidRPr="00724CFA">
              <w:rPr>
                <w:rFonts w:ascii="Times New Roman" w:hAnsi="Times New Roman" w:cs="Times New Roman"/>
                <w:sz w:val="24"/>
                <w:szCs w:val="24"/>
              </w:rPr>
              <w:t>Čerņigivas</w:t>
            </w:r>
            <w:proofErr w:type="spellEnd"/>
            <w:r w:rsidRPr="00724CFA">
              <w:rPr>
                <w:rFonts w:ascii="Times New Roman" w:hAnsi="Times New Roman" w:cs="Times New Roman"/>
                <w:sz w:val="24"/>
                <w:szCs w:val="24"/>
              </w:rPr>
              <w:t xml:space="preserve"> apgabalu Ukrainā. VARAM ir izrādījusi interesi šo sadarbību turpināt un tālāk attīstīt. </w:t>
            </w:r>
          </w:p>
          <w:p w:rsidR="00721D61" w:rsidRPr="00724CFA" w:rsidRDefault="00721D61" w:rsidP="00721D61">
            <w:pPr>
              <w:pStyle w:val="ListParagraph"/>
              <w:numPr>
                <w:ilvl w:val="0"/>
                <w:numId w:val="2"/>
              </w:numPr>
              <w:spacing w:after="120" w:line="240" w:lineRule="auto"/>
              <w:ind w:right="67"/>
              <w:contextualSpacing w:val="0"/>
              <w:jc w:val="both"/>
              <w:rPr>
                <w:rFonts w:ascii="Times New Roman" w:hAnsi="Times New Roman" w:cs="Times New Roman"/>
                <w:i/>
                <w:sz w:val="24"/>
                <w:szCs w:val="24"/>
              </w:rPr>
            </w:pPr>
            <w:proofErr w:type="spellStart"/>
            <w:r w:rsidRPr="00724CFA">
              <w:rPr>
                <w:rFonts w:ascii="Times New Roman" w:hAnsi="Times New Roman" w:cs="Times New Roman"/>
                <w:i/>
                <w:sz w:val="24"/>
                <w:szCs w:val="24"/>
              </w:rPr>
              <w:t>Eirointegrācijas</w:t>
            </w:r>
            <w:proofErr w:type="spellEnd"/>
            <w:r w:rsidRPr="00724CFA">
              <w:rPr>
                <w:rFonts w:ascii="Times New Roman" w:hAnsi="Times New Roman" w:cs="Times New Roman"/>
                <w:i/>
                <w:sz w:val="24"/>
                <w:szCs w:val="24"/>
              </w:rPr>
              <w:t xml:space="preserve"> un ES standartu pieredzes nodošana</w:t>
            </w:r>
          </w:p>
          <w:p w:rsidR="00721D61" w:rsidRPr="00724CFA" w:rsidRDefault="00721D61" w:rsidP="00721D61">
            <w:pPr>
              <w:spacing w:after="120" w:line="240" w:lineRule="auto"/>
              <w:ind w:right="67"/>
              <w:jc w:val="both"/>
              <w:rPr>
                <w:rFonts w:ascii="Times New Roman" w:hAnsi="Times New Roman" w:cs="Times New Roman"/>
                <w:sz w:val="24"/>
                <w:szCs w:val="24"/>
              </w:rPr>
            </w:pPr>
            <w:r w:rsidRPr="00724CFA">
              <w:rPr>
                <w:rFonts w:ascii="Times New Roman" w:hAnsi="Times New Roman" w:cs="Times New Roman"/>
                <w:sz w:val="24"/>
                <w:szCs w:val="24"/>
              </w:rPr>
              <w:t xml:space="preserve">Ukrainas puse ir vairākkārt uzrunājusi Latviju par iespējām organizēt Ukrainas ministru vietnieku </w:t>
            </w:r>
            <w:proofErr w:type="spellStart"/>
            <w:r w:rsidRPr="00724CFA">
              <w:rPr>
                <w:rFonts w:ascii="Times New Roman" w:hAnsi="Times New Roman" w:cs="Times New Roman"/>
                <w:sz w:val="24"/>
                <w:szCs w:val="24"/>
              </w:rPr>
              <w:t>eirointegrācijas</w:t>
            </w:r>
            <w:proofErr w:type="spellEnd"/>
            <w:r w:rsidRPr="00724CFA">
              <w:rPr>
                <w:rFonts w:ascii="Times New Roman" w:hAnsi="Times New Roman" w:cs="Times New Roman"/>
                <w:sz w:val="24"/>
                <w:szCs w:val="24"/>
              </w:rPr>
              <w:t xml:space="preserve"> jautājumos pieredzes apmaiņas vizīti uz Latviju. Ukrainas valdība ir nozīmējusi katrā ministrijā vecāko amatpersonu, kas ir tieši atbildīga par </w:t>
            </w:r>
            <w:proofErr w:type="spellStart"/>
            <w:r w:rsidRPr="00724CFA">
              <w:rPr>
                <w:rFonts w:ascii="Times New Roman" w:hAnsi="Times New Roman" w:cs="Times New Roman"/>
                <w:sz w:val="24"/>
                <w:szCs w:val="24"/>
              </w:rPr>
              <w:t>eirointegrācijas</w:t>
            </w:r>
            <w:proofErr w:type="spellEnd"/>
            <w:r w:rsidRPr="00724CFA">
              <w:rPr>
                <w:rFonts w:ascii="Times New Roman" w:hAnsi="Times New Roman" w:cs="Times New Roman"/>
                <w:sz w:val="24"/>
                <w:szCs w:val="24"/>
              </w:rPr>
              <w:t xml:space="preserve"> jautājumiem un vēlas stiprināt šo amatpersonu izpratni par veicamajām reformām, kā arī veicināt kontaktu veidošanu ar kolēģiem Latvijā. Ukrainas Ekonomiskās attīstības un tirdzniecības ministrija ir uzrunājusi Latvijas vēstniecību Ukrainā par iespējām nosūtīt ES standartu pieredzes apgūšanas vizītē attiecīgus speciālistus. </w:t>
            </w:r>
          </w:p>
          <w:p w:rsidR="00721D61" w:rsidRPr="00724CFA" w:rsidRDefault="00721D61" w:rsidP="00721D61">
            <w:pPr>
              <w:spacing w:after="120" w:line="240" w:lineRule="auto"/>
              <w:ind w:right="67"/>
              <w:jc w:val="both"/>
              <w:rPr>
                <w:rFonts w:ascii="Times New Roman" w:hAnsi="Times New Roman" w:cs="Times New Roman"/>
                <w:sz w:val="24"/>
                <w:szCs w:val="24"/>
              </w:rPr>
            </w:pPr>
            <w:r w:rsidRPr="00724CFA">
              <w:rPr>
                <w:rFonts w:ascii="Times New Roman" w:hAnsi="Times New Roman" w:cs="Times New Roman"/>
                <w:sz w:val="24"/>
                <w:szCs w:val="24"/>
              </w:rPr>
              <w:t xml:space="preserve">Latvija ir atbalstījusi Ukrainas </w:t>
            </w:r>
            <w:proofErr w:type="spellStart"/>
            <w:r w:rsidRPr="00724CFA">
              <w:rPr>
                <w:rFonts w:ascii="Times New Roman" w:hAnsi="Times New Roman" w:cs="Times New Roman"/>
                <w:sz w:val="24"/>
                <w:szCs w:val="24"/>
              </w:rPr>
              <w:t>eirointegrācijas</w:t>
            </w:r>
            <w:proofErr w:type="spellEnd"/>
            <w:r w:rsidRPr="00724CFA">
              <w:rPr>
                <w:rFonts w:ascii="Times New Roman" w:hAnsi="Times New Roman" w:cs="Times New Roman"/>
                <w:sz w:val="24"/>
                <w:szCs w:val="24"/>
              </w:rPr>
              <w:t xml:space="preserve"> centienus. Atbalsts </w:t>
            </w:r>
            <w:proofErr w:type="spellStart"/>
            <w:r w:rsidRPr="00724CFA">
              <w:rPr>
                <w:rFonts w:ascii="Times New Roman" w:hAnsi="Times New Roman" w:cs="Times New Roman"/>
                <w:sz w:val="24"/>
                <w:szCs w:val="24"/>
              </w:rPr>
              <w:t>eirointegrācijas</w:t>
            </w:r>
            <w:proofErr w:type="spellEnd"/>
            <w:r w:rsidRPr="00724CFA">
              <w:rPr>
                <w:rFonts w:ascii="Times New Roman" w:hAnsi="Times New Roman" w:cs="Times New Roman"/>
                <w:sz w:val="24"/>
                <w:szCs w:val="24"/>
              </w:rPr>
              <w:t xml:space="preserve"> un ES standartu pieredzes nodošanā veicinātu Ukrainas speciālistu praktisko gatavību ar </w:t>
            </w:r>
            <w:proofErr w:type="spellStart"/>
            <w:r w:rsidRPr="00724CFA">
              <w:rPr>
                <w:rFonts w:ascii="Times New Roman" w:hAnsi="Times New Roman" w:cs="Times New Roman"/>
                <w:sz w:val="24"/>
                <w:szCs w:val="24"/>
              </w:rPr>
              <w:t>eirointegrāciju</w:t>
            </w:r>
            <w:proofErr w:type="spellEnd"/>
            <w:r w:rsidRPr="00724CFA">
              <w:rPr>
                <w:rFonts w:ascii="Times New Roman" w:hAnsi="Times New Roman" w:cs="Times New Roman"/>
                <w:sz w:val="24"/>
                <w:szCs w:val="24"/>
              </w:rPr>
              <w:t xml:space="preserve"> saistīto reformu īstenošanā. </w:t>
            </w:r>
          </w:p>
          <w:p w:rsidR="00721D61" w:rsidRPr="00724CFA" w:rsidRDefault="00721D61" w:rsidP="00721D61">
            <w:pPr>
              <w:spacing w:after="120" w:line="240" w:lineRule="auto"/>
              <w:ind w:right="67"/>
              <w:jc w:val="both"/>
              <w:rPr>
                <w:rFonts w:ascii="Times New Roman" w:hAnsi="Times New Roman"/>
                <w:sz w:val="24"/>
                <w:szCs w:val="24"/>
              </w:rPr>
            </w:pPr>
            <w:r w:rsidRPr="00724CFA">
              <w:rPr>
                <w:rFonts w:ascii="Times New Roman" w:hAnsi="Times New Roman"/>
                <w:sz w:val="24"/>
                <w:szCs w:val="24"/>
              </w:rPr>
              <w:lastRenderedPageBreak/>
              <w:t xml:space="preserve">Piešķirto finansējumu ĀM izlietos, ievērojot Starptautiskās palīdzības likuma 5. pantā noteiktos attīstības sadarbības finansējuma apstiprināšanas instrumentus. </w:t>
            </w:r>
          </w:p>
          <w:p w:rsidR="00721D61" w:rsidRPr="00724CFA" w:rsidRDefault="00721D61" w:rsidP="00721D61">
            <w:pPr>
              <w:pStyle w:val="ListParagraph"/>
              <w:numPr>
                <w:ilvl w:val="1"/>
                <w:numId w:val="1"/>
              </w:numPr>
              <w:spacing w:after="120" w:line="240" w:lineRule="auto"/>
              <w:ind w:right="67"/>
              <w:jc w:val="both"/>
              <w:rPr>
                <w:rFonts w:ascii="Times New Roman" w:hAnsi="Times New Roman" w:cs="Times New Roman"/>
                <w:sz w:val="24"/>
                <w:szCs w:val="24"/>
              </w:rPr>
            </w:pPr>
            <w:r w:rsidRPr="00724CFA">
              <w:rPr>
                <w:rFonts w:ascii="Times New Roman" w:hAnsi="Times New Roman"/>
                <w:sz w:val="24"/>
                <w:szCs w:val="24"/>
              </w:rPr>
              <w:t xml:space="preserve"> </w:t>
            </w:r>
            <w:r w:rsidRPr="00724CFA">
              <w:rPr>
                <w:rFonts w:ascii="Times New Roman" w:hAnsi="Times New Roman" w:cs="Times New Roman"/>
                <w:i/>
                <w:sz w:val="24"/>
                <w:szCs w:val="24"/>
              </w:rPr>
              <w:t xml:space="preserve"> </w:t>
            </w:r>
            <w:r w:rsidRPr="00724CFA">
              <w:rPr>
                <w:rFonts w:ascii="Times New Roman" w:hAnsi="Times New Roman" w:cs="Times New Roman"/>
                <w:sz w:val="24"/>
                <w:szCs w:val="24"/>
              </w:rPr>
              <w:t xml:space="preserve">150 000 </w:t>
            </w:r>
            <w:proofErr w:type="spellStart"/>
            <w:r w:rsidRPr="00724CFA">
              <w:rPr>
                <w:rFonts w:ascii="Times New Roman" w:hAnsi="Times New Roman" w:cs="Times New Roman"/>
                <w:i/>
                <w:sz w:val="24"/>
                <w:szCs w:val="24"/>
              </w:rPr>
              <w:t>euro</w:t>
            </w:r>
            <w:proofErr w:type="spellEnd"/>
            <w:r w:rsidRPr="00724CFA">
              <w:rPr>
                <w:rFonts w:ascii="Times New Roman" w:hAnsi="Times New Roman" w:cs="Times New Roman"/>
                <w:sz w:val="24"/>
                <w:szCs w:val="24"/>
              </w:rPr>
              <w:t xml:space="preserve"> Iemaksai starptautiskajās organizācijās un fondos.</w:t>
            </w:r>
          </w:p>
          <w:p w:rsidR="00721D61" w:rsidRPr="00724CFA" w:rsidRDefault="00721D61" w:rsidP="00721D61">
            <w:pPr>
              <w:pStyle w:val="ListParagraph"/>
              <w:numPr>
                <w:ilvl w:val="0"/>
                <w:numId w:val="4"/>
              </w:numPr>
              <w:spacing w:after="120" w:line="240" w:lineRule="auto"/>
              <w:contextualSpacing w:val="0"/>
              <w:jc w:val="both"/>
              <w:rPr>
                <w:rFonts w:ascii="Times New Roman" w:hAnsi="Times New Roman" w:cs="Times New Roman"/>
                <w:i/>
                <w:sz w:val="24"/>
                <w:szCs w:val="24"/>
              </w:rPr>
            </w:pPr>
            <w:r w:rsidRPr="00724CFA">
              <w:rPr>
                <w:rFonts w:ascii="Times New Roman" w:hAnsi="Times New Roman" w:cs="Times New Roman"/>
                <w:i/>
                <w:sz w:val="24"/>
                <w:szCs w:val="24"/>
              </w:rPr>
              <w:t xml:space="preserve">Iemaksai Ekonomiskās sadarbības un attīstības organizācijā </w:t>
            </w:r>
          </w:p>
          <w:p w:rsidR="00721D61" w:rsidRPr="00724CFA" w:rsidRDefault="00721D61" w:rsidP="00721D61">
            <w:pPr>
              <w:spacing w:after="0" w:line="240" w:lineRule="auto"/>
              <w:jc w:val="both"/>
              <w:rPr>
                <w:rFonts w:ascii="Times New Roman" w:hAnsi="Times New Roman" w:cs="Times New Roman"/>
                <w:sz w:val="24"/>
                <w:szCs w:val="24"/>
              </w:rPr>
            </w:pPr>
            <w:r w:rsidRPr="00724CFA">
              <w:rPr>
                <w:rFonts w:ascii="Times New Roman" w:hAnsi="Times New Roman" w:cs="Times New Roman"/>
                <w:sz w:val="24"/>
                <w:szCs w:val="24"/>
              </w:rPr>
              <w:t>2014. gada 7. oktobrī starp Ekonomiskās sadarbības un attīstības organizāciju (turpmāk –</w:t>
            </w:r>
            <w:r w:rsidRPr="00724CFA">
              <w:rPr>
                <w:rFonts w:ascii="Times New Roman" w:hAnsi="Times New Roman" w:cs="Times New Roman"/>
                <w:i/>
                <w:sz w:val="24"/>
                <w:szCs w:val="24"/>
              </w:rPr>
              <w:t xml:space="preserve"> </w:t>
            </w:r>
            <w:r w:rsidRPr="00724CFA">
              <w:rPr>
                <w:rFonts w:ascii="Times New Roman" w:hAnsi="Times New Roman" w:cs="Times New Roman"/>
                <w:sz w:val="24"/>
                <w:szCs w:val="24"/>
              </w:rPr>
              <w:t>OECD) un Ukrainas valdību tika noslēgts saprašanās memorands par sadarbības stiprināšanu un OECD ekspertīzes nodrošināšanu Ukrainai šādās jomās:</w:t>
            </w:r>
          </w:p>
          <w:p w:rsidR="00721D61" w:rsidRPr="00724CFA" w:rsidRDefault="00721D61" w:rsidP="00721D61">
            <w:pPr>
              <w:numPr>
                <w:ilvl w:val="0"/>
                <w:numId w:val="3"/>
              </w:numPr>
              <w:spacing w:after="0" w:line="240" w:lineRule="auto"/>
              <w:jc w:val="both"/>
              <w:rPr>
                <w:rFonts w:ascii="Times New Roman" w:hAnsi="Times New Roman" w:cs="Times New Roman"/>
                <w:sz w:val="24"/>
                <w:szCs w:val="24"/>
              </w:rPr>
            </w:pPr>
            <w:r w:rsidRPr="00724CFA">
              <w:rPr>
                <w:rFonts w:ascii="Times New Roman" w:hAnsi="Times New Roman" w:cs="Times New Roman"/>
                <w:sz w:val="24"/>
                <w:szCs w:val="24"/>
              </w:rPr>
              <w:t>Korupcijas novēršana;</w:t>
            </w:r>
          </w:p>
          <w:p w:rsidR="00721D61" w:rsidRPr="00724CFA" w:rsidRDefault="00721D61" w:rsidP="00721D61">
            <w:pPr>
              <w:numPr>
                <w:ilvl w:val="0"/>
                <w:numId w:val="3"/>
              </w:numPr>
              <w:spacing w:after="0" w:line="240" w:lineRule="auto"/>
              <w:jc w:val="both"/>
              <w:rPr>
                <w:rFonts w:ascii="Times New Roman" w:hAnsi="Times New Roman" w:cs="Times New Roman"/>
                <w:sz w:val="24"/>
                <w:szCs w:val="24"/>
              </w:rPr>
            </w:pPr>
            <w:r w:rsidRPr="00724CFA">
              <w:rPr>
                <w:rFonts w:ascii="Times New Roman" w:hAnsi="Times New Roman" w:cs="Times New Roman"/>
                <w:sz w:val="24"/>
                <w:szCs w:val="24"/>
              </w:rPr>
              <w:t>Uzņēmējdarbības vide;</w:t>
            </w:r>
          </w:p>
          <w:p w:rsidR="00721D61" w:rsidRPr="00724CFA" w:rsidRDefault="00721D61" w:rsidP="00721D61">
            <w:pPr>
              <w:numPr>
                <w:ilvl w:val="0"/>
                <w:numId w:val="3"/>
              </w:numPr>
              <w:spacing w:after="0" w:line="240" w:lineRule="auto"/>
              <w:jc w:val="both"/>
              <w:rPr>
                <w:rFonts w:ascii="Times New Roman" w:hAnsi="Times New Roman" w:cs="Times New Roman"/>
                <w:sz w:val="24"/>
                <w:szCs w:val="24"/>
              </w:rPr>
            </w:pPr>
            <w:r w:rsidRPr="00724CFA">
              <w:rPr>
                <w:rFonts w:ascii="Times New Roman" w:hAnsi="Times New Roman" w:cs="Times New Roman"/>
                <w:sz w:val="24"/>
                <w:szCs w:val="24"/>
              </w:rPr>
              <w:t>Publiskā pārvalde un administrācija;</w:t>
            </w:r>
          </w:p>
          <w:p w:rsidR="00721D61" w:rsidRPr="00724CFA" w:rsidRDefault="00721D61" w:rsidP="00721D61">
            <w:pPr>
              <w:numPr>
                <w:ilvl w:val="0"/>
                <w:numId w:val="3"/>
              </w:numPr>
              <w:spacing w:after="0" w:line="240" w:lineRule="auto"/>
              <w:jc w:val="both"/>
              <w:rPr>
                <w:rFonts w:ascii="Times New Roman" w:hAnsi="Times New Roman" w:cs="Times New Roman"/>
                <w:sz w:val="24"/>
                <w:szCs w:val="24"/>
              </w:rPr>
            </w:pPr>
            <w:r w:rsidRPr="00724CFA">
              <w:rPr>
                <w:rFonts w:ascii="Times New Roman" w:hAnsi="Times New Roman" w:cs="Times New Roman"/>
                <w:sz w:val="24"/>
                <w:szCs w:val="24"/>
              </w:rPr>
              <w:t>Vides jautājumi;</w:t>
            </w:r>
          </w:p>
          <w:p w:rsidR="00721D61" w:rsidRPr="00724CFA" w:rsidRDefault="00721D61" w:rsidP="00721D61">
            <w:pPr>
              <w:numPr>
                <w:ilvl w:val="0"/>
                <w:numId w:val="3"/>
              </w:num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Nodokļu politika (nodokļu noziegumi).</w:t>
            </w:r>
          </w:p>
          <w:p w:rsidR="00721D61" w:rsidRPr="00724CFA" w:rsidRDefault="00721D61" w:rsidP="00721D61">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 xml:space="preserve">Šajās jomās OECD plāno veikt attiecīgo politiku izvērtējumus, sniegt rekomendācijas uzlabojumiem, nodrošināt tehnisko palīdzību un iesaistīt Ukrainu OECD komiteju darbā. </w:t>
            </w:r>
          </w:p>
          <w:p w:rsidR="00721D61" w:rsidRPr="00724CFA" w:rsidRDefault="00721D61" w:rsidP="00721D61">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 xml:space="preserve">Turpmākajiem diviem gadiem plānotais budžets ir 5 679 000 </w:t>
            </w:r>
            <w:proofErr w:type="spellStart"/>
            <w:r w:rsidRPr="00724CFA">
              <w:rPr>
                <w:rFonts w:ascii="Times New Roman" w:hAnsi="Times New Roman" w:cs="Times New Roman"/>
                <w:i/>
                <w:sz w:val="24"/>
                <w:szCs w:val="24"/>
              </w:rPr>
              <w:t>euro</w:t>
            </w:r>
            <w:proofErr w:type="spellEnd"/>
            <w:r w:rsidRPr="00724CFA">
              <w:rPr>
                <w:rFonts w:ascii="Times New Roman" w:hAnsi="Times New Roman" w:cs="Times New Roman"/>
                <w:sz w:val="24"/>
                <w:szCs w:val="24"/>
              </w:rPr>
              <w:t>. Budžetu veidos gan OECD līdzekļi, gan dalībvalstu brīvprātīgās iemaksas. Uz šo brīdi brīvprātīgās iemaksas jau ir veikušas Igaunija, Lietuva, Polija, Slovākija, Zviedrija un ASV.</w:t>
            </w:r>
          </w:p>
          <w:p w:rsidR="00721D61" w:rsidRPr="00724CFA" w:rsidRDefault="00721D61" w:rsidP="00721D61">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OECD ir vērsusies arī pie Latvijas ar aicinājumu finansiāli atbalstīt OECD un Ukrainas sadarbības stiprināšanu saprašanās memoranda ietvaros. Paralēli brīvprātīgo iemaksu veikšanai ir iespējama arī Latvijas ekspertu iesaiste šajā OECD projektā.</w:t>
            </w:r>
          </w:p>
          <w:p w:rsidR="00721D61" w:rsidRPr="00724CFA" w:rsidRDefault="00721D61" w:rsidP="00721D61">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 xml:space="preserve">OECD ekspertīze un rekomendācijas politiku uzlabojumiem izmanto pasaules visattīstītākās valstis. To kvalitāti iestāšanās sarunu procesā ir novērtējušās arī Latvijas valsts pārvaldes iestādes. </w:t>
            </w:r>
          </w:p>
          <w:p w:rsidR="00721D61" w:rsidRPr="00724CFA" w:rsidRDefault="00721D61" w:rsidP="00721D61">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Latvija jau 2016. gadā plāno kļūt par pilntiesīgu OECD dalībvalsti. Atbalsts šāda veida OECD projektiem gan finansiāli, gan ekspertīzes nodrošināšanā sniegs labu signālu par Latvijas kā nākamās OECD dalībvalsts spējām sniegt ieguldījumu organizācijas darbā un sniegt kvalitatīvu atbalstu Ukrainai.</w:t>
            </w:r>
          </w:p>
          <w:p w:rsidR="00721D61" w:rsidRPr="00724CFA" w:rsidRDefault="00721D61" w:rsidP="00721D61">
            <w:pPr>
              <w:pStyle w:val="ListParagraph"/>
              <w:numPr>
                <w:ilvl w:val="0"/>
                <w:numId w:val="4"/>
              </w:numPr>
              <w:spacing w:after="120" w:line="240" w:lineRule="auto"/>
              <w:ind w:right="67"/>
              <w:contextualSpacing w:val="0"/>
              <w:jc w:val="both"/>
              <w:rPr>
                <w:rFonts w:ascii="Times New Roman" w:hAnsi="Times New Roman" w:cs="Times New Roman"/>
                <w:i/>
                <w:sz w:val="24"/>
                <w:szCs w:val="24"/>
              </w:rPr>
            </w:pPr>
            <w:r w:rsidRPr="00724CFA">
              <w:rPr>
                <w:rFonts w:ascii="Times New Roman" w:hAnsi="Times New Roman" w:cs="Times New Roman"/>
                <w:i/>
                <w:sz w:val="24"/>
                <w:szCs w:val="24"/>
              </w:rPr>
              <w:t>Iemaksai citās starptautiskajās organizācijās un fondos</w:t>
            </w:r>
          </w:p>
          <w:p w:rsidR="00721D61" w:rsidRPr="00724CFA" w:rsidRDefault="00721D61" w:rsidP="00721D61">
            <w:pPr>
              <w:spacing w:after="120" w:line="240" w:lineRule="auto"/>
              <w:ind w:right="67"/>
              <w:jc w:val="both"/>
              <w:rPr>
                <w:rFonts w:ascii="Times New Roman" w:hAnsi="Times New Roman" w:cs="Times New Roman"/>
                <w:sz w:val="24"/>
                <w:szCs w:val="24"/>
              </w:rPr>
            </w:pPr>
            <w:r w:rsidRPr="00724CFA">
              <w:rPr>
                <w:rFonts w:ascii="Times New Roman" w:hAnsi="Times New Roman" w:cs="Times New Roman"/>
                <w:sz w:val="24"/>
                <w:szCs w:val="24"/>
              </w:rPr>
              <w:t xml:space="preserve">2014. gadā Latvija veica iemaksas Eiropas Padomes Rīcības Plānā Ukrainai budžetā, </w:t>
            </w:r>
            <w:r w:rsidRPr="00724CFA">
              <w:rPr>
                <w:rFonts w:ascii="Times New Roman" w:eastAsia="Calibri" w:hAnsi="Times New Roman" w:cs="Times New Roman"/>
                <w:bCs/>
                <w:iCs/>
                <w:sz w:val="24"/>
                <w:szCs w:val="24"/>
              </w:rPr>
              <w:t xml:space="preserve">Austrumeiropas Energoefektivitātes un vides partnerības fonda budžetā (mērķa valsts – Ukraina), </w:t>
            </w:r>
            <w:r w:rsidRPr="00724CFA">
              <w:rPr>
                <w:rFonts w:ascii="Times New Roman" w:hAnsi="Times New Roman" w:cs="Times New Roman"/>
                <w:sz w:val="24"/>
                <w:szCs w:val="24"/>
              </w:rPr>
              <w:t xml:space="preserve">ANO Augstā komisāra bēgļu lietās biroja (UNHCR) Ukrainas </w:t>
            </w:r>
            <w:r w:rsidRPr="00724CFA">
              <w:rPr>
                <w:rFonts w:ascii="Times New Roman" w:hAnsi="Times New Roman" w:cs="Times New Roman"/>
                <w:sz w:val="24"/>
                <w:szCs w:val="24"/>
              </w:rPr>
              <w:lastRenderedPageBreak/>
              <w:t xml:space="preserve">iekšēji pārvietoto personu fonda budžetā. </w:t>
            </w:r>
          </w:p>
          <w:p w:rsidR="00721D61" w:rsidRPr="00724CFA" w:rsidRDefault="00721D61" w:rsidP="00721D61">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 xml:space="preserve">Svarīgi ir turpināt sniegt atbalstu starptautisko instrumentu ietvaros arī 2015. gadā, lai veicinātu kolektīvos centienus Ukrainas atbalstam un apliecinātu Latviju kā atbildīgu starptautiskās sistēmas dalībnieci.   </w:t>
            </w:r>
          </w:p>
          <w:p w:rsidR="00E461B6" w:rsidRPr="00724CFA" w:rsidRDefault="00E461B6" w:rsidP="00F74039">
            <w:pPr>
              <w:pStyle w:val="ListParagraph"/>
              <w:numPr>
                <w:ilvl w:val="0"/>
                <w:numId w:val="6"/>
              </w:numPr>
              <w:spacing w:after="120" w:line="240" w:lineRule="auto"/>
              <w:jc w:val="both"/>
              <w:rPr>
                <w:rFonts w:ascii="Times New Roman" w:hAnsi="Times New Roman" w:cs="Times New Roman"/>
                <w:sz w:val="24"/>
                <w:szCs w:val="24"/>
              </w:rPr>
            </w:pPr>
            <w:r w:rsidRPr="00724CFA">
              <w:rPr>
                <w:rFonts w:ascii="Times New Roman" w:hAnsi="Times New Roman" w:cs="Times New Roman"/>
                <w:b/>
                <w:sz w:val="24"/>
                <w:szCs w:val="24"/>
              </w:rPr>
              <w:t>Austrumu partnerības un Centrālāzijas pārstāvju apmācību programmai</w:t>
            </w:r>
            <w:r w:rsidR="00B21609" w:rsidRPr="00724CFA">
              <w:rPr>
                <w:rFonts w:ascii="Times New Roman" w:hAnsi="Times New Roman" w:cs="Times New Roman"/>
                <w:b/>
                <w:sz w:val="24"/>
                <w:szCs w:val="24"/>
              </w:rPr>
              <w:t xml:space="preserve"> RJA</w:t>
            </w:r>
            <w:r w:rsidRPr="00724CFA">
              <w:rPr>
                <w:rFonts w:ascii="Times New Roman" w:hAnsi="Times New Roman" w:cs="Times New Roman"/>
                <w:b/>
                <w:sz w:val="24"/>
                <w:szCs w:val="24"/>
              </w:rPr>
              <w:t>.</w:t>
            </w:r>
            <w:r w:rsidRPr="00724CFA">
              <w:rPr>
                <w:rFonts w:ascii="Times New Roman" w:hAnsi="Times New Roman" w:cs="Times New Roman"/>
                <w:sz w:val="24"/>
                <w:szCs w:val="24"/>
              </w:rPr>
              <w:t xml:space="preserve"> </w:t>
            </w:r>
          </w:p>
          <w:p w:rsidR="00E461B6" w:rsidRPr="00724CFA" w:rsidRDefault="00E461B6" w:rsidP="00D44CE5">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 xml:space="preserve">2014. gadā tika izveidota RJA apmācību programma Austrumu partnerības un Centrālāzijas valstu valsts pārvaldes un nevalstiskā sektora pārstāvjiem, kas paredz 3 mēnešu intensīvu apmācību kursu Eiropas tiesībās un ekonomikā. </w:t>
            </w:r>
          </w:p>
          <w:p w:rsidR="00E461B6" w:rsidRPr="00724CFA" w:rsidRDefault="00E461B6" w:rsidP="00D44CE5">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Programmas mērķis ir Latvijas reformu pieredzes un zināšanu tālāka nodošana, paaugstinot programmas dalībvalstu publiskās administrācijas un pilsoniskās sabiedrības pārstāvju zināšanas un ekspertīzi. Tāpat tiek sniegts atbalsts Austrumu partnerības un Centrālāzijas valstu nākamo līderu sagatavošanai darbam ar ES institūcijām un citiem starptautiskās dienaskārtības jautājumiem.</w:t>
            </w:r>
          </w:p>
          <w:p w:rsidR="00E461B6" w:rsidRPr="00724CFA" w:rsidRDefault="00E461B6" w:rsidP="00D44CE5">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Ņemot vērā programmas labos rezultātus un lielo pieprasījumu no partnervalstīm, programma turpmāk paredzēta kā ikgadējs apmācību kurss un tā īstenošana noteikta arī V</w:t>
            </w:r>
            <w:r w:rsidR="001F3E13" w:rsidRPr="00724CFA">
              <w:rPr>
                <w:rFonts w:ascii="Times New Roman" w:hAnsi="Times New Roman" w:cs="Times New Roman"/>
                <w:sz w:val="24"/>
                <w:szCs w:val="24"/>
              </w:rPr>
              <w:t xml:space="preserve">aldības rīcības plāna </w:t>
            </w:r>
            <w:r w:rsidR="00BC112C" w:rsidRPr="00724CFA">
              <w:rPr>
                <w:rFonts w:ascii="Times New Roman" w:hAnsi="Times New Roman" w:cs="Times New Roman"/>
                <w:sz w:val="24"/>
                <w:szCs w:val="24"/>
              </w:rPr>
              <w:t xml:space="preserve">(turpmāk – VRP) </w:t>
            </w:r>
            <w:r w:rsidR="001F3E13" w:rsidRPr="00724CFA">
              <w:rPr>
                <w:rFonts w:ascii="Times New Roman" w:hAnsi="Times New Roman" w:cs="Times New Roman"/>
                <w:sz w:val="24"/>
                <w:szCs w:val="24"/>
              </w:rPr>
              <w:t>169.4.</w:t>
            </w:r>
            <w:r w:rsidR="00BC112C" w:rsidRPr="00724CFA">
              <w:rPr>
                <w:rFonts w:ascii="Times New Roman" w:hAnsi="Times New Roman" w:cs="Times New Roman"/>
                <w:sz w:val="24"/>
                <w:szCs w:val="24"/>
              </w:rPr>
              <w:t> </w:t>
            </w:r>
            <w:r w:rsidR="001F3E13" w:rsidRPr="00724CFA">
              <w:rPr>
                <w:rFonts w:ascii="Times New Roman" w:hAnsi="Times New Roman" w:cs="Times New Roman"/>
                <w:sz w:val="24"/>
                <w:szCs w:val="24"/>
              </w:rPr>
              <w:t>punktā</w:t>
            </w:r>
            <w:r w:rsidRPr="00724CFA">
              <w:rPr>
                <w:rFonts w:ascii="Times New Roman" w:hAnsi="Times New Roman" w:cs="Times New Roman"/>
                <w:sz w:val="24"/>
                <w:szCs w:val="24"/>
              </w:rPr>
              <w:t xml:space="preserve">. VRP paredz sākto ar 2015. gadu rīkot </w:t>
            </w:r>
            <w:r w:rsidR="00B21609" w:rsidRPr="00724CFA">
              <w:rPr>
                <w:rFonts w:ascii="Times New Roman" w:hAnsi="Times New Roman" w:cs="Times New Roman"/>
                <w:sz w:val="24"/>
                <w:szCs w:val="24"/>
              </w:rPr>
              <w:t>divas</w:t>
            </w:r>
            <w:r w:rsidRPr="00724CFA">
              <w:rPr>
                <w:rFonts w:ascii="Times New Roman" w:hAnsi="Times New Roman" w:cs="Times New Roman"/>
                <w:sz w:val="24"/>
                <w:szCs w:val="24"/>
              </w:rPr>
              <w:t xml:space="preserve"> apmācību sesijas gadā. </w:t>
            </w:r>
          </w:p>
          <w:p w:rsidR="00E461B6" w:rsidRPr="00724CFA" w:rsidRDefault="00E461B6" w:rsidP="00D44CE5">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2015. gada Attīstības sadarbības politikas plānā (</w:t>
            </w:r>
            <w:r w:rsidR="00B21609" w:rsidRPr="00724CFA">
              <w:rPr>
                <w:rFonts w:ascii="Times New Roman" w:hAnsi="Times New Roman" w:cs="Times New Roman"/>
                <w:sz w:val="24"/>
                <w:szCs w:val="24"/>
              </w:rPr>
              <w:t xml:space="preserve">Apstiprināts </w:t>
            </w:r>
            <w:r w:rsidRPr="00724CFA">
              <w:rPr>
                <w:rFonts w:ascii="Times New Roman" w:hAnsi="Times New Roman" w:cs="Times New Roman"/>
                <w:sz w:val="24"/>
                <w:szCs w:val="24"/>
              </w:rPr>
              <w:t>M</w:t>
            </w:r>
            <w:r w:rsidR="00B21609" w:rsidRPr="00724CFA">
              <w:rPr>
                <w:rFonts w:ascii="Times New Roman" w:hAnsi="Times New Roman" w:cs="Times New Roman"/>
                <w:sz w:val="24"/>
                <w:szCs w:val="24"/>
              </w:rPr>
              <w:t xml:space="preserve">inistru kabinetā ar </w:t>
            </w:r>
            <w:r w:rsidRPr="00724CFA">
              <w:rPr>
                <w:rFonts w:ascii="Times New Roman" w:hAnsi="Times New Roman" w:cs="Times New Roman"/>
                <w:sz w:val="24"/>
                <w:szCs w:val="24"/>
              </w:rPr>
              <w:t>2015. gada 25.  februāra rīkojum</w:t>
            </w:r>
            <w:r w:rsidR="00B21609" w:rsidRPr="00724CFA">
              <w:rPr>
                <w:rFonts w:ascii="Times New Roman" w:hAnsi="Times New Roman" w:cs="Times New Roman"/>
                <w:sz w:val="24"/>
                <w:szCs w:val="24"/>
              </w:rPr>
              <w:t>u</w:t>
            </w:r>
            <w:r w:rsidRPr="00724CFA">
              <w:rPr>
                <w:rFonts w:ascii="Times New Roman" w:hAnsi="Times New Roman" w:cs="Times New Roman"/>
                <w:sz w:val="24"/>
                <w:szCs w:val="24"/>
              </w:rPr>
              <w:t xml:space="preserve"> Nr.101) programmas pavasara sesijai paredzēts finansējums 140</w:t>
            </w:r>
            <w:r w:rsidR="00856A84" w:rsidRPr="00724CFA">
              <w:rPr>
                <w:rFonts w:ascii="Times New Roman" w:hAnsi="Times New Roman" w:cs="Times New Roman"/>
                <w:sz w:val="24"/>
                <w:szCs w:val="24"/>
              </w:rPr>
              <w:t xml:space="preserve"> 000 </w:t>
            </w:r>
            <w:proofErr w:type="spellStart"/>
            <w:r w:rsidR="00856A84" w:rsidRPr="00724CFA">
              <w:rPr>
                <w:rFonts w:ascii="Times New Roman" w:hAnsi="Times New Roman" w:cs="Times New Roman"/>
                <w:i/>
                <w:sz w:val="24"/>
                <w:szCs w:val="24"/>
              </w:rPr>
              <w:t>euro</w:t>
            </w:r>
            <w:proofErr w:type="spellEnd"/>
            <w:r w:rsidRPr="00724CFA">
              <w:rPr>
                <w:rFonts w:ascii="Times New Roman" w:hAnsi="Times New Roman" w:cs="Times New Roman"/>
                <w:sz w:val="24"/>
                <w:szCs w:val="24"/>
              </w:rPr>
              <w:t xml:space="preserve"> apmērā.</w:t>
            </w:r>
          </w:p>
          <w:p w:rsidR="00E461B6" w:rsidRPr="00724CFA" w:rsidRDefault="00E461B6" w:rsidP="00D44CE5">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 xml:space="preserve">Paralēli Ārlietu ministrija aktīvi strādā pie līdzfinansējuma piesaistīšanas no citiem starptautiskās palīdzības finansētājiem. </w:t>
            </w:r>
          </w:p>
          <w:p w:rsidR="00540B85" w:rsidRPr="00724CFA" w:rsidRDefault="00E461B6" w:rsidP="00F74039">
            <w:pPr>
              <w:spacing w:after="120" w:line="240" w:lineRule="auto"/>
              <w:jc w:val="both"/>
              <w:rPr>
                <w:rFonts w:ascii="Times New Roman" w:hAnsi="Times New Roman" w:cs="Times New Roman"/>
                <w:sz w:val="24"/>
                <w:szCs w:val="24"/>
              </w:rPr>
            </w:pPr>
            <w:r w:rsidRPr="00724CFA">
              <w:rPr>
                <w:rFonts w:ascii="Times New Roman" w:hAnsi="Times New Roman" w:cs="Times New Roman"/>
                <w:sz w:val="24"/>
                <w:szCs w:val="24"/>
              </w:rPr>
              <w:t>Jau 2015. gada pavasara sesijai ir piesaistīts līdzfinansējums no Luksemburgas un ASV. Savukārt attiecībā uz rudens sesiju ir vienošanās ar ASV un Zviedriju par</w:t>
            </w:r>
            <w:r w:rsidR="00BC112C" w:rsidRPr="00724CFA">
              <w:rPr>
                <w:rFonts w:ascii="Times New Roman" w:hAnsi="Times New Roman" w:cs="Times New Roman"/>
                <w:sz w:val="24"/>
                <w:szCs w:val="24"/>
              </w:rPr>
              <w:t xml:space="preserve"> vairāk nekā </w:t>
            </w:r>
            <w:r w:rsidRPr="00724CFA">
              <w:rPr>
                <w:rFonts w:ascii="Times New Roman" w:hAnsi="Times New Roman" w:cs="Times New Roman"/>
                <w:sz w:val="24"/>
                <w:szCs w:val="24"/>
              </w:rPr>
              <w:t xml:space="preserve">20 </w:t>
            </w:r>
            <w:r w:rsidR="00BC112C" w:rsidRPr="00724CFA">
              <w:rPr>
                <w:rFonts w:ascii="Times New Roman" w:hAnsi="Times New Roman" w:cs="Times New Roman"/>
                <w:sz w:val="24"/>
                <w:szCs w:val="24"/>
              </w:rPr>
              <w:t>dalībnieku finansiālai atbalstīšanai</w:t>
            </w:r>
            <w:r w:rsidRPr="00724CFA">
              <w:rPr>
                <w:rFonts w:ascii="Times New Roman" w:hAnsi="Times New Roman" w:cs="Times New Roman"/>
                <w:sz w:val="24"/>
                <w:szCs w:val="24"/>
              </w:rPr>
              <w:t xml:space="preserve">. Lai nodrošinātu </w:t>
            </w:r>
            <w:r w:rsidR="00BC112C" w:rsidRPr="00724CFA">
              <w:rPr>
                <w:rFonts w:ascii="Times New Roman" w:hAnsi="Times New Roman" w:cs="Times New Roman"/>
                <w:sz w:val="24"/>
                <w:szCs w:val="24"/>
              </w:rPr>
              <w:t xml:space="preserve">rudens </w:t>
            </w:r>
            <w:r w:rsidRPr="00724CFA">
              <w:rPr>
                <w:rFonts w:ascii="Times New Roman" w:hAnsi="Times New Roman" w:cs="Times New Roman"/>
                <w:sz w:val="24"/>
                <w:szCs w:val="24"/>
              </w:rPr>
              <w:t>sesijas norisi, nepieciešams nodrošināt arī Latvijas līdzfinansējumu</w:t>
            </w:r>
            <w:r w:rsidR="00B21609" w:rsidRPr="00724CFA">
              <w:rPr>
                <w:rFonts w:ascii="Times New Roman" w:hAnsi="Times New Roman" w:cs="Times New Roman"/>
                <w:sz w:val="24"/>
                <w:szCs w:val="24"/>
              </w:rPr>
              <w:t xml:space="preserve"> 22 000 </w:t>
            </w:r>
            <w:proofErr w:type="spellStart"/>
            <w:r w:rsidR="00B21609" w:rsidRPr="00724CFA">
              <w:rPr>
                <w:rFonts w:ascii="Times New Roman" w:hAnsi="Times New Roman" w:cs="Times New Roman"/>
                <w:i/>
                <w:sz w:val="24"/>
                <w:szCs w:val="24"/>
              </w:rPr>
              <w:t>euro</w:t>
            </w:r>
            <w:proofErr w:type="spellEnd"/>
            <w:r w:rsidR="00B21609" w:rsidRPr="00724CFA">
              <w:rPr>
                <w:rFonts w:ascii="Times New Roman" w:hAnsi="Times New Roman" w:cs="Times New Roman"/>
                <w:sz w:val="24"/>
                <w:szCs w:val="24"/>
              </w:rPr>
              <w:t xml:space="preserve"> apmērā</w:t>
            </w:r>
            <w:r w:rsidRPr="00724CFA">
              <w:rPr>
                <w:rFonts w:ascii="Times New Roman" w:hAnsi="Times New Roman" w:cs="Times New Roman"/>
                <w:sz w:val="24"/>
                <w:szCs w:val="24"/>
              </w:rPr>
              <w:t xml:space="preserve">, kas ir priekšnosacījums starptautisko donoru dalībai. Plānotā finansējuma ietvaros būs iespējams finansēt </w:t>
            </w:r>
            <w:r w:rsidR="00B21609" w:rsidRPr="00724CFA">
              <w:rPr>
                <w:rFonts w:ascii="Times New Roman" w:hAnsi="Times New Roman" w:cs="Times New Roman"/>
                <w:sz w:val="24"/>
                <w:szCs w:val="24"/>
              </w:rPr>
              <w:t>divu</w:t>
            </w:r>
            <w:r w:rsidRPr="00724CFA">
              <w:rPr>
                <w:rFonts w:ascii="Times New Roman" w:hAnsi="Times New Roman" w:cs="Times New Roman"/>
                <w:sz w:val="24"/>
                <w:szCs w:val="24"/>
              </w:rPr>
              <w:t xml:space="preserve"> pārstāvju dalību programmā. </w:t>
            </w:r>
          </w:p>
          <w:p w:rsidR="00B21609" w:rsidRPr="00724CFA" w:rsidRDefault="00B21609" w:rsidP="00F74039">
            <w:pPr>
              <w:pStyle w:val="ListParagraph"/>
              <w:numPr>
                <w:ilvl w:val="0"/>
                <w:numId w:val="6"/>
              </w:numPr>
              <w:spacing w:after="120" w:line="240" w:lineRule="auto"/>
              <w:jc w:val="both"/>
              <w:rPr>
                <w:rFonts w:ascii="Times New Roman" w:hAnsi="Times New Roman" w:cs="Times New Roman"/>
                <w:sz w:val="24"/>
                <w:szCs w:val="24"/>
              </w:rPr>
            </w:pPr>
            <w:r w:rsidRPr="00724CFA">
              <w:rPr>
                <w:rFonts w:ascii="Times New Roman" w:hAnsi="Times New Roman" w:cs="Times New Roman"/>
                <w:b/>
                <w:noProof/>
                <w:sz w:val="24"/>
                <w:szCs w:val="24"/>
              </w:rPr>
              <w:t>Iemaksa</w:t>
            </w:r>
            <w:r w:rsidR="00CA05E0" w:rsidRPr="00724CFA">
              <w:rPr>
                <w:rFonts w:ascii="Times New Roman" w:hAnsi="Times New Roman" w:cs="Times New Roman"/>
                <w:b/>
                <w:noProof/>
                <w:sz w:val="24"/>
                <w:szCs w:val="24"/>
              </w:rPr>
              <w:t xml:space="preserve"> Apvienoto Nāciju Organizācijas </w:t>
            </w:r>
            <w:r w:rsidRPr="00724CFA">
              <w:rPr>
                <w:rFonts w:ascii="Times New Roman" w:hAnsi="Times New Roman" w:cs="Times New Roman"/>
                <w:b/>
                <w:noProof/>
                <w:sz w:val="24"/>
                <w:szCs w:val="24"/>
              </w:rPr>
              <w:t>Augstā komisāra bēgļu jautājumos Reģionālā reaģēšanas plāna palīdzības fondā Sīrijas bēgļiem</w:t>
            </w:r>
          </w:p>
          <w:p w:rsidR="0076211F" w:rsidRPr="00724CFA" w:rsidRDefault="0076211F" w:rsidP="00D44CE5">
            <w:pPr>
              <w:spacing w:after="120" w:line="240" w:lineRule="auto"/>
              <w:jc w:val="both"/>
              <w:rPr>
                <w:rFonts w:ascii="Times New Roman" w:hAnsi="Times New Roman" w:cs="Times New Roman"/>
                <w:noProof/>
                <w:sz w:val="24"/>
                <w:szCs w:val="24"/>
              </w:rPr>
            </w:pPr>
            <w:r w:rsidRPr="00724CFA">
              <w:rPr>
                <w:rFonts w:ascii="Times New Roman" w:hAnsi="Times New Roman" w:cs="Times New Roman"/>
                <w:noProof/>
                <w:sz w:val="24"/>
                <w:szCs w:val="24"/>
              </w:rPr>
              <w:t>Četru gada laikā, kopš Sīrijas konflikta sākuma 2011. gadā, saskaņā ar Sīrijas Cilvēktiesību novērošanas organizācijas (</w:t>
            </w:r>
            <w:r w:rsidRPr="00724CFA">
              <w:rPr>
                <w:rFonts w:ascii="Times New Roman" w:hAnsi="Times New Roman" w:cs="Times New Roman"/>
                <w:i/>
                <w:noProof/>
                <w:sz w:val="24"/>
                <w:szCs w:val="24"/>
              </w:rPr>
              <w:t>Syrian Observatory for Human Rights</w:t>
            </w:r>
            <w:r w:rsidRPr="00724CFA">
              <w:rPr>
                <w:rFonts w:ascii="Times New Roman" w:hAnsi="Times New Roman" w:cs="Times New Roman"/>
                <w:noProof/>
                <w:sz w:val="24"/>
                <w:szCs w:val="24"/>
              </w:rPr>
              <w:t xml:space="preserve">) datiem dzīvības zaudējuši vairāk nekā 215 000 cilvēki, no kuriem vairāk nekā 66 000 upuru ir civiliedzīvotāji. Situācija Sīrijā un tās </w:t>
            </w:r>
            <w:r w:rsidRPr="00724CFA">
              <w:rPr>
                <w:rFonts w:ascii="Times New Roman" w:hAnsi="Times New Roman" w:cs="Times New Roman"/>
                <w:noProof/>
                <w:sz w:val="24"/>
                <w:szCs w:val="24"/>
              </w:rPr>
              <w:lastRenderedPageBreak/>
              <w:t>kaimiņvalstīs turpina pasliktināties: 12,2 miljoniem cilvēku, t.sk., iekšēji pārvietotajām personām 7,6 miljoniem cilvēku, ir steidzami nepieciešama palīdzība. 4,8 miljoni cilvēku atrodas grūti pieejamās teritorijās.</w:t>
            </w:r>
          </w:p>
          <w:p w:rsidR="0076211F" w:rsidRPr="00724CFA" w:rsidRDefault="0076211F" w:rsidP="00D44CE5">
            <w:pPr>
              <w:spacing w:after="120" w:line="240" w:lineRule="auto"/>
              <w:jc w:val="both"/>
              <w:rPr>
                <w:rFonts w:ascii="Times New Roman" w:hAnsi="Times New Roman" w:cs="Times New Roman"/>
                <w:noProof/>
                <w:sz w:val="24"/>
                <w:szCs w:val="24"/>
              </w:rPr>
            </w:pPr>
            <w:r w:rsidRPr="00724CFA">
              <w:rPr>
                <w:rFonts w:ascii="Times New Roman" w:hAnsi="Times New Roman" w:cs="Times New Roman"/>
                <w:noProof/>
                <w:sz w:val="24"/>
                <w:szCs w:val="24"/>
              </w:rPr>
              <w:t>Pieaugošais bēgļu skaits no Sīrijas un ar to saistītā ekonomiskās un politiskās spriedzes palielināšanās rada draudus stabilitātei reģionā, kā arī atstāj ietekmi uz drošības situāciju Tuvajos Austrumos. Sīrijas bēgļu skaits kaimiņvalstīs – Libānā, Jordānijā, Turcijā, Ēģiptē sastāda vairāk nekā 3,8 miljoni cilvēku, kas ir lielākais bēgļu skaits kopš II Pasaules kara. Lai mazinātu krīzes ietekmi uz reģionu, ir nepieciešams nodrošināt humāno palīdzību visiem, kam tā nepieciešama, un atbalstīt valstis, kas uzņem Sīrijas bēgļus.</w:t>
            </w:r>
          </w:p>
          <w:p w:rsidR="0076211F" w:rsidRPr="00724CFA" w:rsidRDefault="0076211F" w:rsidP="00D44CE5">
            <w:pPr>
              <w:spacing w:after="120" w:line="240" w:lineRule="auto"/>
              <w:jc w:val="both"/>
              <w:rPr>
                <w:rFonts w:ascii="Times New Roman" w:hAnsi="Times New Roman" w:cs="Times New Roman"/>
                <w:noProof/>
                <w:sz w:val="24"/>
                <w:szCs w:val="24"/>
              </w:rPr>
            </w:pPr>
            <w:r w:rsidRPr="00724CFA">
              <w:rPr>
                <w:rFonts w:ascii="Times New Roman" w:hAnsi="Times New Roman" w:cs="Times New Roman"/>
                <w:noProof/>
                <w:sz w:val="24"/>
                <w:szCs w:val="24"/>
              </w:rPr>
              <w:t>Sīrijas krīze un ar to saistītais bēgļu skaita pieaugums aizvien ir vieni no galvenajiem jautājumiem starptautiskajā dienaskārtībā. Paralēli mēģinājumiem meklēt politisko risinājumu, starptautiskā sabiedrība sniedz humāno palīdzību bēgļu situācijas uzlabošanai.</w:t>
            </w:r>
          </w:p>
          <w:p w:rsidR="0076211F" w:rsidRPr="00724CFA" w:rsidRDefault="0076211F" w:rsidP="00D44CE5">
            <w:pPr>
              <w:spacing w:after="120" w:line="240" w:lineRule="auto"/>
              <w:jc w:val="both"/>
              <w:rPr>
                <w:rFonts w:ascii="Times New Roman" w:hAnsi="Times New Roman" w:cs="Times New Roman"/>
                <w:noProof/>
                <w:sz w:val="24"/>
                <w:szCs w:val="24"/>
              </w:rPr>
            </w:pPr>
            <w:r w:rsidRPr="00724CFA">
              <w:rPr>
                <w:rFonts w:ascii="Times New Roman" w:hAnsi="Times New Roman" w:cs="Times New Roman"/>
                <w:noProof/>
                <w:sz w:val="24"/>
                <w:szCs w:val="24"/>
              </w:rPr>
              <w:t>Apvienoto Nāciju Organizācija (</w:t>
            </w:r>
            <w:r w:rsidR="00CA05E0" w:rsidRPr="00724CFA">
              <w:rPr>
                <w:rFonts w:ascii="Times New Roman" w:hAnsi="Times New Roman" w:cs="Times New Roman"/>
                <w:noProof/>
                <w:sz w:val="24"/>
                <w:szCs w:val="24"/>
              </w:rPr>
              <w:t xml:space="preserve">turpmāk – </w:t>
            </w:r>
            <w:r w:rsidRPr="00724CFA">
              <w:rPr>
                <w:rFonts w:ascii="Times New Roman" w:hAnsi="Times New Roman" w:cs="Times New Roman"/>
                <w:noProof/>
                <w:sz w:val="24"/>
                <w:szCs w:val="24"/>
              </w:rPr>
              <w:t>ANO) ir uzņēmusies galvenā koordinatora lomu starptautisko donoru iemaksu administrēšanā Sīrijas bēgļu atbalstam un humanitārās krīzes risināšanai. ANO līdzekļu pieprasījums 2015. gadam Sīrijas krīzes seku risināšanai sastāda 8,4 mljrd. ASV dolāru, tai skaitā, palīdzība iekšēji pārvietotajām personām Sīrijā (</w:t>
            </w:r>
            <w:r w:rsidRPr="00724CFA">
              <w:rPr>
                <w:rFonts w:ascii="Times New Roman" w:hAnsi="Times New Roman" w:cs="Times New Roman"/>
                <w:i/>
                <w:noProof/>
                <w:sz w:val="24"/>
                <w:szCs w:val="24"/>
              </w:rPr>
              <w:t>Syria Response Plan 2015</w:t>
            </w:r>
            <w:r w:rsidRPr="00724CFA">
              <w:rPr>
                <w:rFonts w:ascii="Times New Roman" w:hAnsi="Times New Roman" w:cs="Times New Roman"/>
                <w:noProof/>
                <w:sz w:val="24"/>
                <w:szCs w:val="24"/>
              </w:rPr>
              <w:t>, ko veido 2,9 mljrd. ASV dolāru), un bēgļiem kaimiņvalstīs (</w:t>
            </w:r>
            <w:r w:rsidRPr="00724CFA">
              <w:rPr>
                <w:rFonts w:ascii="Times New Roman" w:hAnsi="Times New Roman" w:cs="Times New Roman"/>
                <w:i/>
                <w:noProof/>
                <w:sz w:val="24"/>
                <w:szCs w:val="24"/>
              </w:rPr>
              <w:t>Regional Refugee and Resilience Plan</w:t>
            </w:r>
            <w:r w:rsidRPr="00724CFA">
              <w:rPr>
                <w:rFonts w:ascii="Times New Roman" w:hAnsi="Times New Roman" w:cs="Times New Roman"/>
                <w:noProof/>
                <w:sz w:val="24"/>
                <w:szCs w:val="24"/>
              </w:rPr>
              <w:t xml:space="preserve">, kas veido 5,5 mljrd. ASV dolāru). 2014. gadā tika saņemti tikai 48% no pieprasītā nepieciešamā finansējuma. </w:t>
            </w:r>
          </w:p>
          <w:p w:rsidR="0076211F" w:rsidRPr="00724CFA" w:rsidRDefault="0076211F" w:rsidP="00D44CE5">
            <w:pPr>
              <w:spacing w:after="120" w:line="240" w:lineRule="auto"/>
              <w:jc w:val="both"/>
              <w:rPr>
                <w:rFonts w:ascii="Times New Roman" w:hAnsi="Times New Roman" w:cs="Times New Roman"/>
                <w:noProof/>
                <w:sz w:val="24"/>
                <w:szCs w:val="24"/>
              </w:rPr>
            </w:pPr>
            <w:r w:rsidRPr="00724CFA">
              <w:rPr>
                <w:rFonts w:ascii="Times New Roman" w:hAnsi="Times New Roman" w:cs="Times New Roman"/>
                <w:noProof/>
                <w:sz w:val="24"/>
                <w:szCs w:val="24"/>
              </w:rPr>
              <w:t xml:space="preserve">Latvija 2012. gadā ANO Humānās palīdzības koordinācijas centra Sīrijas ārkārtas palīdzības fondā ir veikusi iemaksu 43 000 </w:t>
            </w:r>
            <w:r w:rsidR="003D73A4"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xml:space="preserve"> apmērā.  Savukārt 2013. gadā Latvija veica iemaksu ANO Augstā komisāra bēgļu jautājumos Reģionālā reaģēšanas plāna palīdzības fondā 50 000 </w:t>
            </w:r>
            <w:r w:rsidR="003D73A4"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xml:space="preserve"> apmērā. Tādējādi Latvija demonstrējusi solidaritāti ar Sīrijas krīzē cietušajiem un apliecinot atbildīgas valsts tēlu starptautisko organizāciju ietvaros. ANO statūti Latvijai ir saistoši kopš Latvijas iestāšanās ANO 1991. gada 17. septembrī. </w:t>
            </w:r>
          </w:p>
          <w:p w:rsidR="00C7631A" w:rsidRPr="00724CFA" w:rsidRDefault="00C7631A" w:rsidP="00D44CE5">
            <w:pPr>
              <w:spacing w:after="120" w:line="240" w:lineRule="auto"/>
              <w:jc w:val="both"/>
              <w:outlineLvl w:val="0"/>
              <w:rPr>
                <w:rFonts w:ascii="Times New Roman" w:hAnsi="Times New Roman" w:cs="Times New Roman"/>
                <w:noProof/>
                <w:sz w:val="24"/>
                <w:szCs w:val="24"/>
              </w:rPr>
            </w:pPr>
            <w:r w:rsidRPr="00724CFA">
              <w:rPr>
                <w:rFonts w:ascii="Times New Roman" w:hAnsi="Times New Roman" w:cs="Times New Roman"/>
                <w:noProof/>
                <w:sz w:val="24"/>
                <w:szCs w:val="24"/>
              </w:rPr>
              <w:t xml:space="preserve">2015. gada 31. martā Kuveitā notika jau trešā ANO organizēta līdzekļu vākšanas konference Sīrijas  krīzes seku risināšanai „Kuveita III”. Uz konferenci tika aicinātas 75 dalībvalstis, 40 starptautiskās institūcijas un organizācijas, kā arī nevalstiskās organizācijas. Latviju konferencē pārstāvēja </w:t>
            </w:r>
            <w:r w:rsidR="00CA05E0" w:rsidRPr="00724CFA">
              <w:rPr>
                <w:rFonts w:ascii="Times New Roman" w:hAnsi="Times New Roman" w:cs="Times New Roman"/>
                <w:noProof/>
                <w:sz w:val="24"/>
                <w:szCs w:val="24"/>
              </w:rPr>
              <w:t>ĀM</w:t>
            </w:r>
            <w:r w:rsidRPr="00724CFA">
              <w:rPr>
                <w:rFonts w:ascii="Times New Roman" w:hAnsi="Times New Roman" w:cs="Times New Roman"/>
                <w:noProof/>
                <w:sz w:val="24"/>
                <w:szCs w:val="24"/>
              </w:rPr>
              <w:t xml:space="preserve"> valsts sekretārs Andrejs Pildegovičs</w:t>
            </w:r>
            <w:r w:rsidR="00CA05E0" w:rsidRPr="00724CFA">
              <w:rPr>
                <w:rFonts w:ascii="Times New Roman" w:hAnsi="Times New Roman" w:cs="Times New Roman"/>
                <w:noProof/>
                <w:sz w:val="24"/>
                <w:szCs w:val="24"/>
              </w:rPr>
              <w:t xml:space="preserve">. Konferences laikā </w:t>
            </w:r>
            <w:r w:rsidRPr="00724CFA">
              <w:rPr>
                <w:rFonts w:ascii="Times New Roman" w:hAnsi="Times New Roman" w:cs="Times New Roman"/>
                <w:noProof/>
                <w:sz w:val="24"/>
                <w:szCs w:val="24"/>
              </w:rPr>
              <w:t>Latvija, kā prezidējošā valsts ES Padomē paziņoja par finansiālu atbalstu.</w:t>
            </w:r>
          </w:p>
          <w:p w:rsidR="006D4A51" w:rsidRDefault="00C7631A" w:rsidP="00D44CE5">
            <w:pPr>
              <w:spacing w:after="120" w:line="240" w:lineRule="auto"/>
              <w:jc w:val="both"/>
              <w:rPr>
                <w:rFonts w:ascii="Times New Roman" w:hAnsi="Times New Roman" w:cs="Times New Roman"/>
                <w:noProof/>
                <w:sz w:val="24"/>
                <w:szCs w:val="24"/>
              </w:rPr>
            </w:pPr>
            <w:r w:rsidRPr="00724CFA">
              <w:rPr>
                <w:rFonts w:ascii="Times New Roman" w:hAnsi="Times New Roman" w:cs="Times New Roman"/>
                <w:noProof/>
                <w:sz w:val="24"/>
                <w:szCs w:val="24"/>
              </w:rPr>
              <w:t xml:space="preserve">Par finansiāla atbalsta sniegšanu Sīrijas krīzes seku risināšanā reģionā paziņoja arī citas ES dalībvalstis. To vidū </w:t>
            </w:r>
            <w:r w:rsidR="00AB5EA1" w:rsidRPr="00724CFA">
              <w:rPr>
                <w:rFonts w:ascii="Times New Roman" w:hAnsi="Times New Roman" w:cs="Times New Roman"/>
                <w:noProof/>
                <w:sz w:val="24"/>
                <w:szCs w:val="24"/>
              </w:rPr>
              <w:t xml:space="preserve">Lielbritānijas un Ziemeļīrijas </w:t>
            </w:r>
            <w:r w:rsidRPr="00724CFA">
              <w:rPr>
                <w:rFonts w:ascii="Times New Roman" w:hAnsi="Times New Roman" w:cs="Times New Roman"/>
                <w:noProof/>
                <w:sz w:val="24"/>
                <w:szCs w:val="24"/>
              </w:rPr>
              <w:t xml:space="preserve">Apvienotā Karaliste paziņoja par </w:t>
            </w:r>
            <w:r w:rsidRPr="00724CFA">
              <w:rPr>
                <w:rFonts w:ascii="Times New Roman" w:hAnsi="Times New Roman" w:cs="Times New Roman"/>
                <w:noProof/>
                <w:sz w:val="24"/>
                <w:szCs w:val="24"/>
              </w:rPr>
              <w:lastRenderedPageBreak/>
              <w:t>ziedojumu 140</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500</w:t>
            </w:r>
            <w:r w:rsidR="00AB5EA1" w:rsidRPr="00724CFA">
              <w:rPr>
                <w:rFonts w:ascii="Times New Roman" w:hAnsi="Times New Roman" w:cs="Times New Roman"/>
                <w:noProof/>
                <w:sz w:val="24"/>
                <w:szCs w:val="24"/>
              </w:rPr>
              <w:t xml:space="preserve"> 000 </w:t>
            </w:r>
            <w:r w:rsidR="007159A3" w:rsidRPr="00724CFA">
              <w:rPr>
                <w:rFonts w:ascii="Times New Roman" w:hAnsi="Times New Roman" w:cs="Times New Roman"/>
                <w:i/>
                <w:noProof/>
                <w:sz w:val="24"/>
                <w:szCs w:val="24"/>
              </w:rPr>
              <w:t>euro</w:t>
            </w:r>
            <w:r w:rsidR="00AB5EA1" w:rsidRPr="00724CFA">
              <w:rPr>
                <w:rFonts w:ascii="Times New Roman" w:hAnsi="Times New Roman" w:cs="Times New Roman"/>
                <w:noProof/>
                <w:sz w:val="24"/>
                <w:szCs w:val="24"/>
              </w:rPr>
              <w:t>; Austrija 200 </w:t>
            </w:r>
            <w:r w:rsidRPr="00724CFA">
              <w:rPr>
                <w:rFonts w:ascii="Times New Roman" w:hAnsi="Times New Roman" w:cs="Times New Roman"/>
                <w:noProof/>
                <w:sz w:val="24"/>
                <w:szCs w:val="24"/>
              </w:rPr>
              <w:t xml:space="preserve">000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Bulgārija 100</w:t>
            </w:r>
            <w:r w:rsidR="007159A3" w:rsidRPr="00724CFA">
              <w:rPr>
                <w:rFonts w:ascii="Times New Roman" w:hAnsi="Times New Roman" w:cs="Times New Roman"/>
                <w:noProof/>
                <w:sz w:val="24"/>
                <w:szCs w:val="24"/>
              </w:rPr>
              <w:t> </w:t>
            </w:r>
            <w:r w:rsidRPr="00724CFA">
              <w:rPr>
                <w:rFonts w:ascii="Times New Roman" w:hAnsi="Times New Roman" w:cs="Times New Roman"/>
                <w:noProof/>
                <w:sz w:val="24"/>
                <w:szCs w:val="24"/>
              </w:rPr>
              <w:t>000</w:t>
            </w:r>
            <w:r w:rsidR="007159A3" w:rsidRPr="00724CFA">
              <w:rPr>
                <w:rFonts w:ascii="Times New Roman" w:hAnsi="Times New Roman" w:cs="Times New Roman"/>
                <w:noProof/>
                <w:sz w:val="24"/>
                <w:szCs w:val="24"/>
              </w:rPr>
              <w:t xml:space="preserve">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Čehija 3</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928</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 xml:space="preserve">571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Dānija 33</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510</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 xml:space="preserve">000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Igaunija 300</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 xml:space="preserve">000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Itālija 18</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 xml:space="preserve">000 000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Kipra 10</w:t>
            </w:r>
            <w:r w:rsidR="00573F3D" w:rsidRPr="00724CFA">
              <w:rPr>
                <w:rFonts w:ascii="Times New Roman" w:hAnsi="Times New Roman" w:cs="Times New Roman"/>
                <w:noProof/>
                <w:sz w:val="24"/>
                <w:szCs w:val="24"/>
              </w:rPr>
              <w:t> </w:t>
            </w:r>
            <w:r w:rsidRPr="00724CFA">
              <w:rPr>
                <w:rFonts w:ascii="Times New Roman" w:hAnsi="Times New Roman" w:cs="Times New Roman"/>
                <w:noProof/>
                <w:sz w:val="24"/>
                <w:szCs w:val="24"/>
              </w:rPr>
              <w:t>000</w:t>
            </w:r>
            <w:r w:rsidR="00573F3D" w:rsidRPr="00724CFA">
              <w:rPr>
                <w:rFonts w:ascii="Times New Roman" w:hAnsi="Times New Roman" w:cs="Times New Roman"/>
                <w:noProof/>
                <w:sz w:val="24"/>
                <w:szCs w:val="24"/>
              </w:rPr>
              <w:t xml:space="preserve">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Lietuva 30</w:t>
            </w:r>
            <w:r w:rsidR="00573F3D" w:rsidRPr="00724CFA">
              <w:rPr>
                <w:rFonts w:ascii="Times New Roman" w:hAnsi="Times New Roman" w:cs="Times New Roman"/>
                <w:noProof/>
                <w:sz w:val="24"/>
                <w:szCs w:val="24"/>
              </w:rPr>
              <w:t> </w:t>
            </w:r>
            <w:r w:rsidRPr="00724CFA">
              <w:rPr>
                <w:rFonts w:ascii="Times New Roman" w:hAnsi="Times New Roman" w:cs="Times New Roman"/>
                <w:noProof/>
                <w:sz w:val="24"/>
                <w:szCs w:val="24"/>
              </w:rPr>
              <w:t>000</w:t>
            </w:r>
            <w:r w:rsidR="00573F3D" w:rsidRPr="00724CFA">
              <w:rPr>
                <w:rFonts w:ascii="Times New Roman" w:hAnsi="Times New Roman" w:cs="Times New Roman"/>
                <w:noProof/>
                <w:sz w:val="24"/>
                <w:szCs w:val="24"/>
              </w:rPr>
              <w:t xml:space="preserve">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Luksemburga 5</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000</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 xml:space="preserve">000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Malta 25</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 xml:space="preserve">000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Polija 500</w:t>
            </w:r>
            <w:r w:rsidR="007159A3" w:rsidRPr="00724CFA">
              <w:rPr>
                <w:rFonts w:ascii="Times New Roman" w:hAnsi="Times New Roman" w:cs="Times New Roman"/>
                <w:noProof/>
                <w:sz w:val="24"/>
                <w:szCs w:val="24"/>
              </w:rPr>
              <w:t> </w:t>
            </w:r>
            <w:r w:rsidRPr="00724CFA">
              <w:rPr>
                <w:rFonts w:ascii="Times New Roman" w:hAnsi="Times New Roman" w:cs="Times New Roman"/>
                <w:noProof/>
                <w:sz w:val="24"/>
                <w:szCs w:val="24"/>
              </w:rPr>
              <w:t>000</w:t>
            </w:r>
            <w:r w:rsidR="007159A3" w:rsidRPr="00724CFA">
              <w:rPr>
                <w:rFonts w:ascii="Times New Roman" w:hAnsi="Times New Roman" w:cs="Times New Roman"/>
                <w:noProof/>
                <w:sz w:val="24"/>
                <w:szCs w:val="24"/>
              </w:rPr>
              <w:t xml:space="preserve">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Rumānija 400</w:t>
            </w:r>
            <w:r w:rsidR="00AB5EA1" w:rsidRPr="00724CFA">
              <w:rPr>
                <w:rFonts w:ascii="Times New Roman" w:hAnsi="Times New Roman" w:cs="Times New Roman"/>
                <w:noProof/>
                <w:sz w:val="24"/>
                <w:szCs w:val="24"/>
              </w:rPr>
              <w:t xml:space="preserve"> 000 </w:t>
            </w:r>
            <w:r w:rsidR="007159A3" w:rsidRPr="00724CFA">
              <w:rPr>
                <w:rFonts w:ascii="Times New Roman" w:hAnsi="Times New Roman" w:cs="Times New Roman"/>
                <w:i/>
                <w:noProof/>
                <w:sz w:val="24"/>
                <w:szCs w:val="24"/>
              </w:rPr>
              <w:t>euro</w:t>
            </w:r>
            <w:r w:rsidR="00AB5EA1" w:rsidRPr="00724CFA">
              <w:rPr>
                <w:rFonts w:ascii="Times New Roman" w:hAnsi="Times New Roman" w:cs="Times New Roman"/>
                <w:noProof/>
                <w:sz w:val="24"/>
                <w:szCs w:val="24"/>
              </w:rPr>
              <w:t xml:space="preserve">; Slovēnija 60 000 </w:t>
            </w:r>
            <w:r w:rsidR="007159A3" w:rsidRPr="00724CFA">
              <w:rPr>
                <w:rFonts w:ascii="Times New Roman" w:hAnsi="Times New Roman" w:cs="Times New Roman"/>
                <w:i/>
                <w:noProof/>
                <w:sz w:val="24"/>
                <w:szCs w:val="24"/>
              </w:rPr>
              <w:t>euro</w:t>
            </w:r>
            <w:r w:rsidR="007159A3" w:rsidRPr="00724CFA">
              <w:rPr>
                <w:rFonts w:ascii="Times New Roman" w:hAnsi="Times New Roman" w:cs="Times New Roman"/>
                <w:noProof/>
                <w:sz w:val="24"/>
                <w:szCs w:val="24"/>
              </w:rPr>
              <w:t xml:space="preserve"> </w:t>
            </w:r>
            <w:r w:rsidR="00AB5EA1" w:rsidRPr="00724CFA">
              <w:rPr>
                <w:rFonts w:ascii="Times New Roman" w:hAnsi="Times New Roman" w:cs="Times New Roman"/>
                <w:noProof/>
                <w:sz w:val="24"/>
                <w:szCs w:val="24"/>
              </w:rPr>
              <w:t>un</w:t>
            </w:r>
            <w:r w:rsidRPr="00724CFA">
              <w:rPr>
                <w:rFonts w:ascii="Times New Roman" w:hAnsi="Times New Roman" w:cs="Times New Roman"/>
                <w:noProof/>
                <w:sz w:val="24"/>
                <w:szCs w:val="24"/>
              </w:rPr>
              <w:t xml:space="preserve"> Somija 15</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000</w:t>
            </w:r>
            <w:r w:rsidR="00AB5EA1" w:rsidRPr="00724CFA">
              <w:rPr>
                <w:rFonts w:ascii="Times New Roman" w:hAnsi="Times New Roman" w:cs="Times New Roman"/>
                <w:noProof/>
                <w:sz w:val="24"/>
                <w:szCs w:val="24"/>
              </w:rPr>
              <w:t> </w:t>
            </w:r>
            <w:r w:rsidRPr="00724CFA">
              <w:rPr>
                <w:rFonts w:ascii="Times New Roman" w:hAnsi="Times New Roman" w:cs="Times New Roman"/>
                <w:noProof/>
                <w:sz w:val="24"/>
                <w:szCs w:val="24"/>
              </w:rPr>
              <w:t xml:space="preserve">000 </w:t>
            </w:r>
            <w:r w:rsidR="007159A3"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xml:space="preserve"> apmērā.</w:t>
            </w:r>
          </w:p>
          <w:p w:rsidR="00D87EEB" w:rsidRPr="00724CFA" w:rsidRDefault="00D87EEB" w:rsidP="00D87EEB">
            <w:pPr>
              <w:spacing w:after="120" w:line="240" w:lineRule="auto"/>
              <w:jc w:val="both"/>
              <w:rPr>
                <w:rFonts w:ascii="Times New Roman" w:hAnsi="Times New Roman" w:cs="Times New Roman"/>
                <w:noProof/>
                <w:sz w:val="24"/>
                <w:szCs w:val="24"/>
              </w:rPr>
            </w:pPr>
            <w:r w:rsidRPr="00724CFA">
              <w:rPr>
                <w:rFonts w:ascii="Times New Roman" w:hAnsi="Times New Roman" w:cs="Times New Roman"/>
                <w:noProof/>
                <w:sz w:val="24"/>
                <w:szCs w:val="24"/>
              </w:rPr>
              <w:t xml:space="preserve">Ņemot vērā kraso Sīrijas bēgļu skaita pieaugumu un humanitārās situācijas pasliktināšanos reģionā, Latvijai ir nepieciešams sniegt finansiālu atbalstu arī 2015. gadā veicot iemaksu 50 000 </w:t>
            </w:r>
            <w:r w:rsidRPr="00724CFA">
              <w:rPr>
                <w:rFonts w:ascii="Times New Roman" w:hAnsi="Times New Roman" w:cs="Times New Roman"/>
                <w:i/>
                <w:noProof/>
                <w:sz w:val="24"/>
                <w:szCs w:val="24"/>
              </w:rPr>
              <w:t>euro</w:t>
            </w:r>
            <w:r w:rsidRPr="00724CFA">
              <w:rPr>
                <w:rFonts w:ascii="Times New Roman" w:hAnsi="Times New Roman" w:cs="Times New Roman"/>
                <w:noProof/>
                <w:sz w:val="24"/>
                <w:szCs w:val="24"/>
              </w:rPr>
              <w:t xml:space="preserve"> apmērā ANO Augstā komisāra bēgļu jautājumos Reģionālā reaģēšanas plāna palīdzības fondā (</w:t>
            </w:r>
            <w:r w:rsidRPr="00724CFA">
              <w:rPr>
                <w:rFonts w:ascii="Times New Roman" w:hAnsi="Times New Roman" w:cs="Times New Roman"/>
                <w:i/>
                <w:noProof/>
                <w:sz w:val="24"/>
                <w:szCs w:val="24"/>
              </w:rPr>
              <w:t>UN High Commissioner for Refugees- UNHCR</w:t>
            </w:r>
            <w:r w:rsidRPr="00724CFA">
              <w:rPr>
                <w:rFonts w:ascii="Times New Roman" w:hAnsi="Times New Roman" w:cs="Times New Roman"/>
                <w:noProof/>
                <w:sz w:val="24"/>
                <w:szCs w:val="24"/>
              </w:rPr>
              <w:t>).</w:t>
            </w:r>
          </w:p>
          <w:p w:rsidR="00F36260" w:rsidRPr="00724CFA" w:rsidRDefault="00721D61" w:rsidP="00922B7D">
            <w:pPr>
              <w:jc w:val="both"/>
              <w:rPr>
                <w:rFonts w:ascii="Times New Roman" w:hAnsi="Times New Roman" w:cs="Times New Roman"/>
                <w:b/>
                <w:bCs/>
                <w:sz w:val="24"/>
                <w:szCs w:val="24"/>
              </w:rPr>
            </w:pPr>
            <w:r w:rsidRPr="00724CFA">
              <w:rPr>
                <w:rFonts w:ascii="Times New Roman" w:hAnsi="Times New Roman" w:cs="Times New Roman"/>
                <w:b/>
                <w:bCs/>
                <w:sz w:val="24"/>
                <w:szCs w:val="24"/>
              </w:rPr>
              <w:t>4</w:t>
            </w:r>
            <w:r w:rsidR="00F36260" w:rsidRPr="00724CFA">
              <w:rPr>
                <w:rFonts w:ascii="Times New Roman" w:hAnsi="Times New Roman" w:cs="Times New Roman"/>
                <w:b/>
                <w:bCs/>
                <w:sz w:val="24"/>
                <w:szCs w:val="24"/>
              </w:rPr>
              <w:t>. Palīdzība zemestrīces izraisītās katastrofas seku likvidēšanai Nepālā</w:t>
            </w:r>
          </w:p>
          <w:p w:rsidR="00F36260" w:rsidRPr="00724CFA" w:rsidRDefault="00F36260" w:rsidP="000905B6">
            <w:pPr>
              <w:pStyle w:val="NormalWeb"/>
              <w:spacing w:before="0" w:beforeAutospacing="0" w:after="0" w:afterAutospacing="0"/>
              <w:ind w:left="147"/>
              <w:contextualSpacing/>
              <w:jc w:val="both"/>
              <w:rPr>
                <w:bCs/>
              </w:rPr>
            </w:pPr>
            <w:r w:rsidRPr="00724CFA">
              <w:rPr>
                <w:bCs/>
              </w:rPr>
              <w:t>2015. gada 25. aprīlī Nepālā notika 7,9 balles spēcīga zemestrīce, kas ir postošākā zemestrīce valsts vēsturē pēdējos 80 gados. Atjaunošanas darbiem  nepieciešami apmēram pieci miljardi ASV dolāru, kas ir apmēram 20% no valsts iekšzemes kopprodukta.</w:t>
            </w:r>
          </w:p>
          <w:p w:rsidR="00F36260" w:rsidRPr="00724CFA" w:rsidRDefault="00F36260" w:rsidP="000905B6">
            <w:pPr>
              <w:pStyle w:val="NormalWeb"/>
              <w:spacing w:before="0" w:beforeAutospacing="0" w:after="0" w:afterAutospacing="0"/>
              <w:ind w:left="147"/>
              <w:contextualSpacing/>
              <w:jc w:val="both"/>
              <w:rPr>
                <w:bCs/>
              </w:rPr>
            </w:pPr>
            <w:r w:rsidRPr="00724CFA">
              <w:rPr>
                <w:bCs/>
              </w:rPr>
              <w:t xml:space="preserve">Zemestrīces epicentrs atradās valsts centrālajā daļā, pie </w:t>
            </w:r>
            <w:proofErr w:type="spellStart"/>
            <w:r w:rsidRPr="00724CFA">
              <w:rPr>
                <w:bCs/>
              </w:rPr>
              <w:t>Lamdžungas</w:t>
            </w:r>
            <w:proofErr w:type="spellEnd"/>
            <w:r w:rsidRPr="00724CFA">
              <w:rPr>
                <w:bCs/>
              </w:rPr>
              <w:t xml:space="preserve">, aptuveni 80 kilometrus uz ziemeļrietumiem no galvaspilsētas Katmandu divu kilometru dziļumā, nodarot milzīgus postījumus valsts infrastruktūrai, iedzīvotāju mājokļiem, ēkām, tajā skaitā vēsturiskiem pieminekļiem. Naktī uz 26. aprīli postījumu apjomu palielināja spēcīgi zemestrīces </w:t>
            </w:r>
            <w:proofErr w:type="spellStart"/>
            <w:r w:rsidRPr="00724CFA">
              <w:rPr>
                <w:bCs/>
              </w:rPr>
              <w:t>pēcgrūdieni</w:t>
            </w:r>
            <w:proofErr w:type="spellEnd"/>
            <w:r w:rsidRPr="00724CFA">
              <w:rPr>
                <w:bCs/>
              </w:rPr>
              <w:t xml:space="preserve">, kas sasniedza 7,1 balli. </w:t>
            </w:r>
            <w:r w:rsidR="00724CFA" w:rsidRPr="00724CFA">
              <w:rPr>
                <w:bCs/>
              </w:rPr>
              <w:t>5</w:t>
            </w:r>
            <w:r w:rsidRPr="00724CFA">
              <w:rPr>
                <w:bCs/>
              </w:rPr>
              <w:t xml:space="preserve">. </w:t>
            </w:r>
            <w:r w:rsidR="00724CFA" w:rsidRPr="00724CFA">
              <w:rPr>
                <w:bCs/>
              </w:rPr>
              <w:t>maijā</w:t>
            </w:r>
            <w:r w:rsidRPr="00724CFA">
              <w:rPr>
                <w:bCs/>
              </w:rPr>
              <w:t xml:space="preserve"> tika ziņots, ka bojā gājušo skaits valstī kopumā sasniedzis aptuveni </w:t>
            </w:r>
            <w:r w:rsidR="00724CFA" w:rsidRPr="00724CFA">
              <w:rPr>
                <w:bCs/>
              </w:rPr>
              <w:t>7 1</w:t>
            </w:r>
            <w:r w:rsidRPr="00724CFA">
              <w:rPr>
                <w:bCs/>
              </w:rPr>
              <w:t xml:space="preserve">00, ievainoti </w:t>
            </w:r>
            <w:r w:rsidR="00724CFA" w:rsidRPr="00724CFA">
              <w:rPr>
                <w:bCs/>
              </w:rPr>
              <w:t>ap</w:t>
            </w:r>
            <w:r w:rsidRPr="00724CFA">
              <w:rPr>
                <w:bCs/>
              </w:rPr>
              <w:t xml:space="preserve"> </w:t>
            </w:r>
            <w:r w:rsidR="00724CFA" w:rsidRPr="00724CFA">
              <w:rPr>
                <w:bCs/>
              </w:rPr>
              <w:t>14 000</w:t>
            </w:r>
            <w:r w:rsidRPr="00724CFA">
              <w:rPr>
                <w:bCs/>
              </w:rPr>
              <w:t xml:space="preserve"> cilvēku. Upuru un ievainoto skaits aizvien turpina pieaugt. Zemestrīces satricinājumu dēļ Everestā notikusi spēcīga sniega lavīna un ledāju nogruvumi, skarot alpīnistu bāzes. Dabas katastrofas skartajos rajonos Nepālā izsludināts ārkārtas stāvoklis. </w:t>
            </w:r>
          </w:p>
          <w:p w:rsidR="00F36260" w:rsidRPr="00724CFA" w:rsidRDefault="00F36260" w:rsidP="000905B6">
            <w:pPr>
              <w:pStyle w:val="ListParagraph"/>
              <w:spacing w:after="0" w:line="240" w:lineRule="auto"/>
              <w:ind w:left="147"/>
              <w:jc w:val="both"/>
              <w:rPr>
                <w:rFonts w:ascii="Times New Roman" w:hAnsi="Times New Roman" w:cs="Times New Roman"/>
                <w:bCs/>
                <w:sz w:val="24"/>
                <w:szCs w:val="24"/>
              </w:rPr>
            </w:pPr>
            <w:r w:rsidRPr="00724CFA">
              <w:rPr>
                <w:rFonts w:ascii="Times New Roman" w:hAnsi="Times New Roman" w:cs="Times New Roman"/>
                <w:bCs/>
                <w:sz w:val="24"/>
                <w:szCs w:val="24"/>
              </w:rPr>
              <w:t xml:space="preserve">Eiropas Komisija palīdzības sniegšanai šobrīd ir novirzījusi 3 miljonus </w:t>
            </w:r>
            <w:proofErr w:type="spellStart"/>
            <w:r w:rsidRPr="00724CFA">
              <w:rPr>
                <w:rFonts w:ascii="Times New Roman" w:hAnsi="Times New Roman" w:cs="Times New Roman"/>
                <w:bCs/>
                <w:i/>
                <w:iCs/>
                <w:sz w:val="24"/>
                <w:szCs w:val="24"/>
              </w:rPr>
              <w:t>euro</w:t>
            </w:r>
            <w:proofErr w:type="spellEnd"/>
            <w:r w:rsidRPr="00724CFA">
              <w:rPr>
                <w:rFonts w:ascii="Times New Roman" w:hAnsi="Times New Roman" w:cs="Times New Roman"/>
                <w:bCs/>
                <w:sz w:val="24"/>
                <w:szCs w:val="24"/>
              </w:rPr>
              <w:t>, lai segtu primārās vajadzības, piemēram, lai cietušajiem piegādātu tīru ūdeni, medikamentus, teltis un nodrošinātu telekomunikācijas sakaru atjaunošan</w:t>
            </w:r>
            <w:r w:rsidR="00846E01" w:rsidRPr="00724CFA">
              <w:rPr>
                <w:rFonts w:ascii="Times New Roman" w:hAnsi="Times New Roman" w:cs="Times New Roman"/>
                <w:bCs/>
                <w:sz w:val="24"/>
                <w:szCs w:val="24"/>
              </w:rPr>
              <w:t>u</w:t>
            </w:r>
            <w:r w:rsidRPr="00724CFA">
              <w:rPr>
                <w:rFonts w:ascii="Times New Roman" w:hAnsi="Times New Roman" w:cs="Times New Roman"/>
                <w:bCs/>
                <w:sz w:val="24"/>
                <w:szCs w:val="24"/>
              </w:rPr>
              <w:t xml:space="preserve">. Papildus tam uz krīzes teritoriju ir nosūtīti Komisijas humānās palīdzības un civilās aizsardzības eksperti, kā arī vairākas dalībvalstis ir nosūtījušas palīdzību, t.sk., glābēju komandas. Igaunija kopā ar Somijas komandu ir nosūtījusi 15 cilvēku glābšanas vienību. Zviedrija ir nosūtījusi 60 speciālistus, kas apmācīti cilvēku meklēšanā, kā arī medicīnas darbiniekus. Itālija un Polija nosūtījusi ātrās reaģēšanas vienības un mediķus, kas sniedz atbalstu ievainoto evakuācijā. Luksemburga piedāvājusi helikopterus un satelītuzņēmumu padziļinātu izpēti. </w:t>
            </w:r>
          </w:p>
          <w:p w:rsidR="00F36260" w:rsidRPr="00724CFA" w:rsidRDefault="00F36260" w:rsidP="000905B6">
            <w:pPr>
              <w:pStyle w:val="ListParagraph"/>
              <w:spacing w:after="0" w:line="240" w:lineRule="auto"/>
              <w:ind w:left="147"/>
              <w:jc w:val="both"/>
              <w:rPr>
                <w:rFonts w:ascii="Times New Roman" w:hAnsi="Times New Roman" w:cs="Times New Roman"/>
                <w:bCs/>
                <w:sz w:val="24"/>
                <w:szCs w:val="24"/>
              </w:rPr>
            </w:pPr>
            <w:r w:rsidRPr="00724CFA">
              <w:rPr>
                <w:rFonts w:ascii="Times New Roman" w:hAnsi="Times New Roman" w:cs="Times New Roman"/>
                <w:bCs/>
                <w:sz w:val="24"/>
                <w:szCs w:val="24"/>
              </w:rPr>
              <w:t xml:space="preserve">Reaģējot uz katastrofu Nepālā, ir aktivizēts ES Civilās </w:t>
            </w:r>
            <w:r w:rsidRPr="00724CFA">
              <w:rPr>
                <w:rFonts w:ascii="Times New Roman" w:hAnsi="Times New Roman" w:cs="Times New Roman"/>
                <w:bCs/>
                <w:sz w:val="24"/>
                <w:szCs w:val="24"/>
              </w:rPr>
              <w:lastRenderedPageBreak/>
              <w:t>aizsardzības mehānisms. Lai palīdzētu noteikt Nepālas valsts vajadzības, koordinētu palīdzību, kā arī sniegtu tehnisko ekspertīzi, Eiropas Komisijas Humānās palīdzības un civilās aizsardzības ģenerāldirektorāts 28. aprīlī nosūtīja misijā no dalībvalstu ekspertiem izveidoto komandu, kurā ir iekļauts arī eksperts no Latvijas.</w:t>
            </w:r>
          </w:p>
          <w:p w:rsidR="00F36260" w:rsidRPr="00724CFA" w:rsidRDefault="00F36260" w:rsidP="000613FF">
            <w:pPr>
              <w:pStyle w:val="ListParagraph"/>
              <w:spacing w:after="0" w:line="240" w:lineRule="auto"/>
              <w:ind w:left="147" w:right="-1"/>
              <w:jc w:val="both"/>
              <w:rPr>
                <w:rFonts w:ascii="Times New Roman" w:hAnsi="Times New Roman" w:cs="Times New Roman"/>
                <w:bCs/>
                <w:sz w:val="24"/>
                <w:szCs w:val="24"/>
              </w:rPr>
            </w:pPr>
            <w:r w:rsidRPr="00724CFA">
              <w:rPr>
                <w:rFonts w:ascii="Times New Roman" w:hAnsi="Times New Roman" w:cs="Times New Roman"/>
                <w:bCs/>
                <w:sz w:val="24"/>
                <w:szCs w:val="24"/>
              </w:rPr>
              <w:t xml:space="preserve">Savukārt 26. aprīlī Latvijas </w:t>
            </w:r>
            <w:r w:rsidR="000613FF" w:rsidRPr="00724CFA">
              <w:rPr>
                <w:rFonts w:ascii="Times New Roman" w:hAnsi="Times New Roman" w:cs="Times New Roman"/>
                <w:bCs/>
                <w:sz w:val="24"/>
                <w:szCs w:val="24"/>
              </w:rPr>
              <w:t xml:space="preserve">Republikas </w:t>
            </w:r>
            <w:r w:rsidRPr="00724CFA">
              <w:rPr>
                <w:rFonts w:ascii="Times New Roman" w:hAnsi="Times New Roman" w:cs="Times New Roman"/>
                <w:bCs/>
                <w:sz w:val="24"/>
                <w:szCs w:val="24"/>
              </w:rPr>
              <w:t>vēstniecība Indijā operatīvi sasauca ārkārtas konsulārās sadarbības sanāksmi Deli, kuras rezultātā tika panākta vienošanās par atbalsta sniegšanu Latvijas pilsoņiem Nepālā 5 Eiropas Savienības dalībvalstu (Dānija, Francija, Lielbritānija, Somija, Vācija) vēstniecībās. Lai paātrinātu ES pilsoņu evakuāciju, Latvijas vēstniecība rosināja attiecīgās Indijas valsts iestādes vīzu saņemšanu nodrošināt ne tikai Nepālas galvaspilsētā Katmandu, bet arī uz sauszemes robežām, kuros ir Migrācijas dienestu biroji. 27. aprīlī panākta vienošanās ar Indijas oficiālajām iestādēm par bezmaksas tranzīta vīzām ES pilsoņiem, t.sk., glābējiem  un cietušajiem. 29. aprīlī otrajā ārkārtas sanāksmē Latvija uzņēmās atbildību par pazudušo ES pilsoņu saraksta izveidi, kas tiks pārsūtīta ES delegācijai Katmandu.</w:t>
            </w:r>
          </w:p>
          <w:p w:rsidR="00F36260" w:rsidRPr="00724CFA" w:rsidRDefault="00F36260" w:rsidP="000905B6">
            <w:pPr>
              <w:pStyle w:val="ListParagraph"/>
              <w:spacing w:after="0" w:line="240" w:lineRule="auto"/>
              <w:ind w:left="147" w:right="-58"/>
              <w:jc w:val="both"/>
              <w:rPr>
                <w:rFonts w:ascii="Times New Roman" w:hAnsi="Times New Roman" w:cs="Times New Roman"/>
                <w:bCs/>
                <w:sz w:val="24"/>
                <w:szCs w:val="24"/>
              </w:rPr>
            </w:pPr>
          </w:p>
          <w:p w:rsidR="00F36260" w:rsidRPr="00724CFA" w:rsidRDefault="00F36260" w:rsidP="000905B6">
            <w:pPr>
              <w:pStyle w:val="ListParagraph"/>
              <w:spacing w:after="0" w:line="240" w:lineRule="auto"/>
              <w:ind w:left="147"/>
              <w:jc w:val="both"/>
              <w:rPr>
                <w:rFonts w:ascii="Times New Roman" w:hAnsi="Times New Roman" w:cs="Times New Roman"/>
                <w:bCs/>
                <w:sz w:val="24"/>
                <w:szCs w:val="24"/>
              </w:rPr>
            </w:pPr>
            <w:r w:rsidRPr="00724CFA">
              <w:rPr>
                <w:rFonts w:ascii="Times New Roman" w:hAnsi="Times New Roman" w:cs="Times New Roman"/>
                <w:bCs/>
                <w:sz w:val="24"/>
                <w:szCs w:val="24"/>
              </w:rPr>
              <w:t xml:space="preserve">Ņemot vērā dabas katastrofas izraisīto seku apmērus, kā arī izrādot solidaritāti Nepālai šajā postošajā zemestrīcē, palīdzība 20 000 </w:t>
            </w:r>
            <w:proofErr w:type="spellStart"/>
            <w:r w:rsidRPr="00724CFA">
              <w:rPr>
                <w:rFonts w:ascii="Times New Roman" w:hAnsi="Times New Roman" w:cs="Times New Roman"/>
                <w:bCs/>
                <w:i/>
                <w:iCs/>
                <w:sz w:val="24"/>
                <w:szCs w:val="24"/>
              </w:rPr>
              <w:t>euro</w:t>
            </w:r>
            <w:proofErr w:type="spellEnd"/>
            <w:r w:rsidRPr="00724CFA">
              <w:rPr>
                <w:rFonts w:ascii="Times New Roman" w:hAnsi="Times New Roman" w:cs="Times New Roman"/>
                <w:bCs/>
                <w:i/>
                <w:iCs/>
                <w:sz w:val="24"/>
                <w:szCs w:val="24"/>
              </w:rPr>
              <w:t xml:space="preserve"> </w:t>
            </w:r>
            <w:r w:rsidRPr="00724CFA">
              <w:rPr>
                <w:rFonts w:ascii="Times New Roman" w:hAnsi="Times New Roman" w:cs="Times New Roman"/>
                <w:bCs/>
                <w:sz w:val="24"/>
                <w:szCs w:val="24"/>
              </w:rPr>
              <w:t>apmērā paredzēta novirzīšanai Apvienoto Nāciju Starptautiskajam Bērnu fondam (UNICEF). UNICEF aktīvi iesaistījies palīdzības sniegšanā Nepālā, par prioritāti izvirzot veselības aprūpes, sanitāro apstākļu uzlabošanas/higiēnas un dzeramā ūdens jomas, kas šobrīd ir primāri risināmie jautājumi. Saskaņā ar UNICEF aprēķiniem, no aptuveni 7 miljoniem iedzīvotāju, kuri atrodas zemestrīces postījumu vissmagāk skartajās teritorijās, 40% ir tieši bērni.</w:t>
            </w:r>
          </w:p>
          <w:p w:rsidR="00721D61" w:rsidRPr="00724CFA" w:rsidRDefault="00721D61" w:rsidP="000905B6">
            <w:pPr>
              <w:pStyle w:val="ListParagraph"/>
              <w:spacing w:after="0" w:line="240" w:lineRule="auto"/>
              <w:ind w:left="147"/>
              <w:jc w:val="both"/>
              <w:rPr>
                <w:rFonts w:ascii="Times New Roman" w:hAnsi="Times New Roman" w:cs="Times New Roman"/>
                <w:bCs/>
                <w:sz w:val="24"/>
                <w:szCs w:val="24"/>
              </w:rPr>
            </w:pPr>
          </w:p>
          <w:p w:rsidR="00721D61" w:rsidRPr="00724CFA" w:rsidRDefault="005220E6" w:rsidP="00724CFA">
            <w:pPr>
              <w:spacing w:after="120" w:line="240" w:lineRule="auto"/>
              <w:ind w:left="360"/>
              <w:jc w:val="both"/>
              <w:rPr>
                <w:rFonts w:ascii="Times New Roman" w:hAnsi="Times New Roman" w:cs="Times New Roman"/>
                <w:sz w:val="24"/>
                <w:szCs w:val="24"/>
              </w:rPr>
            </w:pPr>
            <w:r>
              <w:rPr>
                <w:rFonts w:ascii="Times New Roman" w:hAnsi="Times New Roman" w:cs="Times New Roman"/>
                <w:b/>
                <w:sz w:val="24"/>
                <w:szCs w:val="24"/>
              </w:rPr>
              <w:t>5</w:t>
            </w:r>
            <w:r w:rsidR="00724CFA" w:rsidRPr="006C3722">
              <w:rPr>
                <w:rFonts w:ascii="Times New Roman" w:hAnsi="Times New Roman" w:cs="Times New Roman"/>
                <w:b/>
                <w:sz w:val="24"/>
                <w:szCs w:val="24"/>
              </w:rPr>
              <w:t>.</w:t>
            </w:r>
            <w:r w:rsidR="00724CFA" w:rsidRPr="00724CFA">
              <w:rPr>
                <w:rFonts w:ascii="Times New Roman" w:hAnsi="Times New Roman" w:cs="Times New Roman"/>
                <w:b/>
                <w:sz w:val="24"/>
                <w:szCs w:val="24"/>
              </w:rPr>
              <w:t xml:space="preserve"> </w:t>
            </w:r>
            <w:r w:rsidR="00721D61" w:rsidRPr="00724CFA">
              <w:rPr>
                <w:rFonts w:ascii="Times New Roman" w:hAnsi="Times New Roman" w:cs="Times New Roman"/>
                <w:b/>
                <w:sz w:val="24"/>
                <w:szCs w:val="24"/>
              </w:rPr>
              <w:t>Remontdarbiem un iegādēm materiāltehniskajam nodrošinājumam pārstāvniecībās ārvalstīs</w:t>
            </w:r>
          </w:p>
          <w:p w:rsidR="00721D61" w:rsidRPr="00724CFA" w:rsidRDefault="00DF10C1" w:rsidP="00721D61">
            <w:pPr>
              <w:pStyle w:val="PlainText"/>
              <w:jc w:val="both"/>
              <w:rPr>
                <w:rFonts w:ascii="Times New Roman" w:hAnsi="Times New Roman" w:cs="Times New Roman"/>
                <w:sz w:val="24"/>
                <w:szCs w:val="24"/>
              </w:rPr>
            </w:pPr>
            <w:r>
              <w:rPr>
                <w:rFonts w:ascii="Times New Roman" w:hAnsi="Times New Roman" w:cs="Times New Roman"/>
                <w:sz w:val="24"/>
                <w:szCs w:val="24"/>
              </w:rPr>
              <w:t xml:space="preserve">2015. gada sākumā </w:t>
            </w:r>
            <w:r w:rsidR="00721D61" w:rsidRPr="00724CFA">
              <w:rPr>
                <w:rFonts w:ascii="Times New Roman" w:hAnsi="Times New Roman" w:cs="Times New Roman"/>
                <w:sz w:val="24"/>
                <w:szCs w:val="24"/>
              </w:rPr>
              <w:t xml:space="preserve">Ārlietu ministrija, apsekojot diplomātisko pārstāvniecību telpas, ir konstatējusi vairākus steidzami veicamus </w:t>
            </w:r>
            <w:r w:rsidR="00687293">
              <w:rPr>
                <w:rFonts w:ascii="Times New Roman" w:hAnsi="Times New Roman" w:cs="Times New Roman"/>
                <w:sz w:val="24"/>
                <w:szCs w:val="24"/>
              </w:rPr>
              <w:t xml:space="preserve">ārkārtas </w:t>
            </w:r>
            <w:r w:rsidR="00721D61" w:rsidRPr="00724CFA">
              <w:rPr>
                <w:rFonts w:ascii="Times New Roman" w:hAnsi="Times New Roman" w:cs="Times New Roman"/>
                <w:sz w:val="24"/>
                <w:szCs w:val="24"/>
              </w:rPr>
              <w:t>darbus, lai nodrošinātu pārstāvniecības telpu funkcionalitāti, nepasliktinātu nekustamo īpašumu tehnisko stāvokli kopumā, kā arī nodrošinātu pilnvē</w:t>
            </w:r>
            <w:r w:rsidR="00724CFA">
              <w:rPr>
                <w:rFonts w:ascii="Times New Roman" w:hAnsi="Times New Roman" w:cs="Times New Roman"/>
                <w:sz w:val="24"/>
                <w:szCs w:val="24"/>
              </w:rPr>
              <w:t>rtīgu konsulārā darba veikšanu:</w:t>
            </w:r>
          </w:p>
          <w:p w:rsidR="00721D61" w:rsidRPr="00724CFA" w:rsidRDefault="00721D91" w:rsidP="00721D91">
            <w:pPr>
              <w:pStyle w:val="PlainText"/>
              <w:ind w:left="567"/>
              <w:jc w:val="both"/>
              <w:rPr>
                <w:rFonts w:ascii="Times New Roman" w:hAnsi="Times New Roman" w:cs="Times New Roman"/>
                <w:sz w:val="24"/>
                <w:szCs w:val="24"/>
              </w:rPr>
            </w:pPr>
            <w:r>
              <w:rPr>
                <w:rFonts w:ascii="Times New Roman" w:hAnsi="Times New Roman" w:cs="Times New Roman"/>
                <w:sz w:val="24"/>
                <w:szCs w:val="24"/>
              </w:rPr>
              <w:t xml:space="preserve">5.1. </w:t>
            </w:r>
            <w:r w:rsidR="00721D61" w:rsidRPr="00724CFA">
              <w:rPr>
                <w:rFonts w:ascii="Times New Roman" w:hAnsi="Times New Roman" w:cs="Times New Roman"/>
                <w:sz w:val="24"/>
                <w:szCs w:val="24"/>
              </w:rPr>
              <w:t xml:space="preserve">Vēstniecībai Krievijā (Maskavā) lifta nomaiņai – </w:t>
            </w:r>
          </w:p>
          <w:p w:rsidR="00721D61" w:rsidRPr="00724CFA" w:rsidRDefault="00721D61" w:rsidP="00721D61">
            <w:pPr>
              <w:pStyle w:val="PlainText"/>
              <w:ind w:left="720"/>
              <w:jc w:val="both"/>
              <w:rPr>
                <w:rFonts w:ascii="Times New Roman" w:hAnsi="Times New Roman" w:cs="Times New Roman"/>
                <w:sz w:val="24"/>
                <w:szCs w:val="24"/>
              </w:rPr>
            </w:pPr>
            <w:r w:rsidRPr="00724CFA">
              <w:rPr>
                <w:rFonts w:ascii="Times New Roman" w:hAnsi="Times New Roman" w:cs="Times New Roman"/>
                <w:sz w:val="24"/>
                <w:szCs w:val="24"/>
              </w:rPr>
              <w:t xml:space="preserve">100 000 </w:t>
            </w:r>
            <w:proofErr w:type="spellStart"/>
            <w:r w:rsidRPr="00724CFA">
              <w:rPr>
                <w:rFonts w:ascii="Times New Roman" w:hAnsi="Times New Roman" w:cs="Times New Roman"/>
                <w:i/>
                <w:sz w:val="24"/>
                <w:szCs w:val="24"/>
              </w:rPr>
              <w:t>euro</w:t>
            </w:r>
            <w:proofErr w:type="spellEnd"/>
            <w:r w:rsidRPr="00724CFA">
              <w:rPr>
                <w:rFonts w:ascii="Times New Roman" w:hAnsi="Times New Roman" w:cs="Times New Roman"/>
                <w:sz w:val="24"/>
                <w:szCs w:val="24"/>
              </w:rPr>
              <w:t>;</w:t>
            </w:r>
          </w:p>
          <w:p w:rsidR="00721D61" w:rsidRPr="00724CFA" w:rsidRDefault="00721D61" w:rsidP="00721D61">
            <w:pPr>
              <w:pStyle w:val="PlainText"/>
              <w:jc w:val="both"/>
              <w:rPr>
                <w:rFonts w:ascii="Times New Roman" w:hAnsi="Times New Roman" w:cs="Times New Roman"/>
                <w:sz w:val="24"/>
                <w:szCs w:val="24"/>
              </w:rPr>
            </w:pPr>
            <w:r w:rsidRPr="00724CFA">
              <w:rPr>
                <w:rFonts w:ascii="Times New Roman" w:hAnsi="Times New Roman" w:cs="Times New Roman"/>
                <w:sz w:val="24"/>
                <w:szCs w:val="24"/>
              </w:rPr>
              <w:t>Latvijas Republikas vēstniecības Krievijas Federācijā kompleksā ietilpstošās ēkas "Tālava" lifta ikgadējā apsekošanas rezultātā 2015. gada 18.</w:t>
            </w:r>
            <w:r w:rsidR="00DF10C1">
              <w:rPr>
                <w:rFonts w:ascii="Times New Roman" w:hAnsi="Times New Roman" w:cs="Times New Roman"/>
                <w:sz w:val="24"/>
                <w:szCs w:val="24"/>
              </w:rPr>
              <w:t> </w:t>
            </w:r>
            <w:r w:rsidRPr="00724CFA">
              <w:rPr>
                <w:rFonts w:ascii="Times New Roman" w:hAnsi="Times New Roman" w:cs="Times New Roman"/>
                <w:sz w:val="24"/>
                <w:szCs w:val="24"/>
              </w:rPr>
              <w:t xml:space="preserve">martā tika konstatēts, ka lifta turpmāka ekspluatācija un sertifikācija netiks saskaņota. Ņemot vērā, ka </w:t>
            </w:r>
            <w:r w:rsidR="00DF10C1" w:rsidRPr="00724CFA">
              <w:rPr>
                <w:rFonts w:ascii="Times New Roman" w:hAnsi="Times New Roman" w:cs="Times New Roman"/>
                <w:sz w:val="24"/>
                <w:szCs w:val="24"/>
              </w:rPr>
              <w:t>lift</w:t>
            </w:r>
            <w:r w:rsidR="00DF10C1">
              <w:rPr>
                <w:rFonts w:ascii="Times New Roman" w:hAnsi="Times New Roman" w:cs="Times New Roman"/>
                <w:sz w:val="24"/>
                <w:szCs w:val="24"/>
              </w:rPr>
              <w:t>s</w:t>
            </w:r>
            <w:r w:rsidR="00DF10C1" w:rsidRPr="00724CFA">
              <w:rPr>
                <w:rFonts w:ascii="Times New Roman" w:hAnsi="Times New Roman" w:cs="Times New Roman"/>
                <w:sz w:val="24"/>
                <w:szCs w:val="24"/>
              </w:rPr>
              <w:t xml:space="preserve"> ekspluat</w:t>
            </w:r>
            <w:r w:rsidR="00DF10C1">
              <w:rPr>
                <w:rFonts w:ascii="Times New Roman" w:hAnsi="Times New Roman" w:cs="Times New Roman"/>
                <w:sz w:val="24"/>
                <w:szCs w:val="24"/>
              </w:rPr>
              <w:t>ēts</w:t>
            </w:r>
            <w:r w:rsidR="00DF10C1" w:rsidRPr="00724CFA">
              <w:rPr>
                <w:rFonts w:ascii="Times New Roman" w:hAnsi="Times New Roman" w:cs="Times New Roman"/>
                <w:sz w:val="24"/>
                <w:szCs w:val="24"/>
              </w:rPr>
              <w:t xml:space="preserve"> </w:t>
            </w:r>
            <w:r w:rsidRPr="00724CFA">
              <w:rPr>
                <w:rFonts w:ascii="Times New Roman" w:hAnsi="Times New Roman" w:cs="Times New Roman"/>
                <w:sz w:val="24"/>
                <w:szCs w:val="24"/>
              </w:rPr>
              <w:t xml:space="preserve">jau vairāk nekā 20 gadus, tā </w:t>
            </w:r>
            <w:r w:rsidRPr="00724CFA">
              <w:rPr>
                <w:rFonts w:ascii="Times New Roman" w:hAnsi="Times New Roman" w:cs="Times New Roman"/>
                <w:sz w:val="24"/>
                <w:szCs w:val="24"/>
              </w:rPr>
              <w:lastRenderedPageBreak/>
              <w:t xml:space="preserve">rezultātā konstrukcijas ir nolietotas un turpmāka ekspluatācija nav pieļaujama.   </w:t>
            </w:r>
          </w:p>
          <w:p w:rsidR="00721D61" w:rsidRPr="00724CFA" w:rsidRDefault="00721D61" w:rsidP="00721D61">
            <w:pPr>
              <w:pStyle w:val="PlainText"/>
              <w:jc w:val="both"/>
              <w:rPr>
                <w:rFonts w:ascii="Times New Roman" w:hAnsi="Times New Roman" w:cs="Times New Roman"/>
                <w:sz w:val="24"/>
                <w:szCs w:val="24"/>
              </w:rPr>
            </w:pPr>
            <w:r w:rsidRPr="00724CFA">
              <w:rPr>
                <w:rFonts w:ascii="Times New Roman" w:hAnsi="Times New Roman" w:cs="Times New Roman"/>
                <w:sz w:val="24"/>
                <w:szCs w:val="24"/>
              </w:rPr>
              <w:t xml:space="preserve">Balstoties uz iesniegto atzinumu, tika apzinātas iespējamās jauna lifta iegādes izmaksas. Būtiski ir minētos </w:t>
            </w:r>
            <w:r w:rsidR="00687293">
              <w:rPr>
                <w:rFonts w:ascii="Times New Roman" w:hAnsi="Times New Roman" w:cs="Times New Roman"/>
                <w:sz w:val="24"/>
                <w:szCs w:val="24"/>
              </w:rPr>
              <w:t xml:space="preserve">ārkārtas </w:t>
            </w:r>
            <w:r w:rsidRPr="00724CFA">
              <w:rPr>
                <w:rFonts w:ascii="Times New Roman" w:hAnsi="Times New Roman" w:cs="Times New Roman"/>
                <w:sz w:val="24"/>
                <w:szCs w:val="24"/>
              </w:rPr>
              <w:t>darbus veikt pēc iespējas ātrāk, lai nodrošinātu drošu ēkas ekspluatāciju kopumā.</w:t>
            </w:r>
            <w:r w:rsidR="00886567" w:rsidRPr="00724CFA">
              <w:rPr>
                <w:rFonts w:ascii="Times New Roman" w:hAnsi="Times New Roman" w:cs="Times New Roman"/>
                <w:sz w:val="24"/>
                <w:szCs w:val="24"/>
              </w:rPr>
              <w:t xml:space="preserve"> Kopējās izmaksas lifta nomaiņai ir 100 000 </w:t>
            </w:r>
            <w:proofErr w:type="spellStart"/>
            <w:r w:rsidR="00886567" w:rsidRPr="00294ADE">
              <w:rPr>
                <w:rFonts w:ascii="Times New Roman" w:hAnsi="Times New Roman" w:cs="Times New Roman"/>
                <w:i/>
                <w:sz w:val="24"/>
                <w:szCs w:val="24"/>
              </w:rPr>
              <w:t>euro</w:t>
            </w:r>
            <w:proofErr w:type="spellEnd"/>
            <w:r w:rsidR="00886567" w:rsidRPr="00724CFA">
              <w:rPr>
                <w:rFonts w:ascii="Times New Roman" w:hAnsi="Times New Roman" w:cs="Times New Roman"/>
                <w:sz w:val="24"/>
                <w:szCs w:val="24"/>
              </w:rPr>
              <w:t>.</w:t>
            </w:r>
          </w:p>
          <w:p w:rsidR="00721D61" w:rsidRPr="00724CFA" w:rsidRDefault="00721D61" w:rsidP="00721D61">
            <w:pPr>
              <w:pStyle w:val="PlainText"/>
              <w:jc w:val="both"/>
              <w:rPr>
                <w:rFonts w:ascii="Times New Roman" w:hAnsi="Times New Roman" w:cs="Times New Roman"/>
                <w:sz w:val="24"/>
                <w:szCs w:val="24"/>
              </w:rPr>
            </w:pPr>
          </w:p>
          <w:p w:rsidR="00721D61" w:rsidRPr="00724CFA" w:rsidRDefault="00550BE4" w:rsidP="00550BE4">
            <w:pPr>
              <w:pStyle w:val="PlainText"/>
              <w:ind w:left="567"/>
              <w:jc w:val="both"/>
              <w:rPr>
                <w:rFonts w:ascii="Times New Roman" w:hAnsi="Times New Roman" w:cs="Times New Roman"/>
                <w:sz w:val="24"/>
                <w:szCs w:val="24"/>
              </w:rPr>
            </w:pPr>
            <w:r>
              <w:rPr>
                <w:rFonts w:ascii="Times New Roman" w:hAnsi="Times New Roman" w:cs="Times New Roman"/>
                <w:sz w:val="24"/>
                <w:szCs w:val="24"/>
              </w:rPr>
              <w:t xml:space="preserve">5.2. </w:t>
            </w:r>
            <w:r w:rsidR="00721D61" w:rsidRPr="00724CFA">
              <w:rPr>
                <w:rFonts w:ascii="Times New Roman" w:hAnsi="Times New Roman" w:cs="Times New Roman"/>
                <w:sz w:val="24"/>
                <w:szCs w:val="24"/>
              </w:rPr>
              <w:t>Vēstniecībai Francijā (Parīzē) jumta remontam –</w:t>
            </w:r>
          </w:p>
          <w:p w:rsidR="00721D61" w:rsidRPr="00724CFA" w:rsidRDefault="00721D61" w:rsidP="00721D61">
            <w:pPr>
              <w:pStyle w:val="PlainText"/>
              <w:ind w:left="720"/>
              <w:jc w:val="both"/>
              <w:rPr>
                <w:rFonts w:ascii="Times New Roman" w:hAnsi="Times New Roman" w:cs="Times New Roman"/>
                <w:sz w:val="24"/>
                <w:szCs w:val="24"/>
              </w:rPr>
            </w:pPr>
            <w:r w:rsidRPr="00724CFA">
              <w:rPr>
                <w:rFonts w:ascii="Times New Roman" w:hAnsi="Times New Roman" w:cs="Times New Roman"/>
                <w:sz w:val="24"/>
                <w:szCs w:val="24"/>
              </w:rPr>
              <w:t xml:space="preserve">30 000 </w:t>
            </w:r>
            <w:proofErr w:type="spellStart"/>
            <w:r w:rsidRPr="00724CFA">
              <w:rPr>
                <w:rFonts w:ascii="Times New Roman" w:hAnsi="Times New Roman" w:cs="Times New Roman"/>
                <w:i/>
                <w:sz w:val="24"/>
                <w:szCs w:val="24"/>
              </w:rPr>
              <w:t>euro</w:t>
            </w:r>
            <w:proofErr w:type="spellEnd"/>
            <w:r w:rsidRPr="00724CFA">
              <w:rPr>
                <w:rFonts w:ascii="Times New Roman" w:hAnsi="Times New Roman" w:cs="Times New Roman"/>
                <w:sz w:val="24"/>
                <w:szCs w:val="24"/>
              </w:rPr>
              <w:t>;</w:t>
            </w:r>
          </w:p>
          <w:p w:rsidR="001D72E3" w:rsidRDefault="00721D61" w:rsidP="005220E6">
            <w:pPr>
              <w:pStyle w:val="PlainText"/>
              <w:jc w:val="both"/>
              <w:rPr>
                <w:rFonts w:ascii="Times New Roman" w:hAnsi="Times New Roman" w:cs="Times New Roman"/>
                <w:sz w:val="24"/>
                <w:szCs w:val="24"/>
              </w:rPr>
            </w:pPr>
            <w:r w:rsidRPr="00724CFA">
              <w:rPr>
                <w:rFonts w:ascii="Times New Roman" w:hAnsi="Times New Roman" w:cs="Times New Roman"/>
                <w:sz w:val="24"/>
                <w:szCs w:val="24"/>
              </w:rPr>
              <w:t xml:space="preserve">2015. gada martā vēstniecība Francijā informēja ministriju par problēmām ar vēstniecības jumtu un ūdens iekļūšanu ēkā, kas pasliktina ēkas tehnisko stāvokli un neļauj pilnvērtīgi izmantot telpas. Ministrija jau ir nosūtījusi būvinženierus ēkas apsekošanai un atzinuma sagatavošanai par esošo situāciju un veicamajiem </w:t>
            </w:r>
            <w:r w:rsidR="00687293">
              <w:rPr>
                <w:rFonts w:ascii="Times New Roman" w:hAnsi="Times New Roman" w:cs="Times New Roman"/>
                <w:sz w:val="24"/>
                <w:szCs w:val="24"/>
              </w:rPr>
              <w:t xml:space="preserve">ārkārtas </w:t>
            </w:r>
            <w:r w:rsidRPr="00724CFA">
              <w:rPr>
                <w:rFonts w:ascii="Times New Roman" w:hAnsi="Times New Roman" w:cs="Times New Roman"/>
                <w:sz w:val="24"/>
                <w:szCs w:val="24"/>
              </w:rPr>
              <w:t xml:space="preserve">darbiem. </w:t>
            </w:r>
            <w:r w:rsidR="00886567" w:rsidRPr="00724CFA">
              <w:rPr>
                <w:rFonts w:ascii="Times New Roman" w:hAnsi="Times New Roman" w:cs="Times New Roman"/>
                <w:sz w:val="24"/>
                <w:szCs w:val="24"/>
              </w:rPr>
              <w:t xml:space="preserve">Aptuvenās </w:t>
            </w:r>
            <w:r w:rsidRPr="00724CFA">
              <w:rPr>
                <w:rFonts w:ascii="Times New Roman" w:hAnsi="Times New Roman" w:cs="Times New Roman"/>
                <w:sz w:val="24"/>
                <w:szCs w:val="24"/>
              </w:rPr>
              <w:t xml:space="preserve">steidzamās izmaksas ir 30 000 </w:t>
            </w:r>
            <w:proofErr w:type="spellStart"/>
            <w:r w:rsidRPr="00724CFA">
              <w:rPr>
                <w:rFonts w:ascii="Times New Roman" w:hAnsi="Times New Roman" w:cs="Times New Roman"/>
                <w:i/>
                <w:sz w:val="24"/>
                <w:szCs w:val="24"/>
              </w:rPr>
              <w:t>euro</w:t>
            </w:r>
            <w:proofErr w:type="spellEnd"/>
            <w:r w:rsidRPr="00724CFA">
              <w:rPr>
                <w:rFonts w:ascii="Times New Roman" w:hAnsi="Times New Roman" w:cs="Times New Roman"/>
                <w:sz w:val="24"/>
                <w:szCs w:val="24"/>
              </w:rPr>
              <w:t xml:space="preserve">. </w:t>
            </w:r>
          </w:p>
          <w:p w:rsidR="005220E6" w:rsidRPr="00724CFA" w:rsidRDefault="005220E6" w:rsidP="005220E6">
            <w:pPr>
              <w:pStyle w:val="PlainText"/>
              <w:jc w:val="both"/>
              <w:rPr>
                <w:rFonts w:ascii="Times New Roman" w:hAnsi="Times New Roman" w:cs="Times New Roman"/>
                <w:sz w:val="24"/>
                <w:szCs w:val="24"/>
              </w:rPr>
            </w:pPr>
          </w:p>
        </w:tc>
      </w:tr>
      <w:tr w:rsidR="002674D5" w:rsidRPr="00C96F2B" w:rsidTr="000905B6">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3.</w:t>
            </w:r>
          </w:p>
        </w:tc>
        <w:tc>
          <w:tcPr>
            <w:tcW w:w="1348"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izstrādē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3344" w:type="pct"/>
            <w:tcBorders>
              <w:top w:val="outset" w:sz="6" w:space="0" w:color="auto"/>
              <w:left w:val="outset" w:sz="6" w:space="0" w:color="auto"/>
              <w:bottom w:val="outset" w:sz="6" w:space="0" w:color="auto"/>
              <w:right w:val="outset" w:sz="6" w:space="0" w:color="auto"/>
            </w:tcBorders>
          </w:tcPr>
          <w:p w:rsidR="001813AA" w:rsidRPr="00C96F2B" w:rsidRDefault="003D5B88"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w:t>
            </w:r>
          </w:p>
          <w:p w:rsidR="003D5B88" w:rsidRPr="00C96F2B" w:rsidRDefault="003D5B88" w:rsidP="001813AA">
            <w:pPr>
              <w:spacing w:after="0" w:line="240" w:lineRule="auto"/>
              <w:rPr>
                <w:rFonts w:ascii="Times New Roman" w:eastAsia="Times New Roman" w:hAnsi="Times New Roman" w:cs="Times New Roman"/>
                <w:sz w:val="24"/>
                <w:szCs w:val="24"/>
                <w:lang w:eastAsia="lv-LV"/>
              </w:rPr>
            </w:pPr>
          </w:p>
        </w:tc>
      </w:tr>
      <w:tr w:rsidR="002674D5" w:rsidRPr="00C96F2B" w:rsidTr="000905B6">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1348"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3344" w:type="pct"/>
            <w:tcBorders>
              <w:top w:val="outset" w:sz="6" w:space="0" w:color="auto"/>
              <w:left w:val="outset" w:sz="6" w:space="0" w:color="auto"/>
              <w:bottom w:val="outset" w:sz="6" w:space="0" w:color="auto"/>
              <w:right w:val="outset" w:sz="6" w:space="0" w:color="auto"/>
            </w:tcBorders>
          </w:tcPr>
          <w:p w:rsidR="001813AA" w:rsidRPr="00C96F2B" w:rsidRDefault="00A77D20"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1813AA" w:rsidRPr="00C96F2B"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C96F2B"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4D5" w:rsidRPr="00C96F2B" w:rsidTr="00A464B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CE0C15" w:rsidP="00C96F2B">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 xml:space="preserve"> RJA</w:t>
            </w:r>
          </w:p>
        </w:tc>
      </w:tr>
      <w:tr w:rsidR="002674D5" w:rsidRPr="00C96F2B"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CE0C15" w:rsidP="00CE0C15">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tiesiskais regulējums neuzliek papildus administratīvo slogu tautsaimniecībai un nemaina sabiedrības grupu un institūciju tiesības un pienākumus, kā arī veicamās darbības.</w:t>
            </w:r>
          </w:p>
        </w:tc>
      </w:tr>
      <w:tr w:rsidR="002674D5" w:rsidRPr="00C96F2B"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CE0C15" w:rsidP="001813AA">
            <w:pPr>
              <w:spacing w:after="0" w:line="240" w:lineRule="auto"/>
              <w:rPr>
                <w:rFonts w:ascii="Times New Roman" w:eastAsia="Times New Roman" w:hAnsi="Times New Roman" w:cs="Times New Roman"/>
                <w:sz w:val="24"/>
                <w:szCs w:val="24"/>
                <w:lang w:eastAsia="lv-LV"/>
              </w:rPr>
            </w:pPr>
            <w:r w:rsidRPr="00C96F2B">
              <w:rPr>
                <w:rFonts w:ascii="Times New Roman" w:hAnsi="Times New Roman" w:cs="Times New Roman"/>
                <w:sz w:val="24"/>
                <w:szCs w:val="24"/>
              </w:rPr>
              <w:t>Projekts šo jomu neskar.</w:t>
            </w:r>
          </w:p>
        </w:tc>
      </w:tr>
      <w:tr w:rsidR="002674D5" w:rsidRPr="00C96F2B" w:rsidTr="00A464B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CE0C15"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7"/>
        <w:gridCol w:w="1007"/>
        <w:gridCol w:w="1625"/>
        <w:gridCol w:w="1054"/>
        <w:gridCol w:w="1054"/>
        <w:gridCol w:w="1824"/>
      </w:tblGrid>
      <w:tr w:rsidR="002674D5" w:rsidRPr="00C96F2B"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III. Tiesību akta projekta ietekme uz valsts budžetu un pašvaldību budžetiem</w:t>
            </w:r>
          </w:p>
        </w:tc>
      </w:tr>
      <w:tr w:rsidR="002674D5" w:rsidRPr="00C96F2B"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Rādītāji</w:t>
            </w:r>
          </w:p>
        </w:tc>
        <w:tc>
          <w:tcPr>
            <w:tcW w:w="14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C96F2B"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2074" w:type="pct"/>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Turpmākie trīs gadi (</w:t>
            </w:r>
            <w:proofErr w:type="spellStart"/>
            <w:r w:rsidR="00967B10" w:rsidRPr="00C96F2B">
              <w:rPr>
                <w:rFonts w:ascii="Times New Roman" w:eastAsia="Times New Roman" w:hAnsi="Times New Roman" w:cs="Times New Roman"/>
                <w:sz w:val="24"/>
                <w:szCs w:val="24"/>
                <w:lang w:eastAsia="lv-LV"/>
              </w:rPr>
              <w:t>euro</w:t>
            </w:r>
            <w:proofErr w:type="spellEnd"/>
            <w:r w:rsidRPr="00C96F2B">
              <w:rPr>
                <w:rFonts w:ascii="Times New Roman" w:eastAsia="Times New Roman" w:hAnsi="Times New Roman" w:cs="Times New Roman"/>
                <w:sz w:val="24"/>
                <w:szCs w:val="24"/>
                <w:lang w:eastAsia="lv-LV"/>
              </w:rPr>
              <w:t>)</w:t>
            </w:r>
          </w:p>
        </w:tc>
      </w:tr>
      <w:tr w:rsidR="002674D5" w:rsidRPr="00C96F2B" w:rsidTr="006C372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1813AA"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2016</w:t>
            </w:r>
          </w:p>
          <w:p w:rsidR="00DA6934" w:rsidRPr="00C96F2B"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1813A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p>
          <w:p w:rsidR="00DA6934" w:rsidRPr="00C96F2B"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931" w:type="pct"/>
            <w:tcBorders>
              <w:top w:val="outset" w:sz="6" w:space="0" w:color="auto"/>
              <w:left w:val="outset" w:sz="6" w:space="0" w:color="auto"/>
              <w:bottom w:val="outset" w:sz="6" w:space="0" w:color="auto"/>
              <w:right w:val="outset" w:sz="6" w:space="0" w:color="auto"/>
            </w:tcBorders>
            <w:vAlign w:val="center"/>
          </w:tcPr>
          <w:p w:rsidR="001813A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p>
          <w:p w:rsidR="00DA6934" w:rsidRPr="00C96F2B"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967B10" w:rsidRPr="00C96F2B"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saskaņā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kārtējā gadā,</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1. Budžeta ieņēmumi:</w:t>
            </w:r>
          </w:p>
        </w:tc>
        <w:tc>
          <w:tcPr>
            <w:tcW w:w="541"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 Budžeta izdevumi:</w:t>
            </w:r>
          </w:p>
        </w:tc>
        <w:tc>
          <w:tcPr>
            <w:tcW w:w="541" w:type="pct"/>
            <w:tcBorders>
              <w:top w:val="outset" w:sz="6" w:space="0" w:color="auto"/>
              <w:left w:val="outset" w:sz="6" w:space="0" w:color="auto"/>
              <w:bottom w:val="outset" w:sz="6" w:space="0" w:color="auto"/>
              <w:right w:val="outset" w:sz="6" w:space="0" w:color="auto"/>
            </w:tcBorders>
            <w:hideMark/>
          </w:tcPr>
          <w:p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5220E6"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r w:rsidR="001744B2" w:rsidRPr="006C3722">
              <w:rPr>
                <w:rFonts w:ascii="Times New Roman" w:eastAsia="Times New Roman" w:hAnsi="Times New Roman" w:cs="Times New Roman"/>
                <w:sz w:val="24"/>
                <w:szCs w:val="24"/>
                <w:lang w:eastAsia="lv-LV"/>
              </w:rPr>
              <w:t>2 000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5220E6"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r w:rsidR="001744B2" w:rsidRPr="006C3722">
              <w:rPr>
                <w:rFonts w:ascii="Times New Roman" w:eastAsia="Times New Roman" w:hAnsi="Times New Roman" w:cs="Times New Roman"/>
                <w:sz w:val="24"/>
                <w:szCs w:val="24"/>
                <w:lang w:eastAsia="lv-LV"/>
              </w:rPr>
              <w:t>2 000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856A84">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 Finansiālā ietekme:</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C96F2B" w:rsidP="005220E6">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w:t>
            </w:r>
            <w:r w:rsidR="00724CFA" w:rsidRPr="006C3722">
              <w:rPr>
                <w:rFonts w:ascii="Times New Roman" w:eastAsia="Times New Roman" w:hAnsi="Times New Roman" w:cs="Times New Roman"/>
                <w:sz w:val="24"/>
                <w:szCs w:val="24"/>
                <w:lang w:eastAsia="lv-LV"/>
              </w:rPr>
              <w:t>5</w:t>
            </w:r>
            <w:r w:rsidR="005220E6">
              <w:rPr>
                <w:rFonts w:ascii="Times New Roman" w:eastAsia="Times New Roman" w:hAnsi="Times New Roman" w:cs="Times New Roman"/>
                <w:sz w:val="24"/>
                <w:szCs w:val="24"/>
                <w:lang w:eastAsia="lv-LV"/>
              </w:rPr>
              <w:t>2</w:t>
            </w:r>
            <w:r w:rsidR="001744B2" w:rsidRPr="006C3722">
              <w:rPr>
                <w:rFonts w:ascii="Times New Roman" w:eastAsia="Times New Roman" w:hAnsi="Times New Roman" w:cs="Times New Roman"/>
                <w:sz w:val="24"/>
                <w:szCs w:val="24"/>
                <w:lang w:eastAsia="lv-LV"/>
              </w:rPr>
              <w:t>2 000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C96F2B" w:rsidP="00C96F2B">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w:t>
            </w:r>
            <w:r w:rsidR="005220E6">
              <w:rPr>
                <w:rFonts w:ascii="Times New Roman" w:eastAsia="Times New Roman" w:hAnsi="Times New Roman" w:cs="Times New Roman"/>
                <w:sz w:val="24"/>
                <w:szCs w:val="24"/>
                <w:lang w:eastAsia="lv-LV"/>
              </w:rPr>
              <w:t>52</w:t>
            </w:r>
            <w:r w:rsidR="001744B2" w:rsidRPr="006C3722">
              <w:rPr>
                <w:rFonts w:ascii="Times New Roman" w:eastAsia="Times New Roman" w:hAnsi="Times New Roman" w:cs="Times New Roman"/>
                <w:sz w:val="24"/>
                <w:szCs w:val="24"/>
                <w:lang w:eastAsia="lv-LV"/>
              </w:rPr>
              <w:t>2 000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3.2.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5220E6"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r w:rsidR="001744B2" w:rsidRPr="006C3722">
              <w:rPr>
                <w:rFonts w:ascii="Times New Roman" w:eastAsia="Times New Roman" w:hAnsi="Times New Roman" w:cs="Times New Roman"/>
                <w:sz w:val="24"/>
                <w:szCs w:val="24"/>
                <w:lang w:eastAsia="lv-LV"/>
              </w:rPr>
              <w:t>2 000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C96F2B"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 Precizēta finansiālā ietekme:</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12"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C96F2B" w:rsidRPr="00DB47D7" w:rsidRDefault="00C96F2B" w:rsidP="00C96F2B">
            <w:pPr>
              <w:spacing w:after="0" w:line="240" w:lineRule="auto"/>
              <w:jc w:val="both"/>
              <w:rPr>
                <w:rFonts w:ascii="Times New Roman" w:eastAsia="Times New Roman" w:hAnsi="Times New Roman" w:cs="Times New Roman"/>
                <w:iCs/>
                <w:sz w:val="24"/>
                <w:szCs w:val="24"/>
                <w:lang w:eastAsia="lv-LV"/>
              </w:rPr>
            </w:pPr>
            <w:r w:rsidRPr="00DB47D7">
              <w:rPr>
                <w:rFonts w:ascii="Times New Roman" w:eastAsia="Times New Roman" w:hAnsi="Times New Roman" w:cs="Times New Roman"/>
                <w:iCs/>
                <w:sz w:val="24"/>
                <w:szCs w:val="24"/>
                <w:lang w:eastAsia="lv-LV"/>
              </w:rPr>
              <w:t xml:space="preserve">1.1. 300 000 </w:t>
            </w:r>
            <w:proofErr w:type="spellStart"/>
            <w:r w:rsidRPr="00DB47D7">
              <w:rPr>
                <w:rFonts w:ascii="Times New Roman" w:eastAsia="Times New Roman" w:hAnsi="Times New Roman" w:cs="Times New Roman"/>
                <w:i/>
                <w:iCs/>
                <w:sz w:val="24"/>
                <w:szCs w:val="24"/>
                <w:lang w:eastAsia="lv-LV"/>
              </w:rPr>
              <w:t>euro</w:t>
            </w:r>
            <w:proofErr w:type="spellEnd"/>
            <w:r w:rsidRPr="00DB47D7">
              <w:rPr>
                <w:rFonts w:ascii="Times New Roman" w:eastAsia="Times New Roman" w:hAnsi="Times New Roman" w:cs="Times New Roman"/>
                <w:iCs/>
                <w:sz w:val="24"/>
                <w:szCs w:val="24"/>
                <w:lang w:eastAsia="lv-LV"/>
              </w:rPr>
              <w:t xml:space="preserve"> atbalsta sniegšanai Ukrainas stabilizācijai un reformu procesam, tai skaitā:</w:t>
            </w:r>
          </w:p>
          <w:p w:rsidR="00C96F2B" w:rsidRPr="00C96F2B" w:rsidRDefault="00C96F2B" w:rsidP="00C96F2B">
            <w:pPr>
              <w:spacing w:after="0" w:line="240" w:lineRule="auto"/>
              <w:ind w:firstLine="720"/>
              <w:jc w:val="both"/>
              <w:rPr>
                <w:rFonts w:ascii="Times New Roman" w:eastAsia="Times New Roman" w:hAnsi="Times New Roman" w:cs="Times New Roman"/>
                <w:iCs/>
                <w:sz w:val="24"/>
                <w:szCs w:val="24"/>
                <w:lang w:eastAsia="lv-LV"/>
              </w:rPr>
            </w:pPr>
            <w:r w:rsidRPr="00C96F2B">
              <w:rPr>
                <w:rFonts w:ascii="Times New Roman" w:eastAsia="Times New Roman" w:hAnsi="Times New Roman" w:cs="Times New Roman"/>
                <w:iCs/>
                <w:sz w:val="24"/>
                <w:szCs w:val="24"/>
                <w:lang w:eastAsia="lv-LV"/>
              </w:rPr>
              <w:t xml:space="preserve">1.1.1. lai nodrošinātu attīstības sadarbības projektu īstenošanu 150 000 </w:t>
            </w:r>
            <w:proofErr w:type="spellStart"/>
            <w:r w:rsidRPr="00C96F2B">
              <w:rPr>
                <w:rFonts w:ascii="Times New Roman" w:eastAsia="Times New Roman" w:hAnsi="Times New Roman" w:cs="Times New Roman"/>
                <w:i/>
                <w:iCs/>
                <w:sz w:val="24"/>
                <w:szCs w:val="24"/>
                <w:lang w:eastAsia="lv-LV"/>
              </w:rPr>
              <w:t>euro</w:t>
            </w:r>
            <w:proofErr w:type="spellEnd"/>
            <w:r w:rsidRPr="00C96F2B">
              <w:rPr>
                <w:rFonts w:ascii="Times New Roman" w:eastAsia="Times New Roman" w:hAnsi="Times New Roman" w:cs="Times New Roman"/>
                <w:iCs/>
                <w:sz w:val="24"/>
                <w:szCs w:val="24"/>
                <w:lang w:eastAsia="lv-LV"/>
              </w:rPr>
              <w:t xml:space="preserve">; </w:t>
            </w:r>
          </w:p>
          <w:p w:rsidR="00C96F2B" w:rsidRPr="00C96F2B" w:rsidRDefault="00C96F2B" w:rsidP="00C96F2B">
            <w:pPr>
              <w:spacing w:after="0" w:line="240" w:lineRule="auto"/>
              <w:ind w:firstLine="720"/>
              <w:jc w:val="both"/>
              <w:rPr>
                <w:rFonts w:ascii="Times New Roman" w:eastAsia="Times New Roman" w:hAnsi="Times New Roman" w:cs="Times New Roman"/>
                <w:iCs/>
                <w:sz w:val="24"/>
                <w:szCs w:val="24"/>
                <w:lang w:eastAsia="lv-LV"/>
              </w:rPr>
            </w:pPr>
            <w:r w:rsidRPr="00C96F2B">
              <w:rPr>
                <w:rFonts w:ascii="Times New Roman" w:eastAsia="Times New Roman" w:hAnsi="Times New Roman" w:cs="Times New Roman"/>
                <w:iCs/>
                <w:sz w:val="24"/>
                <w:szCs w:val="24"/>
                <w:lang w:eastAsia="lv-LV"/>
              </w:rPr>
              <w:t xml:space="preserve">1.1.2. lai veiktu iemaksas starptautiskajās organizācijās 150 000 </w:t>
            </w:r>
            <w:proofErr w:type="spellStart"/>
            <w:r w:rsidRPr="00C96F2B">
              <w:rPr>
                <w:rFonts w:ascii="Times New Roman" w:eastAsia="Times New Roman" w:hAnsi="Times New Roman" w:cs="Times New Roman"/>
                <w:i/>
                <w:iCs/>
                <w:sz w:val="24"/>
                <w:szCs w:val="24"/>
                <w:lang w:eastAsia="lv-LV"/>
              </w:rPr>
              <w:t>euro</w:t>
            </w:r>
            <w:proofErr w:type="spellEnd"/>
            <w:r w:rsidRPr="00C96F2B">
              <w:rPr>
                <w:rFonts w:ascii="Times New Roman" w:eastAsia="Times New Roman" w:hAnsi="Times New Roman" w:cs="Times New Roman"/>
                <w:i/>
                <w:iCs/>
                <w:sz w:val="24"/>
                <w:szCs w:val="24"/>
                <w:lang w:eastAsia="lv-LV"/>
              </w:rPr>
              <w:t xml:space="preserve"> </w:t>
            </w:r>
            <w:r w:rsidRPr="00C96F2B">
              <w:rPr>
                <w:rFonts w:ascii="Times New Roman" w:eastAsia="Times New Roman" w:hAnsi="Times New Roman" w:cs="Times New Roman"/>
                <w:iCs/>
                <w:sz w:val="24"/>
                <w:szCs w:val="24"/>
                <w:lang w:eastAsia="lv-LV"/>
              </w:rPr>
              <w:t>apmērā:</w:t>
            </w:r>
          </w:p>
          <w:p w:rsidR="00C96F2B" w:rsidRPr="00C96F2B" w:rsidRDefault="00C96F2B" w:rsidP="00C96F2B">
            <w:pPr>
              <w:spacing w:after="0" w:line="240" w:lineRule="auto"/>
              <w:ind w:left="1440"/>
              <w:jc w:val="both"/>
              <w:rPr>
                <w:rFonts w:ascii="Times New Roman" w:eastAsia="Times New Roman" w:hAnsi="Times New Roman" w:cs="Times New Roman"/>
                <w:iCs/>
                <w:sz w:val="24"/>
                <w:szCs w:val="24"/>
                <w:lang w:eastAsia="lv-LV"/>
              </w:rPr>
            </w:pPr>
            <w:r w:rsidRPr="00C96F2B">
              <w:rPr>
                <w:rFonts w:ascii="Times New Roman" w:eastAsia="Times New Roman" w:hAnsi="Times New Roman" w:cs="Times New Roman"/>
                <w:iCs/>
                <w:sz w:val="24"/>
                <w:szCs w:val="24"/>
                <w:lang w:eastAsia="lv-LV"/>
              </w:rPr>
              <w:t xml:space="preserve">1.1.2.1. 50 000 </w:t>
            </w:r>
            <w:proofErr w:type="spellStart"/>
            <w:r w:rsidRPr="00C96F2B">
              <w:rPr>
                <w:rFonts w:ascii="Times New Roman" w:eastAsia="Times New Roman" w:hAnsi="Times New Roman" w:cs="Times New Roman"/>
                <w:i/>
                <w:iCs/>
                <w:sz w:val="24"/>
                <w:szCs w:val="24"/>
                <w:lang w:eastAsia="lv-LV"/>
              </w:rPr>
              <w:t>euro</w:t>
            </w:r>
            <w:proofErr w:type="spellEnd"/>
            <w:r w:rsidRPr="00C96F2B">
              <w:rPr>
                <w:rFonts w:ascii="Times New Roman" w:eastAsia="Times New Roman" w:hAnsi="Times New Roman" w:cs="Times New Roman"/>
                <w:iCs/>
                <w:sz w:val="24"/>
                <w:szCs w:val="24"/>
                <w:lang w:eastAsia="lv-LV"/>
              </w:rPr>
              <w:t xml:space="preserve"> iemaksām Ekonomiskās sadarbības un attīstības organizācijā;</w:t>
            </w:r>
          </w:p>
          <w:p w:rsidR="00C96F2B" w:rsidRPr="00C96F2B" w:rsidRDefault="00C96F2B" w:rsidP="00C96F2B">
            <w:pPr>
              <w:spacing w:after="0" w:line="240" w:lineRule="auto"/>
              <w:ind w:left="1440"/>
              <w:jc w:val="both"/>
              <w:rPr>
                <w:rFonts w:ascii="Times New Roman" w:eastAsia="Times New Roman" w:hAnsi="Times New Roman" w:cs="Times New Roman"/>
                <w:iCs/>
                <w:sz w:val="24"/>
                <w:szCs w:val="24"/>
                <w:lang w:eastAsia="lv-LV"/>
              </w:rPr>
            </w:pPr>
            <w:r w:rsidRPr="00C96F2B">
              <w:rPr>
                <w:rFonts w:ascii="Times New Roman" w:eastAsia="Times New Roman" w:hAnsi="Times New Roman" w:cs="Times New Roman"/>
                <w:iCs/>
                <w:sz w:val="24"/>
                <w:szCs w:val="24"/>
                <w:lang w:eastAsia="lv-LV"/>
              </w:rPr>
              <w:t xml:space="preserve">1.1.2.2. 100 000 </w:t>
            </w:r>
            <w:proofErr w:type="spellStart"/>
            <w:r w:rsidRPr="00C96F2B">
              <w:rPr>
                <w:rFonts w:ascii="Times New Roman" w:eastAsia="Times New Roman" w:hAnsi="Times New Roman" w:cs="Times New Roman"/>
                <w:i/>
                <w:iCs/>
                <w:sz w:val="24"/>
                <w:szCs w:val="24"/>
                <w:lang w:eastAsia="lv-LV"/>
              </w:rPr>
              <w:t>euro</w:t>
            </w:r>
            <w:proofErr w:type="spellEnd"/>
            <w:r w:rsidRPr="00C96F2B">
              <w:rPr>
                <w:rFonts w:ascii="Times New Roman" w:eastAsia="Times New Roman" w:hAnsi="Times New Roman" w:cs="Times New Roman"/>
                <w:i/>
                <w:iCs/>
                <w:sz w:val="24"/>
                <w:szCs w:val="24"/>
                <w:lang w:eastAsia="lv-LV"/>
              </w:rPr>
              <w:t xml:space="preserve"> </w:t>
            </w:r>
            <w:r w:rsidRPr="00C96F2B">
              <w:rPr>
                <w:rFonts w:ascii="Times New Roman" w:eastAsia="Times New Roman" w:hAnsi="Times New Roman" w:cs="Times New Roman"/>
                <w:iCs/>
                <w:sz w:val="24"/>
                <w:szCs w:val="24"/>
                <w:lang w:eastAsia="lv-LV"/>
              </w:rPr>
              <w:t xml:space="preserve">iemaksām citās starptautiskajās organizācijās un fondos. Pēc uzaicinājuma saņemšanas no starptautiskās organizācijas vai fonda ārlietu ministrs pieņem lēmumu par konkrētas summas piešķiršanu attiecīgajai starptautiskajai organizācijai vai </w:t>
            </w:r>
            <w:r w:rsidRPr="00C96F2B">
              <w:rPr>
                <w:rFonts w:ascii="Times New Roman" w:eastAsia="Times New Roman" w:hAnsi="Times New Roman" w:cs="Times New Roman"/>
                <w:iCs/>
                <w:sz w:val="24"/>
                <w:szCs w:val="24"/>
                <w:lang w:eastAsia="lv-LV"/>
              </w:rPr>
              <w:lastRenderedPageBreak/>
              <w:t>fondam.</w:t>
            </w:r>
          </w:p>
          <w:p w:rsidR="00C96F2B" w:rsidRPr="00C96F2B" w:rsidRDefault="00C96F2B" w:rsidP="00C96F2B">
            <w:pPr>
              <w:spacing w:after="0" w:line="240" w:lineRule="auto"/>
              <w:jc w:val="both"/>
              <w:rPr>
                <w:rFonts w:ascii="Times New Roman" w:eastAsia="Times New Roman" w:hAnsi="Times New Roman" w:cs="Times New Roman"/>
                <w:iCs/>
                <w:sz w:val="24"/>
                <w:szCs w:val="24"/>
                <w:lang w:eastAsia="lv-LV"/>
              </w:rPr>
            </w:pPr>
            <w:r w:rsidRPr="00C96F2B">
              <w:rPr>
                <w:rFonts w:ascii="Times New Roman" w:eastAsia="Times New Roman" w:hAnsi="Times New Roman" w:cs="Times New Roman"/>
                <w:iCs/>
                <w:sz w:val="24"/>
                <w:szCs w:val="24"/>
                <w:lang w:eastAsia="lv-LV"/>
              </w:rPr>
              <w:t xml:space="preserve">1.2. 22 000 </w:t>
            </w:r>
            <w:proofErr w:type="spellStart"/>
            <w:r w:rsidRPr="00C96F2B">
              <w:rPr>
                <w:rFonts w:ascii="Times New Roman" w:eastAsia="Times New Roman" w:hAnsi="Times New Roman" w:cs="Times New Roman"/>
                <w:i/>
                <w:iCs/>
                <w:sz w:val="24"/>
                <w:szCs w:val="24"/>
                <w:lang w:eastAsia="lv-LV"/>
              </w:rPr>
              <w:t>euro</w:t>
            </w:r>
            <w:proofErr w:type="spellEnd"/>
            <w:r w:rsidRPr="00C96F2B">
              <w:rPr>
                <w:rFonts w:ascii="Times New Roman" w:eastAsia="Times New Roman" w:hAnsi="Times New Roman" w:cs="Times New Roman"/>
                <w:iCs/>
                <w:sz w:val="24"/>
                <w:szCs w:val="24"/>
                <w:lang w:eastAsia="lv-LV"/>
              </w:rPr>
              <w:t xml:space="preserve"> apmērā, lai nodrošinātu Austrumu partnerības un Centrālāzijas valstu pārstāvju apmācību programmas turpināšanu Rīgas Juridiskajā Augstskolā 2015.</w:t>
            </w:r>
            <w:r>
              <w:rPr>
                <w:rFonts w:ascii="Times New Roman" w:eastAsia="Times New Roman" w:hAnsi="Times New Roman" w:cs="Times New Roman"/>
                <w:iCs/>
                <w:sz w:val="24"/>
                <w:szCs w:val="24"/>
                <w:lang w:eastAsia="lv-LV"/>
              </w:rPr>
              <w:t xml:space="preserve"> </w:t>
            </w:r>
            <w:r w:rsidRPr="00C96F2B">
              <w:rPr>
                <w:rFonts w:ascii="Times New Roman" w:eastAsia="Times New Roman" w:hAnsi="Times New Roman" w:cs="Times New Roman"/>
                <w:iCs/>
                <w:sz w:val="24"/>
                <w:szCs w:val="24"/>
                <w:lang w:eastAsia="lv-LV"/>
              </w:rPr>
              <w:t xml:space="preserve">gada rudenī. Latvija apņēmusies segt 2 dalībnieku izmaksas (programmas izmaksas 1 dalībniekam ir 11 000 </w:t>
            </w:r>
            <w:proofErr w:type="spellStart"/>
            <w:r w:rsidRPr="00C96F2B">
              <w:rPr>
                <w:rFonts w:ascii="Times New Roman" w:eastAsia="Times New Roman" w:hAnsi="Times New Roman" w:cs="Times New Roman"/>
                <w:i/>
                <w:iCs/>
                <w:sz w:val="24"/>
                <w:szCs w:val="24"/>
                <w:lang w:eastAsia="lv-LV"/>
              </w:rPr>
              <w:t>euro</w:t>
            </w:r>
            <w:proofErr w:type="spellEnd"/>
            <w:r w:rsidRPr="00C96F2B">
              <w:rPr>
                <w:rFonts w:ascii="Times New Roman" w:eastAsia="Times New Roman" w:hAnsi="Times New Roman" w:cs="Times New Roman"/>
                <w:iCs/>
                <w:sz w:val="24"/>
                <w:szCs w:val="24"/>
                <w:lang w:eastAsia="lv-LV"/>
              </w:rPr>
              <w:t>, kas ietver dalībnieku aviobiļetes, uzturēšanās izdevumus Latvijā 3 mēnešus, mācību vizītes uz ES institūcijām Briselē un Luksemburgā, programmas sagatavošanas un norises izmaksas (t.sk. Latvijas un ārvalstu pasniedzējus) u.c.)</w:t>
            </w:r>
            <w:r w:rsidR="00294ADE">
              <w:rPr>
                <w:rFonts w:ascii="Times New Roman" w:eastAsia="Times New Roman" w:hAnsi="Times New Roman" w:cs="Times New Roman"/>
                <w:iCs/>
                <w:sz w:val="24"/>
                <w:szCs w:val="24"/>
                <w:lang w:eastAsia="lv-LV"/>
              </w:rPr>
              <w:t>;</w:t>
            </w:r>
          </w:p>
          <w:p w:rsidR="00C96F2B" w:rsidRPr="00C96F2B" w:rsidRDefault="00C96F2B" w:rsidP="00C96F2B">
            <w:pPr>
              <w:spacing w:after="0" w:line="240" w:lineRule="auto"/>
              <w:jc w:val="both"/>
              <w:rPr>
                <w:rFonts w:ascii="Times New Roman" w:eastAsia="Times New Roman" w:hAnsi="Times New Roman" w:cs="Times New Roman"/>
                <w:iCs/>
                <w:sz w:val="24"/>
                <w:szCs w:val="24"/>
                <w:lang w:eastAsia="lv-LV"/>
              </w:rPr>
            </w:pPr>
            <w:r w:rsidRPr="00C96F2B">
              <w:rPr>
                <w:rFonts w:ascii="Times New Roman" w:eastAsia="Times New Roman" w:hAnsi="Times New Roman" w:cs="Times New Roman"/>
                <w:iCs/>
                <w:sz w:val="24"/>
                <w:szCs w:val="24"/>
                <w:lang w:eastAsia="lv-LV"/>
              </w:rPr>
              <w:t xml:space="preserve">1.3. 50 000 </w:t>
            </w:r>
            <w:proofErr w:type="spellStart"/>
            <w:r w:rsidRPr="00C96F2B">
              <w:rPr>
                <w:rFonts w:ascii="Times New Roman" w:eastAsia="Times New Roman" w:hAnsi="Times New Roman" w:cs="Times New Roman"/>
                <w:i/>
                <w:iCs/>
                <w:sz w:val="24"/>
                <w:szCs w:val="24"/>
                <w:lang w:eastAsia="lv-LV"/>
              </w:rPr>
              <w:t>euro</w:t>
            </w:r>
            <w:proofErr w:type="spellEnd"/>
            <w:r w:rsidRPr="00C96F2B">
              <w:rPr>
                <w:rFonts w:ascii="Times New Roman" w:eastAsia="Times New Roman" w:hAnsi="Times New Roman" w:cs="Times New Roman"/>
                <w:iCs/>
                <w:sz w:val="24"/>
                <w:szCs w:val="24"/>
                <w:lang w:eastAsia="lv-LV"/>
              </w:rPr>
              <w:t xml:space="preserve"> apmērā iemaksām Apvienoto Nāciju Organizācijas Augstā komisāra bēgļu jautājumos reģionālās reaģēšanas plāna p</w:t>
            </w:r>
            <w:r w:rsidR="00294ADE">
              <w:rPr>
                <w:rFonts w:ascii="Times New Roman" w:eastAsia="Times New Roman" w:hAnsi="Times New Roman" w:cs="Times New Roman"/>
                <w:iCs/>
                <w:sz w:val="24"/>
                <w:szCs w:val="24"/>
                <w:lang w:eastAsia="lv-LV"/>
              </w:rPr>
              <w:t>alīdzības fondā Sīrijas bēgļiem;</w:t>
            </w:r>
          </w:p>
          <w:p w:rsidR="00C96F2B" w:rsidRPr="00C96F2B" w:rsidRDefault="00C96F2B" w:rsidP="00C96F2B">
            <w:pPr>
              <w:spacing w:after="0" w:line="240" w:lineRule="auto"/>
              <w:jc w:val="both"/>
              <w:rPr>
                <w:rFonts w:ascii="Times New Roman" w:eastAsia="Times New Roman" w:hAnsi="Times New Roman" w:cs="Times New Roman"/>
                <w:iCs/>
                <w:sz w:val="24"/>
                <w:szCs w:val="24"/>
                <w:lang w:eastAsia="lv-LV"/>
              </w:rPr>
            </w:pPr>
            <w:r w:rsidRPr="00C96F2B">
              <w:rPr>
                <w:rFonts w:ascii="Times New Roman" w:eastAsia="Times New Roman" w:hAnsi="Times New Roman" w:cs="Times New Roman"/>
                <w:iCs/>
                <w:sz w:val="24"/>
                <w:szCs w:val="24"/>
                <w:lang w:eastAsia="lv-LV"/>
              </w:rPr>
              <w:t>1.4. 20 000</w:t>
            </w:r>
            <w:r w:rsidRPr="00C96F2B">
              <w:rPr>
                <w:rFonts w:ascii="Times New Roman" w:eastAsia="Times New Roman" w:hAnsi="Times New Roman" w:cs="Times New Roman"/>
                <w:i/>
                <w:iCs/>
                <w:sz w:val="24"/>
                <w:szCs w:val="24"/>
                <w:lang w:eastAsia="lv-LV"/>
              </w:rPr>
              <w:t xml:space="preserve"> </w:t>
            </w:r>
            <w:proofErr w:type="spellStart"/>
            <w:r w:rsidRPr="00C96F2B">
              <w:rPr>
                <w:rFonts w:ascii="Times New Roman" w:eastAsia="Times New Roman" w:hAnsi="Times New Roman" w:cs="Times New Roman"/>
                <w:i/>
                <w:iCs/>
                <w:sz w:val="24"/>
                <w:szCs w:val="24"/>
                <w:lang w:eastAsia="lv-LV"/>
              </w:rPr>
              <w:t>euro</w:t>
            </w:r>
            <w:proofErr w:type="spellEnd"/>
            <w:r w:rsidRPr="00C96F2B">
              <w:rPr>
                <w:rFonts w:ascii="Times New Roman" w:eastAsia="Times New Roman" w:hAnsi="Times New Roman" w:cs="Times New Roman"/>
                <w:iCs/>
                <w:sz w:val="24"/>
                <w:szCs w:val="24"/>
                <w:lang w:eastAsia="lv-LV"/>
              </w:rPr>
              <w:t xml:space="preserve"> apmērā palīdzībai</w:t>
            </w:r>
            <w:r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iCs/>
                <w:sz w:val="24"/>
                <w:szCs w:val="24"/>
                <w:lang w:eastAsia="lv-LV"/>
              </w:rPr>
              <w:t xml:space="preserve">Nepālai zemestrīces izraisītās katastrofas seku likvidēšanā </w:t>
            </w:r>
            <w:r w:rsidRPr="00C96F2B">
              <w:rPr>
                <w:rFonts w:ascii="Times New Roman" w:eastAsia="Times New Roman" w:hAnsi="Times New Roman" w:cs="Times New Roman"/>
                <w:bCs/>
                <w:sz w:val="24"/>
                <w:szCs w:val="24"/>
                <w:lang w:eastAsia="lv-LV"/>
              </w:rPr>
              <w:t>Apvienoto Nāciju Starpta</w:t>
            </w:r>
            <w:r w:rsidR="00294ADE">
              <w:rPr>
                <w:rFonts w:ascii="Times New Roman" w:eastAsia="Times New Roman" w:hAnsi="Times New Roman" w:cs="Times New Roman"/>
                <w:bCs/>
                <w:sz w:val="24"/>
                <w:szCs w:val="24"/>
                <w:lang w:eastAsia="lv-LV"/>
              </w:rPr>
              <w:t>utiskajam Bērnu fondam (UNICEF);</w:t>
            </w:r>
          </w:p>
          <w:p w:rsidR="00967B10" w:rsidRPr="005220E6" w:rsidRDefault="005220E6" w:rsidP="005220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1.5. </w:t>
            </w:r>
            <w:r w:rsidRPr="005220E6">
              <w:rPr>
                <w:rFonts w:ascii="Times New Roman" w:eastAsia="Times New Roman" w:hAnsi="Times New Roman" w:cs="Times New Roman"/>
                <w:sz w:val="24"/>
                <w:szCs w:val="24"/>
                <w:lang w:eastAsia="lv-LV"/>
              </w:rPr>
              <w:t xml:space="preserve">130 000 </w:t>
            </w:r>
            <w:proofErr w:type="spellStart"/>
            <w:r w:rsidRPr="00294ADE">
              <w:rPr>
                <w:rFonts w:ascii="Times New Roman" w:eastAsia="Times New Roman" w:hAnsi="Times New Roman" w:cs="Times New Roman"/>
                <w:i/>
                <w:sz w:val="24"/>
                <w:szCs w:val="24"/>
                <w:lang w:eastAsia="lv-LV"/>
              </w:rPr>
              <w:t>euro</w:t>
            </w:r>
            <w:proofErr w:type="spellEnd"/>
            <w:r w:rsidRPr="005220E6">
              <w:rPr>
                <w:rFonts w:ascii="Times New Roman" w:eastAsia="Times New Roman" w:hAnsi="Times New Roman" w:cs="Times New Roman"/>
                <w:sz w:val="24"/>
                <w:szCs w:val="24"/>
                <w:lang w:eastAsia="lv-LV"/>
              </w:rPr>
              <w:t xml:space="preserve"> apmērā remontdarbu veikšanai, lai novērstu ārkārtas situāciju vēstniecībās un nodrošinātu drošu ēku ekspluatāciju</w:t>
            </w:r>
            <w:r>
              <w:rPr>
                <w:rFonts w:ascii="Times New Roman" w:eastAsia="Times New Roman" w:hAnsi="Times New Roman" w:cs="Times New Roman"/>
                <w:sz w:val="24"/>
                <w:szCs w:val="24"/>
                <w:lang w:eastAsia="lv-LV"/>
              </w:rPr>
              <w:t xml:space="preserve"> </w:t>
            </w:r>
            <w:r w:rsidRPr="005220E6">
              <w:rPr>
                <w:rFonts w:ascii="Times New Roman" w:eastAsia="Times New Roman" w:hAnsi="Times New Roman" w:cs="Times New Roman"/>
                <w:sz w:val="24"/>
                <w:szCs w:val="24"/>
                <w:lang w:eastAsia="lv-LV"/>
              </w:rPr>
              <w:t>– lifta nomaiņai vēstniecībā Krievijas Federācijā un jumta remontam vēstniecībā Francijā.</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rsidTr="00967B10">
        <w:trPr>
          <w:trHeight w:val="555"/>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7. Cita informācija</w:t>
            </w:r>
          </w:p>
        </w:tc>
        <w:tc>
          <w:tcPr>
            <w:tcW w:w="3512" w:type="pct"/>
            <w:gridSpan w:val="5"/>
            <w:tcBorders>
              <w:top w:val="outset" w:sz="6" w:space="0" w:color="auto"/>
              <w:left w:val="outset" w:sz="6" w:space="0" w:color="auto"/>
              <w:bottom w:val="outset" w:sz="6" w:space="0" w:color="auto"/>
              <w:right w:val="outset" w:sz="6" w:space="0" w:color="auto"/>
            </w:tcBorders>
            <w:hideMark/>
          </w:tcPr>
          <w:p w:rsidR="00967B10" w:rsidRPr="00C96F2B" w:rsidRDefault="00C96F2B" w:rsidP="005220E6">
            <w:pPr>
              <w:spacing w:after="0" w:line="240" w:lineRule="auto"/>
              <w:rPr>
                <w:rFonts w:ascii="Times New Roman" w:eastAsia="Times New Roman" w:hAnsi="Times New Roman" w:cs="Times New Roman"/>
                <w:sz w:val="24"/>
                <w:szCs w:val="24"/>
                <w:lang w:eastAsia="lv-LV"/>
              </w:rPr>
            </w:pPr>
            <w:r w:rsidRPr="00C96F2B">
              <w:rPr>
                <w:rFonts w:ascii="Times New Roman" w:hAnsi="Times New Roman" w:cs="Times New Roman"/>
                <w:iCs/>
                <w:sz w:val="24"/>
                <w:szCs w:val="24"/>
              </w:rPr>
              <w:t xml:space="preserve">Izdevumus </w:t>
            </w:r>
            <w:r w:rsidR="00724CFA" w:rsidRPr="006C3722">
              <w:rPr>
                <w:rFonts w:ascii="Times New Roman" w:hAnsi="Times New Roman" w:cs="Times New Roman"/>
                <w:iCs/>
                <w:sz w:val="24"/>
                <w:szCs w:val="24"/>
              </w:rPr>
              <w:t>5</w:t>
            </w:r>
            <w:r w:rsidR="005220E6">
              <w:rPr>
                <w:rFonts w:ascii="Times New Roman" w:hAnsi="Times New Roman" w:cs="Times New Roman"/>
                <w:iCs/>
                <w:sz w:val="24"/>
                <w:szCs w:val="24"/>
              </w:rPr>
              <w:t>2</w:t>
            </w:r>
            <w:r w:rsidR="001744B2" w:rsidRPr="006C3722">
              <w:rPr>
                <w:rFonts w:ascii="Times New Roman" w:hAnsi="Times New Roman" w:cs="Times New Roman"/>
                <w:iCs/>
                <w:sz w:val="24"/>
                <w:szCs w:val="24"/>
              </w:rPr>
              <w:t>2 000</w:t>
            </w:r>
            <w:r w:rsidRPr="00C96F2B">
              <w:rPr>
                <w:rFonts w:ascii="Times New Roman" w:hAnsi="Times New Roman" w:cs="Times New Roman"/>
                <w:iCs/>
                <w:sz w:val="24"/>
                <w:szCs w:val="24"/>
              </w:rPr>
              <w:t xml:space="preserve"> </w:t>
            </w:r>
            <w:proofErr w:type="spellStart"/>
            <w:r w:rsidRPr="00C96F2B">
              <w:rPr>
                <w:rFonts w:ascii="Times New Roman" w:hAnsi="Times New Roman" w:cs="Times New Roman"/>
                <w:i/>
                <w:iCs/>
                <w:sz w:val="24"/>
                <w:szCs w:val="24"/>
              </w:rPr>
              <w:t>euro</w:t>
            </w:r>
            <w:proofErr w:type="spellEnd"/>
            <w:r w:rsidRPr="00C96F2B">
              <w:rPr>
                <w:rFonts w:ascii="Times New Roman" w:hAnsi="Times New Roman" w:cs="Times New Roman"/>
                <w:iCs/>
                <w:sz w:val="24"/>
                <w:szCs w:val="24"/>
              </w:rPr>
              <w:t xml:space="preserve"> apmērā sedz no valsts budžeta programmas 02.00.00 „Līdzekļi neparedzētiem gadījumiem”.</w:t>
            </w:r>
          </w:p>
        </w:tc>
      </w:tr>
    </w:tbl>
    <w:p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C96F2B"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C96F2B"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izpildē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C96F2B" w:rsidRDefault="00CE0C15"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 Finanšu ministrija.</w:t>
            </w:r>
          </w:p>
        </w:tc>
      </w:tr>
      <w:tr w:rsidR="002674D5" w:rsidRPr="00C96F2B"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izpildes ietekme uz pārvaldes funkcijām un institucionālo struktūru.</w:t>
            </w:r>
          </w:p>
          <w:p w:rsidR="001813AA" w:rsidRPr="00C96F2B" w:rsidRDefault="001813AA" w:rsidP="0033499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C96F2B" w:rsidRDefault="000B0E45" w:rsidP="00334999">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Projekts nemaina iesaistītās institūcijas funkcijas</w:t>
            </w:r>
            <w:r w:rsidR="00334999" w:rsidRPr="00C96F2B">
              <w:rPr>
                <w:rFonts w:ascii="Times New Roman" w:eastAsia="Times New Roman" w:hAnsi="Times New Roman" w:cs="Times New Roman"/>
                <w:sz w:val="24"/>
                <w:szCs w:val="24"/>
                <w:lang w:eastAsia="lv-LV"/>
              </w:rPr>
              <w:t xml:space="preserve">. Jaunas institūcijas netiek paredzētas, netiek likvidētas un nav ietekmes uz institūcijas cilvēkresursiem. </w:t>
            </w:r>
          </w:p>
        </w:tc>
      </w:tr>
      <w:tr w:rsidR="002674D5" w:rsidRPr="00C96F2B"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C96F2B" w:rsidRDefault="000B0E45"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CF0D14" w:rsidRPr="00C96F2B" w:rsidRDefault="00CF0D14" w:rsidP="001813AA">
      <w:pPr>
        <w:spacing w:after="0" w:line="240" w:lineRule="auto"/>
        <w:rPr>
          <w:rFonts w:ascii="Times New Roman" w:hAnsi="Times New Roman" w:cs="Times New Roman"/>
          <w:sz w:val="24"/>
          <w:szCs w:val="24"/>
        </w:rPr>
      </w:pPr>
    </w:p>
    <w:p w:rsidR="00CE0C15" w:rsidRPr="00C96F2B" w:rsidRDefault="00CE0C15" w:rsidP="001813AA">
      <w:pPr>
        <w:spacing w:after="0" w:line="240" w:lineRule="auto"/>
        <w:rPr>
          <w:rFonts w:ascii="Times New Roman" w:hAnsi="Times New Roman" w:cs="Times New Roman"/>
          <w:sz w:val="24"/>
          <w:szCs w:val="24"/>
        </w:rPr>
      </w:pPr>
      <w:r w:rsidRPr="00C96F2B">
        <w:rPr>
          <w:rFonts w:ascii="Times New Roman" w:hAnsi="Times New Roman" w:cs="Times New Roman"/>
          <w:sz w:val="24"/>
          <w:szCs w:val="24"/>
        </w:rPr>
        <w:t>Projekta IV, V un VI sadaļas – projekts šo jomu neskar.</w:t>
      </w:r>
    </w:p>
    <w:p w:rsidR="00CE0C15" w:rsidRPr="00C96F2B" w:rsidRDefault="00CE0C15" w:rsidP="001813AA">
      <w:pPr>
        <w:spacing w:after="0" w:line="240" w:lineRule="auto"/>
        <w:rPr>
          <w:rFonts w:ascii="Times New Roman" w:hAnsi="Times New Roman" w:cs="Times New Roman"/>
          <w:sz w:val="24"/>
          <w:szCs w:val="24"/>
        </w:rPr>
      </w:pPr>
    </w:p>
    <w:p w:rsidR="00CE0C15" w:rsidRPr="00C96F2B" w:rsidRDefault="00CE0C15" w:rsidP="001813AA">
      <w:pPr>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r w:rsidRPr="00C96F2B">
        <w:rPr>
          <w:rFonts w:ascii="Times New Roman" w:hAnsi="Times New Roman" w:cs="Times New Roman"/>
          <w:sz w:val="24"/>
          <w:szCs w:val="24"/>
        </w:rPr>
        <w:t xml:space="preserve">Ārlietu ministrs </w:t>
      </w:r>
      <w:r w:rsidRPr="00C96F2B">
        <w:rPr>
          <w:rFonts w:ascii="Times New Roman" w:hAnsi="Times New Roman" w:cs="Times New Roman"/>
          <w:sz w:val="24"/>
          <w:szCs w:val="24"/>
        </w:rPr>
        <w:tab/>
        <w:t xml:space="preserve">Edgars </w:t>
      </w:r>
      <w:proofErr w:type="spellStart"/>
      <w:r w:rsidRPr="00C96F2B">
        <w:rPr>
          <w:rFonts w:ascii="Times New Roman" w:hAnsi="Times New Roman" w:cs="Times New Roman"/>
          <w:sz w:val="24"/>
          <w:szCs w:val="24"/>
        </w:rPr>
        <w:t>Rinkēvičs</w:t>
      </w:r>
      <w:proofErr w:type="spellEnd"/>
      <w:r w:rsidRPr="00C96F2B">
        <w:rPr>
          <w:rFonts w:ascii="Times New Roman" w:hAnsi="Times New Roman" w:cs="Times New Roman"/>
          <w:sz w:val="24"/>
          <w:szCs w:val="24"/>
        </w:rPr>
        <w:t xml:space="preserve"> </w:t>
      </w:r>
    </w:p>
    <w:p w:rsidR="001813AA" w:rsidRPr="00C96F2B" w:rsidRDefault="001813AA" w:rsidP="001813AA">
      <w:pPr>
        <w:tabs>
          <w:tab w:val="left" w:pos="6521"/>
        </w:tabs>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r w:rsidRPr="00C96F2B">
        <w:rPr>
          <w:rFonts w:ascii="Times New Roman" w:hAnsi="Times New Roman" w:cs="Times New Roman"/>
          <w:sz w:val="24"/>
          <w:szCs w:val="24"/>
        </w:rPr>
        <w:t xml:space="preserve">Vīza: valsts sekretārs </w:t>
      </w:r>
      <w:r w:rsidRPr="00C96F2B">
        <w:rPr>
          <w:rFonts w:ascii="Times New Roman" w:hAnsi="Times New Roman" w:cs="Times New Roman"/>
          <w:sz w:val="24"/>
          <w:szCs w:val="24"/>
        </w:rPr>
        <w:tab/>
        <w:t>Andrejs Pildegovičs</w:t>
      </w:r>
    </w:p>
    <w:p w:rsidR="001813AA" w:rsidRPr="00C96F2B" w:rsidRDefault="001813AA">
      <w:pPr>
        <w:tabs>
          <w:tab w:val="left" w:pos="6521"/>
        </w:tabs>
        <w:spacing w:after="0" w:line="240" w:lineRule="auto"/>
        <w:rPr>
          <w:rFonts w:ascii="Times New Roman" w:hAnsi="Times New Roman" w:cs="Times New Roman"/>
          <w:sz w:val="24"/>
          <w:szCs w:val="24"/>
        </w:rPr>
      </w:pPr>
    </w:p>
    <w:p w:rsidR="00021BB5" w:rsidRDefault="00021BB5" w:rsidP="00CE0C15">
      <w:pPr>
        <w:tabs>
          <w:tab w:val="left" w:pos="6521"/>
        </w:tabs>
        <w:spacing w:after="0" w:line="240" w:lineRule="auto"/>
        <w:rPr>
          <w:rFonts w:ascii="Times New Roman" w:hAnsi="Times New Roman" w:cs="Times New Roman"/>
          <w:sz w:val="20"/>
          <w:szCs w:val="20"/>
        </w:rPr>
      </w:pPr>
    </w:p>
    <w:p w:rsidR="00021BB5" w:rsidRDefault="00021BB5" w:rsidP="00CE0C15">
      <w:pPr>
        <w:tabs>
          <w:tab w:val="left" w:pos="6521"/>
        </w:tabs>
        <w:spacing w:after="0" w:line="240" w:lineRule="auto"/>
        <w:rPr>
          <w:rFonts w:ascii="Times New Roman" w:hAnsi="Times New Roman" w:cs="Times New Roman"/>
          <w:sz w:val="20"/>
          <w:szCs w:val="20"/>
        </w:rPr>
      </w:pPr>
    </w:p>
    <w:p w:rsidR="00CE0C15" w:rsidRPr="00D87EEB" w:rsidRDefault="00FA498D" w:rsidP="00CE0C15">
      <w:pPr>
        <w:tabs>
          <w:tab w:val="left" w:pos="6521"/>
        </w:tabs>
        <w:spacing w:after="0" w:line="240" w:lineRule="auto"/>
        <w:rPr>
          <w:rFonts w:ascii="Times New Roman" w:hAnsi="Times New Roman" w:cs="Times New Roman"/>
          <w:sz w:val="20"/>
          <w:szCs w:val="20"/>
        </w:rPr>
      </w:pPr>
      <w:bookmarkStart w:id="0" w:name="_GoBack"/>
      <w:bookmarkEnd w:id="0"/>
      <w:r w:rsidRPr="00D87EEB">
        <w:rPr>
          <w:rFonts w:ascii="Times New Roman" w:hAnsi="Times New Roman" w:cs="Times New Roman"/>
          <w:sz w:val="20"/>
          <w:szCs w:val="20"/>
        </w:rPr>
        <w:t>0</w:t>
      </w:r>
      <w:r w:rsidR="00021BB5">
        <w:rPr>
          <w:rFonts w:ascii="Times New Roman" w:hAnsi="Times New Roman" w:cs="Times New Roman"/>
          <w:sz w:val="20"/>
          <w:szCs w:val="20"/>
        </w:rPr>
        <w:t>8</w:t>
      </w:r>
      <w:r w:rsidR="00CE0C15" w:rsidRPr="00D87EEB">
        <w:rPr>
          <w:rFonts w:ascii="Times New Roman" w:hAnsi="Times New Roman" w:cs="Times New Roman"/>
          <w:sz w:val="20"/>
          <w:szCs w:val="20"/>
        </w:rPr>
        <w:t>.0</w:t>
      </w:r>
      <w:r w:rsidR="00902655" w:rsidRPr="00D87EEB">
        <w:rPr>
          <w:rFonts w:ascii="Times New Roman" w:hAnsi="Times New Roman" w:cs="Times New Roman"/>
          <w:sz w:val="20"/>
          <w:szCs w:val="20"/>
        </w:rPr>
        <w:t>5</w:t>
      </w:r>
      <w:r w:rsidR="00CE0C15" w:rsidRPr="00D87EEB">
        <w:rPr>
          <w:rFonts w:ascii="Times New Roman" w:hAnsi="Times New Roman" w:cs="Times New Roman"/>
          <w:sz w:val="20"/>
          <w:szCs w:val="20"/>
        </w:rPr>
        <w:t xml:space="preserve">.2015. </w:t>
      </w:r>
    </w:p>
    <w:p w:rsidR="00554D74" w:rsidRPr="00D87EEB" w:rsidRDefault="00FA498D" w:rsidP="00CE0C15">
      <w:pPr>
        <w:tabs>
          <w:tab w:val="left" w:pos="6521"/>
        </w:tabs>
        <w:spacing w:after="0" w:line="240" w:lineRule="auto"/>
        <w:rPr>
          <w:rFonts w:ascii="Times New Roman" w:hAnsi="Times New Roman" w:cs="Times New Roman"/>
          <w:sz w:val="20"/>
          <w:szCs w:val="20"/>
        </w:rPr>
      </w:pPr>
      <w:r w:rsidRPr="006C3722">
        <w:rPr>
          <w:rFonts w:ascii="Times New Roman" w:hAnsi="Times New Roman" w:cs="Times New Roman"/>
          <w:sz w:val="20"/>
          <w:szCs w:val="20"/>
        </w:rPr>
        <w:t>3</w:t>
      </w:r>
      <w:r w:rsidR="00294ADE">
        <w:rPr>
          <w:rFonts w:ascii="Times New Roman" w:hAnsi="Times New Roman" w:cs="Times New Roman"/>
          <w:sz w:val="20"/>
          <w:szCs w:val="20"/>
        </w:rPr>
        <w:t>2</w:t>
      </w:r>
      <w:r>
        <w:rPr>
          <w:rFonts w:ascii="Times New Roman" w:hAnsi="Times New Roman" w:cs="Times New Roman"/>
          <w:sz w:val="20"/>
          <w:szCs w:val="20"/>
        </w:rPr>
        <w:t>6</w:t>
      </w:r>
      <w:r w:rsidRPr="006C3722">
        <w:rPr>
          <w:rFonts w:ascii="Times New Roman" w:hAnsi="Times New Roman" w:cs="Times New Roman"/>
          <w:sz w:val="20"/>
          <w:szCs w:val="20"/>
        </w:rPr>
        <w:t>0</w:t>
      </w:r>
    </w:p>
    <w:p w:rsidR="00CE0C15" w:rsidRPr="00724CFA" w:rsidRDefault="00CE0C15" w:rsidP="00CE0C15">
      <w:pPr>
        <w:tabs>
          <w:tab w:val="left" w:pos="6521"/>
        </w:tabs>
        <w:spacing w:after="0" w:line="240" w:lineRule="auto"/>
        <w:rPr>
          <w:rFonts w:ascii="Times New Roman" w:hAnsi="Times New Roman" w:cs="Times New Roman"/>
          <w:sz w:val="20"/>
          <w:szCs w:val="20"/>
        </w:rPr>
      </w:pPr>
      <w:r w:rsidRPr="00D87EEB">
        <w:rPr>
          <w:rFonts w:ascii="Times New Roman" w:hAnsi="Times New Roman" w:cs="Times New Roman"/>
          <w:sz w:val="20"/>
          <w:szCs w:val="20"/>
        </w:rPr>
        <w:t>S</w:t>
      </w:r>
      <w:r w:rsidR="00554D74" w:rsidRPr="00D87EEB">
        <w:rPr>
          <w:rFonts w:ascii="Times New Roman" w:hAnsi="Times New Roman" w:cs="Times New Roman"/>
          <w:sz w:val="20"/>
          <w:szCs w:val="20"/>
        </w:rPr>
        <w:t>igne</w:t>
      </w:r>
      <w:r w:rsidRPr="00724CFA">
        <w:rPr>
          <w:rFonts w:ascii="Times New Roman" w:hAnsi="Times New Roman" w:cs="Times New Roman"/>
          <w:sz w:val="20"/>
          <w:szCs w:val="20"/>
        </w:rPr>
        <w:t xml:space="preserve"> Jansone</w:t>
      </w:r>
    </w:p>
    <w:p w:rsidR="00CE0C15" w:rsidRPr="00724CFA" w:rsidRDefault="00CE0C15" w:rsidP="00CE0C15">
      <w:pPr>
        <w:tabs>
          <w:tab w:val="left" w:pos="6521"/>
        </w:tabs>
        <w:spacing w:after="0" w:line="240" w:lineRule="auto"/>
        <w:rPr>
          <w:rFonts w:ascii="Times New Roman" w:hAnsi="Times New Roman" w:cs="Times New Roman"/>
          <w:sz w:val="20"/>
          <w:szCs w:val="20"/>
        </w:rPr>
      </w:pPr>
      <w:r w:rsidRPr="00724CFA">
        <w:rPr>
          <w:rFonts w:ascii="Times New Roman" w:hAnsi="Times New Roman" w:cs="Times New Roman"/>
          <w:sz w:val="20"/>
          <w:szCs w:val="20"/>
        </w:rPr>
        <w:t>Tālr. 67016333, fakss 67828121</w:t>
      </w:r>
    </w:p>
    <w:p w:rsidR="00CE0C15" w:rsidRPr="00724CFA" w:rsidRDefault="00CE0C15" w:rsidP="00CE0C15">
      <w:pPr>
        <w:tabs>
          <w:tab w:val="left" w:pos="6521"/>
        </w:tabs>
        <w:spacing w:after="0" w:line="240" w:lineRule="auto"/>
        <w:rPr>
          <w:rFonts w:ascii="Times New Roman" w:hAnsi="Times New Roman" w:cs="Times New Roman"/>
          <w:sz w:val="20"/>
          <w:szCs w:val="20"/>
        </w:rPr>
      </w:pPr>
      <w:r w:rsidRPr="00724CFA">
        <w:rPr>
          <w:rFonts w:ascii="Times New Roman" w:hAnsi="Times New Roman" w:cs="Times New Roman"/>
          <w:sz w:val="20"/>
          <w:szCs w:val="20"/>
        </w:rPr>
        <w:t>e-pasts: signe.jansone@mfa.gov.lv</w:t>
      </w:r>
    </w:p>
    <w:sectPr w:rsidR="00CE0C15" w:rsidRPr="00724CFA" w:rsidSect="0023620A">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05" w:rsidRDefault="00657E05" w:rsidP="00CE0C15">
      <w:pPr>
        <w:spacing w:after="0" w:line="240" w:lineRule="auto"/>
      </w:pPr>
      <w:r>
        <w:separator/>
      </w:r>
    </w:p>
  </w:endnote>
  <w:endnote w:type="continuationSeparator" w:id="0">
    <w:p w:rsidR="00657E05" w:rsidRDefault="00657E05"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32802"/>
      <w:docPartObj>
        <w:docPartGallery w:val="Page Numbers (Bottom of Page)"/>
        <w:docPartUnique/>
      </w:docPartObj>
    </w:sdtPr>
    <w:sdtEndPr>
      <w:rPr>
        <w:rFonts w:ascii="Times New Roman" w:hAnsi="Times New Roman" w:cs="Times New Roman"/>
        <w:noProof/>
        <w:sz w:val="20"/>
        <w:szCs w:val="20"/>
      </w:rPr>
    </w:sdtEndPr>
    <w:sdtContent>
      <w:p w:rsidR="0023620A" w:rsidRDefault="0023620A" w:rsidP="0023620A">
        <w:pPr>
          <w:pStyle w:val="Footer"/>
          <w:jc w:val="both"/>
        </w:pPr>
      </w:p>
      <w:p w:rsidR="00021BB5" w:rsidRPr="00CB68B5" w:rsidRDefault="00021BB5" w:rsidP="00021BB5">
        <w:pPr>
          <w:spacing w:after="0" w:line="240" w:lineRule="auto"/>
          <w:jc w:val="both"/>
          <w:rPr>
            <w:rFonts w:ascii="Times New Roman" w:hAnsi="Times New Roman" w:cs="Times New Roman"/>
            <w:sz w:val="20"/>
            <w:szCs w:val="20"/>
          </w:rPr>
        </w:pPr>
        <w:r w:rsidRPr="00555061">
          <w:rPr>
            <w:rFonts w:ascii="Times New Roman" w:eastAsia="Times New Roman" w:hAnsi="Times New Roman" w:cs="Times New Roman"/>
            <w:sz w:val="18"/>
            <w:szCs w:val="18"/>
          </w:rPr>
          <w:t>AMAnot_080515_LNG</w:t>
        </w:r>
        <w:r w:rsidRPr="00CB68B5">
          <w:rPr>
            <w:rFonts w:ascii="Times New Roman" w:hAnsi="Times New Roman" w:cs="Times New Roman"/>
            <w:sz w:val="20"/>
            <w:szCs w:val="20"/>
          </w:rPr>
          <w:t xml:space="preserve">; 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sākotnējās ietekmes novērtējuma ziņojums (anotācija)</w:t>
        </w:r>
      </w:p>
      <w:p w:rsidR="0023620A" w:rsidRPr="0023620A" w:rsidRDefault="0023620A">
        <w:pPr>
          <w:pStyle w:val="Footer"/>
          <w:jc w:val="center"/>
          <w:rPr>
            <w:rFonts w:ascii="Times New Roman" w:hAnsi="Times New Roman" w:cs="Times New Roman"/>
            <w:sz w:val="20"/>
            <w:szCs w:val="20"/>
          </w:rPr>
        </w:pPr>
        <w:r w:rsidRPr="0023620A">
          <w:rPr>
            <w:rFonts w:ascii="Times New Roman" w:hAnsi="Times New Roman" w:cs="Times New Roman"/>
            <w:sz w:val="20"/>
            <w:szCs w:val="20"/>
          </w:rPr>
          <w:fldChar w:fldCharType="begin"/>
        </w:r>
        <w:r w:rsidRPr="0023620A">
          <w:rPr>
            <w:rFonts w:ascii="Times New Roman" w:hAnsi="Times New Roman" w:cs="Times New Roman"/>
            <w:sz w:val="20"/>
            <w:szCs w:val="20"/>
          </w:rPr>
          <w:instrText xml:space="preserve"> PAGE   \* MERGEFORMAT </w:instrText>
        </w:r>
        <w:r w:rsidRPr="0023620A">
          <w:rPr>
            <w:rFonts w:ascii="Times New Roman" w:hAnsi="Times New Roman" w:cs="Times New Roman"/>
            <w:sz w:val="20"/>
            <w:szCs w:val="20"/>
          </w:rPr>
          <w:fldChar w:fldCharType="separate"/>
        </w:r>
        <w:r w:rsidR="00021BB5">
          <w:rPr>
            <w:rFonts w:ascii="Times New Roman" w:hAnsi="Times New Roman" w:cs="Times New Roman"/>
            <w:noProof/>
            <w:sz w:val="20"/>
            <w:szCs w:val="20"/>
          </w:rPr>
          <w:t>11</w:t>
        </w:r>
        <w:r w:rsidRPr="0023620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57" w:rsidRPr="00CB68B5" w:rsidRDefault="00555061" w:rsidP="00CB68B5">
    <w:pPr>
      <w:spacing w:after="0" w:line="240" w:lineRule="auto"/>
      <w:jc w:val="both"/>
      <w:rPr>
        <w:rFonts w:ascii="Times New Roman" w:hAnsi="Times New Roman" w:cs="Times New Roman"/>
        <w:sz w:val="20"/>
        <w:szCs w:val="20"/>
      </w:rPr>
    </w:pPr>
    <w:r w:rsidRPr="00555061">
      <w:rPr>
        <w:rFonts w:ascii="Times New Roman" w:eastAsia="Times New Roman" w:hAnsi="Times New Roman" w:cs="Times New Roman"/>
        <w:sz w:val="18"/>
        <w:szCs w:val="18"/>
      </w:rPr>
      <w:t>AMAnot_080515_LNG</w:t>
    </w:r>
    <w:r w:rsidR="00482357" w:rsidRPr="00CB68B5">
      <w:rPr>
        <w:rFonts w:ascii="Times New Roman" w:hAnsi="Times New Roman" w:cs="Times New Roman"/>
        <w:sz w:val="20"/>
        <w:szCs w:val="20"/>
      </w:rPr>
      <w:t xml:space="preserve">; Ministru kabineta rīkojuma projekta </w:t>
    </w:r>
    <w:r w:rsidR="00AC640A" w:rsidRPr="00CB68B5">
      <w:rPr>
        <w:rFonts w:ascii="Times New Roman" w:hAnsi="Times New Roman" w:cs="Times New Roman"/>
        <w:sz w:val="20"/>
        <w:szCs w:val="20"/>
        <w:lang w:eastAsia="lv-LV"/>
      </w:rPr>
      <w:t>„</w:t>
    </w:r>
    <w:r w:rsidR="00CB68B5" w:rsidRPr="00CB68B5">
      <w:rPr>
        <w:rFonts w:ascii="Times New Roman" w:eastAsia="Arial" w:hAnsi="Times New Roman" w:cs="Times New Roman"/>
        <w:kern w:val="1"/>
        <w:sz w:val="20"/>
        <w:szCs w:val="20"/>
      </w:rPr>
      <w:t>Par finanšu līdzekļu piešķiršanu no valsts budžeta programmas „Līdzekļi neparedzētiem gadījumiem”</w:t>
    </w:r>
    <w:r w:rsidR="00CB68B5">
      <w:rPr>
        <w:rFonts w:ascii="Times New Roman" w:eastAsia="Arial" w:hAnsi="Times New Roman" w:cs="Times New Roman"/>
        <w:kern w:val="1"/>
        <w:sz w:val="20"/>
        <w:szCs w:val="20"/>
      </w:rPr>
      <w:t xml:space="preserve">” </w:t>
    </w:r>
    <w:r w:rsidR="00482357" w:rsidRPr="00CB68B5">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05" w:rsidRDefault="00657E05" w:rsidP="00CE0C15">
      <w:pPr>
        <w:spacing w:after="0" w:line="240" w:lineRule="auto"/>
      </w:pPr>
      <w:r>
        <w:separator/>
      </w:r>
    </w:p>
  </w:footnote>
  <w:footnote w:type="continuationSeparator" w:id="0">
    <w:p w:rsidR="00657E05" w:rsidRDefault="00657E05" w:rsidP="00CE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
    <w:nsid w:val="0B683E8C"/>
    <w:multiLevelType w:val="multilevel"/>
    <w:tmpl w:val="2DF6B4F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CF1CE9"/>
    <w:multiLevelType w:val="multilevel"/>
    <w:tmpl w:val="93DE52F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4">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C54F3C"/>
    <w:multiLevelType w:val="multilevel"/>
    <w:tmpl w:val="CADE3A0A"/>
    <w:lvl w:ilvl="0">
      <w:start w:val="9"/>
      <w:numFmt w:val="decimal"/>
      <w:lvlText w:val="%1."/>
      <w:lvlJc w:val="left"/>
      <w:pPr>
        <w:ind w:left="360" w:hanging="360"/>
      </w:pPr>
      <w:rPr>
        <w:rFonts w:hint="default"/>
        <w:b/>
      </w:rPr>
    </w:lvl>
    <w:lvl w:ilvl="1">
      <w:start w:val="2"/>
      <w:numFmt w:val="decimal"/>
      <w:lvlText w:val="%1.%2."/>
      <w:lvlJc w:val="left"/>
      <w:pPr>
        <w:ind w:left="380" w:hanging="360"/>
      </w:pPr>
      <w:rPr>
        <w:rFonts w:hint="default"/>
        <w:b w:val="0"/>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6">
    <w:nsid w:val="25027773"/>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7">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8">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065249D"/>
    <w:multiLevelType w:val="hybridMultilevel"/>
    <w:tmpl w:val="6F86FC36"/>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6706CA3"/>
    <w:multiLevelType w:val="hybridMultilevel"/>
    <w:tmpl w:val="FF52A12C"/>
    <w:lvl w:ilvl="0" w:tplc="B016EEE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13">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376DA1"/>
    <w:multiLevelType w:val="hybridMultilevel"/>
    <w:tmpl w:val="CDEECB88"/>
    <w:lvl w:ilvl="0" w:tplc="A41A042E">
      <w:start w:val="201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73A55867"/>
    <w:multiLevelType w:val="hybridMultilevel"/>
    <w:tmpl w:val="FF6C5FBA"/>
    <w:lvl w:ilvl="0" w:tplc="92C03E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AB954C8"/>
    <w:multiLevelType w:val="hybridMultilevel"/>
    <w:tmpl w:val="6FD47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0"/>
  </w:num>
  <w:num w:numId="5">
    <w:abstractNumId w:val="4"/>
  </w:num>
  <w:num w:numId="6">
    <w:abstractNumId w:val="1"/>
  </w:num>
  <w:num w:numId="7">
    <w:abstractNumId w:val="13"/>
  </w:num>
  <w:num w:numId="8">
    <w:abstractNumId w:val="6"/>
  </w:num>
  <w:num w:numId="9">
    <w:abstractNumId w:val="5"/>
  </w:num>
  <w:num w:numId="10">
    <w:abstractNumId w:val="14"/>
  </w:num>
  <w:num w:numId="11">
    <w:abstractNumId w:val="12"/>
  </w:num>
  <w:num w:numId="12">
    <w:abstractNumId w:val="11"/>
  </w:num>
  <w:num w:numId="13">
    <w:abstractNumId w:val="15"/>
  </w:num>
  <w:num w:numId="14">
    <w:abstractNumId w:val="9"/>
  </w:num>
  <w:num w:numId="15">
    <w:abstractNumId w:val="16"/>
  </w:num>
  <w:num w:numId="16">
    <w:abstractNumId w:val="8"/>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21BB5"/>
    <w:rsid w:val="00022EB5"/>
    <w:rsid w:val="000613FF"/>
    <w:rsid w:val="00074C0E"/>
    <w:rsid w:val="00074E47"/>
    <w:rsid w:val="000905B6"/>
    <w:rsid w:val="000A5A05"/>
    <w:rsid w:val="000B0E45"/>
    <w:rsid w:val="000B196F"/>
    <w:rsid w:val="000C60B2"/>
    <w:rsid w:val="000E3341"/>
    <w:rsid w:val="00153871"/>
    <w:rsid w:val="001744B2"/>
    <w:rsid w:val="001813AA"/>
    <w:rsid w:val="00182F40"/>
    <w:rsid w:val="001A4E2E"/>
    <w:rsid w:val="001B186C"/>
    <w:rsid w:val="001D3364"/>
    <w:rsid w:val="001D6783"/>
    <w:rsid w:val="001D72E3"/>
    <w:rsid w:val="001F3E13"/>
    <w:rsid w:val="00232AEE"/>
    <w:rsid w:val="0023620A"/>
    <w:rsid w:val="002640FD"/>
    <w:rsid w:val="002674D5"/>
    <w:rsid w:val="00275F0C"/>
    <w:rsid w:val="00283193"/>
    <w:rsid w:val="00284E9D"/>
    <w:rsid w:val="00294ADE"/>
    <w:rsid w:val="0029697B"/>
    <w:rsid w:val="0029762E"/>
    <w:rsid w:val="002B066F"/>
    <w:rsid w:val="002E65C8"/>
    <w:rsid w:val="0032135F"/>
    <w:rsid w:val="00334999"/>
    <w:rsid w:val="003D5B88"/>
    <w:rsid w:val="003D73A4"/>
    <w:rsid w:val="003E76A8"/>
    <w:rsid w:val="00404E4C"/>
    <w:rsid w:val="00414314"/>
    <w:rsid w:val="00441E43"/>
    <w:rsid w:val="0047547A"/>
    <w:rsid w:val="00482357"/>
    <w:rsid w:val="004D6054"/>
    <w:rsid w:val="004F0E62"/>
    <w:rsid w:val="005220E6"/>
    <w:rsid w:val="00527C51"/>
    <w:rsid w:val="00540B85"/>
    <w:rsid w:val="00546FA1"/>
    <w:rsid w:val="00550BE4"/>
    <w:rsid w:val="00552E29"/>
    <w:rsid w:val="00554D74"/>
    <w:rsid w:val="00555061"/>
    <w:rsid w:val="005551BF"/>
    <w:rsid w:val="00573F3D"/>
    <w:rsid w:val="00574F23"/>
    <w:rsid w:val="005F1458"/>
    <w:rsid w:val="005F3865"/>
    <w:rsid w:val="00610DE0"/>
    <w:rsid w:val="00623E60"/>
    <w:rsid w:val="00657E05"/>
    <w:rsid w:val="00684E0E"/>
    <w:rsid w:val="00687293"/>
    <w:rsid w:val="006A6ADC"/>
    <w:rsid w:val="006C3722"/>
    <w:rsid w:val="006C37ED"/>
    <w:rsid w:val="006C5821"/>
    <w:rsid w:val="006D4A51"/>
    <w:rsid w:val="006F10F6"/>
    <w:rsid w:val="007159A3"/>
    <w:rsid w:val="00721D61"/>
    <w:rsid w:val="00721D91"/>
    <w:rsid w:val="00724CFA"/>
    <w:rsid w:val="0072744C"/>
    <w:rsid w:val="00733940"/>
    <w:rsid w:val="00752E9B"/>
    <w:rsid w:val="0076211F"/>
    <w:rsid w:val="0076398D"/>
    <w:rsid w:val="00784386"/>
    <w:rsid w:val="007D1F68"/>
    <w:rsid w:val="007F5319"/>
    <w:rsid w:val="007F7E78"/>
    <w:rsid w:val="00817B1B"/>
    <w:rsid w:val="00845877"/>
    <w:rsid w:val="00846E01"/>
    <w:rsid w:val="00850AAA"/>
    <w:rsid w:val="00856A84"/>
    <w:rsid w:val="00886567"/>
    <w:rsid w:val="008A2203"/>
    <w:rsid w:val="008A460A"/>
    <w:rsid w:val="008B39A9"/>
    <w:rsid w:val="008C761B"/>
    <w:rsid w:val="008D05EC"/>
    <w:rsid w:val="00902655"/>
    <w:rsid w:val="00914A5F"/>
    <w:rsid w:val="00922B7D"/>
    <w:rsid w:val="00943447"/>
    <w:rsid w:val="00966D3F"/>
    <w:rsid w:val="00967B10"/>
    <w:rsid w:val="00992EFB"/>
    <w:rsid w:val="009A197E"/>
    <w:rsid w:val="009B5816"/>
    <w:rsid w:val="009B5BF9"/>
    <w:rsid w:val="009D606E"/>
    <w:rsid w:val="009F4140"/>
    <w:rsid w:val="00A0274C"/>
    <w:rsid w:val="00A1733F"/>
    <w:rsid w:val="00A30F57"/>
    <w:rsid w:val="00A464B9"/>
    <w:rsid w:val="00A5664E"/>
    <w:rsid w:val="00A644C6"/>
    <w:rsid w:val="00A77D20"/>
    <w:rsid w:val="00A8181D"/>
    <w:rsid w:val="00AB5EA1"/>
    <w:rsid w:val="00AC3402"/>
    <w:rsid w:val="00AC640A"/>
    <w:rsid w:val="00AF400D"/>
    <w:rsid w:val="00B00774"/>
    <w:rsid w:val="00B07042"/>
    <w:rsid w:val="00B21609"/>
    <w:rsid w:val="00B52BE6"/>
    <w:rsid w:val="00B8131B"/>
    <w:rsid w:val="00B81C15"/>
    <w:rsid w:val="00BB1058"/>
    <w:rsid w:val="00BC112C"/>
    <w:rsid w:val="00BE1341"/>
    <w:rsid w:val="00BE7E55"/>
    <w:rsid w:val="00C0115D"/>
    <w:rsid w:val="00C02403"/>
    <w:rsid w:val="00C14CD0"/>
    <w:rsid w:val="00C4294A"/>
    <w:rsid w:val="00C44C09"/>
    <w:rsid w:val="00C7631A"/>
    <w:rsid w:val="00C8788B"/>
    <w:rsid w:val="00C9274B"/>
    <w:rsid w:val="00C96F2B"/>
    <w:rsid w:val="00CA05E0"/>
    <w:rsid w:val="00CB68B5"/>
    <w:rsid w:val="00CC7870"/>
    <w:rsid w:val="00CE0C15"/>
    <w:rsid w:val="00CE3E9A"/>
    <w:rsid w:val="00CE5833"/>
    <w:rsid w:val="00CF0D14"/>
    <w:rsid w:val="00CF0E26"/>
    <w:rsid w:val="00D44CE5"/>
    <w:rsid w:val="00D47D65"/>
    <w:rsid w:val="00D512B1"/>
    <w:rsid w:val="00D87EEB"/>
    <w:rsid w:val="00DA6934"/>
    <w:rsid w:val="00DF10C1"/>
    <w:rsid w:val="00E461B6"/>
    <w:rsid w:val="00E52090"/>
    <w:rsid w:val="00E9384C"/>
    <w:rsid w:val="00EA6A30"/>
    <w:rsid w:val="00EA742D"/>
    <w:rsid w:val="00EE70D0"/>
    <w:rsid w:val="00F36260"/>
    <w:rsid w:val="00F74039"/>
    <w:rsid w:val="00F80A3F"/>
    <w:rsid w:val="00FA1398"/>
    <w:rsid w:val="00FA476B"/>
    <w:rsid w:val="00FA49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 w:type="character" w:styleId="Hyperlink">
    <w:name w:val="Hyperlink"/>
    <w:basedOn w:val="DefaultParagraphFont"/>
    <w:uiPriority w:val="99"/>
    <w:semiHidden/>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 w:type="character" w:styleId="Hyperlink">
    <w:name w:val="Hyperlink"/>
    <w:basedOn w:val="DefaultParagraphFont"/>
    <w:uiPriority w:val="99"/>
    <w:semiHidden/>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0079">
      <w:bodyDiv w:val="1"/>
      <w:marLeft w:val="0"/>
      <w:marRight w:val="0"/>
      <w:marTop w:val="0"/>
      <w:marBottom w:val="0"/>
      <w:divBdr>
        <w:top w:val="none" w:sz="0" w:space="0" w:color="auto"/>
        <w:left w:val="none" w:sz="0" w:space="0" w:color="auto"/>
        <w:bottom w:val="none" w:sz="0" w:space="0" w:color="auto"/>
        <w:right w:val="none" w:sz="0" w:space="0" w:color="auto"/>
      </w:divBdr>
    </w:div>
    <w:div w:id="113062207">
      <w:bodyDiv w:val="1"/>
      <w:marLeft w:val="0"/>
      <w:marRight w:val="0"/>
      <w:marTop w:val="0"/>
      <w:marBottom w:val="0"/>
      <w:divBdr>
        <w:top w:val="none" w:sz="0" w:space="0" w:color="auto"/>
        <w:left w:val="none" w:sz="0" w:space="0" w:color="auto"/>
        <w:bottom w:val="none" w:sz="0" w:space="0" w:color="auto"/>
        <w:right w:val="none" w:sz="0" w:space="0" w:color="auto"/>
      </w:divBdr>
    </w:div>
    <w:div w:id="157893687">
      <w:bodyDiv w:val="1"/>
      <w:marLeft w:val="0"/>
      <w:marRight w:val="0"/>
      <w:marTop w:val="0"/>
      <w:marBottom w:val="0"/>
      <w:divBdr>
        <w:top w:val="none" w:sz="0" w:space="0" w:color="auto"/>
        <w:left w:val="none" w:sz="0" w:space="0" w:color="auto"/>
        <w:bottom w:val="none" w:sz="0" w:space="0" w:color="auto"/>
        <w:right w:val="none" w:sz="0" w:space="0" w:color="auto"/>
      </w:divBdr>
    </w:div>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525486385">
      <w:bodyDiv w:val="1"/>
      <w:marLeft w:val="0"/>
      <w:marRight w:val="0"/>
      <w:marTop w:val="0"/>
      <w:marBottom w:val="0"/>
      <w:divBdr>
        <w:top w:val="none" w:sz="0" w:space="0" w:color="auto"/>
        <w:left w:val="none" w:sz="0" w:space="0" w:color="auto"/>
        <w:bottom w:val="none" w:sz="0" w:space="0" w:color="auto"/>
        <w:right w:val="none" w:sz="0" w:space="0" w:color="auto"/>
      </w:divBdr>
    </w:div>
    <w:div w:id="543521539">
      <w:bodyDiv w:val="1"/>
      <w:marLeft w:val="0"/>
      <w:marRight w:val="0"/>
      <w:marTop w:val="0"/>
      <w:marBottom w:val="0"/>
      <w:divBdr>
        <w:top w:val="none" w:sz="0" w:space="0" w:color="auto"/>
        <w:left w:val="none" w:sz="0" w:space="0" w:color="auto"/>
        <w:bottom w:val="none" w:sz="0" w:space="0" w:color="auto"/>
        <w:right w:val="none" w:sz="0" w:space="0" w:color="auto"/>
      </w:divBdr>
    </w:div>
    <w:div w:id="700086755">
      <w:bodyDiv w:val="1"/>
      <w:marLeft w:val="0"/>
      <w:marRight w:val="0"/>
      <w:marTop w:val="0"/>
      <w:marBottom w:val="0"/>
      <w:divBdr>
        <w:top w:val="none" w:sz="0" w:space="0" w:color="auto"/>
        <w:left w:val="none" w:sz="0" w:space="0" w:color="auto"/>
        <w:bottom w:val="none" w:sz="0" w:space="0" w:color="auto"/>
        <w:right w:val="none" w:sz="0" w:space="0" w:color="auto"/>
      </w:divBdr>
    </w:div>
    <w:div w:id="779684028">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960916793">
      <w:bodyDiv w:val="1"/>
      <w:marLeft w:val="0"/>
      <w:marRight w:val="0"/>
      <w:marTop w:val="0"/>
      <w:marBottom w:val="0"/>
      <w:divBdr>
        <w:top w:val="none" w:sz="0" w:space="0" w:color="auto"/>
        <w:left w:val="none" w:sz="0" w:space="0" w:color="auto"/>
        <w:bottom w:val="none" w:sz="0" w:space="0" w:color="auto"/>
        <w:right w:val="none" w:sz="0" w:space="0" w:color="auto"/>
      </w:divBdr>
    </w:div>
    <w:div w:id="983126122">
      <w:bodyDiv w:val="1"/>
      <w:marLeft w:val="0"/>
      <w:marRight w:val="0"/>
      <w:marTop w:val="0"/>
      <w:marBottom w:val="0"/>
      <w:divBdr>
        <w:top w:val="none" w:sz="0" w:space="0" w:color="auto"/>
        <w:left w:val="none" w:sz="0" w:space="0" w:color="auto"/>
        <w:bottom w:val="none" w:sz="0" w:space="0" w:color="auto"/>
        <w:right w:val="none" w:sz="0" w:space="0" w:color="auto"/>
      </w:divBdr>
    </w:div>
    <w:div w:id="993025892">
      <w:bodyDiv w:val="1"/>
      <w:marLeft w:val="0"/>
      <w:marRight w:val="0"/>
      <w:marTop w:val="0"/>
      <w:marBottom w:val="0"/>
      <w:divBdr>
        <w:top w:val="none" w:sz="0" w:space="0" w:color="auto"/>
        <w:left w:val="none" w:sz="0" w:space="0" w:color="auto"/>
        <w:bottom w:val="none" w:sz="0" w:space="0" w:color="auto"/>
        <w:right w:val="none" w:sz="0" w:space="0" w:color="auto"/>
      </w:divBdr>
    </w:div>
    <w:div w:id="1103109892">
      <w:bodyDiv w:val="1"/>
      <w:marLeft w:val="0"/>
      <w:marRight w:val="0"/>
      <w:marTop w:val="0"/>
      <w:marBottom w:val="0"/>
      <w:divBdr>
        <w:top w:val="none" w:sz="0" w:space="0" w:color="auto"/>
        <w:left w:val="none" w:sz="0" w:space="0" w:color="auto"/>
        <w:bottom w:val="none" w:sz="0" w:space="0" w:color="auto"/>
        <w:right w:val="none" w:sz="0" w:space="0" w:color="auto"/>
      </w:divBdr>
    </w:div>
    <w:div w:id="1220819072">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2957">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20986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9663-513E-4933-9932-FFDB2A32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16415</Words>
  <Characters>9357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Signe Jansone</cp:lastModifiedBy>
  <cp:revision>3</cp:revision>
  <cp:lastPrinted>2015-05-07T08:29:00Z</cp:lastPrinted>
  <dcterms:created xsi:type="dcterms:W3CDTF">2015-05-07T08:28:00Z</dcterms:created>
  <dcterms:modified xsi:type="dcterms:W3CDTF">2015-05-07T08:29:00Z</dcterms:modified>
</cp:coreProperties>
</file>