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D" w:rsidRPr="007849C5" w:rsidRDefault="00A97E7D" w:rsidP="00A97E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A10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Likumprojekt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Pr="00FA10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849C5" w:rsidRPr="007849C5">
        <w:rPr>
          <w:rFonts w:ascii="Times New Roman" w:hAnsi="Times New Roman" w:cs="Times New Roman"/>
          <w:b/>
          <w:sz w:val="28"/>
          <w:szCs w:val="28"/>
        </w:rPr>
        <w:t>„Grozījumi Latvijas Administratīvo pārkāpumu kodeksā”</w:t>
      </w:r>
    </w:p>
    <w:p w:rsidR="00A97E7D" w:rsidRDefault="00A97E7D" w:rsidP="00A9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A97E7D" w:rsidRDefault="00A97E7D" w:rsidP="00A9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1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1"/>
      </w:tblGrid>
      <w:tr w:rsidR="00A97E7D" w:rsidRPr="00DE73A5" w:rsidTr="00544C0B">
        <w:trPr>
          <w:trHeight w:val="1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2809"/>
              <w:gridCol w:w="6189"/>
            </w:tblGrid>
            <w:tr w:rsidR="00A45217" w:rsidRPr="00D35B53" w:rsidTr="00544C0B">
              <w:trPr>
                <w:trHeight w:val="405"/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A45217" w:rsidRPr="00D35B53" w:rsidTr="00544C0B">
              <w:trPr>
                <w:trHeight w:val="405"/>
                <w:tblCellSpacing w:w="15" w:type="dxa"/>
              </w:trPr>
              <w:tc>
                <w:tcPr>
                  <w:tcW w:w="237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474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Pamatojums</w:t>
                  </w:r>
                </w:p>
              </w:tc>
              <w:tc>
                <w:tcPr>
                  <w:tcW w:w="3224" w:type="pct"/>
                  <w:hideMark/>
                </w:tcPr>
                <w:p w:rsidR="007849C5" w:rsidRPr="00D35B53" w:rsidRDefault="007849C5" w:rsidP="00153344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Ministru kabineta 19.10.2011. sēdes protokola Nr.60, 62.§ 6.punkts paredz, ka konkurences tiesību pārkāpumi, atbildība par kuriem paredzēta Latvijas Administratīvo pārkāpumu kodeksā 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(turpmāk – LAPK)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turpmāk īstenojami Administratīvā procesa likumā </w:t>
                  </w:r>
                  <w:r w:rsidR="000D0AA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(turpmāk – APL)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noteiktajā kārtībā saskaņā ar Konkurences likumā noteikto.</w:t>
                  </w:r>
                </w:p>
                <w:p w:rsidR="000822E9" w:rsidRPr="00D35B53" w:rsidRDefault="00062C03" w:rsidP="000822E9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Ministru kabineta komiteja 05.01.2015. sēdē (prot.Nr.1, 2.§) atbalstīja tālākai virzīšanai likumprojektu „Grozījumi Konkurences likumā”</w:t>
                  </w:r>
                  <w:r w:rsidR="00153344"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(VSS-1767, TA-2985)</w:t>
                  </w:r>
                  <w:r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822E9"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vienlaikus uzdodot Ekonomikas ministrijai </w:t>
                  </w:r>
                  <w:r w:rsidR="000822E9"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sagatavot likumprojektu par attiecīgiem grozījumiem Latvijas Administratīvo pārkāpumu kodeksā</w:t>
                  </w:r>
                  <w:r w:rsidR="000822E9" w:rsidRPr="00082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iesniegt to Valsts kancelejā (2.2., 2.3.apakšpunkts).</w:t>
                  </w:r>
                </w:p>
              </w:tc>
            </w:tr>
            <w:tr w:rsidR="00A45217" w:rsidRPr="00D35B53" w:rsidTr="00544C0B">
              <w:trPr>
                <w:trHeight w:val="465"/>
                <w:tblCellSpacing w:w="15" w:type="dxa"/>
              </w:trPr>
              <w:tc>
                <w:tcPr>
                  <w:tcW w:w="237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474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224" w:type="pct"/>
                  <w:hideMark/>
                </w:tcPr>
                <w:p w:rsidR="007849C5" w:rsidRPr="00D35B53" w:rsidRDefault="007849C5" w:rsidP="00A03BB6">
                  <w:pPr>
                    <w:pStyle w:val="naiskr"/>
                    <w:spacing w:before="0" w:after="0"/>
                    <w:jc w:val="both"/>
                  </w:pPr>
                  <w:r w:rsidRPr="00D35B53">
                    <w:rPr>
                      <w:iCs/>
                    </w:rPr>
                    <w:t xml:space="preserve">Šobrīd atbildība par tirgus dalībnieku procesuālajiem pārkāpumiem konkurences lietu izmeklēšanas procesā (informācijas nesniegšana, Konkurences padomes amatpersonu likumīgo prasību nepildīšana) ir noteikta </w:t>
                  </w:r>
                  <w:r w:rsidR="00A03BB6" w:rsidRPr="00D35B53">
                    <w:rPr>
                      <w:iCs/>
                    </w:rPr>
                    <w:t>LAPK</w:t>
                  </w:r>
                  <w:r w:rsidRPr="00D35B53">
                    <w:rPr>
                      <w:iCs/>
                    </w:rPr>
                    <w:t xml:space="preserve">, kamēr sodi par materiāliem pārkāpumiem paredzēti Konkurences likuma 12., 14. un 17.pantā. Ņemot vērā konkurences tiesību specifiku, nepieciešams paredzēt, lai visi </w:t>
                  </w:r>
                  <w:r w:rsidRPr="00D35B53">
                    <w:t xml:space="preserve">pārkāpumi konkurences tiesību jomā tiktu izskatīti vienota regulējuma ietvaros Konkurences likumā paredzētajā kārtībā, ievērojot administratīvā procesa principus. </w:t>
                  </w:r>
                  <w:r w:rsidR="00A03BB6" w:rsidRPr="00D35B53">
                    <w:t>Tādējādi arī tiktu nodrošināts, ka</w:t>
                  </w:r>
                  <w:r w:rsidRPr="00D35B53">
                    <w:t xml:space="preserve"> atbildība par procesuālajiem pārkāpumiem ir samērojama ar atbildību par materiāliem pārkāpumiem, kas paredzēti Konkurences likuma 11., 13. un 17.pantā, kā arī</w:t>
                  </w:r>
                  <w:r w:rsidRPr="00D35B53">
                    <w:rPr>
                      <w:iCs/>
                    </w:rPr>
                    <w:t xml:space="preserve"> regulas </w:t>
                  </w:r>
                  <w:r w:rsidR="00D934D2" w:rsidRPr="00D35B53">
                    <w:rPr>
                      <w:iCs/>
                    </w:rPr>
                    <w:t>Nr.</w:t>
                  </w:r>
                  <w:r w:rsidRPr="00D35B53">
                    <w:rPr>
                      <w:iCs/>
                    </w:rPr>
                    <w:t xml:space="preserve">1/2003 23.pantā, </w:t>
                  </w:r>
                  <w:r w:rsidR="00A03BB6" w:rsidRPr="00D35B53">
                    <w:t>panākot</w:t>
                  </w:r>
                  <w:r w:rsidRPr="00D35B53">
                    <w:t xml:space="preserve"> atbilstošu </w:t>
                  </w:r>
                  <w:proofErr w:type="spellStart"/>
                  <w:r w:rsidRPr="00D35B53">
                    <w:t>prevenciju</w:t>
                  </w:r>
                  <w:proofErr w:type="spellEnd"/>
                  <w:r w:rsidRPr="00D35B53">
                    <w:t xml:space="preserve"> un nacionālo un</w:t>
                  </w:r>
                  <w:r w:rsidR="00F776BC" w:rsidRPr="00D35B53">
                    <w:t xml:space="preserve"> </w:t>
                  </w:r>
                  <w:r w:rsidRPr="00D35B53">
                    <w:t>Eiropas Savienības konkurences pārkāpumu izmeklēšanas procesa efektivitāti.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Likumprojekta mērķis, ievērojot </w:t>
                  </w:r>
                  <w:r w:rsidR="001732E8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iepriekšminēto un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Ministru kabineta 19.10.2011. sēdes protokola Nr.60, 62.§ 6.punktu,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ir izslē</w:t>
                  </w:r>
                  <w:r w:rsidR="00A03BB6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gt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no LAPK 175.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perscript"/>
                    </w:rPr>
                    <w:t>5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175.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perscript"/>
                    </w:rPr>
                    <w:t>6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 un </w:t>
                  </w:r>
                  <w:r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215.</w:t>
                  </w:r>
                  <w:r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  <w:r w:rsidRPr="00D35B53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pant</w:t>
                  </w:r>
                  <w:r w:rsidR="00A03BB6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u, kā rezultātā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procesuālo pārkāpumu izmeklēšanas process turpmāk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tiks īstenots Konkurences likuma noteiktajā kārtībā atbilstoši </w:t>
                  </w:r>
                  <w:r w:rsidR="000D0AA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noteiktajiem principiem. Šāds regulējums nodrošinās, ka vienkopus ir noteikta atbildība gan par materiāliem pārkāpumiem (Konkurences likuma 11., 13. un 17.pants un LESD 101. un 102.pants), gan par procesuālajiem pārkāpumiem.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Konkurences padomes iziešana no administratīvo sodu sistēmas, turpmāk paredzot procesuālo pārkāpumu konkurences tiesību jomā izmeklēšanu Konkurences likumā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atbilstoši APL ir saskaņota arī ar Tieslietu ministrijas izstrādāto likumprojektu „Administratīvo pārkāpumu procesa likums”</w:t>
                  </w:r>
                  <w:r w:rsidR="00860AC8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kas 13.12.2014. atbalstīts pirmajā lasījumā Saeimā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860AC8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Nr.16/Lp12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7849C5" w:rsidRPr="00D35B53" w:rsidRDefault="007849C5" w:rsidP="00A03BB6">
                  <w:pPr>
                    <w:pStyle w:val="naisc"/>
                    <w:spacing w:before="0" w:after="0"/>
                    <w:jc w:val="both"/>
                  </w:pPr>
                  <w:r w:rsidRPr="00D35B53">
                    <w:t>Pamatojoties uz statistiku par pieņemtajiem lēmumiem, ar kuriem konstatēts Latvijas Administratīvo pārkāpumu kodeksa 175.</w:t>
                  </w:r>
                  <w:r w:rsidRPr="00D35B53">
                    <w:rPr>
                      <w:vertAlign w:val="superscript"/>
                    </w:rPr>
                    <w:t>5</w:t>
                  </w:r>
                  <w:r w:rsidRPr="00D35B53">
                    <w:t xml:space="preserve"> un 175.</w:t>
                  </w:r>
                  <w:r w:rsidRPr="00D35B53">
                    <w:rPr>
                      <w:vertAlign w:val="superscript"/>
                    </w:rPr>
                    <w:t xml:space="preserve">6 </w:t>
                  </w:r>
                  <w:r w:rsidRPr="00D35B53">
                    <w:t>pantu pārkāpumi (APK lēmumi), secinām</w:t>
                  </w:r>
                  <w:r w:rsidR="00A03BB6" w:rsidRPr="00D35B53">
                    <w:t>s</w:t>
                  </w:r>
                  <w:r w:rsidRPr="00D35B53">
                    <w:t>, ka gadā vidēji prognozējami 2 gadījumi, kad varētu tikt pārsūdzēts Konkurences padomes lēmums par procesuāliem pārkāpumiem.</w:t>
                  </w:r>
                </w:p>
                <w:p w:rsidR="007849C5" w:rsidRPr="00D35B53" w:rsidRDefault="007849C5" w:rsidP="00A03BB6">
                  <w:pPr>
                    <w:pStyle w:val="naisc"/>
                    <w:spacing w:before="0" w:after="0"/>
                    <w:jc w:val="left"/>
                  </w:pPr>
                  <w:r w:rsidRPr="00D35B53">
                    <w:t>Attiecīgi:</w:t>
                  </w:r>
                </w:p>
                <w:p w:rsidR="00A03BB6" w:rsidRPr="00D35B53" w:rsidRDefault="00A03BB6" w:rsidP="00A03BB6">
                  <w:pPr>
                    <w:pStyle w:val="naisc"/>
                    <w:spacing w:before="0" w:after="0"/>
                    <w:jc w:val="left"/>
                  </w:pPr>
                  <w:r w:rsidRPr="00D35B53">
                    <w:t>2014.gadā pieņemti 2 APK lēmumi, no tiem pārsūdzēti 2;</w:t>
                  </w:r>
                </w:p>
                <w:p w:rsidR="007849C5" w:rsidRPr="00D35B53" w:rsidRDefault="007849C5" w:rsidP="00A03BB6">
                  <w:pPr>
                    <w:pStyle w:val="naisc"/>
                    <w:spacing w:before="0" w:after="0"/>
                    <w:jc w:val="left"/>
                  </w:pPr>
                  <w:r w:rsidRPr="00D35B53">
                    <w:t>2013.gadā pieņemti 2 APK lēmumi, no tiem pārsūdzēti 2;</w:t>
                  </w:r>
                </w:p>
                <w:p w:rsidR="007849C5" w:rsidRPr="00D35B53" w:rsidRDefault="007849C5" w:rsidP="00A03BB6">
                  <w:pPr>
                    <w:pStyle w:val="naisc"/>
                    <w:spacing w:before="0" w:after="0"/>
                    <w:jc w:val="left"/>
                  </w:pPr>
                  <w:r w:rsidRPr="00D35B53">
                    <w:t>2012.g</w:t>
                  </w:r>
                  <w:r w:rsidR="001B2757">
                    <w:t xml:space="preserve">adā </w:t>
                  </w:r>
                  <w:r w:rsidR="001B2757" w:rsidRPr="00D35B53">
                    <w:t xml:space="preserve">pieņemti </w:t>
                  </w:r>
                  <w:r w:rsidRPr="00D35B53">
                    <w:t>8 APK lēmumi (pārsūdzēti 3);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2011.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adā</w:t>
                  </w:r>
                  <w:r w:rsidR="001B2757">
                    <w:t xml:space="preserve"> 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pieņemti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APK lēmumi ((pārsūdzēti 3);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2010.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gadā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pieņemtu APK lēmumu</w:t>
                  </w:r>
                  <w:r w:rsidR="00B03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2009.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adā</w:t>
                  </w:r>
                  <w:r w:rsidR="001B2757">
                    <w:t xml:space="preserve"> 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pieņemts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APK lēmums (pārsūdzēts);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2008.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adā</w:t>
                  </w:r>
                  <w:r w:rsidR="001B2757">
                    <w:t xml:space="preserve"> 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pieņemts 1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APK lēmums (pārsūdzēts);</w:t>
                  </w:r>
                </w:p>
                <w:p w:rsidR="007849C5" w:rsidRPr="00D35B53" w:rsidRDefault="007849C5" w:rsidP="00A03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2007.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adā</w:t>
                  </w:r>
                  <w:r w:rsidR="001B2757">
                    <w:t xml:space="preserve"> 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pieņemti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APK lēmumi (3 pārsūdzēti);</w:t>
                  </w:r>
                </w:p>
                <w:p w:rsidR="00A97E7D" w:rsidRDefault="007849C5" w:rsidP="00D93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2006.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1B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adā</w:t>
                  </w:r>
                  <w:r w:rsidR="001B2757">
                    <w:t xml:space="preserve"> </w:t>
                  </w:r>
                  <w:r w:rsidR="001B275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pieņemti</w:t>
                  </w:r>
                  <w:r w:rsidR="00055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 APK lēmumi (4 pārsūdzēti).</w:t>
                  </w:r>
                </w:p>
                <w:p w:rsidR="00055560" w:rsidRPr="00D35B53" w:rsidRDefault="00055560" w:rsidP="006339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 Konkurences padomes lēmumi par administratīvā soda uzlikšanu pašlaik atrodas tiesvedībā un nav nodoti iz</w:t>
                  </w:r>
                  <w:r w:rsidR="00087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pildei. Vismaz trīs lēmumi, kas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nodoti izpildei un ar kuru uzlikto administratīvo sodu kopējais apmērs ir 12</w:t>
                  </w:r>
                  <w:r w:rsidR="0057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 w:rsidR="0057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144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7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vēl nav izpildīti. </w:t>
                  </w:r>
                </w:p>
              </w:tc>
            </w:tr>
            <w:tr w:rsidR="00A45217" w:rsidRPr="00D35B53" w:rsidTr="00544C0B">
              <w:trPr>
                <w:trHeight w:val="465"/>
                <w:tblCellSpacing w:w="15" w:type="dxa"/>
              </w:trPr>
              <w:tc>
                <w:tcPr>
                  <w:tcW w:w="237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474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izstrādē iesaistītās institūcijas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24" w:type="pct"/>
                  <w:hideMark/>
                </w:tcPr>
                <w:p w:rsidR="00A97E7D" w:rsidRPr="00D35B53" w:rsidRDefault="00153344" w:rsidP="00544C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Konkurences padome</w:t>
                  </w:r>
                </w:p>
              </w:tc>
            </w:tr>
            <w:tr w:rsidR="00A45217" w:rsidRPr="00D35B53" w:rsidTr="00544C0B">
              <w:trPr>
                <w:tblCellSpacing w:w="15" w:type="dxa"/>
              </w:trPr>
              <w:tc>
                <w:tcPr>
                  <w:tcW w:w="237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474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24" w:type="pct"/>
                  <w:hideMark/>
                </w:tcPr>
                <w:p w:rsidR="00A97E7D" w:rsidRPr="00D35B53" w:rsidRDefault="00A97E7D" w:rsidP="00544C0B">
                  <w:pPr>
                    <w:pStyle w:val="Normal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/>
                      <w:sz w:val="24"/>
                      <w:szCs w:val="24"/>
                    </w:rPr>
                    <w:t xml:space="preserve">Nav </w:t>
                  </w:r>
                </w:p>
                <w:p w:rsidR="00A97E7D" w:rsidRPr="00D35B53" w:rsidRDefault="00A97E7D" w:rsidP="00544C0B">
                  <w:pPr>
                    <w:pStyle w:val="Normal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97E7D" w:rsidRPr="00D35B53" w:rsidRDefault="00A97E7D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B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902"/>
              <w:gridCol w:w="6071"/>
            </w:tblGrid>
            <w:tr w:rsidR="00A45217" w:rsidRPr="00D35B53" w:rsidTr="00544C0B">
              <w:trPr>
                <w:trHeight w:val="555"/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A45217" w:rsidRPr="00D35B53" w:rsidTr="00544C0B">
              <w:trPr>
                <w:trHeight w:val="465"/>
                <w:tblCellSpacing w:w="15" w:type="dxa"/>
              </w:trPr>
              <w:tc>
                <w:tcPr>
                  <w:tcW w:w="25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23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Sabiedrības </w:t>
                  </w:r>
                  <w:proofErr w:type="spellStart"/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mērķgrupas</w:t>
                  </w:r>
                  <w:proofErr w:type="spellEnd"/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kuras tiesiskais regulējums ietekmē vai varētu ietekmēt</w:t>
                  </w:r>
                </w:p>
              </w:tc>
              <w:tc>
                <w:tcPr>
                  <w:tcW w:w="3162" w:type="pct"/>
                  <w:hideMark/>
                </w:tcPr>
                <w:p w:rsidR="001732E8" w:rsidRPr="00D35B53" w:rsidRDefault="003B14F5" w:rsidP="001533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Tirgus dalībnieki, t.i., visas personas, k</w:t>
                  </w:r>
                  <w:r w:rsidR="00913C1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ur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as </w:t>
                  </w:r>
                  <w:r w:rsidR="001732E8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var ietekmēt konkurenci.</w:t>
                  </w:r>
                </w:p>
                <w:p w:rsidR="00A97E7D" w:rsidRPr="00D35B53" w:rsidRDefault="00A97E7D" w:rsidP="001533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45217" w:rsidRPr="00D35B53" w:rsidTr="00544C0B">
              <w:trPr>
                <w:trHeight w:val="510"/>
                <w:tblCellSpacing w:w="15" w:type="dxa"/>
              </w:trPr>
              <w:tc>
                <w:tcPr>
                  <w:tcW w:w="25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23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162" w:type="pct"/>
                  <w:hideMark/>
                </w:tcPr>
                <w:p w:rsidR="00A45217" w:rsidRPr="00D35B53" w:rsidRDefault="003B14F5" w:rsidP="006702BF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Likumprojekts paredz 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izslēgt no LAPK 175.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perscript"/>
                    </w:rPr>
                    <w:t>5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175.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perscript"/>
                    </w:rPr>
                    <w:t>6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 un </w:t>
                  </w:r>
                  <w:r w:rsidR="00E26BF1"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215.</w:t>
                  </w:r>
                  <w:r w:rsidR="00E26BF1"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vertAlign w:val="superscript"/>
                    </w:rPr>
                    <w:t>8</w:t>
                  </w:r>
                  <w:r w:rsidR="00E26BF1" w:rsidRPr="00D35B53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E26BF1"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pantu, kā rezultātā procesuālo pārkāpumu izmeklēšanas process turpmāk </w:t>
                  </w:r>
                  <w:r w:rsidR="00E26BF1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tiks īstenots Konkurences likuma noteiktajā kārtībā atbilstoši </w:t>
                  </w:r>
                  <w:r w:rsidR="000D0AA7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</w:t>
                  </w:r>
                  <w:r w:rsidR="00E26BF1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noteiktajiem principiem. Augstākminētā rezultātā tiks nodrošināts, ka atbildība par procesuālajiem pārkāpumiem ir samērojama ar atbildību par materiāliem pārkāpumiem, kas nodrošinās augstāku </w:t>
                  </w:r>
                  <w:proofErr w:type="spellStart"/>
                  <w:r w:rsidR="00E26BF1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prevenciju</w:t>
                  </w:r>
                  <w:proofErr w:type="spellEnd"/>
                  <w:r w:rsidR="00E26BF1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efektīvāku konkurences tiesību piemērošanu, veicinot ātrāku konkurences tiesību pārkāpumu izpēti un novēršanu. Tādējādi tiks veicināti godīgas konkurences apstākļi tirgus dalībniekiem, kas pozitīvi ietekmēs tautsaimniecību.</w:t>
                  </w:r>
                </w:p>
              </w:tc>
            </w:tr>
            <w:tr w:rsidR="00A45217" w:rsidRPr="00D35B53" w:rsidTr="00544C0B">
              <w:trPr>
                <w:trHeight w:val="510"/>
                <w:tblCellSpacing w:w="15" w:type="dxa"/>
              </w:trPr>
              <w:tc>
                <w:tcPr>
                  <w:tcW w:w="25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523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162" w:type="pct"/>
                  <w:hideMark/>
                </w:tcPr>
                <w:p w:rsidR="00A97E7D" w:rsidRPr="00D35B53" w:rsidRDefault="001732E8" w:rsidP="009E7ED0">
                  <w:pPr>
                    <w:pStyle w:val="naiskr"/>
                    <w:spacing w:before="0" w:after="0"/>
                    <w:jc w:val="both"/>
                  </w:pPr>
                  <w:r w:rsidRPr="00D35B53">
                    <w:rPr>
                      <w:iCs/>
                    </w:rPr>
                    <w:t>Pašlaik valsts nodeva par lēmuma administratīvā pārkāpuma lietā netiek prasīta.</w:t>
                  </w:r>
                  <w:r w:rsidR="00983540" w:rsidRPr="00D35B53">
                    <w:rPr>
                      <w:iCs/>
                    </w:rPr>
                    <w:t xml:space="preserve"> Paredzot atbildību par procesuālajiem pārkāpumiem Konkurences likumā, kas tiktu piemērota</w:t>
                  </w:r>
                  <w:r w:rsidR="00E67600">
                    <w:rPr>
                      <w:iCs/>
                    </w:rPr>
                    <w:t>,</w:t>
                  </w:r>
                  <w:r w:rsidR="00983540" w:rsidRPr="00D35B53">
                    <w:rPr>
                      <w:iCs/>
                    </w:rPr>
                    <w:t xml:space="preserve"> ievērojot administratīvā procesa principus</w:t>
                  </w:r>
                  <w:r w:rsidR="00F776BC" w:rsidRPr="00D35B53">
                    <w:rPr>
                      <w:iCs/>
                    </w:rPr>
                    <w:t xml:space="preserve"> </w:t>
                  </w:r>
                  <w:r w:rsidR="00983540" w:rsidRPr="00D35B53">
                    <w:rPr>
                      <w:iCs/>
                    </w:rPr>
                    <w:t>un paredzot lēmumu pārsūdzību</w:t>
                  </w:r>
                  <w:r w:rsidR="00F776BC" w:rsidRPr="00D35B53">
                    <w:rPr>
                      <w:iCs/>
                    </w:rPr>
                    <w:t xml:space="preserve"> </w:t>
                  </w:r>
                  <w:r w:rsidR="00983540" w:rsidRPr="00D35B53">
                    <w:rPr>
                      <w:iCs/>
                    </w:rPr>
                    <w:t xml:space="preserve">Konkurences likumā un </w:t>
                  </w:r>
                  <w:r w:rsidR="000D0AA7" w:rsidRPr="00D35B53">
                    <w:rPr>
                      <w:iCs/>
                    </w:rPr>
                    <w:t>APL</w:t>
                  </w:r>
                  <w:r w:rsidR="00983540" w:rsidRPr="00D35B53">
                    <w:rPr>
                      <w:iCs/>
                    </w:rPr>
                    <w:t xml:space="preserve"> kārtībā </w:t>
                  </w:r>
                  <w:r w:rsidR="00406317" w:rsidRPr="00D35B53">
                    <w:rPr>
                      <w:iCs/>
                    </w:rPr>
                    <w:t>pieteicējam par lietas ierosināšanu tiesā jā</w:t>
                  </w:r>
                  <w:r w:rsidRPr="00D35B53">
                    <w:rPr>
                      <w:iCs/>
                    </w:rPr>
                    <w:t xml:space="preserve">maksā </w:t>
                  </w:r>
                  <w:r w:rsidR="00406317" w:rsidRPr="00D35B53">
                    <w:rPr>
                      <w:iCs/>
                    </w:rPr>
                    <w:t>valsts nodev</w:t>
                  </w:r>
                  <w:r w:rsidR="009E7ED0">
                    <w:rPr>
                      <w:iCs/>
                    </w:rPr>
                    <w:t>a</w:t>
                  </w:r>
                  <w:r w:rsidR="00406317" w:rsidRPr="00D35B53">
                    <w:rPr>
                      <w:iCs/>
                    </w:rPr>
                    <w:t xml:space="preserve"> 28,46 </w:t>
                  </w:r>
                  <w:proofErr w:type="spellStart"/>
                  <w:r w:rsidR="00F776BC" w:rsidRPr="00D35B53">
                    <w:rPr>
                      <w:i/>
                      <w:iCs/>
                    </w:rPr>
                    <w:t>euro</w:t>
                  </w:r>
                  <w:proofErr w:type="spellEnd"/>
                  <w:r w:rsidR="00406317" w:rsidRPr="00D35B53">
                    <w:rPr>
                      <w:iCs/>
                    </w:rPr>
                    <w:t xml:space="preserve"> apmērā, savukārt par kasācijas sūdzību nepieciešams maksāt drošības naudu 71,14 </w:t>
                  </w:r>
                  <w:proofErr w:type="spellStart"/>
                  <w:r w:rsidR="00F776BC" w:rsidRPr="00D35B53">
                    <w:rPr>
                      <w:i/>
                      <w:iCs/>
                    </w:rPr>
                    <w:t>euro</w:t>
                  </w:r>
                  <w:proofErr w:type="spellEnd"/>
                  <w:r w:rsidR="00406317" w:rsidRPr="00D35B53">
                    <w:rPr>
                      <w:iCs/>
                    </w:rPr>
                    <w:t xml:space="preserve"> apmērā.</w:t>
                  </w:r>
                </w:p>
              </w:tc>
            </w:tr>
            <w:tr w:rsidR="00A45217" w:rsidRPr="00D35B53" w:rsidTr="003152D4">
              <w:trPr>
                <w:trHeight w:val="310"/>
                <w:tblCellSpacing w:w="15" w:type="dxa"/>
              </w:trPr>
              <w:tc>
                <w:tcPr>
                  <w:tcW w:w="25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23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162" w:type="pct"/>
                  <w:hideMark/>
                </w:tcPr>
                <w:p w:rsidR="00A97E7D" w:rsidRPr="00D35B53" w:rsidRDefault="007522CA" w:rsidP="00B26F44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C66FFD" w:rsidRPr="00D35B53" w:rsidRDefault="00C66FFD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1173"/>
              <w:gridCol w:w="1349"/>
              <w:gridCol w:w="1217"/>
              <w:gridCol w:w="1217"/>
              <w:gridCol w:w="2426"/>
            </w:tblGrid>
            <w:tr w:rsidR="00A45217" w:rsidRPr="00D35B53" w:rsidTr="00D114BA">
              <w:trPr>
                <w:trHeight w:val="360"/>
                <w:tblCellSpacing w:w="15" w:type="dxa"/>
                <w:jc w:val="center"/>
              </w:trPr>
              <w:tc>
                <w:tcPr>
                  <w:tcW w:w="4968" w:type="pct"/>
                  <w:gridSpan w:val="6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A45217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vMerge w:val="restar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Rādītāji</w:t>
                  </w:r>
                </w:p>
              </w:tc>
              <w:tc>
                <w:tcPr>
                  <w:tcW w:w="1340" w:type="pct"/>
                  <w:gridSpan w:val="2"/>
                  <w:vMerge w:val="restart"/>
                  <w:vAlign w:val="center"/>
                  <w:hideMark/>
                </w:tcPr>
                <w:p w:rsidR="00A97E7D" w:rsidRPr="00D35B53" w:rsidRDefault="00E26BF1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2015</w:t>
                  </w:r>
                </w:p>
              </w:tc>
              <w:tc>
                <w:tcPr>
                  <w:tcW w:w="2480" w:type="pct"/>
                  <w:gridSpan w:val="3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Turpmākie trīs gadi (</w:t>
                  </w:r>
                  <w:proofErr w:type="spellStart"/>
                  <w:r w:rsidR="00F776BC" w:rsidRPr="00D35B5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vMerge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0" w:type="pct"/>
                  <w:gridSpan w:val="2"/>
                  <w:vMerge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40" w:type="pct"/>
                  <w:vAlign w:val="center"/>
                  <w:hideMark/>
                </w:tcPr>
                <w:p w:rsidR="00A97E7D" w:rsidRPr="00D35B53" w:rsidRDefault="00D114BA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2016</w:t>
                  </w:r>
                </w:p>
              </w:tc>
              <w:tc>
                <w:tcPr>
                  <w:tcW w:w="578" w:type="pct"/>
                  <w:vAlign w:val="center"/>
                  <w:hideMark/>
                </w:tcPr>
                <w:p w:rsidR="00A97E7D" w:rsidRPr="00D35B53" w:rsidRDefault="00A97E7D" w:rsidP="00D11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201</w:t>
                  </w:r>
                  <w:r w:rsidR="00D114BA"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1231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  <w:r w:rsidR="00D114BA"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018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vMerge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23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saskaņā ar valsts budžetu kārtējam gadam</w:t>
                  </w:r>
                </w:p>
              </w:tc>
              <w:tc>
                <w:tcPr>
                  <w:tcW w:w="701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A97E7D" w:rsidRPr="00D35B53" w:rsidRDefault="00A97E7D" w:rsidP="000F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izmaiņas, salīdzinot ar 201</w:t>
                  </w:r>
                  <w:r w:rsidR="000F6603"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 gadu</w:t>
                  </w:r>
                </w:p>
              </w:tc>
              <w:tc>
                <w:tcPr>
                  <w:tcW w:w="578" w:type="pct"/>
                  <w:vAlign w:val="center"/>
                  <w:hideMark/>
                </w:tcPr>
                <w:p w:rsidR="00A97E7D" w:rsidRPr="00D35B53" w:rsidRDefault="00A97E7D" w:rsidP="000F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izmaiņas, salīdzinot ar 201</w:t>
                  </w:r>
                  <w:r w:rsidR="000F6603"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 gadu</w:t>
                  </w:r>
                </w:p>
              </w:tc>
              <w:tc>
                <w:tcPr>
                  <w:tcW w:w="1231" w:type="pct"/>
                  <w:vAlign w:val="center"/>
                  <w:hideMark/>
                </w:tcPr>
                <w:p w:rsidR="00A97E7D" w:rsidRPr="00D35B53" w:rsidRDefault="00A97E7D" w:rsidP="000F66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izmaiņas, salīdzinot ar 201</w:t>
                  </w:r>
                  <w:r w:rsidR="000F6603"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 gadu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701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640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578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231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 Budžeta ieņēmumi: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1.2. valsts speciālais 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 Budžeta izdevumi: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2.1. valsts pamatbudžets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2.2. valsts speciālais 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 Finansiālā ietekme: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nav precīzi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aprēķināms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nav precīzi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aprēķināms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nav precīzi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aprēķināms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nav precīzi aprēķināms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3.1. valsts pamatbudžets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640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578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D114BA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D114BA" w:rsidRPr="00D35B53" w:rsidRDefault="00D114BA" w:rsidP="00D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3.2. speciālais budžets</w:t>
                  </w:r>
                </w:p>
              </w:tc>
              <w:tc>
                <w:tcPr>
                  <w:tcW w:w="623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D114BA" w:rsidRPr="00D35B53" w:rsidRDefault="00C66FFD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D114BA" w:rsidRPr="00D35B53" w:rsidRDefault="00D114BA" w:rsidP="00D11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623" w:type="pct"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623" w:type="pct"/>
                </w:tcPr>
                <w:p w:rsidR="00C66FFD" w:rsidRPr="00D35B53" w:rsidRDefault="00C66FFD" w:rsidP="00C66F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 Precizēta finansiālā ietekme:</w:t>
                  </w:r>
                </w:p>
              </w:tc>
              <w:tc>
                <w:tcPr>
                  <w:tcW w:w="623" w:type="pct"/>
                  <w:vMerge w:val="restart"/>
                </w:tcPr>
                <w:p w:rsidR="00C66FFD" w:rsidRPr="00D35B53" w:rsidRDefault="00C66FFD" w:rsidP="00C6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5.1. valsts pamatbudžets</w:t>
                  </w:r>
                </w:p>
              </w:tc>
              <w:tc>
                <w:tcPr>
                  <w:tcW w:w="623" w:type="pct"/>
                  <w:vMerge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5.2. speciālais budžets</w:t>
                  </w:r>
                </w:p>
              </w:tc>
              <w:tc>
                <w:tcPr>
                  <w:tcW w:w="623" w:type="pct"/>
                  <w:vMerge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623" w:type="pct"/>
                  <w:vMerge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8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1" w:type="pct"/>
                </w:tcPr>
                <w:p w:rsidR="00C66FFD" w:rsidRPr="00D35B53" w:rsidRDefault="00C66FFD" w:rsidP="00C66F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 Detalizēts ieņēmumu un izdevumu aprēķins (ja nepieciešams, detalizētu ieņēmumu un izdevumu aprēķinu var pievienot anotācijas pielikumā):</w:t>
                  </w:r>
                </w:p>
              </w:tc>
              <w:tc>
                <w:tcPr>
                  <w:tcW w:w="3836" w:type="pct"/>
                  <w:gridSpan w:val="5"/>
                  <w:vMerge w:val="restart"/>
                </w:tcPr>
                <w:p w:rsidR="00C66FFD" w:rsidRPr="00D35B53" w:rsidRDefault="00C66FFD" w:rsidP="00C66FF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Nav precīzi aprēķināms</w:t>
                  </w: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6.1. detalizēts ieņēmumu aprēķins</w:t>
                  </w:r>
                </w:p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36" w:type="pct"/>
                  <w:gridSpan w:val="5"/>
                  <w:vMerge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66FFD" w:rsidRPr="00D35B53" w:rsidTr="00C66FFD">
              <w:trPr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6.2. detalizēts izdevumu aprēķins</w:t>
                  </w:r>
                </w:p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36" w:type="pct"/>
                  <w:gridSpan w:val="5"/>
                  <w:vMerge/>
                  <w:vAlign w:val="center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66FFD" w:rsidRPr="00D35B53" w:rsidTr="00C66FFD">
              <w:trPr>
                <w:trHeight w:val="555"/>
                <w:tblCellSpacing w:w="15" w:type="dxa"/>
                <w:jc w:val="center"/>
              </w:trPr>
              <w:tc>
                <w:tcPr>
                  <w:tcW w:w="1117" w:type="pct"/>
                  <w:hideMark/>
                </w:tcPr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 Cita informācija</w:t>
                  </w:r>
                </w:p>
                <w:p w:rsidR="00C66FFD" w:rsidRPr="00D35B53" w:rsidRDefault="00C66FFD" w:rsidP="00C66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36" w:type="pct"/>
                  <w:gridSpan w:val="5"/>
                </w:tcPr>
                <w:p w:rsidR="00C66FFD" w:rsidRPr="003152D4" w:rsidRDefault="00C66FFD" w:rsidP="00C66F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Saistītais likumprojekts „</w:t>
                  </w:r>
                  <w:r w:rsidRPr="0031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Grozījumi Konkurences likumā” (VSS-1767, TA-2985) paredz naudas sodu par procesuāliem pārkāpumiem līdz 1 procenta apmēram no tirgus dalībnieka vai tirgus dalībnieku apvienības pēdējā finanšu gada neto apgrozījuma katram, bet ne mazāk kā 50 </w:t>
                  </w:r>
                  <w:proofErr w:type="spellStart"/>
                  <w:r w:rsidRPr="003152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31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katram.</w:t>
                  </w:r>
                </w:p>
                <w:p w:rsidR="00C66FFD" w:rsidRPr="00D35B53" w:rsidRDefault="00C66FFD" w:rsidP="00C66F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Attiecīgi, salīdzinot ar LAPK, kur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maksimālais naudas sods paredzēts 14 000 </w:t>
                  </w:r>
                  <w:proofErr w:type="spellStart"/>
                  <w:r w:rsidRPr="00D35B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D35B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apmērā, piemērojamais maksimālais naudas sods, ņemot vērā pārkāpēja iepriekšējā finanšu gada neto apgrozījumu, gan var pārsniegt, gan arī </w:t>
                  </w:r>
                  <w:r w:rsidR="00315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var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būt mazāks par pašreiz noteikto maksimālo naudas soda apmēru, pie tam naudas sodu piemēro, ievērojot konkrētās lietas apstākļus, pārkāpuma</w:t>
                  </w:r>
                  <w:r w:rsidR="008A5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raksturu, kā rezultātā aptuveno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iespējamos naudas soda apmērus nav iespējams prognozēt. Vienlaikus jāņem vērā, ka grozījumi paredzēti, lai samērotu naudas sodus par materiālajiem konkurences tiesību pārkāpumiem ar procesuālajiem</w:t>
                  </w:r>
                  <w:r w:rsidR="002C5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pārkāpumiem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attiecīgi nodrošinot sankciju efektivitāti arī attiecībā pret tirgus dalībniekiem, pret kuriem līdzšinējās sankcijas LAPK, ņemot vērā konkrētā tirgus dalībnieka gada apgrozījumu, nav uzskatāmas par pietiekoši preventīvām.</w:t>
                  </w:r>
                </w:p>
              </w:tc>
            </w:tr>
          </w:tbl>
          <w:p w:rsidR="00711EA9" w:rsidRPr="00D35B53" w:rsidRDefault="00711EA9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2710"/>
              <w:gridCol w:w="6254"/>
            </w:tblGrid>
            <w:tr w:rsidR="00A45217" w:rsidRPr="00D35B53" w:rsidTr="009E484A">
              <w:trPr>
                <w:trHeight w:val="555"/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IV. Tiesību akta projekta ietekme uz spēkā esošo 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tiesību normu sistēmu</w:t>
                  </w:r>
                </w:p>
              </w:tc>
            </w:tr>
            <w:tr w:rsidR="00A45217" w:rsidRPr="00D35B53" w:rsidTr="009E484A">
              <w:trPr>
                <w:trHeight w:val="465"/>
                <w:tblCellSpacing w:w="15" w:type="dxa"/>
              </w:trPr>
              <w:tc>
                <w:tcPr>
                  <w:tcW w:w="255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42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261" w:type="pct"/>
                  <w:hideMark/>
                </w:tcPr>
                <w:p w:rsidR="00D77CB8" w:rsidRPr="00D35B53" w:rsidRDefault="00D77CB8" w:rsidP="00D77C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Likumprojekts saistīts ar likumprojektu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Grozījumi Konkurences likumā” (VSS-1767, TA-2985; atbalstīts MKK 05.01.2015.</w:t>
                  </w:r>
                  <w:r w:rsidR="00C66FFD"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sēdē (prot.Nr.1, 2.§)), kas paredz atbildību par procesuāliem pārkāpumiem konkurences tiesību pārkāpumu izmeklēšanas laikā noteikt Konkurences likumā.</w:t>
                  </w:r>
                </w:p>
                <w:p w:rsidR="00D77CB8" w:rsidRPr="00D35B53" w:rsidRDefault="00D77CB8" w:rsidP="00D77C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Likumprojekta spēkā stāšanās paredzēta vienlaikus ar minēto grozījumu Konkurences likumā spēkā stāšanās brīdi.</w:t>
                  </w:r>
                </w:p>
              </w:tc>
            </w:tr>
            <w:tr w:rsidR="00A45217" w:rsidRPr="00D35B53" w:rsidTr="009E484A">
              <w:trPr>
                <w:trHeight w:val="510"/>
                <w:tblCellSpacing w:w="15" w:type="dxa"/>
              </w:trPr>
              <w:tc>
                <w:tcPr>
                  <w:tcW w:w="255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42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Atbildīgā institūcija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Ekonomikas ministrija</w:t>
                  </w:r>
                </w:p>
              </w:tc>
            </w:tr>
            <w:tr w:rsidR="00A45217" w:rsidRPr="00D35B53" w:rsidTr="009E484A">
              <w:trPr>
                <w:trHeight w:val="510"/>
                <w:tblCellSpacing w:w="15" w:type="dxa"/>
              </w:trPr>
              <w:tc>
                <w:tcPr>
                  <w:tcW w:w="255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42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1" w:type="pct"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:rsidR="00A97E7D" w:rsidRPr="00D35B53" w:rsidRDefault="00A97E7D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491"/>
            </w:tblGrid>
            <w:tr w:rsidR="00A45217" w:rsidRPr="00D35B53" w:rsidTr="00544C0B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97E7D" w:rsidRPr="00D35B53" w:rsidRDefault="00A97E7D" w:rsidP="00544C0B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A45217" w:rsidRPr="00D35B53" w:rsidTr="00544C0B">
              <w:trPr>
                <w:tblCellSpacing w:w="15" w:type="dxa"/>
              </w:trPr>
              <w:tc>
                <w:tcPr>
                  <w:tcW w:w="4968" w:type="pct"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:rsidR="00A97E7D" w:rsidRPr="00D35B53" w:rsidRDefault="00A97E7D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767"/>
              <w:gridCol w:w="6216"/>
            </w:tblGrid>
            <w:tr w:rsidR="007304A3" w:rsidRPr="00D35B53" w:rsidTr="007304A3">
              <w:trPr>
                <w:trHeight w:val="420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32DFC" w:rsidRPr="00D35B53" w:rsidRDefault="007304A3" w:rsidP="00026249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7304A3" w:rsidRPr="00D35B53" w:rsidTr="009E484A">
              <w:trPr>
                <w:trHeight w:val="540"/>
                <w:jc w:val="center"/>
              </w:trPr>
              <w:tc>
                <w:tcPr>
                  <w:tcW w:w="250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463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288" w:type="pct"/>
                  <w:hideMark/>
                </w:tcPr>
                <w:p w:rsidR="00281BA6" w:rsidRPr="00D35B53" w:rsidRDefault="00281BA6" w:rsidP="00281BA6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iCs/>
                    </w:rPr>
                  </w:pPr>
                  <w:r w:rsidRPr="00D35B53">
                    <w:rPr>
                      <w:iCs/>
                    </w:rPr>
                    <w:t xml:space="preserve">Sabiedrības informēšana par likumprojektu nodrošināta, informējot par izstrādātajiem grozījumiem Konkurences likumā </w:t>
                  </w:r>
                  <w:r w:rsidRPr="00D35B53">
                    <w:t>(VSS-1767, TA-2985)</w:t>
                  </w:r>
                  <w:r w:rsidRPr="00D35B53">
                    <w:rPr>
                      <w:iCs/>
                    </w:rPr>
                    <w:t xml:space="preserve">, ar kuriem paredzēts </w:t>
                  </w:r>
                  <w:r w:rsidRPr="00D35B53">
                    <w:t>atbildību par procesuāliem pārkāpumiem konkurences tiesību pārkāpumu izmeklēšanas laikā noteikt Konkurences likumā.</w:t>
                  </w:r>
                </w:p>
                <w:p w:rsidR="00281BA6" w:rsidRPr="00D35B53" w:rsidRDefault="00281BA6" w:rsidP="007304A3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iCs/>
                    </w:rPr>
                  </w:pPr>
                </w:p>
                <w:p w:rsidR="007304A3" w:rsidRPr="00D35B53" w:rsidRDefault="007304A3" w:rsidP="007304A3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rStyle w:val="st1"/>
                      <w:bCs/>
                    </w:rPr>
                  </w:pPr>
                  <w:r w:rsidRPr="00D35B53">
                    <w:rPr>
                      <w:iCs/>
                    </w:rPr>
                    <w:t>Attiecīgi minētais likumprojekts „Grozījumi Konkurences likumā” 2012.gada martā tika nosūtīts viedokļa sniegšanai</w:t>
                  </w:r>
                  <w:r w:rsidR="00F776BC" w:rsidRPr="00D35B53">
                    <w:rPr>
                      <w:iCs/>
                    </w:rPr>
                    <w:t xml:space="preserve"> </w:t>
                  </w:r>
                  <w:r w:rsidRPr="00D35B53">
                    <w:rPr>
                      <w:bCs/>
                    </w:rPr>
                    <w:t>Latvijas Darba devēju konfederācijai (LDDK</w:t>
                  </w:r>
                  <w:r w:rsidRPr="00521443">
                    <w:rPr>
                      <w:bCs/>
                      <w:i/>
                    </w:rPr>
                    <w:t xml:space="preserve">), </w:t>
                  </w:r>
                  <w:r w:rsidRPr="00521443">
                    <w:rPr>
                      <w:rStyle w:val="Emphasis"/>
                      <w:bCs/>
                      <w:i w:val="0"/>
                      <w:shd w:val="clear" w:color="auto" w:fill="FFFFFF"/>
                    </w:rPr>
                    <w:t>Latvijas Informācijas un komunikācijas tehnoloģijas asociācijai</w:t>
                  </w:r>
                  <w:r w:rsidRPr="00D35B53">
                    <w:rPr>
                      <w:rStyle w:val="Emphasis"/>
                      <w:bCs/>
                      <w:shd w:val="clear" w:color="auto" w:fill="FFFFFF"/>
                    </w:rPr>
                    <w:t xml:space="preserve">, </w:t>
                  </w:r>
                  <w:r w:rsidRPr="00D35B53">
                    <w:rPr>
                      <w:bCs/>
                    </w:rPr>
                    <w:t xml:space="preserve">Latvijas Komercbanku asociācijai, Latvijas Pārtikas tirgotāju asociācijai, Latvijas Tirdzniecības un rūpniecības kamerai (LTRK), Latvijas Tirgotāju asociācijai, Latvijas Zvērinātu advokātu padomei, Nacionālai trīspusējās sadarbības </w:t>
                  </w:r>
                  <w:r w:rsidRPr="00D35B53">
                    <w:rPr>
                      <w:bCs/>
                    </w:rPr>
                    <w:lastRenderedPageBreak/>
                    <w:t xml:space="preserve">padomei, </w:t>
                  </w:r>
                  <w:r w:rsidRPr="00D35B53">
                    <w:rPr>
                      <w:rStyle w:val="st1"/>
                      <w:bCs/>
                    </w:rPr>
                    <w:t>Patērētāju interešu aizstāvības asociācijai, kā arī atsevišķiem zvērinātu advokātu birojiem, kas specializējas konkurences tiesībās.</w:t>
                  </w:r>
                </w:p>
                <w:p w:rsidR="00EA044F" w:rsidRPr="00D35B53" w:rsidRDefault="007304A3" w:rsidP="00D35B53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iCs/>
                    </w:rPr>
                  </w:pPr>
                  <w:r w:rsidRPr="00D35B53">
                    <w:rPr>
                      <w:rStyle w:val="st1"/>
                      <w:bCs/>
                    </w:rPr>
                    <w:t xml:space="preserve">Pēc precizēšanas likumprojekts </w:t>
                  </w:r>
                  <w:r w:rsidR="00EA044F" w:rsidRPr="00D35B53">
                    <w:rPr>
                      <w:iCs/>
                    </w:rPr>
                    <w:t xml:space="preserve">„Grozījumi Konkurences likumā” </w:t>
                  </w:r>
                  <w:r w:rsidRPr="00D35B53">
                    <w:rPr>
                      <w:rStyle w:val="st1"/>
                      <w:bCs/>
                    </w:rPr>
                    <w:t xml:space="preserve">2013.gada februārī atkārtoti tika nosūtīts LTRK un LDDK. Ar LDDK un atsevišķiem advokātu birojiem tika noturēta tikšanās 2013.gada martā. </w:t>
                  </w:r>
                  <w:r w:rsidR="00824022" w:rsidRPr="00D35B53">
                    <w:rPr>
                      <w:rStyle w:val="st1"/>
                      <w:bCs/>
                    </w:rPr>
                    <w:t xml:space="preserve">Tālāka sabiedrības līdzdalība tika nodrošināta likumprojekta saskaņošanas ietvaros </w:t>
                  </w:r>
                  <w:r w:rsidR="00824022" w:rsidRPr="00D35B53">
                    <w:rPr>
                      <w:iCs/>
                    </w:rPr>
                    <w:t>pēc izsludināšanas Valsts sekretāru sanāksmē.</w:t>
                  </w:r>
                </w:p>
                <w:p w:rsidR="00D35B53" w:rsidRPr="00D35B53" w:rsidRDefault="00D35B53" w:rsidP="00D35B53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iCs/>
                    </w:rPr>
                  </w:pPr>
                </w:p>
                <w:p w:rsidR="00633964" w:rsidRPr="00633964" w:rsidRDefault="007304A3" w:rsidP="00633964">
                  <w:pPr>
                    <w:pStyle w:val="naiskr"/>
                    <w:spacing w:before="0" w:after="0"/>
                    <w:ind w:left="57" w:right="57"/>
                    <w:jc w:val="both"/>
                    <w:rPr>
                      <w:iCs/>
                    </w:rPr>
                  </w:pPr>
                  <w:r w:rsidRPr="00D35B53">
                    <w:rPr>
                      <w:rStyle w:val="st1"/>
                      <w:bCs/>
                    </w:rPr>
                    <w:t>Turpmāka s</w:t>
                  </w:r>
                  <w:r w:rsidRPr="00D35B53">
                    <w:rPr>
                      <w:iCs/>
                    </w:rPr>
                    <w:t>abiedrības informēšana par likumprojektu</w:t>
                  </w:r>
                  <w:r w:rsidR="00824022" w:rsidRPr="00D35B53">
                    <w:rPr>
                      <w:iCs/>
                    </w:rPr>
                    <w:t xml:space="preserve"> „</w:t>
                  </w:r>
                  <w:r w:rsidR="00EE2934" w:rsidRPr="00D35B53">
                    <w:t xml:space="preserve">Grozījumi Latvijas Administratīvo pārkāpumu kodeksā” </w:t>
                  </w:r>
                  <w:r w:rsidRPr="00D35B53">
                    <w:rPr>
                      <w:iCs/>
                    </w:rPr>
                    <w:t>tiks nodrošināta, saskaņojot Likumprojektu pēc izsludināšanas Valsts sekretāru sanāksmē.</w:t>
                  </w:r>
                  <w:r w:rsidR="00F776BC" w:rsidRPr="00D35B53">
                    <w:rPr>
                      <w:iCs/>
                    </w:rPr>
                    <w:t xml:space="preserve"> </w:t>
                  </w:r>
                </w:p>
              </w:tc>
            </w:tr>
            <w:tr w:rsidR="007304A3" w:rsidRPr="00D35B53" w:rsidTr="009E484A">
              <w:trPr>
                <w:trHeight w:val="330"/>
                <w:jc w:val="center"/>
              </w:trPr>
              <w:tc>
                <w:tcPr>
                  <w:tcW w:w="250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  <w:lastRenderedPageBreak/>
                    <w:t>2.</w:t>
                  </w:r>
                </w:p>
              </w:tc>
              <w:tc>
                <w:tcPr>
                  <w:tcW w:w="1463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288" w:type="pct"/>
                  <w:hideMark/>
                </w:tcPr>
                <w:p w:rsidR="007304A3" w:rsidRDefault="00824022" w:rsidP="008240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Atsevišķas asociācijas un zvērinātu advokātu biroji sniedza atzinumu, kā arī tika uzklausīts LDDK biedru viedoklis. </w:t>
                  </w:r>
                  <w:r w:rsidRPr="00D35B53">
                    <w:rPr>
                      <w:rStyle w:val="st1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Turpmāka s</w:t>
                  </w: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abiedrības līdzdalība projekta izstrādē tiks nodrošināta Likumprojekta saskaņošanas gaitā pēc izsludināšanas Valsts sekretāru sanāksmē.</w:t>
                  </w:r>
                </w:p>
                <w:p w:rsidR="00633964" w:rsidRPr="00D35B53" w:rsidRDefault="00633964" w:rsidP="006339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Projekts izskatīts Tieslietu ministrijas LAPK darba grupas sēdē 2015.gada 12.februārī.</w:t>
                  </w:r>
                </w:p>
              </w:tc>
            </w:tr>
            <w:tr w:rsidR="007304A3" w:rsidRPr="00D35B53" w:rsidTr="009E484A">
              <w:trPr>
                <w:trHeight w:val="465"/>
                <w:jc w:val="center"/>
              </w:trPr>
              <w:tc>
                <w:tcPr>
                  <w:tcW w:w="250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463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288" w:type="pct"/>
                  <w:hideMark/>
                </w:tcPr>
                <w:p w:rsidR="00633964" w:rsidRDefault="00442198" w:rsidP="006339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i/>
                      <w:color w:val="000000"/>
                    </w:rPr>
                  </w:pPr>
                  <w:r w:rsidRPr="00D35B53">
                    <w:rPr>
                      <w:color w:val="000000"/>
                    </w:rPr>
                    <w:t>LDDK neiebilda pret procesuālo pārkāpumu pārcelšanu no LAPK uz Konkurences likumu, vienīgi norādīja, ka plānotais</w:t>
                  </w:r>
                  <w:r w:rsidR="00F776BC" w:rsidRPr="00D35B53">
                    <w:rPr>
                      <w:color w:val="000000"/>
                    </w:rPr>
                    <w:t xml:space="preserve"> </w:t>
                  </w:r>
                  <w:r w:rsidRPr="00D35B53">
                    <w:rPr>
                      <w:color w:val="000000"/>
                    </w:rPr>
                    <w:t xml:space="preserve">minimālais naudas soda apmērs 350 </w:t>
                  </w:r>
                  <w:proofErr w:type="spellStart"/>
                  <w:r w:rsidR="00F776BC" w:rsidRPr="00D35B53">
                    <w:rPr>
                      <w:i/>
                      <w:color w:val="000000"/>
                    </w:rPr>
                    <w:t>euro</w:t>
                  </w:r>
                  <w:proofErr w:type="spellEnd"/>
                  <w:r w:rsidRPr="00D35B53">
                    <w:rPr>
                      <w:color w:val="000000"/>
                    </w:rPr>
                    <w:t xml:space="preserve"> ir nesamērīgs un nepamatots. Attiecīgi likumprojekts „Grozījumi Konkurences likumā” precizēts, kā minimālo naudas sodu paredzot 50 </w:t>
                  </w:r>
                  <w:proofErr w:type="spellStart"/>
                  <w:r w:rsidR="00F776BC" w:rsidRPr="00D35B53">
                    <w:rPr>
                      <w:i/>
                      <w:color w:val="000000"/>
                    </w:rPr>
                    <w:t>euro</w:t>
                  </w:r>
                  <w:proofErr w:type="spellEnd"/>
                  <w:r w:rsidRPr="00D35B53">
                    <w:rPr>
                      <w:i/>
                      <w:color w:val="000000"/>
                    </w:rPr>
                    <w:t>.</w:t>
                  </w:r>
                </w:p>
                <w:p w:rsidR="00633964" w:rsidRPr="00633964" w:rsidRDefault="00633964" w:rsidP="006339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Atbilstoši Tieslietu ministrijas LAPK darba grupas ieteikumiem precizēts pārejas noteikumu 29.punkts.</w:t>
                  </w:r>
                </w:p>
              </w:tc>
            </w:tr>
            <w:tr w:rsidR="007304A3" w:rsidRPr="00D35B53" w:rsidTr="009E484A">
              <w:trPr>
                <w:trHeight w:val="465"/>
                <w:jc w:val="center"/>
              </w:trPr>
              <w:tc>
                <w:tcPr>
                  <w:tcW w:w="250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color w:val="414142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463" w:type="pct"/>
                  <w:hideMark/>
                </w:tcPr>
                <w:p w:rsidR="007304A3" w:rsidRPr="00D35B53" w:rsidRDefault="007304A3" w:rsidP="00026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88" w:type="pct"/>
                  <w:hideMark/>
                </w:tcPr>
                <w:p w:rsidR="00F32DFC" w:rsidRPr="00D35B53" w:rsidRDefault="00372D28" w:rsidP="00026249">
                  <w:pPr>
                    <w:spacing w:before="100" w:beforeAutospacing="1" w:after="100" w:afterAutospacing="1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:rsidR="00A97E7D" w:rsidRPr="00D35B53" w:rsidRDefault="00A97E7D" w:rsidP="00953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3973"/>
              <w:gridCol w:w="4989"/>
            </w:tblGrid>
            <w:tr w:rsidR="00A45217" w:rsidRPr="00D35B53" w:rsidTr="009E484A">
              <w:trPr>
                <w:trHeight w:val="375"/>
                <w:tblCellSpacing w:w="15" w:type="dxa"/>
                <w:jc w:val="center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A45217" w:rsidRPr="00D35B53" w:rsidTr="009E484A">
              <w:trPr>
                <w:trHeight w:val="420"/>
                <w:tblCellSpacing w:w="15" w:type="dxa"/>
                <w:jc w:val="center"/>
              </w:trPr>
              <w:tc>
                <w:tcPr>
                  <w:tcW w:w="256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209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2589" w:type="pct"/>
                  <w:hideMark/>
                </w:tcPr>
                <w:p w:rsidR="000E56D8" w:rsidRPr="00D35B53" w:rsidRDefault="001029C4" w:rsidP="00544C0B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Konkurences padome</w:t>
                  </w:r>
                </w:p>
              </w:tc>
            </w:tr>
            <w:tr w:rsidR="00A45217" w:rsidRPr="00D35B53" w:rsidTr="009E484A">
              <w:trPr>
                <w:trHeight w:val="450"/>
                <w:tblCellSpacing w:w="15" w:type="dxa"/>
                <w:jc w:val="center"/>
              </w:trPr>
              <w:tc>
                <w:tcPr>
                  <w:tcW w:w="256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209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Projekta izpildes ietekme uz pārvaldes funkcijām un institucionālo struktūru. </w:t>
                  </w:r>
                </w:p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589" w:type="pct"/>
                  <w:hideMark/>
                </w:tcPr>
                <w:p w:rsidR="00A97E7D" w:rsidRPr="00D35B53" w:rsidRDefault="00372D28" w:rsidP="00F145FB">
                  <w:pPr>
                    <w:pStyle w:val="naisf"/>
                    <w:spacing w:before="0" w:after="0"/>
                    <w:ind w:left="57" w:right="57" w:firstLine="0"/>
                  </w:pPr>
                  <w:r w:rsidRPr="00D35B53">
                    <w:rPr>
                      <w:iCs/>
                    </w:rPr>
                    <w:t xml:space="preserve">Projekts neietekmē </w:t>
                  </w:r>
                  <w:r w:rsidRPr="00D35B53">
                    <w:t>pārvaldes institucionālo struktūru. Jaunas institūcijas netiek izveidotas, likvidētas vai reorganizētas, kā arī Likumprojekts neietekmē institūciju cilvēkresursus.</w:t>
                  </w:r>
                </w:p>
              </w:tc>
            </w:tr>
            <w:tr w:rsidR="00A45217" w:rsidRPr="00D35B53" w:rsidTr="009E484A">
              <w:trPr>
                <w:trHeight w:val="390"/>
                <w:tblCellSpacing w:w="15" w:type="dxa"/>
                <w:jc w:val="center"/>
              </w:trPr>
              <w:tc>
                <w:tcPr>
                  <w:tcW w:w="256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2091" w:type="pct"/>
                  <w:hideMark/>
                </w:tcPr>
                <w:p w:rsidR="00A97E7D" w:rsidRPr="00D35B53" w:rsidRDefault="00A97E7D" w:rsidP="00544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589" w:type="pct"/>
                  <w:hideMark/>
                </w:tcPr>
                <w:p w:rsidR="00A97E7D" w:rsidRPr="00D35B53" w:rsidRDefault="0005443F" w:rsidP="0005443F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3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:rsidR="00A97E7D" w:rsidRPr="00DE73A5" w:rsidRDefault="00A97E7D" w:rsidP="0054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7E7D" w:rsidRPr="004A298E" w:rsidRDefault="00A97E7D" w:rsidP="00A97E7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97E7D" w:rsidRPr="004A298E" w:rsidRDefault="00A97E7D" w:rsidP="00D35B5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A298E">
        <w:rPr>
          <w:rFonts w:ascii="Times New Roman" w:hAnsi="Times New Roman" w:cs="Times New Roman"/>
          <w:bCs/>
          <w:iCs/>
          <w:sz w:val="28"/>
          <w:szCs w:val="28"/>
        </w:rPr>
        <w:t>Ekonomikas ministre</w:t>
      </w:r>
      <w:r w:rsidRPr="004A298E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4A298E">
        <w:rPr>
          <w:rFonts w:ascii="Times New Roman" w:hAnsi="Times New Roman" w:cs="Times New Roman"/>
          <w:bCs/>
          <w:iCs/>
          <w:sz w:val="28"/>
          <w:szCs w:val="28"/>
        </w:rPr>
        <w:t>D.Reizniece-Ozola</w:t>
      </w:r>
      <w:proofErr w:type="spellEnd"/>
    </w:p>
    <w:p w:rsidR="00A97E7D" w:rsidRPr="004A298E" w:rsidRDefault="00A97E7D" w:rsidP="00A97E7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7E7D" w:rsidRPr="004A298E" w:rsidRDefault="00A97E7D" w:rsidP="00A97E7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A298E">
        <w:rPr>
          <w:rFonts w:ascii="Times New Roman" w:hAnsi="Times New Roman" w:cs="Times New Roman"/>
          <w:bCs/>
          <w:iCs/>
          <w:sz w:val="28"/>
          <w:szCs w:val="28"/>
        </w:rPr>
        <w:t xml:space="preserve">Vīza: </w:t>
      </w:r>
    </w:p>
    <w:p w:rsidR="00C20949" w:rsidRPr="00C20949" w:rsidRDefault="00C20949" w:rsidP="00C2094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20949">
        <w:rPr>
          <w:rFonts w:ascii="Times New Roman" w:hAnsi="Times New Roman" w:cs="Times New Roman"/>
          <w:bCs/>
          <w:iCs/>
          <w:sz w:val="28"/>
          <w:szCs w:val="28"/>
        </w:rPr>
        <w:t>Valsts sekretāra pienākumu izpildītājs,</w:t>
      </w:r>
    </w:p>
    <w:p w:rsidR="00C20949" w:rsidRPr="00C20949" w:rsidRDefault="00C20949" w:rsidP="00C20949">
      <w:pPr>
        <w:pStyle w:val="BodyTextIndent"/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lv-LV"/>
        </w:rPr>
      </w:pPr>
      <w:r w:rsidRPr="00C20949">
        <w:rPr>
          <w:rFonts w:ascii="Times New Roman" w:hAnsi="Times New Roman" w:cs="Times New Roman"/>
          <w:bCs/>
          <w:iCs/>
          <w:sz w:val="28"/>
          <w:szCs w:val="28"/>
          <w:lang w:val="lv-LV"/>
        </w:rPr>
        <w:lastRenderedPageBreak/>
        <w:t>valsts sekretāra vietnieks</w:t>
      </w:r>
      <w:r w:rsidRPr="00C20949">
        <w:rPr>
          <w:rFonts w:ascii="Times New Roman" w:hAnsi="Times New Roman" w:cs="Times New Roman"/>
          <w:bCs/>
          <w:iCs/>
          <w:sz w:val="28"/>
          <w:szCs w:val="28"/>
          <w:lang w:val="lv-LV"/>
        </w:rPr>
        <w:tab/>
      </w:r>
      <w:r w:rsidRPr="00C20949">
        <w:rPr>
          <w:rFonts w:ascii="Times New Roman" w:hAnsi="Times New Roman" w:cs="Times New Roman"/>
          <w:bCs/>
          <w:iCs/>
          <w:sz w:val="28"/>
          <w:szCs w:val="28"/>
          <w:lang w:val="lv-LV"/>
        </w:rPr>
        <w:tab/>
        <w:t>J.Spiridonovs</w:t>
      </w:r>
    </w:p>
    <w:p w:rsidR="00C20949" w:rsidRDefault="00C20949" w:rsidP="00A97E7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20949" w:rsidRPr="00C20949" w:rsidRDefault="00C20949" w:rsidP="00C209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20949">
        <w:rPr>
          <w:rFonts w:ascii="Times New Roman" w:hAnsi="Times New Roman" w:cs="Times New Roman"/>
          <w:sz w:val="20"/>
        </w:rPr>
        <w:t>05.03.2015 1</w:t>
      </w:r>
      <w:r>
        <w:rPr>
          <w:rFonts w:ascii="Times New Roman" w:hAnsi="Times New Roman" w:cs="Times New Roman"/>
          <w:sz w:val="20"/>
        </w:rPr>
        <w:t>4</w:t>
      </w:r>
      <w:r w:rsidRPr="00C2094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29</w:t>
      </w:r>
    </w:p>
    <w:p w:rsidR="00C20949" w:rsidRPr="00C20949" w:rsidRDefault="00C20949" w:rsidP="00C209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20949">
        <w:rPr>
          <w:rFonts w:ascii="Times New Roman" w:hAnsi="Times New Roman" w:cs="Times New Roman"/>
          <w:sz w:val="20"/>
        </w:rPr>
        <w:fldChar w:fldCharType="begin"/>
      </w:r>
      <w:r w:rsidRPr="00C20949">
        <w:rPr>
          <w:rFonts w:ascii="Times New Roman" w:hAnsi="Times New Roman" w:cs="Times New Roman"/>
          <w:sz w:val="20"/>
        </w:rPr>
        <w:instrText xml:space="preserve"> NUMWORDS   \* MERGEFORMAT </w:instrText>
      </w:r>
      <w:r w:rsidRPr="00C20949">
        <w:rPr>
          <w:rFonts w:ascii="Times New Roman" w:hAnsi="Times New Roman" w:cs="Times New Roman"/>
          <w:sz w:val="20"/>
        </w:rPr>
        <w:fldChar w:fldCharType="separate"/>
      </w:r>
      <w:r w:rsidR="009E484A">
        <w:rPr>
          <w:rFonts w:ascii="Times New Roman" w:hAnsi="Times New Roman" w:cs="Times New Roman"/>
          <w:noProof/>
          <w:sz w:val="20"/>
        </w:rPr>
        <w:t>14</w:t>
      </w:r>
      <w:bookmarkStart w:id="0" w:name="_GoBack"/>
      <w:bookmarkEnd w:id="0"/>
      <w:r w:rsidR="009E484A">
        <w:rPr>
          <w:rFonts w:ascii="Times New Roman" w:hAnsi="Times New Roman" w:cs="Times New Roman"/>
          <w:noProof/>
          <w:sz w:val="20"/>
        </w:rPr>
        <w:t>94</w:t>
      </w:r>
      <w:r w:rsidRPr="00C20949">
        <w:rPr>
          <w:rFonts w:ascii="Times New Roman" w:hAnsi="Times New Roman" w:cs="Times New Roman"/>
          <w:sz w:val="20"/>
        </w:rPr>
        <w:fldChar w:fldCharType="end"/>
      </w:r>
    </w:p>
    <w:p w:rsidR="00C20949" w:rsidRPr="00C20949" w:rsidRDefault="00C20949" w:rsidP="00C209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20949">
        <w:rPr>
          <w:rFonts w:ascii="Times New Roman" w:hAnsi="Times New Roman" w:cs="Times New Roman"/>
          <w:sz w:val="20"/>
        </w:rPr>
        <w:t>I.Eglītis</w:t>
      </w:r>
    </w:p>
    <w:p w:rsidR="00A97E7D" w:rsidRPr="00C20949" w:rsidRDefault="00C20949" w:rsidP="00C20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949">
        <w:rPr>
          <w:rFonts w:ascii="Times New Roman" w:hAnsi="Times New Roman" w:cs="Times New Roman"/>
          <w:sz w:val="20"/>
        </w:rPr>
        <w:t xml:space="preserve">67013236, </w:t>
      </w:r>
      <w:hyperlink r:id="rId9" w:history="1">
        <w:r w:rsidRPr="00C20949">
          <w:rPr>
            <w:rStyle w:val="Hyperlink"/>
            <w:rFonts w:ascii="Times New Roman" w:hAnsi="Times New Roman" w:cs="Times New Roman"/>
            <w:sz w:val="20"/>
          </w:rPr>
          <w:t>Intars.Eglitis@em.gov.lv</w:t>
        </w:r>
      </w:hyperlink>
    </w:p>
    <w:sectPr w:rsidR="00A97E7D" w:rsidRPr="00C20949" w:rsidSect="00AA0E6E">
      <w:headerReference w:type="default" r:id="rId10"/>
      <w:footerReference w:type="default" r:id="rId11"/>
      <w:footerReference w:type="first" r:id="rId12"/>
      <w:pgSz w:w="11906" w:h="16838"/>
      <w:pgMar w:top="1134" w:right="96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7B" w:rsidRDefault="0020497B" w:rsidP="00B26F44">
      <w:pPr>
        <w:spacing w:after="0" w:line="240" w:lineRule="auto"/>
      </w:pPr>
      <w:r>
        <w:separator/>
      </w:r>
    </w:p>
  </w:endnote>
  <w:endnote w:type="continuationSeparator" w:id="0">
    <w:p w:rsidR="0020497B" w:rsidRDefault="0020497B" w:rsidP="00B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E5" w:rsidRPr="00936525" w:rsidRDefault="00E557E5" w:rsidP="00E557E5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D772E">
      <w:rPr>
        <w:rFonts w:ascii="Times New Roman" w:hAnsi="Times New Roman" w:cs="Times New Roman"/>
        <w:noProof/>
        <w:sz w:val="20"/>
        <w:szCs w:val="20"/>
      </w:rPr>
      <w:t>EMAnot_</w:t>
    </w:r>
    <w:r w:rsidR="00C20949">
      <w:rPr>
        <w:rFonts w:ascii="Times New Roman" w:hAnsi="Times New Roman" w:cs="Times New Roman"/>
        <w:noProof/>
        <w:sz w:val="20"/>
        <w:szCs w:val="20"/>
      </w:rPr>
      <w:t>05</w:t>
    </w:r>
    <w:r w:rsidR="000D772E">
      <w:rPr>
        <w:rFonts w:ascii="Times New Roman" w:hAnsi="Times New Roman" w:cs="Times New Roman"/>
        <w:noProof/>
        <w:sz w:val="20"/>
        <w:szCs w:val="20"/>
      </w:rPr>
      <w:t>0</w:t>
    </w:r>
    <w:r w:rsidR="00C20949">
      <w:rPr>
        <w:rFonts w:ascii="Times New Roman" w:hAnsi="Times New Roman" w:cs="Times New Roman"/>
        <w:noProof/>
        <w:sz w:val="20"/>
        <w:szCs w:val="20"/>
      </w:rPr>
      <w:t>3</w:t>
    </w:r>
    <w:r w:rsidR="000D772E">
      <w:rPr>
        <w:rFonts w:ascii="Times New Roman" w:hAnsi="Times New Roman" w:cs="Times New Roman"/>
        <w:noProof/>
        <w:sz w:val="20"/>
        <w:szCs w:val="20"/>
      </w:rPr>
      <w:t>15_APK_KP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</w:t>
    </w:r>
    <w:r w:rsidRPr="004D45F5">
      <w:rPr>
        <w:rFonts w:ascii="Times New Roman" w:hAnsi="Times New Roman" w:cs="Times New Roman"/>
        <w:sz w:val="20"/>
        <w:szCs w:val="20"/>
      </w:rPr>
      <w:t xml:space="preserve"> </w:t>
    </w:r>
    <w:r w:rsidRPr="00E557E5">
      <w:rPr>
        <w:rFonts w:ascii="Times New Roman" w:hAnsi="Times New Roman" w:cs="Times New Roman"/>
        <w:sz w:val="20"/>
        <w:szCs w:val="20"/>
      </w:rPr>
      <w:t>Likumprojekta „Grozījumi Latvijas Administratīvo pārkāpumu kodeksā”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557E5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</w:t>
    </w:r>
    <w:r w:rsidRPr="00936525">
      <w:rPr>
        <w:rFonts w:ascii="Times New Roman" w:eastAsia="Times New Roman" w:hAnsi="Times New Roman" w:cs="Times New Roman"/>
        <w:bCs/>
        <w:sz w:val="20"/>
        <w:szCs w:val="20"/>
        <w:lang w:eastAsia="lv-LV"/>
      </w:rPr>
      <w:t>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936525" w:rsidRDefault="00E224EC" w:rsidP="00E224EC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D772E">
      <w:rPr>
        <w:rFonts w:ascii="Times New Roman" w:hAnsi="Times New Roman" w:cs="Times New Roman"/>
        <w:noProof/>
        <w:sz w:val="20"/>
        <w:szCs w:val="20"/>
      </w:rPr>
      <w:t>EMAnot_</w:t>
    </w:r>
    <w:r w:rsidR="00C20949">
      <w:rPr>
        <w:rFonts w:ascii="Times New Roman" w:hAnsi="Times New Roman" w:cs="Times New Roman"/>
        <w:noProof/>
        <w:sz w:val="20"/>
        <w:szCs w:val="20"/>
      </w:rPr>
      <w:t>0503</w:t>
    </w:r>
    <w:r w:rsidR="000D772E">
      <w:rPr>
        <w:rFonts w:ascii="Times New Roman" w:hAnsi="Times New Roman" w:cs="Times New Roman"/>
        <w:noProof/>
        <w:sz w:val="20"/>
        <w:szCs w:val="20"/>
      </w:rPr>
      <w:t>15_APK_KP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</w:t>
    </w:r>
    <w:r w:rsidRPr="004D45F5">
      <w:rPr>
        <w:rFonts w:ascii="Times New Roman" w:hAnsi="Times New Roman" w:cs="Times New Roman"/>
        <w:sz w:val="20"/>
        <w:szCs w:val="20"/>
      </w:rPr>
      <w:t xml:space="preserve"> </w:t>
    </w:r>
    <w:r w:rsidRPr="00E557E5">
      <w:rPr>
        <w:rFonts w:ascii="Times New Roman" w:hAnsi="Times New Roman" w:cs="Times New Roman"/>
        <w:sz w:val="20"/>
        <w:szCs w:val="20"/>
      </w:rPr>
      <w:t xml:space="preserve">Likumprojekta </w:t>
    </w:r>
    <w:r w:rsidR="00E557E5" w:rsidRPr="00E557E5">
      <w:rPr>
        <w:rFonts w:ascii="Times New Roman" w:hAnsi="Times New Roman" w:cs="Times New Roman"/>
        <w:sz w:val="20"/>
        <w:szCs w:val="20"/>
      </w:rPr>
      <w:t>„Grozījumi Latvijas Administratīvo pārkāpumu kodeksā”</w:t>
    </w:r>
    <w:r w:rsidR="00E557E5">
      <w:rPr>
        <w:rFonts w:ascii="Times New Roman" w:hAnsi="Times New Roman" w:cs="Times New Roman"/>
        <w:sz w:val="20"/>
        <w:szCs w:val="20"/>
      </w:rPr>
      <w:t xml:space="preserve"> </w:t>
    </w:r>
    <w:r w:rsidRPr="00E557E5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</w:t>
    </w:r>
    <w:r w:rsidRPr="00936525">
      <w:rPr>
        <w:rFonts w:ascii="Times New Roman" w:eastAsia="Times New Roman" w:hAnsi="Times New Roman" w:cs="Times New Roman"/>
        <w:bCs/>
        <w:sz w:val="20"/>
        <w:szCs w:val="20"/>
        <w:lang w:eastAsia="lv-LV"/>
      </w:rPr>
      <w:t>ojums (anotācija)</w:t>
    </w:r>
  </w:p>
  <w:p w:rsidR="00B26F44" w:rsidRPr="00E224EC" w:rsidRDefault="00B26F44" w:rsidP="00E2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7B" w:rsidRDefault="0020497B" w:rsidP="00B26F44">
      <w:pPr>
        <w:spacing w:after="0" w:line="240" w:lineRule="auto"/>
      </w:pPr>
      <w:r>
        <w:separator/>
      </w:r>
    </w:p>
  </w:footnote>
  <w:footnote w:type="continuationSeparator" w:id="0">
    <w:p w:rsidR="0020497B" w:rsidRDefault="0020497B" w:rsidP="00B2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13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46B2B" w:rsidRPr="000A5463" w:rsidRDefault="00CE13B2">
        <w:pPr>
          <w:pStyle w:val="Header"/>
          <w:jc w:val="center"/>
          <w:rPr>
            <w:rFonts w:ascii="Times New Roman" w:hAnsi="Times New Roman" w:cs="Times New Roman"/>
          </w:rPr>
        </w:pPr>
        <w:r w:rsidRPr="000A5463">
          <w:rPr>
            <w:rFonts w:ascii="Times New Roman" w:hAnsi="Times New Roman" w:cs="Times New Roman"/>
          </w:rPr>
          <w:fldChar w:fldCharType="begin"/>
        </w:r>
        <w:r w:rsidRPr="000A5463">
          <w:rPr>
            <w:rFonts w:ascii="Times New Roman" w:hAnsi="Times New Roman" w:cs="Times New Roman"/>
          </w:rPr>
          <w:instrText xml:space="preserve"> PAGE   \* MERGEFORMAT </w:instrText>
        </w:r>
        <w:r w:rsidRPr="000A5463">
          <w:rPr>
            <w:rFonts w:ascii="Times New Roman" w:hAnsi="Times New Roman" w:cs="Times New Roman"/>
          </w:rPr>
          <w:fldChar w:fldCharType="separate"/>
        </w:r>
        <w:r w:rsidR="009E484A">
          <w:rPr>
            <w:rFonts w:ascii="Times New Roman" w:hAnsi="Times New Roman" w:cs="Times New Roman"/>
            <w:noProof/>
          </w:rPr>
          <w:t>6</w:t>
        </w:r>
        <w:r w:rsidRPr="000A546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46B2B" w:rsidRDefault="009E4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E81"/>
    <w:multiLevelType w:val="hybridMultilevel"/>
    <w:tmpl w:val="EFB6C3F6"/>
    <w:lvl w:ilvl="0" w:tplc="99EA3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D"/>
    <w:rsid w:val="000259E4"/>
    <w:rsid w:val="000470EF"/>
    <w:rsid w:val="0005443F"/>
    <w:rsid w:val="00055560"/>
    <w:rsid w:val="00062482"/>
    <w:rsid w:val="00062C03"/>
    <w:rsid w:val="00067432"/>
    <w:rsid w:val="000822E9"/>
    <w:rsid w:val="000872D9"/>
    <w:rsid w:val="000A5463"/>
    <w:rsid w:val="000A6163"/>
    <w:rsid w:val="000D0AA7"/>
    <w:rsid w:val="000D469E"/>
    <w:rsid w:val="000D772E"/>
    <w:rsid w:val="000E56D8"/>
    <w:rsid w:val="000F50BE"/>
    <w:rsid w:val="000F6603"/>
    <w:rsid w:val="001029C4"/>
    <w:rsid w:val="00132761"/>
    <w:rsid w:val="00136744"/>
    <w:rsid w:val="001424F7"/>
    <w:rsid w:val="00145083"/>
    <w:rsid w:val="00153344"/>
    <w:rsid w:val="001732E8"/>
    <w:rsid w:val="00196BB8"/>
    <w:rsid w:val="001B2757"/>
    <w:rsid w:val="001F1083"/>
    <w:rsid w:val="0020497B"/>
    <w:rsid w:val="00215964"/>
    <w:rsid w:val="00222214"/>
    <w:rsid w:val="00255B63"/>
    <w:rsid w:val="00281BA6"/>
    <w:rsid w:val="002836F7"/>
    <w:rsid w:val="002B7A4D"/>
    <w:rsid w:val="002C5269"/>
    <w:rsid w:val="002F1BBE"/>
    <w:rsid w:val="003152D4"/>
    <w:rsid w:val="003548A1"/>
    <w:rsid w:val="00372D28"/>
    <w:rsid w:val="003A1E0B"/>
    <w:rsid w:val="003B14F5"/>
    <w:rsid w:val="003C41C3"/>
    <w:rsid w:val="00406317"/>
    <w:rsid w:val="00442198"/>
    <w:rsid w:val="0047073D"/>
    <w:rsid w:val="00495DF9"/>
    <w:rsid w:val="00521443"/>
    <w:rsid w:val="00521F68"/>
    <w:rsid w:val="00537B33"/>
    <w:rsid w:val="005778CB"/>
    <w:rsid w:val="005D7733"/>
    <w:rsid w:val="00602061"/>
    <w:rsid w:val="00602274"/>
    <w:rsid w:val="00633964"/>
    <w:rsid w:val="006339C2"/>
    <w:rsid w:val="0063425E"/>
    <w:rsid w:val="00643C5E"/>
    <w:rsid w:val="006702BF"/>
    <w:rsid w:val="00711EA9"/>
    <w:rsid w:val="007160DA"/>
    <w:rsid w:val="00720F5F"/>
    <w:rsid w:val="007304A3"/>
    <w:rsid w:val="00747602"/>
    <w:rsid w:val="007522CA"/>
    <w:rsid w:val="007849C5"/>
    <w:rsid w:val="007D3EB1"/>
    <w:rsid w:val="007F0E9F"/>
    <w:rsid w:val="00824022"/>
    <w:rsid w:val="00852FEB"/>
    <w:rsid w:val="008545E7"/>
    <w:rsid w:val="00860AC8"/>
    <w:rsid w:val="008730DD"/>
    <w:rsid w:val="0088017A"/>
    <w:rsid w:val="008A5D0C"/>
    <w:rsid w:val="008C0618"/>
    <w:rsid w:val="00913C1D"/>
    <w:rsid w:val="00924641"/>
    <w:rsid w:val="009531A6"/>
    <w:rsid w:val="00983540"/>
    <w:rsid w:val="009A0941"/>
    <w:rsid w:val="009E484A"/>
    <w:rsid w:val="009E7ED0"/>
    <w:rsid w:val="00A03BB6"/>
    <w:rsid w:val="00A069D7"/>
    <w:rsid w:val="00A45217"/>
    <w:rsid w:val="00A85C82"/>
    <w:rsid w:val="00A97E7D"/>
    <w:rsid w:val="00AA0E6E"/>
    <w:rsid w:val="00AD046E"/>
    <w:rsid w:val="00AE0705"/>
    <w:rsid w:val="00B03B30"/>
    <w:rsid w:val="00B26F44"/>
    <w:rsid w:val="00B44C96"/>
    <w:rsid w:val="00BE2189"/>
    <w:rsid w:val="00BF4002"/>
    <w:rsid w:val="00C20949"/>
    <w:rsid w:val="00C4301B"/>
    <w:rsid w:val="00C6569F"/>
    <w:rsid w:val="00C66FFD"/>
    <w:rsid w:val="00C75DB8"/>
    <w:rsid w:val="00CE13B2"/>
    <w:rsid w:val="00D114BA"/>
    <w:rsid w:val="00D35B53"/>
    <w:rsid w:val="00D42765"/>
    <w:rsid w:val="00D65CB4"/>
    <w:rsid w:val="00D74E57"/>
    <w:rsid w:val="00D77CB8"/>
    <w:rsid w:val="00D934D2"/>
    <w:rsid w:val="00DA025B"/>
    <w:rsid w:val="00E224EC"/>
    <w:rsid w:val="00E26BF1"/>
    <w:rsid w:val="00E542CD"/>
    <w:rsid w:val="00E557E5"/>
    <w:rsid w:val="00E62215"/>
    <w:rsid w:val="00E67600"/>
    <w:rsid w:val="00EA044F"/>
    <w:rsid w:val="00EE2934"/>
    <w:rsid w:val="00F145FB"/>
    <w:rsid w:val="00F25D24"/>
    <w:rsid w:val="00F30288"/>
    <w:rsid w:val="00F36AF5"/>
    <w:rsid w:val="00F776BC"/>
    <w:rsid w:val="00F944AB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7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A97E7D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7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7D"/>
  </w:style>
  <w:style w:type="paragraph" w:styleId="BalloonText">
    <w:name w:val="Balloon Text"/>
    <w:basedOn w:val="Normal"/>
    <w:link w:val="BalloonTextChar"/>
    <w:uiPriority w:val="99"/>
    <w:semiHidden/>
    <w:unhideWhenUsed/>
    <w:rsid w:val="00A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6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44"/>
  </w:style>
  <w:style w:type="paragraph" w:customStyle="1" w:styleId="naiskr">
    <w:name w:val="naiskr"/>
    <w:basedOn w:val="Normal"/>
    <w:uiPriority w:val="99"/>
    <w:rsid w:val="00C75DB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522C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2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99"/>
    <w:qFormat/>
    <w:rsid w:val="007304A3"/>
    <w:rPr>
      <w:rFonts w:ascii="Times New Roman" w:hAnsi="Times New Roman" w:cs="Times New Roman" w:hint="default"/>
      <w:i/>
      <w:iCs w:val="0"/>
    </w:rPr>
  </w:style>
  <w:style w:type="character" w:customStyle="1" w:styleId="st1">
    <w:name w:val="st1"/>
    <w:uiPriority w:val="99"/>
    <w:rsid w:val="007304A3"/>
  </w:style>
  <w:style w:type="paragraph" w:customStyle="1" w:styleId="naisc">
    <w:name w:val="naisc"/>
    <w:basedOn w:val="Normal"/>
    <w:uiPriority w:val="99"/>
    <w:rsid w:val="00372D2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72D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A6834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6834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7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A97E7D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7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7D"/>
  </w:style>
  <w:style w:type="paragraph" w:styleId="BalloonText">
    <w:name w:val="Balloon Text"/>
    <w:basedOn w:val="Normal"/>
    <w:link w:val="BalloonTextChar"/>
    <w:uiPriority w:val="99"/>
    <w:semiHidden/>
    <w:unhideWhenUsed/>
    <w:rsid w:val="00A9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6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44"/>
  </w:style>
  <w:style w:type="paragraph" w:customStyle="1" w:styleId="naiskr">
    <w:name w:val="naiskr"/>
    <w:basedOn w:val="Normal"/>
    <w:uiPriority w:val="99"/>
    <w:rsid w:val="00C75DB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522C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2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99"/>
    <w:qFormat/>
    <w:rsid w:val="007304A3"/>
    <w:rPr>
      <w:rFonts w:ascii="Times New Roman" w:hAnsi="Times New Roman" w:cs="Times New Roman" w:hint="default"/>
      <w:i/>
      <w:iCs w:val="0"/>
    </w:rPr>
  </w:style>
  <w:style w:type="character" w:customStyle="1" w:styleId="st1">
    <w:name w:val="st1"/>
    <w:uiPriority w:val="99"/>
    <w:rsid w:val="007304A3"/>
  </w:style>
  <w:style w:type="paragraph" w:customStyle="1" w:styleId="naisc">
    <w:name w:val="naisc"/>
    <w:basedOn w:val="Normal"/>
    <w:uiPriority w:val="99"/>
    <w:rsid w:val="00372D2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72D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A6834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6834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ars.Eglit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B784-E1A6-402E-BDF2-661F7064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1516</Words>
  <Characters>10693</Characters>
  <Application>Microsoft Office Word</Application>
  <DocSecurity>0</DocSecurity>
  <Lines>486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EManot_060115_APK_KP; Likumprojekta „Grozījumi Latvijas Administratīvo pārkāpumu kodeksā” sākotnējās ietekmes novērtējuma ziņojums (anotācija)</vt:lpstr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EManot_060115_APK_KP; Likumprojekta „Grozījumi Latvijas Administratīvo pārkāpumu kodeksā” sākotnējās ietekmes novērtējuma ziņojums (anotācija)</dc:title>
  <dc:creator>Antis Apsītis</dc:creator>
  <cp:lastModifiedBy>Intars Eglītis</cp:lastModifiedBy>
  <cp:revision>7</cp:revision>
  <cp:lastPrinted>2015-02-18T08:31:00Z</cp:lastPrinted>
  <dcterms:created xsi:type="dcterms:W3CDTF">2015-03-05T12:16:00Z</dcterms:created>
  <dcterms:modified xsi:type="dcterms:W3CDTF">2015-03-16T10:30:00Z</dcterms:modified>
</cp:coreProperties>
</file>