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C9631" w14:textId="77777777" w:rsidR="00A97E7D" w:rsidRPr="0057037A" w:rsidRDefault="00A97E7D" w:rsidP="00A97E7D">
      <w:pPr>
        <w:jc w:val="center"/>
        <w:outlineLvl w:val="2"/>
        <w:rPr>
          <w:rFonts w:ascii="Times New Roman" w:eastAsia="Times New Roman" w:hAnsi="Times New Roman" w:cs="Times New Roman"/>
          <w:b/>
          <w:bCs/>
          <w:sz w:val="28"/>
          <w:szCs w:val="28"/>
          <w:lang w:eastAsia="lv-LV"/>
        </w:rPr>
      </w:pPr>
      <w:r w:rsidRPr="0057037A">
        <w:rPr>
          <w:rFonts w:ascii="Times New Roman" w:eastAsia="Times New Roman" w:hAnsi="Times New Roman" w:cs="Times New Roman"/>
          <w:b/>
          <w:bCs/>
          <w:sz w:val="28"/>
          <w:szCs w:val="28"/>
          <w:lang w:eastAsia="lv-LV"/>
        </w:rPr>
        <w:t>Likumprojekta „Grozījum</w:t>
      </w:r>
      <w:r w:rsidR="00B26F44" w:rsidRPr="0057037A">
        <w:rPr>
          <w:rFonts w:ascii="Times New Roman" w:eastAsia="Times New Roman" w:hAnsi="Times New Roman" w:cs="Times New Roman"/>
          <w:b/>
          <w:bCs/>
          <w:sz w:val="28"/>
          <w:szCs w:val="28"/>
          <w:lang w:eastAsia="lv-LV"/>
        </w:rPr>
        <w:t>i</w:t>
      </w:r>
      <w:r w:rsidRPr="0057037A">
        <w:rPr>
          <w:rFonts w:ascii="Times New Roman" w:eastAsia="Times New Roman" w:hAnsi="Times New Roman" w:cs="Times New Roman"/>
          <w:b/>
          <w:bCs/>
          <w:sz w:val="28"/>
          <w:szCs w:val="28"/>
          <w:lang w:eastAsia="lv-LV"/>
        </w:rPr>
        <w:t xml:space="preserve"> likumā „</w:t>
      </w:r>
      <w:hyperlink r:id="rId9" w:tgtFrame="_blank" w:history="1">
        <w:r w:rsidRPr="0057037A">
          <w:rPr>
            <w:rFonts w:ascii="Times New Roman" w:eastAsia="Times New Roman" w:hAnsi="Times New Roman" w:cs="Times New Roman"/>
            <w:b/>
            <w:bCs/>
            <w:sz w:val="28"/>
            <w:szCs w:val="28"/>
            <w:lang w:eastAsia="lv-LV"/>
          </w:rPr>
          <w:t>Par nodokļiem un nodevām</w:t>
        </w:r>
      </w:hyperlink>
      <w:r w:rsidRPr="0057037A">
        <w:rPr>
          <w:rFonts w:ascii="Times New Roman" w:eastAsia="Times New Roman" w:hAnsi="Times New Roman" w:cs="Times New Roman"/>
          <w:b/>
          <w:bCs/>
          <w:sz w:val="28"/>
          <w:szCs w:val="28"/>
          <w:lang w:eastAsia="lv-LV"/>
        </w:rPr>
        <w:t>””</w:t>
      </w:r>
    </w:p>
    <w:p w14:paraId="3E6AAFB7" w14:textId="77777777" w:rsidR="00A97E7D" w:rsidRPr="0057037A" w:rsidRDefault="00A97E7D" w:rsidP="00A97E7D">
      <w:pPr>
        <w:jc w:val="center"/>
        <w:rPr>
          <w:rFonts w:ascii="Times New Roman" w:eastAsia="Times New Roman" w:hAnsi="Times New Roman" w:cs="Times New Roman"/>
          <w:b/>
          <w:bCs/>
          <w:sz w:val="28"/>
          <w:szCs w:val="28"/>
          <w:lang w:eastAsia="lv-LV"/>
        </w:rPr>
      </w:pPr>
      <w:r w:rsidRPr="0057037A">
        <w:rPr>
          <w:rFonts w:ascii="Times New Roman" w:eastAsia="Times New Roman" w:hAnsi="Times New Roman" w:cs="Times New Roman"/>
          <w:b/>
          <w:bCs/>
          <w:sz w:val="28"/>
          <w:szCs w:val="28"/>
          <w:lang w:eastAsia="lv-LV"/>
        </w:rPr>
        <w:t>sākotnējās ietekmes novērtējuma ziņojums (anotācija)</w:t>
      </w:r>
    </w:p>
    <w:p w14:paraId="1DE3D81F" w14:textId="77777777" w:rsidR="00A97E7D" w:rsidRPr="0057037A" w:rsidRDefault="00A97E7D" w:rsidP="00BC0505">
      <w:pPr>
        <w:rPr>
          <w:rFonts w:ascii="Times New Roman" w:eastAsia="Times New Roman" w:hAnsi="Times New Roman" w:cs="Times New Roman"/>
          <w:b/>
          <w:bCs/>
          <w:sz w:val="28"/>
          <w:szCs w:val="28"/>
          <w:lang w:eastAsia="lv-LV"/>
        </w:rPr>
      </w:pPr>
    </w:p>
    <w:tbl>
      <w:tblPr>
        <w:tblW w:w="51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87"/>
      </w:tblGrid>
      <w:tr w:rsidR="00A97E7D" w:rsidRPr="0057037A" w14:paraId="06AAAB73" w14:textId="77777777" w:rsidTr="00D910F5">
        <w:trPr>
          <w:trHeight w:val="128"/>
        </w:trPr>
        <w:tc>
          <w:tcPr>
            <w:tcW w:w="5000" w:type="pct"/>
            <w:tcBorders>
              <w:top w:val="nil"/>
              <w:left w:val="nil"/>
              <w:bottom w:val="nil"/>
              <w:right w:val="nil"/>
            </w:tcBorders>
          </w:tcPr>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80"/>
              <w:gridCol w:w="2474"/>
              <w:gridCol w:w="6363"/>
            </w:tblGrid>
            <w:tr w:rsidR="0057037A" w:rsidRPr="0057037A" w14:paraId="2F3986F5" w14:textId="77777777" w:rsidTr="00544C0B">
              <w:trPr>
                <w:trHeight w:val="405"/>
                <w:tblCellSpacing w:w="15" w:type="dxa"/>
              </w:trPr>
              <w:tc>
                <w:tcPr>
                  <w:tcW w:w="4968" w:type="pct"/>
                  <w:gridSpan w:val="3"/>
                  <w:vAlign w:val="center"/>
                  <w:hideMark/>
                </w:tcPr>
                <w:p w14:paraId="5EF31A01" w14:textId="77777777" w:rsidR="00A97E7D" w:rsidRPr="0057037A" w:rsidRDefault="00A97E7D" w:rsidP="00544C0B">
                  <w:pPr>
                    <w:jc w:val="center"/>
                    <w:rPr>
                      <w:rFonts w:ascii="Times New Roman" w:eastAsia="Times New Roman" w:hAnsi="Times New Roman" w:cs="Times New Roman"/>
                      <w:b/>
                      <w:bCs/>
                      <w:sz w:val="24"/>
                      <w:szCs w:val="24"/>
                      <w:lang w:eastAsia="lv-LV"/>
                    </w:rPr>
                  </w:pPr>
                  <w:r w:rsidRPr="0057037A">
                    <w:rPr>
                      <w:rFonts w:ascii="Times New Roman" w:eastAsia="Times New Roman" w:hAnsi="Times New Roman" w:cs="Times New Roman"/>
                      <w:b/>
                      <w:bCs/>
                      <w:sz w:val="24"/>
                      <w:szCs w:val="24"/>
                      <w:lang w:eastAsia="lv-LV"/>
                    </w:rPr>
                    <w:t>I. Tiesību akta projekta izstrādes nepieciešamība</w:t>
                  </w:r>
                </w:p>
              </w:tc>
            </w:tr>
            <w:tr w:rsidR="0057037A" w:rsidRPr="0057037A" w14:paraId="37B6805D" w14:textId="77777777" w:rsidTr="00AA699D">
              <w:trPr>
                <w:trHeight w:val="405"/>
                <w:tblCellSpacing w:w="15" w:type="dxa"/>
              </w:trPr>
              <w:tc>
                <w:tcPr>
                  <w:tcW w:w="235" w:type="pct"/>
                  <w:hideMark/>
                </w:tcPr>
                <w:p w14:paraId="4CFB42BD" w14:textId="77777777" w:rsidR="00A97E7D" w:rsidRPr="0057037A" w:rsidRDefault="00A97E7D" w:rsidP="00544C0B">
                  <w:pPr>
                    <w:jc w:val="center"/>
                    <w:rPr>
                      <w:rFonts w:ascii="Times New Roman" w:eastAsia="Times New Roman" w:hAnsi="Times New Roman" w:cs="Times New Roman"/>
                      <w:sz w:val="24"/>
                      <w:szCs w:val="24"/>
                      <w:lang w:eastAsia="lv-LV"/>
                    </w:rPr>
                  </w:pPr>
                  <w:r w:rsidRPr="0057037A">
                    <w:rPr>
                      <w:rFonts w:ascii="Times New Roman" w:eastAsia="Times New Roman" w:hAnsi="Times New Roman" w:cs="Times New Roman"/>
                      <w:sz w:val="24"/>
                      <w:szCs w:val="24"/>
                      <w:lang w:eastAsia="lv-LV"/>
                    </w:rPr>
                    <w:t>1.</w:t>
                  </w:r>
                </w:p>
              </w:tc>
              <w:tc>
                <w:tcPr>
                  <w:tcW w:w="1320" w:type="pct"/>
                  <w:hideMark/>
                </w:tcPr>
                <w:p w14:paraId="5E3C2F6A" w14:textId="77777777" w:rsidR="00A97E7D" w:rsidRPr="0057037A" w:rsidRDefault="00A97E7D" w:rsidP="00544C0B">
                  <w:pPr>
                    <w:rPr>
                      <w:rFonts w:ascii="Times New Roman" w:eastAsia="Times New Roman" w:hAnsi="Times New Roman" w:cs="Times New Roman"/>
                      <w:sz w:val="24"/>
                      <w:szCs w:val="24"/>
                      <w:lang w:eastAsia="lv-LV"/>
                    </w:rPr>
                  </w:pPr>
                  <w:r w:rsidRPr="0057037A">
                    <w:rPr>
                      <w:rFonts w:ascii="Times New Roman" w:eastAsia="Times New Roman" w:hAnsi="Times New Roman" w:cs="Times New Roman"/>
                      <w:sz w:val="24"/>
                      <w:szCs w:val="24"/>
                      <w:lang w:eastAsia="lv-LV"/>
                    </w:rPr>
                    <w:t>Pamatojums</w:t>
                  </w:r>
                </w:p>
              </w:tc>
              <w:tc>
                <w:tcPr>
                  <w:tcW w:w="3381" w:type="pct"/>
                  <w:hideMark/>
                </w:tcPr>
                <w:p w14:paraId="45F3DEC8" w14:textId="19AF22A5" w:rsidR="00062C03" w:rsidRPr="0057037A" w:rsidRDefault="00062C03" w:rsidP="00153344">
                  <w:pPr>
                    <w:ind w:left="57" w:right="57"/>
                    <w:jc w:val="both"/>
                    <w:rPr>
                      <w:rFonts w:ascii="Times New Roman" w:eastAsia="Times New Roman" w:hAnsi="Times New Roman" w:cs="Times New Roman"/>
                      <w:sz w:val="24"/>
                      <w:szCs w:val="24"/>
                      <w:lang w:eastAsia="lv-LV"/>
                    </w:rPr>
                  </w:pPr>
                  <w:r w:rsidRPr="00251EC1">
                    <w:rPr>
                      <w:rFonts w:ascii="Times New Roman" w:hAnsi="Times New Roman" w:cs="Times New Roman"/>
                      <w:sz w:val="24"/>
                      <w:szCs w:val="24"/>
                    </w:rPr>
                    <w:t>Ministru kabineta komiteja 05.01.2015. sēdē (prot.Nr.1, 2.§) atbalstīja tālākai virzīšanai likumprojektu „Grozījumi Konkurences likumā”</w:t>
                  </w:r>
                  <w:r w:rsidR="00153344" w:rsidRPr="00251EC1">
                    <w:rPr>
                      <w:rFonts w:ascii="Times New Roman" w:hAnsi="Times New Roman" w:cs="Times New Roman"/>
                      <w:sz w:val="24"/>
                      <w:szCs w:val="24"/>
                    </w:rPr>
                    <w:t xml:space="preserve"> (VSS-1767, TA-2985)</w:t>
                  </w:r>
                  <w:r w:rsidRPr="00251EC1">
                    <w:rPr>
                      <w:rFonts w:ascii="Times New Roman" w:hAnsi="Times New Roman" w:cs="Times New Roman"/>
                      <w:sz w:val="24"/>
                      <w:szCs w:val="24"/>
                    </w:rPr>
                    <w:t>, kas paredz noteikt valsts nodevu par Konkurences likumā noteikto tirgus dalībnieku apvienošanās izvērtēšanu.</w:t>
                  </w:r>
                </w:p>
              </w:tc>
            </w:tr>
            <w:tr w:rsidR="0057037A" w:rsidRPr="0057037A" w14:paraId="1B19E031" w14:textId="77777777" w:rsidTr="00AA699D">
              <w:trPr>
                <w:trHeight w:val="465"/>
                <w:tblCellSpacing w:w="15" w:type="dxa"/>
              </w:trPr>
              <w:tc>
                <w:tcPr>
                  <w:tcW w:w="235" w:type="pct"/>
                  <w:hideMark/>
                </w:tcPr>
                <w:p w14:paraId="6F67443A" w14:textId="77777777" w:rsidR="00A97E7D" w:rsidRPr="0057037A" w:rsidRDefault="00A97E7D" w:rsidP="00544C0B">
                  <w:pPr>
                    <w:jc w:val="center"/>
                    <w:rPr>
                      <w:rFonts w:ascii="Times New Roman" w:eastAsia="Times New Roman" w:hAnsi="Times New Roman" w:cs="Times New Roman"/>
                      <w:sz w:val="24"/>
                      <w:szCs w:val="24"/>
                      <w:lang w:eastAsia="lv-LV"/>
                    </w:rPr>
                  </w:pPr>
                  <w:r w:rsidRPr="0057037A">
                    <w:rPr>
                      <w:rFonts w:ascii="Times New Roman" w:eastAsia="Times New Roman" w:hAnsi="Times New Roman" w:cs="Times New Roman"/>
                      <w:sz w:val="24"/>
                      <w:szCs w:val="24"/>
                      <w:lang w:eastAsia="lv-LV"/>
                    </w:rPr>
                    <w:t>2.</w:t>
                  </w:r>
                </w:p>
              </w:tc>
              <w:tc>
                <w:tcPr>
                  <w:tcW w:w="1320" w:type="pct"/>
                  <w:hideMark/>
                </w:tcPr>
                <w:p w14:paraId="67B15A1B" w14:textId="77777777" w:rsidR="00A97E7D" w:rsidRPr="0057037A" w:rsidRDefault="00A97E7D" w:rsidP="00544C0B">
                  <w:pPr>
                    <w:rPr>
                      <w:rFonts w:ascii="Times New Roman" w:eastAsia="Times New Roman" w:hAnsi="Times New Roman" w:cs="Times New Roman"/>
                      <w:sz w:val="24"/>
                      <w:szCs w:val="24"/>
                      <w:lang w:eastAsia="lv-LV"/>
                    </w:rPr>
                  </w:pPr>
                  <w:r w:rsidRPr="0057037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381" w:type="pct"/>
                  <w:hideMark/>
                </w:tcPr>
                <w:p w14:paraId="19DAB386" w14:textId="5ECC1402" w:rsidR="00C75DB8" w:rsidRPr="00251EC1" w:rsidRDefault="00C75DB8" w:rsidP="00C75DB8">
                  <w:pPr>
                    <w:pStyle w:val="naiskr"/>
                    <w:spacing w:before="0" w:after="80"/>
                    <w:jc w:val="both"/>
                    <w:rPr>
                      <w:iCs/>
                    </w:rPr>
                  </w:pPr>
                  <w:r w:rsidRPr="00251EC1">
                    <w:rPr>
                      <w:iCs/>
                    </w:rPr>
                    <w:t>Konkurences likums pašreiz neparedz nodevu par apvienošanās izvērtēšanu. Tā kā Konkurences padome tiek finansēta no valsts budžeta, apvienošanos izvērtēšanas izmaksas sedz visi nodokļu maksātāji, nevis tie, kas saņem pakalpojumu un no tā iegūst. Attiecīgi nepieciešams noteikt nodevu par apvienošanās izvērtēšanu, lai daļēji kompensētu apvienošanās izvērtēšanas izmaksas un Konkurences padomes uzlikto</w:t>
                  </w:r>
                  <w:r w:rsidR="00642796" w:rsidRPr="00251EC1">
                    <w:rPr>
                      <w:iCs/>
                    </w:rPr>
                    <w:t xml:space="preserve"> saistošo noteikumu uzraudzību.</w:t>
                  </w:r>
                </w:p>
                <w:p w14:paraId="7625DCDD" w14:textId="77777777" w:rsidR="00C75DB8" w:rsidRPr="0057037A" w:rsidRDefault="00C75DB8" w:rsidP="00C75DB8">
                  <w:pPr>
                    <w:pStyle w:val="naiskr"/>
                    <w:spacing w:before="0" w:after="80"/>
                    <w:jc w:val="both"/>
                  </w:pPr>
                  <w:r w:rsidRPr="0057037A">
                    <w:rPr>
                      <w:iCs/>
                    </w:rPr>
                    <w:t>Nodeva vai maksājums par apvienošanās izvērtēšanu ir noteikta lielākajā daļā ES dalībvalstu:</w:t>
                  </w:r>
                  <w:r w:rsidRPr="0057037A">
                    <w:t xml:space="preserve"> Bulgārijā (iestādes budžetā), Grieķijā, Itālijā (iestādes budžetā), Īrijā, Maltā, Nīderlandē, Slovākijā, Slovēnijā, Spānijā, Polijā, Portugālē, Rumānijā, Vācijā, Apvienotā karalistē, Ungārijā, t.sk. arī kaimiņvalstīs Igaunijā un Lietuvā.</w:t>
                  </w:r>
                </w:p>
                <w:p w14:paraId="25970B8A" w14:textId="213FCCAA" w:rsidR="00C75DB8" w:rsidRPr="0057037A" w:rsidRDefault="00C75DB8" w:rsidP="00C75DB8">
                  <w:pPr>
                    <w:pStyle w:val="naiskr"/>
                    <w:spacing w:before="0" w:after="80"/>
                    <w:jc w:val="both"/>
                  </w:pPr>
                  <w:r w:rsidRPr="0057037A">
                    <w:t>Tās nav noteiktas tikai š</w:t>
                  </w:r>
                  <w:r w:rsidR="00642796">
                    <w:t>ād</w:t>
                  </w:r>
                  <w:r w:rsidRPr="0057037A">
                    <w:t>ās ES dalībvalstīs: Francijā, Luksemburgā, Somijā, Zviedrijā, Dānijā, Kiprā, Beļģijā.</w:t>
                  </w:r>
                </w:p>
                <w:p w14:paraId="2EA26D59" w14:textId="77777777" w:rsidR="00C75DB8" w:rsidRPr="0057037A" w:rsidRDefault="00C75DB8" w:rsidP="00C37325">
                  <w:pPr>
                    <w:ind w:right="57"/>
                    <w:jc w:val="both"/>
                    <w:rPr>
                      <w:rFonts w:ascii="Times New Roman" w:hAnsi="Times New Roman" w:cs="Times New Roman"/>
                      <w:sz w:val="24"/>
                      <w:szCs w:val="24"/>
                    </w:rPr>
                  </w:pPr>
                </w:p>
                <w:p w14:paraId="2849BC5C" w14:textId="0EFE6A50" w:rsidR="00643C5E" w:rsidRPr="00251EC1" w:rsidRDefault="00643C5E" w:rsidP="00643C5E">
                  <w:pPr>
                    <w:pStyle w:val="naiskr"/>
                    <w:spacing w:before="0" w:after="80"/>
                    <w:jc w:val="both"/>
                    <w:rPr>
                      <w:iCs/>
                    </w:rPr>
                  </w:pPr>
                  <w:r w:rsidRPr="00251EC1">
                    <w:rPr>
                      <w:iCs/>
                    </w:rPr>
                    <w:t>Likumprojekts paredz ieviest apvienošanās izvērtēšanas nodevu, kas daļēji segtu apvienošanās izvērtēšanas un iespējamās turpmākās uzraudzīšanas (saistošo noteikumu gadījumā) izmaksas, tādējādi nodrošinot, ka</w:t>
                  </w:r>
                  <w:r w:rsidR="0057037A" w:rsidRPr="00251EC1">
                    <w:rPr>
                      <w:iCs/>
                    </w:rPr>
                    <w:t xml:space="preserve"> </w:t>
                  </w:r>
                  <w:r w:rsidRPr="00251EC1">
                    <w:rPr>
                      <w:iCs/>
                    </w:rPr>
                    <w:t>apvienošanās izvērtēšanas izmaksas sedz tie, kuru rīcība var ierobežot konkurenci un kas tieši</w:t>
                  </w:r>
                  <w:r w:rsidR="0057037A" w:rsidRPr="00251EC1">
                    <w:rPr>
                      <w:iCs/>
                    </w:rPr>
                    <w:t xml:space="preserve"> </w:t>
                  </w:r>
                  <w:r w:rsidR="00DE5BB7" w:rsidRPr="00251EC1">
                    <w:rPr>
                      <w:iCs/>
                    </w:rPr>
                    <w:t>saņem attiecīgo pakalpojumu.</w:t>
                  </w:r>
                </w:p>
                <w:p w14:paraId="2FCBE4C6" w14:textId="5E35B2AB" w:rsidR="00643C5E" w:rsidRPr="00251EC1" w:rsidRDefault="00643C5E" w:rsidP="00643C5E">
                  <w:pPr>
                    <w:pStyle w:val="naiskr"/>
                    <w:spacing w:before="0" w:after="80"/>
                    <w:jc w:val="both"/>
                    <w:rPr>
                      <w:iCs/>
                    </w:rPr>
                  </w:pPr>
                  <w:r w:rsidRPr="00251EC1">
                    <w:rPr>
                      <w:iCs/>
                    </w:rPr>
                    <w:t xml:space="preserve">Valsts realizētās apvienošanās kontroles mērķis ir ierobežot tirgus koncentrāciju un aizsargāt konkurences struktūru tirgos, novēršot apvienošanos, kuras rezultātā varētu veidoties dominējošais stāvoklis vai būtiski samazināta konkurences konkrētajā tirgū. Lai nodrošinātu valsts kontroli </w:t>
                  </w:r>
                  <w:r w:rsidRPr="00CD3D06">
                    <w:rPr>
                      <w:iCs/>
                    </w:rPr>
                    <w:t xml:space="preserve">pār tirgus dalībnieku apvienošanās, Konkurences likums ir noteicis pienākumu konkrētu apvienošanās, kas atbilst likumā noteiktajiem kritērijiem, dalībniekiem iesniegt apvienošanās ziņojumu. Pēc apvienošanās ziņojuma saņemšanas Konkurences padome likumā noteiktajā termiņā izvērtē apvienošanos un ar lēmumu to atļauj, atļauj ar saistošiem noteikumiem, kuri novērš apvienošanās negatīvās sekas </w:t>
                  </w:r>
                  <w:r w:rsidRPr="00251EC1">
                    <w:rPr>
                      <w:iCs/>
                    </w:rPr>
                    <w:t>attiecībā uz konkurenci, vai aizliedz apvienošanos. Vienlaicīgi jāņem vērā, ka Konkurences padomei, lai izvērtētu apvienošanos</w:t>
                  </w:r>
                  <w:r w:rsidR="003775A4">
                    <w:rPr>
                      <w:iCs/>
                    </w:rPr>
                    <w:t>,</w:t>
                  </w:r>
                  <w:r w:rsidRPr="00251EC1">
                    <w:rPr>
                      <w:iCs/>
                    </w:rPr>
                    <w:t xml:space="preserve"> parasti ir nepieciešams iegūt papildus informāciju par konkrēto tirgu, jo ar apvienošanās </w:t>
                  </w:r>
                  <w:r w:rsidRPr="00251EC1">
                    <w:rPr>
                      <w:iCs/>
                    </w:rPr>
                    <w:lastRenderedPageBreak/>
                    <w:t xml:space="preserve">ziņojumā ietvertās informācijas izvērtēšanu lēmuma pieņemšanai bieži vien nepietiek. </w:t>
                  </w:r>
                </w:p>
                <w:p w14:paraId="3C14411E" w14:textId="1E3865CD" w:rsidR="00643C5E" w:rsidRPr="00620A33" w:rsidRDefault="00643C5E" w:rsidP="00643C5E">
                  <w:pPr>
                    <w:pStyle w:val="naiskr"/>
                    <w:spacing w:before="0" w:after="80"/>
                    <w:jc w:val="both"/>
                    <w:rPr>
                      <w:iCs/>
                    </w:rPr>
                  </w:pPr>
                  <w:r w:rsidRPr="00CD3D06">
                    <w:rPr>
                      <w:iCs/>
                    </w:rPr>
                    <w:t>Apvienošanās ziņojuma iesniegšana, apvienošanās dalībnieku kopējam apgrozījumā pārsniedzot noteiktos sliekšņus, ir obligāta un bez Konkurences padomes lēmuma par apvienošanās atļaušanu apvienošanās nevar tikt realizēta.</w:t>
                  </w:r>
                  <w:r w:rsidR="0057037A" w:rsidRPr="00413DDF">
                    <w:rPr>
                      <w:iCs/>
                    </w:rPr>
                    <w:t xml:space="preserve"> </w:t>
                  </w:r>
                  <w:r w:rsidRPr="003E0314">
                    <w:rPr>
                      <w:iCs/>
                    </w:rPr>
                    <w:t>Apvienošanās kontroles realizēšana ir Konkurences padomes viens no pamatpienākumiem. Nodevu paredzēts maksāt par apvienošanās izvērtēšanu neatkarīgi no tā</w:t>
                  </w:r>
                  <w:r w:rsidR="003775A4">
                    <w:rPr>
                      <w:iCs/>
                    </w:rPr>
                    <w:t>,</w:t>
                  </w:r>
                  <w:r w:rsidRPr="003E0314">
                    <w:rPr>
                      <w:iCs/>
                    </w:rPr>
                    <w:t xml:space="preserve"> kāda veida lēmums ir pieņemts, jo apvienošanās izvērtēšana patērē valsts resursus neatkarīgi no</w:t>
                  </w:r>
                  <w:r w:rsidRPr="00620A33">
                    <w:rPr>
                      <w:iCs/>
                    </w:rPr>
                    <w:t xml:space="preserve"> izvērtēšanas rezultāta. </w:t>
                  </w:r>
                </w:p>
                <w:p w14:paraId="7012F6C9" w14:textId="77777777" w:rsidR="00643C5E" w:rsidRPr="00176DE8" w:rsidRDefault="00643C5E" w:rsidP="00643C5E">
                  <w:pPr>
                    <w:pStyle w:val="naiskr"/>
                    <w:spacing w:before="0" w:after="80"/>
                    <w:jc w:val="both"/>
                    <w:rPr>
                      <w:iCs/>
                    </w:rPr>
                  </w:pPr>
                  <w:r w:rsidRPr="00176DE8">
                    <w:rPr>
                      <w:iCs/>
                    </w:rPr>
                    <w:t xml:space="preserve">Vienlaicīgi jāņem vērā, ka apvienošanās it sevišķi, ja apvienojas lieli tirgus dalībnieki var radīt arī konkurences riskus, nelabvēlīgi ietekmējot tirgu un sabiedrības intereses, jo tiek samazināts konkurentu skaits. Nodevas apjomu un maksāšanas kārtību noteiks Ministru kabinets. Nodevas apjoms plānots diferencēts atkarībā no apvienošanās nozīmības un ietekmes, t.i., atbilstoši apvienošanās iesaistīto tirgus dalībnieku apgrozījumam Latvijā. </w:t>
                  </w:r>
                </w:p>
                <w:p w14:paraId="22926386" w14:textId="4D0EABE0" w:rsidR="00643C5E" w:rsidRPr="00176DE8" w:rsidRDefault="00643C5E" w:rsidP="00643C5E">
                  <w:pPr>
                    <w:pStyle w:val="naiskr"/>
                    <w:spacing w:before="0" w:after="80"/>
                    <w:jc w:val="both"/>
                    <w:rPr>
                      <w:iCs/>
                    </w:rPr>
                  </w:pPr>
                  <w:r w:rsidRPr="00AE516B">
                    <w:rPr>
                      <w:iCs/>
                    </w:rPr>
                    <w:t xml:space="preserve">Attiecīgi, ja tiek iesniegts saīsinātais apvienošanās ziņojums, </w:t>
                  </w:r>
                  <w:r w:rsidRPr="00C56256">
                    <w:rPr>
                      <w:iCs/>
                    </w:rPr>
                    <w:t xml:space="preserve">apvienošanās izvērtēšanas nodeva paredzēta 2000 </w:t>
                  </w:r>
                  <w:proofErr w:type="spellStart"/>
                  <w:r w:rsidR="00176DE8" w:rsidRPr="00176DE8">
                    <w:rPr>
                      <w:i/>
                      <w:iCs/>
                    </w:rPr>
                    <w:t>euro</w:t>
                  </w:r>
                  <w:proofErr w:type="spellEnd"/>
                  <w:r w:rsidRPr="00176DE8">
                    <w:rPr>
                      <w:iCs/>
                    </w:rPr>
                    <w:t xml:space="preserve"> apmērā, šāda summa paredzēta arī gadījumiem, kad apvienošanās neatbilst paziņošanas kritērijiem, tomēr ziņojums tiek iesniegts pēc Konkurences padomes lūguma. Apvienošanās izvērtēšanas nodeva paredzēta 4000 </w:t>
                  </w:r>
                  <w:proofErr w:type="spellStart"/>
                  <w:r w:rsidR="00176DE8" w:rsidRPr="00176DE8">
                    <w:rPr>
                      <w:i/>
                      <w:shd w:val="clear" w:color="auto" w:fill="FFFFFF"/>
                    </w:rPr>
                    <w:t>euro</w:t>
                  </w:r>
                  <w:proofErr w:type="spellEnd"/>
                  <w:r w:rsidRPr="00176DE8">
                    <w:rPr>
                      <w:shd w:val="clear" w:color="auto" w:fill="FFFFFF"/>
                    </w:rPr>
                    <w:t xml:space="preserve"> apmērā, ja apvienošanās dalībnieku </w:t>
                  </w:r>
                  <w:r w:rsidRPr="00176DE8">
                    <w:t xml:space="preserve">kopējais apgrozījums iepriekšējā finanšu gadā Latvijas teritorijā ir starp 30 miljoniem </w:t>
                  </w:r>
                  <w:proofErr w:type="spellStart"/>
                  <w:r w:rsidR="00176DE8" w:rsidRPr="00176DE8">
                    <w:rPr>
                      <w:i/>
                    </w:rPr>
                    <w:t>euro</w:t>
                  </w:r>
                  <w:proofErr w:type="spellEnd"/>
                  <w:r w:rsidRPr="00176DE8">
                    <w:t xml:space="preserve"> un 80 miljoniem </w:t>
                  </w:r>
                  <w:proofErr w:type="spellStart"/>
                  <w:r w:rsidR="00176DE8" w:rsidRPr="00176DE8">
                    <w:rPr>
                      <w:i/>
                    </w:rPr>
                    <w:t>euro</w:t>
                  </w:r>
                  <w:proofErr w:type="spellEnd"/>
                  <w:r w:rsidRPr="00176DE8">
                    <w:t xml:space="preserve"> un </w:t>
                  </w:r>
                  <w:r w:rsidRPr="00176DE8">
                    <w:rPr>
                      <w:shd w:val="clear" w:color="auto" w:fill="FFFFFF"/>
                    </w:rPr>
                    <w:t xml:space="preserve">8000 </w:t>
                  </w:r>
                  <w:proofErr w:type="spellStart"/>
                  <w:r w:rsidR="00176DE8" w:rsidRPr="00176DE8">
                    <w:rPr>
                      <w:i/>
                      <w:shd w:val="clear" w:color="auto" w:fill="FFFFFF"/>
                    </w:rPr>
                    <w:t>euro</w:t>
                  </w:r>
                  <w:proofErr w:type="spellEnd"/>
                  <w:r w:rsidRPr="00176DE8">
                    <w:t xml:space="preserve"> apmērā,</w:t>
                  </w:r>
                  <w:r w:rsidR="0057037A" w:rsidRPr="00176DE8">
                    <w:t xml:space="preserve"> </w:t>
                  </w:r>
                  <w:r w:rsidRPr="00176DE8">
                    <w:rPr>
                      <w:shd w:val="clear" w:color="auto" w:fill="FFFFFF"/>
                    </w:rPr>
                    <w:t xml:space="preserve">ja apvienošanās dalībnieku </w:t>
                  </w:r>
                  <w:r w:rsidRPr="00176DE8">
                    <w:t>kopējais apgrozījums iepriekšējā finanšu gadā Latvi</w:t>
                  </w:r>
                  <w:r w:rsidRPr="00AE516B">
                    <w:t xml:space="preserve">jas teritorijā pārsniedz 80 miljonus </w:t>
                  </w:r>
                  <w:proofErr w:type="spellStart"/>
                  <w:r w:rsidR="00176DE8" w:rsidRPr="00176DE8">
                    <w:rPr>
                      <w:i/>
                    </w:rPr>
                    <w:t>euro</w:t>
                  </w:r>
                  <w:proofErr w:type="spellEnd"/>
                  <w:r w:rsidRPr="00176DE8">
                    <w:t xml:space="preserve">. </w:t>
                  </w:r>
                </w:p>
                <w:p w14:paraId="6B7B1321" w14:textId="6DFFB303" w:rsidR="00643C5E" w:rsidRPr="00D910F5" w:rsidRDefault="00643C5E" w:rsidP="00643C5E">
                  <w:pPr>
                    <w:ind w:left="57" w:right="57"/>
                    <w:jc w:val="both"/>
                    <w:rPr>
                      <w:rFonts w:ascii="Times New Roman" w:hAnsi="Times New Roman" w:cs="Times New Roman"/>
                      <w:sz w:val="24"/>
                      <w:szCs w:val="24"/>
                    </w:rPr>
                  </w:pPr>
                  <w:r w:rsidRPr="00D910F5">
                    <w:rPr>
                      <w:rFonts w:ascii="Times New Roman" w:hAnsi="Times New Roman" w:cs="Times New Roman"/>
                      <w:sz w:val="24"/>
                      <w:szCs w:val="24"/>
                    </w:rPr>
                    <w:t>2012.gadā KP tika iesniegti 11 apvienošanās ziņojumi</w:t>
                  </w:r>
                  <w:r w:rsidR="00614E13" w:rsidRPr="00D910F5">
                    <w:rPr>
                      <w:rFonts w:ascii="Times New Roman" w:hAnsi="Times New Roman" w:cs="Times New Roman"/>
                      <w:sz w:val="24"/>
                      <w:szCs w:val="24"/>
                    </w:rPr>
                    <w:t xml:space="preserve"> </w:t>
                  </w:r>
                  <w:r w:rsidR="00614E13" w:rsidRPr="00D910F5">
                    <w:rPr>
                      <w:rFonts w:ascii="Times New Roman" w:hAnsi="Times New Roman" w:cs="Times New Roman"/>
                      <w:iCs/>
                      <w:sz w:val="24"/>
                      <w:szCs w:val="24"/>
                    </w:rPr>
                    <w:t>(pieņemti 10 lēmumi, kā arī viens lēmums par pārkāpumu, kas izpaužas, kā apvienošanās ziņojuma neiesniegšana)</w:t>
                  </w:r>
                  <w:r w:rsidRPr="00D910F5">
                    <w:rPr>
                      <w:rFonts w:ascii="Times New Roman" w:hAnsi="Times New Roman" w:cs="Times New Roman"/>
                      <w:sz w:val="24"/>
                      <w:szCs w:val="24"/>
                    </w:rPr>
                    <w:t xml:space="preserve">. </w:t>
                  </w:r>
                  <w:r w:rsidR="00AA109D" w:rsidRPr="00D910F5">
                    <w:rPr>
                      <w:rFonts w:ascii="Times New Roman" w:hAnsi="Times New Roman" w:cs="Times New Roman"/>
                      <w:sz w:val="24"/>
                      <w:szCs w:val="24"/>
                    </w:rPr>
                    <w:t xml:space="preserve">Atbilstoši plānotajam nodevas apmēram tas kopā nodrošinātu nodevas ~60 000 </w:t>
                  </w:r>
                  <w:proofErr w:type="spellStart"/>
                  <w:r w:rsidR="00176DE8" w:rsidRPr="00D910F5">
                    <w:rPr>
                      <w:rFonts w:ascii="Times New Roman" w:hAnsi="Times New Roman" w:cs="Times New Roman"/>
                      <w:i/>
                      <w:iCs/>
                      <w:sz w:val="24"/>
                      <w:szCs w:val="24"/>
                    </w:rPr>
                    <w:t>euro</w:t>
                  </w:r>
                  <w:proofErr w:type="spellEnd"/>
                  <w:r w:rsidR="00AA109D" w:rsidRPr="00D910F5">
                    <w:rPr>
                      <w:rFonts w:ascii="Times New Roman" w:hAnsi="Times New Roman" w:cs="Times New Roman"/>
                      <w:sz w:val="24"/>
                      <w:szCs w:val="24"/>
                    </w:rPr>
                    <w:t xml:space="preserve"> apmērā.</w:t>
                  </w:r>
                </w:p>
                <w:p w14:paraId="6B99C02A" w14:textId="1AFDFA36" w:rsidR="007E25D9" w:rsidRPr="00176DE8" w:rsidRDefault="00614E13" w:rsidP="00614E13">
                  <w:pPr>
                    <w:ind w:left="57" w:right="57"/>
                    <w:jc w:val="both"/>
                    <w:rPr>
                      <w:rFonts w:ascii="Times New Roman" w:hAnsi="Times New Roman" w:cs="Times New Roman"/>
                      <w:sz w:val="24"/>
                      <w:szCs w:val="24"/>
                    </w:rPr>
                  </w:pPr>
                  <w:r w:rsidRPr="00D910F5">
                    <w:rPr>
                      <w:rFonts w:ascii="Times New Roman" w:hAnsi="Times New Roman" w:cs="Times New Roman"/>
                      <w:sz w:val="24"/>
                      <w:szCs w:val="24"/>
                    </w:rPr>
                    <w:t>2013.gadā KP tika iesniegti 1</w:t>
                  </w:r>
                  <w:r w:rsidR="00402566" w:rsidRPr="00D910F5">
                    <w:rPr>
                      <w:rFonts w:ascii="Times New Roman" w:hAnsi="Times New Roman" w:cs="Times New Roman"/>
                      <w:sz w:val="24"/>
                      <w:szCs w:val="24"/>
                    </w:rPr>
                    <w:t>6</w:t>
                  </w:r>
                  <w:r w:rsidRPr="00D910F5">
                    <w:rPr>
                      <w:rFonts w:ascii="Times New Roman" w:hAnsi="Times New Roman" w:cs="Times New Roman"/>
                      <w:sz w:val="24"/>
                      <w:szCs w:val="24"/>
                    </w:rPr>
                    <w:t xml:space="preserve"> apvienošanās ziņojumi. (pieņemti </w:t>
                  </w:r>
                  <w:r w:rsidR="00402566" w:rsidRPr="00D910F5">
                    <w:rPr>
                      <w:rFonts w:ascii="Times New Roman" w:hAnsi="Times New Roman" w:cs="Times New Roman"/>
                      <w:sz w:val="24"/>
                      <w:szCs w:val="24"/>
                    </w:rPr>
                    <w:t>20</w:t>
                  </w:r>
                  <w:r w:rsidR="007E25D9" w:rsidRPr="00D910F5">
                    <w:rPr>
                      <w:rFonts w:ascii="Times New Roman" w:hAnsi="Times New Roman" w:cs="Times New Roman"/>
                      <w:sz w:val="24"/>
                      <w:szCs w:val="24"/>
                    </w:rPr>
                    <w:t xml:space="preserve"> lēmumi, no tiem 2 par pārkāpumu, kas izpaužas kā apvienošanās ziņojuma neiesniegšana, 1 par pārkāpuma lietas izpētes izbeigšanu</w:t>
                  </w:r>
                  <w:r w:rsidR="007E25D9" w:rsidRPr="00AE516B">
                    <w:rPr>
                      <w:rFonts w:ascii="Times New Roman" w:hAnsi="Times New Roman" w:cs="Times New Roman"/>
                      <w:sz w:val="24"/>
                      <w:szCs w:val="24"/>
                    </w:rPr>
                    <w:t>, 1 par apvienošanās atļaujas termiņa pagarinājumu).</w:t>
                  </w:r>
                  <w:r w:rsidR="00402566" w:rsidRPr="00C56256">
                    <w:rPr>
                      <w:rFonts w:ascii="Times New Roman" w:hAnsi="Times New Roman" w:cs="Times New Roman"/>
                      <w:sz w:val="24"/>
                      <w:szCs w:val="24"/>
                    </w:rPr>
                    <w:t xml:space="preserve"> </w:t>
                  </w:r>
                  <w:r w:rsidR="00AA109D" w:rsidRPr="00C56256">
                    <w:rPr>
                      <w:rFonts w:ascii="Times New Roman" w:hAnsi="Times New Roman" w:cs="Times New Roman"/>
                      <w:sz w:val="24"/>
                      <w:szCs w:val="24"/>
                    </w:rPr>
                    <w:t>Atbilstoši plānotajam nodevas apmēram tas kopā nodrošinātu nodevas</w:t>
                  </w:r>
                  <w:r w:rsidR="00AA109D" w:rsidRPr="007B34C1">
                    <w:rPr>
                      <w:rFonts w:ascii="Times New Roman" w:hAnsi="Times New Roman" w:cs="Times New Roman"/>
                      <w:sz w:val="24"/>
                      <w:szCs w:val="24"/>
                    </w:rPr>
                    <w:t xml:space="preserve"> ~70 000 </w:t>
                  </w:r>
                  <w:proofErr w:type="spellStart"/>
                  <w:r w:rsidR="00176DE8" w:rsidRPr="00176DE8">
                    <w:rPr>
                      <w:rFonts w:ascii="Times New Roman" w:hAnsi="Times New Roman" w:cs="Times New Roman"/>
                      <w:i/>
                      <w:iCs/>
                      <w:sz w:val="24"/>
                      <w:szCs w:val="24"/>
                    </w:rPr>
                    <w:t>euro</w:t>
                  </w:r>
                  <w:proofErr w:type="spellEnd"/>
                  <w:r w:rsidR="00AA109D" w:rsidRPr="00176DE8">
                    <w:rPr>
                      <w:rFonts w:ascii="Times New Roman" w:hAnsi="Times New Roman" w:cs="Times New Roman"/>
                      <w:sz w:val="24"/>
                      <w:szCs w:val="24"/>
                    </w:rPr>
                    <w:t xml:space="preserve"> apmērā.</w:t>
                  </w:r>
                </w:p>
                <w:p w14:paraId="046DE9BF" w14:textId="440B6D3D" w:rsidR="007E25D9" w:rsidRPr="00176DE8" w:rsidRDefault="007E25D9" w:rsidP="007E25D9">
                  <w:pPr>
                    <w:ind w:left="57" w:right="57"/>
                    <w:jc w:val="both"/>
                    <w:rPr>
                      <w:rFonts w:ascii="Times New Roman" w:hAnsi="Times New Roman" w:cs="Times New Roman"/>
                      <w:sz w:val="24"/>
                      <w:szCs w:val="24"/>
                    </w:rPr>
                  </w:pPr>
                  <w:r w:rsidRPr="00176DE8">
                    <w:rPr>
                      <w:rFonts w:ascii="Times New Roman" w:hAnsi="Times New Roman" w:cs="Times New Roman"/>
                      <w:sz w:val="24"/>
                      <w:szCs w:val="24"/>
                    </w:rPr>
                    <w:t>2014.gadā KP tika iesniegti 12 apvienošanās ziņojumi. (pieņemti 14 lēmumi, no tiem 1 par apvienošanās atļaujas saistošo noteikumu atcelšanu un 1 par apvienošanās atļaujas termiņa nepagarināšanu).</w:t>
                  </w:r>
                  <w:r w:rsidR="00402566" w:rsidRPr="00AE516B">
                    <w:rPr>
                      <w:rFonts w:ascii="Times New Roman" w:hAnsi="Times New Roman" w:cs="Times New Roman"/>
                      <w:sz w:val="24"/>
                      <w:szCs w:val="24"/>
                    </w:rPr>
                    <w:t xml:space="preserve"> </w:t>
                  </w:r>
                  <w:r w:rsidR="00AA109D" w:rsidRPr="00AE516B">
                    <w:rPr>
                      <w:rFonts w:ascii="Times New Roman" w:hAnsi="Times New Roman" w:cs="Times New Roman"/>
                      <w:sz w:val="24"/>
                      <w:szCs w:val="24"/>
                    </w:rPr>
                    <w:t xml:space="preserve">Atbilstoši plānotajam nodevas apmēram </w:t>
                  </w:r>
                  <w:r w:rsidR="00AA109D" w:rsidRPr="00C56256">
                    <w:rPr>
                      <w:rFonts w:ascii="Times New Roman" w:hAnsi="Times New Roman" w:cs="Times New Roman"/>
                      <w:sz w:val="24"/>
                      <w:szCs w:val="24"/>
                    </w:rPr>
                    <w:t xml:space="preserve">tas kopā nodrošinātu nodevas ~50 000 </w:t>
                  </w:r>
                  <w:proofErr w:type="spellStart"/>
                  <w:r w:rsidR="00176DE8" w:rsidRPr="00176DE8">
                    <w:rPr>
                      <w:rFonts w:ascii="Times New Roman" w:hAnsi="Times New Roman" w:cs="Times New Roman"/>
                      <w:i/>
                      <w:iCs/>
                      <w:sz w:val="24"/>
                      <w:szCs w:val="24"/>
                    </w:rPr>
                    <w:t>euro</w:t>
                  </w:r>
                  <w:proofErr w:type="spellEnd"/>
                  <w:r w:rsidR="00AA109D" w:rsidRPr="00176DE8">
                    <w:rPr>
                      <w:rFonts w:ascii="Times New Roman" w:hAnsi="Times New Roman" w:cs="Times New Roman"/>
                      <w:sz w:val="24"/>
                      <w:szCs w:val="24"/>
                    </w:rPr>
                    <w:t xml:space="preserve"> apmērā.</w:t>
                  </w:r>
                </w:p>
                <w:p w14:paraId="03EB6D32" w14:textId="75FBD4B2" w:rsidR="00C633DB" w:rsidRPr="00330E78" w:rsidRDefault="00F919FA" w:rsidP="00330E78">
                  <w:pPr>
                    <w:spacing w:before="80"/>
                    <w:ind w:left="57" w:right="57"/>
                    <w:jc w:val="both"/>
                    <w:rPr>
                      <w:rFonts w:ascii="Times New Roman" w:hAnsi="Times New Roman" w:cs="Times New Roman"/>
                      <w:sz w:val="24"/>
                      <w:szCs w:val="24"/>
                    </w:rPr>
                  </w:pPr>
                  <w:r w:rsidRPr="00330E78">
                    <w:rPr>
                      <w:rFonts w:ascii="Times New Roman" w:hAnsi="Times New Roman" w:cs="Times New Roman"/>
                      <w:sz w:val="24"/>
                      <w:szCs w:val="24"/>
                    </w:rPr>
                    <w:t>Atbilstoši</w:t>
                  </w:r>
                  <w:r w:rsidRPr="00330E78">
                    <w:t xml:space="preserve"> </w:t>
                  </w:r>
                  <w:r w:rsidRPr="00330E78">
                    <w:rPr>
                      <w:rFonts w:ascii="Times New Roman" w:hAnsi="Times New Roman" w:cs="Times New Roman"/>
                      <w:sz w:val="24"/>
                      <w:szCs w:val="24"/>
                    </w:rPr>
                    <w:t xml:space="preserve">Ministru kabineta komitejas 05.01.2015. sēdē (prot.Nr.1, 2.§) </w:t>
                  </w:r>
                  <w:r w:rsidR="00C633DB" w:rsidRPr="00330E78">
                    <w:rPr>
                      <w:rFonts w:ascii="Times New Roman" w:hAnsi="Times New Roman" w:cs="Times New Roman"/>
                      <w:sz w:val="24"/>
                      <w:szCs w:val="24"/>
                    </w:rPr>
                    <w:t xml:space="preserve">lemtajam, lai daļēji risinātu Eiropas Savienības Padomes Eiropas Semestra ietvaros 08.07.2014. apstiprināto </w:t>
                  </w:r>
                  <w:r w:rsidR="00C633DB" w:rsidRPr="00330E78">
                    <w:rPr>
                      <w:rFonts w:ascii="Times New Roman" w:hAnsi="Times New Roman" w:cs="Times New Roman"/>
                      <w:sz w:val="24"/>
                      <w:szCs w:val="24"/>
                    </w:rPr>
                    <w:lastRenderedPageBreak/>
                    <w:t xml:space="preserve">rekomendāciju „Latvijas nacionālajai reformu programmai 2014” un „Latvijas stabilitātes programmai 2014” 5.punktā doto uzdevumu izpildi – nodrošināt lielāku Konkurences padomes </w:t>
                  </w:r>
                  <w:r w:rsidR="00FF1C37" w:rsidRPr="00330E78">
                    <w:rPr>
                      <w:rFonts w:ascii="Times New Roman" w:hAnsi="Times New Roman" w:cs="Times New Roman"/>
                      <w:sz w:val="24"/>
                      <w:szCs w:val="24"/>
                    </w:rPr>
                    <w:t xml:space="preserve">institucionālo un </w:t>
                  </w:r>
                  <w:r w:rsidR="00C633DB" w:rsidRPr="00330E78">
                    <w:rPr>
                      <w:rFonts w:ascii="Times New Roman" w:hAnsi="Times New Roman" w:cs="Times New Roman"/>
                      <w:sz w:val="24"/>
                      <w:szCs w:val="24"/>
                      <w:u w:val="single"/>
                    </w:rPr>
                    <w:t>finansiālo neatkarību, tika atbalstīts priekšlikums likumprojektā „Grozījumi Konkurences likumā”</w:t>
                  </w:r>
                  <w:r w:rsidR="00FF1C37" w:rsidRPr="00330E78">
                    <w:rPr>
                      <w:rFonts w:ascii="Times New Roman" w:hAnsi="Times New Roman" w:cs="Times New Roman"/>
                      <w:sz w:val="24"/>
                      <w:szCs w:val="24"/>
                      <w:u w:val="single"/>
                    </w:rPr>
                    <w:t xml:space="preserve"> (VSS-1767, TA-2985)</w:t>
                  </w:r>
                  <w:r w:rsidR="00C633DB" w:rsidRPr="00330E78">
                    <w:rPr>
                      <w:rFonts w:ascii="Times New Roman" w:hAnsi="Times New Roman" w:cs="Times New Roman"/>
                      <w:sz w:val="24"/>
                      <w:szCs w:val="24"/>
                      <w:u w:val="single"/>
                    </w:rPr>
                    <w:t xml:space="preserve"> paredzēto valsts nodevu par apvienošanās izvērtēšanu novirzīt Konkurences padomei, lai </w:t>
                  </w:r>
                  <w:r w:rsidR="00FF1C37" w:rsidRPr="00330E78">
                    <w:rPr>
                      <w:rFonts w:ascii="Times New Roman" w:hAnsi="Times New Roman" w:cs="Times New Roman"/>
                      <w:sz w:val="24"/>
                      <w:szCs w:val="24"/>
                      <w:u w:val="single"/>
                    </w:rPr>
                    <w:t>stiprinātu iestādes administratīvo kapacitāti</w:t>
                  </w:r>
                  <w:r w:rsidR="00FF1C37" w:rsidRPr="00330E78">
                    <w:rPr>
                      <w:rFonts w:ascii="Times New Roman" w:hAnsi="Times New Roman" w:cs="Times New Roman"/>
                      <w:sz w:val="24"/>
                      <w:szCs w:val="24"/>
                    </w:rPr>
                    <w:t>.</w:t>
                  </w:r>
                  <w:r w:rsidR="00C633DB" w:rsidRPr="00330E78">
                    <w:rPr>
                      <w:rFonts w:ascii="Times New Roman" w:hAnsi="Times New Roman" w:cs="Times New Roman"/>
                      <w:sz w:val="24"/>
                      <w:szCs w:val="24"/>
                    </w:rPr>
                    <w:t xml:space="preserve"> </w:t>
                  </w:r>
                </w:p>
                <w:p w14:paraId="11F86799" w14:textId="77777777" w:rsidR="003B14F5" w:rsidRPr="00482D05" w:rsidRDefault="00A97E7D" w:rsidP="00330E78">
                  <w:pPr>
                    <w:spacing w:before="80"/>
                    <w:ind w:left="57" w:right="57"/>
                    <w:jc w:val="both"/>
                    <w:rPr>
                      <w:rFonts w:ascii="Times New Roman" w:hAnsi="Times New Roman" w:cs="Times New Roman"/>
                      <w:sz w:val="24"/>
                      <w:szCs w:val="24"/>
                      <w:shd w:val="clear" w:color="auto" w:fill="FFFFFF"/>
                    </w:rPr>
                  </w:pPr>
                  <w:r w:rsidRPr="00482D05">
                    <w:rPr>
                      <w:rFonts w:ascii="Times New Roman" w:hAnsi="Times New Roman" w:cs="Times New Roman"/>
                      <w:sz w:val="24"/>
                      <w:szCs w:val="24"/>
                    </w:rPr>
                    <w:t xml:space="preserve">Likumprojekts paredz </w:t>
                  </w:r>
                  <w:r w:rsidR="003B14F5" w:rsidRPr="00482D05">
                    <w:rPr>
                      <w:rFonts w:ascii="Times New Roman" w:hAnsi="Times New Roman" w:cs="Times New Roman"/>
                      <w:sz w:val="24"/>
                      <w:szCs w:val="24"/>
                    </w:rPr>
                    <w:t xml:space="preserve">papildināt </w:t>
                  </w:r>
                  <w:r w:rsidRPr="00482D05">
                    <w:rPr>
                      <w:rFonts w:ascii="Times New Roman" w:eastAsia="Times New Roman" w:hAnsi="Times New Roman" w:cs="Times New Roman"/>
                      <w:sz w:val="24"/>
                      <w:szCs w:val="24"/>
                      <w:lang w:eastAsia="lv-LV"/>
                    </w:rPr>
                    <w:t>1</w:t>
                  </w:r>
                  <w:r w:rsidR="003B14F5" w:rsidRPr="00482D05">
                    <w:rPr>
                      <w:rFonts w:ascii="Times New Roman" w:eastAsia="Times New Roman" w:hAnsi="Times New Roman" w:cs="Times New Roman"/>
                      <w:sz w:val="24"/>
                      <w:szCs w:val="24"/>
                      <w:lang w:eastAsia="lv-LV"/>
                    </w:rPr>
                    <w:t>1</w:t>
                  </w:r>
                  <w:r w:rsidRPr="00482D05">
                    <w:rPr>
                      <w:rFonts w:ascii="Times New Roman" w:eastAsia="Times New Roman" w:hAnsi="Times New Roman" w:cs="Times New Roman"/>
                      <w:sz w:val="24"/>
                      <w:szCs w:val="24"/>
                      <w:lang w:eastAsia="lv-LV"/>
                    </w:rPr>
                    <w:t xml:space="preserve">.panta </w:t>
                  </w:r>
                  <w:r w:rsidR="003B14F5" w:rsidRPr="00482D05">
                    <w:rPr>
                      <w:rFonts w:ascii="Times New Roman" w:eastAsia="Times New Roman" w:hAnsi="Times New Roman" w:cs="Times New Roman"/>
                      <w:sz w:val="24"/>
                      <w:szCs w:val="24"/>
                      <w:lang w:eastAsia="lv-LV"/>
                    </w:rPr>
                    <w:t xml:space="preserve">otro daļu ar 131.punktu paredzot, ka valsts nodeva ir maksājama </w:t>
                  </w:r>
                  <w:r w:rsidR="003B14F5" w:rsidRPr="00482D05">
                    <w:rPr>
                      <w:rFonts w:ascii="Times New Roman" w:hAnsi="Times New Roman" w:cs="Times New Roman"/>
                      <w:sz w:val="24"/>
                      <w:szCs w:val="24"/>
                      <w:shd w:val="clear" w:color="auto" w:fill="FFFFFF"/>
                    </w:rPr>
                    <w:t>par Konkurences likumā noteikto apvienošanās izvērtēšanu.</w:t>
                  </w:r>
                </w:p>
                <w:p w14:paraId="01AB138E" w14:textId="26E0DF12" w:rsidR="00A97E7D" w:rsidRPr="00251EC1" w:rsidRDefault="00A97E7D" w:rsidP="00330E78">
                  <w:pPr>
                    <w:spacing w:before="80"/>
                    <w:ind w:left="57" w:right="57"/>
                    <w:jc w:val="both"/>
                    <w:rPr>
                      <w:rFonts w:ascii="Times New Roman" w:hAnsi="Times New Roman" w:cs="Times New Roman"/>
                      <w:sz w:val="24"/>
                      <w:szCs w:val="24"/>
                      <w:shd w:val="clear" w:color="auto" w:fill="FFFFFF"/>
                    </w:rPr>
                  </w:pPr>
                  <w:r w:rsidRPr="00482D05">
                    <w:rPr>
                      <w:rFonts w:ascii="Times New Roman" w:hAnsi="Times New Roman" w:cs="Times New Roman"/>
                      <w:sz w:val="24"/>
                      <w:szCs w:val="24"/>
                    </w:rPr>
                    <w:t>Likumprojekts stāsies spēkā 201</w:t>
                  </w:r>
                  <w:r w:rsidR="003A1E0B" w:rsidRPr="00482D05">
                    <w:rPr>
                      <w:rFonts w:ascii="Times New Roman" w:hAnsi="Times New Roman" w:cs="Times New Roman"/>
                      <w:sz w:val="24"/>
                      <w:szCs w:val="24"/>
                    </w:rPr>
                    <w:t>6</w:t>
                  </w:r>
                  <w:r w:rsidRPr="00482D05">
                    <w:rPr>
                      <w:rFonts w:ascii="Times New Roman" w:hAnsi="Times New Roman" w:cs="Times New Roman"/>
                      <w:sz w:val="24"/>
                      <w:szCs w:val="24"/>
                    </w:rPr>
                    <w:t>.gada 1.janvārī.</w:t>
                  </w:r>
                </w:p>
              </w:tc>
            </w:tr>
            <w:tr w:rsidR="0057037A" w:rsidRPr="0057037A" w14:paraId="0FC36326" w14:textId="77777777" w:rsidTr="00AA699D">
              <w:trPr>
                <w:trHeight w:val="465"/>
                <w:tblCellSpacing w:w="15" w:type="dxa"/>
              </w:trPr>
              <w:tc>
                <w:tcPr>
                  <w:tcW w:w="235" w:type="pct"/>
                  <w:hideMark/>
                </w:tcPr>
                <w:p w14:paraId="4ABA74B8" w14:textId="79C8B8A7" w:rsidR="00A97E7D" w:rsidRPr="0057037A" w:rsidRDefault="00A97E7D" w:rsidP="00544C0B">
                  <w:pPr>
                    <w:jc w:val="center"/>
                    <w:rPr>
                      <w:rFonts w:ascii="Times New Roman" w:eastAsia="Times New Roman" w:hAnsi="Times New Roman" w:cs="Times New Roman"/>
                      <w:sz w:val="24"/>
                      <w:szCs w:val="24"/>
                      <w:lang w:eastAsia="lv-LV"/>
                    </w:rPr>
                  </w:pPr>
                  <w:r w:rsidRPr="0057037A">
                    <w:rPr>
                      <w:rFonts w:ascii="Times New Roman" w:eastAsia="Times New Roman" w:hAnsi="Times New Roman" w:cs="Times New Roman"/>
                      <w:sz w:val="24"/>
                      <w:szCs w:val="24"/>
                      <w:lang w:eastAsia="lv-LV"/>
                    </w:rPr>
                    <w:lastRenderedPageBreak/>
                    <w:t>3.</w:t>
                  </w:r>
                </w:p>
              </w:tc>
              <w:tc>
                <w:tcPr>
                  <w:tcW w:w="1320" w:type="pct"/>
                  <w:hideMark/>
                </w:tcPr>
                <w:p w14:paraId="6E1C9B2C" w14:textId="77777777" w:rsidR="00A97E7D" w:rsidRPr="0057037A" w:rsidRDefault="00A97E7D" w:rsidP="00544C0B">
                  <w:pPr>
                    <w:rPr>
                      <w:rFonts w:ascii="Times New Roman" w:eastAsia="Times New Roman" w:hAnsi="Times New Roman" w:cs="Times New Roman"/>
                      <w:sz w:val="24"/>
                      <w:szCs w:val="24"/>
                      <w:lang w:eastAsia="lv-LV"/>
                    </w:rPr>
                  </w:pPr>
                  <w:r w:rsidRPr="0057037A">
                    <w:rPr>
                      <w:rFonts w:ascii="Times New Roman" w:eastAsia="Times New Roman" w:hAnsi="Times New Roman" w:cs="Times New Roman"/>
                      <w:sz w:val="24"/>
                      <w:szCs w:val="24"/>
                      <w:lang w:eastAsia="lv-LV"/>
                    </w:rPr>
                    <w:t>Projekta izstrādē iesaistītās institūcijas</w:t>
                  </w:r>
                </w:p>
                <w:p w14:paraId="5A79C924" w14:textId="77777777" w:rsidR="00A97E7D" w:rsidRPr="0057037A" w:rsidRDefault="00A97E7D" w:rsidP="00544C0B">
                  <w:pPr>
                    <w:rPr>
                      <w:rFonts w:ascii="Times New Roman" w:eastAsia="Times New Roman" w:hAnsi="Times New Roman" w:cs="Times New Roman"/>
                      <w:sz w:val="24"/>
                      <w:szCs w:val="24"/>
                      <w:lang w:eastAsia="lv-LV"/>
                    </w:rPr>
                  </w:pPr>
                </w:p>
              </w:tc>
              <w:tc>
                <w:tcPr>
                  <w:tcW w:w="3381" w:type="pct"/>
                  <w:hideMark/>
                </w:tcPr>
                <w:p w14:paraId="0D26421F" w14:textId="77777777" w:rsidR="00A97E7D" w:rsidRPr="0057037A" w:rsidRDefault="00153344" w:rsidP="00544C0B">
                  <w:pPr>
                    <w:jc w:val="both"/>
                    <w:rPr>
                      <w:rFonts w:ascii="Times New Roman" w:eastAsia="Times New Roman" w:hAnsi="Times New Roman" w:cs="Times New Roman"/>
                      <w:sz w:val="24"/>
                      <w:szCs w:val="24"/>
                      <w:lang w:eastAsia="lv-LV"/>
                    </w:rPr>
                  </w:pPr>
                  <w:r w:rsidRPr="0057037A">
                    <w:rPr>
                      <w:rFonts w:ascii="Times New Roman" w:eastAsia="Times New Roman" w:hAnsi="Times New Roman" w:cs="Times New Roman"/>
                      <w:sz w:val="24"/>
                      <w:szCs w:val="24"/>
                      <w:lang w:eastAsia="lv-LV"/>
                    </w:rPr>
                    <w:t>Konkurences padome</w:t>
                  </w:r>
                </w:p>
              </w:tc>
            </w:tr>
            <w:tr w:rsidR="0057037A" w:rsidRPr="0057037A" w14:paraId="0EE3967E" w14:textId="77777777" w:rsidTr="00AA699D">
              <w:trPr>
                <w:tblCellSpacing w:w="15" w:type="dxa"/>
              </w:trPr>
              <w:tc>
                <w:tcPr>
                  <w:tcW w:w="235" w:type="pct"/>
                  <w:hideMark/>
                </w:tcPr>
                <w:p w14:paraId="55BF7202" w14:textId="77777777" w:rsidR="00A97E7D" w:rsidRPr="0057037A" w:rsidRDefault="00A97E7D" w:rsidP="00544C0B">
                  <w:pPr>
                    <w:jc w:val="center"/>
                    <w:rPr>
                      <w:rFonts w:ascii="Times New Roman" w:eastAsia="Times New Roman" w:hAnsi="Times New Roman" w:cs="Times New Roman"/>
                      <w:sz w:val="24"/>
                      <w:szCs w:val="24"/>
                      <w:lang w:eastAsia="lv-LV"/>
                    </w:rPr>
                  </w:pPr>
                  <w:r w:rsidRPr="0057037A">
                    <w:rPr>
                      <w:rFonts w:ascii="Times New Roman" w:eastAsia="Times New Roman" w:hAnsi="Times New Roman" w:cs="Times New Roman"/>
                      <w:sz w:val="24"/>
                      <w:szCs w:val="24"/>
                      <w:lang w:eastAsia="lv-LV"/>
                    </w:rPr>
                    <w:t>4.</w:t>
                  </w:r>
                </w:p>
              </w:tc>
              <w:tc>
                <w:tcPr>
                  <w:tcW w:w="1320" w:type="pct"/>
                  <w:hideMark/>
                </w:tcPr>
                <w:p w14:paraId="2C85A253" w14:textId="77777777" w:rsidR="00A97E7D" w:rsidRPr="0057037A" w:rsidRDefault="00A97E7D" w:rsidP="00544C0B">
                  <w:pPr>
                    <w:rPr>
                      <w:rFonts w:ascii="Times New Roman" w:eastAsia="Times New Roman" w:hAnsi="Times New Roman" w:cs="Times New Roman"/>
                      <w:sz w:val="24"/>
                      <w:szCs w:val="24"/>
                      <w:lang w:eastAsia="lv-LV"/>
                    </w:rPr>
                  </w:pPr>
                  <w:r w:rsidRPr="0057037A">
                    <w:rPr>
                      <w:rFonts w:ascii="Times New Roman" w:eastAsia="Times New Roman" w:hAnsi="Times New Roman" w:cs="Times New Roman"/>
                      <w:sz w:val="24"/>
                      <w:szCs w:val="24"/>
                      <w:lang w:eastAsia="lv-LV"/>
                    </w:rPr>
                    <w:t>Cita informācija</w:t>
                  </w:r>
                </w:p>
              </w:tc>
              <w:tc>
                <w:tcPr>
                  <w:tcW w:w="3381" w:type="pct"/>
                  <w:hideMark/>
                </w:tcPr>
                <w:p w14:paraId="2ECD23CF" w14:textId="5AD8A893" w:rsidR="00A97E7D" w:rsidRPr="0057037A" w:rsidRDefault="00A97E7D" w:rsidP="00EA7E42">
                  <w:pPr>
                    <w:pStyle w:val="Normal1"/>
                    <w:jc w:val="both"/>
                    <w:rPr>
                      <w:rFonts w:ascii="Times New Roman" w:hAnsi="Times New Roman"/>
                      <w:sz w:val="24"/>
                      <w:szCs w:val="24"/>
                    </w:rPr>
                  </w:pPr>
                  <w:r w:rsidRPr="0057037A">
                    <w:rPr>
                      <w:rFonts w:ascii="Times New Roman" w:hAnsi="Times New Roman"/>
                      <w:sz w:val="24"/>
                      <w:szCs w:val="24"/>
                    </w:rPr>
                    <w:t xml:space="preserve">Nav </w:t>
                  </w:r>
                </w:p>
              </w:tc>
            </w:tr>
          </w:tbl>
          <w:p w14:paraId="4C110E87" w14:textId="77777777" w:rsidR="00A97E7D" w:rsidRPr="0057037A" w:rsidRDefault="00A97E7D" w:rsidP="00544C0B">
            <w:pPr>
              <w:rPr>
                <w:rFonts w:ascii="Times New Roman" w:eastAsia="Times New Roman" w:hAnsi="Times New Roman" w:cs="Times New Roman"/>
                <w:sz w:val="24"/>
                <w:szCs w:val="24"/>
                <w:lang w:eastAsia="lv-LV"/>
              </w:rPr>
            </w:pPr>
            <w:r w:rsidRPr="0057037A">
              <w:rPr>
                <w:rFonts w:ascii="Times New Roman" w:eastAsia="Times New Roman" w:hAnsi="Times New Roman" w:cs="Times New Roman"/>
                <w:sz w:val="24"/>
                <w:szCs w:val="24"/>
                <w:lang w:eastAsia="lv-LV"/>
              </w:rPr>
              <w:t>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09"/>
              <w:gridCol w:w="2849"/>
              <w:gridCol w:w="5959"/>
            </w:tblGrid>
            <w:tr w:rsidR="0057037A" w:rsidRPr="0057037A" w14:paraId="23DEDB04" w14:textId="77777777" w:rsidTr="00544C0B">
              <w:trPr>
                <w:trHeight w:val="555"/>
                <w:tblCellSpacing w:w="15" w:type="dxa"/>
              </w:trPr>
              <w:tc>
                <w:tcPr>
                  <w:tcW w:w="4968" w:type="pct"/>
                  <w:gridSpan w:val="3"/>
                  <w:vAlign w:val="center"/>
                  <w:hideMark/>
                </w:tcPr>
                <w:p w14:paraId="45673812" w14:textId="77777777" w:rsidR="00A97E7D" w:rsidRPr="0057037A" w:rsidRDefault="00A97E7D" w:rsidP="00544C0B">
                  <w:pPr>
                    <w:jc w:val="center"/>
                    <w:rPr>
                      <w:rFonts w:ascii="Times New Roman" w:eastAsia="Times New Roman" w:hAnsi="Times New Roman" w:cs="Times New Roman"/>
                      <w:b/>
                      <w:bCs/>
                      <w:sz w:val="24"/>
                      <w:szCs w:val="24"/>
                      <w:lang w:eastAsia="lv-LV"/>
                    </w:rPr>
                  </w:pPr>
                  <w:r w:rsidRPr="0057037A">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7037A" w:rsidRPr="0057037A" w14:paraId="2F469FD7" w14:textId="77777777" w:rsidTr="00544C0B">
              <w:trPr>
                <w:trHeight w:val="465"/>
                <w:tblCellSpacing w:w="15" w:type="dxa"/>
              </w:trPr>
              <w:tc>
                <w:tcPr>
                  <w:tcW w:w="251" w:type="pct"/>
                  <w:hideMark/>
                </w:tcPr>
                <w:p w14:paraId="3784DF14" w14:textId="77777777" w:rsidR="00A97E7D" w:rsidRPr="0057037A" w:rsidRDefault="00A97E7D" w:rsidP="00544C0B">
                  <w:pPr>
                    <w:rPr>
                      <w:rFonts w:ascii="Times New Roman" w:eastAsia="Times New Roman" w:hAnsi="Times New Roman" w:cs="Times New Roman"/>
                      <w:sz w:val="24"/>
                      <w:szCs w:val="24"/>
                      <w:lang w:eastAsia="lv-LV"/>
                    </w:rPr>
                  </w:pPr>
                  <w:r w:rsidRPr="0057037A">
                    <w:rPr>
                      <w:rFonts w:ascii="Times New Roman" w:eastAsia="Times New Roman" w:hAnsi="Times New Roman" w:cs="Times New Roman"/>
                      <w:sz w:val="24"/>
                      <w:szCs w:val="24"/>
                      <w:lang w:eastAsia="lv-LV"/>
                    </w:rPr>
                    <w:t>1.</w:t>
                  </w:r>
                </w:p>
              </w:tc>
              <w:tc>
                <w:tcPr>
                  <w:tcW w:w="1523" w:type="pct"/>
                  <w:hideMark/>
                </w:tcPr>
                <w:p w14:paraId="7F6EC5B3" w14:textId="77777777" w:rsidR="00A97E7D" w:rsidRPr="0057037A" w:rsidRDefault="00A97E7D" w:rsidP="00544C0B">
                  <w:pPr>
                    <w:rPr>
                      <w:rFonts w:ascii="Times New Roman" w:eastAsia="Times New Roman" w:hAnsi="Times New Roman" w:cs="Times New Roman"/>
                      <w:sz w:val="24"/>
                      <w:szCs w:val="24"/>
                      <w:lang w:eastAsia="lv-LV"/>
                    </w:rPr>
                  </w:pPr>
                  <w:r w:rsidRPr="0057037A">
                    <w:rPr>
                      <w:rFonts w:ascii="Times New Roman" w:eastAsia="Times New Roman" w:hAnsi="Times New Roman" w:cs="Times New Roman"/>
                      <w:sz w:val="24"/>
                      <w:szCs w:val="24"/>
                      <w:lang w:eastAsia="lv-LV"/>
                    </w:rPr>
                    <w:t xml:space="preserve">Sabiedrības </w:t>
                  </w:r>
                  <w:proofErr w:type="spellStart"/>
                  <w:r w:rsidRPr="0057037A">
                    <w:rPr>
                      <w:rFonts w:ascii="Times New Roman" w:eastAsia="Times New Roman" w:hAnsi="Times New Roman" w:cs="Times New Roman"/>
                      <w:sz w:val="24"/>
                      <w:szCs w:val="24"/>
                      <w:lang w:eastAsia="lv-LV"/>
                    </w:rPr>
                    <w:t>mērķgrupas</w:t>
                  </w:r>
                  <w:proofErr w:type="spellEnd"/>
                  <w:r w:rsidRPr="0057037A">
                    <w:rPr>
                      <w:rFonts w:ascii="Times New Roman" w:eastAsia="Times New Roman" w:hAnsi="Times New Roman" w:cs="Times New Roman"/>
                      <w:sz w:val="24"/>
                      <w:szCs w:val="24"/>
                      <w:lang w:eastAsia="lv-LV"/>
                    </w:rPr>
                    <w:t>, kuras tiesiskais regulējums ietekmē vai varētu ietekmēt</w:t>
                  </w:r>
                </w:p>
              </w:tc>
              <w:tc>
                <w:tcPr>
                  <w:tcW w:w="3162" w:type="pct"/>
                  <w:hideMark/>
                </w:tcPr>
                <w:p w14:paraId="57A35026" w14:textId="77777777" w:rsidR="00A97E7D" w:rsidRPr="0057037A" w:rsidRDefault="003B14F5" w:rsidP="00153344">
                  <w:pPr>
                    <w:jc w:val="both"/>
                    <w:rPr>
                      <w:rFonts w:ascii="Times New Roman" w:eastAsia="Times New Roman" w:hAnsi="Times New Roman" w:cs="Times New Roman"/>
                      <w:sz w:val="24"/>
                      <w:szCs w:val="24"/>
                      <w:lang w:eastAsia="lv-LV"/>
                    </w:rPr>
                  </w:pPr>
                  <w:r w:rsidRPr="0057037A">
                    <w:rPr>
                      <w:rFonts w:ascii="Times New Roman" w:hAnsi="Times New Roman" w:cs="Times New Roman"/>
                      <w:iCs/>
                      <w:sz w:val="24"/>
                      <w:szCs w:val="24"/>
                    </w:rPr>
                    <w:t xml:space="preserve">Tirgus dalībnieki, t.i., visas personas, kas veic saimniecisko darbību un </w:t>
                  </w:r>
                  <w:r w:rsidR="00153344" w:rsidRPr="0057037A">
                    <w:rPr>
                      <w:rFonts w:ascii="Times New Roman" w:hAnsi="Times New Roman" w:cs="Times New Roman"/>
                      <w:iCs/>
                      <w:sz w:val="24"/>
                      <w:szCs w:val="24"/>
                    </w:rPr>
                    <w:t>uz kurām attiecas pienākums paziņot apvienošanos.</w:t>
                  </w:r>
                  <w:r w:rsidRPr="0057037A">
                    <w:rPr>
                      <w:rFonts w:ascii="Times New Roman" w:eastAsia="Times New Roman" w:hAnsi="Times New Roman" w:cs="Times New Roman"/>
                      <w:sz w:val="24"/>
                      <w:szCs w:val="24"/>
                      <w:lang w:eastAsia="lv-LV"/>
                    </w:rPr>
                    <w:t xml:space="preserve"> </w:t>
                  </w:r>
                </w:p>
              </w:tc>
            </w:tr>
            <w:tr w:rsidR="0057037A" w:rsidRPr="0057037A" w14:paraId="53E7E011" w14:textId="77777777" w:rsidTr="00544C0B">
              <w:trPr>
                <w:trHeight w:val="510"/>
                <w:tblCellSpacing w:w="15" w:type="dxa"/>
              </w:trPr>
              <w:tc>
                <w:tcPr>
                  <w:tcW w:w="251" w:type="pct"/>
                  <w:hideMark/>
                </w:tcPr>
                <w:p w14:paraId="436ED35F" w14:textId="77777777" w:rsidR="00A97E7D" w:rsidRPr="0057037A" w:rsidRDefault="00A97E7D" w:rsidP="00544C0B">
                  <w:pPr>
                    <w:rPr>
                      <w:rFonts w:ascii="Times New Roman" w:eastAsia="Times New Roman" w:hAnsi="Times New Roman" w:cs="Times New Roman"/>
                      <w:sz w:val="24"/>
                      <w:szCs w:val="24"/>
                      <w:lang w:eastAsia="lv-LV"/>
                    </w:rPr>
                  </w:pPr>
                  <w:r w:rsidRPr="0057037A">
                    <w:rPr>
                      <w:rFonts w:ascii="Times New Roman" w:eastAsia="Times New Roman" w:hAnsi="Times New Roman" w:cs="Times New Roman"/>
                      <w:sz w:val="24"/>
                      <w:szCs w:val="24"/>
                      <w:lang w:eastAsia="lv-LV"/>
                    </w:rPr>
                    <w:t>2.</w:t>
                  </w:r>
                </w:p>
              </w:tc>
              <w:tc>
                <w:tcPr>
                  <w:tcW w:w="1523" w:type="pct"/>
                  <w:hideMark/>
                </w:tcPr>
                <w:p w14:paraId="0DAFBC4E" w14:textId="77777777" w:rsidR="00A97E7D" w:rsidRPr="0057037A" w:rsidRDefault="00A97E7D" w:rsidP="00544C0B">
                  <w:pPr>
                    <w:rPr>
                      <w:rFonts w:ascii="Times New Roman" w:eastAsia="Times New Roman" w:hAnsi="Times New Roman" w:cs="Times New Roman"/>
                      <w:sz w:val="24"/>
                      <w:szCs w:val="24"/>
                      <w:lang w:eastAsia="lv-LV"/>
                    </w:rPr>
                  </w:pPr>
                  <w:r w:rsidRPr="0057037A">
                    <w:rPr>
                      <w:rFonts w:ascii="Times New Roman" w:eastAsia="Times New Roman" w:hAnsi="Times New Roman" w:cs="Times New Roman"/>
                      <w:sz w:val="24"/>
                      <w:szCs w:val="24"/>
                      <w:lang w:eastAsia="lv-LV"/>
                    </w:rPr>
                    <w:t>Tiesiskā regulējuma ietekme uz tautsaimniecību un administratīvo slogu</w:t>
                  </w:r>
                </w:p>
              </w:tc>
              <w:tc>
                <w:tcPr>
                  <w:tcW w:w="3162" w:type="pct"/>
                  <w:hideMark/>
                </w:tcPr>
                <w:p w14:paraId="29D7B92E" w14:textId="0703B1EB" w:rsidR="00A45217" w:rsidRPr="0057037A" w:rsidRDefault="003B14F5" w:rsidP="000019AC">
                  <w:pPr>
                    <w:ind w:left="57" w:right="57"/>
                    <w:jc w:val="both"/>
                    <w:rPr>
                      <w:rFonts w:ascii="Times New Roman" w:eastAsia="Times New Roman" w:hAnsi="Times New Roman" w:cs="Times New Roman"/>
                      <w:sz w:val="24"/>
                      <w:szCs w:val="24"/>
                      <w:lang w:eastAsia="lv-LV"/>
                    </w:rPr>
                  </w:pPr>
                  <w:r w:rsidRPr="0057037A">
                    <w:rPr>
                      <w:rFonts w:ascii="Times New Roman" w:hAnsi="Times New Roman" w:cs="Times New Roman"/>
                      <w:iCs/>
                      <w:sz w:val="24"/>
                      <w:szCs w:val="24"/>
                    </w:rPr>
                    <w:t>Likumprojekts paredz ieviest valsts nodevu par apvienošanās izvērtēšanu. Nodevas lielums un maksāšanas kārtība tiks noteikta Ministru kabineta noteikumos.</w:t>
                  </w:r>
                  <w:r w:rsidR="00222214" w:rsidRPr="0057037A">
                    <w:rPr>
                      <w:rFonts w:ascii="Times New Roman" w:hAnsi="Times New Roman" w:cs="Times New Roman"/>
                      <w:iCs/>
                      <w:sz w:val="24"/>
                      <w:szCs w:val="24"/>
                    </w:rPr>
                    <w:t xml:space="preserve"> Paredzēts, ka nodevas apmērs tiks diferencēts pēc</w:t>
                  </w:r>
                  <w:r w:rsidR="0057037A" w:rsidRPr="0057037A">
                    <w:rPr>
                      <w:rFonts w:ascii="Times New Roman" w:hAnsi="Times New Roman" w:cs="Times New Roman"/>
                      <w:iCs/>
                      <w:sz w:val="24"/>
                      <w:szCs w:val="24"/>
                    </w:rPr>
                    <w:t xml:space="preserve"> </w:t>
                  </w:r>
                  <w:r w:rsidR="00222214" w:rsidRPr="0057037A">
                    <w:rPr>
                      <w:rFonts w:ascii="Times New Roman" w:hAnsi="Times New Roman" w:cs="Times New Roman"/>
                      <w:iCs/>
                      <w:sz w:val="24"/>
                      <w:szCs w:val="24"/>
                    </w:rPr>
                    <w:t xml:space="preserve">apvienošanos dalībnieku kopējā apgrozījuma. </w:t>
                  </w:r>
                  <w:r w:rsidR="007522CA" w:rsidRPr="0057037A">
                    <w:rPr>
                      <w:rFonts w:ascii="Times New Roman" w:hAnsi="Times New Roman" w:cs="Times New Roman"/>
                      <w:iCs/>
                      <w:sz w:val="24"/>
                      <w:szCs w:val="24"/>
                    </w:rPr>
                    <w:t>Likumprojektam paredzama nebūtiska ietekme uz tautsaimniecību</w:t>
                  </w:r>
                  <w:r w:rsidR="00153344" w:rsidRPr="0057037A">
                    <w:rPr>
                      <w:rFonts w:ascii="Times New Roman" w:hAnsi="Times New Roman" w:cs="Times New Roman"/>
                      <w:iCs/>
                      <w:sz w:val="24"/>
                      <w:szCs w:val="24"/>
                    </w:rPr>
                    <w:t xml:space="preserve">. Likumprojekts palielinās </w:t>
                  </w:r>
                  <w:r w:rsidR="007522CA" w:rsidRPr="0057037A">
                    <w:rPr>
                      <w:rFonts w:ascii="Times New Roman" w:hAnsi="Times New Roman" w:cs="Times New Roman"/>
                      <w:iCs/>
                      <w:sz w:val="24"/>
                      <w:szCs w:val="24"/>
                    </w:rPr>
                    <w:t>administratīvo slogu</w:t>
                  </w:r>
                  <w:r w:rsidR="00153344" w:rsidRPr="0057037A">
                    <w:rPr>
                      <w:rFonts w:ascii="Times New Roman" w:hAnsi="Times New Roman" w:cs="Times New Roman"/>
                      <w:iCs/>
                      <w:sz w:val="24"/>
                      <w:szCs w:val="24"/>
                    </w:rPr>
                    <w:t xml:space="preserve"> </w:t>
                  </w:r>
                  <w:r w:rsidR="007522CA" w:rsidRPr="0057037A">
                    <w:rPr>
                      <w:rFonts w:ascii="Times New Roman" w:hAnsi="Times New Roman" w:cs="Times New Roman"/>
                      <w:iCs/>
                      <w:sz w:val="24"/>
                      <w:szCs w:val="24"/>
                    </w:rPr>
                    <w:t>šaur</w:t>
                  </w:r>
                  <w:r w:rsidR="00153344" w:rsidRPr="0057037A">
                    <w:rPr>
                      <w:rFonts w:ascii="Times New Roman" w:hAnsi="Times New Roman" w:cs="Times New Roman"/>
                      <w:iCs/>
                      <w:sz w:val="24"/>
                      <w:szCs w:val="24"/>
                    </w:rPr>
                    <w:t>am</w:t>
                  </w:r>
                  <w:r w:rsidR="007522CA" w:rsidRPr="0057037A">
                    <w:rPr>
                      <w:rFonts w:ascii="Times New Roman" w:hAnsi="Times New Roman" w:cs="Times New Roman"/>
                      <w:iCs/>
                      <w:sz w:val="24"/>
                      <w:szCs w:val="24"/>
                    </w:rPr>
                    <w:t xml:space="preserve"> tirgus dalībnieku lok</w:t>
                  </w:r>
                  <w:r w:rsidR="00153344" w:rsidRPr="0057037A">
                    <w:rPr>
                      <w:rFonts w:ascii="Times New Roman" w:hAnsi="Times New Roman" w:cs="Times New Roman"/>
                      <w:iCs/>
                      <w:sz w:val="24"/>
                      <w:szCs w:val="24"/>
                    </w:rPr>
                    <w:t>am</w:t>
                  </w:r>
                  <w:r w:rsidR="007522CA" w:rsidRPr="0057037A">
                    <w:rPr>
                      <w:rFonts w:ascii="Times New Roman" w:hAnsi="Times New Roman" w:cs="Times New Roman"/>
                      <w:iCs/>
                      <w:sz w:val="24"/>
                      <w:szCs w:val="24"/>
                    </w:rPr>
                    <w:t xml:space="preserve">, kas nolēmuši apvienoties un uz kuriem attiecas </w:t>
                  </w:r>
                  <w:r w:rsidR="00222214" w:rsidRPr="0057037A">
                    <w:rPr>
                      <w:rFonts w:ascii="Times New Roman" w:hAnsi="Times New Roman" w:cs="Times New Roman"/>
                      <w:iCs/>
                      <w:sz w:val="24"/>
                      <w:szCs w:val="24"/>
                    </w:rPr>
                    <w:t>apvienošanās ziņojuma iesniegšanas pienākums.</w:t>
                  </w:r>
                </w:p>
              </w:tc>
            </w:tr>
            <w:tr w:rsidR="0057037A" w:rsidRPr="0057037A" w14:paraId="0CE5EC06" w14:textId="77777777" w:rsidTr="00544C0B">
              <w:trPr>
                <w:trHeight w:val="510"/>
                <w:tblCellSpacing w:w="15" w:type="dxa"/>
              </w:trPr>
              <w:tc>
                <w:tcPr>
                  <w:tcW w:w="251" w:type="pct"/>
                  <w:hideMark/>
                </w:tcPr>
                <w:p w14:paraId="018BDB86" w14:textId="77777777" w:rsidR="00A97E7D" w:rsidRPr="0057037A" w:rsidRDefault="00A97E7D" w:rsidP="00544C0B">
                  <w:pPr>
                    <w:rPr>
                      <w:rFonts w:ascii="Times New Roman" w:eastAsia="Times New Roman" w:hAnsi="Times New Roman" w:cs="Times New Roman"/>
                      <w:sz w:val="24"/>
                      <w:szCs w:val="24"/>
                      <w:lang w:eastAsia="lv-LV"/>
                    </w:rPr>
                  </w:pPr>
                  <w:r w:rsidRPr="0057037A">
                    <w:rPr>
                      <w:rFonts w:ascii="Times New Roman" w:eastAsia="Times New Roman" w:hAnsi="Times New Roman" w:cs="Times New Roman"/>
                      <w:sz w:val="24"/>
                      <w:szCs w:val="24"/>
                      <w:lang w:eastAsia="lv-LV"/>
                    </w:rPr>
                    <w:t>3.</w:t>
                  </w:r>
                </w:p>
              </w:tc>
              <w:tc>
                <w:tcPr>
                  <w:tcW w:w="1523" w:type="pct"/>
                  <w:hideMark/>
                </w:tcPr>
                <w:p w14:paraId="6D715402" w14:textId="77777777" w:rsidR="00A97E7D" w:rsidRPr="0057037A" w:rsidRDefault="00A97E7D" w:rsidP="00544C0B">
                  <w:pPr>
                    <w:rPr>
                      <w:rFonts w:ascii="Times New Roman" w:eastAsia="Times New Roman" w:hAnsi="Times New Roman" w:cs="Times New Roman"/>
                      <w:sz w:val="24"/>
                      <w:szCs w:val="24"/>
                      <w:lang w:eastAsia="lv-LV"/>
                    </w:rPr>
                  </w:pPr>
                  <w:r w:rsidRPr="0057037A">
                    <w:rPr>
                      <w:rFonts w:ascii="Times New Roman" w:eastAsia="Times New Roman" w:hAnsi="Times New Roman" w:cs="Times New Roman"/>
                      <w:sz w:val="24"/>
                      <w:szCs w:val="24"/>
                      <w:lang w:eastAsia="lv-LV"/>
                    </w:rPr>
                    <w:t>Administratīvo izmaksu monetārs novērtējums</w:t>
                  </w:r>
                </w:p>
              </w:tc>
              <w:tc>
                <w:tcPr>
                  <w:tcW w:w="3162" w:type="pct"/>
                  <w:hideMark/>
                </w:tcPr>
                <w:p w14:paraId="2FB0B0A3" w14:textId="05DE1D6E" w:rsidR="00A85C82" w:rsidRPr="007B34C1" w:rsidRDefault="00A85C82" w:rsidP="007522CA">
                  <w:pPr>
                    <w:pStyle w:val="naiskr"/>
                    <w:spacing w:before="0" w:after="0"/>
                    <w:jc w:val="both"/>
                    <w:rPr>
                      <w:iCs/>
                    </w:rPr>
                  </w:pPr>
                  <w:r w:rsidRPr="0057037A">
                    <w:rPr>
                      <w:iCs/>
                    </w:rPr>
                    <w:t>Likumprojekts paredz ieviest valsts nodevu par apvienošanās izvērtēšanu. Nodevas lielums un maksāšanas kārtība tiks noteikta Ministru kabineta noteikumos.</w:t>
                  </w:r>
                </w:p>
                <w:p w14:paraId="28752F6A" w14:textId="50E719F5" w:rsidR="00A85C82" w:rsidRDefault="00A85C82" w:rsidP="00A85C82">
                  <w:pPr>
                    <w:pStyle w:val="naiskr"/>
                    <w:spacing w:before="0" w:after="80"/>
                    <w:jc w:val="both"/>
                  </w:pPr>
                  <w:r w:rsidRPr="00C37325">
                    <w:rPr>
                      <w:iCs/>
                    </w:rPr>
                    <w:t xml:space="preserve">Nodevas apjoms plānots diferencēts atkarībā no apvienošanās nozīmības un ietekmes, t.i., atbilstoši apvienošanās iesaistīto tirgus dalībnieku apgrozījumam Latvijā. Attiecīgi, ja tiek iesniegts saīsinātais apvienošanās ziņojums, </w:t>
                  </w:r>
                  <w:r w:rsidRPr="00541AAD">
                    <w:rPr>
                      <w:iCs/>
                    </w:rPr>
                    <w:t xml:space="preserve">apvienošanās izvērtēšanas nodeva paredzēta 2000 </w:t>
                  </w:r>
                  <w:proofErr w:type="spellStart"/>
                  <w:r w:rsidR="00176DE8" w:rsidRPr="00176DE8">
                    <w:rPr>
                      <w:i/>
                      <w:iCs/>
                    </w:rPr>
                    <w:t>euro</w:t>
                  </w:r>
                  <w:proofErr w:type="spellEnd"/>
                  <w:r w:rsidRPr="00176DE8">
                    <w:rPr>
                      <w:iCs/>
                    </w:rPr>
                    <w:t xml:space="preserve"> apmērā, šāda summa paredzēta arī gadījumiem, kad apvienošanās neatbilst paziņošanas kritērijiem, tomēr ziņojums tiek iesniegts pēc Konkurences padomes lūguma. Apvienošanās izvērtēšanas nodeva paredzēta 4000 </w:t>
                  </w:r>
                  <w:proofErr w:type="spellStart"/>
                  <w:r w:rsidR="00176DE8" w:rsidRPr="00176DE8">
                    <w:rPr>
                      <w:i/>
                      <w:shd w:val="clear" w:color="auto" w:fill="FFFFFF"/>
                    </w:rPr>
                    <w:t>euro</w:t>
                  </w:r>
                  <w:proofErr w:type="spellEnd"/>
                  <w:r w:rsidRPr="00176DE8">
                    <w:rPr>
                      <w:shd w:val="clear" w:color="auto" w:fill="FFFFFF"/>
                    </w:rPr>
                    <w:t xml:space="preserve"> apmērā, ja apvienošanās dalībnieku </w:t>
                  </w:r>
                  <w:r w:rsidRPr="00176DE8">
                    <w:t xml:space="preserve">kopējais apgrozījums iepriekšējā finanšu gadā Latvijas teritorijā ir starp 30 miljoniem </w:t>
                  </w:r>
                  <w:proofErr w:type="spellStart"/>
                  <w:r w:rsidR="00176DE8" w:rsidRPr="00176DE8">
                    <w:rPr>
                      <w:i/>
                    </w:rPr>
                    <w:t>euro</w:t>
                  </w:r>
                  <w:proofErr w:type="spellEnd"/>
                  <w:r w:rsidRPr="00176DE8">
                    <w:t xml:space="preserve"> un 80 miljoniem </w:t>
                  </w:r>
                  <w:proofErr w:type="spellStart"/>
                  <w:r w:rsidR="00176DE8" w:rsidRPr="00176DE8">
                    <w:rPr>
                      <w:i/>
                    </w:rPr>
                    <w:t>euro</w:t>
                  </w:r>
                  <w:proofErr w:type="spellEnd"/>
                  <w:r w:rsidRPr="00176DE8">
                    <w:t xml:space="preserve"> un </w:t>
                  </w:r>
                  <w:r w:rsidRPr="00176DE8">
                    <w:rPr>
                      <w:shd w:val="clear" w:color="auto" w:fill="FFFFFF"/>
                    </w:rPr>
                    <w:t xml:space="preserve">8000 </w:t>
                  </w:r>
                  <w:proofErr w:type="spellStart"/>
                  <w:r w:rsidR="00176DE8" w:rsidRPr="00176DE8">
                    <w:rPr>
                      <w:i/>
                      <w:shd w:val="clear" w:color="auto" w:fill="FFFFFF"/>
                    </w:rPr>
                    <w:t>euro</w:t>
                  </w:r>
                  <w:proofErr w:type="spellEnd"/>
                  <w:r w:rsidRPr="00176DE8">
                    <w:t xml:space="preserve"> apmērā,</w:t>
                  </w:r>
                  <w:r w:rsidR="0057037A" w:rsidRPr="00176DE8">
                    <w:t xml:space="preserve"> </w:t>
                  </w:r>
                  <w:r w:rsidRPr="00176DE8">
                    <w:rPr>
                      <w:shd w:val="clear" w:color="auto" w:fill="FFFFFF"/>
                    </w:rPr>
                    <w:lastRenderedPageBreak/>
                    <w:t xml:space="preserve">ja apvienošanās dalībnieku </w:t>
                  </w:r>
                  <w:r w:rsidRPr="00176DE8">
                    <w:t>kopējais apgrozījums iepriekšējā finanšu gadā Latvija</w:t>
                  </w:r>
                  <w:r w:rsidRPr="00AE516B">
                    <w:t xml:space="preserve">s teritorijā pārsniedz 80 miljonus </w:t>
                  </w:r>
                  <w:proofErr w:type="spellStart"/>
                  <w:r w:rsidR="00176DE8" w:rsidRPr="00176DE8">
                    <w:rPr>
                      <w:i/>
                    </w:rPr>
                    <w:t>euro</w:t>
                  </w:r>
                  <w:proofErr w:type="spellEnd"/>
                  <w:r w:rsidR="00C56256">
                    <w:t>.</w:t>
                  </w:r>
                </w:p>
                <w:p w14:paraId="32A8B2F3" w14:textId="2E370F7B" w:rsidR="00A97E7D" w:rsidRPr="00C56256" w:rsidRDefault="00A85C82" w:rsidP="00C56256">
                  <w:pPr>
                    <w:pStyle w:val="naiskr"/>
                    <w:spacing w:before="0" w:after="80"/>
                    <w:jc w:val="both"/>
                    <w:rPr>
                      <w:iCs/>
                    </w:rPr>
                  </w:pPr>
                  <w:r w:rsidRPr="00176DE8">
                    <w:rPr>
                      <w:iCs/>
                    </w:rPr>
                    <w:t>Nodevas pārskaitīšanas administratīvās izmaksas, izmantojot bankas pakalpojumus</w:t>
                  </w:r>
                  <w:r w:rsidR="00C37325">
                    <w:rPr>
                      <w:iCs/>
                    </w:rPr>
                    <w:t>,</w:t>
                  </w:r>
                  <w:r w:rsidRPr="00176DE8">
                    <w:rPr>
                      <w:iCs/>
                    </w:rPr>
                    <w:t xml:space="preserve"> nav uzskatāmas par nozīmīgām.</w:t>
                  </w:r>
                </w:p>
              </w:tc>
            </w:tr>
            <w:tr w:rsidR="0057037A" w:rsidRPr="0057037A" w14:paraId="2292874A" w14:textId="77777777" w:rsidTr="00544C0B">
              <w:trPr>
                <w:trHeight w:val="345"/>
                <w:tblCellSpacing w:w="15" w:type="dxa"/>
              </w:trPr>
              <w:tc>
                <w:tcPr>
                  <w:tcW w:w="251" w:type="pct"/>
                  <w:hideMark/>
                </w:tcPr>
                <w:p w14:paraId="6B9C4A30" w14:textId="4D27EBE2" w:rsidR="00A97E7D" w:rsidRPr="0057037A" w:rsidRDefault="00A97E7D" w:rsidP="00544C0B">
                  <w:pPr>
                    <w:rPr>
                      <w:rFonts w:ascii="Times New Roman" w:eastAsia="Times New Roman" w:hAnsi="Times New Roman" w:cs="Times New Roman"/>
                      <w:sz w:val="24"/>
                      <w:szCs w:val="24"/>
                      <w:lang w:eastAsia="lv-LV"/>
                    </w:rPr>
                  </w:pPr>
                  <w:r w:rsidRPr="0057037A">
                    <w:rPr>
                      <w:rFonts w:ascii="Times New Roman" w:eastAsia="Times New Roman" w:hAnsi="Times New Roman" w:cs="Times New Roman"/>
                      <w:sz w:val="24"/>
                      <w:szCs w:val="24"/>
                      <w:lang w:eastAsia="lv-LV"/>
                    </w:rPr>
                    <w:lastRenderedPageBreak/>
                    <w:t>4.</w:t>
                  </w:r>
                </w:p>
              </w:tc>
              <w:tc>
                <w:tcPr>
                  <w:tcW w:w="1523" w:type="pct"/>
                  <w:hideMark/>
                </w:tcPr>
                <w:p w14:paraId="65D7137D" w14:textId="77777777" w:rsidR="00A97E7D" w:rsidRPr="0057037A" w:rsidRDefault="00A97E7D" w:rsidP="00544C0B">
                  <w:pPr>
                    <w:rPr>
                      <w:rFonts w:ascii="Times New Roman" w:eastAsia="Times New Roman" w:hAnsi="Times New Roman" w:cs="Times New Roman"/>
                      <w:sz w:val="24"/>
                      <w:szCs w:val="24"/>
                      <w:lang w:eastAsia="lv-LV"/>
                    </w:rPr>
                  </w:pPr>
                  <w:r w:rsidRPr="0057037A">
                    <w:rPr>
                      <w:rFonts w:ascii="Times New Roman" w:eastAsia="Times New Roman" w:hAnsi="Times New Roman" w:cs="Times New Roman"/>
                      <w:sz w:val="24"/>
                      <w:szCs w:val="24"/>
                      <w:lang w:eastAsia="lv-LV"/>
                    </w:rPr>
                    <w:t>Cita informācija</w:t>
                  </w:r>
                </w:p>
              </w:tc>
              <w:tc>
                <w:tcPr>
                  <w:tcW w:w="3162" w:type="pct"/>
                  <w:hideMark/>
                </w:tcPr>
                <w:p w14:paraId="140518BB" w14:textId="2663B9B9" w:rsidR="00A97E7D" w:rsidRPr="0057037A" w:rsidRDefault="007522CA" w:rsidP="00EA7E42">
                  <w:pPr>
                    <w:ind w:left="57" w:right="57"/>
                    <w:jc w:val="both"/>
                    <w:rPr>
                      <w:rFonts w:ascii="Times New Roman" w:eastAsia="Times New Roman" w:hAnsi="Times New Roman" w:cs="Times New Roman"/>
                      <w:sz w:val="24"/>
                      <w:szCs w:val="24"/>
                      <w:lang w:eastAsia="lv-LV"/>
                    </w:rPr>
                  </w:pPr>
                  <w:r w:rsidRPr="0057037A">
                    <w:rPr>
                      <w:rFonts w:ascii="Times New Roman" w:eastAsia="Times New Roman" w:hAnsi="Times New Roman" w:cs="Times New Roman"/>
                      <w:sz w:val="24"/>
                      <w:szCs w:val="24"/>
                      <w:lang w:eastAsia="lv-LV"/>
                    </w:rPr>
                    <w:t>Nav</w:t>
                  </w:r>
                </w:p>
              </w:tc>
            </w:tr>
          </w:tbl>
          <w:p w14:paraId="6A5CF50D" w14:textId="77777777" w:rsidR="00A97E7D" w:rsidRPr="0057037A" w:rsidRDefault="00A97E7D" w:rsidP="00544C0B">
            <w:pPr>
              <w:rPr>
                <w:rFonts w:ascii="Times New Roman" w:eastAsia="Times New Roman" w:hAnsi="Times New Roman" w:cs="Times New Roman"/>
                <w:sz w:val="24"/>
                <w:szCs w:val="24"/>
                <w:lang w:eastAsia="lv-LV"/>
              </w:rPr>
            </w:pPr>
            <w:r w:rsidRPr="0057037A">
              <w:rPr>
                <w:rFonts w:ascii="Times New Roman" w:eastAsia="Times New Roman" w:hAnsi="Times New Roman" w:cs="Times New Roman"/>
                <w:sz w:val="24"/>
                <w:szCs w:val="24"/>
                <w:lang w:eastAsia="lv-LV"/>
              </w:rPr>
              <w:t> </w:t>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739"/>
              <w:gridCol w:w="960"/>
              <w:gridCol w:w="1395"/>
              <w:gridCol w:w="1044"/>
              <w:gridCol w:w="1044"/>
              <w:gridCol w:w="3135"/>
            </w:tblGrid>
            <w:tr w:rsidR="0057037A" w:rsidRPr="0057037A" w14:paraId="1439F5DD" w14:textId="77777777" w:rsidTr="003B19C8">
              <w:trPr>
                <w:trHeight w:val="360"/>
                <w:tblCellSpacing w:w="15" w:type="dxa"/>
                <w:jc w:val="center"/>
              </w:trPr>
              <w:tc>
                <w:tcPr>
                  <w:tcW w:w="4968" w:type="pct"/>
                  <w:gridSpan w:val="6"/>
                  <w:vAlign w:val="center"/>
                  <w:hideMark/>
                </w:tcPr>
                <w:p w14:paraId="0B31E564" w14:textId="77777777" w:rsidR="00A97E7D" w:rsidRPr="0057037A" w:rsidRDefault="00A97E7D" w:rsidP="00544C0B">
                  <w:pPr>
                    <w:jc w:val="center"/>
                    <w:rPr>
                      <w:rFonts w:ascii="Times New Roman" w:eastAsia="Times New Roman" w:hAnsi="Times New Roman" w:cs="Times New Roman"/>
                      <w:b/>
                      <w:bCs/>
                      <w:sz w:val="24"/>
                      <w:szCs w:val="24"/>
                      <w:lang w:eastAsia="lv-LV"/>
                    </w:rPr>
                  </w:pPr>
                  <w:r w:rsidRPr="0057037A">
                    <w:rPr>
                      <w:rFonts w:ascii="Times New Roman" w:eastAsia="Times New Roman" w:hAnsi="Times New Roman" w:cs="Times New Roman"/>
                      <w:b/>
                      <w:bCs/>
                      <w:sz w:val="24"/>
                      <w:szCs w:val="24"/>
                      <w:lang w:eastAsia="lv-LV"/>
                    </w:rPr>
                    <w:t>III. Tiesību akta projekta ietekme uz valsts budžetu un pašvaldību budžetiem</w:t>
                  </w:r>
                </w:p>
              </w:tc>
            </w:tr>
            <w:tr w:rsidR="0057037A" w:rsidRPr="0057037A" w14:paraId="04541F92" w14:textId="77777777" w:rsidTr="00D47FF5">
              <w:trPr>
                <w:tblCellSpacing w:w="15" w:type="dxa"/>
                <w:jc w:val="center"/>
              </w:trPr>
              <w:tc>
                <w:tcPr>
                  <w:tcW w:w="926" w:type="pct"/>
                  <w:vMerge w:val="restart"/>
                  <w:vAlign w:val="center"/>
                  <w:hideMark/>
                </w:tcPr>
                <w:p w14:paraId="0E99CC2C" w14:textId="77777777" w:rsidR="00A97E7D" w:rsidRPr="0057037A" w:rsidRDefault="00A97E7D" w:rsidP="00544C0B">
                  <w:pPr>
                    <w:rPr>
                      <w:rFonts w:ascii="Times New Roman" w:eastAsia="Times New Roman" w:hAnsi="Times New Roman" w:cs="Times New Roman"/>
                      <w:b/>
                      <w:bCs/>
                      <w:sz w:val="24"/>
                      <w:szCs w:val="24"/>
                      <w:lang w:eastAsia="lv-LV"/>
                    </w:rPr>
                  </w:pPr>
                  <w:r w:rsidRPr="0057037A">
                    <w:rPr>
                      <w:rFonts w:ascii="Times New Roman" w:eastAsia="Times New Roman" w:hAnsi="Times New Roman" w:cs="Times New Roman"/>
                      <w:b/>
                      <w:bCs/>
                      <w:sz w:val="24"/>
                      <w:szCs w:val="24"/>
                      <w:lang w:eastAsia="lv-LV"/>
                    </w:rPr>
                    <w:t>Rādītāji</w:t>
                  </w:r>
                </w:p>
              </w:tc>
              <w:tc>
                <w:tcPr>
                  <w:tcW w:w="1256" w:type="pct"/>
                  <w:gridSpan w:val="2"/>
                  <w:vMerge w:val="restart"/>
                  <w:vAlign w:val="center"/>
                  <w:hideMark/>
                </w:tcPr>
                <w:p w14:paraId="3D3A5FE5" w14:textId="77777777" w:rsidR="00A97E7D" w:rsidRPr="0057037A" w:rsidRDefault="003968ED" w:rsidP="00544C0B">
                  <w:pPr>
                    <w:jc w:val="center"/>
                    <w:rPr>
                      <w:rFonts w:ascii="Times New Roman" w:eastAsia="Times New Roman" w:hAnsi="Times New Roman" w:cs="Times New Roman"/>
                      <w:b/>
                      <w:bCs/>
                      <w:sz w:val="24"/>
                      <w:szCs w:val="24"/>
                      <w:lang w:eastAsia="lv-LV"/>
                    </w:rPr>
                  </w:pPr>
                  <w:r w:rsidRPr="0057037A">
                    <w:rPr>
                      <w:rFonts w:ascii="Times New Roman" w:eastAsia="Times New Roman" w:hAnsi="Times New Roman" w:cs="Times New Roman"/>
                      <w:b/>
                      <w:bCs/>
                      <w:sz w:val="24"/>
                      <w:szCs w:val="24"/>
                      <w:lang w:eastAsia="lv-LV"/>
                    </w:rPr>
                    <w:t>2015</w:t>
                  </w:r>
                </w:p>
              </w:tc>
              <w:tc>
                <w:tcPr>
                  <w:tcW w:w="2754" w:type="pct"/>
                  <w:gridSpan w:val="3"/>
                  <w:vAlign w:val="center"/>
                  <w:hideMark/>
                </w:tcPr>
                <w:p w14:paraId="037D989B" w14:textId="6400D8F8" w:rsidR="00A97E7D" w:rsidRPr="00176DE8" w:rsidRDefault="00A97E7D" w:rsidP="00544C0B">
                  <w:pPr>
                    <w:jc w:val="center"/>
                    <w:rPr>
                      <w:rFonts w:ascii="Times New Roman" w:eastAsia="Times New Roman" w:hAnsi="Times New Roman" w:cs="Times New Roman"/>
                      <w:sz w:val="24"/>
                      <w:szCs w:val="24"/>
                      <w:lang w:eastAsia="lv-LV"/>
                    </w:rPr>
                  </w:pPr>
                  <w:r w:rsidRPr="0057037A">
                    <w:rPr>
                      <w:rFonts w:ascii="Times New Roman" w:eastAsia="Times New Roman" w:hAnsi="Times New Roman" w:cs="Times New Roman"/>
                      <w:sz w:val="24"/>
                      <w:szCs w:val="24"/>
                      <w:lang w:eastAsia="lv-LV"/>
                    </w:rPr>
                    <w:t>Turpmākie trīs gadi (</w:t>
                  </w:r>
                  <w:proofErr w:type="spellStart"/>
                  <w:r w:rsidR="00176DE8" w:rsidRPr="00176DE8">
                    <w:rPr>
                      <w:rFonts w:ascii="Times New Roman" w:eastAsia="Times New Roman" w:hAnsi="Times New Roman" w:cs="Times New Roman"/>
                      <w:i/>
                      <w:sz w:val="24"/>
                      <w:szCs w:val="24"/>
                      <w:lang w:eastAsia="lv-LV"/>
                    </w:rPr>
                    <w:t>euro</w:t>
                  </w:r>
                  <w:proofErr w:type="spellEnd"/>
                  <w:r w:rsidRPr="00176DE8">
                    <w:rPr>
                      <w:rFonts w:ascii="Times New Roman" w:eastAsia="Times New Roman" w:hAnsi="Times New Roman" w:cs="Times New Roman"/>
                      <w:sz w:val="24"/>
                      <w:szCs w:val="24"/>
                      <w:lang w:eastAsia="lv-LV"/>
                    </w:rPr>
                    <w:t>)</w:t>
                  </w:r>
                </w:p>
              </w:tc>
            </w:tr>
            <w:tr w:rsidR="0057037A" w:rsidRPr="0057037A" w14:paraId="5C70BC0E" w14:textId="77777777" w:rsidTr="00D47FF5">
              <w:trPr>
                <w:tblCellSpacing w:w="15" w:type="dxa"/>
                <w:jc w:val="center"/>
              </w:trPr>
              <w:tc>
                <w:tcPr>
                  <w:tcW w:w="926" w:type="pct"/>
                  <w:vMerge/>
                  <w:vAlign w:val="center"/>
                  <w:hideMark/>
                </w:tcPr>
                <w:p w14:paraId="2A4BCC6D" w14:textId="77777777" w:rsidR="00A97E7D" w:rsidRPr="0057037A" w:rsidRDefault="00A97E7D" w:rsidP="00544C0B">
                  <w:pPr>
                    <w:rPr>
                      <w:rFonts w:ascii="Times New Roman" w:eastAsia="Times New Roman" w:hAnsi="Times New Roman" w:cs="Times New Roman"/>
                      <w:b/>
                      <w:bCs/>
                      <w:sz w:val="24"/>
                      <w:szCs w:val="24"/>
                      <w:lang w:eastAsia="lv-LV"/>
                    </w:rPr>
                  </w:pPr>
                </w:p>
              </w:tc>
              <w:tc>
                <w:tcPr>
                  <w:tcW w:w="1256" w:type="pct"/>
                  <w:gridSpan w:val="2"/>
                  <w:vMerge/>
                  <w:vAlign w:val="center"/>
                  <w:hideMark/>
                </w:tcPr>
                <w:p w14:paraId="38EE47C4" w14:textId="77777777" w:rsidR="00A97E7D" w:rsidRPr="0057037A" w:rsidRDefault="00A97E7D" w:rsidP="00544C0B">
                  <w:pPr>
                    <w:rPr>
                      <w:rFonts w:ascii="Times New Roman" w:eastAsia="Times New Roman" w:hAnsi="Times New Roman" w:cs="Times New Roman"/>
                      <w:b/>
                      <w:bCs/>
                      <w:sz w:val="24"/>
                      <w:szCs w:val="24"/>
                      <w:lang w:eastAsia="lv-LV"/>
                    </w:rPr>
                  </w:pPr>
                </w:p>
              </w:tc>
              <w:tc>
                <w:tcPr>
                  <w:tcW w:w="549" w:type="pct"/>
                  <w:vAlign w:val="center"/>
                  <w:hideMark/>
                </w:tcPr>
                <w:p w14:paraId="2843FFB3" w14:textId="77777777" w:rsidR="00A97E7D" w:rsidRPr="0057037A" w:rsidRDefault="003968ED" w:rsidP="00544C0B">
                  <w:pPr>
                    <w:jc w:val="center"/>
                    <w:rPr>
                      <w:rFonts w:ascii="Times New Roman" w:eastAsia="Times New Roman" w:hAnsi="Times New Roman" w:cs="Times New Roman"/>
                      <w:b/>
                      <w:bCs/>
                      <w:sz w:val="24"/>
                      <w:szCs w:val="24"/>
                      <w:lang w:eastAsia="lv-LV"/>
                    </w:rPr>
                  </w:pPr>
                  <w:r w:rsidRPr="0057037A">
                    <w:rPr>
                      <w:rFonts w:ascii="Times New Roman" w:eastAsia="Times New Roman" w:hAnsi="Times New Roman" w:cs="Times New Roman"/>
                      <w:b/>
                      <w:bCs/>
                      <w:sz w:val="24"/>
                      <w:szCs w:val="24"/>
                      <w:lang w:eastAsia="lv-LV"/>
                    </w:rPr>
                    <w:t>2016</w:t>
                  </w:r>
                </w:p>
              </w:tc>
              <w:tc>
                <w:tcPr>
                  <w:tcW w:w="550" w:type="pct"/>
                  <w:vAlign w:val="center"/>
                  <w:hideMark/>
                </w:tcPr>
                <w:p w14:paraId="53B5332B" w14:textId="77777777" w:rsidR="00A97E7D" w:rsidRPr="0057037A" w:rsidRDefault="00A97E7D" w:rsidP="003968ED">
                  <w:pPr>
                    <w:jc w:val="center"/>
                    <w:rPr>
                      <w:rFonts w:ascii="Times New Roman" w:eastAsia="Times New Roman" w:hAnsi="Times New Roman" w:cs="Times New Roman"/>
                      <w:b/>
                      <w:bCs/>
                      <w:sz w:val="24"/>
                      <w:szCs w:val="24"/>
                      <w:lang w:eastAsia="lv-LV"/>
                    </w:rPr>
                  </w:pPr>
                  <w:r w:rsidRPr="0057037A">
                    <w:rPr>
                      <w:rFonts w:ascii="Times New Roman" w:eastAsia="Times New Roman" w:hAnsi="Times New Roman" w:cs="Times New Roman"/>
                      <w:b/>
                      <w:bCs/>
                      <w:sz w:val="24"/>
                      <w:szCs w:val="24"/>
                      <w:lang w:eastAsia="lv-LV"/>
                    </w:rPr>
                    <w:t>201</w:t>
                  </w:r>
                  <w:r w:rsidR="003968ED" w:rsidRPr="0057037A">
                    <w:rPr>
                      <w:rFonts w:ascii="Times New Roman" w:eastAsia="Times New Roman" w:hAnsi="Times New Roman" w:cs="Times New Roman"/>
                      <w:b/>
                      <w:bCs/>
                      <w:sz w:val="24"/>
                      <w:szCs w:val="24"/>
                      <w:lang w:eastAsia="lv-LV"/>
                    </w:rPr>
                    <w:t>7</w:t>
                  </w:r>
                </w:p>
              </w:tc>
              <w:tc>
                <w:tcPr>
                  <w:tcW w:w="1623" w:type="pct"/>
                  <w:vAlign w:val="center"/>
                  <w:hideMark/>
                </w:tcPr>
                <w:p w14:paraId="6978DADA" w14:textId="77777777" w:rsidR="00A97E7D" w:rsidRPr="0057037A" w:rsidRDefault="00A97E7D" w:rsidP="003968ED">
                  <w:pPr>
                    <w:jc w:val="center"/>
                    <w:rPr>
                      <w:rFonts w:ascii="Times New Roman" w:eastAsia="Times New Roman" w:hAnsi="Times New Roman" w:cs="Times New Roman"/>
                      <w:b/>
                      <w:bCs/>
                      <w:sz w:val="24"/>
                      <w:szCs w:val="24"/>
                      <w:lang w:eastAsia="lv-LV"/>
                    </w:rPr>
                  </w:pPr>
                  <w:r w:rsidRPr="0057037A">
                    <w:rPr>
                      <w:rFonts w:ascii="Times New Roman" w:eastAsia="Times New Roman" w:hAnsi="Times New Roman" w:cs="Times New Roman"/>
                      <w:b/>
                      <w:bCs/>
                      <w:sz w:val="24"/>
                      <w:szCs w:val="24"/>
                      <w:lang w:eastAsia="lv-LV"/>
                    </w:rPr>
                    <w:t>201</w:t>
                  </w:r>
                  <w:r w:rsidR="003968ED" w:rsidRPr="0057037A">
                    <w:rPr>
                      <w:rFonts w:ascii="Times New Roman" w:eastAsia="Times New Roman" w:hAnsi="Times New Roman" w:cs="Times New Roman"/>
                      <w:b/>
                      <w:bCs/>
                      <w:sz w:val="24"/>
                      <w:szCs w:val="24"/>
                      <w:lang w:eastAsia="lv-LV"/>
                    </w:rPr>
                    <w:t>8</w:t>
                  </w:r>
                </w:p>
              </w:tc>
            </w:tr>
            <w:tr w:rsidR="0057037A" w:rsidRPr="0057037A" w14:paraId="524819DD" w14:textId="77777777" w:rsidTr="00D47FF5">
              <w:trPr>
                <w:tblCellSpacing w:w="15" w:type="dxa"/>
                <w:jc w:val="center"/>
              </w:trPr>
              <w:tc>
                <w:tcPr>
                  <w:tcW w:w="926" w:type="pct"/>
                  <w:vMerge/>
                  <w:vAlign w:val="center"/>
                  <w:hideMark/>
                </w:tcPr>
                <w:p w14:paraId="6BEB3D46" w14:textId="77777777" w:rsidR="00A97E7D" w:rsidRPr="0057037A" w:rsidRDefault="00A97E7D" w:rsidP="00544C0B">
                  <w:pPr>
                    <w:rPr>
                      <w:rFonts w:ascii="Times New Roman" w:eastAsia="Times New Roman" w:hAnsi="Times New Roman" w:cs="Times New Roman"/>
                      <w:b/>
                      <w:bCs/>
                      <w:sz w:val="24"/>
                      <w:szCs w:val="24"/>
                      <w:lang w:eastAsia="lv-LV"/>
                    </w:rPr>
                  </w:pPr>
                </w:p>
              </w:tc>
              <w:tc>
                <w:tcPr>
                  <w:tcW w:w="510" w:type="pct"/>
                  <w:vAlign w:val="center"/>
                  <w:hideMark/>
                </w:tcPr>
                <w:p w14:paraId="3A9A9E9E" w14:textId="77777777" w:rsidR="00A97E7D" w:rsidRPr="0057037A" w:rsidRDefault="00A97E7D" w:rsidP="00544C0B">
                  <w:pPr>
                    <w:jc w:val="center"/>
                    <w:rPr>
                      <w:rFonts w:ascii="Times New Roman" w:eastAsia="Times New Roman" w:hAnsi="Times New Roman" w:cs="Times New Roman"/>
                      <w:sz w:val="24"/>
                      <w:szCs w:val="24"/>
                      <w:lang w:eastAsia="lv-LV"/>
                    </w:rPr>
                  </w:pPr>
                  <w:r w:rsidRPr="0057037A">
                    <w:rPr>
                      <w:rFonts w:ascii="Times New Roman" w:eastAsia="Times New Roman" w:hAnsi="Times New Roman" w:cs="Times New Roman"/>
                      <w:sz w:val="24"/>
                      <w:szCs w:val="24"/>
                      <w:lang w:eastAsia="lv-LV"/>
                    </w:rPr>
                    <w:t>saskaņā ar valsts budžetu kārtējam gadam</w:t>
                  </w:r>
                </w:p>
              </w:tc>
              <w:tc>
                <w:tcPr>
                  <w:tcW w:w="730" w:type="pct"/>
                  <w:vAlign w:val="center"/>
                  <w:hideMark/>
                </w:tcPr>
                <w:p w14:paraId="58C3D45C" w14:textId="77777777" w:rsidR="00A97E7D" w:rsidRPr="0057037A" w:rsidRDefault="00A97E7D" w:rsidP="00544C0B">
                  <w:pPr>
                    <w:jc w:val="center"/>
                    <w:rPr>
                      <w:rFonts w:ascii="Times New Roman" w:eastAsia="Times New Roman" w:hAnsi="Times New Roman" w:cs="Times New Roman"/>
                      <w:sz w:val="24"/>
                      <w:szCs w:val="24"/>
                      <w:lang w:eastAsia="lv-LV"/>
                    </w:rPr>
                  </w:pPr>
                  <w:r w:rsidRPr="0057037A">
                    <w:rPr>
                      <w:rFonts w:ascii="Times New Roman" w:eastAsia="Times New Roman" w:hAnsi="Times New Roman" w:cs="Times New Roman"/>
                      <w:sz w:val="24"/>
                      <w:szCs w:val="24"/>
                      <w:lang w:eastAsia="lv-LV"/>
                    </w:rPr>
                    <w:t>izmaiņas kārtējā gadā, salīdzinot ar valsts budžetu kārtējam gadam</w:t>
                  </w:r>
                </w:p>
              </w:tc>
              <w:tc>
                <w:tcPr>
                  <w:tcW w:w="549" w:type="pct"/>
                  <w:vAlign w:val="center"/>
                  <w:hideMark/>
                </w:tcPr>
                <w:p w14:paraId="6BB6B9C4" w14:textId="20A72A74" w:rsidR="00A97E7D" w:rsidRPr="0057037A" w:rsidRDefault="00A97E7D" w:rsidP="004730F5">
                  <w:pPr>
                    <w:jc w:val="center"/>
                    <w:rPr>
                      <w:rFonts w:ascii="Times New Roman" w:eastAsia="Times New Roman" w:hAnsi="Times New Roman" w:cs="Times New Roman"/>
                      <w:sz w:val="24"/>
                      <w:szCs w:val="24"/>
                      <w:lang w:eastAsia="lv-LV"/>
                    </w:rPr>
                  </w:pPr>
                  <w:r w:rsidRPr="0057037A">
                    <w:rPr>
                      <w:rFonts w:ascii="Times New Roman" w:eastAsia="Times New Roman" w:hAnsi="Times New Roman" w:cs="Times New Roman"/>
                      <w:sz w:val="24"/>
                      <w:szCs w:val="24"/>
                      <w:lang w:eastAsia="lv-LV"/>
                    </w:rPr>
                    <w:t xml:space="preserve">izmaiņas, salīdzinot ar </w:t>
                  </w:r>
                  <w:r w:rsidR="004730F5" w:rsidRPr="0057037A">
                    <w:rPr>
                      <w:rFonts w:ascii="Times New Roman" w:eastAsia="Times New Roman" w:hAnsi="Times New Roman" w:cs="Times New Roman"/>
                      <w:sz w:val="24"/>
                      <w:szCs w:val="24"/>
                      <w:lang w:eastAsia="lv-LV"/>
                    </w:rPr>
                    <w:t>2015</w:t>
                  </w:r>
                  <w:r w:rsidRPr="0057037A">
                    <w:rPr>
                      <w:rFonts w:ascii="Times New Roman" w:eastAsia="Times New Roman" w:hAnsi="Times New Roman" w:cs="Times New Roman"/>
                      <w:sz w:val="24"/>
                      <w:szCs w:val="24"/>
                      <w:lang w:eastAsia="lv-LV"/>
                    </w:rPr>
                    <w:t>. gadu</w:t>
                  </w:r>
                </w:p>
              </w:tc>
              <w:tc>
                <w:tcPr>
                  <w:tcW w:w="550" w:type="pct"/>
                  <w:vAlign w:val="center"/>
                  <w:hideMark/>
                </w:tcPr>
                <w:p w14:paraId="5C018711" w14:textId="48147357" w:rsidR="00A97E7D" w:rsidRPr="0057037A" w:rsidRDefault="00A97E7D" w:rsidP="006061A4">
                  <w:pPr>
                    <w:jc w:val="center"/>
                    <w:rPr>
                      <w:rFonts w:ascii="Times New Roman" w:eastAsia="Times New Roman" w:hAnsi="Times New Roman" w:cs="Times New Roman"/>
                      <w:sz w:val="24"/>
                      <w:szCs w:val="24"/>
                      <w:lang w:eastAsia="lv-LV"/>
                    </w:rPr>
                  </w:pPr>
                  <w:r w:rsidRPr="0057037A">
                    <w:rPr>
                      <w:rFonts w:ascii="Times New Roman" w:eastAsia="Times New Roman" w:hAnsi="Times New Roman" w:cs="Times New Roman"/>
                      <w:sz w:val="24"/>
                      <w:szCs w:val="24"/>
                      <w:lang w:eastAsia="lv-LV"/>
                    </w:rPr>
                    <w:t xml:space="preserve">izmaiņas, salīdzinot ar </w:t>
                  </w:r>
                  <w:r w:rsidR="006061A4" w:rsidRPr="0057037A">
                    <w:rPr>
                      <w:rFonts w:ascii="Times New Roman" w:eastAsia="Times New Roman" w:hAnsi="Times New Roman" w:cs="Times New Roman"/>
                      <w:sz w:val="24"/>
                      <w:szCs w:val="24"/>
                      <w:lang w:eastAsia="lv-LV"/>
                    </w:rPr>
                    <w:t>2015</w:t>
                  </w:r>
                  <w:r w:rsidRPr="0057037A">
                    <w:rPr>
                      <w:rFonts w:ascii="Times New Roman" w:eastAsia="Times New Roman" w:hAnsi="Times New Roman" w:cs="Times New Roman"/>
                      <w:sz w:val="24"/>
                      <w:szCs w:val="24"/>
                      <w:lang w:eastAsia="lv-LV"/>
                    </w:rPr>
                    <w:t>. gadu</w:t>
                  </w:r>
                </w:p>
              </w:tc>
              <w:tc>
                <w:tcPr>
                  <w:tcW w:w="1623" w:type="pct"/>
                  <w:vAlign w:val="center"/>
                  <w:hideMark/>
                </w:tcPr>
                <w:p w14:paraId="41A7828C" w14:textId="5399AA38" w:rsidR="00A97E7D" w:rsidRPr="0057037A" w:rsidRDefault="00A97E7D" w:rsidP="006061A4">
                  <w:pPr>
                    <w:jc w:val="center"/>
                    <w:rPr>
                      <w:rFonts w:ascii="Times New Roman" w:eastAsia="Times New Roman" w:hAnsi="Times New Roman" w:cs="Times New Roman"/>
                      <w:sz w:val="24"/>
                      <w:szCs w:val="24"/>
                      <w:lang w:eastAsia="lv-LV"/>
                    </w:rPr>
                  </w:pPr>
                  <w:r w:rsidRPr="0057037A">
                    <w:rPr>
                      <w:rFonts w:ascii="Times New Roman" w:eastAsia="Times New Roman" w:hAnsi="Times New Roman" w:cs="Times New Roman"/>
                      <w:sz w:val="24"/>
                      <w:szCs w:val="24"/>
                      <w:lang w:eastAsia="lv-LV"/>
                    </w:rPr>
                    <w:t xml:space="preserve">izmaiņas, salīdzinot ar </w:t>
                  </w:r>
                  <w:r w:rsidR="006061A4" w:rsidRPr="0057037A">
                    <w:rPr>
                      <w:rFonts w:ascii="Times New Roman" w:eastAsia="Times New Roman" w:hAnsi="Times New Roman" w:cs="Times New Roman"/>
                      <w:sz w:val="24"/>
                      <w:szCs w:val="24"/>
                      <w:lang w:eastAsia="lv-LV"/>
                    </w:rPr>
                    <w:t>2015</w:t>
                  </w:r>
                  <w:r w:rsidRPr="0057037A">
                    <w:rPr>
                      <w:rFonts w:ascii="Times New Roman" w:eastAsia="Times New Roman" w:hAnsi="Times New Roman" w:cs="Times New Roman"/>
                      <w:sz w:val="24"/>
                      <w:szCs w:val="24"/>
                      <w:lang w:eastAsia="lv-LV"/>
                    </w:rPr>
                    <w:t>. gadu</w:t>
                  </w:r>
                </w:p>
              </w:tc>
            </w:tr>
            <w:tr w:rsidR="0057037A" w:rsidRPr="0057037A" w14:paraId="0B0244A3" w14:textId="77777777" w:rsidTr="00D47FF5">
              <w:trPr>
                <w:tblCellSpacing w:w="15" w:type="dxa"/>
                <w:jc w:val="center"/>
              </w:trPr>
              <w:tc>
                <w:tcPr>
                  <w:tcW w:w="926" w:type="pct"/>
                  <w:vAlign w:val="center"/>
                  <w:hideMark/>
                </w:tcPr>
                <w:p w14:paraId="3315076E" w14:textId="77777777" w:rsidR="00A97E7D" w:rsidRPr="0057037A" w:rsidRDefault="00A97E7D" w:rsidP="00544C0B">
                  <w:pPr>
                    <w:jc w:val="center"/>
                    <w:rPr>
                      <w:rFonts w:ascii="Times New Roman" w:eastAsia="Times New Roman" w:hAnsi="Times New Roman" w:cs="Times New Roman"/>
                      <w:sz w:val="24"/>
                      <w:szCs w:val="24"/>
                      <w:lang w:eastAsia="lv-LV"/>
                    </w:rPr>
                  </w:pPr>
                  <w:r w:rsidRPr="0057037A">
                    <w:rPr>
                      <w:rFonts w:ascii="Times New Roman" w:eastAsia="Times New Roman" w:hAnsi="Times New Roman" w:cs="Times New Roman"/>
                      <w:sz w:val="24"/>
                      <w:szCs w:val="24"/>
                      <w:lang w:eastAsia="lv-LV"/>
                    </w:rPr>
                    <w:t>1</w:t>
                  </w:r>
                </w:p>
              </w:tc>
              <w:tc>
                <w:tcPr>
                  <w:tcW w:w="510" w:type="pct"/>
                  <w:vAlign w:val="center"/>
                  <w:hideMark/>
                </w:tcPr>
                <w:p w14:paraId="48CAE020" w14:textId="77777777" w:rsidR="00A97E7D" w:rsidRPr="0057037A" w:rsidRDefault="00A97E7D" w:rsidP="00544C0B">
                  <w:pPr>
                    <w:jc w:val="center"/>
                    <w:rPr>
                      <w:rFonts w:ascii="Times New Roman" w:eastAsia="Times New Roman" w:hAnsi="Times New Roman" w:cs="Times New Roman"/>
                      <w:sz w:val="24"/>
                      <w:szCs w:val="24"/>
                      <w:lang w:eastAsia="lv-LV"/>
                    </w:rPr>
                  </w:pPr>
                  <w:r w:rsidRPr="0057037A">
                    <w:rPr>
                      <w:rFonts w:ascii="Times New Roman" w:eastAsia="Times New Roman" w:hAnsi="Times New Roman" w:cs="Times New Roman"/>
                      <w:sz w:val="24"/>
                      <w:szCs w:val="24"/>
                      <w:lang w:eastAsia="lv-LV"/>
                    </w:rPr>
                    <w:t>2</w:t>
                  </w:r>
                </w:p>
              </w:tc>
              <w:tc>
                <w:tcPr>
                  <w:tcW w:w="730" w:type="pct"/>
                  <w:vAlign w:val="center"/>
                  <w:hideMark/>
                </w:tcPr>
                <w:p w14:paraId="2A050B4F" w14:textId="77777777" w:rsidR="00A97E7D" w:rsidRPr="0057037A" w:rsidRDefault="00A97E7D" w:rsidP="00544C0B">
                  <w:pPr>
                    <w:jc w:val="center"/>
                    <w:rPr>
                      <w:rFonts w:ascii="Times New Roman" w:eastAsia="Times New Roman" w:hAnsi="Times New Roman" w:cs="Times New Roman"/>
                      <w:sz w:val="24"/>
                      <w:szCs w:val="24"/>
                      <w:lang w:eastAsia="lv-LV"/>
                    </w:rPr>
                  </w:pPr>
                  <w:r w:rsidRPr="0057037A">
                    <w:rPr>
                      <w:rFonts w:ascii="Times New Roman" w:eastAsia="Times New Roman" w:hAnsi="Times New Roman" w:cs="Times New Roman"/>
                      <w:sz w:val="24"/>
                      <w:szCs w:val="24"/>
                      <w:lang w:eastAsia="lv-LV"/>
                    </w:rPr>
                    <w:t>3</w:t>
                  </w:r>
                </w:p>
              </w:tc>
              <w:tc>
                <w:tcPr>
                  <w:tcW w:w="549" w:type="pct"/>
                  <w:vAlign w:val="center"/>
                  <w:hideMark/>
                </w:tcPr>
                <w:p w14:paraId="1E8FADD1" w14:textId="77777777" w:rsidR="00A97E7D" w:rsidRPr="0057037A" w:rsidRDefault="00A97E7D" w:rsidP="00544C0B">
                  <w:pPr>
                    <w:jc w:val="center"/>
                    <w:rPr>
                      <w:rFonts w:ascii="Times New Roman" w:eastAsia="Times New Roman" w:hAnsi="Times New Roman" w:cs="Times New Roman"/>
                      <w:sz w:val="24"/>
                      <w:szCs w:val="24"/>
                      <w:lang w:eastAsia="lv-LV"/>
                    </w:rPr>
                  </w:pPr>
                  <w:r w:rsidRPr="0057037A">
                    <w:rPr>
                      <w:rFonts w:ascii="Times New Roman" w:eastAsia="Times New Roman" w:hAnsi="Times New Roman" w:cs="Times New Roman"/>
                      <w:sz w:val="24"/>
                      <w:szCs w:val="24"/>
                      <w:lang w:eastAsia="lv-LV"/>
                    </w:rPr>
                    <w:t>4</w:t>
                  </w:r>
                </w:p>
              </w:tc>
              <w:tc>
                <w:tcPr>
                  <w:tcW w:w="550" w:type="pct"/>
                  <w:vAlign w:val="center"/>
                  <w:hideMark/>
                </w:tcPr>
                <w:p w14:paraId="090BF5C8" w14:textId="77777777" w:rsidR="00A97E7D" w:rsidRPr="0057037A" w:rsidRDefault="00A97E7D" w:rsidP="00544C0B">
                  <w:pPr>
                    <w:jc w:val="center"/>
                    <w:rPr>
                      <w:rFonts w:ascii="Times New Roman" w:eastAsia="Times New Roman" w:hAnsi="Times New Roman" w:cs="Times New Roman"/>
                      <w:sz w:val="24"/>
                      <w:szCs w:val="24"/>
                      <w:lang w:eastAsia="lv-LV"/>
                    </w:rPr>
                  </w:pPr>
                  <w:r w:rsidRPr="0057037A">
                    <w:rPr>
                      <w:rFonts w:ascii="Times New Roman" w:eastAsia="Times New Roman" w:hAnsi="Times New Roman" w:cs="Times New Roman"/>
                      <w:sz w:val="24"/>
                      <w:szCs w:val="24"/>
                      <w:lang w:eastAsia="lv-LV"/>
                    </w:rPr>
                    <w:t>5</w:t>
                  </w:r>
                </w:p>
              </w:tc>
              <w:tc>
                <w:tcPr>
                  <w:tcW w:w="1623" w:type="pct"/>
                  <w:vAlign w:val="center"/>
                  <w:hideMark/>
                </w:tcPr>
                <w:p w14:paraId="2AE0BEBE" w14:textId="77777777" w:rsidR="00A97E7D" w:rsidRPr="0057037A" w:rsidRDefault="00A97E7D" w:rsidP="00544C0B">
                  <w:pPr>
                    <w:jc w:val="center"/>
                    <w:rPr>
                      <w:rFonts w:ascii="Times New Roman" w:eastAsia="Times New Roman" w:hAnsi="Times New Roman" w:cs="Times New Roman"/>
                      <w:sz w:val="24"/>
                      <w:szCs w:val="24"/>
                      <w:lang w:eastAsia="lv-LV"/>
                    </w:rPr>
                  </w:pPr>
                  <w:r w:rsidRPr="0057037A">
                    <w:rPr>
                      <w:rFonts w:ascii="Times New Roman" w:eastAsia="Times New Roman" w:hAnsi="Times New Roman" w:cs="Times New Roman"/>
                      <w:sz w:val="24"/>
                      <w:szCs w:val="24"/>
                      <w:lang w:eastAsia="lv-LV"/>
                    </w:rPr>
                    <w:t>6</w:t>
                  </w:r>
                </w:p>
              </w:tc>
            </w:tr>
            <w:tr w:rsidR="0057037A" w:rsidRPr="0057037A" w14:paraId="2D9898F7" w14:textId="77777777" w:rsidTr="00D47FF5">
              <w:trPr>
                <w:tblCellSpacing w:w="15" w:type="dxa"/>
                <w:jc w:val="center"/>
              </w:trPr>
              <w:tc>
                <w:tcPr>
                  <w:tcW w:w="926" w:type="pct"/>
                  <w:hideMark/>
                </w:tcPr>
                <w:p w14:paraId="710FCADF" w14:textId="77777777" w:rsidR="003B19C8" w:rsidRPr="0057037A" w:rsidRDefault="003B19C8" w:rsidP="00544C0B">
                  <w:pPr>
                    <w:rPr>
                      <w:rFonts w:ascii="Times New Roman" w:eastAsia="Times New Roman" w:hAnsi="Times New Roman" w:cs="Times New Roman"/>
                      <w:sz w:val="24"/>
                      <w:szCs w:val="24"/>
                      <w:lang w:eastAsia="lv-LV"/>
                    </w:rPr>
                  </w:pPr>
                  <w:r w:rsidRPr="0057037A">
                    <w:rPr>
                      <w:rFonts w:ascii="Times New Roman" w:eastAsia="Times New Roman" w:hAnsi="Times New Roman" w:cs="Times New Roman"/>
                      <w:sz w:val="24"/>
                      <w:szCs w:val="24"/>
                      <w:lang w:eastAsia="lv-LV"/>
                    </w:rPr>
                    <w:t>1. Budžeta ieņēmumi:</w:t>
                  </w:r>
                </w:p>
              </w:tc>
              <w:tc>
                <w:tcPr>
                  <w:tcW w:w="510" w:type="pct"/>
                </w:tcPr>
                <w:p w14:paraId="05E6CCEB" w14:textId="77777777" w:rsidR="003B19C8" w:rsidRPr="0057037A" w:rsidRDefault="003B19C8">
                  <w:pPr>
                    <w:rPr>
                      <w:rFonts w:ascii="Times New Roman" w:hAnsi="Times New Roman" w:cs="Times New Roman"/>
                      <w:sz w:val="24"/>
                      <w:szCs w:val="24"/>
                    </w:rPr>
                  </w:pPr>
                  <w:r w:rsidRPr="0057037A">
                    <w:rPr>
                      <w:rFonts w:ascii="Times New Roman" w:eastAsia="Times New Roman" w:hAnsi="Times New Roman" w:cs="Times New Roman"/>
                      <w:sz w:val="24"/>
                      <w:szCs w:val="24"/>
                      <w:lang w:eastAsia="lv-LV"/>
                    </w:rPr>
                    <w:t>0</w:t>
                  </w:r>
                </w:p>
              </w:tc>
              <w:tc>
                <w:tcPr>
                  <w:tcW w:w="730" w:type="pct"/>
                </w:tcPr>
                <w:p w14:paraId="02500940" w14:textId="77777777" w:rsidR="003B19C8" w:rsidRPr="0057037A" w:rsidRDefault="003B19C8">
                  <w:pPr>
                    <w:rPr>
                      <w:rFonts w:ascii="Times New Roman" w:hAnsi="Times New Roman" w:cs="Times New Roman"/>
                      <w:sz w:val="24"/>
                      <w:szCs w:val="24"/>
                    </w:rPr>
                  </w:pPr>
                  <w:r w:rsidRPr="0057037A">
                    <w:rPr>
                      <w:rFonts w:ascii="Times New Roman" w:eastAsia="Times New Roman" w:hAnsi="Times New Roman" w:cs="Times New Roman"/>
                      <w:sz w:val="24"/>
                      <w:szCs w:val="24"/>
                      <w:lang w:eastAsia="lv-LV"/>
                    </w:rPr>
                    <w:t>0</w:t>
                  </w:r>
                </w:p>
              </w:tc>
              <w:tc>
                <w:tcPr>
                  <w:tcW w:w="549" w:type="pct"/>
                </w:tcPr>
                <w:p w14:paraId="537F805D" w14:textId="77777777" w:rsidR="003B19C8" w:rsidRPr="0057037A" w:rsidRDefault="00FE4BE0" w:rsidP="003B19C8">
                  <w:pPr>
                    <w:jc w:val="center"/>
                    <w:rPr>
                      <w:rFonts w:ascii="Times New Roman" w:eastAsia="Times New Roman" w:hAnsi="Times New Roman" w:cs="Times New Roman"/>
                      <w:b/>
                      <w:sz w:val="24"/>
                      <w:szCs w:val="24"/>
                      <w:lang w:eastAsia="lv-LV"/>
                    </w:rPr>
                  </w:pPr>
                  <w:r w:rsidRPr="0057037A">
                    <w:rPr>
                      <w:rFonts w:ascii="Times New Roman" w:eastAsia="Times New Roman" w:hAnsi="Times New Roman" w:cs="Times New Roman"/>
                      <w:b/>
                      <w:sz w:val="24"/>
                      <w:szCs w:val="24"/>
                      <w:lang w:eastAsia="lv-LV"/>
                    </w:rPr>
                    <w:t>58</w:t>
                  </w:r>
                  <w:r w:rsidR="003B19C8" w:rsidRPr="0057037A">
                    <w:rPr>
                      <w:rFonts w:ascii="Times New Roman" w:eastAsia="Times New Roman" w:hAnsi="Times New Roman" w:cs="Times New Roman"/>
                      <w:b/>
                      <w:sz w:val="24"/>
                      <w:szCs w:val="24"/>
                      <w:lang w:eastAsia="lv-LV"/>
                    </w:rPr>
                    <w:t> 000</w:t>
                  </w:r>
                </w:p>
              </w:tc>
              <w:tc>
                <w:tcPr>
                  <w:tcW w:w="550" w:type="pct"/>
                </w:tcPr>
                <w:p w14:paraId="5D6C5EC1" w14:textId="77777777" w:rsidR="003B19C8" w:rsidRPr="0057037A" w:rsidRDefault="00FE4BE0" w:rsidP="00544C0B">
                  <w:pPr>
                    <w:jc w:val="center"/>
                    <w:rPr>
                      <w:rFonts w:ascii="Times New Roman" w:eastAsia="Times New Roman" w:hAnsi="Times New Roman" w:cs="Times New Roman"/>
                      <w:b/>
                      <w:sz w:val="24"/>
                      <w:szCs w:val="24"/>
                      <w:lang w:eastAsia="lv-LV"/>
                    </w:rPr>
                  </w:pPr>
                  <w:r w:rsidRPr="0057037A">
                    <w:rPr>
                      <w:rFonts w:ascii="Times New Roman" w:eastAsia="Times New Roman" w:hAnsi="Times New Roman" w:cs="Times New Roman"/>
                      <w:b/>
                      <w:sz w:val="24"/>
                      <w:szCs w:val="24"/>
                      <w:lang w:eastAsia="lv-LV"/>
                    </w:rPr>
                    <w:t>60</w:t>
                  </w:r>
                  <w:r w:rsidR="003B19C8" w:rsidRPr="0057037A">
                    <w:rPr>
                      <w:rFonts w:ascii="Times New Roman" w:eastAsia="Times New Roman" w:hAnsi="Times New Roman" w:cs="Times New Roman"/>
                      <w:b/>
                      <w:sz w:val="24"/>
                      <w:szCs w:val="24"/>
                      <w:lang w:eastAsia="lv-LV"/>
                    </w:rPr>
                    <w:t> 000</w:t>
                  </w:r>
                </w:p>
              </w:tc>
              <w:tc>
                <w:tcPr>
                  <w:tcW w:w="1623" w:type="pct"/>
                </w:tcPr>
                <w:p w14:paraId="217C0355" w14:textId="77777777" w:rsidR="003B19C8" w:rsidRPr="0057037A" w:rsidRDefault="00FE4BE0" w:rsidP="00544C0B">
                  <w:pPr>
                    <w:jc w:val="center"/>
                    <w:rPr>
                      <w:rFonts w:ascii="Times New Roman" w:eastAsia="Times New Roman" w:hAnsi="Times New Roman" w:cs="Times New Roman"/>
                      <w:b/>
                      <w:sz w:val="24"/>
                      <w:szCs w:val="24"/>
                      <w:lang w:eastAsia="lv-LV"/>
                    </w:rPr>
                  </w:pPr>
                  <w:r w:rsidRPr="0057037A">
                    <w:rPr>
                      <w:rFonts w:ascii="Times New Roman" w:eastAsia="Times New Roman" w:hAnsi="Times New Roman" w:cs="Times New Roman"/>
                      <w:b/>
                      <w:sz w:val="24"/>
                      <w:szCs w:val="24"/>
                      <w:lang w:eastAsia="lv-LV"/>
                    </w:rPr>
                    <w:t>60</w:t>
                  </w:r>
                  <w:r w:rsidR="003B19C8" w:rsidRPr="0057037A">
                    <w:rPr>
                      <w:rFonts w:ascii="Times New Roman" w:eastAsia="Times New Roman" w:hAnsi="Times New Roman" w:cs="Times New Roman"/>
                      <w:b/>
                      <w:sz w:val="24"/>
                      <w:szCs w:val="24"/>
                      <w:lang w:eastAsia="lv-LV"/>
                    </w:rPr>
                    <w:t> 000</w:t>
                  </w:r>
                </w:p>
              </w:tc>
            </w:tr>
            <w:tr w:rsidR="0057037A" w:rsidRPr="00176DE8" w14:paraId="511EF9AB" w14:textId="77777777" w:rsidTr="00D47FF5">
              <w:trPr>
                <w:tblCellSpacing w:w="15" w:type="dxa"/>
                <w:jc w:val="center"/>
              </w:trPr>
              <w:tc>
                <w:tcPr>
                  <w:tcW w:w="926" w:type="pct"/>
                  <w:hideMark/>
                </w:tcPr>
                <w:p w14:paraId="52310157" w14:textId="77777777" w:rsidR="003B19C8" w:rsidRPr="00176DE8" w:rsidRDefault="003B19C8" w:rsidP="00544C0B">
                  <w:pPr>
                    <w:rPr>
                      <w:rFonts w:ascii="Times New Roman" w:eastAsia="Times New Roman" w:hAnsi="Times New Roman" w:cs="Times New Roman"/>
                      <w:sz w:val="24"/>
                      <w:szCs w:val="24"/>
                      <w:lang w:eastAsia="lv-LV"/>
                    </w:rPr>
                  </w:pPr>
                  <w:r w:rsidRPr="00176DE8">
                    <w:rPr>
                      <w:rFonts w:ascii="Times New Roman" w:eastAsia="Times New Roman" w:hAnsi="Times New Roman" w:cs="Times New Roman"/>
                      <w:sz w:val="24"/>
                      <w:szCs w:val="24"/>
                      <w:lang w:eastAsia="lv-LV"/>
                    </w:rPr>
                    <w:t>1.1. valsts pamatbudžets, tai skaitā ieņēmumi no maksas pakalpojumiem un citi pašu ieņēmumi</w:t>
                  </w:r>
                </w:p>
              </w:tc>
              <w:tc>
                <w:tcPr>
                  <w:tcW w:w="510" w:type="pct"/>
                </w:tcPr>
                <w:p w14:paraId="3D0D36A1" w14:textId="77777777" w:rsidR="003B19C8" w:rsidRPr="00176DE8" w:rsidRDefault="003B19C8">
                  <w:pPr>
                    <w:rPr>
                      <w:rFonts w:ascii="Times New Roman" w:hAnsi="Times New Roman" w:cs="Times New Roman"/>
                      <w:sz w:val="24"/>
                      <w:szCs w:val="24"/>
                    </w:rPr>
                  </w:pPr>
                  <w:r w:rsidRPr="00176DE8">
                    <w:rPr>
                      <w:rFonts w:ascii="Times New Roman" w:eastAsia="Times New Roman" w:hAnsi="Times New Roman" w:cs="Times New Roman"/>
                      <w:sz w:val="24"/>
                      <w:szCs w:val="24"/>
                      <w:lang w:eastAsia="lv-LV"/>
                    </w:rPr>
                    <w:t>0</w:t>
                  </w:r>
                </w:p>
              </w:tc>
              <w:tc>
                <w:tcPr>
                  <w:tcW w:w="730" w:type="pct"/>
                </w:tcPr>
                <w:p w14:paraId="3EF59807" w14:textId="77777777" w:rsidR="003B19C8" w:rsidRPr="00176DE8" w:rsidRDefault="003B19C8">
                  <w:pPr>
                    <w:rPr>
                      <w:rFonts w:ascii="Times New Roman" w:hAnsi="Times New Roman" w:cs="Times New Roman"/>
                      <w:sz w:val="24"/>
                      <w:szCs w:val="24"/>
                    </w:rPr>
                  </w:pPr>
                  <w:r w:rsidRPr="00176DE8">
                    <w:rPr>
                      <w:rFonts w:ascii="Times New Roman" w:eastAsia="Times New Roman" w:hAnsi="Times New Roman" w:cs="Times New Roman"/>
                      <w:sz w:val="24"/>
                      <w:szCs w:val="24"/>
                      <w:lang w:eastAsia="lv-LV"/>
                    </w:rPr>
                    <w:t>0</w:t>
                  </w:r>
                </w:p>
              </w:tc>
              <w:tc>
                <w:tcPr>
                  <w:tcW w:w="549" w:type="pct"/>
                </w:tcPr>
                <w:p w14:paraId="6ED620B4" w14:textId="77777777" w:rsidR="003B19C8" w:rsidRPr="00DE2A92" w:rsidRDefault="00FE4BE0" w:rsidP="001C6048">
                  <w:pPr>
                    <w:jc w:val="center"/>
                    <w:rPr>
                      <w:rFonts w:ascii="Times New Roman" w:eastAsia="Times New Roman" w:hAnsi="Times New Roman" w:cs="Times New Roman"/>
                      <w:b/>
                      <w:sz w:val="24"/>
                      <w:szCs w:val="24"/>
                      <w:lang w:eastAsia="lv-LV"/>
                    </w:rPr>
                  </w:pPr>
                  <w:r w:rsidRPr="00D910F5">
                    <w:rPr>
                      <w:rFonts w:ascii="Times New Roman" w:eastAsia="Times New Roman" w:hAnsi="Times New Roman" w:cs="Times New Roman"/>
                      <w:b/>
                      <w:sz w:val="24"/>
                      <w:szCs w:val="24"/>
                      <w:lang w:eastAsia="lv-LV"/>
                    </w:rPr>
                    <w:t>58</w:t>
                  </w:r>
                  <w:r w:rsidR="003B19C8" w:rsidRPr="00D910F5">
                    <w:rPr>
                      <w:rFonts w:ascii="Times New Roman" w:eastAsia="Times New Roman" w:hAnsi="Times New Roman" w:cs="Times New Roman"/>
                      <w:b/>
                      <w:sz w:val="24"/>
                      <w:szCs w:val="24"/>
                      <w:lang w:eastAsia="lv-LV"/>
                    </w:rPr>
                    <w:t> 000</w:t>
                  </w:r>
                </w:p>
              </w:tc>
              <w:tc>
                <w:tcPr>
                  <w:tcW w:w="550" w:type="pct"/>
                </w:tcPr>
                <w:p w14:paraId="27B18344" w14:textId="77777777" w:rsidR="003B19C8" w:rsidRPr="00DE2A92" w:rsidRDefault="00FE4BE0" w:rsidP="001C6048">
                  <w:pPr>
                    <w:jc w:val="center"/>
                    <w:rPr>
                      <w:rFonts w:ascii="Times New Roman" w:eastAsia="Times New Roman" w:hAnsi="Times New Roman" w:cs="Times New Roman"/>
                      <w:b/>
                      <w:sz w:val="24"/>
                      <w:szCs w:val="24"/>
                      <w:lang w:eastAsia="lv-LV"/>
                    </w:rPr>
                  </w:pPr>
                  <w:r w:rsidRPr="00DE2A92">
                    <w:rPr>
                      <w:rFonts w:ascii="Times New Roman" w:eastAsia="Times New Roman" w:hAnsi="Times New Roman" w:cs="Times New Roman"/>
                      <w:b/>
                      <w:sz w:val="24"/>
                      <w:szCs w:val="24"/>
                      <w:lang w:eastAsia="lv-LV"/>
                    </w:rPr>
                    <w:t>60</w:t>
                  </w:r>
                  <w:r w:rsidR="003B19C8" w:rsidRPr="00DE2A92">
                    <w:rPr>
                      <w:rFonts w:ascii="Times New Roman" w:eastAsia="Times New Roman" w:hAnsi="Times New Roman" w:cs="Times New Roman"/>
                      <w:b/>
                      <w:sz w:val="24"/>
                      <w:szCs w:val="24"/>
                      <w:lang w:eastAsia="lv-LV"/>
                    </w:rPr>
                    <w:t> 000</w:t>
                  </w:r>
                </w:p>
              </w:tc>
              <w:tc>
                <w:tcPr>
                  <w:tcW w:w="1623" w:type="pct"/>
                </w:tcPr>
                <w:p w14:paraId="60059481" w14:textId="77777777" w:rsidR="003B19C8" w:rsidRPr="00DE2A92" w:rsidRDefault="00FE4BE0" w:rsidP="001C6048">
                  <w:pPr>
                    <w:jc w:val="center"/>
                    <w:rPr>
                      <w:rFonts w:ascii="Times New Roman" w:eastAsia="Times New Roman" w:hAnsi="Times New Roman" w:cs="Times New Roman"/>
                      <w:b/>
                      <w:sz w:val="24"/>
                      <w:szCs w:val="24"/>
                      <w:lang w:eastAsia="lv-LV"/>
                    </w:rPr>
                  </w:pPr>
                  <w:r w:rsidRPr="00DE2A92">
                    <w:rPr>
                      <w:rFonts w:ascii="Times New Roman" w:eastAsia="Times New Roman" w:hAnsi="Times New Roman" w:cs="Times New Roman"/>
                      <w:b/>
                      <w:sz w:val="24"/>
                      <w:szCs w:val="24"/>
                      <w:lang w:eastAsia="lv-LV"/>
                    </w:rPr>
                    <w:t>60</w:t>
                  </w:r>
                  <w:r w:rsidR="003B19C8" w:rsidRPr="00DE2A92">
                    <w:rPr>
                      <w:rFonts w:ascii="Times New Roman" w:eastAsia="Times New Roman" w:hAnsi="Times New Roman" w:cs="Times New Roman"/>
                      <w:b/>
                      <w:sz w:val="24"/>
                      <w:szCs w:val="24"/>
                      <w:lang w:eastAsia="lv-LV"/>
                    </w:rPr>
                    <w:t> 000</w:t>
                  </w:r>
                </w:p>
              </w:tc>
            </w:tr>
            <w:tr w:rsidR="0057037A" w:rsidRPr="0057037A" w14:paraId="01117406" w14:textId="77777777" w:rsidTr="00D47FF5">
              <w:trPr>
                <w:tblCellSpacing w:w="15" w:type="dxa"/>
                <w:jc w:val="center"/>
              </w:trPr>
              <w:tc>
                <w:tcPr>
                  <w:tcW w:w="926" w:type="pct"/>
                  <w:hideMark/>
                </w:tcPr>
                <w:p w14:paraId="2C5D0909" w14:textId="77777777" w:rsidR="003B19C8" w:rsidRPr="00C56256" w:rsidRDefault="003B19C8" w:rsidP="00544C0B">
                  <w:pPr>
                    <w:rPr>
                      <w:rFonts w:ascii="Times New Roman" w:eastAsia="Times New Roman" w:hAnsi="Times New Roman" w:cs="Times New Roman"/>
                      <w:sz w:val="24"/>
                      <w:szCs w:val="24"/>
                      <w:lang w:eastAsia="lv-LV"/>
                    </w:rPr>
                  </w:pPr>
                  <w:r w:rsidRPr="00AE516B">
                    <w:rPr>
                      <w:rFonts w:ascii="Times New Roman" w:eastAsia="Times New Roman" w:hAnsi="Times New Roman" w:cs="Times New Roman"/>
                      <w:sz w:val="24"/>
                      <w:szCs w:val="24"/>
                      <w:lang w:eastAsia="lv-LV"/>
                    </w:rPr>
                    <w:t>1.2. valsts speciālais budžets</w:t>
                  </w:r>
                </w:p>
              </w:tc>
              <w:tc>
                <w:tcPr>
                  <w:tcW w:w="510" w:type="pct"/>
                </w:tcPr>
                <w:p w14:paraId="0830780A" w14:textId="77777777" w:rsidR="003B19C8" w:rsidRPr="007B34C1" w:rsidRDefault="003B19C8">
                  <w:pPr>
                    <w:rPr>
                      <w:rFonts w:ascii="Times New Roman" w:hAnsi="Times New Roman" w:cs="Times New Roman"/>
                      <w:sz w:val="24"/>
                      <w:szCs w:val="24"/>
                    </w:rPr>
                  </w:pPr>
                  <w:r w:rsidRPr="007B34C1">
                    <w:rPr>
                      <w:rFonts w:ascii="Times New Roman" w:eastAsia="Times New Roman" w:hAnsi="Times New Roman" w:cs="Times New Roman"/>
                      <w:sz w:val="24"/>
                      <w:szCs w:val="24"/>
                      <w:lang w:eastAsia="lv-LV"/>
                    </w:rPr>
                    <w:t>0</w:t>
                  </w:r>
                </w:p>
              </w:tc>
              <w:tc>
                <w:tcPr>
                  <w:tcW w:w="730" w:type="pct"/>
                </w:tcPr>
                <w:p w14:paraId="4679BBF9" w14:textId="77777777" w:rsidR="003B19C8" w:rsidRPr="00C37325" w:rsidRDefault="003B19C8">
                  <w:pPr>
                    <w:rPr>
                      <w:rFonts w:ascii="Times New Roman" w:hAnsi="Times New Roman" w:cs="Times New Roman"/>
                      <w:sz w:val="24"/>
                      <w:szCs w:val="24"/>
                    </w:rPr>
                  </w:pPr>
                  <w:r w:rsidRPr="00C37325">
                    <w:rPr>
                      <w:rFonts w:ascii="Times New Roman" w:eastAsia="Times New Roman" w:hAnsi="Times New Roman" w:cs="Times New Roman"/>
                      <w:sz w:val="24"/>
                      <w:szCs w:val="24"/>
                      <w:lang w:eastAsia="lv-LV"/>
                    </w:rPr>
                    <w:t>0</w:t>
                  </w:r>
                </w:p>
              </w:tc>
              <w:tc>
                <w:tcPr>
                  <w:tcW w:w="549" w:type="pct"/>
                </w:tcPr>
                <w:p w14:paraId="472D1CF8" w14:textId="77777777" w:rsidR="003B19C8" w:rsidRPr="00DE2A92" w:rsidRDefault="003B19C8">
                  <w:pPr>
                    <w:rPr>
                      <w:rFonts w:ascii="Times New Roman" w:hAnsi="Times New Roman" w:cs="Times New Roman"/>
                      <w:sz w:val="24"/>
                      <w:szCs w:val="24"/>
                    </w:rPr>
                  </w:pPr>
                  <w:r w:rsidRPr="00DE2A92">
                    <w:rPr>
                      <w:rFonts w:ascii="Times New Roman" w:eastAsia="Times New Roman" w:hAnsi="Times New Roman" w:cs="Times New Roman"/>
                      <w:sz w:val="24"/>
                      <w:szCs w:val="24"/>
                      <w:lang w:eastAsia="lv-LV"/>
                    </w:rPr>
                    <w:t>0</w:t>
                  </w:r>
                </w:p>
              </w:tc>
              <w:tc>
                <w:tcPr>
                  <w:tcW w:w="550" w:type="pct"/>
                </w:tcPr>
                <w:p w14:paraId="28BD23F2" w14:textId="77777777" w:rsidR="003B19C8" w:rsidRPr="00DE2A92" w:rsidRDefault="003B19C8">
                  <w:pPr>
                    <w:rPr>
                      <w:rFonts w:ascii="Times New Roman" w:hAnsi="Times New Roman" w:cs="Times New Roman"/>
                      <w:sz w:val="24"/>
                      <w:szCs w:val="24"/>
                    </w:rPr>
                  </w:pPr>
                  <w:r w:rsidRPr="00DE2A92">
                    <w:rPr>
                      <w:rFonts w:ascii="Times New Roman" w:eastAsia="Times New Roman" w:hAnsi="Times New Roman" w:cs="Times New Roman"/>
                      <w:sz w:val="24"/>
                      <w:szCs w:val="24"/>
                      <w:lang w:eastAsia="lv-LV"/>
                    </w:rPr>
                    <w:t>0</w:t>
                  </w:r>
                </w:p>
              </w:tc>
              <w:tc>
                <w:tcPr>
                  <w:tcW w:w="1623" w:type="pct"/>
                </w:tcPr>
                <w:p w14:paraId="7B18CA2F" w14:textId="77777777" w:rsidR="003B19C8" w:rsidRPr="00DE2A92" w:rsidRDefault="003B19C8">
                  <w:pPr>
                    <w:rPr>
                      <w:rFonts w:ascii="Times New Roman" w:hAnsi="Times New Roman" w:cs="Times New Roman"/>
                      <w:sz w:val="24"/>
                      <w:szCs w:val="24"/>
                    </w:rPr>
                  </w:pPr>
                  <w:r w:rsidRPr="00DE2A92">
                    <w:rPr>
                      <w:rFonts w:ascii="Times New Roman" w:eastAsia="Times New Roman" w:hAnsi="Times New Roman" w:cs="Times New Roman"/>
                      <w:sz w:val="24"/>
                      <w:szCs w:val="24"/>
                      <w:lang w:eastAsia="lv-LV"/>
                    </w:rPr>
                    <w:t>0</w:t>
                  </w:r>
                </w:p>
              </w:tc>
            </w:tr>
            <w:tr w:rsidR="0057037A" w:rsidRPr="0057037A" w14:paraId="49D2B77D" w14:textId="77777777" w:rsidTr="00D47FF5">
              <w:trPr>
                <w:tblCellSpacing w:w="15" w:type="dxa"/>
                <w:jc w:val="center"/>
              </w:trPr>
              <w:tc>
                <w:tcPr>
                  <w:tcW w:w="926" w:type="pct"/>
                  <w:hideMark/>
                </w:tcPr>
                <w:p w14:paraId="159CC2E7" w14:textId="77777777" w:rsidR="003B19C8" w:rsidRPr="0057037A" w:rsidRDefault="003B19C8" w:rsidP="00544C0B">
                  <w:pPr>
                    <w:rPr>
                      <w:rFonts w:ascii="Times New Roman" w:eastAsia="Times New Roman" w:hAnsi="Times New Roman" w:cs="Times New Roman"/>
                      <w:sz w:val="24"/>
                      <w:szCs w:val="24"/>
                      <w:lang w:eastAsia="lv-LV"/>
                    </w:rPr>
                  </w:pPr>
                  <w:r w:rsidRPr="0057037A">
                    <w:rPr>
                      <w:rFonts w:ascii="Times New Roman" w:eastAsia="Times New Roman" w:hAnsi="Times New Roman" w:cs="Times New Roman"/>
                      <w:sz w:val="24"/>
                      <w:szCs w:val="24"/>
                      <w:lang w:eastAsia="lv-LV"/>
                    </w:rPr>
                    <w:t>1.3. pašvaldību budžets</w:t>
                  </w:r>
                </w:p>
              </w:tc>
              <w:tc>
                <w:tcPr>
                  <w:tcW w:w="510" w:type="pct"/>
                </w:tcPr>
                <w:p w14:paraId="39EDDEA7" w14:textId="77777777" w:rsidR="003B19C8" w:rsidRPr="0057037A" w:rsidRDefault="003B19C8">
                  <w:pPr>
                    <w:rPr>
                      <w:rFonts w:ascii="Times New Roman" w:hAnsi="Times New Roman" w:cs="Times New Roman"/>
                      <w:sz w:val="24"/>
                      <w:szCs w:val="24"/>
                    </w:rPr>
                  </w:pPr>
                  <w:r w:rsidRPr="0057037A">
                    <w:rPr>
                      <w:rFonts w:ascii="Times New Roman" w:eastAsia="Times New Roman" w:hAnsi="Times New Roman" w:cs="Times New Roman"/>
                      <w:sz w:val="24"/>
                      <w:szCs w:val="24"/>
                      <w:lang w:eastAsia="lv-LV"/>
                    </w:rPr>
                    <w:t>0</w:t>
                  </w:r>
                </w:p>
              </w:tc>
              <w:tc>
                <w:tcPr>
                  <w:tcW w:w="730" w:type="pct"/>
                </w:tcPr>
                <w:p w14:paraId="75837DA0" w14:textId="77777777" w:rsidR="003B19C8" w:rsidRPr="0057037A" w:rsidRDefault="003B19C8">
                  <w:pPr>
                    <w:rPr>
                      <w:rFonts w:ascii="Times New Roman" w:hAnsi="Times New Roman" w:cs="Times New Roman"/>
                      <w:sz w:val="24"/>
                      <w:szCs w:val="24"/>
                    </w:rPr>
                  </w:pPr>
                  <w:r w:rsidRPr="0057037A">
                    <w:rPr>
                      <w:rFonts w:ascii="Times New Roman" w:eastAsia="Times New Roman" w:hAnsi="Times New Roman" w:cs="Times New Roman"/>
                      <w:sz w:val="24"/>
                      <w:szCs w:val="24"/>
                      <w:lang w:eastAsia="lv-LV"/>
                    </w:rPr>
                    <w:t>0</w:t>
                  </w:r>
                </w:p>
              </w:tc>
              <w:tc>
                <w:tcPr>
                  <w:tcW w:w="549" w:type="pct"/>
                </w:tcPr>
                <w:p w14:paraId="50775A43" w14:textId="77777777" w:rsidR="003B19C8" w:rsidRPr="00DE2A92" w:rsidRDefault="003B19C8">
                  <w:pPr>
                    <w:rPr>
                      <w:rFonts w:ascii="Times New Roman" w:hAnsi="Times New Roman" w:cs="Times New Roman"/>
                      <w:sz w:val="24"/>
                      <w:szCs w:val="24"/>
                    </w:rPr>
                  </w:pPr>
                  <w:r w:rsidRPr="00DE2A92">
                    <w:rPr>
                      <w:rFonts w:ascii="Times New Roman" w:eastAsia="Times New Roman" w:hAnsi="Times New Roman" w:cs="Times New Roman"/>
                      <w:sz w:val="24"/>
                      <w:szCs w:val="24"/>
                      <w:lang w:eastAsia="lv-LV"/>
                    </w:rPr>
                    <w:t>0</w:t>
                  </w:r>
                </w:p>
              </w:tc>
              <w:tc>
                <w:tcPr>
                  <w:tcW w:w="550" w:type="pct"/>
                </w:tcPr>
                <w:p w14:paraId="0DCE8EFD" w14:textId="77777777" w:rsidR="003B19C8" w:rsidRPr="00DE2A92" w:rsidRDefault="003B19C8">
                  <w:pPr>
                    <w:rPr>
                      <w:rFonts w:ascii="Times New Roman" w:hAnsi="Times New Roman" w:cs="Times New Roman"/>
                      <w:sz w:val="24"/>
                      <w:szCs w:val="24"/>
                    </w:rPr>
                  </w:pPr>
                  <w:r w:rsidRPr="00DE2A92">
                    <w:rPr>
                      <w:rFonts w:ascii="Times New Roman" w:eastAsia="Times New Roman" w:hAnsi="Times New Roman" w:cs="Times New Roman"/>
                      <w:sz w:val="24"/>
                      <w:szCs w:val="24"/>
                      <w:lang w:eastAsia="lv-LV"/>
                    </w:rPr>
                    <w:t>0</w:t>
                  </w:r>
                </w:p>
              </w:tc>
              <w:tc>
                <w:tcPr>
                  <w:tcW w:w="1623" w:type="pct"/>
                </w:tcPr>
                <w:p w14:paraId="485040CC" w14:textId="77777777" w:rsidR="003B19C8" w:rsidRPr="00DE2A92" w:rsidRDefault="003B19C8">
                  <w:pPr>
                    <w:rPr>
                      <w:rFonts w:ascii="Times New Roman" w:hAnsi="Times New Roman" w:cs="Times New Roman"/>
                      <w:sz w:val="24"/>
                      <w:szCs w:val="24"/>
                    </w:rPr>
                  </w:pPr>
                  <w:r w:rsidRPr="00DE2A92">
                    <w:rPr>
                      <w:rFonts w:ascii="Times New Roman" w:eastAsia="Times New Roman" w:hAnsi="Times New Roman" w:cs="Times New Roman"/>
                      <w:sz w:val="24"/>
                      <w:szCs w:val="24"/>
                      <w:lang w:eastAsia="lv-LV"/>
                    </w:rPr>
                    <w:t>0</w:t>
                  </w:r>
                </w:p>
              </w:tc>
            </w:tr>
            <w:tr w:rsidR="00D47FF5" w:rsidRPr="0057037A" w14:paraId="657CB563" w14:textId="77777777" w:rsidTr="00D47FF5">
              <w:trPr>
                <w:tblCellSpacing w:w="15" w:type="dxa"/>
                <w:jc w:val="center"/>
              </w:trPr>
              <w:tc>
                <w:tcPr>
                  <w:tcW w:w="926" w:type="pct"/>
                  <w:hideMark/>
                </w:tcPr>
                <w:p w14:paraId="33D60709" w14:textId="77777777" w:rsidR="00D47FF5" w:rsidRPr="0057037A" w:rsidRDefault="00D47FF5" w:rsidP="00544C0B">
                  <w:pPr>
                    <w:rPr>
                      <w:rFonts w:ascii="Times New Roman" w:eastAsia="Times New Roman" w:hAnsi="Times New Roman" w:cs="Times New Roman"/>
                      <w:sz w:val="24"/>
                      <w:szCs w:val="24"/>
                      <w:lang w:eastAsia="lv-LV"/>
                    </w:rPr>
                  </w:pPr>
                  <w:r w:rsidRPr="0057037A">
                    <w:rPr>
                      <w:rFonts w:ascii="Times New Roman" w:eastAsia="Times New Roman" w:hAnsi="Times New Roman" w:cs="Times New Roman"/>
                      <w:sz w:val="24"/>
                      <w:szCs w:val="24"/>
                      <w:lang w:eastAsia="lv-LV"/>
                    </w:rPr>
                    <w:t>2. Budžeta izdevumi:</w:t>
                  </w:r>
                </w:p>
              </w:tc>
              <w:tc>
                <w:tcPr>
                  <w:tcW w:w="510" w:type="pct"/>
                </w:tcPr>
                <w:p w14:paraId="34D8A8D4" w14:textId="77777777" w:rsidR="00D47FF5" w:rsidRPr="0057037A" w:rsidRDefault="00D47FF5">
                  <w:pPr>
                    <w:rPr>
                      <w:rFonts w:ascii="Times New Roman" w:hAnsi="Times New Roman" w:cs="Times New Roman"/>
                      <w:sz w:val="24"/>
                      <w:szCs w:val="24"/>
                    </w:rPr>
                  </w:pPr>
                  <w:r w:rsidRPr="0057037A">
                    <w:rPr>
                      <w:rFonts w:ascii="Times New Roman" w:eastAsia="Times New Roman" w:hAnsi="Times New Roman" w:cs="Times New Roman"/>
                      <w:sz w:val="24"/>
                      <w:szCs w:val="24"/>
                      <w:lang w:eastAsia="lv-LV"/>
                    </w:rPr>
                    <w:t>0</w:t>
                  </w:r>
                </w:p>
              </w:tc>
              <w:tc>
                <w:tcPr>
                  <w:tcW w:w="730" w:type="pct"/>
                </w:tcPr>
                <w:p w14:paraId="76D1AE92" w14:textId="77777777" w:rsidR="00D47FF5" w:rsidRPr="0057037A" w:rsidRDefault="00D47FF5">
                  <w:pPr>
                    <w:rPr>
                      <w:rFonts w:ascii="Times New Roman" w:hAnsi="Times New Roman" w:cs="Times New Roman"/>
                      <w:sz w:val="24"/>
                      <w:szCs w:val="24"/>
                    </w:rPr>
                  </w:pPr>
                  <w:r w:rsidRPr="0057037A">
                    <w:rPr>
                      <w:rFonts w:ascii="Times New Roman" w:eastAsia="Times New Roman" w:hAnsi="Times New Roman" w:cs="Times New Roman"/>
                      <w:sz w:val="24"/>
                      <w:szCs w:val="24"/>
                      <w:lang w:eastAsia="lv-LV"/>
                    </w:rPr>
                    <w:t>0</w:t>
                  </w:r>
                </w:p>
              </w:tc>
              <w:tc>
                <w:tcPr>
                  <w:tcW w:w="549" w:type="pct"/>
                </w:tcPr>
                <w:p w14:paraId="652303E8" w14:textId="71183324" w:rsidR="00D47FF5" w:rsidRPr="00DE2A92" w:rsidRDefault="00D47FF5" w:rsidP="00D47FF5">
                  <w:pPr>
                    <w:rPr>
                      <w:rFonts w:ascii="Times New Roman" w:hAnsi="Times New Roman" w:cs="Times New Roman"/>
                      <w:sz w:val="24"/>
                      <w:szCs w:val="24"/>
                    </w:rPr>
                  </w:pPr>
                  <w:r>
                    <w:rPr>
                      <w:rFonts w:ascii="Times New Roman" w:hAnsi="Times New Roman"/>
                      <w:b/>
                      <w:bCs/>
                      <w:color w:val="000000"/>
                      <w:sz w:val="24"/>
                      <w:szCs w:val="24"/>
                    </w:rPr>
                    <w:t>57 690</w:t>
                  </w:r>
                </w:p>
              </w:tc>
              <w:tc>
                <w:tcPr>
                  <w:tcW w:w="550" w:type="pct"/>
                </w:tcPr>
                <w:p w14:paraId="0B59D8A4" w14:textId="0453A330" w:rsidR="00D47FF5" w:rsidRPr="00DE2A92" w:rsidRDefault="00D47FF5">
                  <w:pPr>
                    <w:rPr>
                      <w:rFonts w:ascii="Times New Roman" w:hAnsi="Times New Roman" w:cs="Times New Roman"/>
                      <w:sz w:val="24"/>
                      <w:szCs w:val="24"/>
                    </w:rPr>
                  </w:pPr>
                  <w:r w:rsidRPr="00257ED2">
                    <w:rPr>
                      <w:rFonts w:ascii="Times New Roman" w:hAnsi="Times New Roman"/>
                      <w:b/>
                      <w:bCs/>
                      <w:color w:val="000000"/>
                      <w:sz w:val="24"/>
                      <w:szCs w:val="24"/>
                    </w:rPr>
                    <w:t>57 690</w:t>
                  </w:r>
                </w:p>
              </w:tc>
              <w:tc>
                <w:tcPr>
                  <w:tcW w:w="1623" w:type="pct"/>
                </w:tcPr>
                <w:p w14:paraId="10D8BAA3" w14:textId="294BFA46" w:rsidR="00D47FF5" w:rsidRPr="00DE2A92" w:rsidRDefault="00D47FF5" w:rsidP="00B8188F">
                  <w:pPr>
                    <w:rPr>
                      <w:rFonts w:ascii="Times New Roman" w:hAnsi="Times New Roman" w:cs="Times New Roman"/>
                      <w:sz w:val="24"/>
                      <w:szCs w:val="24"/>
                    </w:rPr>
                  </w:pPr>
                  <w:r w:rsidRPr="00257ED2">
                    <w:rPr>
                      <w:rFonts w:ascii="Times New Roman" w:hAnsi="Times New Roman"/>
                      <w:b/>
                      <w:bCs/>
                      <w:color w:val="000000"/>
                      <w:sz w:val="24"/>
                      <w:szCs w:val="24"/>
                    </w:rPr>
                    <w:t>57 690</w:t>
                  </w:r>
                </w:p>
              </w:tc>
            </w:tr>
            <w:tr w:rsidR="00D47FF5" w:rsidRPr="0057037A" w14:paraId="6EA49D86" w14:textId="77777777" w:rsidTr="00D47FF5">
              <w:trPr>
                <w:tblCellSpacing w:w="15" w:type="dxa"/>
                <w:jc w:val="center"/>
              </w:trPr>
              <w:tc>
                <w:tcPr>
                  <w:tcW w:w="926" w:type="pct"/>
                  <w:hideMark/>
                </w:tcPr>
                <w:p w14:paraId="7C477D50" w14:textId="77777777" w:rsidR="00D47FF5" w:rsidRPr="0057037A" w:rsidRDefault="00D47FF5" w:rsidP="00544C0B">
                  <w:pPr>
                    <w:rPr>
                      <w:rFonts w:ascii="Times New Roman" w:eastAsia="Times New Roman" w:hAnsi="Times New Roman" w:cs="Times New Roman"/>
                      <w:sz w:val="24"/>
                      <w:szCs w:val="24"/>
                      <w:lang w:eastAsia="lv-LV"/>
                    </w:rPr>
                  </w:pPr>
                  <w:r w:rsidRPr="0057037A">
                    <w:rPr>
                      <w:rFonts w:ascii="Times New Roman" w:eastAsia="Times New Roman" w:hAnsi="Times New Roman" w:cs="Times New Roman"/>
                      <w:sz w:val="24"/>
                      <w:szCs w:val="24"/>
                      <w:lang w:eastAsia="lv-LV"/>
                    </w:rPr>
                    <w:t>2.1. valsts pamatbudžets</w:t>
                  </w:r>
                </w:p>
              </w:tc>
              <w:tc>
                <w:tcPr>
                  <w:tcW w:w="510" w:type="pct"/>
                </w:tcPr>
                <w:p w14:paraId="5D9F6AE9" w14:textId="77777777" w:rsidR="00D47FF5" w:rsidRPr="0057037A" w:rsidRDefault="00D47FF5">
                  <w:pPr>
                    <w:rPr>
                      <w:rFonts w:ascii="Times New Roman" w:hAnsi="Times New Roman" w:cs="Times New Roman"/>
                      <w:sz w:val="24"/>
                      <w:szCs w:val="24"/>
                    </w:rPr>
                  </w:pPr>
                  <w:r w:rsidRPr="0057037A">
                    <w:rPr>
                      <w:rFonts w:ascii="Times New Roman" w:eastAsia="Times New Roman" w:hAnsi="Times New Roman" w:cs="Times New Roman"/>
                      <w:sz w:val="24"/>
                      <w:szCs w:val="24"/>
                      <w:lang w:eastAsia="lv-LV"/>
                    </w:rPr>
                    <w:t>0</w:t>
                  </w:r>
                </w:p>
              </w:tc>
              <w:tc>
                <w:tcPr>
                  <w:tcW w:w="730" w:type="pct"/>
                </w:tcPr>
                <w:p w14:paraId="47D5486E" w14:textId="77777777" w:rsidR="00D47FF5" w:rsidRPr="0057037A" w:rsidRDefault="00D47FF5">
                  <w:pPr>
                    <w:rPr>
                      <w:rFonts w:ascii="Times New Roman" w:hAnsi="Times New Roman" w:cs="Times New Roman"/>
                      <w:sz w:val="24"/>
                      <w:szCs w:val="24"/>
                    </w:rPr>
                  </w:pPr>
                  <w:r w:rsidRPr="0057037A">
                    <w:rPr>
                      <w:rFonts w:ascii="Times New Roman" w:eastAsia="Times New Roman" w:hAnsi="Times New Roman" w:cs="Times New Roman"/>
                      <w:sz w:val="24"/>
                      <w:szCs w:val="24"/>
                      <w:lang w:eastAsia="lv-LV"/>
                    </w:rPr>
                    <w:t>0</w:t>
                  </w:r>
                </w:p>
              </w:tc>
              <w:tc>
                <w:tcPr>
                  <w:tcW w:w="549" w:type="pct"/>
                </w:tcPr>
                <w:p w14:paraId="5C48915B" w14:textId="2F2A5C0D" w:rsidR="00D47FF5" w:rsidRPr="00DE2A92" w:rsidRDefault="00D47FF5">
                  <w:pPr>
                    <w:rPr>
                      <w:rFonts w:ascii="Times New Roman" w:hAnsi="Times New Roman" w:cs="Times New Roman"/>
                      <w:sz w:val="24"/>
                      <w:szCs w:val="24"/>
                    </w:rPr>
                  </w:pPr>
                  <w:r w:rsidRPr="00C64BD6">
                    <w:rPr>
                      <w:rFonts w:ascii="Times New Roman" w:hAnsi="Times New Roman"/>
                      <w:b/>
                      <w:bCs/>
                      <w:color w:val="000000"/>
                      <w:sz w:val="24"/>
                      <w:szCs w:val="24"/>
                    </w:rPr>
                    <w:t>57 690</w:t>
                  </w:r>
                </w:p>
              </w:tc>
              <w:tc>
                <w:tcPr>
                  <w:tcW w:w="550" w:type="pct"/>
                </w:tcPr>
                <w:p w14:paraId="66FD3163" w14:textId="11359DCD" w:rsidR="00D47FF5" w:rsidRPr="00DE2A92" w:rsidRDefault="00D47FF5">
                  <w:pPr>
                    <w:rPr>
                      <w:rFonts w:ascii="Times New Roman" w:hAnsi="Times New Roman" w:cs="Times New Roman"/>
                      <w:sz w:val="24"/>
                      <w:szCs w:val="24"/>
                    </w:rPr>
                  </w:pPr>
                  <w:r w:rsidRPr="00C64BD6">
                    <w:rPr>
                      <w:rFonts w:ascii="Times New Roman" w:hAnsi="Times New Roman"/>
                      <w:b/>
                      <w:bCs/>
                      <w:color w:val="000000"/>
                      <w:sz w:val="24"/>
                      <w:szCs w:val="24"/>
                    </w:rPr>
                    <w:t>57 690</w:t>
                  </w:r>
                </w:p>
              </w:tc>
              <w:tc>
                <w:tcPr>
                  <w:tcW w:w="1623" w:type="pct"/>
                </w:tcPr>
                <w:p w14:paraId="1A5CA14C" w14:textId="293BC489" w:rsidR="00D47FF5" w:rsidRPr="00DE2A92" w:rsidRDefault="00D47FF5">
                  <w:pPr>
                    <w:rPr>
                      <w:rFonts w:ascii="Times New Roman" w:hAnsi="Times New Roman" w:cs="Times New Roman"/>
                      <w:sz w:val="24"/>
                      <w:szCs w:val="24"/>
                    </w:rPr>
                  </w:pPr>
                  <w:r w:rsidRPr="00C64BD6">
                    <w:rPr>
                      <w:rFonts w:ascii="Times New Roman" w:hAnsi="Times New Roman"/>
                      <w:b/>
                      <w:bCs/>
                      <w:color w:val="000000"/>
                      <w:sz w:val="24"/>
                      <w:szCs w:val="24"/>
                    </w:rPr>
                    <w:t>57 690</w:t>
                  </w:r>
                </w:p>
              </w:tc>
            </w:tr>
            <w:tr w:rsidR="0057037A" w:rsidRPr="0057037A" w14:paraId="39DA3986" w14:textId="77777777" w:rsidTr="00D47FF5">
              <w:trPr>
                <w:tblCellSpacing w:w="15" w:type="dxa"/>
                <w:jc w:val="center"/>
              </w:trPr>
              <w:tc>
                <w:tcPr>
                  <w:tcW w:w="926" w:type="pct"/>
                  <w:hideMark/>
                </w:tcPr>
                <w:p w14:paraId="3C3C115F" w14:textId="77777777" w:rsidR="003B19C8" w:rsidRPr="0057037A" w:rsidRDefault="003B19C8" w:rsidP="00544C0B">
                  <w:pPr>
                    <w:rPr>
                      <w:rFonts w:ascii="Times New Roman" w:eastAsia="Times New Roman" w:hAnsi="Times New Roman" w:cs="Times New Roman"/>
                      <w:sz w:val="24"/>
                      <w:szCs w:val="24"/>
                      <w:lang w:eastAsia="lv-LV"/>
                    </w:rPr>
                  </w:pPr>
                  <w:r w:rsidRPr="0057037A">
                    <w:rPr>
                      <w:rFonts w:ascii="Times New Roman" w:eastAsia="Times New Roman" w:hAnsi="Times New Roman" w:cs="Times New Roman"/>
                      <w:sz w:val="24"/>
                      <w:szCs w:val="24"/>
                      <w:lang w:eastAsia="lv-LV"/>
                    </w:rPr>
                    <w:t>2.2. valsts speciālais budžets</w:t>
                  </w:r>
                </w:p>
              </w:tc>
              <w:tc>
                <w:tcPr>
                  <w:tcW w:w="510" w:type="pct"/>
                </w:tcPr>
                <w:p w14:paraId="67732E5E" w14:textId="77777777" w:rsidR="003B19C8" w:rsidRPr="0057037A" w:rsidRDefault="003B19C8">
                  <w:pPr>
                    <w:rPr>
                      <w:rFonts w:ascii="Times New Roman" w:hAnsi="Times New Roman" w:cs="Times New Roman"/>
                      <w:sz w:val="24"/>
                      <w:szCs w:val="24"/>
                    </w:rPr>
                  </w:pPr>
                  <w:r w:rsidRPr="0057037A">
                    <w:rPr>
                      <w:rFonts w:ascii="Times New Roman" w:eastAsia="Times New Roman" w:hAnsi="Times New Roman" w:cs="Times New Roman"/>
                      <w:sz w:val="24"/>
                      <w:szCs w:val="24"/>
                      <w:lang w:eastAsia="lv-LV"/>
                    </w:rPr>
                    <w:t>0</w:t>
                  </w:r>
                </w:p>
              </w:tc>
              <w:tc>
                <w:tcPr>
                  <w:tcW w:w="730" w:type="pct"/>
                </w:tcPr>
                <w:p w14:paraId="48C6C994" w14:textId="77777777" w:rsidR="003B19C8" w:rsidRPr="0057037A" w:rsidRDefault="003B19C8">
                  <w:pPr>
                    <w:rPr>
                      <w:rFonts w:ascii="Times New Roman" w:hAnsi="Times New Roman" w:cs="Times New Roman"/>
                      <w:sz w:val="24"/>
                      <w:szCs w:val="24"/>
                    </w:rPr>
                  </w:pPr>
                  <w:r w:rsidRPr="0057037A">
                    <w:rPr>
                      <w:rFonts w:ascii="Times New Roman" w:eastAsia="Times New Roman" w:hAnsi="Times New Roman" w:cs="Times New Roman"/>
                      <w:sz w:val="24"/>
                      <w:szCs w:val="24"/>
                      <w:lang w:eastAsia="lv-LV"/>
                    </w:rPr>
                    <w:t>0</w:t>
                  </w:r>
                </w:p>
              </w:tc>
              <w:tc>
                <w:tcPr>
                  <w:tcW w:w="549" w:type="pct"/>
                </w:tcPr>
                <w:p w14:paraId="0D300F28" w14:textId="77777777" w:rsidR="003B19C8" w:rsidRPr="00DE2A92" w:rsidRDefault="003B19C8">
                  <w:pPr>
                    <w:rPr>
                      <w:rFonts w:ascii="Times New Roman" w:hAnsi="Times New Roman" w:cs="Times New Roman"/>
                      <w:sz w:val="24"/>
                      <w:szCs w:val="24"/>
                    </w:rPr>
                  </w:pPr>
                  <w:r w:rsidRPr="00DE2A92">
                    <w:rPr>
                      <w:rFonts w:ascii="Times New Roman" w:eastAsia="Times New Roman" w:hAnsi="Times New Roman" w:cs="Times New Roman"/>
                      <w:sz w:val="24"/>
                      <w:szCs w:val="24"/>
                      <w:lang w:eastAsia="lv-LV"/>
                    </w:rPr>
                    <w:t>0</w:t>
                  </w:r>
                </w:p>
              </w:tc>
              <w:tc>
                <w:tcPr>
                  <w:tcW w:w="550" w:type="pct"/>
                </w:tcPr>
                <w:p w14:paraId="07C22396" w14:textId="77777777" w:rsidR="003B19C8" w:rsidRPr="00DE2A92" w:rsidRDefault="003B19C8">
                  <w:pPr>
                    <w:rPr>
                      <w:rFonts w:ascii="Times New Roman" w:hAnsi="Times New Roman" w:cs="Times New Roman"/>
                      <w:sz w:val="24"/>
                      <w:szCs w:val="24"/>
                    </w:rPr>
                  </w:pPr>
                  <w:r w:rsidRPr="00DE2A92">
                    <w:rPr>
                      <w:rFonts w:ascii="Times New Roman" w:eastAsia="Times New Roman" w:hAnsi="Times New Roman" w:cs="Times New Roman"/>
                      <w:sz w:val="24"/>
                      <w:szCs w:val="24"/>
                      <w:lang w:eastAsia="lv-LV"/>
                    </w:rPr>
                    <w:t>0</w:t>
                  </w:r>
                </w:p>
              </w:tc>
              <w:tc>
                <w:tcPr>
                  <w:tcW w:w="1623" w:type="pct"/>
                </w:tcPr>
                <w:p w14:paraId="3DDBF1DB" w14:textId="77777777" w:rsidR="003B19C8" w:rsidRPr="00DE2A92" w:rsidRDefault="003B19C8">
                  <w:pPr>
                    <w:rPr>
                      <w:rFonts w:ascii="Times New Roman" w:hAnsi="Times New Roman" w:cs="Times New Roman"/>
                      <w:sz w:val="24"/>
                      <w:szCs w:val="24"/>
                    </w:rPr>
                  </w:pPr>
                  <w:r w:rsidRPr="00DE2A92">
                    <w:rPr>
                      <w:rFonts w:ascii="Times New Roman" w:eastAsia="Times New Roman" w:hAnsi="Times New Roman" w:cs="Times New Roman"/>
                      <w:sz w:val="24"/>
                      <w:szCs w:val="24"/>
                      <w:lang w:eastAsia="lv-LV"/>
                    </w:rPr>
                    <w:t>0</w:t>
                  </w:r>
                </w:p>
              </w:tc>
            </w:tr>
            <w:tr w:rsidR="0057037A" w:rsidRPr="0057037A" w14:paraId="5F29699E" w14:textId="77777777" w:rsidTr="00D47FF5">
              <w:trPr>
                <w:tblCellSpacing w:w="15" w:type="dxa"/>
                <w:jc w:val="center"/>
              </w:trPr>
              <w:tc>
                <w:tcPr>
                  <w:tcW w:w="926" w:type="pct"/>
                  <w:hideMark/>
                </w:tcPr>
                <w:p w14:paraId="03DD90CA" w14:textId="77777777" w:rsidR="003B19C8" w:rsidRPr="0057037A" w:rsidRDefault="003B19C8" w:rsidP="00544C0B">
                  <w:pPr>
                    <w:rPr>
                      <w:rFonts w:ascii="Times New Roman" w:eastAsia="Times New Roman" w:hAnsi="Times New Roman" w:cs="Times New Roman"/>
                      <w:sz w:val="24"/>
                      <w:szCs w:val="24"/>
                      <w:lang w:eastAsia="lv-LV"/>
                    </w:rPr>
                  </w:pPr>
                  <w:r w:rsidRPr="0057037A">
                    <w:rPr>
                      <w:rFonts w:ascii="Times New Roman" w:eastAsia="Times New Roman" w:hAnsi="Times New Roman" w:cs="Times New Roman"/>
                      <w:sz w:val="24"/>
                      <w:szCs w:val="24"/>
                      <w:lang w:eastAsia="lv-LV"/>
                    </w:rPr>
                    <w:t>2.3. pašvaldību budžets</w:t>
                  </w:r>
                </w:p>
              </w:tc>
              <w:tc>
                <w:tcPr>
                  <w:tcW w:w="510" w:type="pct"/>
                </w:tcPr>
                <w:p w14:paraId="66085751" w14:textId="77777777" w:rsidR="003B19C8" w:rsidRPr="0057037A" w:rsidRDefault="003B19C8">
                  <w:pPr>
                    <w:rPr>
                      <w:rFonts w:ascii="Times New Roman" w:hAnsi="Times New Roman" w:cs="Times New Roman"/>
                      <w:sz w:val="24"/>
                      <w:szCs w:val="24"/>
                    </w:rPr>
                  </w:pPr>
                  <w:r w:rsidRPr="0057037A">
                    <w:rPr>
                      <w:rFonts w:ascii="Times New Roman" w:eastAsia="Times New Roman" w:hAnsi="Times New Roman" w:cs="Times New Roman"/>
                      <w:sz w:val="24"/>
                      <w:szCs w:val="24"/>
                      <w:lang w:eastAsia="lv-LV"/>
                    </w:rPr>
                    <w:t>0</w:t>
                  </w:r>
                </w:p>
              </w:tc>
              <w:tc>
                <w:tcPr>
                  <w:tcW w:w="730" w:type="pct"/>
                </w:tcPr>
                <w:p w14:paraId="690AB8A2" w14:textId="77777777" w:rsidR="003B19C8" w:rsidRPr="0057037A" w:rsidRDefault="003B19C8">
                  <w:pPr>
                    <w:rPr>
                      <w:rFonts w:ascii="Times New Roman" w:hAnsi="Times New Roman" w:cs="Times New Roman"/>
                      <w:sz w:val="24"/>
                      <w:szCs w:val="24"/>
                    </w:rPr>
                  </w:pPr>
                  <w:r w:rsidRPr="0057037A">
                    <w:rPr>
                      <w:rFonts w:ascii="Times New Roman" w:eastAsia="Times New Roman" w:hAnsi="Times New Roman" w:cs="Times New Roman"/>
                      <w:sz w:val="24"/>
                      <w:szCs w:val="24"/>
                      <w:lang w:eastAsia="lv-LV"/>
                    </w:rPr>
                    <w:t>0</w:t>
                  </w:r>
                </w:p>
              </w:tc>
              <w:tc>
                <w:tcPr>
                  <w:tcW w:w="549" w:type="pct"/>
                </w:tcPr>
                <w:p w14:paraId="5B5A0281" w14:textId="77777777" w:rsidR="003B19C8" w:rsidRPr="00DE2A92" w:rsidRDefault="003B19C8">
                  <w:pPr>
                    <w:rPr>
                      <w:rFonts w:ascii="Times New Roman" w:hAnsi="Times New Roman" w:cs="Times New Roman"/>
                      <w:sz w:val="24"/>
                      <w:szCs w:val="24"/>
                    </w:rPr>
                  </w:pPr>
                  <w:r w:rsidRPr="00DE2A92">
                    <w:rPr>
                      <w:rFonts w:ascii="Times New Roman" w:eastAsia="Times New Roman" w:hAnsi="Times New Roman" w:cs="Times New Roman"/>
                      <w:sz w:val="24"/>
                      <w:szCs w:val="24"/>
                      <w:lang w:eastAsia="lv-LV"/>
                    </w:rPr>
                    <w:t>0</w:t>
                  </w:r>
                </w:p>
              </w:tc>
              <w:tc>
                <w:tcPr>
                  <w:tcW w:w="550" w:type="pct"/>
                </w:tcPr>
                <w:p w14:paraId="271EFF08" w14:textId="77777777" w:rsidR="003B19C8" w:rsidRPr="00DE2A92" w:rsidRDefault="003B19C8">
                  <w:pPr>
                    <w:rPr>
                      <w:rFonts w:ascii="Times New Roman" w:hAnsi="Times New Roman" w:cs="Times New Roman"/>
                      <w:sz w:val="24"/>
                      <w:szCs w:val="24"/>
                    </w:rPr>
                  </w:pPr>
                  <w:r w:rsidRPr="00DE2A92">
                    <w:rPr>
                      <w:rFonts w:ascii="Times New Roman" w:eastAsia="Times New Roman" w:hAnsi="Times New Roman" w:cs="Times New Roman"/>
                      <w:sz w:val="24"/>
                      <w:szCs w:val="24"/>
                      <w:lang w:eastAsia="lv-LV"/>
                    </w:rPr>
                    <w:t>0</w:t>
                  </w:r>
                </w:p>
              </w:tc>
              <w:tc>
                <w:tcPr>
                  <w:tcW w:w="1623" w:type="pct"/>
                </w:tcPr>
                <w:p w14:paraId="6B2AAC85" w14:textId="77777777" w:rsidR="003B19C8" w:rsidRPr="00DE2A92" w:rsidRDefault="003B19C8">
                  <w:pPr>
                    <w:rPr>
                      <w:rFonts w:ascii="Times New Roman" w:hAnsi="Times New Roman" w:cs="Times New Roman"/>
                      <w:sz w:val="24"/>
                      <w:szCs w:val="24"/>
                    </w:rPr>
                  </w:pPr>
                  <w:r w:rsidRPr="00DE2A92">
                    <w:rPr>
                      <w:rFonts w:ascii="Times New Roman" w:eastAsia="Times New Roman" w:hAnsi="Times New Roman" w:cs="Times New Roman"/>
                      <w:sz w:val="24"/>
                      <w:szCs w:val="24"/>
                      <w:lang w:eastAsia="lv-LV"/>
                    </w:rPr>
                    <w:t>0</w:t>
                  </w:r>
                </w:p>
              </w:tc>
            </w:tr>
            <w:tr w:rsidR="0057037A" w:rsidRPr="00176DE8" w14:paraId="760D9A64" w14:textId="77777777" w:rsidTr="00D47FF5">
              <w:trPr>
                <w:tblCellSpacing w:w="15" w:type="dxa"/>
                <w:jc w:val="center"/>
              </w:trPr>
              <w:tc>
                <w:tcPr>
                  <w:tcW w:w="926" w:type="pct"/>
                  <w:hideMark/>
                </w:tcPr>
                <w:p w14:paraId="52C5C39D" w14:textId="77777777" w:rsidR="00FE4BE0" w:rsidRPr="00176DE8" w:rsidRDefault="00FE4BE0" w:rsidP="00544C0B">
                  <w:pPr>
                    <w:rPr>
                      <w:rFonts w:ascii="Times New Roman" w:eastAsia="Times New Roman" w:hAnsi="Times New Roman" w:cs="Times New Roman"/>
                      <w:sz w:val="24"/>
                      <w:szCs w:val="24"/>
                      <w:lang w:eastAsia="lv-LV"/>
                    </w:rPr>
                  </w:pPr>
                  <w:r w:rsidRPr="00176DE8">
                    <w:rPr>
                      <w:rFonts w:ascii="Times New Roman" w:eastAsia="Times New Roman" w:hAnsi="Times New Roman" w:cs="Times New Roman"/>
                      <w:sz w:val="24"/>
                      <w:szCs w:val="24"/>
                      <w:lang w:eastAsia="lv-LV"/>
                    </w:rPr>
                    <w:t xml:space="preserve">3. Finansiālā </w:t>
                  </w:r>
                  <w:r w:rsidRPr="00176DE8">
                    <w:rPr>
                      <w:rFonts w:ascii="Times New Roman" w:eastAsia="Times New Roman" w:hAnsi="Times New Roman" w:cs="Times New Roman"/>
                      <w:sz w:val="24"/>
                      <w:szCs w:val="24"/>
                      <w:lang w:eastAsia="lv-LV"/>
                    </w:rPr>
                    <w:lastRenderedPageBreak/>
                    <w:t>ietekme:</w:t>
                  </w:r>
                </w:p>
              </w:tc>
              <w:tc>
                <w:tcPr>
                  <w:tcW w:w="510" w:type="pct"/>
                </w:tcPr>
                <w:p w14:paraId="07EE497C" w14:textId="77777777" w:rsidR="00FE4BE0" w:rsidRPr="00176DE8" w:rsidRDefault="00FE4BE0">
                  <w:pPr>
                    <w:rPr>
                      <w:rFonts w:ascii="Times New Roman" w:hAnsi="Times New Roman" w:cs="Times New Roman"/>
                      <w:sz w:val="24"/>
                      <w:szCs w:val="24"/>
                    </w:rPr>
                  </w:pPr>
                  <w:r w:rsidRPr="00176DE8">
                    <w:rPr>
                      <w:rFonts w:ascii="Times New Roman" w:eastAsia="Times New Roman" w:hAnsi="Times New Roman" w:cs="Times New Roman"/>
                      <w:sz w:val="24"/>
                      <w:szCs w:val="24"/>
                      <w:lang w:eastAsia="lv-LV"/>
                    </w:rPr>
                    <w:lastRenderedPageBreak/>
                    <w:t>0</w:t>
                  </w:r>
                </w:p>
              </w:tc>
              <w:tc>
                <w:tcPr>
                  <w:tcW w:w="730" w:type="pct"/>
                </w:tcPr>
                <w:p w14:paraId="5B85DFA7" w14:textId="77777777" w:rsidR="00FE4BE0" w:rsidRPr="00176DE8" w:rsidRDefault="00FE4BE0">
                  <w:pPr>
                    <w:rPr>
                      <w:rFonts w:ascii="Times New Roman" w:hAnsi="Times New Roman" w:cs="Times New Roman"/>
                      <w:sz w:val="24"/>
                      <w:szCs w:val="24"/>
                    </w:rPr>
                  </w:pPr>
                  <w:r w:rsidRPr="00176DE8">
                    <w:rPr>
                      <w:rFonts w:ascii="Times New Roman" w:eastAsia="Times New Roman" w:hAnsi="Times New Roman" w:cs="Times New Roman"/>
                      <w:sz w:val="24"/>
                      <w:szCs w:val="24"/>
                      <w:lang w:eastAsia="lv-LV"/>
                    </w:rPr>
                    <w:t>0</w:t>
                  </w:r>
                </w:p>
              </w:tc>
              <w:tc>
                <w:tcPr>
                  <w:tcW w:w="549" w:type="pct"/>
                </w:tcPr>
                <w:p w14:paraId="39E2000E" w14:textId="51110E67" w:rsidR="00FE4BE0" w:rsidRPr="00DE2A92" w:rsidRDefault="00FE4BE0" w:rsidP="00696C00">
                  <w:pPr>
                    <w:jc w:val="center"/>
                    <w:rPr>
                      <w:rFonts w:ascii="Times New Roman" w:eastAsia="Times New Roman" w:hAnsi="Times New Roman" w:cs="Times New Roman"/>
                      <w:b/>
                      <w:sz w:val="24"/>
                      <w:szCs w:val="24"/>
                      <w:lang w:eastAsia="lv-LV"/>
                    </w:rPr>
                  </w:pPr>
                  <w:r w:rsidRPr="00D910F5">
                    <w:rPr>
                      <w:rFonts w:ascii="Times New Roman" w:eastAsia="Times New Roman" w:hAnsi="Times New Roman" w:cs="Times New Roman"/>
                      <w:b/>
                      <w:sz w:val="24"/>
                      <w:szCs w:val="24"/>
                      <w:lang w:eastAsia="lv-LV"/>
                    </w:rPr>
                    <w:t>+</w:t>
                  </w:r>
                  <w:r w:rsidR="004C6EC4">
                    <w:rPr>
                      <w:rFonts w:ascii="Times New Roman" w:eastAsia="Times New Roman" w:hAnsi="Times New Roman" w:cs="Times New Roman"/>
                      <w:b/>
                      <w:sz w:val="24"/>
                      <w:szCs w:val="24"/>
                      <w:lang w:eastAsia="lv-LV"/>
                    </w:rPr>
                    <w:t>3</w:t>
                  </w:r>
                  <w:r w:rsidR="00696C00">
                    <w:rPr>
                      <w:rFonts w:ascii="Times New Roman" w:eastAsia="Times New Roman" w:hAnsi="Times New Roman" w:cs="Times New Roman"/>
                      <w:b/>
                      <w:sz w:val="24"/>
                      <w:szCs w:val="24"/>
                      <w:lang w:eastAsia="lv-LV"/>
                    </w:rPr>
                    <w:t>10</w:t>
                  </w:r>
                </w:p>
              </w:tc>
              <w:tc>
                <w:tcPr>
                  <w:tcW w:w="550" w:type="pct"/>
                </w:tcPr>
                <w:p w14:paraId="2E28F2A0" w14:textId="637DF36A" w:rsidR="00FE4BE0" w:rsidRPr="00DE2A92" w:rsidRDefault="00B8188F" w:rsidP="00696C00">
                  <w:pPr>
                    <w:rPr>
                      <w:rFonts w:ascii="Times New Roman" w:hAnsi="Times New Roman" w:cs="Times New Roman"/>
                      <w:sz w:val="24"/>
                      <w:szCs w:val="24"/>
                    </w:rPr>
                  </w:pPr>
                  <w:r w:rsidRPr="00D910F5">
                    <w:rPr>
                      <w:rFonts w:ascii="Times New Roman" w:eastAsia="Times New Roman" w:hAnsi="Times New Roman" w:cs="Times New Roman"/>
                      <w:b/>
                      <w:sz w:val="24"/>
                      <w:szCs w:val="24"/>
                      <w:lang w:eastAsia="lv-LV"/>
                    </w:rPr>
                    <w:t>+</w:t>
                  </w:r>
                  <w:r w:rsidR="004C6EC4">
                    <w:rPr>
                      <w:rFonts w:ascii="Times New Roman" w:eastAsia="Times New Roman" w:hAnsi="Times New Roman" w:cs="Times New Roman"/>
                      <w:b/>
                      <w:sz w:val="24"/>
                      <w:szCs w:val="24"/>
                      <w:lang w:eastAsia="lv-LV"/>
                    </w:rPr>
                    <w:t>2</w:t>
                  </w:r>
                  <w:r>
                    <w:rPr>
                      <w:rFonts w:ascii="Times New Roman" w:eastAsia="Times New Roman" w:hAnsi="Times New Roman" w:cs="Times New Roman"/>
                      <w:b/>
                      <w:sz w:val="24"/>
                      <w:szCs w:val="24"/>
                      <w:lang w:eastAsia="lv-LV"/>
                    </w:rPr>
                    <w:t> </w:t>
                  </w:r>
                  <w:r w:rsidR="004C6EC4">
                    <w:rPr>
                      <w:rFonts w:ascii="Times New Roman" w:eastAsia="Times New Roman" w:hAnsi="Times New Roman" w:cs="Times New Roman"/>
                      <w:b/>
                      <w:sz w:val="24"/>
                      <w:szCs w:val="24"/>
                      <w:lang w:eastAsia="lv-LV"/>
                    </w:rPr>
                    <w:t>3</w:t>
                  </w:r>
                  <w:r w:rsidR="00696C00">
                    <w:rPr>
                      <w:rFonts w:ascii="Times New Roman" w:eastAsia="Times New Roman" w:hAnsi="Times New Roman" w:cs="Times New Roman"/>
                      <w:b/>
                      <w:sz w:val="24"/>
                      <w:szCs w:val="24"/>
                      <w:lang w:eastAsia="lv-LV"/>
                    </w:rPr>
                    <w:t>10</w:t>
                  </w:r>
                </w:p>
              </w:tc>
              <w:tc>
                <w:tcPr>
                  <w:tcW w:w="1623" w:type="pct"/>
                </w:tcPr>
                <w:p w14:paraId="73F0C049" w14:textId="6ACB2E62" w:rsidR="00FE4BE0" w:rsidRPr="00DE2A92" w:rsidRDefault="004C6EC4" w:rsidP="00696C00">
                  <w:pPr>
                    <w:rPr>
                      <w:rFonts w:ascii="Times New Roman" w:hAnsi="Times New Roman" w:cs="Times New Roman"/>
                      <w:sz w:val="24"/>
                      <w:szCs w:val="24"/>
                    </w:rPr>
                  </w:pPr>
                  <w:r w:rsidRPr="00D910F5">
                    <w:rPr>
                      <w:rFonts w:ascii="Times New Roman" w:eastAsia="Times New Roman" w:hAnsi="Times New Roman" w:cs="Times New Roman"/>
                      <w:b/>
                      <w:sz w:val="24"/>
                      <w:szCs w:val="24"/>
                      <w:lang w:eastAsia="lv-LV"/>
                    </w:rPr>
                    <w:t>+</w:t>
                  </w:r>
                  <w:r>
                    <w:rPr>
                      <w:rFonts w:ascii="Times New Roman" w:eastAsia="Times New Roman" w:hAnsi="Times New Roman" w:cs="Times New Roman"/>
                      <w:b/>
                      <w:sz w:val="24"/>
                      <w:szCs w:val="24"/>
                      <w:lang w:eastAsia="lv-LV"/>
                    </w:rPr>
                    <w:t>2 3</w:t>
                  </w:r>
                  <w:r w:rsidR="00696C00">
                    <w:rPr>
                      <w:rFonts w:ascii="Times New Roman" w:eastAsia="Times New Roman" w:hAnsi="Times New Roman" w:cs="Times New Roman"/>
                      <w:b/>
                      <w:sz w:val="24"/>
                      <w:szCs w:val="24"/>
                      <w:lang w:eastAsia="lv-LV"/>
                    </w:rPr>
                    <w:t>10</w:t>
                  </w:r>
                </w:p>
              </w:tc>
            </w:tr>
            <w:tr w:rsidR="004C6EC4" w:rsidRPr="00176DE8" w14:paraId="17D8A9CF" w14:textId="77777777" w:rsidTr="00D47FF5">
              <w:trPr>
                <w:tblCellSpacing w:w="15" w:type="dxa"/>
                <w:jc w:val="center"/>
              </w:trPr>
              <w:tc>
                <w:tcPr>
                  <w:tcW w:w="926" w:type="pct"/>
                  <w:hideMark/>
                </w:tcPr>
                <w:p w14:paraId="02E8E17F" w14:textId="77777777" w:rsidR="004C6EC4" w:rsidRPr="00176DE8" w:rsidRDefault="004C6EC4" w:rsidP="00544C0B">
                  <w:pPr>
                    <w:rPr>
                      <w:rFonts w:ascii="Times New Roman" w:eastAsia="Times New Roman" w:hAnsi="Times New Roman" w:cs="Times New Roman"/>
                      <w:sz w:val="24"/>
                      <w:szCs w:val="24"/>
                      <w:lang w:eastAsia="lv-LV"/>
                    </w:rPr>
                  </w:pPr>
                  <w:r w:rsidRPr="00176DE8">
                    <w:rPr>
                      <w:rFonts w:ascii="Times New Roman" w:eastAsia="Times New Roman" w:hAnsi="Times New Roman" w:cs="Times New Roman"/>
                      <w:sz w:val="24"/>
                      <w:szCs w:val="24"/>
                      <w:lang w:eastAsia="lv-LV"/>
                    </w:rPr>
                    <w:lastRenderedPageBreak/>
                    <w:t>3.1. valsts pamatbudžets</w:t>
                  </w:r>
                </w:p>
              </w:tc>
              <w:tc>
                <w:tcPr>
                  <w:tcW w:w="510" w:type="pct"/>
                </w:tcPr>
                <w:p w14:paraId="3B1F7FA8" w14:textId="77777777" w:rsidR="004C6EC4" w:rsidRPr="00176DE8" w:rsidRDefault="004C6EC4">
                  <w:pPr>
                    <w:rPr>
                      <w:rFonts w:ascii="Times New Roman" w:hAnsi="Times New Roman" w:cs="Times New Roman"/>
                      <w:sz w:val="24"/>
                      <w:szCs w:val="24"/>
                    </w:rPr>
                  </w:pPr>
                  <w:r w:rsidRPr="00176DE8">
                    <w:rPr>
                      <w:rFonts w:ascii="Times New Roman" w:eastAsia="Times New Roman" w:hAnsi="Times New Roman" w:cs="Times New Roman"/>
                      <w:sz w:val="24"/>
                      <w:szCs w:val="24"/>
                      <w:lang w:eastAsia="lv-LV"/>
                    </w:rPr>
                    <w:t>0</w:t>
                  </w:r>
                </w:p>
              </w:tc>
              <w:tc>
                <w:tcPr>
                  <w:tcW w:w="730" w:type="pct"/>
                </w:tcPr>
                <w:p w14:paraId="4271248E" w14:textId="77777777" w:rsidR="004C6EC4" w:rsidRPr="00176DE8" w:rsidRDefault="004C6EC4">
                  <w:pPr>
                    <w:rPr>
                      <w:rFonts w:ascii="Times New Roman" w:hAnsi="Times New Roman" w:cs="Times New Roman"/>
                      <w:sz w:val="24"/>
                      <w:szCs w:val="24"/>
                    </w:rPr>
                  </w:pPr>
                  <w:r w:rsidRPr="00176DE8">
                    <w:rPr>
                      <w:rFonts w:ascii="Times New Roman" w:eastAsia="Times New Roman" w:hAnsi="Times New Roman" w:cs="Times New Roman"/>
                      <w:sz w:val="24"/>
                      <w:szCs w:val="24"/>
                      <w:lang w:eastAsia="lv-LV"/>
                    </w:rPr>
                    <w:t>0</w:t>
                  </w:r>
                </w:p>
              </w:tc>
              <w:tc>
                <w:tcPr>
                  <w:tcW w:w="549" w:type="pct"/>
                </w:tcPr>
                <w:p w14:paraId="099421DF" w14:textId="13A30E22" w:rsidR="004C6EC4" w:rsidRPr="00DE2A92" w:rsidRDefault="004C6EC4" w:rsidP="00696C00">
                  <w:pPr>
                    <w:jc w:val="center"/>
                    <w:rPr>
                      <w:rFonts w:ascii="Times New Roman" w:eastAsia="Times New Roman" w:hAnsi="Times New Roman" w:cs="Times New Roman"/>
                      <w:b/>
                      <w:sz w:val="24"/>
                      <w:szCs w:val="24"/>
                      <w:lang w:eastAsia="lv-LV"/>
                    </w:rPr>
                  </w:pPr>
                  <w:r w:rsidRPr="00D910F5">
                    <w:rPr>
                      <w:rFonts w:ascii="Times New Roman" w:eastAsia="Times New Roman" w:hAnsi="Times New Roman" w:cs="Times New Roman"/>
                      <w:b/>
                      <w:sz w:val="24"/>
                      <w:szCs w:val="24"/>
                      <w:lang w:eastAsia="lv-LV"/>
                    </w:rPr>
                    <w:t>+</w:t>
                  </w:r>
                  <w:r>
                    <w:rPr>
                      <w:rFonts w:ascii="Times New Roman" w:eastAsia="Times New Roman" w:hAnsi="Times New Roman" w:cs="Times New Roman"/>
                      <w:b/>
                      <w:sz w:val="24"/>
                      <w:szCs w:val="24"/>
                      <w:lang w:eastAsia="lv-LV"/>
                    </w:rPr>
                    <w:t>3</w:t>
                  </w:r>
                  <w:r w:rsidR="00696C00">
                    <w:rPr>
                      <w:rFonts w:ascii="Times New Roman" w:eastAsia="Times New Roman" w:hAnsi="Times New Roman" w:cs="Times New Roman"/>
                      <w:b/>
                      <w:sz w:val="24"/>
                      <w:szCs w:val="24"/>
                      <w:lang w:eastAsia="lv-LV"/>
                    </w:rPr>
                    <w:t>10</w:t>
                  </w:r>
                </w:p>
              </w:tc>
              <w:tc>
                <w:tcPr>
                  <w:tcW w:w="550" w:type="pct"/>
                </w:tcPr>
                <w:p w14:paraId="12E42A07" w14:textId="7F2479DD" w:rsidR="004C6EC4" w:rsidRPr="00DE2A92" w:rsidRDefault="004C6EC4" w:rsidP="00696C00">
                  <w:pPr>
                    <w:rPr>
                      <w:rFonts w:ascii="Times New Roman" w:hAnsi="Times New Roman" w:cs="Times New Roman"/>
                      <w:sz w:val="24"/>
                      <w:szCs w:val="24"/>
                    </w:rPr>
                  </w:pPr>
                  <w:r w:rsidRPr="00415740">
                    <w:rPr>
                      <w:rFonts w:ascii="Times New Roman" w:eastAsia="Times New Roman" w:hAnsi="Times New Roman" w:cs="Times New Roman"/>
                      <w:b/>
                      <w:sz w:val="24"/>
                      <w:szCs w:val="24"/>
                      <w:lang w:eastAsia="lv-LV"/>
                    </w:rPr>
                    <w:t>+2 3</w:t>
                  </w:r>
                  <w:r w:rsidR="00696C00">
                    <w:rPr>
                      <w:rFonts w:ascii="Times New Roman" w:eastAsia="Times New Roman" w:hAnsi="Times New Roman" w:cs="Times New Roman"/>
                      <w:b/>
                      <w:sz w:val="24"/>
                      <w:szCs w:val="24"/>
                      <w:lang w:eastAsia="lv-LV"/>
                    </w:rPr>
                    <w:t>10</w:t>
                  </w:r>
                </w:p>
              </w:tc>
              <w:tc>
                <w:tcPr>
                  <w:tcW w:w="1623" w:type="pct"/>
                </w:tcPr>
                <w:p w14:paraId="562D02FE" w14:textId="799AB55E" w:rsidR="004C6EC4" w:rsidRPr="00DE2A92" w:rsidRDefault="004C6EC4" w:rsidP="00696C00">
                  <w:pPr>
                    <w:rPr>
                      <w:rFonts w:ascii="Times New Roman" w:hAnsi="Times New Roman" w:cs="Times New Roman"/>
                      <w:sz w:val="24"/>
                      <w:szCs w:val="24"/>
                    </w:rPr>
                  </w:pPr>
                  <w:r w:rsidRPr="00415740">
                    <w:rPr>
                      <w:rFonts w:ascii="Times New Roman" w:eastAsia="Times New Roman" w:hAnsi="Times New Roman" w:cs="Times New Roman"/>
                      <w:b/>
                      <w:sz w:val="24"/>
                      <w:szCs w:val="24"/>
                      <w:lang w:eastAsia="lv-LV"/>
                    </w:rPr>
                    <w:t>+2 3</w:t>
                  </w:r>
                  <w:r w:rsidR="00696C00">
                    <w:rPr>
                      <w:rFonts w:ascii="Times New Roman" w:eastAsia="Times New Roman" w:hAnsi="Times New Roman" w:cs="Times New Roman"/>
                      <w:b/>
                      <w:sz w:val="24"/>
                      <w:szCs w:val="24"/>
                      <w:lang w:eastAsia="lv-LV"/>
                    </w:rPr>
                    <w:t>10</w:t>
                  </w:r>
                </w:p>
              </w:tc>
            </w:tr>
            <w:tr w:rsidR="0057037A" w:rsidRPr="0057037A" w14:paraId="2C22C450" w14:textId="77777777" w:rsidTr="00D47FF5">
              <w:trPr>
                <w:tblCellSpacing w:w="15" w:type="dxa"/>
                <w:jc w:val="center"/>
              </w:trPr>
              <w:tc>
                <w:tcPr>
                  <w:tcW w:w="926" w:type="pct"/>
                  <w:hideMark/>
                </w:tcPr>
                <w:p w14:paraId="6DF73460" w14:textId="77777777" w:rsidR="003B19C8" w:rsidRPr="00176DE8" w:rsidRDefault="003B19C8" w:rsidP="00544C0B">
                  <w:pPr>
                    <w:rPr>
                      <w:rFonts w:ascii="Times New Roman" w:eastAsia="Times New Roman" w:hAnsi="Times New Roman" w:cs="Times New Roman"/>
                      <w:sz w:val="24"/>
                      <w:szCs w:val="24"/>
                      <w:lang w:eastAsia="lv-LV"/>
                    </w:rPr>
                  </w:pPr>
                  <w:r w:rsidRPr="00176DE8">
                    <w:rPr>
                      <w:rFonts w:ascii="Times New Roman" w:eastAsia="Times New Roman" w:hAnsi="Times New Roman" w:cs="Times New Roman"/>
                      <w:sz w:val="24"/>
                      <w:szCs w:val="24"/>
                      <w:lang w:eastAsia="lv-LV"/>
                    </w:rPr>
                    <w:t>3.2. speciālais budžets</w:t>
                  </w:r>
                </w:p>
              </w:tc>
              <w:tc>
                <w:tcPr>
                  <w:tcW w:w="510" w:type="pct"/>
                </w:tcPr>
                <w:p w14:paraId="3FA14056" w14:textId="77777777" w:rsidR="003B19C8" w:rsidRPr="00176DE8" w:rsidRDefault="003B19C8">
                  <w:pPr>
                    <w:rPr>
                      <w:rFonts w:ascii="Times New Roman" w:hAnsi="Times New Roman" w:cs="Times New Roman"/>
                      <w:sz w:val="24"/>
                      <w:szCs w:val="24"/>
                    </w:rPr>
                  </w:pPr>
                  <w:r w:rsidRPr="00176DE8">
                    <w:rPr>
                      <w:rFonts w:ascii="Times New Roman" w:eastAsia="Times New Roman" w:hAnsi="Times New Roman" w:cs="Times New Roman"/>
                      <w:sz w:val="24"/>
                      <w:szCs w:val="24"/>
                      <w:lang w:eastAsia="lv-LV"/>
                    </w:rPr>
                    <w:t>0</w:t>
                  </w:r>
                </w:p>
              </w:tc>
              <w:tc>
                <w:tcPr>
                  <w:tcW w:w="730" w:type="pct"/>
                </w:tcPr>
                <w:p w14:paraId="282DE7A7" w14:textId="77777777" w:rsidR="003B19C8" w:rsidRPr="00AE516B" w:rsidRDefault="003B19C8">
                  <w:pPr>
                    <w:rPr>
                      <w:rFonts w:ascii="Times New Roman" w:hAnsi="Times New Roman" w:cs="Times New Roman"/>
                      <w:sz w:val="24"/>
                      <w:szCs w:val="24"/>
                    </w:rPr>
                  </w:pPr>
                  <w:r w:rsidRPr="00AE516B">
                    <w:rPr>
                      <w:rFonts w:ascii="Times New Roman" w:eastAsia="Times New Roman" w:hAnsi="Times New Roman" w:cs="Times New Roman"/>
                      <w:sz w:val="24"/>
                      <w:szCs w:val="24"/>
                      <w:lang w:eastAsia="lv-LV"/>
                    </w:rPr>
                    <w:t>0</w:t>
                  </w:r>
                </w:p>
              </w:tc>
              <w:tc>
                <w:tcPr>
                  <w:tcW w:w="549" w:type="pct"/>
                </w:tcPr>
                <w:p w14:paraId="041CC54B" w14:textId="77777777" w:rsidR="003B19C8" w:rsidRPr="00DE2A92" w:rsidRDefault="003B19C8">
                  <w:pPr>
                    <w:rPr>
                      <w:rFonts w:ascii="Times New Roman" w:hAnsi="Times New Roman" w:cs="Times New Roman"/>
                      <w:sz w:val="24"/>
                      <w:szCs w:val="24"/>
                    </w:rPr>
                  </w:pPr>
                  <w:r w:rsidRPr="00DE2A92">
                    <w:rPr>
                      <w:rFonts w:ascii="Times New Roman" w:eastAsia="Times New Roman" w:hAnsi="Times New Roman" w:cs="Times New Roman"/>
                      <w:sz w:val="24"/>
                      <w:szCs w:val="24"/>
                      <w:lang w:eastAsia="lv-LV"/>
                    </w:rPr>
                    <w:t>0</w:t>
                  </w:r>
                </w:p>
              </w:tc>
              <w:tc>
                <w:tcPr>
                  <w:tcW w:w="550" w:type="pct"/>
                </w:tcPr>
                <w:p w14:paraId="5EC976A2" w14:textId="77777777" w:rsidR="003B19C8" w:rsidRPr="00DE2A92" w:rsidRDefault="003B19C8">
                  <w:pPr>
                    <w:rPr>
                      <w:rFonts w:ascii="Times New Roman" w:hAnsi="Times New Roman" w:cs="Times New Roman"/>
                      <w:sz w:val="24"/>
                      <w:szCs w:val="24"/>
                    </w:rPr>
                  </w:pPr>
                  <w:r w:rsidRPr="00DE2A92">
                    <w:rPr>
                      <w:rFonts w:ascii="Times New Roman" w:eastAsia="Times New Roman" w:hAnsi="Times New Roman" w:cs="Times New Roman"/>
                      <w:sz w:val="24"/>
                      <w:szCs w:val="24"/>
                      <w:lang w:eastAsia="lv-LV"/>
                    </w:rPr>
                    <w:t>0</w:t>
                  </w:r>
                </w:p>
              </w:tc>
              <w:tc>
                <w:tcPr>
                  <w:tcW w:w="1623" w:type="pct"/>
                </w:tcPr>
                <w:p w14:paraId="71D8FB04" w14:textId="77777777" w:rsidR="003B19C8" w:rsidRPr="00DE2A92" w:rsidRDefault="003B19C8">
                  <w:pPr>
                    <w:rPr>
                      <w:rFonts w:ascii="Times New Roman" w:hAnsi="Times New Roman" w:cs="Times New Roman"/>
                      <w:sz w:val="24"/>
                      <w:szCs w:val="24"/>
                    </w:rPr>
                  </w:pPr>
                  <w:r w:rsidRPr="00DE2A92">
                    <w:rPr>
                      <w:rFonts w:ascii="Times New Roman" w:eastAsia="Times New Roman" w:hAnsi="Times New Roman" w:cs="Times New Roman"/>
                      <w:sz w:val="24"/>
                      <w:szCs w:val="24"/>
                      <w:lang w:eastAsia="lv-LV"/>
                    </w:rPr>
                    <w:t>0</w:t>
                  </w:r>
                </w:p>
              </w:tc>
            </w:tr>
            <w:tr w:rsidR="0057037A" w:rsidRPr="0057037A" w14:paraId="6A3E0DCD" w14:textId="77777777" w:rsidTr="00D47FF5">
              <w:trPr>
                <w:tblCellSpacing w:w="15" w:type="dxa"/>
                <w:jc w:val="center"/>
              </w:trPr>
              <w:tc>
                <w:tcPr>
                  <w:tcW w:w="926" w:type="pct"/>
                  <w:hideMark/>
                </w:tcPr>
                <w:p w14:paraId="4CD1EE47" w14:textId="77777777" w:rsidR="003B19C8" w:rsidRPr="0057037A" w:rsidRDefault="003B19C8" w:rsidP="00544C0B">
                  <w:pPr>
                    <w:rPr>
                      <w:rFonts w:ascii="Times New Roman" w:eastAsia="Times New Roman" w:hAnsi="Times New Roman" w:cs="Times New Roman"/>
                      <w:sz w:val="24"/>
                      <w:szCs w:val="24"/>
                      <w:lang w:eastAsia="lv-LV"/>
                    </w:rPr>
                  </w:pPr>
                  <w:r w:rsidRPr="0057037A">
                    <w:rPr>
                      <w:rFonts w:ascii="Times New Roman" w:eastAsia="Times New Roman" w:hAnsi="Times New Roman" w:cs="Times New Roman"/>
                      <w:sz w:val="24"/>
                      <w:szCs w:val="24"/>
                      <w:lang w:eastAsia="lv-LV"/>
                    </w:rPr>
                    <w:t>3.3. pašvaldību budžets</w:t>
                  </w:r>
                </w:p>
              </w:tc>
              <w:tc>
                <w:tcPr>
                  <w:tcW w:w="510" w:type="pct"/>
                </w:tcPr>
                <w:p w14:paraId="2CAF02FE" w14:textId="77777777" w:rsidR="003B19C8" w:rsidRPr="0057037A" w:rsidRDefault="003B19C8">
                  <w:pPr>
                    <w:rPr>
                      <w:rFonts w:ascii="Times New Roman" w:hAnsi="Times New Roman" w:cs="Times New Roman"/>
                      <w:sz w:val="24"/>
                      <w:szCs w:val="24"/>
                    </w:rPr>
                  </w:pPr>
                  <w:r w:rsidRPr="0057037A">
                    <w:rPr>
                      <w:rFonts w:ascii="Times New Roman" w:eastAsia="Times New Roman" w:hAnsi="Times New Roman" w:cs="Times New Roman"/>
                      <w:sz w:val="24"/>
                      <w:szCs w:val="24"/>
                      <w:lang w:eastAsia="lv-LV"/>
                    </w:rPr>
                    <w:t>0</w:t>
                  </w:r>
                </w:p>
              </w:tc>
              <w:tc>
                <w:tcPr>
                  <w:tcW w:w="730" w:type="pct"/>
                </w:tcPr>
                <w:p w14:paraId="5112A503" w14:textId="77777777" w:rsidR="003B19C8" w:rsidRPr="0057037A" w:rsidRDefault="003B19C8">
                  <w:pPr>
                    <w:rPr>
                      <w:rFonts w:ascii="Times New Roman" w:hAnsi="Times New Roman" w:cs="Times New Roman"/>
                      <w:sz w:val="24"/>
                      <w:szCs w:val="24"/>
                    </w:rPr>
                  </w:pPr>
                  <w:r w:rsidRPr="0057037A">
                    <w:rPr>
                      <w:rFonts w:ascii="Times New Roman" w:eastAsia="Times New Roman" w:hAnsi="Times New Roman" w:cs="Times New Roman"/>
                      <w:sz w:val="24"/>
                      <w:szCs w:val="24"/>
                      <w:lang w:eastAsia="lv-LV"/>
                    </w:rPr>
                    <w:t>0</w:t>
                  </w:r>
                </w:p>
              </w:tc>
              <w:tc>
                <w:tcPr>
                  <w:tcW w:w="549" w:type="pct"/>
                </w:tcPr>
                <w:p w14:paraId="53513CA7" w14:textId="77777777" w:rsidR="003B19C8" w:rsidRPr="00DE2A92" w:rsidRDefault="003B19C8">
                  <w:pPr>
                    <w:rPr>
                      <w:rFonts w:ascii="Times New Roman" w:hAnsi="Times New Roman" w:cs="Times New Roman"/>
                      <w:sz w:val="24"/>
                      <w:szCs w:val="24"/>
                    </w:rPr>
                  </w:pPr>
                  <w:r w:rsidRPr="00DE2A92">
                    <w:rPr>
                      <w:rFonts w:ascii="Times New Roman" w:eastAsia="Times New Roman" w:hAnsi="Times New Roman" w:cs="Times New Roman"/>
                      <w:sz w:val="24"/>
                      <w:szCs w:val="24"/>
                      <w:lang w:eastAsia="lv-LV"/>
                    </w:rPr>
                    <w:t>0</w:t>
                  </w:r>
                </w:p>
              </w:tc>
              <w:tc>
                <w:tcPr>
                  <w:tcW w:w="550" w:type="pct"/>
                </w:tcPr>
                <w:p w14:paraId="6E90C754" w14:textId="77777777" w:rsidR="003B19C8" w:rsidRPr="00DE2A92" w:rsidRDefault="003B19C8">
                  <w:pPr>
                    <w:rPr>
                      <w:rFonts w:ascii="Times New Roman" w:hAnsi="Times New Roman" w:cs="Times New Roman"/>
                      <w:sz w:val="24"/>
                      <w:szCs w:val="24"/>
                    </w:rPr>
                  </w:pPr>
                  <w:r w:rsidRPr="00DE2A92">
                    <w:rPr>
                      <w:rFonts w:ascii="Times New Roman" w:eastAsia="Times New Roman" w:hAnsi="Times New Roman" w:cs="Times New Roman"/>
                      <w:sz w:val="24"/>
                      <w:szCs w:val="24"/>
                      <w:lang w:eastAsia="lv-LV"/>
                    </w:rPr>
                    <w:t>0</w:t>
                  </w:r>
                </w:p>
              </w:tc>
              <w:tc>
                <w:tcPr>
                  <w:tcW w:w="1623" w:type="pct"/>
                </w:tcPr>
                <w:p w14:paraId="433BDA9A" w14:textId="77777777" w:rsidR="003B19C8" w:rsidRPr="00DE2A92" w:rsidRDefault="003B19C8">
                  <w:pPr>
                    <w:rPr>
                      <w:rFonts w:ascii="Times New Roman" w:hAnsi="Times New Roman" w:cs="Times New Roman"/>
                      <w:sz w:val="24"/>
                      <w:szCs w:val="24"/>
                    </w:rPr>
                  </w:pPr>
                  <w:r w:rsidRPr="00DE2A92">
                    <w:rPr>
                      <w:rFonts w:ascii="Times New Roman" w:eastAsia="Times New Roman" w:hAnsi="Times New Roman" w:cs="Times New Roman"/>
                      <w:sz w:val="24"/>
                      <w:szCs w:val="24"/>
                      <w:lang w:eastAsia="lv-LV"/>
                    </w:rPr>
                    <w:t>0</w:t>
                  </w:r>
                </w:p>
              </w:tc>
            </w:tr>
            <w:tr w:rsidR="0057037A" w:rsidRPr="0057037A" w14:paraId="61EC1C3D" w14:textId="77777777" w:rsidTr="00D47FF5">
              <w:trPr>
                <w:tblCellSpacing w:w="15" w:type="dxa"/>
                <w:jc w:val="center"/>
              </w:trPr>
              <w:tc>
                <w:tcPr>
                  <w:tcW w:w="926" w:type="pct"/>
                  <w:vAlign w:val="center"/>
                  <w:hideMark/>
                </w:tcPr>
                <w:p w14:paraId="69A452BA" w14:textId="77777777" w:rsidR="003B19C8" w:rsidRPr="0057037A" w:rsidRDefault="003B19C8" w:rsidP="00544C0B">
                  <w:pPr>
                    <w:rPr>
                      <w:rFonts w:ascii="Times New Roman" w:eastAsia="Times New Roman" w:hAnsi="Times New Roman" w:cs="Times New Roman"/>
                      <w:sz w:val="24"/>
                      <w:szCs w:val="24"/>
                      <w:lang w:eastAsia="lv-LV"/>
                    </w:rPr>
                  </w:pPr>
                  <w:r w:rsidRPr="0057037A">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10" w:type="pct"/>
                </w:tcPr>
                <w:p w14:paraId="6006A0EE" w14:textId="10D53B40" w:rsidR="003B19C8" w:rsidRPr="0057037A" w:rsidRDefault="003B19C8">
                  <w:pPr>
                    <w:rPr>
                      <w:rFonts w:ascii="Times New Roman" w:hAnsi="Times New Roman" w:cs="Times New Roman"/>
                      <w:sz w:val="24"/>
                      <w:szCs w:val="24"/>
                    </w:rPr>
                  </w:pPr>
                </w:p>
              </w:tc>
              <w:tc>
                <w:tcPr>
                  <w:tcW w:w="730" w:type="pct"/>
                </w:tcPr>
                <w:p w14:paraId="7958B1DC" w14:textId="77777777" w:rsidR="003B19C8" w:rsidRPr="0057037A" w:rsidRDefault="003B19C8">
                  <w:pPr>
                    <w:rPr>
                      <w:rFonts w:ascii="Times New Roman" w:hAnsi="Times New Roman" w:cs="Times New Roman"/>
                      <w:sz w:val="24"/>
                      <w:szCs w:val="24"/>
                    </w:rPr>
                  </w:pPr>
                  <w:r w:rsidRPr="0057037A">
                    <w:rPr>
                      <w:rFonts w:ascii="Times New Roman" w:eastAsia="Times New Roman" w:hAnsi="Times New Roman" w:cs="Times New Roman"/>
                      <w:sz w:val="24"/>
                      <w:szCs w:val="24"/>
                      <w:lang w:eastAsia="lv-LV"/>
                    </w:rPr>
                    <w:t>0</w:t>
                  </w:r>
                </w:p>
              </w:tc>
              <w:tc>
                <w:tcPr>
                  <w:tcW w:w="549" w:type="pct"/>
                </w:tcPr>
                <w:p w14:paraId="5AAC383C" w14:textId="77777777" w:rsidR="003B19C8" w:rsidRPr="00DE2A92" w:rsidRDefault="003B19C8">
                  <w:pPr>
                    <w:rPr>
                      <w:rFonts w:ascii="Times New Roman" w:hAnsi="Times New Roman" w:cs="Times New Roman"/>
                      <w:sz w:val="24"/>
                      <w:szCs w:val="24"/>
                    </w:rPr>
                  </w:pPr>
                  <w:r w:rsidRPr="00DE2A92">
                    <w:rPr>
                      <w:rFonts w:ascii="Times New Roman" w:eastAsia="Times New Roman" w:hAnsi="Times New Roman" w:cs="Times New Roman"/>
                      <w:sz w:val="24"/>
                      <w:szCs w:val="24"/>
                      <w:lang w:eastAsia="lv-LV"/>
                    </w:rPr>
                    <w:t>0</w:t>
                  </w:r>
                </w:p>
              </w:tc>
              <w:tc>
                <w:tcPr>
                  <w:tcW w:w="550" w:type="pct"/>
                </w:tcPr>
                <w:p w14:paraId="1BF6449E" w14:textId="77777777" w:rsidR="003B19C8" w:rsidRPr="00DE2A92" w:rsidRDefault="003B19C8">
                  <w:pPr>
                    <w:rPr>
                      <w:rFonts w:ascii="Times New Roman" w:hAnsi="Times New Roman" w:cs="Times New Roman"/>
                      <w:sz w:val="24"/>
                      <w:szCs w:val="24"/>
                    </w:rPr>
                  </w:pPr>
                  <w:r w:rsidRPr="00DE2A92">
                    <w:rPr>
                      <w:rFonts w:ascii="Times New Roman" w:eastAsia="Times New Roman" w:hAnsi="Times New Roman" w:cs="Times New Roman"/>
                      <w:sz w:val="24"/>
                      <w:szCs w:val="24"/>
                      <w:lang w:eastAsia="lv-LV"/>
                    </w:rPr>
                    <w:t>0</w:t>
                  </w:r>
                </w:p>
              </w:tc>
              <w:tc>
                <w:tcPr>
                  <w:tcW w:w="1623" w:type="pct"/>
                </w:tcPr>
                <w:p w14:paraId="51B32DAD" w14:textId="77777777" w:rsidR="003B19C8" w:rsidRPr="00DE2A92" w:rsidRDefault="003B19C8">
                  <w:pPr>
                    <w:rPr>
                      <w:rFonts w:ascii="Times New Roman" w:hAnsi="Times New Roman" w:cs="Times New Roman"/>
                      <w:sz w:val="24"/>
                      <w:szCs w:val="24"/>
                    </w:rPr>
                  </w:pPr>
                  <w:r w:rsidRPr="00DE2A92">
                    <w:rPr>
                      <w:rFonts w:ascii="Times New Roman" w:eastAsia="Times New Roman" w:hAnsi="Times New Roman" w:cs="Times New Roman"/>
                      <w:sz w:val="24"/>
                      <w:szCs w:val="24"/>
                      <w:lang w:eastAsia="lv-LV"/>
                    </w:rPr>
                    <w:t>0</w:t>
                  </w:r>
                </w:p>
              </w:tc>
            </w:tr>
            <w:tr w:rsidR="004C6EC4" w:rsidRPr="00176DE8" w14:paraId="398B6E46" w14:textId="77777777" w:rsidTr="00D47FF5">
              <w:trPr>
                <w:tblCellSpacing w:w="15" w:type="dxa"/>
                <w:jc w:val="center"/>
              </w:trPr>
              <w:tc>
                <w:tcPr>
                  <w:tcW w:w="926" w:type="pct"/>
                  <w:hideMark/>
                </w:tcPr>
                <w:p w14:paraId="3A043A8F" w14:textId="77777777" w:rsidR="004C6EC4" w:rsidRPr="00176DE8" w:rsidRDefault="004C6EC4" w:rsidP="00544C0B">
                  <w:pPr>
                    <w:rPr>
                      <w:rFonts w:ascii="Times New Roman" w:eastAsia="Times New Roman" w:hAnsi="Times New Roman" w:cs="Times New Roman"/>
                      <w:sz w:val="24"/>
                      <w:szCs w:val="24"/>
                      <w:lang w:eastAsia="lv-LV"/>
                    </w:rPr>
                  </w:pPr>
                  <w:r w:rsidRPr="00176DE8">
                    <w:rPr>
                      <w:rFonts w:ascii="Times New Roman" w:eastAsia="Times New Roman" w:hAnsi="Times New Roman" w:cs="Times New Roman"/>
                      <w:sz w:val="24"/>
                      <w:szCs w:val="24"/>
                      <w:lang w:eastAsia="lv-LV"/>
                    </w:rPr>
                    <w:t>5. Precizēta finansiālā ietekme:</w:t>
                  </w:r>
                </w:p>
              </w:tc>
              <w:tc>
                <w:tcPr>
                  <w:tcW w:w="510" w:type="pct"/>
                  <w:vMerge w:val="restart"/>
                </w:tcPr>
                <w:p w14:paraId="4F475717" w14:textId="5F4EC2F1" w:rsidR="004C6EC4" w:rsidRPr="00176DE8" w:rsidRDefault="004C6EC4">
                  <w:pPr>
                    <w:rPr>
                      <w:rFonts w:ascii="Times New Roman" w:hAnsi="Times New Roman" w:cs="Times New Roman"/>
                      <w:sz w:val="24"/>
                      <w:szCs w:val="24"/>
                    </w:rPr>
                  </w:pPr>
                </w:p>
              </w:tc>
              <w:tc>
                <w:tcPr>
                  <w:tcW w:w="730" w:type="pct"/>
                </w:tcPr>
                <w:p w14:paraId="7EE4F0B5" w14:textId="77777777" w:rsidR="004C6EC4" w:rsidRPr="00176DE8" w:rsidRDefault="004C6EC4">
                  <w:pPr>
                    <w:rPr>
                      <w:rFonts w:ascii="Times New Roman" w:hAnsi="Times New Roman" w:cs="Times New Roman"/>
                      <w:sz w:val="24"/>
                      <w:szCs w:val="24"/>
                    </w:rPr>
                  </w:pPr>
                  <w:r w:rsidRPr="00176DE8">
                    <w:rPr>
                      <w:rFonts w:ascii="Times New Roman" w:eastAsia="Times New Roman" w:hAnsi="Times New Roman" w:cs="Times New Roman"/>
                      <w:sz w:val="24"/>
                      <w:szCs w:val="24"/>
                      <w:lang w:eastAsia="lv-LV"/>
                    </w:rPr>
                    <w:t>0</w:t>
                  </w:r>
                </w:p>
              </w:tc>
              <w:tc>
                <w:tcPr>
                  <w:tcW w:w="549" w:type="pct"/>
                </w:tcPr>
                <w:p w14:paraId="2FF34A6A" w14:textId="16EE7470" w:rsidR="004C6EC4" w:rsidRPr="00D910F5" w:rsidRDefault="004C6EC4" w:rsidP="00696C00">
                  <w:pPr>
                    <w:jc w:val="center"/>
                    <w:rPr>
                      <w:rFonts w:ascii="Times New Roman" w:eastAsia="Times New Roman" w:hAnsi="Times New Roman" w:cs="Times New Roman"/>
                      <w:b/>
                      <w:sz w:val="24"/>
                      <w:szCs w:val="24"/>
                      <w:lang w:eastAsia="lv-LV"/>
                    </w:rPr>
                  </w:pPr>
                  <w:r w:rsidRPr="00D910F5">
                    <w:rPr>
                      <w:rFonts w:ascii="Times New Roman" w:eastAsia="Times New Roman" w:hAnsi="Times New Roman" w:cs="Times New Roman"/>
                      <w:b/>
                      <w:sz w:val="24"/>
                      <w:szCs w:val="24"/>
                      <w:lang w:eastAsia="lv-LV"/>
                    </w:rPr>
                    <w:t>+</w:t>
                  </w:r>
                  <w:r>
                    <w:rPr>
                      <w:rFonts w:ascii="Times New Roman" w:eastAsia="Times New Roman" w:hAnsi="Times New Roman" w:cs="Times New Roman"/>
                      <w:b/>
                      <w:sz w:val="24"/>
                      <w:szCs w:val="24"/>
                      <w:lang w:eastAsia="lv-LV"/>
                    </w:rPr>
                    <w:t>3</w:t>
                  </w:r>
                  <w:r w:rsidR="00696C00">
                    <w:rPr>
                      <w:rFonts w:ascii="Times New Roman" w:eastAsia="Times New Roman" w:hAnsi="Times New Roman" w:cs="Times New Roman"/>
                      <w:b/>
                      <w:sz w:val="24"/>
                      <w:szCs w:val="24"/>
                      <w:lang w:eastAsia="lv-LV"/>
                    </w:rPr>
                    <w:t>10</w:t>
                  </w:r>
                </w:p>
              </w:tc>
              <w:tc>
                <w:tcPr>
                  <w:tcW w:w="550" w:type="pct"/>
                </w:tcPr>
                <w:p w14:paraId="237A8553" w14:textId="6BE182FC" w:rsidR="004C6EC4" w:rsidRPr="00D910F5" w:rsidRDefault="004C6EC4" w:rsidP="00696C00">
                  <w:pPr>
                    <w:rPr>
                      <w:rFonts w:ascii="Times New Roman" w:hAnsi="Times New Roman" w:cs="Times New Roman"/>
                      <w:sz w:val="24"/>
                      <w:szCs w:val="24"/>
                    </w:rPr>
                  </w:pPr>
                  <w:r w:rsidRPr="00D910F5">
                    <w:rPr>
                      <w:rFonts w:ascii="Times New Roman" w:eastAsia="Times New Roman" w:hAnsi="Times New Roman" w:cs="Times New Roman"/>
                      <w:b/>
                      <w:sz w:val="24"/>
                      <w:szCs w:val="24"/>
                      <w:lang w:eastAsia="lv-LV"/>
                    </w:rPr>
                    <w:t>+</w:t>
                  </w:r>
                  <w:r>
                    <w:rPr>
                      <w:rFonts w:ascii="Times New Roman" w:eastAsia="Times New Roman" w:hAnsi="Times New Roman" w:cs="Times New Roman"/>
                      <w:b/>
                      <w:sz w:val="24"/>
                      <w:szCs w:val="24"/>
                      <w:lang w:eastAsia="lv-LV"/>
                    </w:rPr>
                    <w:t>2 3</w:t>
                  </w:r>
                  <w:r w:rsidR="00696C00">
                    <w:rPr>
                      <w:rFonts w:ascii="Times New Roman" w:eastAsia="Times New Roman" w:hAnsi="Times New Roman" w:cs="Times New Roman"/>
                      <w:b/>
                      <w:sz w:val="24"/>
                      <w:szCs w:val="24"/>
                      <w:lang w:eastAsia="lv-LV"/>
                    </w:rPr>
                    <w:t>10</w:t>
                  </w:r>
                </w:p>
              </w:tc>
              <w:tc>
                <w:tcPr>
                  <w:tcW w:w="1623" w:type="pct"/>
                </w:tcPr>
                <w:p w14:paraId="2E597933" w14:textId="04AA5CF4" w:rsidR="004C6EC4" w:rsidRPr="00D910F5" w:rsidRDefault="004C6EC4" w:rsidP="00696C00">
                  <w:pPr>
                    <w:rPr>
                      <w:rFonts w:ascii="Times New Roman" w:hAnsi="Times New Roman" w:cs="Times New Roman"/>
                      <w:sz w:val="24"/>
                      <w:szCs w:val="24"/>
                    </w:rPr>
                  </w:pPr>
                  <w:r w:rsidRPr="00D910F5">
                    <w:rPr>
                      <w:rFonts w:ascii="Times New Roman" w:eastAsia="Times New Roman" w:hAnsi="Times New Roman" w:cs="Times New Roman"/>
                      <w:b/>
                      <w:sz w:val="24"/>
                      <w:szCs w:val="24"/>
                      <w:lang w:eastAsia="lv-LV"/>
                    </w:rPr>
                    <w:t>+</w:t>
                  </w:r>
                  <w:r>
                    <w:rPr>
                      <w:rFonts w:ascii="Times New Roman" w:eastAsia="Times New Roman" w:hAnsi="Times New Roman" w:cs="Times New Roman"/>
                      <w:b/>
                      <w:sz w:val="24"/>
                      <w:szCs w:val="24"/>
                      <w:lang w:eastAsia="lv-LV"/>
                    </w:rPr>
                    <w:t>2 3</w:t>
                  </w:r>
                  <w:r w:rsidR="00696C00">
                    <w:rPr>
                      <w:rFonts w:ascii="Times New Roman" w:eastAsia="Times New Roman" w:hAnsi="Times New Roman" w:cs="Times New Roman"/>
                      <w:b/>
                      <w:sz w:val="24"/>
                      <w:szCs w:val="24"/>
                      <w:lang w:eastAsia="lv-LV"/>
                    </w:rPr>
                    <w:t>10</w:t>
                  </w:r>
                </w:p>
              </w:tc>
            </w:tr>
            <w:tr w:rsidR="004C6EC4" w:rsidRPr="00176DE8" w14:paraId="67D0B758" w14:textId="77777777" w:rsidTr="00D47FF5">
              <w:trPr>
                <w:tblCellSpacing w:w="15" w:type="dxa"/>
                <w:jc w:val="center"/>
              </w:trPr>
              <w:tc>
                <w:tcPr>
                  <w:tcW w:w="926" w:type="pct"/>
                  <w:hideMark/>
                </w:tcPr>
                <w:p w14:paraId="3512379E" w14:textId="77777777" w:rsidR="004C6EC4" w:rsidRPr="00176DE8" w:rsidRDefault="004C6EC4" w:rsidP="00544C0B">
                  <w:pPr>
                    <w:rPr>
                      <w:rFonts w:ascii="Times New Roman" w:eastAsia="Times New Roman" w:hAnsi="Times New Roman" w:cs="Times New Roman"/>
                      <w:sz w:val="24"/>
                      <w:szCs w:val="24"/>
                      <w:lang w:eastAsia="lv-LV"/>
                    </w:rPr>
                  </w:pPr>
                  <w:r w:rsidRPr="00176DE8">
                    <w:rPr>
                      <w:rFonts w:ascii="Times New Roman" w:eastAsia="Times New Roman" w:hAnsi="Times New Roman" w:cs="Times New Roman"/>
                      <w:sz w:val="24"/>
                      <w:szCs w:val="24"/>
                      <w:lang w:eastAsia="lv-LV"/>
                    </w:rPr>
                    <w:t>5.1. valsts pamatbudžets</w:t>
                  </w:r>
                </w:p>
              </w:tc>
              <w:tc>
                <w:tcPr>
                  <w:tcW w:w="510" w:type="pct"/>
                  <w:vMerge/>
                  <w:hideMark/>
                </w:tcPr>
                <w:p w14:paraId="16EC671E" w14:textId="77777777" w:rsidR="004C6EC4" w:rsidRPr="00176DE8" w:rsidRDefault="004C6EC4" w:rsidP="00544C0B">
                  <w:pPr>
                    <w:rPr>
                      <w:rFonts w:ascii="Times New Roman" w:eastAsia="Times New Roman" w:hAnsi="Times New Roman" w:cs="Times New Roman"/>
                      <w:sz w:val="24"/>
                      <w:szCs w:val="24"/>
                      <w:lang w:eastAsia="lv-LV"/>
                    </w:rPr>
                  </w:pPr>
                </w:p>
              </w:tc>
              <w:tc>
                <w:tcPr>
                  <w:tcW w:w="730" w:type="pct"/>
                </w:tcPr>
                <w:p w14:paraId="063C9EA7" w14:textId="77777777" w:rsidR="004C6EC4" w:rsidRPr="00176DE8" w:rsidRDefault="004C6EC4">
                  <w:pPr>
                    <w:rPr>
                      <w:rFonts w:ascii="Times New Roman" w:hAnsi="Times New Roman" w:cs="Times New Roman"/>
                      <w:sz w:val="24"/>
                      <w:szCs w:val="24"/>
                    </w:rPr>
                  </w:pPr>
                  <w:r w:rsidRPr="00176DE8">
                    <w:rPr>
                      <w:rFonts w:ascii="Times New Roman" w:eastAsia="Times New Roman" w:hAnsi="Times New Roman" w:cs="Times New Roman"/>
                      <w:sz w:val="24"/>
                      <w:szCs w:val="24"/>
                      <w:lang w:eastAsia="lv-LV"/>
                    </w:rPr>
                    <w:t>0</w:t>
                  </w:r>
                </w:p>
              </w:tc>
              <w:tc>
                <w:tcPr>
                  <w:tcW w:w="549" w:type="pct"/>
                </w:tcPr>
                <w:p w14:paraId="5E9F1B59" w14:textId="276211B8" w:rsidR="004C6EC4" w:rsidRPr="00D910F5" w:rsidRDefault="004C6EC4" w:rsidP="00696C00">
                  <w:pPr>
                    <w:jc w:val="center"/>
                    <w:rPr>
                      <w:rFonts w:ascii="Times New Roman" w:eastAsia="Times New Roman" w:hAnsi="Times New Roman" w:cs="Times New Roman"/>
                      <w:b/>
                      <w:sz w:val="24"/>
                      <w:szCs w:val="24"/>
                      <w:lang w:eastAsia="lv-LV"/>
                    </w:rPr>
                  </w:pPr>
                  <w:r w:rsidRPr="00D910F5">
                    <w:rPr>
                      <w:rFonts w:ascii="Times New Roman" w:eastAsia="Times New Roman" w:hAnsi="Times New Roman" w:cs="Times New Roman"/>
                      <w:b/>
                      <w:sz w:val="24"/>
                      <w:szCs w:val="24"/>
                      <w:lang w:eastAsia="lv-LV"/>
                    </w:rPr>
                    <w:t>+</w:t>
                  </w:r>
                  <w:r>
                    <w:rPr>
                      <w:rFonts w:ascii="Times New Roman" w:eastAsia="Times New Roman" w:hAnsi="Times New Roman" w:cs="Times New Roman"/>
                      <w:b/>
                      <w:sz w:val="24"/>
                      <w:szCs w:val="24"/>
                      <w:lang w:eastAsia="lv-LV"/>
                    </w:rPr>
                    <w:t>3</w:t>
                  </w:r>
                  <w:r w:rsidR="00696C00">
                    <w:rPr>
                      <w:rFonts w:ascii="Times New Roman" w:eastAsia="Times New Roman" w:hAnsi="Times New Roman" w:cs="Times New Roman"/>
                      <w:b/>
                      <w:sz w:val="24"/>
                      <w:szCs w:val="24"/>
                      <w:lang w:eastAsia="lv-LV"/>
                    </w:rPr>
                    <w:t>10</w:t>
                  </w:r>
                </w:p>
              </w:tc>
              <w:tc>
                <w:tcPr>
                  <w:tcW w:w="550" w:type="pct"/>
                </w:tcPr>
                <w:p w14:paraId="18E90565" w14:textId="68F9E5E6" w:rsidR="004C6EC4" w:rsidRPr="00D910F5" w:rsidRDefault="004C6EC4" w:rsidP="00696C00">
                  <w:pPr>
                    <w:rPr>
                      <w:rFonts w:ascii="Times New Roman" w:hAnsi="Times New Roman" w:cs="Times New Roman"/>
                      <w:sz w:val="24"/>
                      <w:szCs w:val="24"/>
                    </w:rPr>
                  </w:pPr>
                  <w:r w:rsidRPr="00D910F5">
                    <w:rPr>
                      <w:rFonts w:ascii="Times New Roman" w:eastAsia="Times New Roman" w:hAnsi="Times New Roman" w:cs="Times New Roman"/>
                      <w:b/>
                      <w:sz w:val="24"/>
                      <w:szCs w:val="24"/>
                      <w:lang w:eastAsia="lv-LV"/>
                    </w:rPr>
                    <w:t>+</w:t>
                  </w:r>
                  <w:r>
                    <w:rPr>
                      <w:rFonts w:ascii="Times New Roman" w:eastAsia="Times New Roman" w:hAnsi="Times New Roman" w:cs="Times New Roman"/>
                      <w:b/>
                      <w:sz w:val="24"/>
                      <w:szCs w:val="24"/>
                      <w:lang w:eastAsia="lv-LV"/>
                    </w:rPr>
                    <w:t>2 3</w:t>
                  </w:r>
                  <w:r w:rsidR="00696C00">
                    <w:rPr>
                      <w:rFonts w:ascii="Times New Roman" w:eastAsia="Times New Roman" w:hAnsi="Times New Roman" w:cs="Times New Roman"/>
                      <w:b/>
                      <w:sz w:val="24"/>
                      <w:szCs w:val="24"/>
                      <w:lang w:eastAsia="lv-LV"/>
                    </w:rPr>
                    <w:t>10</w:t>
                  </w:r>
                </w:p>
              </w:tc>
              <w:tc>
                <w:tcPr>
                  <w:tcW w:w="1623" w:type="pct"/>
                </w:tcPr>
                <w:p w14:paraId="3E80A1EC" w14:textId="4F1603BD" w:rsidR="004C6EC4" w:rsidRPr="00D910F5" w:rsidRDefault="004C6EC4" w:rsidP="00696C00">
                  <w:pPr>
                    <w:rPr>
                      <w:rFonts w:ascii="Times New Roman" w:hAnsi="Times New Roman" w:cs="Times New Roman"/>
                      <w:sz w:val="24"/>
                      <w:szCs w:val="24"/>
                    </w:rPr>
                  </w:pPr>
                  <w:r w:rsidRPr="00D910F5">
                    <w:rPr>
                      <w:rFonts w:ascii="Times New Roman" w:eastAsia="Times New Roman" w:hAnsi="Times New Roman" w:cs="Times New Roman"/>
                      <w:b/>
                      <w:sz w:val="24"/>
                      <w:szCs w:val="24"/>
                      <w:lang w:eastAsia="lv-LV"/>
                    </w:rPr>
                    <w:t>+</w:t>
                  </w:r>
                  <w:r>
                    <w:rPr>
                      <w:rFonts w:ascii="Times New Roman" w:eastAsia="Times New Roman" w:hAnsi="Times New Roman" w:cs="Times New Roman"/>
                      <w:b/>
                      <w:sz w:val="24"/>
                      <w:szCs w:val="24"/>
                      <w:lang w:eastAsia="lv-LV"/>
                    </w:rPr>
                    <w:t>2 3</w:t>
                  </w:r>
                  <w:r w:rsidR="00696C00">
                    <w:rPr>
                      <w:rFonts w:ascii="Times New Roman" w:eastAsia="Times New Roman" w:hAnsi="Times New Roman" w:cs="Times New Roman"/>
                      <w:b/>
                      <w:sz w:val="24"/>
                      <w:szCs w:val="24"/>
                      <w:lang w:eastAsia="lv-LV"/>
                    </w:rPr>
                    <w:t>10</w:t>
                  </w:r>
                </w:p>
              </w:tc>
            </w:tr>
            <w:tr w:rsidR="00A86745" w:rsidRPr="0057037A" w14:paraId="76D8A8D2" w14:textId="77777777" w:rsidTr="00D47FF5">
              <w:trPr>
                <w:tblCellSpacing w:w="15" w:type="dxa"/>
                <w:jc w:val="center"/>
              </w:trPr>
              <w:tc>
                <w:tcPr>
                  <w:tcW w:w="926" w:type="pct"/>
                  <w:hideMark/>
                </w:tcPr>
                <w:p w14:paraId="4D16984A" w14:textId="77777777" w:rsidR="00A86745" w:rsidRPr="00176DE8" w:rsidRDefault="00A86745" w:rsidP="00544C0B">
                  <w:pPr>
                    <w:rPr>
                      <w:rFonts w:ascii="Times New Roman" w:eastAsia="Times New Roman" w:hAnsi="Times New Roman" w:cs="Times New Roman"/>
                      <w:sz w:val="24"/>
                      <w:szCs w:val="24"/>
                      <w:lang w:eastAsia="lv-LV"/>
                    </w:rPr>
                  </w:pPr>
                  <w:r w:rsidRPr="00176DE8">
                    <w:rPr>
                      <w:rFonts w:ascii="Times New Roman" w:eastAsia="Times New Roman" w:hAnsi="Times New Roman" w:cs="Times New Roman"/>
                      <w:sz w:val="24"/>
                      <w:szCs w:val="24"/>
                      <w:lang w:eastAsia="lv-LV"/>
                    </w:rPr>
                    <w:t>5.2. speciālais budžets</w:t>
                  </w:r>
                </w:p>
              </w:tc>
              <w:tc>
                <w:tcPr>
                  <w:tcW w:w="510" w:type="pct"/>
                  <w:vMerge/>
                  <w:hideMark/>
                </w:tcPr>
                <w:p w14:paraId="76DD293E" w14:textId="77777777" w:rsidR="00A86745" w:rsidRPr="00176DE8" w:rsidRDefault="00A86745" w:rsidP="00544C0B">
                  <w:pPr>
                    <w:rPr>
                      <w:rFonts w:ascii="Times New Roman" w:eastAsia="Times New Roman" w:hAnsi="Times New Roman" w:cs="Times New Roman"/>
                      <w:sz w:val="24"/>
                      <w:szCs w:val="24"/>
                      <w:lang w:eastAsia="lv-LV"/>
                    </w:rPr>
                  </w:pPr>
                </w:p>
              </w:tc>
              <w:tc>
                <w:tcPr>
                  <w:tcW w:w="730" w:type="pct"/>
                </w:tcPr>
                <w:p w14:paraId="1D8431FA" w14:textId="77777777" w:rsidR="00A86745" w:rsidRPr="00AE516B" w:rsidRDefault="00A86745">
                  <w:pPr>
                    <w:rPr>
                      <w:rFonts w:ascii="Times New Roman" w:hAnsi="Times New Roman" w:cs="Times New Roman"/>
                      <w:sz w:val="24"/>
                      <w:szCs w:val="24"/>
                    </w:rPr>
                  </w:pPr>
                  <w:r w:rsidRPr="00AE516B">
                    <w:rPr>
                      <w:rFonts w:ascii="Times New Roman" w:eastAsia="Times New Roman" w:hAnsi="Times New Roman" w:cs="Times New Roman"/>
                      <w:sz w:val="24"/>
                      <w:szCs w:val="24"/>
                      <w:lang w:eastAsia="lv-LV"/>
                    </w:rPr>
                    <w:t>0</w:t>
                  </w:r>
                </w:p>
              </w:tc>
              <w:tc>
                <w:tcPr>
                  <w:tcW w:w="549" w:type="pct"/>
                </w:tcPr>
                <w:p w14:paraId="737E006F" w14:textId="77777777" w:rsidR="00A86745" w:rsidRPr="00DE2A92" w:rsidRDefault="00A86745">
                  <w:pPr>
                    <w:rPr>
                      <w:rFonts w:ascii="Times New Roman" w:hAnsi="Times New Roman" w:cs="Times New Roman"/>
                      <w:sz w:val="24"/>
                      <w:szCs w:val="24"/>
                    </w:rPr>
                  </w:pPr>
                  <w:r w:rsidRPr="00DE2A92">
                    <w:rPr>
                      <w:rFonts w:ascii="Times New Roman" w:eastAsia="Times New Roman" w:hAnsi="Times New Roman" w:cs="Times New Roman"/>
                      <w:sz w:val="24"/>
                      <w:szCs w:val="24"/>
                      <w:lang w:eastAsia="lv-LV"/>
                    </w:rPr>
                    <w:t>0</w:t>
                  </w:r>
                </w:p>
              </w:tc>
              <w:tc>
                <w:tcPr>
                  <w:tcW w:w="550" w:type="pct"/>
                </w:tcPr>
                <w:p w14:paraId="43E3A081" w14:textId="77777777" w:rsidR="00A86745" w:rsidRPr="00DE2A92" w:rsidRDefault="00A86745">
                  <w:pPr>
                    <w:rPr>
                      <w:rFonts w:ascii="Times New Roman" w:hAnsi="Times New Roman" w:cs="Times New Roman"/>
                      <w:sz w:val="24"/>
                      <w:szCs w:val="24"/>
                    </w:rPr>
                  </w:pPr>
                  <w:r w:rsidRPr="00DE2A92">
                    <w:rPr>
                      <w:rFonts w:ascii="Times New Roman" w:eastAsia="Times New Roman" w:hAnsi="Times New Roman" w:cs="Times New Roman"/>
                      <w:sz w:val="24"/>
                      <w:szCs w:val="24"/>
                      <w:lang w:eastAsia="lv-LV"/>
                    </w:rPr>
                    <w:t>0</w:t>
                  </w:r>
                </w:p>
              </w:tc>
              <w:tc>
                <w:tcPr>
                  <w:tcW w:w="1623" w:type="pct"/>
                </w:tcPr>
                <w:p w14:paraId="0E914A36" w14:textId="77777777" w:rsidR="00A86745" w:rsidRPr="00DE2A92" w:rsidRDefault="00A86745">
                  <w:pPr>
                    <w:rPr>
                      <w:rFonts w:ascii="Times New Roman" w:hAnsi="Times New Roman" w:cs="Times New Roman"/>
                      <w:sz w:val="24"/>
                      <w:szCs w:val="24"/>
                    </w:rPr>
                  </w:pPr>
                  <w:r w:rsidRPr="00DE2A92">
                    <w:rPr>
                      <w:rFonts w:ascii="Times New Roman" w:eastAsia="Times New Roman" w:hAnsi="Times New Roman" w:cs="Times New Roman"/>
                      <w:sz w:val="24"/>
                      <w:szCs w:val="24"/>
                      <w:lang w:eastAsia="lv-LV"/>
                    </w:rPr>
                    <w:t>0</w:t>
                  </w:r>
                </w:p>
              </w:tc>
            </w:tr>
            <w:tr w:rsidR="00A86745" w:rsidRPr="0057037A" w14:paraId="73AA6208" w14:textId="77777777" w:rsidTr="00D47FF5">
              <w:trPr>
                <w:tblCellSpacing w:w="15" w:type="dxa"/>
                <w:jc w:val="center"/>
              </w:trPr>
              <w:tc>
                <w:tcPr>
                  <w:tcW w:w="926" w:type="pct"/>
                  <w:hideMark/>
                </w:tcPr>
                <w:p w14:paraId="70D16AC2" w14:textId="77777777" w:rsidR="00A86745" w:rsidRPr="0057037A" w:rsidRDefault="00A86745" w:rsidP="00544C0B">
                  <w:pPr>
                    <w:rPr>
                      <w:rFonts w:ascii="Times New Roman" w:eastAsia="Times New Roman" w:hAnsi="Times New Roman" w:cs="Times New Roman"/>
                      <w:sz w:val="24"/>
                      <w:szCs w:val="24"/>
                      <w:lang w:eastAsia="lv-LV"/>
                    </w:rPr>
                  </w:pPr>
                  <w:r w:rsidRPr="0057037A">
                    <w:rPr>
                      <w:rFonts w:ascii="Times New Roman" w:eastAsia="Times New Roman" w:hAnsi="Times New Roman" w:cs="Times New Roman"/>
                      <w:sz w:val="24"/>
                      <w:szCs w:val="24"/>
                      <w:lang w:eastAsia="lv-LV"/>
                    </w:rPr>
                    <w:t>5.3. pašvaldību budžets</w:t>
                  </w:r>
                </w:p>
              </w:tc>
              <w:tc>
                <w:tcPr>
                  <w:tcW w:w="510" w:type="pct"/>
                  <w:vMerge/>
                  <w:hideMark/>
                </w:tcPr>
                <w:p w14:paraId="2CF99907" w14:textId="77777777" w:rsidR="00A86745" w:rsidRPr="0057037A" w:rsidRDefault="00A86745" w:rsidP="00544C0B">
                  <w:pPr>
                    <w:rPr>
                      <w:rFonts w:ascii="Times New Roman" w:eastAsia="Times New Roman" w:hAnsi="Times New Roman" w:cs="Times New Roman"/>
                      <w:sz w:val="24"/>
                      <w:szCs w:val="24"/>
                      <w:lang w:eastAsia="lv-LV"/>
                    </w:rPr>
                  </w:pPr>
                </w:p>
              </w:tc>
              <w:tc>
                <w:tcPr>
                  <w:tcW w:w="730" w:type="pct"/>
                </w:tcPr>
                <w:p w14:paraId="7E706174" w14:textId="77777777" w:rsidR="00A86745" w:rsidRPr="0057037A" w:rsidRDefault="00A86745">
                  <w:pPr>
                    <w:rPr>
                      <w:rFonts w:ascii="Times New Roman" w:hAnsi="Times New Roman" w:cs="Times New Roman"/>
                      <w:sz w:val="24"/>
                      <w:szCs w:val="24"/>
                    </w:rPr>
                  </w:pPr>
                  <w:r w:rsidRPr="0057037A">
                    <w:rPr>
                      <w:rFonts w:ascii="Times New Roman" w:eastAsia="Times New Roman" w:hAnsi="Times New Roman" w:cs="Times New Roman"/>
                      <w:sz w:val="24"/>
                      <w:szCs w:val="24"/>
                      <w:lang w:eastAsia="lv-LV"/>
                    </w:rPr>
                    <w:t>0</w:t>
                  </w:r>
                </w:p>
              </w:tc>
              <w:tc>
                <w:tcPr>
                  <w:tcW w:w="549" w:type="pct"/>
                </w:tcPr>
                <w:p w14:paraId="38579D05" w14:textId="77777777" w:rsidR="00A86745" w:rsidRPr="0057037A" w:rsidRDefault="00A86745">
                  <w:pPr>
                    <w:rPr>
                      <w:rFonts w:ascii="Times New Roman" w:hAnsi="Times New Roman" w:cs="Times New Roman"/>
                      <w:sz w:val="24"/>
                      <w:szCs w:val="24"/>
                    </w:rPr>
                  </w:pPr>
                  <w:r w:rsidRPr="0057037A">
                    <w:rPr>
                      <w:rFonts w:ascii="Times New Roman" w:eastAsia="Times New Roman" w:hAnsi="Times New Roman" w:cs="Times New Roman"/>
                      <w:sz w:val="24"/>
                      <w:szCs w:val="24"/>
                      <w:lang w:eastAsia="lv-LV"/>
                    </w:rPr>
                    <w:t>0</w:t>
                  </w:r>
                </w:p>
              </w:tc>
              <w:tc>
                <w:tcPr>
                  <w:tcW w:w="550" w:type="pct"/>
                </w:tcPr>
                <w:p w14:paraId="142FA8A7" w14:textId="77777777" w:rsidR="00A86745" w:rsidRPr="0057037A" w:rsidRDefault="00A86745">
                  <w:pPr>
                    <w:rPr>
                      <w:rFonts w:ascii="Times New Roman" w:hAnsi="Times New Roman" w:cs="Times New Roman"/>
                      <w:sz w:val="24"/>
                      <w:szCs w:val="24"/>
                    </w:rPr>
                  </w:pPr>
                  <w:r w:rsidRPr="0057037A">
                    <w:rPr>
                      <w:rFonts w:ascii="Times New Roman" w:eastAsia="Times New Roman" w:hAnsi="Times New Roman" w:cs="Times New Roman"/>
                      <w:sz w:val="24"/>
                      <w:szCs w:val="24"/>
                      <w:lang w:eastAsia="lv-LV"/>
                    </w:rPr>
                    <w:t>0</w:t>
                  </w:r>
                </w:p>
              </w:tc>
              <w:tc>
                <w:tcPr>
                  <w:tcW w:w="1623" w:type="pct"/>
                </w:tcPr>
                <w:p w14:paraId="0365CE5C" w14:textId="77777777" w:rsidR="00A86745" w:rsidRPr="0057037A" w:rsidRDefault="00A86745">
                  <w:pPr>
                    <w:rPr>
                      <w:rFonts w:ascii="Times New Roman" w:hAnsi="Times New Roman" w:cs="Times New Roman"/>
                      <w:sz w:val="24"/>
                      <w:szCs w:val="24"/>
                    </w:rPr>
                  </w:pPr>
                  <w:r w:rsidRPr="0057037A">
                    <w:rPr>
                      <w:rFonts w:ascii="Times New Roman" w:eastAsia="Times New Roman" w:hAnsi="Times New Roman" w:cs="Times New Roman"/>
                      <w:sz w:val="24"/>
                      <w:szCs w:val="24"/>
                      <w:lang w:eastAsia="lv-LV"/>
                    </w:rPr>
                    <w:t>0</w:t>
                  </w:r>
                </w:p>
              </w:tc>
            </w:tr>
            <w:tr w:rsidR="00D910F5" w:rsidRPr="0057037A" w14:paraId="69DC66BD" w14:textId="77777777" w:rsidTr="00D47FF5">
              <w:trPr>
                <w:trHeight w:val="441"/>
                <w:tblCellSpacing w:w="15" w:type="dxa"/>
                <w:jc w:val="center"/>
              </w:trPr>
              <w:tc>
                <w:tcPr>
                  <w:tcW w:w="926" w:type="pct"/>
                  <w:hideMark/>
                </w:tcPr>
                <w:p w14:paraId="6A7FB91A" w14:textId="5DECAB1F" w:rsidR="00D910F5" w:rsidRPr="00176DE8" w:rsidRDefault="00D910F5" w:rsidP="00544C0B">
                  <w:pPr>
                    <w:rPr>
                      <w:rFonts w:ascii="Times New Roman" w:eastAsia="Times New Roman" w:hAnsi="Times New Roman" w:cs="Times New Roman"/>
                      <w:sz w:val="24"/>
                      <w:szCs w:val="24"/>
                      <w:lang w:eastAsia="lv-LV"/>
                    </w:rPr>
                  </w:pPr>
                  <w:r w:rsidRPr="0057037A">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4025" w:type="pct"/>
                  <w:gridSpan w:val="5"/>
                  <w:vMerge w:val="restart"/>
                </w:tcPr>
                <w:p w14:paraId="733FD5E6" w14:textId="77777777" w:rsidR="00B8188F" w:rsidRPr="00071019" w:rsidRDefault="00B8188F" w:rsidP="00B8188F">
                  <w:pPr>
                    <w:jc w:val="both"/>
                    <w:rPr>
                      <w:rFonts w:ascii="Times New Roman" w:hAnsi="Times New Roman"/>
                      <w:sz w:val="24"/>
                      <w:szCs w:val="24"/>
                    </w:rPr>
                  </w:pPr>
                  <w:r w:rsidRPr="00071019">
                    <w:rPr>
                      <w:rFonts w:ascii="Times New Roman" w:hAnsi="Times New Roman"/>
                      <w:sz w:val="24"/>
                      <w:szCs w:val="24"/>
                    </w:rPr>
                    <w:t>Likumprojekts paredz noteikt valsts nodevu par apvienošanās izvērtēšanu no 2016.gada 1.janvāra.</w:t>
                  </w:r>
                </w:p>
                <w:p w14:paraId="72FDC7E5" w14:textId="77777777" w:rsidR="00B8188F" w:rsidRPr="00071019" w:rsidRDefault="00B8188F" w:rsidP="00B8188F">
                  <w:pPr>
                    <w:jc w:val="both"/>
                    <w:rPr>
                      <w:rFonts w:ascii="Times New Roman" w:hAnsi="Times New Roman"/>
                      <w:sz w:val="24"/>
                      <w:szCs w:val="24"/>
                    </w:rPr>
                  </w:pPr>
                  <w:r w:rsidRPr="00071019">
                    <w:rPr>
                      <w:rFonts w:ascii="Times New Roman" w:hAnsi="Times New Roman"/>
                      <w:sz w:val="24"/>
                      <w:szCs w:val="24"/>
                    </w:rPr>
                    <w:t xml:space="preserve">Precīza ietekme uz valsts budžetu nav nosakāma, jo apvienošanās skaits un tā pieaugums vai samazinājums nav precīzi prognozējams un ir lielā mērā saistīts ar valsts ekonomisko attīstību. Tomēr uzskatāms, ka līdz ar ekonomiskās situācijas uzlabošanos un straujāku attīstību paziņojamo apvienošanās skaitam ir tendence pieaugt. </w:t>
                  </w:r>
                </w:p>
                <w:p w14:paraId="0CEA9966" w14:textId="77777777" w:rsidR="00B8188F" w:rsidRPr="00071019" w:rsidRDefault="00B8188F" w:rsidP="00B8188F">
                  <w:pPr>
                    <w:jc w:val="both"/>
                    <w:rPr>
                      <w:rFonts w:ascii="Times New Roman" w:hAnsi="Times New Roman"/>
                      <w:sz w:val="24"/>
                      <w:szCs w:val="24"/>
                    </w:rPr>
                  </w:pPr>
                  <w:r w:rsidRPr="00071019">
                    <w:rPr>
                      <w:rFonts w:ascii="Times New Roman" w:hAnsi="Times New Roman"/>
                      <w:sz w:val="24"/>
                      <w:szCs w:val="24"/>
                    </w:rPr>
                    <w:t xml:space="preserve">Nodevas apjoms plānots diferencēts atbilstoši apvienošanās iesaistīto tirgus dalībnieku apgrozījumam Latvijā. Attiecīgi, ja tiek iesniegts saīsinātais apvienošanās ziņojums, nodeva paredzēta 2000 </w:t>
                  </w:r>
                  <w:proofErr w:type="spellStart"/>
                  <w:r w:rsidRPr="00AA699D">
                    <w:rPr>
                      <w:rFonts w:ascii="Times New Roman" w:hAnsi="Times New Roman"/>
                      <w:i/>
                      <w:sz w:val="24"/>
                      <w:szCs w:val="24"/>
                    </w:rPr>
                    <w:t>euro</w:t>
                  </w:r>
                  <w:proofErr w:type="spellEnd"/>
                  <w:r w:rsidRPr="00071019">
                    <w:rPr>
                      <w:rFonts w:ascii="Times New Roman" w:hAnsi="Times New Roman"/>
                      <w:sz w:val="24"/>
                      <w:szCs w:val="24"/>
                    </w:rPr>
                    <w:t xml:space="preserve"> apmērā, šāda summa paredzēta arī gadījumiem, kad apvienošanās neatbilst paziņošanas kritērijiem, tomēr ziņojums tiek iesniegts pēc Konkurences padomes lūguma. Apvienošanās izvērtēšanas nodeva paredzēta 4000 </w:t>
                  </w:r>
                  <w:proofErr w:type="spellStart"/>
                  <w:r w:rsidRPr="00071019">
                    <w:rPr>
                      <w:rFonts w:ascii="Times New Roman" w:hAnsi="Times New Roman"/>
                      <w:i/>
                      <w:iCs/>
                      <w:sz w:val="24"/>
                      <w:szCs w:val="24"/>
                      <w:shd w:val="clear" w:color="auto" w:fill="FFFFFF"/>
                    </w:rPr>
                    <w:t>euro</w:t>
                  </w:r>
                  <w:proofErr w:type="spellEnd"/>
                  <w:r w:rsidRPr="00071019">
                    <w:rPr>
                      <w:rFonts w:ascii="Times New Roman" w:hAnsi="Times New Roman"/>
                      <w:sz w:val="24"/>
                      <w:szCs w:val="24"/>
                      <w:shd w:val="clear" w:color="auto" w:fill="FFFFFF"/>
                    </w:rPr>
                    <w:t xml:space="preserve"> apmērā, ja apvienošanās dalībnieku </w:t>
                  </w:r>
                  <w:r w:rsidRPr="00071019">
                    <w:rPr>
                      <w:rFonts w:ascii="Times New Roman" w:hAnsi="Times New Roman"/>
                      <w:sz w:val="24"/>
                      <w:szCs w:val="24"/>
                    </w:rPr>
                    <w:t xml:space="preserve">kopējais apgrozījums iepriekšējā finanšu gadā Latvijas teritorijā ir starp 30 miljoniem </w:t>
                  </w:r>
                  <w:proofErr w:type="spellStart"/>
                  <w:r w:rsidRPr="00071019">
                    <w:rPr>
                      <w:rFonts w:ascii="Times New Roman" w:hAnsi="Times New Roman"/>
                      <w:i/>
                      <w:iCs/>
                      <w:sz w:val="24"/>
                      <w:szCs w:val="24"/>
                    </w:rPr>
                    <w:t>euro</w:t>
                  </w:r>
                  <w:proofErr w:type="spellEnd"/>
                  <w:r w:rsidRPr="00071019">
                    <w:rPr>
                      <w:rFonts w:ascii="Times New Roman" w:hAnsi="Times New Roman"/>
                      <w:sz w:val="24"/>
                      <w:szCs w:val="24"/>
                    </w:rPr>
                    <w:t xml:space="preserve"> un 80 miljoniem </w:t>
                  </w:r>
                  <w:proofErr w:type="spellStart"/>
                  <w:r w:rsidRPr="00071019">
                    <w:rPr>
                      <w:rFonts w:ascii="Times New Roman" w:hAnsi="Times New Roman"/>
                      <w:i/>
                      <w:iCs/>
                      <w:sz w:val="24"/>
                      <w:szCs w:val="24"/>
                    </w:rPr>
                    <w:t>euro</w:t>
                  </w:r>
                  <w:proofErr w:type="spellEnd"/>
                  <w:r w:rsidRPr="00071019">
                    <w:rPr>
                      <w:rFonts w:ascii="Times New Roman" w:hAnsi="Times New Roman"/>
                      <w:sz w:val="24"/>
                      <w:szCs w:val="24"/>
                    </w:rPr>
                    <w:t xml:space="preserve"> un </w:t>
                  </w:r>
                  <w:r w:rsidRPr="00071019">
                    <w:rPr>
                      <w:rFonts w:ascii="Times New Roman" w:hAnsi="Times New Roman"/>
                      <w:sz w:val="24"/>
                      <w:szCs w:val="24"/>
                      <w:shd w:val="clear" w:color="auto" w:fill="FFFFFF"/>
                    </w:rPr>
                    <w:t xml:space="preserve">8000 </w:t>
                  </w:r>
                  <w:proofErr w:type="spellStart"/>
                  <w:r w:rsidRPr="00071019">
                    <w:rPr>
                      <w:rFonts w:ascii="Times New Roman" w:hAnsi="Times New Roman"/>
                      <w:i/>
                      <w:iCs/>
                      <w:sz w:val="24"/>
                      <w:szCs w:val="24"/>
                      <w:shd w:val="clear" w:color="auto" w:fill="FFFFFF"/>
                    </w:rPr>
                    <w:t>euro</w:t>
                  </w:r>
                  <w:proofErr w:type="spellEnd"/>
                  <w:r w:rsidRPr="00071019">
                    <w:rPr>
                      <w:rFonts w:ascii="Times New Roman" w:hAnsi="Times New Roman"/>
                      <w:sz w:val="24"/>
                      <w:szCs w:val="24"/>
                    </w:rPr>
                    <w:t xml:space="preserve"> apmērā,  </w:t>
                  </w:r>
                  <w:r w:rsidRPr="00071019">
                    <w:rPr>
                      <w:rFonts w:ascii="Times New Roman" w:hAnsi="Times New Roman"/>
                      <w:sz w:val="24"/>
                      <w:szCs w:val="24"/>
                      <w:shd w:val="clear" w:color="auto" w:fill="FFFFFF"/>
                    </w:rPr>
                    <w:t xml:space="preserve">ja apvienošanās dalībnieku </w:t>
                  </w:r>
                  <w:r w:rsidRPr="00071019">
                    <w:rPr>
                      <w:rFonts w:ascii="Times New Roman" w:hAnsi="Times New Roman"/>
                      <w:sz w:val="24"/>
                      <w:szCs w:val="24"/>
                    </w:rPr>
                    <w:t xml:space="preserve">kopējais apgrozījums iepriekšējā finanšu gadā Latvijas teritorijā pārsniedz 80 miljonus </w:t>
                  </w:r>
                  <w:proofErr w:type="spellStart"/>
                  <w:r w:rsidRPr="00071019">
                    <w:rPr>
                      <w:rFonts w:ascii="Times New Roman" w:hAnsi="Times New Roman"/>
                      <w:i/>
                      <w:iCs/>
                      <w:sz w:val="24"/>
                      <w:szCs w:val="24"/>
                    </w:rPr>
                    <w:t>euro</w:t>
                  </w:r>
                  <w:proofErr w:type="spellEnd"/>
                  <w:r w:rsidRPr="00071019">
                    <w:rPr>
                      <w:rFonts w:ascii="Times New Roman" w:hAnsi="Times New Roman"/>
                      <w:sz w:val="24"/>
                      <w:szCs w:val="24"/>
                    </w:rPr>
                    <w:t>.</w:t>
                  </w:r>
                </w:p>
                <w:p w14:paraId="1F0BA59D" w14:textId="77777777" w:rsidR="00B8188F" w:rsidRPr="00071019" w:rsidRDefault="00B8188F" w:rsidP="00B8188F">
                  <w:pPr>
                    <w:jc w:val="both"/>
                    <w:rPr>
                      <w:rFonts w:ascii="Times New Roman" w:hAnsi="Times New Roman"/>
                      <w:sz w:val="24"/>
                      <w:szCs w:val="24"/>
                    </w:rPr>
                  </w:pPr>
                </w:p>
                <w:p w14:paraId="1CDD3D6C" w14:textId="789BD510" w:rsidR="00B8188F" w:rsidRPr="00071019" w:rsidRDefault="00B8188F" w:rsidP="00B8188F">
                  <w:pPr>
                    <w:jc w:val="both"/>
                    <w:rPr>
                      <w:rFonts w:ascii="Times New Roman" w:hAnsi="Times New Roman"/>
                      <w:sz w:val="24"/>
                      <w:szCs w:val="24"/>
                    </w:rPr>
                  </w:pPr>
                  <w:r w:rsidRPr="00071019">
                    <w:rPr>
                      <w:rFonts w:ascii="Times New Roman" w:hAnsi="Times New Roman"/>
                      <w:sz w:val="24"/>
                      <w:szCs w:val="24"/>
                    </w:rPr>
                    <w:t xml:space="preserve">Attiecīgi prognozējams, ka 2016.gadā varētu tikt paziņotas </w:t>
                  </w:r>
                  <w:r w:rsidR="00AA699D">
                    <w:rPr>
                      <w:rFonts w:ascii="Times New Roman" w:hAnsi="Times New Roman"/>
                      <w:sz w:val="24"/>
                      <w:szCs w:val="24"/>
                    </w:rPr>
                    <w:t>trīs</w:t>
                  </w:r>
                  <w:r w:rsidRPr="00071019">
                    <w:rPr>
                      <w:rFonts w:ascii="Times New Roman" w:hAnsi="Times New Roman"/>
                      <w:sz w:val="24"/>
                      <w:szCs w:val="24"/>
                    </w:rPr>
                    <w:t xml:space="preserve"> apvienošanās, kuru nodeva būtu 2000 </w:t>
                  </w:r>
                  <w:proofErr w:type="spellStart"/>
                  <w:r w:rsidRPr="00AA699D">
                    <w:rPr>
                      <w:rFonts w:ascii="Times New Roman" w:hAnsi="Times New Roman"/>
                      <w:i/>
                      <w:sz w:val="24"/>
                      <w:szCs w:val="24"/>
                    </w:rPr>
                    <w:t>euro</w:t>
                  </w:r>
                  <w:proofErr w:type="spellEnd"/>
                  <w:r w:rsidRPr="00071019">
                    <w:rPr>
                      <w:rFonts w:ascii="Times New Roman" w:hAnsi="Times New Roman"/>
                      <w:sz w:val="24"/>
                      <w:szCs w:val="24"/>
                    </w:rPr>
                    <w:t xml:space="preserve">, </w:t>
                  </w:r>
                  <w:r w:rsidR="00AA699D">
                    <w:rPr>
                      <w:rFonts w:ascii="Times New Roman" w:hAnsi="Times New Roman"/>
                      <w:sz w:val="24"/>
                      <w:szCs w:val="24"/>
                    </w:rPr>
                    <w:t>trīs apvienošanās</w:t>
                  </w:r>
                  <w:r w:rsidRPr="00071019">
                    <w:rPr>
                      <w:rFonts w:ascii="Times New Roman" w:hAnsi="Times New Roman"/>
                      <w:sz w:val="24"/>
                      <w:szCs w:val="24"/>
                    </w:rPr>
                    <w:t xml:space="preserve">, kuru nodeva būtu 4000 </w:t>
                  </w:r>
                  <w:proofErr w:type="spellStart"/>
                  <w:r w:rsidRPr="00AA699D">
                    <w:rPr>
                      <w:rFonts w:ascii="Times New Roman" w:hAnsi="Times New Roman"/>
                      <w:i/>
                      <w:sz w:val="24"/>
                      <w:szCs w:val="24"/>
                    </w:rPr>
                    <w:t>euro</w:t>
                  </w:r>
                  <w:proofErr w:type="spellEnd"/>
                  <w:r w:rsidRPr="00071019">
                    <w:rPr>
                      <w:rFonts w:ascii="Times New Roman" w:hAnsi="Times New Roman"/>
                      <w:sz w:val="24"/>
                      <w:szCs w:val="24"/>
                    </w:rPr>
                    <w:t xml:space="preserve">, un </w:t>
                  </w:r>
                  <w:r w:rsidR="00AA699D">
                    <w:rPr>
                      <w:rFonts w:ascii="Times New Roman" w:hAnsi="Times New Roman"/>
                      <w:sz w:val="24"/>
                      <w:szCs w:val="24"/>
                    </w:rPr>
                    <w:t>piecas apvienošanās</w:t>
                  </w:r>
                  <w:r w:rsidRPr="00071019">
                    <w:rPr>
                      <w:rFonts w:ascii="Times New Roman" w:hAnsi="Times New Roman"/>
                      <w:sz w:val="24"/>
                      <w:szCs w:val="24"/>
                    </w:rPr>
                    <w:t xml:space="preserve">, kuru nodeva būtu 8000 </w:t>
                  </w:r>
                  <w:proofErr w:type="spellStart"/>
                  <w:r w:rsidRPr="00AA699D">
                    <w:rPr>
                      <w:rFonts w:ascii="Times New Roman" w:hAnsi="Times New Roman"/>
                      <w:i/>
                      <w:sz w:val="24"/>
                      <w:szCs w:val="24"/>
                    </w:rPr>
                    <w:t>euro</w:t>
                  </w:r>
                  <w:proofErr w:type="spellEnd"/>
                  <w:r w:rsidRPr="00071019">
                    <w:rPr>
                      <w:rFonts w:ascii="Times New Roman" w:hAnsi="Times New Roman"/>
                      <w:sz w:val="24"/>
                      <w:szCs w:val="24"/>
                    </w:rPr>
                    <w:t xml:space="preserve">, kā rezultātā kopējā nodevu summa </w:t>
                  </w:r>
                  <w:r w:rsidR="00AA699D">
                    <w:rPr>
                      <w:rFonts w:ascii="Times New Roman" w:hAnsi="Times New Roman"/>
                      <w:sz w:val="24"/>
                      <w:szCs w:val="24"/>
                    </w:rPr>
                    <w:t>veidotu</w:t>
                  </w:r>
                  <w:r w:rsidRPr="00071019">
                    <w:rPr>
                      <w:rFonts w:ascii="Times New Roman" w:hAnsi="Times New Roman"/>
                      <w:sz w:val="24"/>
                      <w:szCs w:val="24"/>
                    </w:rPr>
                    <w:t xml:space="preserve">  58 tūkst. </w:t>
                  </w:r>
                  <w:proofErr w:type="spellStart"/>
                  <w:r w:rsidRPr="00AA699D">
                    <w:rPr>
                      <w:rFonts w:ascii="Times New Roman" w:hAnsi="Times New Roman"/>
                      <w:i/>
                      <w:sz w:val="24"/>
                      <w:szCs w:val="24"/>
                    </w:rPr>
                    <w:t>euro</w:t>
                  </w:r>
                  <w:proofErr w:type="spellEnd"/>
                  <w:r w:rsidRPr="00071019">
                    <w:rPr>
                      <w:rFonts w:ascii="Times New Roman" w:hAnsi="Times New Roman"/>
                      <w:sz w:val="24"/>
                      <w:szCs w:val="24"/>
                    </w:rPr>
                    <w:t xml:space="preserve">. Savukārt 2017.gadā apvienošanās </w:t>
                  </w:r>
                  <w:r w:rsidRPr="00071019">
                    <w:rPr>
                      <w:rFonts w:ascii="Times New Roman" w:hAnsi="Times New Roman"/>
                      <w:sz w:val="24"/>
                      <w:szCs w:val="24"/>
                    </w:rPr>
                    <w:lastRenderedPageBreak/>
                    <w:t xml:space="preserve">skaits varētu palielināties </w:t>
                  </w:r>
                  <w:r w:rsidR="00AA699D">
                    <w:rPr>
                      <w:rFonts w:ascii="Times New Roman" w:hAnsi="Times New Roman"/>
                      <w:sz w:val="24"/>
                      <w:szCs w:val="24"/>
                    </w:rPr>
                    <w:t xml:space="preserve">vēl </w:t>
                  </w:r>
                  <w:r w:rsidRPr="00071019">
                    <w:rPr>
                      <w:rFonts w:ascii="Times New Roman" w:hAnsi="Times New Roman"/>
                      <w:sz w:val="24"/>
                      <w:szCs w:val="24"/>
                    </w:rPr>
                    <w:t xml:space="preserve">par vienu apvienošanos, kuras nodeva būtu 2000 </w:t>
                  </w:r>
                  <w:proofErr w:type="spellStart"/>
                  <w:r w:rsidRPr="00AA699D">
                    <w:rPr>
                      <w:rFonts w:ascii="Times New Roman" w:hAnsi="Times New Roman"/>
                      <w:i/>
                      <w:sz w:val="24"/>
                      <w:szCs w:val="24"/>
                    </w:rPr>
                    <w:t>euro</w:t>
                  </w:r>
                  <w:proofErr w:type="spellEnd"/>
                  <w:r w:rsidRPr="00071019">
                    <w:rPr>
                      <w:rFonts w:ascii="Times New Roman" w:hAnsi="Times New Roman"/>
                      <w:sz w:val="24"/>
                      <w:szCs w:val="24"/>
                    </w:rPr>
                    <w:t xml:space="preserve"> apmērā. Attiecīgi 2017. gadā kopēj</w:t>
                  </w:r>
                  <w:r w:rsidR="00A67870">
                    <w:rPr>
                      <w:rFonts w:ascii="Times New Roman" w:hAnsi="Times New Roman"/>
                      <w:sz w:val="24"/>
                      <w:szCs w:val="24"/>
                    </w:rPr>
                    <w:t>ā</w:t>
                  </w:r>
                  <w:r w:rsidRPr="00071019">
                    <w:rPr>
                      <w:rFonts w:ascii="Times New Roman" w:hAnsi="Times New Roman"/>
                      <w:sz w:val="24"/>
                      <w:szCs w:val="24"/>
                    </w:rPr>
                    <w:t xml:space="preserve"> </w:t>
                  </w:r>
                  <w:r w:rsidR="00AA699D">
                    <w:rPr>
                      <w:rFonts w:ascii="Times New Roman" w:hAnsi="Times New Roman"/>
                      <w:sz w:val="24"/>
                      <w:szCs w:val="24"/>
                    </w:rPr>
                    <w:t>ieturēt</w:t>
                  </w:r>
                  <w:r w:rsidR="00A67870">
                    <w:rPr>
                      <w:rFonts w:ascii="Times New Roman" w:hAnsi="Times New Roman"/>
                      <w:sz w:val="24"/>
                      <w:szCs w:val="24"/>
                    </w:rPr>
                    <w:t>ā</w:t>
                  </w:r>
                  <w:r w:rsidR="00AA699D">
                    <w:rPr>
                      <w:rFonts w:ascii="Times New Roman" w:hAnsi="Times New Roman"/>
                      <w:sz w:val="24"/>
                      <w:szCs w:val="24"/>
                    </w:rPr>
                    <w:t xml:space="preserve"> </w:t>
                  </w:r>
                  <w:r w:rsidRPr="00071019">
                    <w:rPr>
                      <w:rFonts w:ascii="Times New Roman" w:hAnsi="Times New Roman"/>
                      <w:sz w:val="24"/>
                      <w:szCs w:val="24"/>
                    </w:rPr>
                    <w:t>nodev</w:t>
                  </w:r>
                  <w:r w:rsidR="00AA699D">
                    <w:rPr>
                      <w:rFonts w:ascii="Times New Roman" w:hAnsi="Times New Roman"/>
                      <w:sz w:val="24"/>
                      <w:szCs w:val="24"/>
                    </w:rPr>
                    <w:t>as</w:t>
                  </w:r>
                  <w:r w:rsidRPr="00071019">
                    <w:rPr>
                      <w:rFonts w:ascii="Times New Roman" w:hAnsi="Times New Roman"/>
                      <w:sz w:val="24"/>
                      <w:szCs w:val="24"/>
                    </w:rPr>
                    <w:t xml:space="preserve"> </w:t>
                  </w:r>
                  <w:r w:rsidR="00A67870">
                    <w:rPr>
                      <w:rFonts w:ascii="Times New Roman" w:hAnsi="Times New Roman"/>
                      <w:sz w:val="24"/>
                      <w:szCs w:val="24"/>
                    </w:rPr>
                    <w:t>summa</w:t>
                  </w:r>
                  <w:r w:rsidRPr="00071019">
                    <w:rPr>
                      <w:rFonts w:ascii="Times New Roman" w:hAnsi="Times New Roman"/>
                      <w:sz w:val="24"/>
                      <w:szCs w:val="24"/>
                    </w:rPr>
                    <w:t xml:space="preserve"> varētu sasniegt 60 tūkst. </w:t>
                  </w:r>
                  <w:proofErr w:type="spellStart"/>
                  <w:r w:rsidRPr="00AA699D">
                    <w:rPr>
                      <w:rFonts w:ascii="Times New Roman" w:hAnsi="Times New Roman"/>
                      <w:i/>
                      <w:sz w:val="24"/>
                      <w:szCs w:val="24"/>
                    </w:rPr>
                    <w:t>euro</w:t>
                  </w:r>
                  <w:proofErr w:type="spellEnd"/>
                  <w:r w:rsidR="00AA699D">
                    <w:rPr>
                      <w:rFonts w:ascii="Times New Roman" w:hAnsi="Times New Roman"/>
                      <w:i/>
                      <w:sz w:val="24"/>
                      <w:szCs w:val="24"/>
                    </w:rPr>
                    <w:t xml:space="preserve"> </w:t>
                  </w:r>
                  <w:r w:rsidR="00AA699D" w:rsidRPr="00AA699D">
                    <w:rPr>
                      <w:rFonts w:ascii="Times New Roman" w:hAnsi="Times New Roman"/>
                      <w:sz w:val="24"/>
                      <w:szCs w:val="24"/>
                    </w:rPr>
                    <w:t>un</w:t>
                  </w:r>
                  <w:r w:rsidR="00AA699D">
                    <w:rPr>
                      <w:rFonts w:ascii="Times New Roman" w:hAnsi="Times New Roman"/>
                      <w:sz w:val="24"/>
                      <w:szCs w:val="24"/>
                    </w:rPr>
                    <w:t>,</w:t>
                  </w:r>
                  <w:r w:rsidR="00AA699D" w:rsidRPr="00AA699D">
                    <w:rPr>
                      <w:rFonts w:ascii="Times New Roman" w:hAnsi="Times New Roman"/>
                      <w:sz w:val="24"/>
                      <w:szCs w:val="24"/>
                    </w:rPr>
                    <w:t xml:space="preserve"> </w:t>
                  </w:r>
                  <w:r w:rsidR="00AA699D">
                    <w:rPr>
                      <w:rFonts w:ascii="Times New Roman" w:hAnsi="Times New Roman"/>
                      <w:sz w:val="24"/>
                      <w:szCs w:val="24"/>
                    </w:rPr>
                    <w:t>prognozējams, ka š</w:t>
                  </w:r>
                  <w:r w:rsidRPr="00071019">
                    <w:rPr>
                      <w:rFonts w:ascii="Times New Roman" w:hAnsi="Times New Roman"/>
                      <w:sz w:val="24"/>
                      <w:szCs w:val="24"/>
                    </w:rPr>
                    <w:t>ād</w:t>
                  </w:r>
                  <w:r w:rsidR="00696C00">
                    <w:rPr>
                      <w:rFonts w:ascii="Times New Roman" w:hAnsi="Times New Roman"/>
                      <w:sz w:val="24"/>
                      <w:szCs w:val="24"/>
                    </w:rPr>
                    <w:t>a</w:t>
                  </w:r>
                  <w:r w:rsidRPr="00071019">
                    <w:rPr>
                      <w:rFonts w:ascii="Times New Roman" w:hAnsi="Times New Roman"/>
                      <w:sz w:val="24"/>
                      <w:szCs w:val="24"/>
                    </w:rPr>
                    <w:t xml:space="preserve"> </w:t>
                  </w:r>
                  <w:r w:rsidR="00AA699D">
                    <w:rPr>
                      <w:rFonts w:ascii="Times New Roman" w:hAnsi="Times New Roman"/>
                      <w:sz w:val="24"/>
                      <w:szCs w:val="24"/>
                    </w:rPr>
                    <w:t xml:space="preserve">nodevas </w:t>
                  </w:r>
                  <w:r w:rsidRPr="00071019">
                    <w:rPr>
                      <w:rFonts w:ascii="Times New Roman" w:hAnsi="Times New Roman"/>
                      <w:sz w:val="24"/>
                      <w:szCs w:val="24"/>
                    </w:rPr>
                    <w:t xml:space="preserve">summa </w:t>
                  </w:r>
                  <w:r w:rsidR="00A67870">
                    <w:rPr>
                      <w:rFonts w:ascii="Times New Roman" w:hAnsi="Times New Roman"/>
                      <w:sz w:val="24"/>
                      <w:szCs w:val="24"/>
                    </w:rPr>
                    <w:t>varētu tikt ieturēta</w:t>
                  </w:r>
                  <w:r w:rsidRPr="00071019">
                    <w:rPr>
                      <w:rFonts w:ascii="Times New Roman" w:hAnsi="Times New Roman"/>
                      <w:sz w:val="24"/>
                      <w:szCs w:val="24"/>
                    </w:rPr>
                    <w:t xml:space="preserve"> arī 2018.gadā.</w:t>
                  </w:r>
                </w:p>
                <w:p w14:paraId="6E8A135A" w14:textId="77777777" w:rsidR="00B8188F" w:rsidRPr="00071019" w:rsidRDefault="00B8188F" w:rsidP="00B8188F">
                  <w:pPr>
                    <w:jc w:val="both"/>
                    <w:rPr>
                      <w:rFonts w:ascii="Times New Roman" w:hAnsi="Times New Roman"/>
                      <w:sz w:val="24"/>
                      <w:szCs w:val="24"/>
                    </w:rPr>
                  </w:pPr>
                </w:p>
                <w:p w14:paraId="050AD9E3" w14:textId="6A6E040E" w:rsidR="004C6EC4" w:rsidRDefault="004C6EC4" w:rsidP="004C6EC4">
                  <w:pPr>
                    <w:shd w:val="clear" w:color="auto" w:fill="FFFFFF"/>
                    <w:jc w:val="both"/>
                    <w:rPr>
                      <w:rFonts w:ascii="Times New Roman" w:hAnsi="Times New Roman"/>
                      <w:color w:val="000000"/>
                      <w:sz w:val="24"/>
                      <w:szCs w:val="24"/>
                    </w:rPr>
                  </w:pPr>
                  <w:r>
                    <w:rPr>
                      <w:rFonts w:ascii="Times New Roman" w:hAnsi="Times New Roman"/>
                      <w:b/>
                      <w:bCs/>
                      <w:color w:val="000000"/>
                      <w:sz w:val="24"/>
                      <w:szCs w:val="24"/>
                    </w:rPr>
                    <w:t xml:space="preserve">Finansējums daļējai Konkurences padomes </w:t>
                  </w:r>
                  <w:r>
                    <w:rPr>
                      <w:rFonts w:ascii="Times New Roman" w:hAnsi="Times New Roman"/>
                      <w:b/>
                      <w:bCs/>
                      <w:sz w:val="24"/>
                      <w:szCs w:val="24"/>
                    </w:rPr>
                    <w:t xml:space="preserve">administratīvās </w:t>
                  </w:r>
                  <w:r>
                    <w:rPr>
                      <w:rFonts w:ascii="Times New Roman" w:hAnsi="Times New Roman"/>
                      <w:b/>
                      <w:bCs/>
                      <w:color w:val="000000"/>
                      <w:sz w:val="24"/>
                      <w:szCs w:val="24"/>
                    </w:rPr>
                    <w:t>kapacitātes stiprināšanai sākot no 2016.gada –57 69</w:t>
                  </w:r>
                  <w:r w:rsidR="00D47FF5">
                    <w:rPr>
                      <w:rFonts w:ascii="Times New Roman" w:hAnsi="Times New Roman"/>
                      <w:b/>
                      <w:bCs/>
                      <w:color w:val="000000"/>
                      <w:sz w:val="24"/>
                      <w:szCs w:val="24"/>
                    </w:rPr>
                    <w:t>0</w:t>
                  </w:r>
                  <w:r>
                    <w:rPr>
                      <w:rFonts w:ascii="Times New Roman" w:hAnsi="Times New Roman"/>
                      <w:b/>
                      <w:bCs/>
                      <w:color w:val="000000"/>
                      <w:sz w:val="24"/>
                      <w:szCs w:val="24"/>
                    </w:rPr>
                    <w:t xml:space="preserve"> </w:t>
                  </w:r>
                  <w:proofErr w:type="spellStart"/>
                  <w:r>
                    <w:rPr>
                      <w:rFonts w:ascii="Times New Roman" w:hAnsi="Times New Roman"/>
                      <w:b/>
                      <w:bCs/>
                      <w:i/>
                      <w:iCs/>
                      <w:color w:val="000000"/>
                      <w:sz w:val="24"/>
                      <w:szCs w:val="24"/>
                    </w:rPr>
                    <w:t>euro</w:t>
                  </w:r>
                  <w:proofErr w:type="spellEnd"/>
                </w:p>
                <w:p w14:paraId="101E3CB7" w14:textId="64D2A91F" w:rsidR="00D47FF5" w:rsidRPr="007C4347" w:rsidRDefault="00D47FF5" w:rsidP="00D47FF5">
                  <w:pPr>
                    <w:spacing w:before="120"/>
                    <w:jc w:val="both"/>
                    <w:rPr>
                      <w:rFonts w:ascii="Times New Roman" w:hAnsi="Times New Roman"/>
                      <w:sz w:val="24"/>
                      <w:szCs w:val="24"/>
                      <w:u w:val="single"/>
                    </w:rPr>
                  </w:pPr>
                  <w:r>
                    <w:rPr>
                      <w:rFonts w:ascii="Times New Roman" w:hAnsi="Times New Roman"/>
                      <w:color w:val="000000"/>
                      <w:sz w:val="24"/>
                      <w:szCs w:val="24"/>
                      <w:u w:val="single"/>
                    </w:rPr>
                    <w:t xml:space="preserve">Atalgojuma palielināšana KP izpilddirekcijas </w:t>
                  </w:r>
                  <w:r w:rsidRPr="007C4347">
                    <w:rPr>
                      <w:rFonts w:ascii="Times New Roman" w:hAnsi="Times New Roman"/>
                      <w:color w:val="000000"/>
                      <w:sz w:val="24"/>
                      <w:szCs w:val="24"/>
                      <w:u w:val="single"/>
                    </w:rPr>
                    <w:t>darbiniekiem:</w:t>
                  </w:r>
                </w:p>
                <w:p w14:paraId="730C03C8" w14:textId="77777777" w:rsidR="00D47FF5" w:rsidRPr="007C4347" w:rsidRDefault="00D47FF5" w:rsidP="00D47FF5">
                  <w:pPr>
                    <w:jc w:val="both"/>
                    <w:rPr>
                      <w:rFonts w:ascii="Times New Roman" w:hAnsi="Times New Roman"/>
                      <w:color w:val="000000"/>
                      <w:sz w:val="24"/>
                      <w:szCs w:val="24"/>
                    </w:rPr>
                  </w:pPr>
                  <w:r w:rsidRPr="007C4347">
                    <w:rPr>
                      <w:rFonts w:ascii="Times New Roman" w:hAnsi="Times New Roman"/>
                      <w:sz w:val="24"/>
                      <w:szCs w:val="24"/>
                    </w:rPr>
                    <w:t xml:space="preserve">Lai stiprinātu iestādes kapacitāti, ņemot vērā, ka pašlaik iespējamā Konkurences padomes darbinieku atlīdzība nav pietiekoša, lai ilgākā termiņā noturētu darbiniekus, nepieciešams tuvināt 23 KP Izpilddirekcijas darbinieku pašreizējo atalgojuma līmeni  </w:t>
                  </w:r>
                  <w:r w:rsidRPr="007C4347">
                    <w:rPr>
                      <w:rFonts w:ascii="Times New Roman" w:hAnsi="Times New Roman"/>
                      <w:color w:val="000000"/>
                      <w:sz w:val="24"/>
                      <w:szCs w:val="24"/>
                    </w:rPr>
                    <w:t xml:space="preserve">normatīvajos aktos noteiktajam maksimālajam mēnešalgas amplitūdai. </w:t>
                  </w:r>
                </w:p>
                <w:p w14:paraId="47A73A78" w14:textId="1724B599" w:rsidR="00D47FF5" w:rsidRPr="007C4347" w:rsidRDefault="00D47FF5" w:rsidP="00D47FF5">
                  <w:pPr>
                    <w:jc w:val="both"/>
                    <w:rPr>
                      <w:rFonts w:ascii="Times New Roman" w:hAnsi="Times New Roman"/>
                      <w:color w:val="000000"/>
                      <w:sz w:val="24"/>
                      <w:szCs w:val="24"/>
                    </w:rPr>
                  </w:pPr>
                  <w:r w:rsidRPr="007C4347">
                    <w:rPr>
                      <w:rFonts w:ascii="Times New Roman" w:hAnsi="Times New Roman"/>
                      <w:color w:val="000000"/>
                      <w:sz w:val="24"/>
                      <w:szCs w:val="24"/>
                    </w:rPr>
                    <w:t>Atlīdzības paaugstināšanas lielum</w:t>
                  </w:r>
                  <w:r>
                    <w:rPr>
                      <w:rFonts w:ascii="Times New Roman" w:hAnsi="Times New Roman"/>
                      <w:color w:val="000000"/>
                      <w:sz w:val="24"/>
                      <w:szCs w:val="24"/>
                    </w:rPr>
                    <w:t>s</w:t>
                  </w:r>
                  <w:r w:rsidRPr="007C4347">
                    <w:rPr>
                      <w:rFonts w:ascii="Times New Roman" w:hAnsi="Times New Roman"/>
                      <w:color w:val="000000"/>
                      <w:sz w:val="24"/>
                      <w:szCs w:val="24"/>
                    </w:rPr>
                    <w:t xml:space="preserve"> aprēķināts 83 % apmērā no </w:t>
                  </w:r>
                  <w:r w:rsidRPr="007C4347">
                    <w:rPr>
                      <w:rFonts w:ascii="Times New Roman" w:hAnsi="Times New Roman"/>
                      <w:color w:val="000000"/>
                      <w:sz w:val="24"/>
                      <w:szCs w:val="24"/>
                      <w:u w:val="single"/>
                    </w:rPr>
                    <w:t>starpības</w:t>
                  </w:r>
                  <w:r w:rsidRPr="007C4347">
                    <w:rPr>
                      <w:rFonts w:ascii="Times New Roman" w:hAnsi="Times New Roman"/>
                      <w:color w:val="000000"/>
                      <w:sz w:val="24"/>
                      <w:szCs w:val="24"/>
                    </w:rPr>
                    <w:t xml:space="preserve">  starp normatīvajos aktos noteikto maksimālo mēnešalgu un faktisko mēnešalgu konkrētajām amata vietām, attiecīgi mēnešalgas pieaugumam, nesasniedzot minētajiem amatiem pieļaujamo maksimālo mēnešalgu diapazona ietvaros. </w:t>
                  </w:r>
                </w:p>
                <w:p w14:paraId="757ADFDD" w14:textId="77777777" w:rsidR="00D47FF5" w:rsidRPr="007C4347" w:rsidRDefault="00D47FF5" w:rsidP="00D47FF5">
                  <w:pPr>
                    <w:jc w:val="both"/>
                    <w:rPr>
                      <w:rFonts w:ascii="Times New Roman" w:hAnsi="Times New Roman"/>
                      <w:sz w:val="24"/>
                      <w:szCs w:val="24"/>
                    </w:rPr>
                  </w:pPr>
                  <w:r w:rsidRPr="007C4347">
                    <w:rPr>
                      <w:rFonts w:ascii="Times New Roman" w:hAnsi="Times New Roman"/>
                      <w:color w:val="000000"/>
                      <w:sz w:val="24"/>
                      <w:szCs w:val="24"/>
                    </w:rPr>
                    <w:t>Augstākminētā rezultātā konkrētām amata vietām atlīdzības paaugstinājums procentuāli noteikts individuāli un tiek aprēķināts sekojoši:</w:t>
                  </w:r>
                </w:p>
                <w:p w14:paraId="05EB0C10" w14:textId="77777777" w:rsidR="00D47FF5" w:rsidRPr="007C4347" w:rsidRDefault="00D47FF5" w:rsidP="00D47FF5">
                  <w:pPr>
                    <w:jc w:val="both"/>
                    <w:rPr>
                      <w:rFonts w:ascii="Times New Roman" w:hAnsi="Times New Roman"/>
                      <w:sz w:val="24"/>
                      <w:szCs w:val="24"/>
                    </w:rPr>
                  </w:pPr>
                </w:p>
                <w:p w14:paraId="253A6F25" w14:textId="77777777" w:rsidR="00D47FF5" w:rsidRPr="007C4347" w:rsidRDefault="00D47FF5" w:rsidP="00D47FF5">
                  <w:pPr>
                    <w:shd w:val="clear" w:color="auto" w:fill="FFFFFF"/>
                    <w:jc w:val="both"/>
                    <w:rPr>
                      <w:rFonts w:ascii="Times New Roman" w:hAnsi="Times New Roman" w:cs="Times New Roman"/>
                      <w:color w:val="000000"/>
                      <w:sz w:val="24"/>
                      <w:szCs w:val="24"/>
                      <w:u w:val="single"/>
                    </w:rPr>
                  </w:pPr>
                  <w:r w:rsidRPr="007C4347">
                    <w:rPr>
                      <w:rFonts w:ascii="Times New Roman" w:hAnsi="Times New Roman" w:cs="Times New Roman"/>
                      <w:color w:val="000000"/>
                      <w:sz w:val="24"/>
                      <w:szCs w:val="24"/>
                    </w:rPr>
                    <w:t>Atlīdzības paaugstināšana 23 darbiniekiem –</w:t>
                  </w:r>
                  <w:r w:rsidRPr="007C4347">
                    <w:rPr>
                      <w:rFonts w:ascii="Times New Roman" w:hAnsi="Times New Roman" w:cs="Times New Roman"/>
                      <w:color w:val="000000"/>
                      <w:sz w:val="24"/>
                      <w:szCs w:val="24"/>
                      <w:u w:val="single"/>
                    </w:rPr>
                    <w:t> 48 010 EUR:</w:t>
                  </w:r>
                </w:p>
                <w:p w14:paraId="4DC6B429" w14:textId="77777777" w:rsidR="00D47FF5" w:rsidRPr="007C4347" w:rsidRDefault="00D47FF5" w:rsidP="00D47FF5">
                  <w:pPr>
                    <w:shd w:val="clear" w:color="auto" w:fill="FFFFFF"/>
                    <w:ind w:left="992" w:hanging="794"/>
                    <w:jc w:val="both"/>
                    <w:rPr>
                      <w:rFonts w:ascii="Times New Roman" w:hAnsi="Times New Roman" w:cs="Times New Roman"/>
                      <w:color w:val="000000"/>
                      <w:sz w:val="24"/>
                      <w:szCs w:val="24"/>
                    </w:rPr>
                  </w:pPr>
                  <w:r w:rsidRPr="007C4347">
                    <w:rPr>
                      <w:rFonts w:ascii="Times New Roman" w:hAnsi="Times New Roman" w:cs="Times New Roman"/>
                      <w:color w:val="000000"/>
                      <w:sz w:val="24"/>
                      <w:szCs w:val="24"/>
                    </w:rPr>
                    <w:t>-      </w:t>
                  </w:r>
                  <w:r w:rsidRPr="007C4347">
                    <w:rPr>
                      <w:rFonts w:ascii="Times New Roman" w:hAnsi="Times New Roman" w:cs="Times New Roman"/>
                      <w:b/>
                    </w:rPr>
                    <w:t>26.3 saime, V līmenis, 12.mēnešalgu grupa</w:t>
                  </w:r>
                  <w:r w:rsidRPr="007C4347">
                    <w:rPr>
                      <w:rFonts w:ascii="Times New Roman" w:hAnsi="Times New Roman" w:cs="Times New Roman"/>
                    </w:rPr>
                    <w:t xml:space="preserve">   (3 amatu vietas)</w:t>
                  </w:r>
                </w:p>
                <w:p w14:paraId="5AFA5AF1" w14:textId="77777777" w:rsidR="00D47FF5" w:rsidRPr="007C4347" w:rsidRDefault="00D47FF5" w:rsidP="00D47FF5">
                  <w:pPr>
                    <w:shd w:val="clear" w:color="auto" w:fill="FFFFFF"/>
                    <w:ind w:left="992" w:hanging="794"/>
                    <w:jc w:val="both"/>
                    <w:rPr>
                      <w:rFonts w:ascii="Times New Roman" w:hAnsi="Times New Roman" w:cs="Times New Roman"/>
                      <w:color w:val="000000"/>
                      <w:sz w:val="24"/>
                      <w:szCs w:val="24"/>
                    </w:rPr>
                  </w:pPr>
                  <w:r w:rsidRPr="007C4347">
                    <w:rPr>
                      <w:rFonts w:ascii="Times New Roman" w:hAnsi="Times New Roman" w:cs="Times New Roman"/>
                      <w:color w:val="000000"/>
                      <w:sz w:val="24"/>
                      <w:szCs w:val="24"/>
                    </w:rPr>
                    <w:t xml:space="preserve">  Atalgojums (3 amata vietas, 26.3 saime, V līmenis, 12.mēnešalgu grupa): </w:t>
                  </w:r>
                </w:p>
                <w:p w14:paraId="517FA56B" w14:textId="77777777" w:rsidR="00D47FF5" w:rsidRPr="007C4347" w:rsidRDefault="00D47FF5" w:rsidP="00D47FF5">
                  <w:pPr>
                    <w:shd w:val="clear" w:color="auto" w:fill="FFFFFF"/>
                    <w:ind w:left="992" w:hanging="794"/>
                    <w:jc w:val="both"/>
                    <w:rPr>
                      <w:rFonts w:ascii="Times New Roman" w:hAnsi="Times New Roman" w:cs="Times New Roman"/>
                      <w:color w:val="000000"/>
                      <w:sz w:val="24"/>
                      <w:szCs w:val="24"/>
                    </w:rPr>
                  </w:pPr>
                  <w:r w:rsidRPr="007C4347">
                    <w:rPr>
                      <w:rFonts w:ascii="Times New Roman" w:hAnsi="Times New Roman" w:cs="Times New Roman"/>
                      <w:color w:val="000000"/>
                      <w:sz w:val="24"/>
                      <w:szCs w:val="24"/>
                    </w:rPr>
                    <w:t xml:space="preserve">1500 EUR x 8,13%x 12 </w:t>
                  </w:r>
                  <w:proofErr w:type="spellStart"/>
                  <w:r w:rsidRPr="007C4347">
                    <w:rPr>
                      <w:rFonts w:ascii="Times New Roman" w:hAnsi="Times New Roman" w:cs="Times New Roman"/>
                      <w:color w:val="000000"/>
                      <w:sz w:val="24"/>
                      <w:szCs w:val="24"/>
                    </w:rPr>
                    <w:t>mēn</w:t>
                  </w:r>
                  <w:proofErr w:type="spellEnd"/>
                  <w:r w:rsidRPr="007C4347">
                    <w:rPr>
                      <w:rFonts w:ascii="Times New Roman" w:hAnsi="Times New Roman" w:cs="Times New Roman"/>
                      <w:color w:val="000000"/>
                      <w:sz w:val="24"/>
                      <w:szCs w:val="24"/>
                    </w:rPr>
                    <w:t>. x 3 = 4390 EUR</w:t>
                  </w:r>
                </w:p>
                <w:p w14:paraId="28F9D9DB" w14:textId="77777777" w:rsidR="00D47FF5" w:rsidRPr="007C4347" w:rsidRDefault="00D47FF5" w:rsidP="00D47FF5">
                  <w:pPr>
                    <w:shd w:val="clear" w:color="auto" w:fill="FFFFFF"/>
                    <w:ind w:left="992" w:hanging="794"/>
                    <w:jc w:val="both"/>
                    <w:rPr>
                      <w:rFonts w:ascii="Times New Roman" w:hAnsi="Times New Roman" w:cs="Times New Roman"/>
                      <w:color w:val="000000"/>
                      <w:sz w:val="24"/>
                      <w:szCs w:val="24"/>
                    </w:rPr>
                  </w:pPr>
                  <w:r w:rsidRPr="007C4347">
                    <w:rPr>
                      <w:rFonts w:ascii="Times New Roman" w:hAnsi="Times New Roman" w:cs="Times New Roman"/>
                      <w:color w:val="000000"/>
                      <w:sz w:val="24"/>
                      <w:szCs w:val="24"/>
                    </w:rPr>
                    <w:t xml:space="preserve"> Valsts sociālās apdrošināšanas iemaksas: 23,59% x 4390 EUR = 1036 EUR</w:t>
                  </w:r>
                </w:p>
                <w:p w14:paraId="48A10FCE" w14:textId="77777777" w:rsidR="00D47FF5" w:rsidRPr="007C4347" w:rsidRDefault="00D47FF5" w:rsidP="00D47FF5">
                  <w:pPr>
                    <w:shd w:val="clear" w:color="auto" w:fill="FFFFFF"/>
                    <w:ind w:left="992" w:hanging="794"/>
                    <w:jc w:val="both"/>
                    <w:rPr>
                      <w:rFonts w:ascii="Times New Roman" w:hAnsi="Times New Roman" w:cs="Times New Roman"/>
                    </w:rPr>
                  </w:pPr>
                  <w:r w:rsidRPr="007C4347">
                    <w:rPr>
                      <w:rFonts w:ascii="Times New Roman" w:hAnsi="Times New Roman" w:cs="Times New Roman"/>
                      <w:color w:val="000000"/>
                      <w:sz w:val="24"/>
                      <w:szCs w:val="24"/>
                    </w:rPr>
                    <w:t>-       </w:t>
                  </w:r>
                  <w:r w:rsidRPr="007C4347">
                    <w:rPr>
                      <w:rFonts w:ascii="Times New Roman" w:hAnsi="Times New Roman" w:cs="Times New Roman"/>
                      <w:b/>
                    </w:rPr>
                    <w:t xml:space="preserve">26.3. saime, IV līmenis, 11.mēnešalgu grupa </w:t>
                  </w:r>
                  <w:r w:rsidRPr="007C4347">
                    <w:rPr>
                      <w:rFonts w:ascii="Times New Roman" w:hAnsi="Times New Roman" w:cs="Times New Roman"/>
                    </w:rPr>
                    <w:t>(2 amatu vietas)</w:t>
                  </w:r>
                </w:p>
                <w:p w14:paraId="65E83EC8" w14:textId="77777777" w:rsidR="00D47FF5" w:rsidRPr="007C4347" w:rsidRDefault="00D47FF5" w:rsidP="00D47FF5">
                  <w:pPr>
                    <w:shd w:val="clear" w:color="auto" w:fill="FFFFFF"/>
                    <w:ind w:left="992" w:hanging="794"/>
                    <w:jc w:val="both"/>
                    <w:rPr>
                      <w:rFonts w:ascii="Times New Roman" w:hAnsi="Times New Roman" w:cs="Times New Roman"/>
                      <w:color w:val="000000"/>
                      <w:sz w:val="24"/>
                      <w:szCs w:val="24"/>
                    </w:rPr>
                  </w:pPr>
                  <w:r w:rsidRPr="007C4347">
                    <w:rPr>
                      <w:rFonts w:ascii="Times New Roman" w:hAnsi="Times New Roman" w:cs="Times New Roman"/>
                      <w:color w:val="000000"/>
                      <w:sz w:val="24"/>
                      <w:szCs w:val="24"/>
                    </w:rPr>
                    <w:t xml:space="preserve">Atalgojums (2 amata vietas, 26.3 saime, IV līmenis, 11.mēnešalgu grupa): </w:t>
                  </w:r>
                </w:p>
                <w:p w14:paraId="19BD5C8B" w14:textId="77777777" w:rsidR="00D47FF5" w:rsidRPr="007C4347" w:rsidRDefault="00D47FF5" w:rsidP="00D47FF5">
                  <w:pPr>
                    <w:shd w:val="clear" w:color="auto" w:fill="FFFFFF"/>
                    <w:ind w:left="992" w:hanging="794"/>
                    <w:jc w:val="both"/>
                    <w:rPr>
                      <w:rFonts w:ascii="Times New Roman" w:hAnsi="Times New Roman" w:cs="Times New Roman"/>
                      <w:color w:val="000000"/>
                      <w:sz w:val="24"/>
                      <w:szCs w:val="24"/>
                    </w:rPr>
                  </w:pPr>
                  <w:r w:rsidRPr="007C4347">
                    <w:rPr>
                      <w:rFonts w:ascii="Times New Roman" w:hAnsi="Times New Roman" w:cs="Times New Roman"/>
                      <w:color w:val="000000"/>
                      <w:sz w:val="24"/>
                      <w:szCs w:val="24"/>
                    </w:rPr>
                    <w:t xml:space="preserve">1210 EUR x 11,79% x 12 </w:t>
                  </w:r>
                  <w:proofErr w:type="spellStart"/>
                  <w:r w:rsidRPr="007C4347">
                    <w:rPr>
                      <w:rFonts w:ascii="Times New Roman" w:hAnsi="Times New Roman" w:cs="Times New Roman"/>
                      <w:color w:val="000000"/>
                      <w:sz w:val="24"/>
                      <w:szCs w:val="24"/>
                    </w:rPr>
                    <w:t>mēn</w:t>
                  </w:r>
                  <w:proofErr w:type="spellEnd"/>
                  <w:r w:rsidRPr="007C4347">
                    <w:rPr>
                      <w:rFonts w:ascii="Times New Roman" w:hAnsi="Times New Roman" w:cs="Times New Roman"/>
                      <w:color w:val="000000"/>
                      <w:sz w:val="24"/>
                      <w:szCs w:val="24"/>
                    </w:rPr>
                    <w:t>. x 2 = 3424 EUR</w:t>
                  </w:r>
                </w:p>
                <w:p w14:paraId="10940AD4" w14:textId="77777777" w:rsidR="00D47FF5" w:rsidRPr="007C4347" w:rsidRDefault="00D47FF5" w:rsidP="00D47FF5">
                  <w:pPr>
                    <w:shd w:val="clear" w:color="auto" w:fill="FFFFFF"/>
                    <w:ind w:left="992" w:hanging="794"/>
                    <w:jc w:val="both"/>
                    <w:rPr>
                      <w:rFonts w:ascii="Times New Roman" w:hAnsi="Times New Roman" w:cs="Times New Roman"/>
                      <w:color w:val="000000"/>
                      <w:sz w:val="24"/>
                      <w:szCs w:val="24"/>
                    </w:rPr>
                  </w:pPr>
                  <w:r w:rsidRPr="007C4347">
                    <w:rPr>
                      <w:rFonts w:ascii="Times New Roman" w:hAnsi="Times New Roman" w:cs="Times New Roman"/>
                      <w:color w:val="000000"/>
                      <w:sz w:val="24"/>
                      <w:szCs w:val="24"/>
                    </w:rPr>
                    <w:t xml:space="preserve"> Valsts sociālās apdrošināšanas iemaksas: 23,59% x 3424 EUR = 808 EUR</w:t>
                  </w:r>
                </w:p>
                <w:p w14:paraId="1A7021B0" w14:textId="77777777" w:rsidR="00D47FF5" w:rsidRPr="007C4347" w:rsidRDefault="00D47FF5" w:rsidP="00D47FF5">
                  <w:pPr>
                    <w:pStyle w:val="ListParagraph"/>
                    <w:numPr>
                      <w:ilvl w:val="0"/>
                      <w:numId w:val="2"/>
                    </w:numPr>
                    <w:spacing w:after="0" w:line="240" w:lineRule="auto"/>
                    <w:ind w:left="992" w:hanging="794"/>
                    <w:rPr>
                      <w:rFonts w:ascii="Times New Roman" w:hAnsi="Times New Roman" w:cs="Times New Roman"/>
                    </w:rPr>
                  </w:pPr>
                  <w:r w:rsidRPr="007C4347">
                    <w:rPr>
                      <w:rFonts w:ascii="Times New Roman" w:hAnsi="Times New Roman" w:cs="Times New Roman"/>
                      <w:b/>
                    </w:rPr>
                    <w:t xml:space="preserve">26.3. saime, IV līmenis, 11.mēnešalgu grupa </w:t>
                  </w:r>
                  <w:r w:rsidRPr="007C4347">
                    <w:rPr>
                      <w:rFonts w:ascii="Times New Roman" w:hAnsi="Times New Roman" w:cs="Times New Roman"/>
                    </w:rPr>
                    <w:t>(6 amatu vietas)</w:t>
                  </w:r>
                </w:p>
                <w:p w14:paraId="5AC91907" w14:textId="77777777" w:rsidR="00D47FF5" w:rsidRPr="007C4347" w:rsidRDefault="00D47FF5" w:rsidP="00D47FF5">
                  <w:pPr>
                    <w:pStyle w:val="ListParagraph"/>
                    <w:shd w:val="clear" w:color="auto" w:fill="FFFFFF"/>
                    <w:spacing w:after="0" w:line="240" w:lineRule="auto"/>
                    <w:ind w:left="992" w:hanging="794"/>
                    <w:jc w:val="both"/>
                    <w:rPr>
                      <w:rFonts w:ascii="Times New Roman" w:hAnsi="Times New Roman" w:cs="Times New Roman"/>
                      <w:color w:val="000000"/>
                      <w:sz w:val="24"/>
                      <w:szCs w:val="24"/>
                    </w:rPr>
                  </w:pPr>
                  <w:r w:rsidRPr="007C4347">
                    <w:rPr>
                      <w:rFonts w:ascii="Times New Roman" w:hAnsi="Times New Roman" w:cs="Times New Roman"/>
                      <w:color w:val="000000"/>
                      <w:sz w:val="24"/>
                      <w:szCs w:val="24"/>
                    </w:rPr>
                    <w:t xml:space="preserve">Atalgojums (6 amata vietas, 26.3 saime, IV līmenis, 11.mēnešalgu grupa): </w:t>
                  </w:r>
                </w:p>
                <w:p w14:paraId="6FD2154E" w14:textId="77777777" w:rsidR="00D47FF5" w:rsidRPr="007C4347" w:rsidRDefault="00D47FF5" w:rsidP="00D47FF5">
                  <w:pPr>
                    <w:pStyle w:val="ListParagraph"/>
                    <w:shd w:val="clear" w:color="auto" w:fill="FFFFFF"/>
                    <w:spacing w:after="0" w:line="240" w:lineRule="auto"/>
                    <w:ind w:left="992" w:hanging="794"/>
                    <w:jc w:val="both"/>
                    <w:rPr>
                      <w:rFonts w:ascii="Times New Roman" w:hAnsi="Times New Roman" w:cs="Times New Roman"/>
                      <w:color w:val="000000"/>
                      <w:sz w:val="24"/>
                      <w:szCs w:val="24"/>
                    </w:rPr>
                  </w:pPr>
                  <w:r w:rsidRPr="007C4347">
                    <w:rPr>
                      <w:rFonts w:ascii="Times New Roman" w:hAnsi="Times New Roman" w:cs="Times New Roman"/>
                      <w:color w:val="000000"/>
                      <w:sz w:val="24"/>
                      <w:szCs w:val="24"/>
                    </w:rPr>
                    <w:t xml:space="preserve">1310 EUR x 4,56% x 12 </w:t>
                  </w:r>
                  <w:proofErr w:type="spellStart"/>
                  <w:r w:rsidRPr="007C4347">
                    <w:rPr>
                      <w:rFonts w:ascii="Times New Roman" w:hAnsi="Times New Roman" w:cs="Times New Roman"/>
                      <w:color w:val="000000"/>
                      <w:sz w:val="24"/>
                      <w:szCs w:val="24"/>
                    </w:rPr>
                    <w:t>mēn</w:t>
                  </w:r>
                  <w:proofErr w:type="spellEnd"/>
                  <w:r w:rsidRPr="007C4347">
                    <w:rPr>
                      <w:rFonts w:ascii="Times New Roman" w:hAnsi="Times New Roman" w:cs="Times New Roman"/>
                      <w:color w:val="000000"/>
                      <w:sz w:val="24"/>
                      <w:szCs w:val="24"/>
                    </w:rPr>
                    <w:t>. x 6 = 4301 EUR</w:t>
                  </w:r>
                </w:p>
                <w:p w14:paraId="69884386" w14:textId="77777777" w:rsidR="00D47FF5" w:rsidRPr="007C4347" w:rsidRDefault="00D47FF5" w:rsidP="00D47FF5">
                  <w:pPr>
                    <w:pStyle w:val="ListParagraph"/>
                    <w:shd w:val="clear" w:color="auto" w:fill="FFFFFF"/>
                    <w:spacing w:after="0" w:line="240" w:lineRule="auto"/>
                    <w:ind w:left="992" w:hanging="794"/>
                    <w:jc w:val="both"/>
                    <w:rPr>
                      <w:rFonts w:ascii="Times New Roman" w:hAnsi="Times New Roman" w:cs="Times New Roman"/>
                      <w:color w:val="000000"/>
                      <w:sz w:val="24"/>
                      <w:szCs w:val="24"/>
                    </w:rPr>
                  </w:pPr>
                  <w:r w:rsidRPr="007C4347">
                    <w:rPr>
                      <w:rFonts w:ascii="Times New Roman" w:hAnsi="Times New Roman" w:cs="Times New Roman"/>
                      <w:color w:val="000000"/>
                      <w:sz w:val="24"/>
                      <w:szCs w:val="24"/>
                    </w:rPr>
                    <w:t xml:space="preserve"> Valsts sociālās apdrošināšanas iemaksas: 23,59% x 4301 EUR = 1014 EUR</w:t>
                  </w:r>
                </w:p>
                <w:p w14:paraId="2B9364FD" w14:textId="77777777" w:rsidR="00D47FF5" w:rsidRPr="007C4347" w:rsidRDefault="00D47FF5" w:rsidP="00D47FF5">
                  <w:pPr>
                    <w:pStyle w:val="ListParagraph"/>
                    <w:numPr>
                      <w:ilvl w:val="0"/>
                      <w:numId w:val="2"/>
                    </w:numPr>
                    <w:spacing w:after="0" w:line="240" w:lineRule="auto"/>
                    <w:ind w:left="992" w:hanging="794"/>
                    <w:rPr>
                      <w:rFonts w:ascii="Times New Roman" w:hAnsi="Times New Roman" w:cs="Times New Roman"/>
                    </w:rPr>
                  </w:pPr>
                  <w:r w:rsidRPr="007C4347">
                    <w:rPr>
                      <w:rFonts w:ascii="Times New Roman" w:hAnsi="Times New Roman" w:cs="Times New Roman"/>
                      <w:b/>
                    </w:rPr>
                    <w:t xml:space="preserve">26.3. saime, IV līmenis, 11.mēnešalgu grupa </w:t>
                  </w:r>
                  <w:r w:rsidRPr="007C4347">
                    <w:rPr>
                      <w:rFonts w:ascii="Times New Roman" w:hAnsi="Times New Roman" w:cs="Times New Roman"/>
                    </w:rPr>
                    <w:t>(2 amatu vietas)</w:t>
                  </w:r>
                </w:p>
                <w:p w14:paraId="50961AAC" w14:textId="77777777" w:rsidR="00D47FF5" w:rsidRPr="007C4347" w:rsidRDefault="00D47FF5" w:rsidP="00D47FF5">
                  <w:pPr>
                    <w:pStyle w:val="ListParagraph"/>
                    <w:shd w:val="clear" w:color="auto" w:fill="FFFFFF"/>
                    <w:spacing w:after="0" w:line="240" w:lineRule="auto"/>
                    <w:ind w:left="992" w:hanging="794"/>
                    <w:jc w:val="both"/>
                    <w:rPr>
                      <w:rFonts w:ascii="Times New Roman" w:hAnsi="Times New Roman" w:cs="Times New Roman"/>
                      <w:color w:val="000000"/>
                      <w:sz w:val="24"/>
                      <w:szCs w:val="24"/>
                    </w:rPr>
                  </w:pPr>
                  <w:r w:rsidRPr="007C4347">
                    <w:rPr>
                      <w:rFonts w:ascii="Times New Roman" w:hAnsi="Times New Roman" w:cs="Times New Roman"/>
                      <w:color w:val="000000"/>
                      <w:sz w:val="24"/>
                      <w:szCs w:val="24"/>
                    </w:rPr>
                    <w:t xml:space="preserve">Atalgojums (2 amata vietas, 26.3 saime, IV līmenis, 11.mēnešalgu grupa): </w:t>
                  </w:r>
                </w:p>
                <w:p w14:paraId="298A0D61" w14:textId="77777777" w:rsidR="00D47FF5" w:rsidRPr="007C4347" w:rsidRDefault="00D47FF5" w:rsidP="00D47FF5">
                  <w:pPr>
                    <w:pStyle w:val="ListParagraph"/>
                    <w:shd w:val="clear" w:color="auto" w:fill="FFFFFF"/>
                    <w:spacing w:after="0" w:line="240" w:lineRule="auto"/>
                    <w:ind w:left="992" w:hanging="794"/>
                    <w:jc w:val="both"/>
                    <w:rPr>
                      <w:rFonts w:ascii="Times New Roman" w:hAnsi="Times New Roman" w:cs="Times New Roman"/>
                      <w:color w:val="000000"/>
                      <w:sz w:val="24"/>
                      <w:szCs w:val="24"/>
                    </w:rPr>
                  </w:pPr>
                  <w:r w:rsidRPr="007C4347">
                    <w:rPr>
                      <w:rFonts w:ascii="Times New Roman" w:hAnsi="Times New Roman" w:cs="Times New Roman"/>
                      <w:color w:val="000000"/>
                      <w:sz w:val="24"/>
                      <w:szCs w:val="24"/>
                    </w:rPr>
                    <w:t xml:space="preserve">1140 EUR x 17,62% x 12 </w:t>
                  </w:r>
                  <w:proofErr w:type="spellStart"/>
                  <w:r w:rsidRPr="007C4347">
                    <w:rPr>
                      <w:rFonts w:ascii="Times New Roman" w:hAnsi="Times New Roman" w:cs="Times New Roman"/>
                      <w:color w:val="000000"/>
                      <w:sz w:val="24"/>
                      <w:szCs w:val="24"/>
                    </w:rPr>
                    <w:t>mēn</w:t>
                  </w:r>
                  <w:proofErr w:type="spellEnd"/>
                  <w:r w:rsidRPr="007C4347">
                    <w:rPr>
                      <w:rFonts w:ascii="Times New Roman" w:hAnsi="Times New Roman" w:cs="Times New Roman"/>
                      <w:color w:val="000000"/>
                      <w:sz w:val="24"/>
                      <w:szCs w:val="24"/>
                    </w:rPr>
                    <w:t>. x 2 = 4820 EUR</w:t>
                  </w:r>
                </w:p>
                <w:p w14:paraId="3030145C" w14:textId="77777777" w:rsidR="00D47FF5" w:rsidRPr="007C4347" w:rsidRDefault="00D47FF5" w:rsidP="00D47FF5">
                  <w:pPr>
                    <w:pStyle w:val="ListParagraph"/>
                    <w:shd w:val="clear" w:color="auto" w:fill="FFFFFF"/>
                    <w:spacing w:after="0" w:line="240" w:lineRule="auto"/>
                    <w:ind w:left="992" w:hanging="794"/>
                    <w:jc w:val="both"/>
                    <w:rPr>
                      <w:rFonts w:ascii="Times New Roman" w:hAnsi="Times New Roman" w:cs="Times New Roman"/>
                      <w:color w:val="000000"/>
                      <w:sz w:val="24"/>
                      <w:szCs w:val="24"/>
                    </w:rPr>
                  </w:pPr>
                  <w:r w:rsidRPr="007C4347">
                    <w:rPr>
                      <w:rFonts w:ascii="Times New Roman" w:hAnsi="Times New Roman" w:cs="Times New Roman"/>
                      <w:color w:val="000000"/>
                      <w:sz w:val="24"/>
                      <w:szCs w:val="24"/>
                    </w:rPr>
                    <w:t xml:space="preserve"> Valsts sociālās apdrošināšanas iemaksas: 23,59% x 4820 EUR = 1137 EUR</w:t>
                  </w:r>
                </w:p>
                <w:p w14:paraId="3F89EA42" w14:textId="77777777" w:rsidR="00D47FF5" w:rsidRPr="007C4347" w:rsidRDefault="00D47FF5" w:rsidP="00D47FF5">
                  <w:pPr>
                    <w:pStyle w:val="ListParagraph"/>
                    <w:numPr>
                      <w:ilvl w:val="0"/>
                      <w:numId w:val="2"/>
                    </w:numPr>
                    <w:spacing w:after="0" w:line="240" w:lineRule="auto"/>
                    <w:ind w:left="992" w:hanging="794"/>
                    <w:rPr>
                      <w:rFonts w:ascii="Times New Roman" w:hAnsi="Times New Roman" w:cs="Times New Roman"/>
                    </w:rPr>
                  </w:pPr>
                  <w:r w:rsidRPr="007C4347">
                    <w:rPr>
                      <w:rFonts w:ascii="Times New Roman" w:hAnsi="Times New Roman" w:cs="Times New Roman"/>
                      <w:b/>
                    </w:rPr>
                    <w:t xml:space="preserve">26.3. saime, IV līmenis, 11.mēnešalgu grupa </w:t>
                  </w:r>
                  <w:r w:rsidRPr="007C4347">
                    <w:rPr>
                      <w:rFonts w:ascii="Times New Roman" w:hAnsi="Times New Roman" w:cs="Times New Roman"/>
                    </w:rPr>
                    <w:t>(1 amatu vieta)</w:t>
                  </w:r>
                </w:p>
                <w:p w14:paraId="28ECC1D7" w14:textId="77777777" w:rsidR="00D47FF5" w:rsidRPr="007C4347" w:rsidRDefault="00D47FF5" w:rsidP="00D47FF5">
                  <w:pPr>
                    <w:pStyle w:val="ListParagraph"/>
                    <w:shd w:val="clear" w:color="auto" w:fill="FFFFFF"/>
                    <w:spacing w:after="0" w:line="240" w:lineRule="auto"/>
                    <w:ind w:left="992" w:hanging="794"/>
                    <w:jc w:val="both"/>
                    <w:rPr>
                      <w:rFonts w:ascii="Times New Roman" w:hAnsi="Times New Roman" w:cs="Times New Roman"/>
                      <w:color w:val="000000"/>
                      <w:sz w:val="24"/>
                      <w:szCs w:val="24"/>
                    </w:rPr>
                  </w:pPr>
                  <w:r w:rsidRPr="007C4347">
                    <w:rPr>
                      <w:rFonts w:ascii="Times New Roman" w:hAnsi="Times New Roman" w:cs="Times New Roman"/>
                      <w:color w:val="000000"/>
                      <w:sz w:val="24"/>
                      <w:szCs w:val="24"/>
                    </w:rPr>
                    <w:t xml:space="preserve">Atalgojums (1 amata vieta, 26.3 saime, IV līmenis, 11.mēnešalgu grupa): </w:t>
                  </w:r>
                </w:p>
                <w:p w14:paraId="1DD5231C" w14:textId="77777777" w:rsidR="00D47FF5" w:rsidRPr="007C4347" w:rsidRDefault="00D47FF5" w:rsidP="00D47FF5">
                  <w:pPr>
                    <w:pStyle w:val="ListParagraph"/>
                    <w:shd w:val="clear" w:color="auto" w:fill="FFFFFF"/>
                    <w:spacing w:after="0" w:line="240" w:lineRule="auto"/>
                    <w:ind w:left="992" w:hanging="794"/>
                    <w:jc w:val="both"/>
                    <w:rPr>
                      <w:rFonts w:ascii="Times New Roman" w:hAnsi="Times New Roman" w:cs="Times New Roman"/>
                      <w:color w:val="000000"/>
                      <w:sz w:val="24"/>
                      <w:szCs w:val="24"/>
                    </w:rPr>
                  </w:pPr>
                  <w:r w:rsidRPr="007C4347">
                    <w:rPr>
                      <w:rFonts w:ascii="Times New Roman" w:hAnsi="Times New Roman" w:cs="Times New Roman"/>
                      <w:color w:val="000000"/>
                      <w:sz w:val="24"/>
                      <w:szCs w:val="24"/>
                    </w:rPr>
                    <w:t xml:space="preserve">1050 EUR x 26,25% x 12 </w:t>
                  </w:r>
                  <w:proofErr w:type="spellStart"/>
                  <w:r w:rsidRPr="007C4347">
                    <w:rPr>
                      <w:rFonts w:ascii="Times New Roman" w:hAnsi="Times New Roman" w:cs="Times New Roman"/>
                      <w:color w:val="000000"/>
                      <w:sz w:val="24"/>
                      <w:szCs w:val="24"/>
                    </w:rPr>
                    <w:t>mēn</w:t>
                  </w:r>
                  <w:proofErr w:type="spellEnd"/>
                  <w:r w:rsidRPr="007C4347">
                    <w:rPr>
                      <w:rFonts w:ascii="Times New Roman" w:hAnsi="Times New Roman" w:cs="Times New Roman"/>
                      <w:color w:val="000000"/>
                      <w:sz w:val="24"/>
                      <w:szCs w:val="24"/>
                    </w:rPr>
                    <w:t>. x 1 = 3308 EUR</w:t>
                  </w:r>
                </w:p>
                <w:p w14:paraId="14B0A006" w14:textId="77777777" w:rsidR="00D47FF5" w:rsidRPr="007C4347" w:rsidRDefault="00D47FF5" w:rsidP="00D47FF5">
                  <w:pPr>
                    <w:pStyle w:val="ListParagraph"/>
                    <w:shd w:val="clear" w:color="auto" w:fill="FFFFFF"/>
                    <w:spacing w:after="0" w:line="240" w:lineRule="auto"/>
                    <w:ind w:left="992" w:hanging="794"/>
                    <w:jc w:val="both"/>
                    <w:rPr>
                      <w:rFonts w:ascii="Times New Roman" w:hAnsi="Times New Roman" w:cs="Times New Roman"/>
                      <w:color w:val="000000"/>
                      <w:sz w:val="24"/>
                      <w:szCs w:val="24"/>
                    </w:rPr>
                  </w:pPr>
                  <w:r w:rsidRPr="007C4347">
                    <w:rPr>
                      <w:rFonts w:ascii="Times New Roman" w:hAnsi="Times New Roman" w:cs="Times New Roman"/>
                      <w:color w:val="000000"/>
                      <w:sz w:val="24"/>
                      <w:szCs w:val="24"/>
                    </w:rPr>
                    <w:t xml:space="preserve"> Valsts sociālās apdrošināšanas iemaksas: 23,59% x 3308 EUR = 780 EUR</w:t>
                  </w:r>
                </w:p>
                <w:p w14:paraId="7860B649" w14:textId="77777777" w:rsidR="00D47FF5" w:rsidRPr="007C4347" w:rsidRDefault="00D47FF5" w:rsidP="00D47FF5">
                  <w:pPr>
                    <w:pStyle w:val="ListParagraph"/>
                    <w:numPr>
                      <w:ilvl w:val="0"/>
                      <w:numId w:val="2"/>
                    </w:numPr>
                    <w:spacing w:after="0" w:line="240" w:lineRule="auto"/>
                    <w:ind w:left="992" w:hanging="794"/>
                    <w:rPr>
                      <w:rFonts w:ascii="Times New Roman" w:hAnsi="Times New Roman" w:cs="Times New Roman"/>
                    </w:rPr>
                  </w:pPr>
                  <w:r w:rsidRPr="007C4347">
                    <w:rPr>
                      <w:rFonts w:ascii="Times New Roman" w:hAnsi="Times New Roman" w:cs="Times New Roman"/>
                      <w:b/>
                    </w:rPr>
                    <w:t xml:space="preserve">26.3. saime, III līmenis, 9.mēnešalgu grupa </w:t>
                  </w:r>
                  <w:r w:rsidRPr="007C4347">
                    <w:rPr>
                      <w:rFonts w:ascii="Times New Roman" w:hAnsi="Times New Roman" w:cs="Times New Roman"/>
                    </w:rPr>
                    <w:t>(5 amatu vietas)</w:t>
                  </w:r>
                </w:p>
                <w:p w14:paraId="313E13F8" w14:textId="77777777" w:rsidR="00D47FF5" w:rsidRPr="007C4347" w:rsidRDefault="00D47FF5" w:rsidP="00D47FF5">
                  <w:pPr>
                    <w:pStyle w:val="ListParagraph"/>
                    <w:shd w:val="clear" w:color="auto" w:fill="FFFFFF"/>
                    <w:spacing w:after="0" w:line="240" w:lineRule="auto"/>
                    <w:ind w:left="992" w:hanging="794"/>
                    <w:jc w:val="both"/>
                    <w:rPr>
                      <w:rFonts w:ascii="Times New Roman" w:hAnsi="Times New Roman" w:cs="Times New Roman"/>
                      <w:color w:val="000000"/>
                      <w:sz w:val="24"/>
                      <w:szCs w:val="24"/>
                    </w:rPr>
                  </w:pPr>
                  <w:r w:rsidRPr="007C4347">
                    <w:rPr>
                      <w:rFonts w:ascii="Times New Roman" w:hAnsi="Times New Roman" w:cs="Times New Roman"/>
                      <w:color w:val="000000"/>
                      <w:sz w:val="24"/>
                      <w:szCs w:val="24"/>
                    </w:rPr>
                    <w:t xml:space="preserve">Atalgojums (5 amata vietas, 26.3 saime, III līmenis, 9.mēnešalgu grupa): </w:t>
                  </w:r>
                </w:p>
                <w:p w14:paraId="3590D7E7" w14:textId="77777777" w:rsidR="00D47FF5" w:rsidRPr="007C4347" w:rsidRDefault="00D47FF5" w:rsidP="00D47FF5">
                  <w:pPr>
                    <w:pStyle w:val="ListParagraph"/>
                    <w:shd w:val="clear" w:color="auto" w:fill="FFFFFF"/>
                    <w:spacing w:after="0" w:line="240" w:lineRule="auto"/>
                    <w:ind w:left="992" w:hanging="794"/>
                    <w:jc w:val="both"/>
                    <w:rPr>
                      <w:rFonts w:ascii="Times New Roman" w:hAnsi="Times New Roman" w:cs="Times New Roman"/>
                      <w:color w:val="000000"/>
                      <w:sz w:val="24"/>
                      <w:szCs w:val="24"/>
                    </w:rPr>
                  </w:pPr>
                  <w:r w:rsidRPr="007C4347">
                    <w:rPr>
                      <w:rFonts w:ascii="Times New Roman" w:hAnsi="Times New Roman" w:cs="Times New Roman"/>
                      <w:color w:val="000000"/>
                      <w:sz w:val="24"/>
                      <w:szCs w:val="24"/>
                    </w:rPr>
                    <w:t xml:space="preserve">756 EUR x 26,13% x 12 </w:t>
                  </w:r>
                  <w:proofErr w:type="spellStart"/>
                  <w:r w:rsidRPr="007C4347">
                    <w:rPr>
                      <w:rFonts w:ascii="Times New Roman" w:hAnsi="Times New Roman" w:cs="Times New Roman"/>
                      <w:color w:val="000000"/>
                      <w:sz w:val="24"/>
                      <w:szCs w:val="24"/>
                    </w:rPr>
                    <w:t>mēn</w:t>
                  </w:r>
                  <w:proofErr w:type="spellEnd"/>
                  <w:r w:rsidRPr="007C4347">
                    <w:rPr>
                      <w:rFonts w:ascii="Times New Roman" w:hAnsi="Times New Roman" w:cs="Times New Roman"/>
                      <w:color w:val="000000"/>
                      <w:sz w:val="24"/>
                      <w:szCs w:val="24"/>
                    </w:rPr>
                    <w:t>. x 5 = 11853 EUR</w:t>
                  </w:r>
                </w:p>
                <w:p w14:paraId="10B78559" w14:textId="77777777" w:rsidR="00D47FF5" w:rsidRPr="007C4347" w:rsidRDefault="00D47FF5" w:rsidP="00D47FF5">
                  <w:pPr>
                    <w:pStyle w:val="ListParagraph"/>
                    <w:shd w:val="clear" w:color="auto" w:fill="FFFFFF"/>
                    <w:spacing w:after="0" w:line="240" w:lineRule="auto"/>
                    <w:ind w:left="992" w:hanging="794"/>
                    <w:jc w:val="both"/>
                    <w:rPr>
                      <w:rFonts w:ascii="Times New Roman" w:hAnsi="Times New Roman" w:cs="Times New Roman"/>
                      <w:color w:val="000000"/>
                      <w:sz w:val="24"/>
                      <w:szCs w:val="24"/>
                    </w:rPr>
                  </w:pPr>
                  <w:r w:rsidRPr="007C4347">
                    <w:rPr>
                      <w:rFonts w:ascii="Times New Roman" w:hAnsi="Times New Roman" w:cs="Times New Roman"/>
                      <w:color w:val="000000"/>
                      <w:sz w:val="24"/>
                      <w:szCs w:val="24"/>
                    </w:rPr>
                    <w:t xml:space="preserve"> Valsts sociālās apdrošināšanas iemaksas: 23,59% x 11853 EUR = 2796 EUR</w:t>
                  </w:r>
                </w:p>
                <w:p w14:paraId="6B83654C" w14:textId="77777777" w:rsidR="00D47FF5" w:rsidRPr="007C4347" w:rsidRDefault="00D47FF5" w:rsidP="00D47FF5">
                  <w:pPr>
                    <w:pStyle w:val="ListParagraph"/>
                    <w:shd w:val="clear" w:color="auto" w:fill="FFFFFF"/>
                    <w:spacing w:after="0" w:line="240" w:lineRule="auto"/>
                    <w:ind w:left="992" w:hanging="794"/>
                    <w:jc w:val="both"/>
                    <w:rPr>
                      <w:rFonts w:ascii="Times New Roman" w:hAnsi="Times New Roman" w:cs="Times New Roman"/>
                      <w:color w:val="000000"/>
                      <w:sz w:val="24"/>
                      <w:szCs w:val="24"/>
                    </w:rPr>
                  </w:pPr>
                </w:p>
                <w:p w14:paraId="2AD1F6C4" w14:textId="77777777" w:rsidR="00D47FF5" w:rsidRPr="007C4347" w:rsidRDefault="00D47FF5" w:rsidP="00D47FF5">
                  <w:pPr>
                    <w:pStyle w:val="ListParagraph"/>
                    <w:numPr>
                      <w:ilvl w:val="0"/>
                      <w:numId w:val="2"/>
                    </w:numPr>
                    <w:spacing w:after="0" w:line="240" w:lineRule="auto"/>
                    <w:ind w:left="992" w:hanging="794"/>
                    <w:rPr>
                      <w:rFonts w:ascii="Times New Roman" w:hAnsi="Times New Roman" w:cs="Times New Roman"/>
                    </w:rPr>
                  </w:pPr>
                  <w:r w:rsidRPr="007C4347">
                    <w:rPr>
                      <w:rFonts w:ascii="Times New Roman" w:hAnsi="Times New Roman" w:cs="Times New Roman"/>
                      <w:b/>
                    </w:rPr>
                    <w:t xml:space="preserve">21 saime, IV līmenis, 11.mēnešalgu grupa </w:t>
                  </w:r>
                  <w:r w:rsidRPr="007C4347">
                    <w:rPr>
                      <w:rFonts w:ascii="Times New Roman" w:hAnsi="Times New Roman" w:cs="Times New Roman"/>
                    </w:rPr>
                    <w:t>(1 amatu vieta)</w:t>
                  </w:r>
                </w:p>
                <w:p w14:paraId="53F4953E" w14:textId="77777777" w:rsidR="00D47FF5" w:rsidRPr="007C4347" w:rsidRDefault="00D47FF5" w:rsidP="00D47FF5">
                  <w:pPr>
                    <w:pStyle w:val="ListParagraph"/>
                    <w:shd w:val="clear" w:color="auto" w:fill="FFFFFF"/>
                    <w:spacing w:after="0" w:line="240" w:lineRule="auto"/>
                    <w:ind w:left="992" w:hanging="794"/>
                    <w:jc w:val="both"/>
                    <w:rPr>
                      <w:rFonts w:ascii="Times New Roman" w:hAnsi="Times New Roman" w:cs="Times New Roman"/>
                      <w:color w:val="000000"/>
                      <w:sz w:val="24"/>
                      <w:szCs w:val="24"/>
                    </w:rPr>
                  </w:pPr>
                  <w:r w:rsidRPr="007C4347">
                    <w:rPr>
                      <w:rFonts w:ascii="Times New Roman" w:hAnsi="Times New Roman" w:cs="Times New Roman"/>
                      <w:color w:val="000000"/>
                      <w:sz w:val="24"/>
                      <w:szCs w:val="24"/>
                    </w:rPr>
                    <w:t xml:space="preserve">Atalgojums (1 amata vieta, 21 saime, IV līmenis, 11.mēnešalgu grupa): </w:t>
                  </w:r>
                </w:p>
                <w:p w14:paraId="690E55C5" w14:textId="77777777" w:rsidR="00D47FF5" w:rsidRPr="007C4347" w:rsidRDefault="00D47FF5" w:rsidP="00D47FF5">
                  <w:pPr>
                    <w:pStyle w:val="ListParagraph"/>
                    <w:shd w:val="clear" w:color="auto" w:fill="FFFFFF"/>
                    <w:spacing w:after="0" w:line="240" w:lineRule="auto"/>
                    <w:ind w:left="992" w:hanging="794"/>
                    <w:jc w:val="both"/>
                    <w:rPr>
                      <w:rFonts w:ascii="Times New Roman" w:hAnsi="Times New Roman" w:cs="Times New Roman"/>
                      <w:color w:val="000000"/>
                      <w:sz w:val="24"/>
                      <w:szCs w:val="24"/>
                    </w:rPr>
                  </w:pPr>
                  <w:r w:rsidRPr="007C4347">
                    <w:rPr>
                      <w:rFonts w:ascii="Times New Roman" w:hAnsi="Times New Roman" w:cs="Times New Roman"/>
                      <w:color w:val="000000"/>
                      <w:sz w:val="24"/>
                      <w:szCs w:val="24"/>
                    </w:rPr>
                    <w:t xml:space="preserve">1310 EUR x 4,56% x 12 </w:t>
                  </w:r>
                  <w:proofErr w:type="spellStart"/>
                  <w:r w:rsidRPr="007C4347">
                    <w:rPr>
                      <w:rFonts w:ascii="Times New Roman" w:hAnsi="Times New Roman" w:cs="Times New Roman"/>
                      <w:color w:val="000000"/>
                      <w:sz w:val="24"/>
                      <w:szCs w:val="24"/>
                    </w:rPr>
                    <w:t>mēn</w:t>
                  </w:r>
                  <w:proofErr w:type="spellEnd"/>
                  <w:r w:rsidRPr="007C4347">
                    <w:rPr>
                      <w:rFonts w:ascii="Times New Roman" w:hAnsi="Times New Roman" w:cs="Times New Roman"/>
                      <w:color w:val="000000"/>
                      <w:sz w:val="24"/>
                      <w:szCs w:val="24"/>
                    </w:rPr>
                    <w:t>. x 1 = 717 EUR</w:t>
                  </w:r>
                </w:p>
                <w:p w14:paraId="65FD5622" w14:textId="77777777" w:rsidR="00D47FF5" w:rsidRPr="007C4347" w:rsidRDefault="00D47FF5" w:rsidP="00D47FF5">
                  <w:pPr>
                    <w:pStyle w:val="ListParagraph"/>
                    <w:shd w:val="clear" w:color="auto" w:fill="FFFFFF"/>
                    <w:spacing w:after="0" w:line="240" w:lineRule="auto"/>
                    <w:ind w:left="992" w:hanging="794"/>
                    <w:jc w:val="both"/>
                    <w:rPr>
                      <w:rFonts w:ascii="Times New Roman" w:hAnsi="Times New Roman" w:cs="Times New Roman"/>
                      <w:color w:val="000000"/>
                      <w:sz w:val="24"/>
                      <w:szCs w:val="24"/>
                    </w:rPr>
                  </w:pPr>
                  <w:r w:rsidRPr="007C4347">
                    <w:rPr>
                      <w:rFonts w:ascii="Times New Roman" w:hAnsi="Times New Roman" w:cs="Times New Roman"/>
                      <w:color w:val="000000"/>
                      <w:sz w:val="24"/>
                      <w:szCs w:val="24"/>
                    </w:rPr>
                    <w:t xml:space="preserve"> Valsts sociālās apdrošināšanas iemaksas: 23,59% x 717 EUR = 169 EUR</w:t>
                  </w:r>
                </w:p>
                <w:p w14:paraId="42DE41F3" w14:textId="77777777" w:rsidR="00D47FF5" w:rsidRPr="007C4347" w:rsidRDefault="00D47FF5" w:rsidP="00D47FF5">
                  <w:pPr>
                    <w:pStyle w:val="ListParagraph"/>
                    <w:numPr>
                      <w:ilvl w:val="0"/>
                      <w:numId w:val="2"/>
                    </w:numPr>
                    <w:spacing w:after="0" w:line="240" w:lineRule="auto"/>
                    <w:ind w:left="992" w:hanging="794"/>
                    <w:rPr>
                      <w:rFonts w:ascii="Times New Roman" w:hAnsi="Times New Roman" w:cs="Times New Roman"/>
                    </w:rPr>
                  </w:pPr>
                  <w:r w:rsidRPr="007C4347">
                    <w:rPr>
                      <w:rFonts w:ascii="Times New Roman" w:hAnsi="Times New Roman" w:cs="Times New Roman"/>
                      <w:b/>
                    </w:rPr>
                    <w:t xml:space="preserve">21 saime, IV līmenis, 11.mēnešalgu grupa </w:t>
                  </w:r>
                  <w:r w:rsidRPr="007C4347">
                    <w:rPr>
                      <w:rFonts w:ascii="Times New Roman" w:hAnsi="Times New Roman" w:cs="Times New Roman"/>
                    </w:rPr>
                    <w:t>(1 amatu vieta)</w:t>
                  </w:r>
                </w:p>
                <w:p w14:paraId="6394DAD2" w14:textId="77777777" w:rsidR="00D47FF5" w:rsidRPr="007C4347" w:rsidRDefault="00D47FF5" w:rsidP="00D47FF5">
                  <w:pPr>
                    <w:pStyle w:val="ListParagraph"/>
                    <w:shd w:val="clear" w:color="auto" w:fill="FFFFFF"/>
                    <w:spacing w:after="0" w:line="240" w:lineRule="auto"/>
                    <w:ind w:left="992" w:hanging="794"/>
                    <w:jc w:val="both"/>
                    <w:rPr>
                      <w:rFonts w:ascii="Times New Roman" w:hAnsi="Times New Roman" w:cs="Times New Roman"/>
                      <w:color w:val="000000"/>
                      <w:sz w:val="24"/>
                      <w:szCs w:val="24"/>
                    </w:rPr>
                  </w:pPr>
                  <w:r w:rsidRPr="007C4347">
                    <w:rPr>
                      <w:rFonts w:ascii="Times New Roman" w:hAnsi="Times New Roman" w:cs="Times New Roman"/>
                      <w:color w:val="000000"/>
                      <w:sz w:val="24"/>
                      <w:szCs w:val="24"/>
                    </w:rPr>
                    <w:t xml:space="preserve">Atalgojums (1 amata vieta, 21 saime, IV līmenis, 11.mēnešalgu grupa): </w:t>
                  </w:r>
                </w:p>
                <w:p w14:paraId="609B986F" w14:textId="77777777" w:rsidR="00D47FF5" w:rsidRPr="007C4347" w:rsidRDefault="00D47FF5" w:rsidP="00D47FF5">
                  <w:pPr>
                    <w:pStyle w:val="ListParagraph"/>
                    <w:shd w:val="clear" w:color="auto" w:fill="FFFFFF"/>
                    <w:spacing w:after="0" w:line="240" w:lineRule="auto"/>
                    <w:ind w:left="992" w:hanging="794"/>
                    <w:jc w:val="both"/>
                    <w:rPr>
                      <w:rFonts w:ascii="Times New Roman" w:hAnsi="Times New Roman" w:cs="Times New Roman"/>
                      <w:color w:val="000000"/>
                      <w:sz w:val="24"/>
                      <w:szCs w:val="24"/>
                    </w:rPr>
                  </w:pPr>
                  <w:r w:rsidRPr="007C4347">
                    <w:rPr>
                      <w:rFonts w:ascii="Times New Roman" w:hAnsi="Times New Roman" w:cs="Times New Roman"/>
                      <w:color w:val="000000"/>
                      <w:sz w:val="24"/>
                      <w:szCs w:val="24"/>
                    </w:rPr>
                    <w:t xml:space="preserve">1140 EUR x 17,62% x 12 </w:t>
                  </w:r>
                  <w:proofErr w:type="spellStart"/>
                  <w:r w:rsidRPr="007C4347">
                    <w:rPr>
                      <w:rFonts w:ascii="Times New Roman" w:hAnsi="Times New Roman" w:cs="Times New Roman"/>
                      <w:color w:val="000000"/>
                      <w:sz w:val="24"/>
                      <w:szCs w:val="24"/>
                    </w:rPr>
                    <w:t>mēn</w:t>
                  </w:r>
                  <w:proofErr w:type="spellEnd"/>
                  <w:r w:rsidRPr="007C4347">
                    <w:rPr>
                      <w:rFonts w:ascii="Times New Roman" w:hAnsi="Times New Roman" w:cs="Times New Roman"/>
                      <w:color w:val="000000"/>
                      <w:sz w:val="24"/>
                      <w:szCs w:val="24"/>
                    </w:rPr>
                    <w:t>. x 1 = 2410 EUR</w:t>
                  </w:r>
                </w:p>
                <w:p w14:paraId="4C33B49D" w14:textId="77777777" w:rsidR="00D47FF5" w:rsidRPr="007C4347" w:rsidRDefault="00D47FF5" w:rsidP="00D47FF5">
                  <w:pPr>
                    <w:pStyle w:val="ListParagraph"/>
                    <w:shd w:val="clear" w:color="auto" w:fill="FFFFFF"/>
                    <w:spacing w:after="0" w:line="240" w:lineRule="auto"/>
                    <w:ind w:left="992" w:hanging="794"/>
                    <w:jc w:val="both"/>
                    <w:rPr>
                      <w:rFonts w:ascii="Times New Roman" w:hAnsi="Times New Roman" w:cs="Times New Roman"/>
                      <w:color w:val="000000"/>
                      <w:sz w:val="24"/>
                      <w:szCs w:val="24"/>
                    </w:rPr>
                  </w:pPr>
                  <w:r w:rsidRPr="007C4347">
                    <w:rPr>
                      <w:rFonts w:ascii="Times New Roman" w:hAnsi="Times New Roman" w:cs="Times New Roman"/>
                      <w:color w:val="000000"/>
                      <w:sz w:val="24"/>
                      <w:szCs w:val="24"/>
                    </w:rPr>
                    <w:t xml:space="preserve"> Valsts sociālās apdrošināšanas iemaksas: 23,59% x 2410 EUR = 567 EUR</w:t>
                  </w:r>
                </w:p>
                <w:p w14:paraId="425871B6" w14:textId="77777777" w:rsidR="00D47FF5" w:rsidRPr="007C4347" w:rsidRDefault="00D47FF5" w:rsidP="00D47FF5">
                  <w:pPr>
                    <w:pStyle w:val="ListParagraph"/>
                    <w:numPr>
                      <w:ilvl w:val="0"/>
                      <w:numId w:val="2"/>
                    </w:numPr>
                    <w:spacing w:after="0" w:line="240" w:lineRule="auto"/>
                    <w:ind w:left="992" w:hanging="794"/>
                    <w:rPr>
                      <w:rFonts w:ascii="Times New Roman" w:hAnsi="Times New Roman" w:cs="Times New Roman"/>
                    </w:rPr>
                  </w:pPr>
                  <w:r w:rsidRPr="007C4347">
                    <w:rPr>
                      <w:rFonts w:ascii="Times New Roman" w:hAnsi="Times New Roman" w:cs="Times New Roman"/>
                      <w:b/>
                    </w:rPr>
                    <w:t xml:space="preserve">21 saime, III līmenis, 10.mēnešalgu grupa </w:t>
                  </w:r>
                  <w:r w:rsidRPr="007C4347">
                    <w:rPr>
                      <w:rFonts w:ascii="Times New Roman" w:hAnsi="Times New Roman" w:cs="Times New Roman"/>
                    </w:rPr>
                    <w:t>(1 amatu vieta)</w:t>
                  </w:r>
                </w:p>
                <w:p w14:paraId="560F3712" w14:textId="77777777" w:rsidR="00D47FF5" w:rsidRPr="007C4347" w:rsidRDefault="00D47FF5" w:rsidP="00D47FF5">
                  <w:pPr>
                    <w:pStyle w:val="ListParagraph"/>
                    <w:shd w:val="clear" w:color="auto" w:fill="FFFFFF"/>
                    <w:spacing w:after="0" w:line="240" w:lineRule="auto"/>
                    <w:ind w:left="992" w:hanging="794"/>
                    <w:jc w:val="both"/>
                    <w:rPr>
                      <w:rFonts w:ascii="Times New Roman" w:hAnsi="Times New Roman" w:cs="Times New Roman"/>
                      <w:color w:val="000000"/>
                      <w:sz w:val="24"/>
                      <w:szCs w:val="24"/>
                    </w:rPr>
                  </w:pPr>
                  <w:r w:rsidRPr="007C4347">
                    <w:rPr>
                      <w:rFonts w:ascii="Times New Roman" w:hAnsi="Times New Roman" w:cs="Times New Roman"/>
                      <w:color w:val="000000"/>
                      <w:sz w:val="24"/>
                      <w:szCs w:val="24"/>
                    </w:rPr>
                    <w:t xml:space="preserve">Atalgojums (1 amata vieta, 21 saime, III līmenis, 10.mēnešalgu grupa): </w:t>
                  </w:r>
                </w:p>
                <w:p w14:paraId="20C09338" w14:textId="77777777" w:rsidR="00D47FF5" w:rsidRPr="007C4347" w:rsidRDefault="00D47FF5" w:rsidP="00D47FF5">
                  <w:pPr>
                    <w:pStyle w:val="ListParagraph"/>
                    <w:shd w:val="clear" w:color="auto" w:fill="FFFFFF"/>
                    <w:spacing w:after="0" w:line="240" w:lineRule="auto"/>
                    <w:ind w:left="992" w:hanging="794"/>
                    <w:jc w:val="both"/>
                    <w:rPr>
                      <w:rFonts w:ascii="Times New Roman" w:hAnsi="Times New Roman" w:cs="Times New Roman"/>
                      <w:color w:val="000000"/>
                      <w:sz w:val="24"/>
                      <w:szCs w:val="24"/>
                    </w:rPr>
                  </w:pPr>
                  <w:r w:rsidRPr="007C4347">
                    <w:rPr>
                      <w:rFonts w:ascii="Times New Roman" w:hAnsi="Times New Roman" w:cs="Times New Roman"/>
                      <w:color w:val="000000"/>
                      <w:sz w:val="24"/>
                      <w:szCs w:val="24"/>
                    </w:rPr>
                    <w:t xml:space="preserve">1090 EUR x 6,39% x 12 </w:t>
                  </w:r>
                  <w:proofErr w:type="spellStart"/>
                  <w:r w:rsidRPr="007C4347">
                    <w:rPr>
                      <w:rFonts w:ascii="Times New Roman" w:hAnsi="Times New Roman" w:cs="Times New Roman"/>
                      <w:color w:val="000000"/>
                      <w:sz w:val="24"/>
                      <w:szCs w:val="24"/>
                    </w:rPr>
                    <w:t>mēn</w:t>
                  </w:r>
                  <w:proofErr w:type="spellEnd"/>
                  <w:r w:rsidRPr="007C4347">
                    <w:rPr>
                      <w:rFonts w:ascii="Times New Roman" w:hAnsi="Times New Roman" w:cs="Times New Roman"/>
                      <w:color w:val="000000"/>
                      <w:sz w:val="24"/>
                      <w:szCs w:val="24"/>
                    </w:rPr>
                    <w:t>. x 1 = 836 EUR</w:t>
                  </w:r>
                </w:p>
                <w:p w14:paraId="16DC917B" w14:textId="77777777" w:rsidR="00D47FF5" w:rsidRPr="007C4347" w:rsidRDefault="00D47FF5" w:rsidP="00D47FF5">
                  <w:pPr>
                    <w:pStyle w:val="ListParagraph"/>
                    <w:shd w:val="clear" w:color="auto" w:fill="FFFFFF"/>
                    <w:spacing w:after="0" w:line="240" w:lineRule="auto"/>
                    <w:ind w:left="992" w:hanging="794"/>
                    <w:jc w:val="both"/>
                    <w:rPr>
                      <w:rFonts w:ascii="Times New Roman" w:hAnsi="Times New Roman" w:cs="Times New Roman"/>
                      <w:color w:val="000000"/>
                      <w:sz w:val="24"/>
                      <w:szCs w:val="24"/>
                    </w:rPr>
                  </w:pPr>
                  <w:r w:rsidRPr="007C4347">
                    <w:rPr>
                      <w:rFonts w:ascii="Times New Roman" w:hAnsi="Times New Roman" w:cs="Times New Roman"/>
                      <w:color w:val="000000"/>
                      <w:sz w:val="24"/>
                      <w:szCs w:val="24"/>
                    </w:rPr>
                    <w:t xml:space="preserve"> Valsts sociālās apdrošināšanas iemaksas: 23,59% x 836 EUR = 197 EUR</w:t>
                  </w:r>
                </w:p>
                <w:p w14:paraId="26C5CFC3" w14:textId="77777777" w:rsidR="00D47FF5" w:rsidRPr="007C4347" w:rsidRDefault="00D47FF5" w:rsidP="00D47FF5">
                  <w:pPr>
                    <w:pStyle w:val="ListParagraph"/>
                    <w:numPr>
                      <w:ilvl w:val="0"/>
                      <w:numId w:val="2"/>
                    </w:numPr>
                    <w:spacing w:after="0" w:line="240" w:lineRule="auto"/>
                    <w:ind w:left="992" w:hanging="794"/>
                    <w:rPr>
                      <w:rFonts w:ascii="Times New Roman" w:hAnsi="Times New Roman" w:cs="Times New Roman"/>
                    </w:rPr>
                  </w:pPr>
                  <w:r w:rsidRPr="007C4347">
                    <w:rPr>
                      <w:rFonts w:ascii="Times New Roman" w:hAnsi="Times New Roman" w:cs="Times New Roman"/>
                      <w:b/>
                    </w:rPr>
                    <w:t xml:space="preserve">21 saime, III līmenis, 10.mēnešalgu grupa </w:t>
                  </w:r>
                  <w:r w:rsidRPr="007C4347">
                    <w:rPr>
                      <w:rFonts w:ascii="Times New Roman" w:hAnsi="Times New Roman" w:cs="Times New Roman"/>
                    </w:rPr>
                    <w:t>(1 amatu vieta)</w:t>
                  </w:r>
                </w:p>
                <w:p w14:paraId="0DC02889" w14:textId="77777777" w:rsidR="00D47FF5" w:rsidRPr="007C4347" w:rsidRDefault="00D47FF5" w:rsidP="00D47FF5">
                  <w:pPr>
                    <w:pStyle w:val="ListParagraph"/>
                    <w:shd w:val="clear" w:color="auto" w:fill="FFFFFF"/>
                    <w:spacing w:after="0" w:line="240" w:lineRule="auto"/>
                    <w:ind w:left="992" w:hanging="794"/>
                    <w:jc w:val="both"/>
                    <w:rPr>
                      <w:rFonts w:ascii="Times New Roman" w:hAnsi="Times New Roman" w:cs="Times New Roman"/>
                      <w:color w:val="000000"/>
                      <w:sz w:val="24"/>
                      <w:szCs w:val="24"/>
                    </w:rPr>
                  </w:pPr>
                  <w:r w:rsidRPr="007C4347">
                    <w:rPr>
                      <w:rFonts w:ascii="Times New Roman" w:hAnsi="Times New Roman" w:cs="Times New Roman"/>
                      <w:color w:val="000000"/>
                      <w:sz w:val="24"/>
                      <w:szCs w:val="24"/>
                    </w:rPr>
                    <w:t xml:space="preserve">Atalgojums (1 amata vieta, 21 saime, III līmenis, 10.mēnešalgu grupa): </w:t>
                  </w:r>
                </w:p>
                <w:p w14:paraId="1FDFC831" w14:textId="77777777" w:rsidR="00D47FF5" w:rsidRPr="007C4347" w:rsidRDefault="00D47FF5" w:rsidP="00D47FF5">
                  <w:pPr>
                    <w:pStyle w:val="ListParagraph"/>
                    <w:shd w:val="clear" w:color="auto" w:fill="FFFFFF"/>
                    <w:spacing w:after="0" w:line="240" w:lineRule="auto"/>
                    <w:ind w:left="992" w:hanging="794"/>
                    <w:jc w:val="both"/>
                    <w:rPr>
                      <w:rFonts w:ascii="Times New Roman" w:hAnsi="Times New Roman" w:cs="Times New Roman"/>
                      <w:color w:val="000000"/>
                      <w:sz w:val="24"/>
                      <w:szCs w:val="24"/>
                    </w:rPr>
                  </w:pPr>
                  <w:r w:rsidRPr="007C4347">
                    <w:rPr>
                      <w:rFonts w:ascii="Times New Roman" w:hAnsi="Times New Roman" w:cs="Times New Roman"/>
                      <w:color w:val="000000"/>
                      <w:sz w:val="24"/>
                      <w:szCs w:val="24"/>
                    </w:rPr>
                    <w:t xml:space="preserve">894 EUR x 26,00% x 12 </w:t>
                  </w:r>
                  <w:proofErr w:type="spellStart"/>
                  <w:r w:rsidRPr="007C4347">
                    <w:rPr>
                      <w:rFonts w:ascii="Times New Roman" w:hAnsi="Times New Roman" w:cs="Times New Roman"/>
                      <w:color w:val="000000"/>
                      <w:sz w:val="24"/>
                      <w:szCs w:val="24"/>
                    </w:rPr>
                    <w:t>mēn</w:t>
                  </w:r>
                  <w:proofErr w:type="spellEnd"/>
                  <w:r w:rsidRPr="007C4347">
                    <w:rPr>
                      <w:rFonts w:ascii="Times New Roman" w:hAnsi="Times New Roman" w:cs="Times New Roman"/>
                      <w:color w:val="000000"/>
                      <w:sz w:val="24"/>
                      <w:szCs w:val="24"/>
                    </w:rPr>
                    <w:t>. x 1 = 2789 EUR</w:t>
                  </w:r>
                </w:p>
                <w:p w14:paraId="670FD105" w14:textId="77777777" w:rsidR="00D47FF5" w:rsidRPr="007C4347" w:rsidRDefault="00D47FF5" w:rsidP="00D47FF5">
                  <w:pPr>
                    <w:pStyle w:val="ListParagraph"/>
                    <w:shd w:val="clear" w:color="auto" w:fill="FFFFFF"/>
                    <w:spacing w:after="0" w:line="240" w:lineRule="auto"/>
                    <w:ind w:left="992" w:hanging="794"/>
                    <w:jc w:val="both"/>
                    <w:rPr>
                      <w:rFonts w:ascii="Times New Roman" w:hAnsi="Times New Roman" w:cs="Times New Roman"/>
                      <w:color w:val="000000"/>
                      <w:sz w:val="24"/>
                      <w:szCs w:val="24"/>
                    </w:rPr>
                  </w:pPr>
                  <w:r w:rsidRPr="007C4347">
                    <w:rPr>
                      <w:rFonts w:ascii="Times New Roman" w:hAnsi="Times New Roman" w:cs="Times New Roman"/>
                      <w:color w:val="000000"/>
                      <w:sz w:val="24"/>
                      <w:szCs w:val="24"/>
                    </w:rPr>
                    <w:t xml:space="preserve"> Valsts sociālās apdrošināšanas iemaksas: 23,59% x 2789 EUR = 658 EUR</w:t>
                  </w:r>
                </w:p>
                <w:p w14:paraId="58BD0A87" w14:textId="77777777" w:rsidR="004C6EC4" w:rsidRPr="00366B49" w:rsidRDefault="004C6EC4" w:rsidP="004C6EC4">
                  <w:pPr>
                    <w:rPr>
                      <w:color w:val="1F497D" w:themeColor="dark2"/>
                    </w:rPr>
                  </w:pPr>
                </w:p>
                <w:p w14:paraId="132D5FF0" w14:textId="77777777" w:rsidR="004C6EC4" w:rsidRPr="00366B49" w:rsidRDefault="004C6EC4" w:rsidP="004C6EC4">
                  <w:pPr>
                    <w:shd w:val="clear" w:color="auto" w:fill="FFFFFF"/>
                    <w:ind w:left="559" w:hanging="360"/>
                    <w:jc w:val="both"/>
                    <w:rPr>
                      <w:rFonts w:ascii="Times New Roman" w:hAnsi="Times New Roman"/>
                      <w:color w:val="000000"/>
                      <w:sz w:val="24"/>
                      <w:szCs w:val="24"/>
                      <w:u w:val="single"/>
                    </w:rPr>
                  </w:pPr>
                  <w:r w:rsidRPr="00366B49">
                    <w:rPr>
                      <w:rFonts w:ascii="Times New Roman" w:hAnsi="Times New Roman"/>
                      <w:color w:val="000000"/>
                      <w:sz w:val="24"/>
                      <w:szCs w:val="24"/>
                      <w:u w:val="single"/>
                    </w:rPr>
                    <w:t>Pētījumu veikšanai apvienošanās jomā – EUR 8500</w:t>
                  </w:r>
                  <w:r>
                    <w:rPr>
                      <w:rFonts w:ascii="Times New Roman" w:hAnsi="Times New Roman"/>
                      <w:color w:val="000000"/>
                      <w:sz w:val="24"/>
                      <w:szCs w:val="24"/>
                      <w:u w:val="single"/>
                    </w:rPr>
                    <w:t xml:space="preserve"> (</w:t>
                  </w:r>
                  <w:r w:rsidRPr="00366B49">
                    <w:rPr>
                      <w:rFonts w:ascii="Times New Roman" w:hAnsi="Times New Roman"/>
                      <w:color w:val="000000"/>
                      <w:sz w:val="24"/>
                      <w:szCs w:val="24"/>
                      <w:u w:val="single"/>
                    </w:rPr>
                    <w:t>preces un pakalpojumi)</w:t>
                  </w:r>
                </w:p>
                <w:p w14:paraId="4EC6409F" w14:textId="77777777" w:rsidR="004C6EC4" w:rsidRDefault="004C6EC4" w:rsidP="004C6EC4">
                  <w:pPr>
                    <w:shd w:val="clear" w:color="auto" w:fill="FFFFFF"/>
                    <w:ind w:left="84"/>
                    <w:jc w:val="both"/>
                    <w:rPr>
                      <w:rFonts w:ascii="Calibri" w:hAnsi="Calibri"/>
                      <w:sz w:val="24"/>
                      <w:szCs w:val="24"/>
                    </w:rPr>
                  </w:pPr>
                  <w:r>
                    <w:rPr>
                      <w:rFonts w:ascii="Times New Roman" w:hAnsi="Times New Roman"/>
                      <w:color w:val="000000"/>
                      <w:sz w:val="24"/>
                      <w:szCs w:val="24"/>
                    </w:rPr>
                    <w:t xml:space="preserve">Papildus finansējums nepieciešams arī vismaz divu pētījumu veikšanai apvienošanās jomā katru </w:t>
                  </w:r>
                  <w:r>
                    <w:rPr>
                      <w:rFonts w:ascii="Times New Roman" w:hAnsi="Times New Roman"/>
                      <w:sz w:val="24"/>
                      <w:szCs w:val="24"/>
                    </w:rPr>
                    <w:t>gadu (viena patērētāju un/vai tirgus dalībnieku aptauja saistībā ar aktuālu izvērtēšanā esošu apvienošanās lietu par konkrēto tirgu un preču aizvietojamību; otrs – par apvienošanās ietekmi uz konkurenci noteiktu laiku pēc apvienošanās). Pētījumus nepieciešams veikt, lai nodrošinātu precīzāku informāciju par situāciju tirgū, kas ļautu pieņemt konkrētiem apstākļiem piemērotāko lēmumu, novēršot apvienošanās negatīvas sekas konkurencei). Tāpat pēc OECD ieteikuma nepieciešams veikt pētījumus par jau pieņemto apvienošanās lēmumu ietekmi uz tirgus apstākļiem un konkurenci, kas nākotnē nodrošinātu efektīvāku risinājumu izvēli, piemēram, izvēloties piemērotākos un efektīvākos saistošos noteikumus.</w:t>
                  </w:r>
                </w:p>
                <w:p w14:paraId="26A9E3B6" w14:textId="77777777" w:rsidR="004C6EC4" w:rsidRDefault="004C6EC4" w:rsidP="004C6EC4">
                  <w:pPr>
                    <w:ind w:left="126"/>
                    <w:jc w:val="both"/>
                    <w:rPr>
                      <w:rFonts w:ascii="Times New Roman" w:hAnsi="Times New Roman"/>
                      <w:sz w:val="24"/>
                      <w:szCs w:val="24"/>
                    </w:rPr>
                  </w:pPr>
                  <w:r>
                    <w:rPr>
                      <w:rFonts w:ascii="Times New Roman" w:hAnsi="Times New Roman"/>
                      <w:sz w:val="24"/>
                      <w:szCs w:val="24"/>
                    </w:rPr>
                    <w:t>2 pētījumi apvienošanās jomā EUR 3000 (aptauja aktuālā apvienošanās lietā)  + EUR 5500 (Pētījums par apvienošanās lēmuma ietekmi uz konkurenci) =</w:t>
                  </w:r>
                  <w:r w:rsidRPr="00366B49">
                    <w:rPr>
                      <w:rFonts w:ascii="Times New Roman" w:hAnsi="Times New Roman"/>
                      <w:sz w:val="24"/>
                      <w:szCs w:val="24"/>
                    </w:rPr>
                    <w:t>EUR 8500</w:t>
                  </w:r>
                </w:p>
                <w:p w14:paraId="5E918FB0" w14:textId="77777777" w:rsidR="004C6EC4" w:rsidRDefault="004C6EC4" w:rsidP="004C6EC4">
                  <w:pPr>
                    <w:jc w:val="both"/>
                    <w:rPr>
                      <w:rFonts w:ascii="Times New Roman" w:hAnsi="Times New Roman"/>
                      <w:sz w:val="24"/>
                      <w:szCs w:val="24"/>
                      <w:u w:val="single"/>
                    </w:rPr>
                  </w:pPr>
                </w:p>
                <w:p w14:paraId="11423339" w14:textId="77777777" w:rsidR="004C6EC4" w:rsidRDefault="004C6EC4" w:rsidP="004C6EC4">
                  <w:pPr>
                    <w:shd w:val="clear" w:color="auto" w:fill="FFFFFF"/>
                    <w:ind w:left="126"/>
                    <w:jc w:val="both"/>
                    <w:rPr>
                      <w:rFonts w:ascii="Times New Roman" w:hAnsi="Times New Roman"/>
                      <w:sz w:val="24"/>
                      <w:szCs w:val="24"/>
                      <w:u w:val="single"/>
                    </w:rPr>
                  </w:pPr>
                  <w:r>
                    <w:rPr>
                      <w:rFonts w:ascii="Times New Roman" w:hAnsi="Times New Roman"/>
                      <w:sz w:val="24"/>
                      <w:szCs w:val="24"/>
                      <w:u w:val="single"/>
                    </w:rPr>
                    <w:t>Komandējums uz Eiropas konkurences tīkla  (ECN) apvienošanās apakšgrupas sanāksmēm- EUR 1180,00</w:t>
                  </w:r>
                </w:p>
                <w:p w14:paraId="52AD9FE8" w14:textId="14F932B8" w:rsidR="00D910F5" w:rsidRPr="00176DE8" w:rsidRDefault="004C6EC4" w:rsidP="00366B49">
                  <w:pPr>
                    <w:jc w:val="both"/>
                    <w:rPr>
                      <w:rFonts w:ascii="Times New Roman" w:hAnsi="Times New Roman" w:cs="Times New Roman"/>
                      <w:sz w:val="24"/>
                      <w:szCs w:val="24"/>
                      <w:highlight w:val="yellow"/>
                    </w:rPr>
                  </w:pPr>
                  <w:r>
                    <w:rPr>
                      <w:rFonts w:ascii="Times New Roman" w:hAnsi="Times New Roman"/>
                      <w:sz w:val="24"/>
                      <w:szCs w:val="24"/>
                    </w:rPr>
                    <w:t xml:space="preserve">Komandējums papildus vienam ekspertam uz Eiropas konkurences tīkla  (ECN) apvienošanās apakšgrupas sanāksmēm 2x gadā: </w:t>
                  </w:r>
                  <w:r>
                    <w:rPr>
                      <w:rFonts w:ascii="Times New Roman" w:hAnsi="Times New Roman"/>
                      <w:color w:val="000000"/>
                      <w:sz w:val="24"/>
                      <w:szCs w:val="24"/>
                      <w:lang w:eastAsia="lv-LV"/>
                    </w:rPr>
                    <w:t>(dienas nauda EUR 40,00 x 2 dienas; viesnīca (EUR 150x2) un transports (lidmašīna-2 braucieni: EUR 400,00x2) = EUR 1180</w:t>
                  </w:r>
                </w:p>
              </w:tc>
            </w:tr>
            <w:tr w:rsidR="00D910F5" w:rsidRPr="0057037A" w14:paraId="41954A6B" w14:textId="77777777" w:rsidTr="00D47FF5">
              <w:trPr>
                <w:trHeight w:val="440"/>
                <w:tblCellSpacing w:w="15" w:type="dxa"/>
                <w:jc w:val="center"/>
              </w:trPr>
              <w:tc>
                <w:tcPr>
                  <w:tcW w:w="926" w:type="pct"/>
                </w:tcPr>
                <w:p w14:paraId="04D658A6" w14:textId="22771AD4" w:rsidR="00D910F5" w:rsidRPr="0057037A" w:rsidRDefault="00D910F5" w:rsidP="00544C0B">
                  <w:pPr>
                    <w:rPr>
                      <w:rFonts w:ascii="Times New Roman" w:eastAsia="Times New Roman" w:hAnsi="Times New Roman" w:cs="Times New Roman"/>
                      <w:sz w:val="24"/>
                      <w:szCs w:val="24"/>
                      <w:lang w:eastAsia="lv-LV"/>
                    </w:rPr>
                  </w:pPr>
                  <w:r w:rsidRPr="0057037A">
                    <w:rPr>
                      <w:rFonts w:ascii="Times New Roman" w:eastAsia="Times New Roman" w:hAnsi="Times New Roman" w:cs="Times New Roman"/>
                      <w:sz w:val="24"/>
                      <w:szCs w:val="24"/>
                      <w:lang w:eastAsia="lv-LV"/>
                    </w:rPr>
                    <w:t>6.1. detalizēts ieņēmumu aprēķins</w:t>
                  </w:r>
                </w:p>
              </w:tc>
              <w:tc>
                <w:tcPr>
                  <w:tcW w:w="4025" w:type="pct"/>
                  <w:gridSpan w:val="5"/>
                  <w:vMerge/>
                </w:tcPr>
                <w:p w14:paraId="2E139DB1" w14:textId="77777777" w:rsidR="00D910F5" w:rsidRPr="00176DE8" w:rsidRDefault="00D910F5" w:rsidP="00720F5F">
                  <w:pPr>
                    <w:jc w:val="both"/>
                    <w:rPr>
                      <w:rFonts w:ascii="Times New Roman" w:hAnsi="Times New Roman" w:cs="Times New Roman"/>
                      <w:iCs/>
                      <w:sz w:val="24"/>
                      <w:szCs w:val="24"/>
                    </w:rPr>
                  </w:pPr>
                </w:p>
              </w:tc>
            </w:tr>
            <w:tr w:rsidR="00D910F5" w:rsidRPr="0057037A" w14:paraId="1B9453C3" w14:textId="77777777" w:rsidTr="00D47FF5">
              <w:trPr>
                <w:tblCellSpacing w:w="15" w:type="dxa"/>
                <w:jc w:val="center"/>
              </w:trPr>
              <w:tc>
                <w:tcPr>
                  <w:tcW w:w="926" w:type="pct"/>
                  <w:hideMark/>
                </w:tcPr>
                <w:p w14:paraId="4970FFDB" w14:textId="54AB3DB4" w:rsidR="00D910F5" w:rsidRPr="00176DE8" w:rsidRDefault="00D910F5" w:rsidP="00544C0B">
                  <w:pPr>
                    <w:rPr>
                      <w:rFonts w:ascii="Times New Roman" w:eastAsia="Times New Roman" w:hAnsi="Times New Roman" w:cs="Times New Roman"/>
                      <w:sz w:val="24"/>
                      <w:szCs w:val="24"/>
                      <w:lang w:eastAsia="lv-LV"/>
                    </w:rPr>
                  </w:pPr>
                  <w:r w:rsidRPr="0057037A">
                    <w:rPr>
                      <w:rFonts w:ascii="Times New Roman" w:eastAsia="Times New Roman" w:hAnsi="Times New Roman" w:cs="Times New Roman"/>
                      <w:sz w:val="24"/>
                      <w:szCs w:val="24"/>
                      <w:lang w:eastAsia="lv-LV"/>
                    </w:rPr>
                    <w:t>6.2. detalizēts izdevumu aprēķins</w:t>
                  </w:r>
                </w:p>
              </w:tc>
              <w:tc>
                <w:tcPr>
                  <w:tcW w:w="4025" w:type="pct"/>
                  <w:gridSpan w:val="5"/>
                  <w:vMerge/>
                  <w:vAlign w:val="center"/>
                  <w:hideMark/>
                </w:tcPr>
                <w:p w14:paraId="0F145F2F" w14:textId="77777777" w:rsidR="00D910F5" w:rsidRPr="0057037A" w:rsidRDefault="00D910F5" w:rsidP="00544C0B">
                  <w:pPr>
                    <w:rPr>
                      <w:rFonts w:ascii="Times New Roman" w:eastAsia="Times New Roman" w:hAnsi="Times New Roman" w:cs="Times New Roman"/>
                      <w:sz w:val="24"/>
                      <w:szCs w:val="24"/>
                      <w:lang w:eastAsia="lv-LV"/>
                    </w:rPr>
                  </w:pPr>
                </w:p>
              </w:tc>
            </w:tr>
            <w:tr w:rsidR="0057037A" w:rsidRPr="0057037A" w14:paraId="4589FC7A" w14:textId="77777777" w:rsidTr="00D47FF5">
              <w:trPr>
                <w:trHeight w:val="555"/>
                <w:tblCellSpacing w:w="15" w:type="dxa"/>
                <w:jc w:val="center"/>
              </w:trPr>
              <w:tc>
                <w:tcPr>
                  <w:tcW w:w="926" w:type="pct"/>
                  <w:hideMark/>
                </w:tcPr>
                <w:p w14:paraId="47AAA103" w14:textId="2D18AAF8" w:rsidR="00A97E7D" w:rsidRPr="0057037A" w:rsidRDefault="00A97E7D" w:rsidP="00EA7E42">
                  <w:pPr>
                    <w:rPr>
                      <w:rFonts w:ascii="Times New Roman" w:eastAsia="Times New Roman" w:hAnsi="Times New Roman" w:cs="Times New Roman"/>
                      <w:sz w:val="24"/>
                      <w:szCs w:val="24"/>
                      <w:lang w:eastAsia="lv-LV"/>
                    </w:rPr>
                  </w:pPr>
                  <w:r w:rsidRPr="0057037A">
                    <w:rPr>
                      <w:rFonts w:ascii="Times New Roman" w:eastAsia="Times New Roman" w:hAnsi="Times New Roman" w:cs="Times New Roman"/>
                      <w:sz w:val="24"/>
                      <w:szCs w:val="24"/>
                      <w:lang w:eastAsia="lv-LV"/>
                    </w:rPr>
                    <w:lastRenderedPageBreak/>
                    <w:t>7. Cita informācija</w:t>
                  </w:r>
                </w:p>
              </w:tc>
              <w:tc>
                <w:tcPr>
                  <w:tcW w:w="4025" w:type="pct"/>
                  <w:gridSpan w:val="5"/>
                </w:tcPr>
                <w:p w14:paraId="77EFCCA0" w14:textId="77777777" w:rsidR="00A97E7D" w:rsidRPr="0057037A" w:rsidRDefault="00720F5F" w:rsidP="00544C0B">
                  <w:pPr>
                    <w:jc w:val="both"/>
                    <w:rPr>
                      <w:rFonts w:ascii="Times New Roman" w:eastAsia="Times New Roman" w:hAnsi="Times New Roman" w:cs="Times New Roman"/>
                      <w:sz w:val="24"/>
                      <w:szCs w:val="24"/>
                      <w:lang w:eastAsia="lv-LV"/>
                    </w:rPr>
                  </w:pPr>
                  <w:r w:rsidRPr="0057037A">
                    <w:rPr>
                      <w:rFonts w:ascii="Times New Roman" w:eastAsia="Times New Roman" w:hAnsi="Times New Roman" w:cs="Times New Roman"/>
                      <w:sz w:val="24"/>
                      <w:szCs w:val="24"/>
                      <w:lang w:eastAsia="lv-LV"/>
                    </w:rPr>
                    <w:t>Nav</w:t>
                  </w:r>
                </w:p>
              </w:tc>
            </w:tr>
          </w:tbl>
          <w:p w14:paraId="59A7B2F4" w14:textId="77777777" w:rsidR="00A97E7D" w:rsidRDefault="00A97E7D" w:rsidP="00544C0B">
            <w:pPr>
              <w:rPr>
                <w:rFonts w:ascii="Times New Roman" w:eastAsia="Times New Roman" w:hAnsi="Times New Roman" w:cs="Times New Roman"/>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2"/>
              <w:gridCol w:w="2421"/>
              <w:gridCol w:w="6384"/>
            </w:tblGrid>
            <w:tr w:rsidR="0057037A" w:rsidRPr="0057037A" w14:paraId="6162B760" w14:textId="77777777" w:rsidTr="00B8188F">
              <w:trPr>
                <w:trHeight w:val="555"/>
                <w:tblCellSpacing w:w="15" w:type="dxa"/>
              </w:trPr>
              <w:tc>
                <w:tcPr>
                  <w:tcW w:w="4968" w:type="pct"/>
                  <w:gridSpan w:val="3"/>
                  <w:vAlign w:val="center"/>
                  <w:hideMark/>
                </w:tcPr>
                <w:p w14:paraId="1189244B" w14:textId="77777777" w:rsidR="00A97E7D" w:rsidRPr="0057037A" w:rsidRDefault="00A97E7D" w:rsidP="00544C0B">
                  <w:pPr>
                    <w:jc w:val="center"/>
                    <w:rPr>
                      <w:rFonts w:ascii="Times New Roman" w:eastAsia="Times New Roman" w:hAnsi="Times New Roman" w:cs="Times New Roman"/>
                      <w:b/>
                      <w:bCs/>
                      <w:sz w:val="24"/>
                      <w:szCs w:val="24"/>
                      <w:lang w:eastAsia="lv-LV"/>
                    </w:rPr>
                  </w:pPr>
                  <w:r w:rsidRPr="0057037A">
                    <w:rPr>
                      <w:rFonts w:ascii="Times New Roman" w:eastAsia="Times New Roman" w:hAnsi="Times New Roman" w:cs="Times New Roman"/>
                      <w:b/>
                      <w:bCs/>
                      <w:sz w:val="24"/>
                      <w:szCs w:val="24"/>
                      <w:lang w:eastAsia="lv-LV"/>
                    </w:rPr>
                    <w:t xml:space="preserve">IV. Tiesību akta projekta ietekme uz spēkā esošo </w:t>
                  </w:r>
                </w:p>
                <w:p w14:paraId="55420911" w14:textId="77777777" w:rsidR="00A97E7D" w:rsidRPr="0057037A" w:rsidRDefault="00A97E7D" w:rsidP="00544C0B">
                  <w:pPr>
                    <w:jc w:val="center"/>
                    <w:rPr>
                      <w:rFonts w:ascii="Times New Roman" w:eastAsia="Times New Roman" w:hAnsi="Times New Roman" w:cs="Times New Roman"/>
                      <w:b/>
                      <w:bCs/>
                      <w:sz w:val="24"/>
                      <w:szCs w:val="24"/>
                      <w:lang w:eastAsia="lv-LV"/>
                    </w:rPr>
                  </w:pPr>
                  <w:r w:rsidRPr="0057037A">
                    <w:rPr>
                      <w:rFonts w:ascii="Times New Roman" w:eastAsia="Times New Roman" w:hAnsi="Times New Roman" w:cs="Times New Roman"/>
                      <w:b/>
                      <w:bCs/>
                      <w:sz w:val="24"/>
                      <w:szCs w:val="24"/>
                      <w:lang w:eastAsia="lv-LV"/>
                    </w:rPr>
                    <w:t>tiesību normu sistēmu</w:t>
                  </w:r>
                </w:p>
              </w:tc>
            </w:tr>
            <w:tr w:rsidR="0057037A" w:rsidRPr="0057037A" w14:paraId="20E8997E" w14:textId="77777777" w:rsidTr="00EA7E42">
              <w:trPr>
                <w:trHeight w:val="465"/>
                <w:tblCellSpacing w:w="15" w:type="dxa"/>
              </w:trPr>
              <w:tc>
                <w:tcPr>
                  <w:tcW w:w="252" w:type="pct"/>
                  <w:hideMark/>
                </w:tcPr>
                <w:p w14:paraId="2321D4CA" w14:textId="77777777" w:rsidR="00A97E7D" w:rsidRPr="0057037A" w:rsidRDefault="00A97E7D" w:rsidP="00544C0B">
                  <w:pPr>
                    <w:rPr>
                      <w:rFonts w:ascii="Times New Roman" w:eastAsia="Times New Roman" w:hAnsi="Times New Roman" w:cs="Times New Roman"/>
                      <w:sz w:val="24"/>
                      <w:szCs w:val="24"/>
                      <w:lang w:eastAsia="lv-LV"/>
                    </w:rPr>
                  </w:pPr>
                  <w:r w:rsidRPr="0057037A">
                    <w:rPr>
                      <w:rFonts w:ascii="Times New Roman" w:eastAsia="Times New Roman" w:hAnsi="Times New Roman" w:cs="Times New Roman"/>
                      <w:sz w:val="24"/>
                      <w:szCs w:val="24"/>
                      <w:lang w:eastAsia="lv-LV"/>
                    </w:rPr>
                    <w:t>1.</w:t>
                  </w:r>
                </w:p>
              </w:tc>
              <w:tc>
                <w:tcPr>
                  <w:tcW w:w="1292" w:type="pct"/>
                  <w:hideMark/>
                </w:tcPr>
                <w:p w14:paraId="63ED06F9" w14:textId="77777777" w:rsidR="00A97E7D" w:rsidRPr="0057037A" w:rsidRDefault="00A97E7D" w:rsidP="00544C0B">
                  <w:pPr>
                    <w:rPr>
                      <w:rFonts w:ascii="Times New Roman" w:eastAsia="Times New Roman" w:hAnsi="Times New Roman" w:cs="Times New Roman"/>
                      <w:sz w:val="24"/>
                      <w:szCs w:val="24"/>
                      <w:lang w:eastAsia="lv-LV"/>
                    </w:rPr>
                  </w:pPr>
                  <w:r w:rsidRPr="0057037A">
                    <w:rPr>
                      <w:rFonts w:ascii="Times New Roman" w:eastAsia="Times New Roman" w:hAnsi="Times New Roman" w:cs="Times New Roman"/>
                      <w:sz w:val="24"/>
                      <w:szCs w:val="24"/>
                      <w:lang w:eastAsia="lv-LV"/>
                    </w:rPr>
                    <w:t>Nepieciešamie saistītie tiesību aktu projekti</w:t>
                  </w:r>
                </w:p>
              </w:tc>
              <w:tc>
                <w:tcPr>
                  <w:tcW w:w="3392" w:type="pct"/>
                  <w:hideMark/>
                </w:tcPr>
                <w:p w14:paraId="30D4FD21" w14:textId="57B9CDA9" w:rsidR="00413DDF" w:rsidRPr="00EE1AB6" w:rsidRDefault="00413DDF" w:rsidP="00413DDF">
                  <w:pPr>
                    <w:jc w:val="both"/>
                    <w:rPr>
                      <w:rFonts w:ascii="Times New Roman" w:hAnsi="Times New Roman" w:cs="Times New Roman"/>
                      <w:bCs/>
                      <w:sz w:val="24"/>
                      <w:szCs w:val="24"/>
                    </w:rPr>
                  </w:pPr>
                  <w:r w:rsidRPr="00EE1AB6">
                    <w:rPr>
                      <w:rFonts w:ascii="Times New Roman" w:hAnsi="Times New Roman" w:cs="Times New Roman"/>
                      <w:bCs/>
                      <w:sz w:val="24"/>
                      <w:szCs w:val="24"/>
                    </w:rPr>
                    <w:t xml:space="preserve">Likumprojekts saistīts ar likumprojektu </w:t>
                  </w:r>
                  <w:r w:rsidRPr="00EE1AB6">
                    <w:rPr>
                      <w:rFonts w:ascii="Times New Roman" w:hAnsi="Times New Roman" w:cs="Times New Roman"/>
                      <w:sz w:val="24"/>
                      <w:szCs w:val="24"/>
                    </w:rPr>
                    <w:t xml:space="preserve">Grozījumi Konkurences likumā” (VSS-1767, TA-2985; atbalstīts MKK 05.01.2015.sēdē </w:t>
                  </w:r>
                  <w:r w:rsidRPr="00EE1AB6">
                    <w:rPr>
                      <w:rFonts w:ascii="Times New Roman" w:hAnsi="Times New Roman" w:cs="Times New Roman"/>
                      <w:sz w:val="24"/>
                      <w:szCs w:val="24"/>
                    </w:rPr>
                    <w:lastRenderedPageBreak/>
                    <w:t xml:space="preserve">(prot.Nr.1, 2.§)), kas paredz noteikt valsts nodevu par Konkurences likumā noteikto tirgus dalībnieku apvienošanās izvērtēšanu un kurā </w:t>
                  </w:r>
                  <w:r w:rsidRPr="00EE1AB6">
                    <w:rPr>
                      <w:rFonts w:ascii="Times New Roman" w:hAnsi="Times New Roman" w:cs="Times New Roman"/>
                      <w:bCs/>
                      <w:sz w:val="24"/>
                      <w:szCs w:val="24"/>
                    </w:rPr>
                    <w:t>iekļauts pilnvarojums Ministru kabinetam noteikt valsts nodevas par apvienošanās izvērtēšanu apmēru un maksāšanas kārtību.</w:t>
                  </w:r>
                </w:p>
                <w:p w14:paraId="75FF9834" w14:textId="043B1EC4" w:rsidR="00413DDF" w:rsidRDefault="00413DDF" w:rsidP="00413DDF">
                  <w:pPr>
                    <w:jc w:val="both"/>
                    <w:rPr>
                      <w:rFonts w:ascii="Times New Roman" w:hAnsi="Times New Roman" w:cs="Times New Roman"/>
                      <w:bCs/>
                      <w:sz w:val="24"/>
                      <w:szCs w:val="24"/>
                    </w:rPr>
                  </w:pPr>
                  <w:r w:rsidRPr="00413DDF">
                    <w:rPr>
                      <w:rFonts w:ascii="Times New Roman" w:hAnsi="Times New Roman" w:cs="Times New Roman"/>
                      <w:bCs/>
                      <w:sz w:val="24"/>
                      <w:szCs w:val="24"/>
                    </w:rPr>
                    <w:t>Abos likumprojektos paredzēts, ka pienākums maksāt valsts nodevu stājas spēkā no 01.01.2016.</w:t>
                  </w:r>
                </w:p>
                <w:p w14:paraId="6B1803EA" w14:textId="77777777" w:rsidR="00413DDF" w:rsidRDefault="00413DDF" w:rsidP="00413DDF">
                  <w:pPr>
                    <w:jc w:val="both"/>
                    <w:rPr>
                      <w:rFonts w:ascii="Times New Roman" w:hAnsi="Times New Roman" w:cs="Times New Roman"/>
                      <w:bCs/>
                      <w:sz w:val="24"/>
                      <w:szCs w:val="24"/>
                    </w:rPr>
                  </w:pPr>
                </w:p>
                <w:p w14:paraId="45340918" w14:textId="52F2881A" w:rsidR="00413DDF" w:rsidRDefault="00413DDF" w:rsidP="00413DDF">
                  <w:pPr>
                    <w:jc w:val="both"/>
                    <w:rPr>
                      <w:rFonts w:ascii="Times New Roman" w:hAnsi="Times New Roman" w:cs="Times New Roman"/>
                      <w:bCs/>
                      <w:sz w:val="24"/>
                      <w:szCs w:val="24"/>
                    </w:rPr>
                  </w:pPr>
                  <w:r w:rsidRPr="00413DDF">
                    <w:rPr>
                      <w:rFonts w:ascii="Times New Roman" w:hAnsi="Times New Roman" w:cs="Times New Roman"/>
                      <w:bCs/>
                      <w:sz w:val="24"/>
                      <w:szCs w:val="24"/>
                    </w:rPr>
                    <w:t>Par Ministru kabineta noteikumu projektu izstrādi atbildīgā institūcija – Ekonomikas ministrija.</w:t>
                  </w:r>
                </w:p>
                <w:p w14:paraId="3D5C2A0F" w14:textId="77777777" w:rsidR="00413DDF" w:rsidRDefault="00413DDF" w:rsidP="00413DDF">
                  <w:pPr>
                    <w:jc w:val="both"/>
                    <w:rPr>
                      <w:rFonts w:ascii="Times New Roman" w:hAnsi="Times New Roman" w:cs="Times New Roman"/>
                      <w:bCs/>
                      <w:sz w:val="24"/>
                      <w:szCs w:val="24"/>
                    </w:rPr>
                  </w:pPr>
                </w:p>
                <w:p w14:paraId="6DAD0012" w14:textId="413CC7A1" w:rsidR="000E56D8" w:rsidRPr="00413DDF" w:rsidRDefault="00413DDF" w:rsidP="00071019">
                  <w:pPr>
                    <w:jc w:val="both"/>
                    <w:rPr>
                      <w:rFonts w:ascii="Times New Roman" w:eastAsia="Times New Roman" w:hAnsi="Times New Roman" w:cs="Times New Roman"/>
                      <w:sz w:val="24"/>
                      <w:szCs w:val="24"/>
                      <w:lang w:eastAsia="lv-LV"/>
                    </w:rPr>
                  </w:pPr>
                  <w:r w:rsidRPr="00413DDF">
                    <w:rPr>
                      <w:rFonts w:ascii="Times New Roman" w:hAnsi="Times New Roman" w:cs="Times New Roman"/>
                      <w:bCs/>
                      <w:sz w:val="24"/>
                      <w:szCs w:val="24"/>
                    </w:rPr>
                    <w:t>Ministru kabineta noteikumu projekts izstrādājams un iesniedzams izskatīšanai Ministru kabinetā pēc tam, kad minētie likumprojekti tiks pieņemti otrajā lasījumā.</w:t>
                  </w:r>
                </w:p>
              </w:tc>
            </w:tr>
            <w:tr w:rsidR="0057037A" w:rsidRPr="0057037A" w14:paraId="31D4922C" w14:textId="77777777" w:rsidTr="00EA7E42">
              <w:trPr>
                <w:trHeight w:val="510"/>
                <w:tblCellSpacing w:w="15" w:type="dxa"/>
              </w:trPr>
              <w:tc>
                <w:tcPr>
                  <w:tcW w:w="252" w:type="pct"/>
                  <w:hideMark/>
                </w:tcPr>
                <w:p w14:paraId="1655406E" w14:textId="77777777" w:rsidR="00A97E7D" w:rsidRPr="0057037A" w:rsidRDefault="00A97E7D" w:rsidP="00544C0B">
                  <w:pPr>
                    <w:rPr>
                      <w:rFonts w:ascii="Times New Roman" w:eastAsia="Times New Roman" w:hAnsi="Times New Roman" w:cs="Times New Roman"/>
                      <w:sz w:val="24"/>
                      <w:szCs w:val="24"/>
                      <w:lang w:eastAsia="lv-LV"/>
                    </w:rPr>
                  </w:pPr>
                  <w:r w:rsidRPr="0057037A">
                    <w:rPr>
                      <w:rFonts w:ascii="Times New Roman" w:eastAsia="Times New Roman" w:hAnsi="Times New Roman" w:cs="Times New Roman"/>
                      <w:sz w:val="24"/>
                      <w:szCs w:val="24"/>
                      <w:lang w:eastAsia="lv-LV"/>
                    </w:rPr>
                    <w:lastRenderedPageBreak/>
                    <w:t>2.</w:t>
                  </w:r>
                </w:p>
              </w:tc>
              <w:tc>
                <w:tcPr>
                  <w:tcW w:w="1292" w:type="pct"/>
                  <w:hideMark/>
                </w:tcPr>
                <w:p w14:paraId="5F9584A4" w14:textId="77777777" w:rsidR="00A97E7D" w:rsidRPr="0057037A" w:rsidRDefault="00A97E7D" w:rsidP="00544C0B">
                  <w:pPr>
                    <w:rPr>
                      <w:rFonts w:ascii="Times New Roman" w:eastAsia="Times New Roman" w:hAnsi="Times New Roman" w:cs="Times New Roman"/>
                      <w:sz w:val="24"/>
                      <w:szCs w:val="24"/>
                      <w:lang w:eastAsia="lv-LV"/>
                    </w:rPr>
                  </w:pPr>
                  <w:r w:rsidRPr="0057037A">
                    <w:rPr>
                      <w:rFonts w:ascii="Times New Roman" w:eastAsia="Times New Roman" w:hAnsi="Times New Roman" w:cs="Times New Roman"/>
                      <w:sz w:val="24"/>
                      <w:szCs w:val="24"/>
                      <w:lang w:eastAsia="lv-LV"/>
                    </w:rPr>
                    <w:t>Atbildīgā institūcija</w:t>
                  </w:r>
                </w:p>
                <w:p w14:paraId="060E68C4" w14:textId="77777777" w:rsidR="00A97E7D" w:rsidRPr="0057037A" w:rsidRDefault="00A97E7D" w:rsidP="00544C0B">
                  <w:pPr>
                    <w:rPr>
                      <w:rFonts w:ascii="Times New Roman" w:eastAsia="Times New Roman" w:hAnsi="Times New Roman" w:cs="Times New Roman"/>
                      <w:sz w:val="24"/>
                      <w:szCs w:val="24"/>
                      <w:lang w:eastAsia="lv-LV"/>
                    </w:rPr>
                  </w:pPr>
                </w:p>
              </w:tc>
              <w:tc>
                <w:tcPr>
                  <w:tcW w:w="3392" w:type="pct"/>
                  <w:hideMark/>
                </w:tcPr>
                <w:p w14:paraId="71D5CADE" w14:textId="77777777" w:rsidR="00A97E7D" w:rsidRPr="0057037A" w:rsidRDefault="00A97E7D" w:rsidP="00544C0B">
                  <w:pPr>
                    <w:jc w:val="both"/>
                    <w:rPr>
                      <w:rFonts w:ascii="Times New Roman" w:eastAsia="Times New Roman" w:hAnsi="Times New Roman" w:cs="Times New Roman"/>
                      <w:sz w:val="24"/>
                      <w:szCs w:val="24"/>
                      <w:lang w:eastAsia="lv-LV"/>
                    </w:rPr>
                  </w:pPr>
                  <w:r w:rsidRPr="0057037A">
                    <w:rPr>
                      <w:rFonts w:ascii="Times New Roman" w:eastAsia="Times New Roman" w:hAnsi="Times New Roman" w:cs="Times New Roman"/>
                      <w:sz w:val="24"/>
                      <w:szCs w:val="24"/>
                      <w:lang w:eastAsia="lv-LV"/>
                    </w:rPr>
                    <w:t>Ekonomikas ministrija</w:t>
                  </w:r>
                </w:p>
              </w:tc>
            </w:tr>
            <w:tr w:rsidR="0057037A" w:rsidRPr="0057037A" w14:paraId="644F3A04" w14:textId="77777777" w:rsidTr="00EA7E42">
              <w:trPr>
                <w:trHeight w:val="510"/>
                <w:tblCellSpacing w:w="15" w:type="dxa"/>
              </w:trPr>
              <w:tc>
                <w:tcPr>
                  <w:tcW w:w="252" w:type="pct"/>
                  <w:hideMark/>
                </w:tcPr>
                <w:p w14:paraId="42F86EA3" w14:textId="77777777" w:rsidR="00A97E7D" w:rsidRPr="0057037A" w:rsidRDefault="00A97E7D" w:rsidP="00544C0B">
                  <w:pPr>
                    <w:rPr>
                      <w:rFonts w:ascii="Times New Roman" w:eastAsia="Times New Roman" w:hAnsi="Times New Roman" w:cs="Times New Roman"/>
                      <w:sz w:val="24"/>
                      <w:szCs w:val="24"/>
                      <w:lang w:eastAsia="lv-LV"/>
                    </w:rPr>
                  </w:pPr>
                  <w:r w:rsidRPr="0057037A">
                    <w:rPr>
                      <w:rFonts w:ascii="Times New Roman" w:eastAsia="Times New Roman" w:hAnsi="Times New Roman" w:cs="Times New Roman"/>
                      <w:sz w:val="24"/>
                      <w:szCs w:val="24"/>
                      <w:lang w:eastAsia="lv-LV"/>
                    </w:rPr>
                    <w:t>3.</w:t>
                  </w:r>
                </w:p>
              </w:tc>
              <w:tc>
                <w:tcPr>
                  <w:tcW w:w="1292" w:type="pct"/>
                  <w:hideMark/>
                </w:tcPr>
                <w:p w14:paraId="0F5CBFCA" w14:textId="0F00CF2D" w:rsidR="00A97E7D" w:rsidRPr="0057037A" w:rsidRDefault="00A97E7D" w:rsidP="00EA7E42">
                  <w:pPr>
                    <w:rPr>
                      <w:rFonts w:ascii="Times New Roman" w:eastAsia="Times New Roman" w:hAnsi="Times New Roman" w:cs="Times New Roman"/>
                      <w:sz w:val="24"/>
                      <w:szCs w:val="24"/>
                      <w:lang w:eastAsia="lv-LV"/>
                    </w:rPr>
                  </w:pPr>
                  <w:r w:rsidRPr="0057037A">
                    <w:rPr>
                      <w:rFonts w:ascii="Times New Roman" w:eastAsia="Times New Roman" w:hAnsi="Times New Roman" w:cs="Times New Roman"/>
                      <w:sz w:val="24"/>
                      <w:szCs w:val="24"/>
                      <w:lang w:eastAsia="lv-LV"/>
                    </w:rPr>
                    <w:t>Cita informācija</w:t>
                  </w:r>
                </w:p>
              </w:tc>
              <w:tc>
                <w:tcPr>
                  <w:tcW w:w="3392" w:type="pct"/>
                </w:tcPr>
                <w:p w14:paraId="74365B08" w14:textId="77777777" w:rsidR="00A97E7D" w:rsidRPr="0057037A" w:rsidRDefault="00A97E7D" w:rsidP="00544C0B">
                  <w:pPr>
                    <w:rPr>
                      <w:rFonts w:ascii="Times New Roman" w:eastAsia="Times New Roman" w:hAnsi="Times New Roman" w:cs="Times New Roman"/>
                      <w:sz w:val="24"/>
                      <w:szCs w:val="24"/>
                      <w:lang w:eastAsia="lv-LV"/>
                    </w:rPr>
                  </w:pPr>
                  <w:r w:rsidRPr="0057037A">
                    <w:rPr>
                      <w:rFonts w:ascii="Times New Roman" w:eastAsia="Times New Roman" w:hAnsi="Times New Roman" w:cs="Times New Roman"/>
                      <w:sz w:val="24"/>
                      <w:szCs w:val="24"/>
                      <w:lang w:eastAsia="lv-LV"/>
                    </w:rPr>
                    <w:t>Nav</w:t>
                  </w:r>
                </w:p>
              </w:tc>
            </w:tr>
          </w:tbl>
          <w:p w14:paraId="4E718BE3" w14:textId="77777777" w:rsidR="00A97E7D" w:rsidRPr="0057037A" w:rsidRDefault="00A97E7D" w:rsidP="00544C0B">
            <w:pPr>
              <w:rPr>
                <w:rFonts w:ascii="Times New Roman" w:eastAsia="Times New Roman" w:hAnsi="Times New Roman" w:cs="Times New Roman"/>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left w:w="20" w:type="dxa"/>
                <w:bottom w:w="20" w:type="dxa"/>
                <w:right w:w="20" w:type="dxa"/>
              </w:tblCellMar>
              <w:tblLook w:val="04A0" w:firstRow="1" w:lastRow="0" w:firstColumn="1" w:lastColumn="0" w:noHBand="0" w:noVBand="1"/>
            </w:tblPr>
            <w:tblGrid>
              <w:gridCol w:w="9317"/>
            </w:tblGrid>
            <w:tr w:rsidR="0057037A" w:rsidRPr="0057037A" w14:paraId="0E87FA24" w14:textId="77777777" w:rsidTr="00544C0B">
              <w:trPr>
                <w:tblCellSpacing w:w="15" w:type="dxa"/>
              </w:trPr>
              <w:tc>
                <w:tcPr>
                  <w:tcW w:w="4968" w:type="pct"/>
                  <w:vAlign w:val="center"/>
                  <w:hideMark/>
                </w:tcPr>
                <w:p w14:paraId="75105489" w14:textId="77777777" w:rsidR="00A97E7D" w:rsidRPr="006F1333" w:rsidRDefault="00A97E7D" w:rsidP="00544C0B">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6F1333">
                    <w:rPr>
                      <w:rFonts w:ascii="Times New Roman" w:eastAsia="Times New Roman" w:hAnsi="Times New Roman" w:cs="Times New Roman"/>
                      <w:b/>
                      <w:bCs/>
                      <w:sz w:val="24"/>
                      <w:szCs w:val="24"/>
                      <w:lang w:eastAsia="lv-LV"/>
                    </w:rPr>
                    <w:t>V. Tiesību akta projekta atbilstība Latvijas Republikas starptautiskajām saistībām</w:t>
                  </w:r>
                </w:p>
              </w:tc>
            </w:tr>
            <w:tr w:rsidR="0057037A" w:rsidRPr="0057037A" w14:paraId="75D03645" w14:textId="77777777" w:rsidTr="00544C0B">
              <w:trPr>
                <w:tblCellSpacing w:w="15" w:type="dxa"/>
              </w:trPr>
              <w:tc>
                <w:tcPr>
                  <w:tcW w:w="4968" w:type="pct"/>
                </w:tcPr>
                <w:p w14:paraId="1193FFFD" w14:textId="77777777" w:rsidR="00A97E7D" w:rsidRPr="00642796" w:rsidRDefault="00A97E7D" w:rsidP="00544C0B">
                  <w:pPr>
                    <w:jc w:val="center"/>
                    <w:rPr>
                      <w:rFonts w:ascii="Times New Roman" w:eastAsia="Times New Roman" w:hAnsi="Times New Roman" w:cs="Times New Roman"/>
                      <w:sz w:val="24"/>
                      <w:szCs w:val="24"/>
                      <w:lang w:eastAsia="lv-LV"/>
                    </w:rPr>
                  </w:pPr>
                  <w:r w:rsidRPr="006F1333">
                    <w:rPr>
                      <w:rFonts w:ascii="Times New Roman" w:eastAsia="Times New Roman" w:hAnsi="Times New Roman" w:cs="Times New Roman"/>
                      <w:sz w:val="24"/>
                      <w:szCs w:val="24"/>
                      <w:lang w:eastAsia="lv-LV"/>
                    </w:rPr>
                    <w:t>Projekts šo jomu neskar</w:t>
                  </w:r>
                </w:p>
              </w:tc>
            </w:tr>
          </w:tbl>
          <w:p w14:paraId="4FBED918" w14:textId="77777777" w:rsidR="00A97E7D" w:rsidRPr="0057037A" w:rsidRDefault="00A97E7D" w:rsidP="00544C0B">
            <w:pPr>
              <w:rPr>
                <w:rFonts w:ascii="Times New Roman" w:eastAsia="Times New Roman" w:hAnsi="Times New Roman" w:cs="Times New Roman"/>
                <w:sz w:val="24"/>
                <w:szCs w:val="24"/>
                <w:lang w:eastAsia="lv-LV"/>
              </w:rPr>
            </w:pPr>
          </w:p>
          <w:tbl>
            <w:tblPr>
              <w:tblW w:w="5000" w:type="pct"/>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30" w:type="dxa"/>
                <w:left w:w="30" w:type="dxa"/>
                <w:bottom w:w="30" w:type="dxa"/>
                <w:right w:w="30" w:type="dxa"/>
              </w:tblCellMar>
              <w:tblLook w:val="04A0" w:firstRow="1" w:lastRow="0" w:firstColumn="1" w:lastColumn="0" w:noHBand="0" w:noVBand="1"/>
            </w:tblPr>
            <w:tblGrid>
              <w:gridCol w:w="464"/>
              <w:gridCol w:w="2348"/>
              <w:gridCol w:w="6469"/>
            </w:tblGrid>
            <w:tr w:rsidR="0057037A" w:rsidRPr="0057037A" w14:paraId="0E958B9A" w14:textId="77777777" w:rsidTr="007304A3">
              <w:trPr>
                <w:trHeight w:val="420"/>
                <w:jc w:val="center"/>
              </w:trPr>
              <w:tc>
                <w:tcPr>
                  <w:tcW w:w="0" w:type="auto"/>
                  <w:gridSpan w:val="3"/>
                  <w:vAlign w:val="center"/>
                  <w:hideMark/>
                </w:tcPr>
                <w:p w14:paraId="4DE96A08" w14:textId="77777777" w:rsidR="00F32DFC" w:rsidRPr="0057037A" w:rsidRDefault="007304A3" w:rsidP="00026249">
                  <w:pPr>
                    <w:spacing w:before="100" w:beforeAutospacing="1" w:after="100" w:afterAutospacing="1" w:line="315" w:lineRule="atLeast"/>
                    <w:jc w:val="center"/>
                    <w:rPr>
                      <w:rFonts w:ascii="Times New Roman" w:eastAsia="Times New Roman" w:hAnsi="Times New Roman" w:cs="Times New Roman"/>
                      <w:b/>
                      <w:bCs/>
                      <w:sz w:val="24"/>
                      <w:szCs w:val="24"/>
                      <w:lang w:eastAsia="lv-LV"/>
                    </w:rPr>
                  </w:pPr>
                  <w:r w:rsidRPr="0057037A">
                    <w:rPr>
                      <w:rFonts w:ascii="Times New Roman" w:eastAsia="Times New Roman" w:hAnsi="Times New Roman" w:cs="Times New Roman"/>
                      <w:b/>
                      <w:bCs/>
                      <w:sz w:val="24"/>
                      <w:szCs w:val="24"/>
                      <w:lang w:eastAsia="lv-LV"/>
                    </w:rPr>
                    <w:t>VI. Sabiedrības līdzdalība un komunikācijas aktivitātes</w:t>
                  </w:r>
                </w:p>
              </w:tc>
            </w:tr>
            <w:tr w:rsidR="0057037A" w:rsidRPr="0057037A" w14:paraId="0CB3FF0A" w14:textId="77777777" w:rsidTr="00EA7E42">
              <w:trPr>
                <w:trHeight w:val="540"/>
                <w:jc w:val="center"/>
              </w:trPr>
              <w:tc>
                <w:tcPr>
                  <w:tcW w:w="250" w:type="pct"/>
                  <w:hideMark/>
                </w:tcPr>
                <w:p w14:paraId="1A194C7E" w14:textId="77777777" w:rsidR="007304A3" w:rsidRPr="0057037A" w:rsidRDefault="007304A3" w:rsidP="00026249">
                  <w:pPr>
                    <w:rPr>
                      <w:rFonts w:ascii="Times New Roman" w:eastAsia="Times New Roman" w:hAnsi="Times New Roman" w:cs="Times New Roman"/>
                      <w:sz w:val="24"/>
                      <w:szCs w:val="24"/>
                      <w:lang w:eastAsia="lv-LV"/>
                    </w:rPr>
                  </w:pPr>
                  <w:r w:rsidRPr="0057037A">
                    <w:rPr>
                      <w:rFonts w:ascii="Times New Roman" w:eastAsia="Times New Roman" w:hAnsi="Times New Roman" w:cs="Times New Roman"/>
                      <w:sz w:val="24"/>
                      <w:szCs w:val="24"/>
                      <w:lang w:eastAsia="lv-LV"/>
                    </w:rPr>
                    <w:t>1.</w:t>
                  </w:r>
                </w:p>
              </w:tc>
              <w:tc>
                <w:tcPr>
                  <w:tcW w:w="1265" w:type="pct"/>
                  <w:hideMark/>
                </w:tcPr>
                <w:p w14:paraId="5798446E" w14:textId="77777777" w:rsidR="007304A3" w:rsidRPr="0057037A" w:rsidRDefault="007304A3" w:rsidP="00026249">
                  <w:pPr>
                    <w:rPr>
                      <w:rFonts w:ascii="Times New Roman" w:eastAsia="Times New Roman" w:hAnsi="Times New Roman" w:cs="Times New Roman"/>
                      <w:sz w:val="24"/>
                      <w:szCs w:val="24"/>
                      <w:lang w:eastAsia="lv-LV"/>
                    </w:rPr>
                  </w:pPr>
                  <w:r w:rsidRPr="0057037A">
                    <w:rPr>
                      <w:rFonts w:ascii="Times New Roman" w:eastAsia="Times New Roman" w:hAnsi="Times New Roman" w:cs="Times New Roman"/>
                      <w:sz w:val="24"/>
                      <w:szCs w:val="24"/>
                      <w:lang w:eastAsia="lv-LV"/>
                    </w:rPr>
                    <w:t>Plānotās sabiedrības līdzdalības un komunikācijas aktivitātes saistībā ar projektu</w:t>
                  </w:r>
                </w:p>
              </w:tc>
              <w:tc>
                <w:tcPr>
                  <w:tcW w:w="3485" w:type="pct"/>
                  <w:hideMark/>
                </w:tcPr>
                <w:p w14:paraId="078614D1" w14:textId="77777777" w:rsidR="007304A3" w:rsidRPr="0057037A" w:rsidRDefault="007304A3" w:rsidP="007304A3">
                  <w:pPr>
                    <w:pStyle w:val="naiskr"/>
                    <w:spacing w:before="0" w:after="0"/>
                    <w:ind w:left="57" w:right="57"/>
                    <w:jc w:val="both"/>
                    <w:rPr>
                      <w:iCs/>
                    </w:rPr>
                  </w:pPr>
                  <w:r w:rsidRPr="0057037A">
                    <w:rPr>
                      <w:iCs/>
                    </w:rPr>
                    <w:t>Sabiedrības informēšana par likumprojektu nodrošināta, informējot par izstrādātajiem grozījumiem Konkurences likumā</w:t>
                  </w:r>
                  <w:r w:rsidR="00EA044F" w:rsidRPr="0057037A">
                    <w:rPr>
                      <w:iCs/>
                    </w:rPr>
                    <w:t xml:space="preserve"> </w:t>
                  </w:r>
                  <w:r w:rsidR="00EA044F" w:rsidRPr="0057037A">
                    <w:t>(VSS-1767, TA-2985)</w:t>
                  </w:r>
                  <w:r w:rsidRPr="0057037A">
                    <w:rPr>
                      <w:iCs/>
                    </w:rPr>
                    <w:t xml:space="preserve">, ar kuriem paredzēts ieviest </w:t>
                  </w:r>
                  <w:r w:rsidRPr="0057037A">
                    <w:t>valsts nodevu par Konkurences likumā noteikto tirgus dalībnieku apvienošanās izvērtēšanu.</w:t>
                  </w:r>
                </w:p>
                <w:p w14:paraId="3DD95C22" w14:textId="0E13AFD4" w:rsidR="007304A3" w:rsidRPr="00CD3D06" w:rsidRDefault="007304A3" w:rsidP="007304A3">
                  <w:pPr>
                    <w:pStyle w:val="naiskr"/>
                    <w:spacing w:before="0" w:after="0"/>
                    <w:ind w:left="57" w:right="57"/>
                    <w:jc w:val="both"/>
                    <w:rPr>
                      <w:rStyle w:val="st1"/>
                      <w:bCs/>
                    </w:rPr>
                  </w:pPr>
                  <w:r w:rsidRPr="0057037A">
                    <w:rPr>
                      <w:iCs/>
                    </w:rPr>
                    <w:t>Attiecīgi minētais likumprojekts „Grozījumi Konkurences likumā” 2012.gada martā tika nosūtīts viedokļa sniegšanai</w:t>
                  </w:r>
                  <w:r w:rsidR="0057037A" w:rsidRPr="0057037A">
                    <w:rPr>
                      <w:iCs/>
                    </w:rPr>
                    <w:t xml:space="preserve"> </w:t>
                  </w:r>
                  <w:r w:rsidRPr="006F1333">
                    <w:rPr>
                      <w:bCs/>
                    </w:rPr>
                    <w:t xml:space="preserve">Latvijas Darba devēju konfederācijai (LDDK), </w:t>
                  </w:r>
                  <w:r w:rsidRPr="006F1333">
                    <w:rPr>
                      <w:rStyle w:val="Emphasis"/>
                      <w:bCs/>
                      <w:shd w:val="clear" w:color="auto" w:fill="FFFFFF"/>
                    </w:rPr>
                    <w:t xml:space="preserve">Latvijas Informācijas un komunikācijas tehnoloģijas asociācijai, </w:t>
                  </w:r>
                  <w:r w:rsidRPr="00642796">
                    <w:rPr>
                      <w:bCs/>
                    </w:rPr>
                    <w:t xml:space="preserve">Latvijas Komercbanku asociācijai, Latvijas Pārtikas tirgotāju asociācijai, Latvijas Tirdzniecības un rūpniecības kamerai (LTRK), </w:t>
                  </w:r>
                  <w:r w:rsidRPr="00DE5BB7">
                    <w:rPr>
                      <w:bCs/>
                    </w:rPr>
                    <w:t xml:space="preserve">Latvijas Tirgotāju asociācijai, Latvijas Zvērinātu advokātu padomei, Nacionālai trīspusējās sadarbības padomei, </w:t>
                  </w:r>
                  <w:r w:rsidRPr="00251EC1">
                    <w:rPr>
                      <w:rStyle w:val="st1"/>
                      <w:bCs/>
                    </w:rPr>
                    <w:t>Patērētāju interešu aizstāvības asociācijai, kā arī atsevišķiem zvērinātu advokātu birojiem, kas specializējas konkurences tiesībās.</w:t>
                  </w:r>
                </w:p>
                <w:p w14:paraId="1F6D2397" w14:textId="77777777" w:rsidR="008150D3" w:rsidRDefault="007304A3" w:rsidP="00EA044F">
                  <w:pPr>
                    <w:jc w:val="both"/>
                    <w:rPr>
                      <w:rStyle w:val="st1"/>
                      <w:rFonts w:ascii="Times New Roman" w:hAnsi="Times New Roman" w:cs="Times New Roman"/>
                      <w:bCs/>
                      <w:sz w:val="24"/>
                      <w:szCs w:val="24"/>
                    </w:rPr>
                  </w:pPr>
                  <w:r w:rsidRPr="00413DDF">
                    <w:rPr>
                      <w:rStyle w:val="st1"/>
                      <w:rFonts w:ascii="Times New Roman" w:hAnsi="Times New Roman" w:cs="Times New Roman"/>
                      <w:bCs/>
                      <w:sz w:val="24"/>
                      <w:szCs w:val="24"/>
                    </w:rPr>
                    <w:t xml:space="preserve">Pēc precizēšanas likumprojekts </w:t>
                  </w:r>
                  <w:r w:rsidR="00EA044F" w:rsidRPr="00413DDF">
                    <w:rPr>
                      <w:rFonts w:ascii="Times New Roman" w:hAnsi="Times New Roman" w:cs="Times New Roman"/>
                      <w:iCs/>
                      <w:sz w:val="24"/>
                      <w:szCs w:val="24"/>
                    </w:rPr>
                    <w:t>„Grozījumi Konkurences likumā”</w:t>
                  </w:r>
                  <w:r w:rsidR="00EA044F" w:rsidRPr="003E0314">
                    <w:rPr>
                      <w:rFonts w:ascii="Times New Roman" w:hAnsi="Times New Roman" w:cs="Times New Roman"/>
                      <w:iCs/>
                      <w:sz w:val="24"/>
                      <w:szCs w:val="24"/>
                    </w:rPr>
                    <w:t xml:space="preserve"> </w:t>
                  </w:r>
                  <w:r w:rsidRPr="003E0314">
                    <w:rPr>
                      <w:rStyle w:val="st1"/>
                      <w:rFonts w:ascii="Times New Roman" w:hAnsi="Times New Roman" w:cs="Times New Roman"/>
                      <w:bCs/>
                      <w:sz w:val="24"/>
                      <w:szCs w:val="24"/>
                    </w:rPr>
                    <w:t xml:space="preserve">2013.gada februārī atkārtoti tika nosūtīts LTRK un LDDK. Ar LDDK un atsevišķiem advokātu birojiem tika noturēta tikšanās 2013.gada martā. </w:t>
                  </w:r>
                </w:p>
                <w:p w14:paraId="592F754D" w14:textId="5C94C679" w:rsidR="007304A3" w:rsidRPr="00642796" w:rsidRDefault="007304A3" w:rsidP="001B4930">
                  <w:pPr>
                    <w:jc w:val="both"/>
                    <w:rPr>
                      <w:rFonts w:ascii="Times New Roman" w:eastAsia="Times New Roman" w:hAnsi="Times New Roman" w:cs="Times New Roman"/>
                      <w:sz w:val="24"/>
                      <w:szCs w:val="24"/>
                      <w:lang w:eastAsia="lv-LV"/>
                    </w:rPr>
                  </w:pPr>
                  <w:r w:rsidRPr="00251EC1">
                    <w:rPr>
                      <w:rStyle w:val="st1"/>
                      <w:rFonts w:ascii="Times New Roman" w:hAnsi="Times New Roman" w:cs="Times New Roman"/>
                      <w:bCs/>
                      <w:sz w:val="24"/>
                      <w:szCs w:val="24"/>
                    </w:rPr>
                    <w:t>Turpmāka s</w:t>
                  </w:r>
                  <w:r w:rsidRPr="00251EC1">
                    <w:rPr>
                      <w:rFonts w:ascii="Times New Roman" w:hAnsi="Times New Roman" w:cs="Times New Roman"/>
                      <w:iCs/>
                      <w:sz w:val="24"/>
                      <w:szCs w:val="24"/>
                    </w:rPr>
                    <w:t>abiedrības informēšana par likumprojektu</w:t>
                  </w:r>
                  <w:r w:rsidR="00824022" w:rsidRPr="00251EC1">
                    <w:rPr>
                      <w:rFonts w:ascii="Times New Roman" w:hAnsi="Times New Roman" w:cs="Times New Roman"/>
                      <w:iCs/>
                      <w:sz w:val="24"/>
                      <w:szCs w:val="24"/>
                    </w:rPr>
                    <w:t xml:space="preserve"> „Grozījumi likumā „Par nodokļiem un nodevām”</w:t>
                  </w:r>
                  <w:r w:rsidRPr="00CD3D06">
                    <w:rPr>
                      <w:rFonts w:ascii="Times New Roman" w:hAnsi="Times New Roman" w:cs="Times New Roman"/>
                      <w:iCs/>
                      <w:sz w:val="24"/>
                      <w:szCs w:val="24"/>
                    </w:rPr>
                    <w:t xml:space="preserve"> tiks nodrošināta, saskaņojot </w:t>
                  </w:r>
                  <w:r w:rsidR="001B4930">
                    <w:rPr>
                      <w:rFonts w:ascii="Times New Roman" w:hAnsi="Times New Roman" w:cs="Times New Roman"/>
                      <w:iCs/>
                      <w:sz w:val="24"/>
                      <w:szCs w:val="24"/>
                    </w:rPr>
                    <w:t>to</w:t>
                  </w:r>
                  <w:r w:rsidRPr="00CD3D06">
                    <w:rPr>
                      <w:rFonts w:ascii="Times New Roman" w:hAnsi="Times New Roman" w:cs="Times New Roman"/>
                      <w:iCs/>
                      <w:sz w:val="24"/>
                      <w:szCs w:val="24"/>
                    </w:rPr>
                    <w:t xml:space="preserve"> pēc izsludināšanas Valsts sekretāru sanāksmē.</w:t>
                  </w:r>
                </w:p>
              </w:tc>
            </w:tr>
            <w:tr w:rsidR="0057037A" w:rsidRPr="0057037A" w14:paraId="722B1F87" w14:textId="77777777" w:rsidTr="00EA7E42">
              <w:trPr>
                <w:trHeight w:val="330"/>
                <w:jc w:val="center"/>
              </w:trPr>
              <w:tc>
                <w:tcPr>
                  <w:tcW w:w="250" w:type="pct"/>
                  <w:hideMark/>
                </w:tcPr>
                <w:p w14:paraId="704BE3F8" w14:textId="77777777" w:rsidR="007304A3" w:rsidRPr="0057037A" w:rsidRDefault="007304A3" w:rsidP="00026249">
                  <w:pPr>
                    <w:rPr>
                      <w:rFonts w:ascii="Times New Roman" w:eastAsia="Times New Roman" w:hAnsi="Times New Roman" w:cs="Times New Roman"/>
                      <w:sz w:val="24"/>
                      <w:szCs w:val="24"/>
                      <w:lang w:eastAsia="lv-LV"/>
                    </w:rPr>
                  </w:pPr>
                  <w:r w:rsidRPr="0057037A">
                    <w:rPr>
                      <w:rFonts w:ascii="Times New Roman" w:eastAsia="Times New Roman" w:hAnsi="Times New Roman" w:cs="Times New Roman"/>
                      <w:sz w:val="24"/>
                      <w:szCs w:val="24"/>
                      <w:lang w:eastAsia="lv-LV"/>
                    </w:rPr>
                    <w:t>2.</w:t>
                  </w:r>
                </w:p>
              </w:tc>
              <w:tc>
                <w:tcPr>
                  <w:tcW w:w="1265" w:type="pct"/>
                  <w:hideMark/>
                </w:tcPr>
                <w:p w14:paraId="2A7589EC" w14:textId="77777777" w:rsidR="007304A3" w:rsidRPr="0057037A" w:rsidRDefault="007304A3" w:rsidP="00026249">
                  <w:pPr>
                    <w:rPr>
                      <w:rFonts w:ascii="Times New Roman" w:eastAsia="Times New Roman" w:hAnsi="Times New Roman" w:cs="Times New Roman"/>
                      <w:sz w:val="24"/>
                      <w:szCs w:val="24"/>
                      <w:lang w:eastAsia="lv-LV"/>
                    </w:rPr>
                  </w:pPr>
                  <w:r w:rsidRPr="0057037A">
                    <w:rPr>
                      <w:rFonts w:ascii="Times New Roman" w:eastAsia="Times New Roman" w:hAnsi="Times New Roman" w:cs="Times New Roman"/>
                      <w:sz w:val="24"/>
                      <w:szCs w:val="24"/>
                      <w:lang w:eastAsia="lv-LV"/>
                    </w:rPr>
                    <w:t>Sabiedrības līdzdalība projekta izstrādē</w:t>
                  </w:r>
                </w:p>
              </w:tc>
              <w:tc>
                <w:tcPr>
                  <w:tcW w:w="3485" w:type="pct"/>
                  <w:hideMark/>
                </w:tcPr>
                <w:p w14:paraId="7A38DAB4" w14:textId="77777777" w:rsidR="007304A3" w:rsidRPr="0057037A" w:rsidRDefault="00824022" w:rsidP="00824022">
                  <w:pPr>
                    <w:jc w:val="both"/>
                    <w:rPr>
                      <w:rFonts w:ascii="Times New Roman" w:eastAsia="Times New Roman" w:hAnsi="Times New Roman" w:cs="Times New Roman"/>
                      <w:sz w:val="24"/>
                      <w:szCs w:val="24"/>
                      <w:lang w:eastAsia="lv-LV"/>
                    </w:rPr>
                  </w:pPr>
                  <w:r w:rsidRPr="0057037A">
                    <w:rPr>
                      <w:rFonts w:ascii="Times New Roman" w:hAnsi="Times New Roman" w:cs="Times New Roman"/>
                      <w:iCs/>
                      <w:sz w:val="24"/>
                      <w:szCs w:val="24"/>
                    </w:rPr>
                    <w:t xml:space="preserve">Atsevišķas asociācijas un zvērinātu advokātu biroji sniedza atzinumu, kā arī tika uzklausīts LDDK biedru viedoklis. </w:t>
                  </w:r>
                  <w:r w:rsidRPr="0057037A">
                    <w:rPr>
                      <w:rStyle w:val="st1"/>
                      <w:rFonts w:ascii="Times New Roman" w:hAnsi="Times New Roman" w:cs="Times New Roman"/>
                      <w:bCs/>
                      <w:sz w:val="24"/>
                      <w:szCs w:val="24"/>
                    </w:rPr>
                    <w:lastRenderedPageBreak/>
                    <w:t>Turpmāka s</w:t>
                  </w:r>
                  <w:r w:rsidRPr="0057037A">
                    <w:rPr>
                      <w:rFonts w:ascii="Times New Roman" w:hAnsi="Times New Roman" w:cs="Times New Roman"/>
                      <w:iCs/>
                      <w:sz w:val="24"/>
                      <w:szCs w:val="24"/>
                    </w:rPr>
                    <w:t>abiedrības līdzdalība projekta izstrādē tiks nodrošināta Likumprojekta saskaņošanas gaitā pēc izsludināšanas Valsts sekretāru sanāksmē.</w:t>
                  </w:r>
                </w:p>
              </w:tc>
            </w:tr>
            <w:tr w:rsidR="0057037A" w:rsidRPr="0057037A" w14:paraId="732E257C" w14:textId="77777777" w:rsidTr="00EA7E42">
              <w:trPr>
                <w:trHeight w:val="465"/>
                <w:jc w:val="center"/>
              </w:trPr>
              <w:tc>
                <w:tcPr>
                  <w:tcW w:w="250" w:type="pct"/>
                  <w:hideMark/>
                </w:tcPr>
                <w:p w14:paraId="7B656CDC" w14:textId="77777777" w:rsidR="007304A3" w:rsidRPr="0057037A" w:rsidRDefault="007304A3" w:rsidP="00026249">
                  <w:pPr>
                    <w:rPr>
                      <w:rFonts w:ascii="Times New Roman" w:eastAsia="Times New Roman" w:hAnsi="Times New Roman" w:cs="Times New Roman"/>
                      <w:sz w:val="24"/>
                      <w:szCs w:val="24"/>
                      <w:lang w:eastAsia="lv-LV"/>
                    </w:rPr>
                  </w:pPr>
                  <w:r w:rsidRPr="0057037A">
                    <w:rPr>
                      <w:rFonts w:ascii="Times New Roman" w:eastAsia="Times New Roman" w:hAnsi="Times New Roman" w:cs="Times New Roman"/>
                      <w:sz w:val="24"/>
                      <w:szCs w:val="24"/>
                      <w:lang w:eastAsia="lv-LV"/>
                    </w:rPr>
                    <w:lastRenderedPageBreak/>
                    <w:t>3.</w:t>
                  </w:r>
                </w:p>
              </w:tc>
              <w:tc>
                <w:tcPr>
                  <w:tcW w:w="1265" w:type="pct"/>
                  <w:hideMark/>
                </w:tcPr>
                <w:p w14:paraId="7D0E26A2" w14:textId="77777777" w:rsidR="007304A3" w:rsidRPr="0057037A" w:rsidRDefault="007304A3" w:rsidP="00026249">
                  <w:pPr>
                    <w:rPr>
                      <w:rFonts w:ascii="Times New Roman" w:eastAsia="Times New Roman" w:hAnsi="Times New Roman" w:cs="Times New Roman"/>
                      <w:sz w:val="24"/>
                      <w:szCs w:val="24"/>
                      <w:lang w:eastAsia="lv-LV"/>
                    </w:rPr>
                  </w:pPr>
                  <w:r w:rsidRPr="0057037A">
                    <w:rPr>
                      <w:rFonts w:ascii="Times New Roman" w:eastAsia="Times New Roman" w:hAnsi="Times New Roman" w:cs="Times New Roman"/>
                      <w:sz w:val="24"/>
                      <w:szCs w:val="24"/>
                      <w:lang w:eastAsia="lv-LV"/>
                    </w:rPr>
                    <w:t>Sabiedrības līdzdalības rezultāti</w:t>
                  </w:r>
                </w:p>
              </w:tc>
              <w:tc>
                <w:tcPr>
                  <w:tcW w:w="3485" w:type="pct"/>
                  <w:hideMark/>
                </w:tcPr>
                <w:p w14:paraId="22ED18A7" w14:textId="3AF54FFD" w:rsidR="007304A3" w:rsidRPr="006F1333" w:rsidRDefault="00824022" w:rsidP="00372D28">
                  <w:pPr>
                    <w:jc w:val="both"/>
                    <w:rPr>
                      <w:rFonts w:ascii="Times New Roman" w:hAnsi="Times New Roman" w:cs="Times New Roman"/>
                      <w:sz w:val="24"/>
                      <w:szCs w:val="24"/>
                    </w:rPr>
                  </w:pPr>
                  <w:r w:rsidRPr="0057037A">
                    <w:rPr>
                      <w:rFonts w:ascii="Times New Roman" w:hAnsi="Times New Roman" w:cs="Times New Roman"/>
                      <w:sz w:val="24"/>
                      <w:szCs w:val="24"/>
                    </w:rPr>
                    <w:t>LDDK, LTRK</w:t>
                  </w:r>
                  <w:r w:rsidR="0057037A" w:rsidRPr="0057037A">
                    <w:rPr>
                      <w:rFonts w:ascii="Times New Roman" w:hAnsi="Times New Roman" w:cs="Times New Roman"/>
                      <w:sz w:val="24"/>
                      <w:szCs w:val="24"/>
                    </w:rPr>
                    <w:t xml:space="preserve"> </w:t>
                  </w:r>
                  <w:r w:rsidRPr="0057037A">
                    <w:rPr>
                      <w:rFonts w:ascii="Times New Roman" w:hAnsi="Times New Roman" w:cs="Times New Roman"/>
                      <w:sz w:val="24"/>
                      <w:szCs w:val="24"/>
                    </w:rPr>
                    <w:t xml:space="preserve">konceptuāli iebilst pret to, ka par apvienošanās </w:t>
                  </w:r>
                  <w:r w:rsidRPr="006F1333">
                    <w:rPr>
                      <w:rFonts w:ascii="Times New Roman" w:hAnsi="Times New Roman" w:cs="Times New Roman"/>
                      <w:sz w:val="24"/>
                      <w:szCs w:val="24"/>
                    </w:rPr>
                    <w:t>izvērtēšanu tirgus dalībnieki maksā valsts nodevu</w:t>
                  </w:r>
                  <w:r w:rsidR="006F1333">
                    <w:rPr>
                      <w:rFonts w:ascii="Times New Roman" w:hAnsi="Times New Roman" w:cs="Times New Roman"/>
                      <w:sz w:val="24"/>
                      <w:szCs w:val="24"/>
                    </w:rPr>
                    <w:t>.</w:t>
                  </w:r>
                </w:p>
                <w:p w14:paraId="7CD7859F" w14:textId="5C2CD8EA" w:rsidR="00372D28" w:rsidRPr="006F1333" w:rsidRDefault="00372D28" w:rsidP="00191462">
                  <w:pPr>
                    <w:jc w:val="both"/>
                    <w:rPr>
                      <w:rFonts w:ascii="Times New Roman" w:eastAsia="Times New Roman" w:hAnsi="Times New Roman" w:cs="Times New Roman"/>
                      <w:sz w:val="24"/>
                      <w:szCs w:val="24"/>
                      <w:lang w:eastAsia="lv-LV"/>
                    </w:rPr>
                  </w:pPr>
                  <w:r w:rsidRPr="00642796">
                    <w:rPr>
                      <w:rFonts w:ascii="Times New Roman" w:hAnsi="Times New Roman" w:cs="Times New Roman"/>
                      <w:sz w:val="24"/>
                      <w:szCs w:val="24"/>
                    </w:rPr>
                    <w:t xml:space="preserve">Iebildums nav ņemts vērā, jo apvienošanās izvērtēšanas valsts nodeva </w:t>
                  </w:r>
                  <w:r w:rsidRPr="00DE5BB7">
                    <w:rPr>
                      <w:rFonts w:ascii="Times New Roman" w:hAnsi="Times New Roman" w:cs="Times New Roman"/>
                      <w:sz w:val="24"/>
                      <w:szCs w:val="24"/>
                    </w:rPr>
                    <w:t>daļēji segs apvienošanās izvērtēšanas un iespējamās turpmākās uzraudzīšanas (saistošo noteikumu gadījumā) izmaksas, tādējādi nodrošinot, ka</w:t>
                  </w:r>
                  <w:r w:rsidR="0057037A" w:rsidRPr="00251EC1">
                    <w:rPr>
                      <w:rFonts w:ascii="Times New Roman" w:hAnsi="Times New Roman" w:cs="Times New Roman"/>
                      <w:sz w:val="24"/>
                      <w:szCs w:val="24"/>
                    </w:rPr>
                    <w:t xml:space="preserve"> </w:t>
                  </w:r>
                  <w:r w:rsidRPr="00251EC1">
                    <w:rPr>
                      <w:rFonts w:ascii="Times New Roman" w:hAnsi="Times New Roman" w:cs="Times New Roman"/>
                      <w:sz w:val="24"/>
                      <w:szCs w:val="24"/>
                    </w:rPr>
                    <w:t>apvienošanās izvērtēšanas izmaksas sedz tie, kuru rīcība var ierobežot konkurenci un kas tieši</w:t>
                  </w:r>
                  <w:r w:rsidR="0057037A" w:rsidRPr="00CD3D06">
                    <w:rPr>
                      <w:rFonts w:ascii="Times New Roman" w:hAnsi="Times New Roman" w:cs="Times New Roman"/>
                      <w:sz w:val="24"/>
                      <w:szCs w:val="24"/>
                    </w:rPr>
                    <w:t xml:space="preserve"> </w:t>
                  </w:r>
                  <w:r w:rsidRPr="00CD3D06">
                    <w:rPr>
                      <w:rFonts w:ascii="Times New Roman" w:hAnsi="Times New Roman" w:cs="Times New Roman"/>
                      <w:sz w:val="24"/>
                      <w:szCs w:val="24"/>
                    </w:rPr>
                    <w:t>saņem attiecīgo pakalpojumu</w:t>
                  </w:r>
                  <w:r w:rsidRPr="00413DDF">
                    <w:rPr>
                      <w:rFonts w:ascii="Times New Roman" w:hAnsi="Times New Roman" w:cs="Times New Roman"/>
                      <w:sz w:val="24"/>
                      <w:szCs w:val="24"/>
                    </w:rPr>
                    <w:t>, samazinot pārējo nodokļu maksātāju slogu.</w:t>
                  </w:r>
                </w:p>
              </w:tc>
            </w:tr>
            <w:tr w:rsidR="0057037A" w:rsidRPr="0057037A" w14:paraId="1F84CB3B" w14:textId="77777777" w:rsidTr="00EA7E42">
              <w:trPr>
                <w:trHeight w:val="465"/>
                <w:jc w:val="center"/>
              </w:trPr>
              <w:tc>
                <w:tcPr>
                  <w:tcW w:w="250" w:type="pct"/>
                  <w:hideMark/>
                </w:tcPr>
                <w:p w14:paraId="4C6108A5" w14:textId="77777777" w:rsidR="007304A3" w:rsidRPr="0057037A" w:rsidRDefault="007304A3" w:rsidP="00026249">
                  <w:pPr>
                    <w:rPr>
                      <w:rFonts w:ascii="Times New Roman" w:eastAsia="Times New Roman" w:hAnsi="Times New Roman" w:cs="Times New Roman"/>
                      <w:sz w:val="24"/>
                      <w:szCs w:val="24"/>
                      <w:lang w:eastAsia="lv-LV"/>
                    </w:rPr>
                  </w:pPr>
                  <w:r w:rsidRPr="0057037A">
                    <w:rPr>
                      <w:rFonts w:ascii="Times New Roman" w:eastAsia="Times New Roman" w:hAnsi="Times New Roman" w:cs="Times New Roman"/>
                      <w:sz w:val="24"/>
                      <w:szCs w:val="24"/>
                      <w:lang w:eastAsia="lv-LV"/>
                    </w:rPr>
                    <w:t>4.</w:t>
                  </w:r>
                </w:p>
              </w:tc>
              <w:tc>
                <w:tcPr>
                  <w:tcW w:w="1265" w:type="pct"/>
                  <w:hideMark/>
                </w:tcPr>
                <w:p w14:paraId="419592DC" w14:textId="77777777" w:rsidR="007304A3" w:rsidRPr="0057037A" w:rsidRDefault="007304A3" w:rsidP="00026249">
                  <w:pPr>
                    <w:rPr>
                      <w:rFonts w:ascii="Times New Roman" w:eastAsia="Times New Roman" w:hAnsi="Times New Roman" w:cs="Times New Roman"/>
                      <w:sz w:val="24"/>
                      <w:szCs w:val="24"/>
                      <w:lang w:eastAsia="lv-LV"/>
                    </w:rPr>
                  </w:pPr>
                  <w:r w:rsidRPr="0057037A">
                    <w:rPr>
                      <w:rFonts w:ascii="Times New Roman" w:eastAsia="Times New Roman" w:hAnsi="Times New Roman" w:cs="Times New Roman"/>
                      <w:sz w:val="24"/>
                      <w:szCs w:val="24"/>
                      <w:lang w:eastAsia="lv-LV"/>
                    </w:rPr>
                    <w:t>Cita informācija</w:t>
                  </w:r>
                </w:p>
              </w:tc>
              <w:tc>
                <w:tcPr>
                  <w:tcW w:w="3485" w:type="pct"/>
                  <w:hideMark/>
                </w:tcPr>
                <w:p w14:paraId="222FD17F" w14:textId="77777777" w:rsidR="00F32DFC" w:rsidRPr="0057037A" w:rsidRDefault="00372D28" w:rsidP="00026249">
                  <w:pPr>
                    <w:spacing w:before="100" w:beforeAutospacing="1" w:after="100" w:afterAutospacing="1" w:line="315" w:lineRule="atLeast"/>
                    <w:rPr>
                      <w:rFonts w:ascii="Times New Roman" w:eastAsia="Times New Roman" w:hAnsi="Times New Roman" w:cs="Times New Roman"/>
                      <w:sz w:val="24"/>
                      <w:szCs w:val="24"/>
                      <w:lang w:eastAsia="lv-LV"/>
                    </w:rPr>
                  </w:pPr>
                  <w:r w:rsidRPr="0057037A">
                    <w:rPr>
                      <w:rFonts w:ascii="Times New Roman" w:eastAsia="Times New Roman" w:hAnsi="Times New Roman" w:cs="Times New Roman"/>
                      <w:sz w:val="24"/>
                      <w:szCs w:val="24"/>
                      <w:lang w:eastAsia="lv-LV"/>
                    </w:rPr>
                    <w:t>Nav</w:t>
                  </w:r>
                </w:p>
              </w:tc>
            </w:tr>
          </w:tbl>
          <w:p w14:paraId="447564F5" w14:textId="77777777" w:rsidR="00A97E7D" w:rsidRDefault="007304A3" w:rsidP="001F1083">
            <w:pPr>
              <w:shd w:val="clear" w:color="auto" w:fill="FFFFFF"/>
              <w:ind w:firstLine="301"/>
              <w:rPr>
                <w:rFonts w:ascii="Times New Roman" w:eastAsia="Times New Roman" w:hAnsi="Times New Roman" w:cs="Times New Roman"/>
                <w:sz w:val="24"/>
                <w:szCs w:val="24"/>
                <w:lang w:eastAsia="lv-LV"/>
              </w:rPr>
            </w:pPr>
            <w:r w:rsidRPr="0057037A">
              <w:rPr>
                <w:rFonts w:ascii="Times New Roman" w:eastAsia="Times New Roman" w:hAnsi="Times New Roman" w:cs="Times New Roman"/>
                <w:sz w:val="24"/>
                <w:szCs w:val="24"/>
                <w:lang w:eastAsia="lv-LV"/>
              </w:rPr>
              <w:t> </w:t>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8"/>
              <w:gridCol w:w="3280"/>
              <w:gridCol w:w="5519"/>
            </w:tblGrid>
            <w:tr w:rsidR="0057037A" w:rsidRPr="0057037A" w14:paraId="609EEC58" w14:textId="77777777" w:rsidTr="00EA7E42">
              <w:trPr>
                <w:trHeight w:val="375"/>
                <w:tblCellSpacing w:w="15" w:type="dxa"/>
                <w:jc w:val="center"/>
              </w:trPr>
              <w:tc>
                <w:tcPr>
                  <w:tcW w:w="4968" w:type="pct"/>
                  <w:gridSpan w:val="3"/>
                  <w:vAlign w:val="center"/>
                  <w:hideMark/>
                </w:tcPr>
                <w:p w14:paraId="66AEF2A1" w14:textId="77777777" w:rsidR="00A97E7D" w:rsidRPr="006F1333" w:rsidRDefault="00A97E7D" w:rsidP="00544C0B">
                  <w:pPr>
                    <w:jc w:val="center"/>
                    <w:rPr>
                      <w:rFonts w:ascii="Times New Roman" w:eastAsia="Times New Roman" w:hAnsi="Times New Roman" w:cs="Times New Roman"/>
                      <w:b/>
                      <w:bCs/>
                      <w:sz w:val="24"/>
                      <w:szCs w:val="24"/>
                      <w:lang w:eastAsia="lv-LV"/>
                    </w:rPr>
                  </w:pPr>
                  <w:r w:rsidRPr="006F1333">
                    <w:rPr>
                      <w:rFonts w:ascii="Times New Roman" w:eastAsia="Times New Roman" w:hAnsi="Times New Roman" w:cs="Times New Roman"/>
                      <w:b/>
                      <w:bCs/>
                      <w:sz w:val="24"/>
                      <w:szCs w:val="24"/>
                      <w:lang w:eastAsia="lv-LV"/>
                    </w:rPr>
                    <w:t>VII. Tiesību akta projekta izpildes nodrošināšana un tās ietekme uz institūcijām</w:t>
                  </w:r>
                </w:p>
              </w:tc>
            </w:tr>
            <w:tr w:rsidR="0057037A" w:rsidRPr="0057037A" w14:paraId="47F8FDC2" w14:textId="77777777" w:rsidTr="00EA7E42">
              <w:trPr>
                <w:trHeight w:val="420"/>
                <w:tblCellSpacing w:w="15" w:type="dxa"/>
                <w:jc w:val="center"/>
              </w:trPr>
              <w:tc>
                <w:tcPr>
                  <w:tcW w:w="255" w:type="pct"/>
                  <w:hideMark/>
                </w:tcPr>
                <w:p w14:paraId="4BDDCE59" w14:textId="77777777" w:rsidR="00A97E7D" w:rsidRPr="0057037A" w:rsidRDefault="00A97E7D" w:rsidP="00544C0B">
                  <w:pPr>
                    <w:rPr>
                      <w:rFonts w:ascii="Times New Roman" w:eastAsia="Times New Roman" w:hAnsi="Times New Roman" w:cs="Times New Roman"/>
                      <w:sz w:val="24"/>
                      <w:szCs w:val="24"/>
                      <w:lang w:eastAsia="lv-LV"/>
                    </w:rPr>
                  </w:pPr>
                  <w:r w:rsidRPr="0057037A">
                    <w:rPr>
                      <w:rFonts w:ascii="Times New Roman" w:eastAsia="Times New Roman" w:hAnsi="Times New Roman" w:cs="Times New Roman"/>
                      <w:sz w:val="24"/>
                      <w:szCs w:val="24"/>
                      <w:lang w:eastAsia="lv-LV"/>
                    </w:rPr>
                    <w:t>1.</w:t>
                  </w:r>
                </w:p>
              </w:tc>
              <w:tc>
                <w:tcPr>
                  <w:tcW w:w="1756" w:type="pct"/>
                  <w:hideMark/>
                </w:tcPr>
                <w:p w14:paraId="17421921" w14:textId="77777777" w:rsidR="00A97E7D" w:rsidRPr="0057037A" w:rsidRDefault="00A97E7D" w:rsidP="00544C0B">
                  <w:pPr>
                    <w:rPr>
                      <w:rFonts w:ascii="Times New Roman" w:eastAsia="Times New Roman" w:hAnsi="Times New Roman" w:cs="Times New Roman"/>
                      <w:sz w:val="24"/>
                      <w:szCs w:val="24"/>
                      <w:lang w:eastAsia="lv-LV"/>
                    </w:rPr>
                  </w:pPr>
                  <w:r w:rsidRPr="0057037A">
                    <w:rPr>
                      <w:rFonts w:ascii="Times New Roman" w:eastAsia="Times New Roman" w:hAnsi="Times New Roman" w:cs="Times New Roman"/>
                      <w:sz w:val="24"/>
                      <w:szCs w:val="24"/>
                      <w:lang w:eastAsia="lv-LV"/>
                    </w:rPr>
                    <w:t>Projekta izpildē iesaistītās institūcijas</w:t>
                  </w:r>
                </w:p>
                <w:p w14:paraId="5DCAD6EF" w14:textId="77777777" w:rsidR="00A97E7D" w:rsidRPr="0057037A" w:rsidRDefault="00A97E7D" w:rsidP="00544C0B">
                  <w:pPr>
                    <w:rPr>
                      <w:rFonts w:ascii="Times New Roman" w:eastAsia="Times New Roman" w:hAnsi="Times New Roman" w:cs="Times New Roman"/>
                      <w:sz w:val="24"/>
                      <w:szCs w:val="24"/>
                      <w:lang w:eastAsia="lv-LV"/>
                    </w:rPr>
                  </w:pPr>
                </w:p>
              </w:tc>
              <w:tc>
                <w:tcPr>
                  <w:tcW w:w="2924" w:type="pct"/>
                  <w:hideMark/>
                </w:tcPr>
                <w:p w14:paraId="49A487C2" w14:textId="77777777" w:rsidR="000E56D8" w:rsidRPr="0057037A" w:rsidRDefault="001029C4" w:rsidP="00544C0B">
                  <w:pPr>
                    <w:ind w:left="57" w:right="57"/>
                    <w:jc w:val="both"/>
                    <w:rPr>
                      <w:rFonts w:ascii="Times New Roman" w:eastAsia="Times New Roman" w:hAnsi="Times New Roman" w:cs="Times New Roman"/>
                      <w:sz w:val="24"/>
                      <w:szCs w:val="24"/>
                      <w:lang w:eastAsia="lv-LV"/>
                    </w:rPr>
                  </w:pPr>
                  <w:r w:rsidRPr="0057037A">
                    <w:rPr>
                      <w:rFonts w:ascii="Times New Roman" w:hAnsi="Times New Roman" w:cs="Times New Roman"/>
                      <w:iCs/>
                      <w:sz w:val="24"/>
                      <w:szCs w:val="24"/>
                    </w:rPr>
                    <w:t>Konkurences padome</w:t>
                  </w:r>
                </w:p>
              </w:tc>
            </w:tr>
            <w:tr w:rsidR="0057037A" w:rsidRPr="0057037A" w14:paraId="5E256C62" w14:textId="77777777" w:rsidTr="00EA7E42">
              <w:trPr>
                <w:trHeight w:val="450"/>
                <w:tblCellSpacing w:w="15" w:type="dxa"/>
                <w:jc w:val="center"/>
              </w:trPr>
              <w:tc>
                <w:tcPr>
                  <w:tcW w:w="255" w:type="pct"/>
                  <w:hideMark/>
                </w:tcPr>
                <w:p w14:paraId="362BE4FA" w14:textId="77777777" w:rsidR="00A97E7D" w:rsidRPr="0057037A" w:rsidRDefault="00A97E7D" w:rsidP="00544C0B">
                  <w:pPr>
                    <w:rPr>
                      <w:rFonts w:ascii="Times New Roman" w:eastAsia="Times New Roman" w:hAnsi="Times New Roman" w:cs="Times New Roman"/>
                      <w:sz w:val="24"/>
                      <w:szCs w:val="24"/>
                      <w:lang w:eastAsia="lv-LV"/>
                    </w:rPr>
                  </w:pPr>
                  <w:r w:rsidRPr="0057037A">
                    <w:rPr>
                      <w:rFonts w:ascii="Times New Roman" w:eastAsia="Times New Roman" w:hAnsi="Times New Roman" w:cs="Times New Roman"/>
                      <w:sz w:val="24"/>
                      <w:szCs w:val="24"/>
                      <w:lang w:eastAsia="lv-LV"/>
                    </w:rPr>
                    <w:t>2.</w:t>
                  </w:r>
                </w:p>
              </w:tc>
              <w:tc>
                <w:tcPr>
                  <w:tcW w:w="1756" w:type="pct"/>
                  <w:hideMark/>
                </w:tcPr>
                <w:p w14:paraId="4CFC1B11" w14:textId="77777777" w:rsidR="00A97E7D" w:rsidRPr="00413DDF" w:rsidRDefault="00A97E7D" w:rsidP="00544C0B">
                  <w:pPr>
                    <w:rPr>
                      <w:rFonts w:ascii="Times New Roman" w:eastAsia="Times New Roman" w:hAnsi="Times New Roman" w:cs="Times New Roman"/>
                      <w:sz w:val="24"/>
                      <w:szCs w:val="24"/>
                      <w:lang w:eastAsia="lv-LV"/>
                    </w:rPr>
                  </w:pPr>
                  <w:r w:rsidRPr="00413DDF">
                    <w:rPr>
                      <w:rFonts w:ascii="Times New Roman" w:eastAsia="Times New Roman" w:hAnsi="Times New Roman" w:cs="Times New Roman"/>
                      <w:sz w:val="24"/>
                      <w:szCs w:val="24"/>
                      <w:lang w:eastAsia="lv-LV"/>
                    </w:rPr>
                    <w:t xml:space="preserve">Projekta izpildes ietekme uz pārvaldes funkcijām un institucionālo struktūru. </w:t>
                  </w:r>
                </w:p>
                <w:p w14:paraId="7EA7499E" w14:textId="77777777" w:rsidR="00A97E7D" w:rsidRPr="00413DDF" w:rsidRDefault="00A97E7D" w:rsidP="00544C0B">
                  <w:pPr>
                    <w:rPr>
                      <w:rFonts w:ascii="Times New Roman" w:eastAsia="Times New Roman" w:hAnsi="Times New Roman" w:cs="Times New Roman"/>
                      <w:sz w:val="24"/>
                      <w:szCs w:val="24"/>
                      <w:lang w:eastAsia="lv-LV"/>
                    </w:rPr>
                  </w:pPr>
                  <w:r w:rsidRPr="00413DD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924" w:type="pct"/>
                  <w:hideMark/>
                </w:tcPr>
                <w:p w14:paraId="50E0E105" w14:textId="21BAC70F" w:rsidR="00A97E7D" w:rsidRPr="00413DDF" w:rsidRDefault="00372D28" w:rsidP="0025776F">
                  <w:pPr>
                    <w:pStyle w:val="naisf"/>
                    <w:spacing w:before="0" w:after="0"/>
                    <w:ind w:left="57" w:right="57" w:firstLine="0"/>
                  </w:pPr>
                  <w:r w:rsidRPr="00413DDF">
                    <w:rPr>
                      <w:iCs/>
                    </w:rPr>
                    <w:t xml:space="preserve">Projekts neietekmē </w:t>
                  </w:r>
                  <w:r w:rsidRPr="00413DDF">
                    <w:t>pārvaldes institucionālo struktūru. Jaunas institūcijas netiek izveidotas, likvidētas vai reorganizētas, kā arī Likumprojekts neietekmē institūciju cilvēkresursus.</w:t>
                  </w:r>
                </w:p>
              </w:tc>
            </w:tr>
            <w:tr w:rsidR="0057037A" w:rsidRPr="0057037A" w14:paraId="6DE19EDC" w14:textId="77777777" w:rsidTr="00EA7E42">
              <w:trPr>
                <w:trHeight w:val="390"/>
                <w:tblCellSpacing w:w="15" w:type="dxa"/>
                <w:jc w:val="center"/>
              </w:trPr>
              <w:tc>
                <w:tcPr>
                  <w:tcW w:w="255" w:type="pct"/>
                  <w:hideMark/>
                </w:tcPr>
                <w:p w14:paraId="5CBBD732" w14:textId="77777777" w:rsidR="00A97E7D" w:rsidRPr="0057037A" w:rsidRDefault="00A97E7D" w:rsidP="00544C0B">
                  <w:pPr>
                    <w:rPr>
                      <w:rFonts w:ascii="Times New Roman" w:eastAsia="Times New Roman" w:hAnsi="Times New Roman" w:cs="Times New Roman"/>
                      <w:sz w:val="24"/>
                      <w:szCs w:val="24"/>
                      <w:lang w:eastAsia="lv-LV"/>
                    </w:rPr>
                  </w:pPr>
                  <w:r w:rsidRPr="0057037A">
                    <w:rPr>
                      <w:rFonts w:ascii="Times New Roman" w:eastAsia="Times New Roman" w:hAnsi="Times New Roman" w:cs="Times New Roman"/>
                      <w:sz w:val="24"/>
                      <w:szCs w:val="24"/>
                      <w:lang w:eastAsia="lv-LV"/>
                    </w:rPr>
                    <w:t>3.</w:t>
                  </w:r>
                </w:p>
              </w:tc>
              <w:tc>
                <w:tcPr>
                  <w:tcW w:w="1756" w:type="pct"/>
                  <w:hideMark/>
                </w:tcPr>
                <w:p w14:paraId="2D3B9313" w14:textId="77777777" w:rsidR="00A97E7D" w:rsidRPr="00413DDF" w:rsidRDefault="00A97E7D" w:rsidP="00544C0B">
                  <w:pPr>
                    <w:rPr>
                      <w:rFonts w:ascii="Times New Roman" w:eastAsia="Times New Roman" w:hAnsi="Times New Roman" w:cs="Times New Roman"/>
                      <w:sz w:val="24"/>
                      <w:szCs w:val="24"/>
                      <w:lang w:eastAsia="lv-LV"/>
                    </w:rPr>
                  </w:pPr>
                  <w:r w:rsidRPr="00413DDF">
                    <w:rPr>
                      <w:rFonts w:ascii="Times New Roman" w:eastAsia="Times New Roman" w:hAnsi="Times New Roman" w:cs="Times New Roman"/>
                      <w:sz w:val="24"/>
                      <w:szCs w:val="24"/>
                      <w:lang w:eastAsia="lv-LV"/>
                    </w:rPr>
                    <w:t>Cita informācija</w:t>
                  </w:r>
                </w:p>
              </w:tc>
              <w:tc>
                <w:tcPr>
                  <w:tcW w:w="2924" w:type="pct"/>
                  <w:hideMark/>
                </w:tcPr>
                <w:p w14:paraId="618607AF" w14:textId="77777777" w:rsidR="00A97E7D" w:rsidRPr="00413DDF" w:rsidRDefault="0005443F" w:rsidP="0005443F">
                  <w:pPr>
                    <w:ind w:left="57" w:right="57"/>
                    <w:jc w:val="both"/>
                    <w:rPr>
                      <w:rFonts w:ascii="Times New Roman" w:eastAsia="Times New Roman" w:hAnsi="Times New Roman" w:cs="Times New Roman"/>
                      <w:sz w:val="24"/>
                      <w:szCs w:val="24"/>
                      <w:lang w:eastAsia="lv-LV"/>
                    </w:rPr>
                  </w:pPr>
                  <w:r w:rsidRPr="00413DDF">
                    <w:rPr>
                      <w:rFonts w:ascii="Times New Roman" w:eastAsia="Times New Roman" w:hAnsi="Times New Roman" w:cs="Times New Roman"/>
                      <w:sz w:val="24"/>
                      <w:szCs w:val="24"/>
                      <w:lang w:eastAsia="lv-LV"/>
                    </w:rPr>
                    <w:t>Nav</w:t>
                  </w:r>
                </w:p>
              </w:tc>
            </w:tr>
          </w:tbl>
          <w:p w14:paraId="03985968" w14:textId="77777777" w:rsidR="00A97E7D" w:rsidRPr="0057037A" w:rsidRDefault="00A97E7D" w:rsidP="00544C0B">
            <w:pPr>
              <w:rPr>
                <w:rFonts w:ascii="Times New Roman" w:eastAsia="Times New Roman" w:hAnsi="Times New Roman" w:cs="Times New Roman"/>
                <w:sz w:val="24"/>
                <w:szCs w:val="24"/>
                <w:lang w:eastAsia="lv-LV"/>
              </w:rPr>
            </w:pPr>
          </w:p>
        </w:tc>
      </w:tr>
    </w:tbl>
    <w:p w14:paraId="5C8004E3" w14:textId="77777777" w:rsidR="00A97E7D" w:rsidRDefault="00A97E7D" w:rsidP="00A97E7D">
      <w:pPr>
        <w:rPr>
          <w:rFonts w:ascii="Times New Roman" w:hAnsi="Times New Roman" w:cs="Times New Roman"/>
          <w:sz w:val="28"/>
          <w:szCs w:val="28"/>
        </w:rPr>
      </w:pPr>
    </w:p>
    <w:p w14:paraId="44C7FC59" w14:textId="77777777" w:rsidR="00EA7E42" w:rsidRPr="0057037A" w:rsidRDefault="00EA7E42" w:rsidP="00A97E7D">
      <w:pPr>
        <w:rPr>
          <w:rFonts w:ascii="Times New Roman" w:hAnsi="Times New Roman" w:cs="Times New Roman"/>
          <w:sz w:val="28"/>
          <w:szCs w:val="28"/>
        </w:rPr>
      </w:pPr>
    </w:p>
    <w:p w14:paraId="6EB2EFA3" w14:textId="53D5CA2A" w:rsidR="00A97E7D" w:rsidRPr="0057037A" w:rsidRDefault="00A97E7D" w:rsidP="006F1333">
      <w:pPr>
        <w:tabs>
          <w:tab w:val="left" w:pos="6521"/>
        </w:tabs>
        <w:rPr>
          <w:rFonts w:ascii="Times New Roman" w:hAnsi="Times New Roman" w:cs="Times New Roman"/>
          <w:bCs/>
          <w:iCs/>
          <w:sz w:val="28"/>
          <w:szCs w:val="28"/>
        </w:rPr>
      </w:pPr>
      <w:r w:rsidRPr="0057037A">
        <w:rPr>
          <w:rFonts w:ascii="Times New Roman" w:hAnsi="Times New Roman" w:cs="Times New Roman"/>
          <w:bCs/>
          <w:iCs/>
          <w:sz w:val="28"/>
          <w:szCs w:val="28"/>
        </w:rPr>
        <w:t>Ekonomikas ministre</w:t>
      </w:r>
      <w:r w:rsidRPr="0057037A">
        <w:rPr>
          <w:rFonts w:ascii="Times New Roman" w:hAnsi="Times New Roman" w:cs="Times New Roman"/>
          <w:bCs/>
          <w:iCs/>
          <w:sz w:val="28"/>
          <w:szCs w:val="28"/>
        </w:rPr>
        <w:tab/>
      </w:r>
      <w:proofErr w:type="spellStart"/>
      <w:r w:rsidRPr="0057037A">
        <w:rPr>
          <w:rFonts w:ascii="Times New Roman" w:hAnsi="Times New Roman" w:cs="Times New Roman"/>
          <w:bCs/>
          <w:iCs/>
          <w:sz w:val="28"/>
          <w:szCs w:val="28"/>
        </w:rPr>
        <w:t>D.Reizniece-Ozola</w:t>
      </w:r>
      <w:proofErr w:type="spellEnd"/>
    </w:p>
    <w:p w14:paraId="61A037E0" w14:textId="77777777" w:rsidR="00A97E7D" w:rsidRPr="0057037A" w:rsidRDefault="00A97E7D" w:rsidP="006F1333">
      <w:pPr>
        <w:tabs>
          <w:tab w:val="left" w:pos="6521"/>
        </w:tabs>
        <w:rPr>
          <w:rFonts w:ascii="Times New Roman" w:hAnsi="Times New Roman" w:cs="Times New Roman"/>
          <w:bCs/>
          <w:iCs/>
          <w:sz w:val="28"/>
          <w:szCs w:val="28"/>
        </w:rPr>
      </w:pPr>
    </w:p>
    <w:p w14:paraId="5A8C695C" w14:textId="77777777" w:rsidR="00A97E7D" w:rsidRPr="0057037A" w:rsidRDefault="00A97E7D" w:rsidP="006F1333">
      <w:pPr>
        <w:tabs>
          <w:tab w:val="left" w:pos="6521"/>
        </w:tabs>
        <w:rPr>
          <w:rFonts w:ascii="Times New Roman" w:hAnsi="Times New Roman" w:cs="Times New Roman"/>
          <w:bCs/>
          <w:iCs/>
          <w:sz w:val="28"/>
          <w:szCs w:val="28"/>
        </w:rPr>
      </w:pPr>
      <w:r w:rsidRPr="0057037A">
        <w:rPr>
          <w:rFonts w:ascii="Times New Roman" w:hAnsi="Times New Roman" w:cs="Times New Roman"/>
          <w:bCs/>
          <w:iCs/>
          <w:sz w:val="28"/>
          <w:szCs w:val="28"/>
        </w:rPr>
        <w:t xml:space="preserve">Vīza: </w:t>
      </w:r>
    </w:p>
    <w:p w14:paraId="0043E8EA" w14:textId="77777777" w:rsidR="00807761" w:rsidRPr="00807761" w:rsidRDefault="00807761" w:rsidP="00807761">
      <w:pPr>
        <w:rPr>
          <w:rFonts w:ascii="Times New Roman" w:hAnsi="Times New Roman" w:cs="Times New Roman"/>
          <w:bCs/>
          <w:iCs/>
          <w:sz w:val="28"/>
          <w:szCs w:val="28"/>
        </w:rPr>
      </w:pPr>
      <w:r w:rsidRPr="00807761">
        <w:rPr>
          <w:rFonts w:ascii="Times New Roman" w:hAnsi="Times New Roman" w:cs="Times New Roman"/>
          <w:bCs/>
          <w:iCs/>
          <w:sz w:val="28"/>
          <w:szCs w:val="28"/>
        </w:rPr>
        <w:t>Valsts s</w:t>
      </w:r>
      <w:bookmarkStart w:id="0" w:name="_GoBack"/>
      <w:bookmarkEnd w:id="0"/>
      <w:r w:rsidRPr="00807761">
        <w:rPr>
          <w:rFonts w:ascii="Times New Roman" w:hAnsi="Times New Roman" w:cs="Times New Roman"/>
          <w:bCs/>
          <w:iCs/>
          <w:sz w:val="28"/>
          <w:szCs w:val="28"/>
        </w:rPr>
        <w:t>ekretāra pienākumu izpildītājs,</w:t>
      </w:r>
    </w:p>
    <w:p w14:paraId="484B13E7" w14:textId="77777777" w:rsidR="00807761" w:rsidRPr="00807761" w:rsidRDefault="00807761" w:rsidP="00807761">
      <w:pPr>
        <w:rPr>
          <w:rFonts w:ascii="Times New Roman" w:hAnsi="Times New Roman" w:cs="Times New Roman"/>
          <w:bCs/>
          <w:iCs/>
          <w:sz w:val="28"/>
          <w:szCs w:val="28"/>
        </w:rPr>
      </w:pPr>
      <w:r w:rsidRPr="00807761">
        <w:rPr>
          <w:rFonts w:ascii="Times New Roman" w:hAnsi="Times New Roman" w:cs="Times New Roman"/>
          <w:bCs/>
          <w:iCs/>
          <w:sz w:val="28"/>
          <w:szCs w:val="28"/>
        </w:rPr>
        <w:t>valsts sekretāra vietnieks</w:t>
      </w:r>
      <w:r w:rsidRPr="00807761">
        <w:rPr>
          <w:rFonts w:ascii="Times New Roman" w:hAnsi="Times New Roman" w:cs="Times New Roman"/>
          <w:bCs/>
          <w:iCs/>
          <w:sz w:val="28"/>
          <w:szCs w:val="28"/>
        </w:rPr>
        <w:tab/>
      </w:r>
      <w:r w:rsidRPr="00807761">
        <w:rPr>
          <w:rFonts w:ascii="Times New Roman" w:hAnsi="Times New Roman" w:cs="Times New Roman"/>
          <w:bCs/>
          <w:iCs/>
          <w:sz w:val="28"/>
          <w:szCs w:val="28"/>
        </w:rPr>
        <w:tab/>
      </w:r>
      <w:r w:rsidRPr="00807761">
        <w:rPr>
          <w:rFonts w:ascii="Times New Roman" w:hAnsi="Times New Roman" w:cs="Times New Roman"/>
          <w:bCs/>
          <w:iCs/>
          <w:sz w:val="28"/>
          <w:szCs w:val="28"/>
        </w:rPr>
        <w:tab/>
      </w:r>
      <w:r w:rsidRPr="00807761">
        <w:rPr>
          <w:rFonts w:ascii="Times New Roman" w:hAnsi="Times New Roman" w:cs="Times New Roman"/>
          <w:bCs/>
          <w:iCs/>
          <w:sz w:val="28"/>
          <w:szCs w:val="28"/>
        </w:rPr>
        <w:tab/>
      </w:r>
      <w:r w:rsidRPr="00807761">
        <w:rPr>
          <w:rFonts w:ascii="Times New Roman" w:hAnsi="Times New Roman" w:cs="Times New Roman"/>
          <w:bCs/>
          <w:iCs/>
          <w:sz w:val="28"/>
          <w:szCs w:val="28"/>
        </w:rPr>
        <w:tab/>
      </w:r>
      <w:r w:rsidRPr="00807761">
        <w:rPr>
          <w:rFonts w:ascii="Times New Roman" w:hAnsi="Times New Roman" w:cs="Times New Roman"/>
          <w:bCs/>
          <w:iCs/>
          <w:sz w:val="28"/>
          <w:szCs w:val="28"/>
        </w:rPr>
        <w:tab/>
        <w:t>J.Spiridonovs</w:t>
      </w:r>
    </w:p>
    <w:p w14:paraId="031DC878" w14:textId="77777777" w:rsidR="00A97E7D" w:rsidRPr="0057037A" w:rsidRDefault="00A97E7D" w:rsidP="00A97E7D">
      <w:pPr>
        <w:tabs>
          <w:tab w:val="left" w:pos="990"/>
        </w:tabs>
        <w:rPr>
          <w:rFonts w:ascii="Times New Roman" w:eastAsia="Times New Roman" w:hAnsi="Times New Roman" w:cs="Times New Roman"/>
          <w:sz w:val="26"/>
          <w:szCs w:val="26"/>
          <w:lang w:eastAsia="lv-LV"/>
        </w:rPr>
      </w:pPr>
    </w:p>
    <w:p w14:paraId="28A05B31" w14:textId="77777777" w:rsidR="00A97E7D" w:rsidRPr="0057037A" w:rsidRDefault="00A97E7D" w:rsidP="00A97E7D">
      <w:pPr>
        <w:tabs>
          <w:tab w:val="left" w:pos="990"/>
        </w:tabs>
        <w:rPr>
          <w:rFonts w:ascii="Times New Roman" w:eastAsia="Times New Roman" w:hAnsi="Times New Roman" w:cs="Times New Roman"/>
          <w:sz w:val="26"/>
          <w:szCs w:val="26"/>
          <w:lang w:eastAsia="lv-LV"/>
        </w:rPr>
      </w:pPr>
    </w:p>
    <w:p w14:paraId="6492415D" w14:textId="23DF2214" w:rsidR="00071019" w:rsidRPr="00071019" w:rsidRDefault="00D47FF5" w:rsidP="00071019">
      <w:pPr>
        <w:rPr>
          <w:rFonts w:ascii="Times New Roman" w:hAnsi="Times New Roman" w:cs="Times New Roman"/>
          <w:sz w:val="20"/>
        </w:rPr>
      </w:pPr>
      <w:r>
        <w:rPr>
          <w:rFonts w:ascii="Times New Roman" w:hAnsi="Times New Roman" w:cs="Times New Roman"/>
          <w:sz w:val="20"/>
        </w:rPr>
        <w:t>1</w:t>
      </w:r>
      <w:r w:rsidR="00807761">
        <w:rPr>
          <w:rFonts w:ascii="Times New Roman" w:hAnsi="Times New Roman" w:cs="Times New Roman"/>
          <w:sz w:val="20"/>
        </w:rPr>
        <w:t>3</w:t>
      </w:r>
      <w:r w:rsidR="00071019" w:rsidRPr="00071019">
        <w:rPr>
          <w:rFonts w:ascii="Times New Roman" w:hAnsi="Times New Roman" w:cs="Times New Roman"/>
          <w:sz w:val="20"/>
        </w:rPr>
        <w:t>.0</w:t>
      </w:r>
      <w:r w:rsidR="00807761">
        <w:rPr>
          <w:rFonts w:ascii="Times New Roman" w:hAnsi="Times New Roman" w:cs="Times New Roman"/>
          <w:sz w:val="20"/>
        </w:rPr>
        <w:t>3</w:t>
      </w:r>
      <w:r w:rsidR="00071019" w:rsidRPr="00071019">
        <w:rPr>
          <w:rFonts w:ascii="Times New Roman" w:hAnsi="Times New Roman" w:cs="Times New Roman"/>
          <w:sz w:val="20"/>
        </w:rPr>
        <w:t>.2015 1</w:t>
      </w:r>
      <w:r w:rsidR="00807761">
        <w:rPr>
          <w:rFonts w:ascii="Times New Roman" w:hAnsi="Times New Roman" w:cs="Times New Roman"/>
          <w:sz w:val="20"/>
        </w:rPr>
        <w:t>9</w:t>
      </w:r>
      <w:r w:rsidR="00071019" w:rsidRPr="00071019">
        <w:rPr>
          <w:rFonts w:ascii="Times New Roman" w:hAnsi="Times New Roman" w:cs="Times New Roman"/>
          <w:sz w:val="20"/>
        </w:rPr>
        <w:t>:</w:t>
      </w:r>
      <w:r w:rsidR="00807761">
        <w:rPr>
          <w:rFonts w:ascii="Times New Roman" w:hAnsi="Times New Roman" w:cs="Times New Roman"/>
          <w:sz w:val="20"/>
        </w:rPr>
        <w:t>37</w:t>
      </w:r>
    </w:p>
    <w:p w14:paraId="59E28425" w14:textId="77777777" w:rsidR="00071019" w:rsidRPr="00071019" w:rsidRDefault="00071019" w:rsidP="00071019">
      <w:pPr>
        <w:rPr>
          <w:rFonts w:ascii="Times New Roman" w:hAnsi="Times New Roman" w:cs="Times New Roman"/>
          <w:sz w:val="20"/>
        </w:rPr>
      </w:pPr>
      <w:r w:rsidRPr="00071019">
        <w:rPr>
          <w:rFonts w:ascii="Times New Roman" w:hAnsi="Times New Roman" w:cs="Times New Roman"/>
          <w:sz w:val="20"/>
        </w:rPr>
        <w:fldChar w:fldCharType="begin"/>
      </w:r>
      <w:r w:rsidRPr="00071019">
        <w:rPr>
          <w:rFonts w:ascii="Times New Roman" w:hAnsi="Times New Roman" w:cs="Times New Roman"/>
          <w:sz w:val="20"/>
        </w:rPr>
        <w:instrText xml:space="preserve"> NUMWORDS   \* MERGEFORMAT </w:instrText>
      </w:r>
      <w:r w:rsidRPr="00071019">
        <w:rPr>
          <w:rFonts w:ascii="Times New Roman" w:hAnsi="Times New Roman" w:cs="Times New Roman"/>
          <w:sz w:val="20"/>
        </w:rPr>
        <w:fldChar w:fldCharType="separate"/>
      </w:r>
      <w:r w:rsidR="00696C00">
        <w:rPr>
          <w:rFonts w:ascii="Times New Roman" w:hAnsi="Times New Roman" w:cs="Times New Roman"/>
          <w:noProof/>
          <w:sz w:val="20"/>
        </w:rPr>
        <w:t>2596</w:t>
      </w:r>
      <w:r w:rsidRPr="00071019">
        <w:rPr>
          <w:rFonts w:ascii="Times New Roman" w:hAnsi="Times New Roman" w:cs="Times New Roman"/>
          <w:sz w:val="20"/>
        </w:rPr>
        <w:fldChar w:fldCharType="end"/>
      </w:r>
    </w:p>
    <w:p w14:paraId="61F466D7" w14:textId="77777777" w:rsidR="00071019" w:rsidRPr="00071019" w:rsidRDefault="00071019" w:rsidP="00071019">
      <w:pPr>
        <w:rPr>
          <w:rFonts w:ascii="Times New Roman" w:hAnsi="Times New Roman" w:cs="Times New Roman"/>
          <w:sz w:val="20"/>
        </w:rPr>
      </w:pPr>
      <w:r w:rsidRPr="00071019">
        <w:rPr>
          <w:rFonts w:ascii="Times New Roman" w:hAnsi="Times New Roman" w:cs="Times New Roman"/>
          <w:sz w:val="20"/>
        </w:rPr>
        <w:t>I.Eglītis</w:t>
      </w:r>
    </w:p>
    <w:p w14:paraId="781A396B" w14:textId="77777777" w:rsidR="00071019" w:rsidRPr="00F2687F" w:rsidRDefault="00071019" w:rsidP="00071019">
      <w:pPr>
        <w:pStyle w:val="BodyTextIndent"/>
        <w:spacing w:after="0"/>
        <w:ind w:left="0"/>
        <w:jc w:val="both"/>
        <w:rPr>
          <w:rFonts w:ascii="Times New Roman" w:hAnsi="Times New Roman" w:cs="Times New Roman"/>
          <w:sz w:val="20"/>
          <w:szCs w:val="28"/>
          <w:lang w:val="lv-LV"/>
        </w:rPr>
      </w:pPr>
      <w:r w:rsidRPr="00F2687F">
        <w:rPr>
          <w:rFonts w:ascii="Times New Roman" w:hAnsi="Times New Roman" w:cs="Times New Roman"/>
          <w:sz w:val="20"/>
          <w:lang w:val="lv-LV"/>
        </w:rPr>
        <w:t xml:space="preserve">67013236, </w:t>
      </w:r>
      <w:hyperlink r:id="rId10" w:history="1">
        <w:r w:rsidRPr="00F2687F">
          <w:rPr>
            <w:rStyle w:val="Hyperlink"/>
            <w:rFonts w:ascii="Times New Roman" w:hAnsi="Times New Roman"/>
            <w:sz w:val="20"/>
            <w:lang w:val="lv-LV"/>
          </w:rPr>
          <w:t>Intars.Eglitis@em.gov.lv</w:t>
        </w:r>
      </w:hyperlink>
    </w:p>
    <w:p w14:paraId="1482E420" w14:textId="0D3926CD" w:rsidR="00372D28" w:rsidRPr="0057037A" w:rsidRDefault="00372D28" w:rsidP="00071019">
      <w:pPr>
        <w:rPr>
          <w:rFonts w:ascii="Times New Roman" w:hAnsi="Times New Roman" w:cs="Times New Roman"/>
          <w:sz w:val="20"/>
          <w:szCs w:val="20"/>
        </w:rPr>
      </w:pPr>
    </w:p>
    <w:sectPr w:rsidR="00372D28" w:rsidRPr="0057037A" w:rsidSect="00693D49">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18FD3" w14:textId="77777777" w:rsidR="00E231C1" w:rsidRDefault="00E231C1" w:rsidP="00B26F44">
      <w:r>
        <w:separator/>
      </w:r>
    </w:p>
  </w:endnote>
  <w:endnote w:type="continuationSeparator" w:id="0">
    <w:p w14:paraId="7C4968E4" w14:textId="77777777" w:rsidR="00E231C1" w:rsidRDefault="00E231C1" w:rsidP="00B2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92AE9" w14:textId="06962F62" w:rsidR="00936525" w:rsidRPr="00936525" w:rsidRDefault="00CE13B2" w:rsidP="00936525">
    <w:pPr>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693D49">
      <w:rPr>
        <w:rFonts w:ascii="Times New Roman" w:hAnsi="Times New Roman" w:cs="Times New Roman"/>
        <w:noProof/>
        <w:sz w:val="20"/>
        <w:szCs w:val="20"/>
      </w:rPr>
      <w:t>EMAnot_</w:t>
    </w:r>
    <w:r w:rsidR="00D47FF5" w:rsidRPr="00D47FF5">
      <w:rPr>
        <w:rFonts w:ascii="Times New Roman" w:hAnsi="Times New Roman" w:cs="Times New Roman"/>
        <w:noProof/>
        <w:sz w:val="20"/>
        <w:szCs w:val="20"/>
      </w:rPr>
      <w:t>1</w:t>
    </w:r>
    <w:r w:rsidR="00807761">
      <w:rPr>
        <w:rFonts w:ascii="Times New Roman" w:hAnsi="Times New Roman" w:cs="Times New Roman"/>
        <w:noProof/>
        <w:sz w:val="20"/>
        <w:szCs w:val="20"/>
      </w:rPr>
      <w:t>3</w:t>
    </w:r>
    <w:r w:rsidR="00D47FF5" w:rsidRPr="00D47FF5">
      <w:rPr>
        <w:rFonts w:ascii="Times New Roman" w:hAnsi="Times New Roman" w:cs="Times New Roman"/>
        <w:noProof/>
        <w:sz w:val="20"/>
        <w:szCs w:val="20"/>
      </w:rPr>
      <w:t>0</w:t>
    </w:r>
    <w:r w:rsidR="00807761">
      <w:rPr>
        <w:rFonts w:ascii="Times New Roman" w:hAnsi="Times New Roman" w:cs="Times New Roman"/>
        <w:noProof/>
        <w:sz w:val="20"/>
        <w:szCs w:val="20"/>
      </w:rPr>
      <w:t>3</w:t>
    </w:r>
    <w:r w:rsidR="00D47FF5" w:rsidRPr="00D47FF5">
      <w:rPr>
        <w:rFonts w:ascii="Times New Roman" w:hAnsi="Times New Roman" w:cs="Times New Roman"/>
        <w:noProof/>
        <w:sz w:val="20"/>
        <w:szCs w:val="20"/>
      </w:rPr>
      <w:t>15</w:t>
    </w:r>
    <w:r w:rsidR="00693D49">
      <w:rPr>
        <w:rFonts w:ascii="Times New Roman" w:hAnsi="Times New Roman" w:cs="Times New Roman"/>
        <w:noProof/>
        <w:sz w:val="20"/>
        <w:szCs w:val="20"/>
      </w:rPr>
      <w:t>_nodevas</w:t>
    </w:r>
    <w:r>
      <w:rPr>
        <w:rFonts w:ascii="Times New Roman" w:hAnsi="Times New Roman" w:cs="Times New Roman"/>
        <w:sz w:val="20"/>
        <w:szCs w:val="20"/>
      </w:rPr>
      <w:fldChar w:fldCharType="end"/>
    </w:r>
    <w:r>
      <w:rPr>
        <w:rFonts w:ascii="Times New Roman" w:hAnsi="Times New Roman" w:cs="Times New Roman"/>
        <w:sz w:val="20"/>
        <w:szCs w:val="20"/>
      </w:rPr>
      <w:t>;</w:t>
    </w:r>
    <w:r w:rsidRPr="004D45F5">
      <w:rPr>
        <w:rFonts w:ascii="Times New Roman" w:hAnsi="Times New Roman" w:cs="Times New Roman"/>
        <w:sz w:val="20"/>
        <w:szCs w:val="20"/>
      </w:rPr>
      <w:t xml:space="preserve"> </w:t>
    </w:r>
    <w:r>
      <w:rPr>
        <w:rFonts w:ascii="Times New Roman" w:hAnsi="Times New Roman" w:cs="Times New Roman"/>
        <w:sz w:val="20"/>
        <w:szCs w:val="20"/>
      </w:rPr>
      <w:t>L</w:t>
    </w:r>
    <w:r w:rsidRPr="004D45F5">
      <w:rPr>
        <w:rFonts w:ascii="Times New Roman" w:hAnsi="Times New Roman" w:cs="Times New Roman"/>
        <w:sz w:val="20"/>
        <w:szCs w:val="20"/>
      </w:rPr>
      <w:t>ikumprojekta „Grozījumi likumā „Par nodokļiem un nodevām””</w:t>
    </w:r>
    <w:r w:rsidR="0057037A">
      <w:rPr>
        <w:rFonts w:ascii="Times New Roman" w:hAnsi="Times New Roman" w:cs="Times New Roman"/>
        <w:sz w:val="20"/>
        <w:szCs w:val="20"/>
      </w:rPr>
      <w:t xml:space="preserve"> </w:t>
    </w:r>
    <w:r w:rsidRPr="00936525">
      <w:rPr>
        <w:rFonts w:ascii="Times New Roman" w:eastAsia="Times New Roman" w:hAnsi="Times New Roman" w:cs="Times New Roman"/>
        <w:bCs/>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03AA6" w14:textId="7987D51E" w:rsidR="00E224EC" w:rsidRPr="00936525" w:rsidRDefault="00E224EC" w:rsidP="00E224EC">
    <w:pPr>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693D49">
      <w:rPr>
        <w:rFonts w:ascii="Times New Roman" w:hAnsi="Times New Roman" w:cs="Times New Roman"/>
        <w:noProof/>
        <w:sz w:val="20"/>
        <w:szCs w:val="20"/>
      </w:rPr>
      <w:t>EMAnot_</w:t>
    </w:r>
    <w:r w:rsidR="00D47FF5" w:rsidRPr="00D47FF5">
      <w:rPr>
        <w:rFonts w:ascii="Times New Roman" w:hAnsi="Times New Roman" w:cs="Times New Roman"/>
        <w:noProof/>
        <w:sz w:val="20"/>
        <w:szCs w:val="20"/>
      </w:rPr>
      <w:t>1</w:t>
    </w:r>
    <w:r w:rsidR="00807761">
      <w:rPr>
        <w:rFonts w:ascii="Times New Roman" w:hAnsi="Times New Roman" w:cs="Times New Roman"/>
        <w:noProof/>
        <w:sz w:val="20"/>
        <w:szCs w:val="20"/>
      </w:rPr>
      <w:t>3</w:t>
    </w:r>
    <w:r w:rsidR="00D47FF5" w:rsidRPr="00D47FF5">
      <w:rPr>
        <w:rFonts w:ascii="Times New Roman" w:hAnsi="Times New Roman" w:cs="Times New Roman"/>
        <w:noProof/>
        <w:sz w:val="20"/>
        <w:szCs w:val="20"/>
      </w:rPr>
      <w:t>0</w:t>
    </w:r>
    <w:r w:rsidR="00807761">
      <w:rPr>
        <w:rFonts w:ascii="Times New Roman" w:hAnsi="Times New Roman" w:cs="Times New Roman"/>
        <w:noProof/>
        <w:sz w:val="20"/>
        <w:szCs w:val="20"/>
      </w:rPr>
      <w:t>3</w:t>
    </w:r>
    <w:r w:rsidR="00D47FF5" w:rsidRPr="00D47FF5">
      <w:rPr>
        <w:rFonts w:ascii="Times New Roman" w:hAnsi="Times New Roman" w:cs="Times New Roman"/>
        <w:noProof/>
        <w:sz w:val="20"/>
        <w:szCs w:val="20"/>
      </w:rPr>
      <w:t>15</w:t>
    </w:r>
    <w:r w:rsidR="00693D49">
      <w:rPr>
        <w:rFonts w:ascii="Times New Roman" w:hAnsi="Times New Roman" w:cs="Times New Roman"/>
        <w:noProof/>
        <w:sz w:val="20"/>
        <w:szCs w:val="20"/>
      </w:rPr>
      <w:t>_nodevas</w:t>
    </w:r>
    <w:r>
      <w:rPr>
        <w:rFonts w:ascii="Times New Roman" w:hAnsi="Times New Roman" w:cs="Times New Roman"/>
        <w:sz w:val="20"/>
        <w:szCs w:val="20"/>
      </w:rPr>
      <w:fldChar w:fldCharType="end"/>
    </w:r>
    <w:r>
      <w:rPr>
        <w:rFonts w:ascii="Times New Roman" w:hAnsi="Times New Roman" w:cs="Times New Roman"/>
        <w:sz w:val="20"/>
        <w:szCs w:val="20"/>
      </w:rPr>
      <w:t>;</w:t>
    </w:r>
    <w:r w:rsidRPr="004D45F5">
      <w:rPr>
        <w:rFonts w:ascii="Times New Roman" w:hAnsi="Times New Roman" w:cs="Times New Roman"/>
        <w:sz w:val="20"/>
        <w:szCs w:val="20"/>
      </w:rPr>
      <w:t xml:space="preserve"> </w:t>
    </w:r>
    <w:r>
      <w:rPr>
        <w:rFonts w:ascii="Times New Roman" w:hAnsi="Times New Roman" w:cs="Times New Roman"/>
        <w:sz w:val="20"/>
        <w:szCs w:val="20"/>
      </w:rPr>
      <w:t>L</w:t>
    </w:r>
    <w:r w:rsidRPr="004D45F5">
      <w:rPr>
        <w:rFonts w:ascii="Times New Roman" w:hAnsi="Times New Roman" w:cs="Times New Roman"/>
        <w:sz w:val="20"/>
        <w:szCs w:val="20"/>
      </w:rPr>
      <w:t>ikumprojekta „Grozījumi likumā „Par nodokļiem un nodevām””</w:t>
    </w:r>
    <w:r w:rsidRPr="00936525">
      <w:rPr>
        <w:rFonts w:ascii="Times New Roman" w:eastAsia="Times New Roman" w:hAnsi="Times New Roman" w:cs="Times New Roman"/>
        <w:b/>
        <w:bCs/>
        <w:sz w:val="28"/>
        <w:szCs w:val="28"/>
        <w:lang w:eastAsia="lv-LV"/>
      </w:rPr>
      <w:t xml:space="preserve"> </w:t>
    </w:r>
    <w:r w:rsidRPr="00936525">
      <w:rPr>
        <w:rFonts w:ascii="Times New Roman" w:eastAsia="Times New Roman" w:hAnsi="Times New Roman" w:cs="Times New Roman"/>
        <w:bCs/>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CEC10" w14:textId="77777777" w:rsidR="00E231C1" w:rsidRDefault="00E231C1" w:rsidP="00B26F44">
      <w:r>
        <w:separator/>
      </w:r>
    </w:p>
  </w:footnote>
  <w:footnote w:type="continuationSeparator" w:id="0">
    <w:p w14:paraId="7C078A21" w14:textId="77777777" w:rsidR="00E231C1" w:rsidRDefault="00E231C1" w:rsidP="00B26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904131036"/>
      <w:docPartObj>
        <w:docPartGallery w:val="Page Numbers (Top of Page)"/>
        <w:docPartUnique/>
      </w:docPartObj>
    </w:sdtPr>
    <w:sdtEndPr>
      <w:rPr>
        <w:noProof/>
      </w:rPr>
    </w:sdtEndPr>
    <w:sdtContent>
      <w:p w14:paraId="4A4DF19C" w14:textId="77777777" w:rsidR="00E46B2B" w:rsidRPr="00524EEC" w:rsidRDefault="00CE13B2">
        <w:pPr>
          <w:pStyle w:val="Header"/>
          <w:jc w:val="center"/>
          <w:rPr>
            <w:rFonts w:ascii="Times New Roman" w:hAnsi="Times New Roman" w:cs="Times New Roman"/>
          </w:rPr>
        </w:pPr>
        <w:r w:rsidRPr="00524EEC">
          <w:rPr>
            <w:rFonts w:ascii="Times New Roman" w:hAnsi="Times New Roman" w:cs="Times New Roman"/>
          </w:rPr>
          <w:fldChar w:fldCharType="begin"/>
        </w:r>
        <w:r w:rsidRPr="00524EEC">
          <w:rPr>
            <w:rFonts w:ascii="Times New Roman" w:hAnsi="Times New Roman" w:cs="Times New Roman"/>
          </w:rPr>
          <w:instrText xml:space="preserve"> PAGE   \* MERGEFORMAT </w:instrText>
        </w:r>
        <w:r w:rsidRPr="00524EEC">
          <w:rPr>
            <w:rFonts w:ascii="Times New Roman" w:hAnsi="Times New Roman" w:cs="Times New Roman"/>
          </w:rPr>
          <w:fldChar w:fldCharType="separate"/>
        </w:r>
        <w:r w:rsidR="00696C00">
          <w:rPr>
            <w:rFonts w:ascii="Times New Roman" w:hAnsi="Times New Roman" w:cs="Times New Roman"/>
            <w:noProof/>
          </w:rPr>
          <w:t>9</w:t>
        </w:r>
        <w:r w:rsidRPr="00524EEC">
          <w:rPr>
            <w:rFonts w:ascii="Times New Roman" w:hAnsi="Times New Roman" w:cs="Times New Roman"/>
            <w:noProof/>
          </w:rPr>
          <w:fldChar w:fldCharType="end"/>
        </w:r>
      </w:p>
    </w:sdtContent>
  </w:sdt>
  <w:p w14:paraId="2B3AC138" w14:textId="77777777" w:rsidR="00E46B2B" w:rsidRDefault="00696C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7744C"/>
    <w:multiLevelType w:val="hybridMultilevel"/>
    <w:tmpl w:val="A376607A"/>
    <w:lvl w:ilvl="0" w:tplc="78828938">
      <w:start w:val="26"/>
      <w:numFmt w:val="bullet"/>
      <w:lvlText w:val="-"/>
      <w:lvlJc w:val="left"/>
      <w:pPr>
        <w:ind w:left="720" w:hanging="360"/>
      </w:pPr>
      <w:rPr>
        <w:rFonts w:ascii="Calibri" w:eastAsiaTheme="minorHAnsi" w:hAnsi="Calibri" w:cstheme="minorBidi"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4D306E81"/>
    <w:multiLevelType w:val="hybridMultilevel"/>
    <w:tmpl w:val="EFB6C3F6"/>
    <w:lvl w:ilvl="0" w:tplc="99EA38B6">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E7D"/>
    <w:rsid w:val="000019AC"/>
    <w:rsid w:val="000259E4"/>
    <w:rsid w:val="000470EF"/>
    <w:rsid w:val="0005443F"/>
    <w:rsid w:val="00062482"/>
    <w:rsid w:val="00062C03"/>
    <w:rsid w:val="00067432"/>
    <w:rsid w:val="00071019"/>
    <w:rsid w:val="000B19A0"/>
    <w:rsid w:val="000E56D8"/>
    <w:rsid w:val="001029C4"/>
    <w:rsid w:val="00132761"/>
    <w:rsid w:val="00145083"/>
    <w:rsid w:val="00153344"/>
    <w:rsid w:val="00173E09"/>
    <w:rsid w:val="00176DE8"/>
    <w:rsid w:val="00191462"/>
    <w:rsid w:val="001A06C1"/>
    <w:rsid w:val="001B4930"/>
    <w:rsid w:val="001C3FA1"/>
    <w:rsid w:val="001F1083"/>
    <w:rsid w:val="00222214"/>
    <w:rsid w:val="00251EC1"/>
    <w:rsid w:val="00255B63"/>
    <w:rsid w:val="0025776F"/>
    <w:rsid w:val="002836F7"/>
    <w:rsid w:val="002B7A4D"/>
    <w:rsid w:val="002F1BBE"/>
    <w:rsid w:val="0031172D"/>
    <w:rsid w:val="00330E78"/>
    <w:rsid w:val="003548A1"/>
    <w:rsid w:val="00366B49"/>
    <w:rsid w:val="00367CEE"/>
    <w:rsid w:val="00372D28"/>
    <w:rsid w:val="003775A4"/>
    <w:rsid w:val="003968ED"/>
    <w:rsid w:val="003A1E0B"/>
    <w:rsid w:val="003B14F5"/>
    <w:rsid w:val="003B19C8"/>
    <w:rsid w:val="003E0314"/>
    <w:rsid w:val="00402566"/>
    <w:rsid w:val="00413DDF"/>
    <w:rsid w:val="0047073D"/>
    <w:rsid w:val="00473073"/>
    <w:rsid w:val="004730F5"/>
    <w:rsid w:val="00482D05"/>
    <w:rsid w:val="004C6EC4"/>
    <w:rsid w:val="00510A3F"/>
    <w:rsid w:val="00524EEC"/>
    <w:rsid w:val="00541AAD"/>
    <w:rsid w:val="0057037A"/>
    <w:rsid w:val="00585B79"/>
    <w:rsid w:val="005E56BC"/>
    <w:rsid w:val="005F70A5"/>
    <w:rsid w:val="006061A4"/>
    <w:rsid w:val="00614E13"/>
    <w:rsid w:val="00620A33"/>
    <w:rsid w:val="006339C2"/>
    <w:rsid w:val="0063575A"/>
    <w:rsid w:val="00642796"/>
    <w:rsid w:val="00643C5E"/>
    <w:rsid w:val="00693D49"/>
    <w:rsid w:val="00696C00"/>
    <w:rsid w:val="006A6757"/>
    <w:rsid w:val="006F1333"/>
    <w:rsid w:val="00720F5F"/>
    <w:rsid w:val="007304A3"/>
    <w:rsid w:val="00747602"/>
    <w:rsid w:val="007522CA"/>
    <w:rsid w:val="0077794B"/>
    <w:rsid w:val="007B34C1"/>
    <w:rsid w:val="007B6714"/>
    <w:rsid w:val="007D3EB1"/>
    <w:rsid w:val="007E25D9"/>
    <w:rsid w:val="007F0E9F"/>
    <w:rsid w:val="007F205F"/>
    <w:rsid w:val="00807761"/>
    <w:rsid w:val="008150D3"/>
    <w:rsid w:val="00824022"/>
    <w:rsid w:val="008352D3"/>
    <w:rsid w:val="008545E7"/>
    <w:rsid w:val="008C0618"/>
    <w:rsid w:val="008C0646"/>
    <w:rsid w:val="00924641"/>
    <w:rsid w:val="00A069D7"/>
    <w:rsid w:val="00A45217"/>
    <w:rsid w:val="00A67870"/>
    <w:rsid w:val="00A85C82"/>
    <w:rsid w:val="00A86745"/>
    <w:rsid w:val="00A97E7D"/>
    <w:rsid w:val="00AA109D"/>
    <w:rsid w:val="00AA699D"/>
    <w:rsid w:val="00AE0705"/>
    <w:rsid w:val="00AE516B"/>
    <w:rsid w:val="00B26F44"/>
    <w:rsid w:val="00B8188F"/>
    <w:rsid w:val="00B85180"/>
    <w:rsid w:val="00BC0505"/>
    <w:rsid w:val="00BE2189"/>
    <w:rsid w:val="00C37325"/>
    <w:rsid w:val="00C56256"/>
    <w:rsid w:val="00C633DB"/>
    <w:rsid w:val="00C75DB8"/>
    <w:rsid w:val="00C93299"/>
    <w:rsid w:val="00CD3D06"/>
    <w:rsid w:val="00CE13B2"/>
    <w:rsid w:val="00D47FF5"/>
    <w:rsid w:val="00D65CB4"/>
    <w:rsid w:val="00D74E57"/>
    <w:rsid w:val="00D7697D"/>
    <w:rsid w:val="00D910F5"/>
    <w:rsid w:val="00D97336"/>
    <w:rsid w:val="00DA025B"/>
    <w:rsid w:val="00DE2A92"/>
    <w:rsid w:val="00DE5BB7"/>
    <w:rsid w:val="00E10A54"/>
    <w:rsid w:val="00E20B9E"/>
    <w:rsid w:val="00E224EC"/>
    <w:rsid w:val="00E231C1"/>
    <w:rsid w:val="00EA044F"/>
    <w:rsid w:val="00EA7E42"/>
    <w:rsid w:val="00EE1AB6"/>
    <w:rsid w:val="00F25D24"/>
    <w:rsid w:val="00F30288"/>
    <w:rsid w:val="00F30E44"/>
    <w:rsid w:val="00F36AF5"/>
    <w:rsid w:val="00F919FA"/>
    <w:rsid w:val="00FC639C"/>
    <w:rsid w:val="00FE4BE0"/>
    <w:rsid w:val="00FF1C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1B84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E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E7D"/>
    <w:rPr>
      <w:color w:val="0000FF" w:themeColor="hyperlink"/>
      <w:u w:val="single"/>
    </w:rPr>
  </w:style>
  <w:style w:type="paragraph" w:customStyle="1" w:styleId="Normal1">
    <w:name w:val="Normal1"/>
    <w:basedOn w:val="Normal"/>
    <w:rsid w:val="00A97E7D"/>
    <w:rPr>
      <w:rFonts w:ascii="Calibri" w:eastAsia="Times New Roman" w:hAnsi="Calibri" w:cs="Times New Roman"/>
      <w:lang w:eastAsia="lv-LV"/>
    </w:rPr>
  </w:style>
  <w:style w:type="paragraph" w:styleId="Header">
    <w:name w:val="header"/>
    <w:basedOn w:val="Normal"/>
    <w:link w:val="HeaderChar"/>
    <w:uiPriority w:val="99"/>
    <w:unhideWhenUsed/>
    <w:rsid w:val="00A97E7D"/>
    <w:pPr>
      <w:tabs>
        <w:tab w:val="center" w:pos="4153"/>
        <w:tab w:val="right" w:pos="8306"/>
      </w:tabs>
    </w:pPr>
  </w:style>
  <w:style w:type="character" w:customStyle="1" w:styleId="HeaderChar">
    <w:name w:val="Header Char"/>
    <w:basedOn w:val="DefaultParagraphFont"/>
    <w:link w:val="Header"/>
    <w:uiPriority w:val="99"/>
    <w:rsid w:val="00A97E7D"/>
  </w:style>
  <w:style w:type="paragraph" w:styleId="BalloonText">
    <w:name w:val="Balloon Text"/>
    <w:basedOn w:val="Normal"/>
    <w:link w:val="BalloonTextChar"/>
    <w:uiPriority w:val="99"/>
    <w:semiHidden/>
    <w:unhideWhenUsed/>
    <w:rsid w:val="00A97E7D"/>
    <w:rPr>
      <w:rFonts w:ascii="Tahoma" w:hAnsi="Tahoma" w:cs="Tahoma"/>
      <w:sz w:val="16"/>
      <w:szCs w:val="16"/>
    </w:rPr>
  </w:style>
  <w:style w:type="character" w:customStyle="1" w:styleId="BalloonTextChar">
    <w:name w:val="Balloon Text Char"/>
    <w:basedOn w:val="DefaultParagraphFont"/>
    <w:link w:val="BalloonText"/>
    <w:uiPriority w:val="99"/>
    <w:semiHidden/>
    <w:rsid w:val="00A97E7D"/>
    <w:rPr>
      <w:rFonts w:ascii="Tahoma" w:hAnsi="Tahoma" w:cs="Tahoma"/>
      <w:sz w:val="16"/>
      <w:szCs w:val="16"/>
    </w:rPr>
  </w:style>
  <w:style w:type="paragraph" w:styleId="Footer">
    <w:name w:val="footer"/>
    <w:basedOn w:val="Normal"/>
    <w:link w:val="FooterChar"/>
    <w:uiPriority w:val="99"/>
    <w:unhideWhenUsed/>
    <w:rsid w:val="00B26F44"/>
    <w:pPr>
      <w:tabs>
        <w:tab w:val="center" w:pos="4153"/>
        <w:tab w:val="right" w:pos="8306"/>
      </w:tabs>
    </w:pPr>
  </w:style>
  <w:style w:type="character" w:customStyle="1" w:styleId="FooterChar">
    <w:name w:val="Footer Char"/>
    <w:basedOn w:val="DefaultParagraphFont"/>
    <w:link w:val="Footer"/>
    <w:uiPriority w:val="99"/>
    <w:rsid w:val="00B26F44"/>
  </w:style>
  <w:style w:type="paragraph" w:customStyle="1" w:styleId="naiskr">
    <w:name w:val="naiskr"/>
    <w:basedOn w:val="Normal"/>
    <w:uiPriority w:val="99"/>
    <w:rsid w:val="00C75DB8"/>
    <w:pPr>
      <w:spacing w:before="75" w:after="75"/>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7522CA"/>
    <w:rPr>
      <w:rFonts w:cs="Times New Roman"/>
    </w:rPr>
  </w:style>
  <w:style w:type="paragraph" w:styleId="NormalWeb">
    <w:name w:val="Normal (Web)"/>
    <w:basedOn w:val="Normal"/>
    <w:semiHidden/>
    <w:unhideWhenUsed/>
    <w:rsid w:val="00720F5F"/>
    <w:pPr>
      <w:spacing w:before="100" w:beforeAutospacing="1" w:after="100" w:afterAutospacing="1"/>
    </w:pPr>
    <w:rPr>
      <w:rFonts w:ascii="Times New Roman" w:eastAsia="Times New Roman" w:hAnsi="Times New Roman" w:cs="Times New Roman"/>
      <w:sz w:val="24"/>
      <w:szCs w:val="24"/>
      <w:lang w:eastAsia="lv-LV"/>
    </w:rPr>
  </w:style>
  <w:style w:type="character" w:styleId="Emphasis">
    <w:name w:val="Emphasis"/>
    <w:basedOn w:val="DefaultParagraphFont"/>
    <w:uiPriority w:val="99"/>
    <w:qFormat/>
    <w:rsid w:val="007304A3"/>
    <w:rPr>
      <w:rFonts w:ascii="Times New Roman" w:hAnsi="Times New Roman" w:cs="Times New Roman" w:hint="default"/>
      <w:i/>
      <w:iCs w:val="0"/>
    </w:rPr>
  </w:style>
  <w:style w:type="character" w:customStyle="1" w:styleId="st1">
    <w:name w:val="st1"/>
    <w:uiPriority w:val="99"/>
    <w:rsid w:val="007304A3"/>
  </w:style>
  <w:style w:type="paragraph" w:customStyle="1" w:styleId="naisc">
    <w:name w:val="naisc"/>
    <w:basedOn w:val="Normal"/>
    <w:uiPriority w:val="99"/>
    <w:rsid w:val="00372D28"/>
    <w:pPr>
      <w:spacing w:before="75" w:after="75"/>
      <w:jc w:val="center"/>
    </w:pPr>
    <w:rPr>
      <w:rFonts w:ascii="Times New Roman" w:eastAsia="Times New Roman" w:hAnsi="Times New Roman" w:cs="Times New Roman"/>
      <w:sz w:val="24"/>
      <w:szCs w:val="24"/>
      <w:lang w:eastAsia="lv-LV"/>
    </w:rPr>
  </w:style>
  <w:style w:type="paragraph" w:customStyle="1" w:styleId="naisf">
    <w:name w:val="naisf"/>
    <w:basedOn w:val="Normal"/>
    <w:uiPriority w:val="99"/>
    <w:rsid w:val="00372D28"/>
    <w:pPr>
      <w:spacing w:before="75" w:after="75"/>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6061A4"/>
    <w:rPr>
      <w:sz w:val="16"/>
      <w:szCs w:val="16"/>
    </w:rPr>
  </w:style>
  <w:style w:type="paragraph" w:styleId="CommentText">
    <w:name w:val="annotation text"/>
    <w:basedOn w:val="Normal"/>
    <w:link w:val="CommentTextChar"/>
    <w:uiPriority w:val="99"/>
    <w:semiHidden/>
    <w:unhideWhenUsed/>
    <w:rsid w:val="006061A4"/>
    <w:rPr>
      <w:sz w:val="20"/>
      <w:szCs w:val="20"/>
    </w:rPr>
  </w:style>
  <w:style w:type="character" w:customStyle="1" w:styleId="CommentTextChar">
    <w:name w:val="Comment Text Char"/>
    <w:basedOn w:val="DefaultParagraphFont"/>
    <w:link w:val="CommentText"/>
    <w:uiPriority w:val="99"/>
    <w:semiHidden/>
    <w:rsid w:val="006061A4"/>
    <w:rPr>
      <w:sz w:val="20"/>
      <w:szCs w:val="20"/>
    </w:rPr>
  </w:style>
  <w:style w:type="paragraph" w:styleId="CommentSubject">
    <w:name w:val="annotation subject"/>
    <w:basedOn w:val="CommentText"/>
    <w:next w:val="CommentText"/>
    <w:link w:val="CommentSubjectChar"/>
    <w:uiPriority w:val="99"/>
    <w:semiHidden/>
    <w:unhideWhenUsed/>
    <w:rsid w:val="006061A4"/>
    <w:rPr>
      <w:b/>
      <w:bCs/>
    </w:rPr>
  </w:style>
  <w:style w:type="character" w:customStyle="1" w:styleId="CommentSubjectChar">
    <w:name w:val="Comment Subject Char"/>
    <w:basedOn w:val="CommentTextChar"/>
    <w:link w:val="CommentSubject"/>
    <w:uiPriority w:val="99"/>
    <w:semiHidden/>
    <w:rsid w:val="006061A4"/>
    <w:rPr>
      <w:b/>
      <w:bCs/>
      <w:sz w:val="20"/>
      <w:szCs w:val="20"/>
    </w:rPr>
  </w:style>
  <w:style w:type="paragraph" w:styleId="BodyTextIndent">
    <w:name w:val="Body Text Indent"/>
    <w:basedOn w:val="Normal"/>
    <w:link w:val="BodyTextIndentChar"/>
    <w:uiPriority w:val="99"/>
    <w:unhideWhenUsed/>
    <w:rsid w:val="00071019"/>
    <w:pPr>
      <w:spacing w:after="120" w:line="276" w:lineRule="auto"/>
      <w:ind w:left="283"/>
    </w:pPr>
    <w:rPr>
      <w:lang w:val="en-US"/>
    </w:rPr>
  </w:style>
  <w:style w:type="character" w:customStyle="1" w:styleId="BodyTextIndentChar">
    <w:name w:val="Body Text Indent Char"/>
    <w:basedOn w:val="DefaultParagraphFont"/>
    <w:link w:val="BodyTextIndent"/>
    <w:uiPriority w:val="99"/>
    <w:rsid w:val="00071019"/>
    <w:rPr>
      <w:lang w:val="en-US"/>
    </w:rPr>
  </w:style>
  <w:style w:type="paragraph" w:styleId="ListParagraph">
    <w:name w:val="List Paragraph"/>
    <w:basedOn w:val="Normal"/>
    <w:uiPriority w:val="34"/>
    <w:qFormat/>
    <w:rsid w:val="00D47FF5"/>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E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E7D"/>
    <w:rPr>
      <w:color w:val="0000FF" w:themeColor="hyperlink"/>
      <w:u w:val="single"/>
    </w:rPr>
  </w:style>
  <w:style w:type="paragraph" w:customStyle="1" w:styleId="Normal1">
    <w:name w:val="Normal1"/>
    <w:basedOn w:val="Normal"/>
    <w:rsid w:val="00A97E7D"/>
    <w:rPr>
      <w:rFonts w:ascii="Calibri" w:eastAsia="Times New Roman" w:hAnsi="Calibri" w:cs="Times New Roman"/>
      <w:lang w:eastAsia="lv-LV"/>
    </w:rPr>
  </w:style>
  <w:style w:type="paragraph" w:styleId="Header">
    <w:name w:val="header"/>
    <w:basedOn w:val="Normal"/>
    <w:link w:val="HeaderChar"/>
    <w:uiPriority w:val="99"/>
    <w:unhideWhenUsed/>
    <w:rsid w:val="00A97E7D"/>
    <w:pPr>
      <w:tabs>
        <w:tab w:val="center" w:pos="4153"/>
        <w:tab w:val="right" w:pos="8306"/>
      </w:tabs>
    </w:pPr>
  </w:style>
  <w:style w:type="character" w:customStyle="1" w:styleId="HeaderChar">
    <w:name w:val="Header Char"/>
    <w:basedOn w:val="DefaultParagraphFont"/>
    <w:link w:val="Header"/>
    <w:uiPriority w:val="99"/>
    <w:rsid w:val="00A97E7D"/>
  </w:style>
  <w:style w:type="paragraph" w:styleId="BalloonText">
    <w:name w:val="Balloon Text"/>
    <w:basedOn w:val="Normal"/>
    <w:link w:val="BalloonTextChar"/>
    <w:uiPriority w:val="99"/>
    <w:semiHidden/>
    <w:unhideWhenUsed/>
    <w:rsid w:val="00A97E7D"/>
    <w:rPr>
      <w:rFonts w:ascii="Tahoma" w:hAnsi="Tahoma" w:cs="Tahoma"/>
      <w:sz w:val="16"/>
      <w:szCs w:val="16"/>
    </w:rPr>
  </w:style>
  <w:style w:type="character" w:customStyle="1" w:styleId="BalloonTextChar">
    <w:name w:val="Balloon Text Char"/>
    <w:basedOn w:val="DefaultParagraphFont"/>
    <w:link w:val="BalloonText"/>
    <w:uiPriority w:val="99"/>
    <w:semiHidden/>
    <w:rsid w:val="00A97E7D"/>
    <w:rPr>
      <w:rFonts w:ascii="Tahoma" w:hAnsi="Tahoma" w:cs="Tahoma"/>
      <w:sz w:val="16"/>
      <w:szCs w:val="16"/>
    </w:rPr>
  </w:style>
  <w:style w:type="paragraph" w:styleId="Footer">
    <w:name w:val="footer"/>
    <w:basedOn w:val="Normal"/>
    <w:link w:val="FooterChar"/>
    <w:uiPriority w:val="99"/>
    <w:unhideWhenUsed/>
    <w:rsid w:val="00B26F44"/>
    <w:pPr>
      <w:tabs>
        <w:tab w:val="center" w:pos="4153"/>
        <w:tab w:val="right" w:pos="8306"/>
      </w:tabs>
    </w:pPr>
  </w:style>
  <w:style w:type="character" w:customStyle="1" w:styleId="FooterChar">
    <w:name w:val="Footer Char"/>
    <w:basedOn w:val="DefaultParagraphFont"/>
    <w:link w:val="Footer"/>
    <w:uiPriority w:val="99"/>
    <w:rsid w:val="00B26F44"/>
  </w:style>
  <w:style w:type="paragraph" w:customStyle="1" w:styleId="naiskr">
    <w:name w:val="naiskr"/>
    <w:basedOn w:val="Normal"/>
    <w:uiPriority w:val="99"/>
    <w:rsid w:val="00C75DB8"/>
    <w:pPr>
      <w:spacing w:before="75" w:after="75"/>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7522CA"/>
    <w:rPr>
      <w:rFonts w:cs="Times New Roman"/>
    </w:rPr>
  </w:style>
  <w:style w:type="paragraph" w:styleId="NormalWeb">
    <w:name w:val="Normal (Web)"/>
    <w:basedOn w:val="Normal"/>
    <w:semiHidden/>
    <w:unhideWhenUsed/>
    <w:rsid w:val="00720F5F"/>
    <w:pPr>
      <w:spacing w:before="100" w:beforeAutospacing="1" w:after="100" w:afterAutospacing="1"/>
    </w:pPr>
    <w:rPr>
      <w:rFonts w:ascii="Times New Roman" w:eastAsia="Times New Roman" w:hAnsi="Times New Roman" w:cs="Times New Roman"/>
      <w:sz w:val="24"/>
      <w:szCs w:val="24"/>
      <w:lang w:eastAsia="lv-LV"/>
    </w:rPr>
  </w:style>
  <w:style w:type="character" w:styleId="Emphasis">
    <w:name w:val="Emphasis"/>
    <w:basedOn w:val="DefaultParagraphFont"/>
    <w:uiPriority w:val="99"/>
    <w:qFormat/>
    <w:rsid w:val="007304A3"/>
    <w:rPr>
      <w:rFonts w:ascii="Times New Roman" w:hAnsi="Times New Roman" w:cs="Times New Roman" w:hint="default"/>
      <w:i/>
      <w:iCs w:val="0"/>
    </w:rPr>
  </w:style>
  <w:style w:type="character" w:customStyle="1" w:styleId="st1">
    <w:name w:val="st1"/>
    <w:uiPriority w:val="99"/>
    <w:rsid w:val="007304A3"/>
  </w:style>
  <w:style w:type="paragraph" w:customStyle="1" w:styleId="naisc">
    <w:name w:val="naisc"/>
    <w:basedOn w:val="Normal"/>
    <w:uiPriority w:val="99"/>
    <w:rsid w:val="00372D28"/>
    <w:pPr>
      <w:spacing w:before="75" w:after="75"/>
      <w:jc w:val="center"/>
    </w:pPr>
    <w:rPr>
      <w:rFonts w:ascii="Times New Roman" w:eastAsia="Times New Roman" w:hAnsi="Times New Roman" w:cs="Times New Roman"/>
      <w:sz w:val="24"/>
      <w:szCs w:val="24"/>
      <w:lang w:eastAsia="lv-LV"/>
    </w:rPr>
  </w:style>
  <w:style w:type="paragraph" w:customStyle="1" w:styleId="naisf">
    <w:name w:val="naisf"/>
    <w:basedOn w:val="Normal"/>
    <w:uiPriority w:val="99"/>
    <w:rsid w:val="00372D28"/>
    <w:pPr>
      <w:spacing w:before="75" w:after="75"/>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6061A4"/>
    <w:rPr>
      <w:sz w:val="16"/>
      <w:szCs w:val="16"/>
    </w:rPr>
  </w:style>
  <w:style w:type="paragraph" w:styleId="CommentText">
    <w:name w:val="annotation text"/>
    <w:basedOn w:val="Normal"/>
    <w:link w:val="CommentTextChar"/>
    <w:uiPriority w:val="99"/>
    <w:semiHidden/>
    <w:unhideWhenUsed/>
    <w:rsid w:val="006061A4"/>
    <w:rPr>
      <w:sz w:val="20"/>
      <w:szCs w:val="20"/>
    </w:rPr>
  </w:style>
  <w:style w:type="character" w:customStyle="1" w:styleId="CommentTextChar">
    <w:name w:val="Comment Text Char"/>
    <w:basedOn w:val="DefaultParagraphFont"/>
    <w:link w:val="CommentText"/>
    <w:uiPriority w:val="99"/>
    <w:semiHidden/>
    <w:rsid w:val="006061A4"/>
    <w:rPr>
      <w:sz w:val="20"/>
      <w:szCs w:val="20"/>
    </w:rPr>
  </w:style>
  <w:style w:type="paragraph" w:styleId="CommentSubject">
    <w:name w:val="annotation subject"/>
    <w:basedOn w:val="CommentText"/>
    <w:next w:val="CommentText"/>
    <w:link w:val="CommentSubjectChar"/>
    <w:uiPriority w:val="99"/>
    <w:semiHidden/>
    <w:unhideWhenUsed/>
    <w:rsid w:val="006061A4"/>
    <w:rPr>
      <w:b/>
      <w:bCs/>
    </w:rPr>
  </w:style>
  <w:style w:type="character" w:customStyle="1" w:styleId="CommentSubjectChar">
    <w:name w:val="Comment Subject Char"/>
    <w:basedOn w:val="CommentTextChar"/>
    <w:link w:val="CommentSubject"/>
    <w:uiPriority w:val="99"/>
    <w:semiHidden/>
    <w:rsid w:val="006061A4"/>
    <w:rPr>
      <w:b/>
      <w:bCs/>
      <w:sz w:val="20"/>
      <w:szCs w:val="20"/>
    </w:rPr>
  </w:style>
  <w:style w:type="paragraph" w:styleId="BodyTextIndent">
    <w:name w:val="Body Text Indent"/>
    <w:basedOn w:val="Normal"/>
    <w:link w:val="BodyTextIndentChar"/>
    <w:uiPriority w:val="99"/>
    <w:unhideWhenUsed/>
    <w:rsid w:val="00071019"/>
    <w:pPr>
      <w:spacing w:after="120" w:line="276" w:lineRule="auto"/>
      <w:ind w:left="283"/>
    </w:pPr>
    <w:rPr>
      <w:lang w:val="en-US"/>
    </w:rPr>
  </w:style>
  <w:style w:type="character" w:customStyle="1" w:styleId="BodyTextIndentChar">
    <w:name w:val="Body Text Indent Char"/>
    <w:basedOn w:val="DefaultParagraphFont"/>
    <w:link w:val="BodyTextIndent"/>
    <w:uiPriority w:val="99"/>
    <w:rsid w:val="00071019"/>
    <w:rPr>
      <w:lang w:val="en-US"/>
    </w:rPr>
  </w:style>
  <w:style w:type="paragraph" w:styleId="ListParagraph">
    <w:name w:val="List Paragraph"/>
    <w:basedOn w:val="Normal"/>
    <w:uiPriority w:val="34"/>
    <w:qFormat/>
    <w:rsid w:val="00D47FF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4199">
      <w:bodyDiv w:val="1"/>
      <w:marLeft w:val="0"/>
      <w:marRight w:val="0"/>
      <w:marTop w:val="0"/>
      <w:marBottom w:val="0"/>
      <w:divBdr>
        <w:top w:val="none" w:sz="0" w:space="0" w:color="auto"/>
        <w:left w:val="none" w:sz="0" w:space="0" w:color="auto"/>
        <w:bottom w:val="none" w:sz="0" w:space="0" w:color="auto"/>
        <w:right w:val="none" w:sz="0" w:space="0" w:color="auto"/>
      </w:divBdr>
    </w:div>
    <w:div w:id="944848436">
      <w:bodyDiv w:val="1"/>
      <w:marLeft w:val="0"/>
      <w:marRight w:val="0"/>
      <w:marTop w:val="0"/>
      <w:marBottom w:val="0"/>
      <w:divBdr>
        <w:top w:val="none" w:sz="0" w:space="0" w:color="auto"/>
        <w:left w:val="none" w:sz="0" w:space="0" w:color="auto"/>
        <w:bottom w:val="none" w:sz="0" w:space="0" w:color="auto"/>
        <w:right w:val="none" w:sz="0" w:space="0" w:color="auto"/>
      </w:divBdr>
    </w:div>
    <w:div w:id="1072193910">
      <w:bodyDiv w:val="1"/>
      <w:marLeft w:val="0"/>
      <w:marRight w:val="0"/>
      <w:marTop w:val="0"/>
      <w:marBottom w:val="0"/>
      <w:divBdr>
        <w:top w:val="none" w:sz="0" w:space="0" w:color="auto"/>
        <w:left w:val="none" w:sz="0" w:space="0" w:color="auto"/>
        <w:bottom w:val="none" w:sz="0" w:space="0" w:color="auto"/>
        <w:right w:val="none" w:sz="0" w:space="0" w:color="auto"/>
      </w:divBdr>
    </w:div>
    <w:div w:id="1162892375">
      <w:bodyDiv w:val="1"/>
      <w:marLeft w:val="0"/>
      <w:marRight w:val="0"/>
      <w:marTop w:val="0"/>
      <w:marBottom w:val="0"/>
      <w:divBdr>
        <w:top w:val="none" w:sz="0" w:space="0" w:color="auto"/>
        <w:left w:val="none" w:sz="0" w:space="0" w:color="auto"/>
        <w:bottom w:val="none" w:sz="0" w:space="0" w:color="auto"/>
        <w:right w:val="none" w:sz="0" w:space="0" w:color="auto"/>
      </w:divBdr>
    </w:div>
    <w:div w:id="1180464985">
      <w:bodyDiv w:val="1"/>
      <w:marLeft w:val="0"/>
      <w:marRight w:val="0"/>
      <w:marTop w:val="0"/>
      <w:marBottom w:val="0"/>
      <w:divBdr>
        <w:top w:val="none" w:sz="0" w:space="0" w:color="auto"/>
        <w:left w:val="none" w:sz="0" w:space="0" w:color="auto"/>
        <w:bottom w:val="none" w:sz="0" w:space="0" w:color="auto"/>
        <w:right w:val="none" w:sz="0" w:space="0" w:color="auto"/>
      </w:divBdr>
    </w:div>
    <w:div w:id="1435051311">
      <w:bodyDiv w:val="1"/>
      <w:marLeft w:val="0"/>
      <w:marRight w:val="0"/>
      <w:marTop w:val="0"/>
      <w:marBottom w:val="0"/>
      <w:divBdr>
        <w:top w:val="none" w:sz="0" w:space="0" w:color="auto"/>
        <w:left w:val="none" w:sz="0" w:space="0" w:color="auto"/>
        <w:bottom w:val="none" w:sz="0" w:space="0" w:color="auto"/>
        <w:right w:val="none" w:sz="0" w:space="0" w:color="auto"/>
      </w:divBdr>
    </w:div>
    <w:div w:id="1489248347">
      <w:bodyDiv w:val="1"/>
      <w:marLeft w:val="0"/>
      <w:marRight w:val="0"/>
      <w:marTop w:val="0"/>
      <w:marBottom w:val="0"/>
      <w:divBdr>
        <w:top w:val="none" w:sz="0" w:space="0" w:color="auto"/>
        <w:left w:val="none" w:sz="0" w:space="0" w:color="auto"/>
        <w:bottom w:val="none" w:sz="0" w:space="0" w:color="auto"/>
        <w:right w:val="none" w:sz="0" w:space="0" w:color="auto"/>
      </w:divBdr>
    </w:div>
    <w:div w:id="170802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tars.Eglitis@em.gov.lv" TargetMode="External"/><Relationship Id="rId4" Type="http://schemas.microsoft.com/office/2007/relationships/stylesWithEffects" Target="stylesWithEffects.xml"/><Relationship Id="rId9" Type="http://schemas.openxmlformats.org/officeDocument/2006/relationships/hyperlink" Target="http://likumi.lv/ta/id/33946-par-nodokliem-un-nodev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6D275-B01D-464A-A1C7-CE7A3806F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2636</Words>
  <Characters>17637</Characters>
  <Application>Microsoft Office Word</Application>
  <DocSecurity>0</DocSecurity>
  <Lines>629</Lines>
  <Paragraphs>311</Paragraphs>
  <ScaleCrop>false</ScaleCrop>
  <HeadingPairs>
    <vt:vector size="2" baseType="variant">
      <vt:variant>
        <vt:lpstr>Title</vt:lpstr>
      </vt:variant>
      <vt:variant>
        <vt:i4>1</vt:i4>
      </vt:variant>
    </vt:vector>
  </HeadingPairs>
  <TitlesOfParts>
    <vt:vector size="1" baseType="lpstr">
      <vt:lpstr>EManot_070115_nodevas; Likumprojekta „Grozījumi likumā „Par nodokļiem un nodevām”” sākotnējās ietekmes novērtējuma ziņojums (anotācija)</vt:lpstr>
    </vt:vector>
  </TitlesOfParts>
  <Company/>
  <LinksUpToDate>false</LinksUpToDate>
  <CharactersWithSpaces>19962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EManot_070115_nodevas; Likumprojekta „Grozījumi likumā „Par nodokļiem un nodevām”” sākotnējās ietekmes novērtējuma ziņojums (anotācija)</dc:title>
  <dc:creator>Antis Apsītis</dc:creator>
  <cp:lastModifiedBy>Intars Eglītis</cp:lastModifiedBy>
  <cp:revision>12</cp:revision>
  <cp:lastPrinted>2015-01-08T08:17:00Z</cp:lastPrinted>
  <dcterms:created xsi:type="dcterms:W3CDTF">2015-02-18T13:40:00Z</dcterms:created>
  <dcterms:modified xsi:type="dcterms:W3CDTF">2015-03-16T13:34:00Z</dcterms:modified>
</cp:coreProperties>
</file>