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6B8" w:rsidRPr="007C0F2C" w:rsidRDefault="00BB66B8" w:rsidP="00214094">
      <w:pPr>
        <w:pStyle w:val="naislab"/>
        <w:spacing w:before="0" w:after="0"/>
        <w:rPr>
          <w:sz w:val="28"/>
          <w:szCs w:val="28"/>
        </w:rPr>
      </w:pPr>
    </w:p>
    <w:p w:rsidR="00BB66B8" w:rsidRPr="007C0F2C" w:rsidRDefault="00BB66B8" w:rsidP="009E194F">
      <w:pPr>
        <w:pStyle w:val="naislab"/>
        <w:spacing w:before="0" w:after="0"/>
        <w:jc w:val="center"/>
        <w:outlineLvl w:val="0"/>
        <w:rPr>
          <w:b/>
          <w:bCs/>
          <w:sz w:val="28"/>
          <w:szCs w:val="28"/>
        </w:rPr>
      </w:pPr>
      <w:r>
        <w:rPr>
          <w:b/>
          <w:bCs/>
          <w:sz w:val="28"/>
          <w:szCs w:val="28"/>
        </w:rPr>
        <w:t>Ministru kabineta rīkojuma projekta „</w:t>
      </w:r>
      <w:r w:rsidRPr="00EE7F5F">
        <w:rPr>
          <w:b/>
          <w:bCs/>
          <w:color w:val="000000"/>
          <w:sz w:val="28"/>
          <w:szCs w:val="28"/>
        </w:rPr>
        <w:t>Par finanšu līdzekļu piešķiršanu no valsts budžeta programmas “Līdzekļi neparedzētiem gadījumiem</w:t>
      </w:r>
      <w:r>
        <w:rPr>
          <w:b/>
          <w:bCs/>
          <w:sz w:val="28"/>
          <w:szCs w:val="28"/>
        </w:rPr>
        <w:t xml:space="preserve">”” </w:t>
      </w:r>
      <w:r w:rsidRPr="007C0F2C">
        <w:rPr>
          <w:b/>
          <w:bCs/>
          <w:sz w:val="28"/>
          <w:szCs w:val="28"/>
        </w:rPr>
        <w:t>sākotnējās ietekmes novērtējuma ziņojums (anotācija)</w:t>
      </w:r>
    </w:p>
    <w:p w:rsidR="00BB66B8" w:rsidRDefault="00BB66B8" w:rsidP="004B3D87">
      <w:pPr>
        <w:pStyle w:val="naisf"/>
        <w:spacing w:before="0" w:after="0"/>
        <w:ind w:firstLine="0"/>
      </w:pP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3"/>
        <w:gridCol w:w="3295"/>
        <w:gridCol w:w="5941"/>
      </w:tblGrid>
      <w:tr w:rsidR="00BB66B8" w:rsidRPr="007C0F2C" w:rsidTr="00C2003E">
        <w:tc>
          <w:tcPr>
            <w:tcW w:w="9639" w:type="dxa"/>
            <w:gridSpan w:val="3"/>
            <w:vAlign w:val="center"/>
          </w:tcPr>
          <w:p w:rsidR="00BB66B8" w:rsidRPr="007C0F2C" w:rsidRDefault="00BB66B8" w:rsidP="00954594">
            <w:pPr>
              <w:pStyle w:val="naisnod"/>
              <w:spacing w:before="0" w:after="0"/>
            </w:pPr>
            <w:r w:rsidRPr="007C0F2C">
              <w:t>I. Tiesību akta projekta izstrādes nepieciešamība</w:t>
            </w:r>
          </w:p>
        </w:tc>
      </w:tr>
      <w:tr w:rsidR="00BB66B8" w:rsidRPr="007C0F2C" w:rsidTr="00C2003E">
        <w:trPr>
          <w:trHeight w:val="630"/>
        </w:trPr>
        <w:tc>
          <w:tcPr>
            <w:tcW w:w="403" w:type="dxa"/>
          </w:tcPr>
          <w:p w:rsidR="00BB66B8" w:rsidRPr="007B11D2" w:rsidRDefault="00BB66B8" w:rsidP="00954594">
            <w:pPr>
              <w:pStyle w:val="naiskr"/>
              <w:spacing w:before="0" w:after="0"/>
            </w:pPr>
            <w:r>
              <w:t xml:space="preserve"> </w:t>
            </w:r>
            <w:r w:rsidRPr="007B11D2">
              <w:t>1.</w:t>
            </w:r>
          </w:p>
        </w:tc>
        <w:tc>
          <w:tcPr>
            <w:tcW w:w="3295" w:type="dxa"/>
          </w:tcPr>
          <w:p w:rsidR="00BB66B8" w:rsidRPr="007B11D2" w:rsidRDefault="00BB66B8" w:rsidP="00954594">
            <w:pPr>
              <w:pStyle w:val="naiskr"/>
              <w:spacing w:before="0" w:after="0"/>
              <w:ind w:hanging="10"/>
            </w:pPr>
            <w:r w:rsidRPr="009C4533">
              <w:rPr>
                <w:color w:val="000000"/>
              </w:rPr>
              <w:t>Pamatojums</w:t>
            </w:r>
          </w:p>
        </w:tc>
        <w:tc>
          <w:tcPr>
            <w:tcW w:w="5941" w:type="dxa"/>
          </w:tcPr>
          <w:p w:rsidR="00BB66B8" w:rsidRPr="00A0748E" w:rsidRDefault="00BB66B8" w:rsidP="00CD3D05">
            <w:pPr>
              <w:jc w:val="both"/>
            </w:pPr>
            <w:r w:rsidRPr="00A0748E">
              <w:rPr>
                <w:color w:val="000000"/>
              </w:rPr>
              <w:t>Ministru kabineta rīkojuma projekts „Par finanšu līdzekļu piešķiršanu no valsts budžeta programmas “Līdzekļi neparedzētiem gadījumiem</w:t>
            </w:r>
            <w:r w:rsidRPr="00A0748E">
              <w:t>””</w:t>
            </w:r>
            <w:r w:rsidRPr="00A0748E">
              <w:rPr>
                <w:color w:val="000000"/>
              </w:rPr>
              <w:t xml:space="preserve"> (turpmāk – rīkojuma projekts) ir izstrādāts</w:t>
            </w:r>
            <w:r>
              <w:rPr>
                <w:color w:val="000000"/>
              </w:rPr>
              <w:t xml:space="preserve"> ar </w:t>
            </w:r>
            <w:r w:rsidRPr="007B410B">
              <w:rPr>
                <w:color w:val="000000"/>
              </w:rPr>
              <w:t>mērķi</w:t>
            </w:r>
            <w:r w:rsidRPr="007B410B">
              <w:t xml:space="preserve"> </w:t>
            </w:r>
            <w:r>
              <w:t>nodrošināt papildu finanšu līdzekļu</w:t>
            </w:r>
            <w:r w:rsidRPr="007B410B">
              <w:t xml:space="preserve"> piešķir</w:t>
            </w:r>
            <w:r>
              <w:t>šanu</w:t>
            </w:r>
            <w:r w:rsidRPr="007B410B">
              <w:t xml:space="preserve"> no valsts budžeta programmas 02.00.00</w:t>
            </w:r>
            <w:r>
              <w:rPr>
                <w:sz w:val="28"/>
                <w:szCs w:val="28"/>
              </w:rPr>
              <w:t xml:space="preserve"> </w:t>
            </w:r>
            <w:r w:rsidRPr="007B410B">
              <w:t>„Līdzekļi neparedzētiem gadījumiem</w:t>
            </w:r>
            <w:r>
              <w:t xml:space="preserve">” Labklājības ministrijai </w:t>
            </w:r>
            <w:r w:rsidR="00CD3D05">
              <w:t>20 020</w:t>
            </w:r>
            <w:r w:rsidR="00451C27">
              <w:t xml:space="preserve"> </w:t>
            </w:r>
            <w:r>
              <w:t>euro (EUR) apmērā</w:t>
            </w:r>
            <w:r w:rsidRPr="007B410B">
              <w:t xml:space="preserve">, lai </w:t>
            </w:r>
            <w:r>
              <w:t xml:space="preserve">izpildītu Latvijas Republikas starptautiskās saistības un </w:t>
            </w:r>
            <w:r w:rsidRPr="00EC74E3">
              <w:t xml:space="preserve">veiktu Latvijas </w:t>
            </w:r>
            <w:r>
              <w:t>ie</w:t>
            </w:r>
            <w:r w:rsidRPr="00EC74E3">
              <w:t>maksu Starptautiskajā Darba organizācijā</w:t>
            </w:r>
            <w:r>
              <w:t xml:space="preserve"> (turpmāk – SDO)</w:t>
            </w:r>
            <w:r w:rsidRPr="00EC74E3">
              <w:t xml:space="preserve"> </w:t>
            </w:r>
            <w:r>
              <w:t xml:space="preserve">par </w:t>
            </w:r>
            <w:r w:rsidRPr="00EC74E3">
              <w:t>2015.gad</w:t>
            </w:r>
            <w:r>
              <w:t>u</w:t>
            </w:r>
            <w:r w:rsidRPr="00EC74E3">
              <w:t xml:space="preserve"> pilnā apmērā.</w:t>
            </w:r>
          </w:p>
        </w:tc>
      </w:tr>
      <w:tr w:rsidR="00BB66B8" w:rsidRPr="007C0F2C" w:rsidTr="00C2003E">
        <w:trPr>
          <w:trHeight w:val="472"/>
        </w:trPr>
        <w:tc>
          <w:tcPr>
            <w:tcW w:w="403" w:type="dxa"/>
          </w:tcPr>
          <w:p w:rsidR="00BB66B8" w:rsidRPr="007B11D2" w:rsidRDefault="00BB66B8" w:rsidP="00954594">
            <w:pPr>
              <w:pStyle w:val="naiskr"/>
              <w:spacing w:before="0" w:after="0"/>
            </w:pPr>
            <w:r>
              <w:t xml:space="preserve"> </w:t>
            </w:r>
            <w:r w:rsidRPr="007B11D2">
              <w:t>2.</w:t>
            </w:r>
          </w:p>
        </w:tc>
        <w:tc>
          <w:tcPr>
            <w:tcW w:w="3295" w:type="dxa"/>
          </w:tcPr>
          <w:p w:rsidR="00BB66B8" w:rsidRPr="007B11D2" w:rsidRDefault="00BB66B8" w:rsidP="00954594">
            <w:pPr>
              <w:pStyle w:val="naiskr"/>
              <w:tabs>
                <w:tab w:val="left" w:pos="170"/>
              </w:tabs>
              <w:spacing w:before="0" w:after="0"/>
            </w:pPr>
            <w:r w:rsidRPr="009C4533">
              <w:rPr>
                <w:color w:val="000000"/>
              </w:rPr>
              <w:t>Pašreizējā situācija un problēmas, kuru risināšanai tiesību akta projekts izstrādāts, tiesiskā regulējuma mērķis un būtība</w:t>
            </w:r>
          </w:p>
        </w:tc>
        <w:tc>
          <w:tcPr>
            <w:tcW w:w="5941" w:type="dxa"/>
          </w:tcPr>
          <w:p w:rsidR="00BB66B8" w:rsidRPr="009C4533" w:rsidRDefault="00BB66B8" w:rsidP="00954594">
            <w:pPr>
              <w:pStyle w:val="naiskr"/>
              <w:spacing w:before="0" w:after="0"/>
              <w:jc w:val="both"/>
              <w:rPr>
                <w:color w:val="000000"/>
              </w:rPr>
            </w:pPr>
            <w:r w:rsidRPr="009C4533">
              <w:rPr>
                <w:color w:val="000000"/>
              </w:rPr>
              <w:t>SDO dibināta kā pirmā specializētā Apvienoto Nāciju Organizācijas aģentūra 1919.gadā un šobrīd apvieno 185 dalībvalstis. Tās galvenais mērķis ir veicināt sociālo taisnīgumu un starptautisku darba tiesību atzīšanu. Organizācijas uzdevums ir formulēt starptautiskos darba standartus (konvenciju un rekomendāciju formā), nosakot minimālās darba tiesību prasības. SDO sniedz dalībvalstīm arī konsultatīvu un tehnisku palīdzību nacionālo politiku izstrādē un ieviešanā.</w:t>
            </w:r>
          </w:p>
          <w:p w:rsidR="00BB66B8" w:rsidRPr="009C4533" w:rsidRDefault="00BB66B8" w:rsidP="00954594">
            <w:pPr>
              <w:pStyle w:val="naiskr"/>
              <w:spacing w:before="0" w:after="0"/>
              <w:jc w:val="both"/>
              <w:rPr>
                <w:color w:val="000000"/>
              </w:rPr>
            </w:pPr>
            <w:r w:rsidRPr="009C4533">
              <w:rPr>
                <w:color w:val="000000"/>
              </w:rPr>
              <w:t>Latvija savu dalību SDO atjaunoja 1991.gadā. Uz šo brīdi Latvija ir ratificējusi 42 SDO konvencijas. No Latvijas puses sadarbību ar SDO īsteno Ārlietu, Labklājības un Satiksmes ministrija.</w:t>
            </w:r>
          </w:p>
          <w:p w:rsidR="00BB66B8" w:rsidRDefault="00BB66B8" w:rsidP="00954594">
            <w:pPr>
              <w:pStyle w:val="naiskr"/>
              <w:spacing w:before="0" w:after="0"/>
              <w:jc w:val="both"/>
              <w:rPr>
                <w:color w:val="000000"/>
              </w:rPr>
            </w:pPr>
          </w:p>
          <w:p w:rsidR="00BB66B8" w:rsidRDefault="00BB66B8" w:rsidP="00A2763D">
            <w:pPr>
              <w:pStyle w:val="naiskr"/>
              <w:spacing w:before="0" w:after="0"/>
              <w:jc w:val="both"/>
              <w:rPr>
                <w:lang w:eastAsia="en-US"/>
              </w:rPr>
            </w:pPr>
            <w:r w:rsidRPr="00911E9A">
              <w:t>Latvija</w:t>
            </w:r>
            <w:r>
              <w:t xml:space="preserve"> atbilstoši SDO konstitūcijai</w:t>
            </w:r>
            <w:r w:rsidRPr="00911E9A">
              <w:t xml:space="preserve"> par dalību SDO ik gadu </w:t>
            </w:r>
            <w:r>
              <w:t xml:space="preserve">veic </w:t>
            </w:r>
            <w:r w:rsidRPr="00911E9A">
              <w:t>iemaksas.</w:t>
            </w:r>
            <w:r w:rsidRPr="00911E9A">
              <w:rPr>
                <w:sz w:val="22"/>
                <w:szCs w:val="22"/>
              </w:rPr>
              <w:t xml:space="preserve"> </w:t>
            </w:r>
            <w:r w:rsidRPr="00911E9A">
              <w:t xml:space="preserve">Dalības maksa 2015.gadā SDO plānota 178 670 </w:t>
            </w:r>
            <w:r>
              <w:t>Šveices franku (</w:t>
            </w:r>
            <w:r w:rsidRPr="00911E9A">
              <w:t>CHF</w:t>
            </w:r>
            <w:r>
              <w:t xml:space="preserve">) apmērā. 2015.gada 18.martā veikts maksājums 158 083,54 CHF (148 296 EUR </w:t>
            </w:r>
            <w:r w:rsidRPr="00911E9A">
              <w:rPr>
                <w:lang w:eastAsia="en-US"/>
              </w:rPr>
              <w:t>(</w:t>
            </w:r>
            <w:r>
              <w:rPr>
                <w:lang w:eastAsia="en-US"/>
              </w:rPr>
              <w:t>158 083,54</w:t>
            </w:r>
            <w:r w:rsidRPr="00911E9A">
              <w:rPr>
                <w:lang w:eastAsia="en-US"/>
              </w:rPr>
              <w:t xml:space="preserve"> CHF /1.0</w:t>
            </w:r>
            <w:r>
              <w:rPr>
                <w:lang w:eastAsia="en-US"/>
              </w:rPr>
              <w:t xml:space="preserve">66 </w:t>
            </w:r>
            <w:r w:rsidR="00473F09">
              <w:rPr>
                <w:lang w:eastAsia="en-US"/>
              </w:rPr>
              <w:t>CHF</w:t>
            </w:r>
            <w:r w:rsidR="00473F09" w:rsidRPr="00911E9A">
              <w:rPr>
                <w:lang w:eastAsia="en-US"/>
              </w:rPr>
              <w:t xml:space="preserve"> </w:t>
            </w:r>
            <w:r w:rsidRPr="00911E9A">
              <w:rPr>
                <w:lang w:eastAsia="en-US"/>
              </w:rPr>
              <w:t xml:space="preserve">par 1 </w:t>
            </w:r>
            <w:r w:rsidR="00473F09">
              <w:rPr>
                <w:lang w:eastAsia="en-US"/>
              </w:rPr>
              <w:t>EUR</w:t>
            </w:r>
            <w:r w:rsidR="00473F09" w:rsidRPr="00911E9A">
              <w:rPr>
                <w:lang w:eastAsia="en-US"/>
              </w:rPr>
              <w:t xml:space="preserve"> </w:t>
            </w:r>
            <w:r w:rsidRPr="00911E9A">
              <w:rPr>
                <w:lang w:eastAsia="en-US"/>
              </w:rPr>
              <w:t>(Eiropas Centrālās bankas publicētais eiro atsauces valūtas kurss uz 1</w:t>
            </w:r>
            <w:r>
              <w:rPr>
                <w:lang w:eastAsia="en-US"/>
              </w:rPr>
              <w:t>7</w:t>
            </w:r>
            <w:r w:rsidRPr="00911E9A">
              <w:rPr>
                <w:lang w:eastAsia="en-US"/>
              </w:rPr>
              <w:t>.03.2015.)</w:t>
            </w:r>
            <w:r>
              <w:t xml:space="preserve">) likumā “Par valsts budžetu 2015.gadam” piešķirto līdzekļu apmērā, vienlaikus veidojot parādu </w:t>
            </w:r>
            <w:r w:rsidR="00CD3D05">
              <w:t>20 019,90</w:t>
            </w:r>
            <w:r w:rsidR="00871D15">
              <w:t xml:space="preserve"> </w:t>
            </w:r>
            <w:r>
              <w:t xml:space="preserve">EUR apmērā iemaksām par dalību SDO, </w:t>
            </w:r>
            <w:r w:rsidRPr="00911E9A">
              <w:rPr>
                <w:lang w:eastAsia="en-US"/>
              </w:rPr>
              <w:t>t.i.</w:t>
            </w:r>
            <w:r w:rsidRPr="00911E9A" w:rsidDel="00A414FC">
              <w:rPr>
                <w:lang w:eastAsia="en-US"/>
              </w:rPr>
              <w:t xml:space="preserve"> </w:t>
            </w:r>
            <w:r>
              <w:rPr>
                <w:lang w:eastAsia="en-US"/>
              </w:rPr>
              <w:t xml:space="preserve">20 586,46 </w:t>
            </w:r>
            <w:r w:rsidRPr="00911E9A">
              <w:rPr>
                <w:lang w:eastAsia="en-US"/>
              </w:rPr>
              <w:t>CHF /1.</w:t>
            </w:r>
            <w:r w:rsidR="00CD3D05" w:rsidRPr="00911E9A">
              <w:rPr>
                <w:lang w:eastAsia="en-US"/>
              </w:rPr>
              <w:t>0</w:t>
            </w:r>
            <w:r w:rsidR="00CD3D05">
              <w:rPr>
                <w:lang w:eastAsia="en-US"/>
              </w:rPr>
              <w:t>283</w:t>
            </w:r>
            <w:r w:rsidR="00CD3D05" w:rsidRPr="00911E9A">
              <w:rPr>
                <w:lang w:eastAsia="en-US"/>
              </w:rPr>
              <w:t xml:space="preserve"> </w:t>
            </w:r>
            <w:r w:rsidR="00473F09">
              <w:rPr>
                <w:lang w:eastAsia="en-US"/>
              </w:rPr>
              <w:t>CHF</w:t>
            </w:r>
            <w:r w:rsidR="00473F09" w:rsidRPr="00911E9A">
              <w:rPr>
                <w:lang w:eastAsia="en-US"/>
              </w:rPr>
              <w:t xml:space="preserve"> </w:t>
            </w:r>
            <w:r w:rsidRPr="00911E9A">
              <w:rPr>
                <w:lang w:eastAsia="en-US"/>
              </w:rPr>
              <w:t xml:space="preserve">par 1 </w:t>
            </w:r>
            <w:r w:rsidR="00473F09">
              <w:rPr>
                <w:lang w:eastAsia="en-US"/>
              </w:rPr>
              <w:t>EUR</w:t>
            </w:r>
            <w:r w:rsidR="00473F09" w:rsidRPr="00911E9A">
              <w:rPr>
                <w:lang w:eastAsia="en-US"/>
              </w:rPr>
              <w:t xml:space="preserve"> </w:t>
            </w:r>
            <w:r w:rsidRPr="00911E9A">
              <w:rPr>
                <w:lang w:eastAsia="en-US"/>
              </w:rPr>
              <w:t xml:space="preserve">(Eiropas Centrālās bankas publicētais eiro atsauces valūtas kurss uz </w:t>
            </w:r>
            <w:r w:rsidR="00CD3D05">
              <w:rPr>
                <w:lang w:eastAsia="en-US"/>
              </w:rPr>
              <w:t>20</w:t>
            </w:r>
            <w:r w:rsidRPr="00911E9A">
              <w:rPr>
                <w:lang w:eastAsia="en-US"/>
              </w:rPr>
              <w:t>.0</w:t>
            </w:r>
            <w:r w:rsidR="00451C27">
              <w:rPr>
                <w:lang w:eastAsia="en-US"/>
              </w:rPr>
              <w:t>4</w:t>
            </w:r>
            <w:r w:rsidRPr="00911E9A">
              <w:rPr>
                <w:lang w:eastAsia="en-US"/>
              </w:rPr>
              <w:t xml:space="preserve">.2015.) = </w:t>
            </w:r>
            <w:r w:rsidR="00CD3D05">
              <w:rPr>
                <w:lang w:eastAsia="en-US"/>
              </w:rPr>
              <w:t>20 019,90</w:t>
            </w:r>
            <w:r w:rsidR="00871D15">
              <w:rPr>
                <w:lang w:eastAsia="en-US"/>
              </w:rPr>
              <w:t xml:space="preserve"> </w:t>
            </w:r>
            <w:r>
              <w:rPr>
                <w:lang w:eastAsia="en-US"/>
              </w:rPr>
              <w:t>EUR</w:t>
            </w:r>
            <w:r w:rsidRPr="00911E9A">
              <w:rPr>
                <w:lang w:eastAsia="en-US"/>
              </w:rPr>
              <w:t>).</w:t>
            </w:r>
          </w:p>
          <w:p w:rsidR="00BB66B8" w:rsidRPr="00674007" w:rsidRDefault="00BB66B8" w:rsidP="00DE41FB">
            <w:pPr>
              <w:pStyle w:val="naiskr"/>
              <w:spacing w:before="0" w:after="0"/>
              <w:jc w:val="both"/>
              <w:rPr>
                <w:lang w:eastAsia="en-US"/>
              </w:rPr>
            </w:pPr>
            <w:r>
              <w:rPr>
                <w:color w:val="000000"/>
                <w:lang w:eastAsia="en-US"/>
              </w:rPr>
              <w:t xml:space="preserve">Šāds parāds ir izveidojies, jo </w:t>
            </w:r>
            <w:r w:rsidRPr="000F58C4">
              <w:rPr>
                <w:color w:val="000000"/>
                <w:lang w:eastAsia="en-US"/>
              </w:rPr>
              <w:t>Šveices centrālā banka 2015.gada 15.janvār</w:t>
            </w:r>
            <w:r>
              <w:rPr>
                <w:color w:val="000000"/>
                <w:lang w:eastAsia="en-US"/>
              </w:rPr>
              <w:t>ī</w:t>
            </w:r>
            <w:r w:rsidRPr="000F58C4">
              <w:rPr>
                <w:color w:val="000000"/>
                <w:lang w:eastAsia="en-US"/>
              </w:rPr>
              <w:t xml:space="preserve"> negaidīti pieņ</w:t>
            </w:r>
            <w:r>
              <w:rPr>
                <w:color w:val="000000"/>
                <w:lang w:eastAsia="en-US"/>
              </w:rPr>
              <w:t>ēma</w:t>
            </w:r>
            <w:r w:rsidRPr="000F58C4">
              <w:rPr>
                <w:color w:val="000000"/>
                <w:lang w:eastAsia="en-US"/>
              </w:rPr>
              <w:t xml:space="preserve"> lēmum</w:t>
            </w:r>
            <w:r>
              <w:rPr>
                <w:color w:val="000000"/>
                <w:lang w:eastAsia="en-US"/>
              </w:rPr>
              <w:t>u</w:t>
            </w:r>
            <w:r w:rsidRPr="000F58C4">
              <w:rPr>
                <w:color w:val="000000"/>
                <w:lang w:eastAsia="en-US"/>
              </w:rPr>
              <w:t xml:space="preserve"> likvidēt CHF </w:t>
            </w:r>
            <w:r>
              <w:rPr>
                <w:color w:val="000000"/>
                <w:lang w:eastAsia="en-US"/>
              </w:rPr>
              <w:t>maksimālo apmēru</w:t>
            </w:r>
            <w:r w:rsidRPr="000F58C4">
              <w:rPr>
                <w:color w:val="000000"/>
                <w:lang w:eastAsia="en-US"/>
              </w:rPr>
              <w:t xml:space="preserve"> attiecībā pret EUR, atsakoties no minimālā sliekšņa uz valūtu pāra EUR/CHF, kas bija uz līmeņa 1,2000</w:t>
            </w:r>
            <w:r>
              <w:rPr>
                <w:color w:val="000000"/>
                <w:lang w:eastAsia="en-US"/>
              </w:rPr>
              <w:t>. Savukārt l</w:t>
            </w:r>
            <w:r w:rsidRPr="000F58C4">
              <w:rPr>
                <w:color w:val="000000"/>
                <w:lang w:eastAsia="en-US"/>
              </w:rPr>
              <w:t xml:space="preserve">ikumā “Par valsts budžetu 2015.gadam” finansējums iemaksu veikšanai SDO </w:t>
            </w:r>
            <w:r>
              <w:rPr>
                <w:color w:val="000000"/>
                <w:lang w:eastAsia="en-US"/>
              </w:rPr>
              <w:t xml:space="preserve">bija </w:t>
            </w:r>
            <w:r w:rsidRPr="000F58C4">
              <w:rPr>
                <w:color w:val="000000"/>
                <w:lang w:eastAsia="en-US"/>
              </w:rPr>
              <w:t xml:space="preserve">iestrādāts pēc Finanšu ministrijas 2015.gada budžeta sagatavošanas procesā noteiktā valūtas </w:t>
            </w:r>
            <w:r w:rsidRPr="00674007">
              <w:rPr>
                <w:lang w:eastAsia="en-US"/>
              </w:rPr>
              <w:t>maiņas kursa prognozes 0.83 EUR par vienu CHF.</w:t>
            </w:r>
          </w:p>
          <w:p w:rsidR="00BB66B8" w:rsidRPr="00674007" w:rsidRDefault="00BB66B8" w:rsidP="00DE41FB">
            <w:pPr>
              <w:pStyle w:val="naiskr"/>
              <w:spacing w:before="0" w:after="0"/>
              <w:jc w:val="both"/>
              <w:rPr>
                <w:lang w:eastAsia="en-US"/>
              </w:rPr>
            </w:pPr>
            <w:r w:rsidRPr="00674007">
              <w:rPr>
                <w:lang w:eastAsia="en-US"/>
              </w:rPr>
              <w:lastRenderedPageBreak/>
              <w:t xml:space="preserve">Būtiski uzsvērt, ka atbilstoši SDO konstitūcijas 13.panta 4.punktam SDO dalībvalstīm, kurām ir parādsaistības to dalības maksās, var tikt atņemtas balsstiesības SDO organizētajā Starptautiskajā darba konferencē (turpmāk – konferencē), kas liegtu iespēju Latvijas deleģētajiem pārstāvjiem pilnvērtīgi piedalīties konferences darbā. </w:t>
            </w:r>
          </w:p>
          <w:p w:rsidR="00BB66B8" w:rsidRPr="00D26831" w:rsidRDefault="00BB66B8" w:rsidP="00D26831">
            <w:pPr>
              <w:pStyle w:val="naiskr"/>
              <w:spacing w:before="0" w:after="0"/>
              <w:jc w:val="both"/>
              <w:rPr>
                <w:color w:val="000000"/>
              </w:rPr>
            </w:pPr>
            <w:r>
              <w:rPr>
                <w:color w:val="000000"/>
              </w:rPr>
              <w:t>Konference</w:t>
            </w:r>
            <w:r w:rsidRPr="009C4533">
              <w:rPr>
                <w:color w:val="000000"/>
              </w:rPr>
              <w:t xml:space="preserve"> ir galvenais vispasaules diskusiju forums darba </w:t>
            </w:r>
            <w:r>
              <w:rPr>
                <w:color w:val="000000"/>
              </w:rPr>
              <w:t xml:space="preserve">jomā. Sesijā tiek izstrādāti un balsojot </w:t>
            </w:r>
            <w:r w:rsidRPr="009C4533">
              <w:rPr>
                <w:color w:val="000000"/>
              </w:rPr>
              <w:t>pieņemti starptautiskie darba standarti</w:t>
            </w:r>
            <w:r>
              <w:rPr>
                <w:color w:val="000000"/>
              </w:rPr>
              <w:t>,</w:t>
            </w:r>
            <w:r w:rsidRPr="009C4533">
              <w:rPr>
                <w:color w:val="000000"/>
              </w:rPr>
              <w:t xml:space="preserve"> un diskutēti darba jomas politikas jautājumi. </w:t>
            </w:r>
          </w:p>
          <w:p w:rsidR="00BB66B8" w:rsidRPr="009C4533" w:rsidRDefault="00BB66B8" w:rsidP="007551AA">
            <w:pPr>
              <w:jc w:val="both"/>
              <w:rPr>
                <w:rStyle w:val="HTMLTypewriter"/>
                <w:rFonts w:ascii="Times New Roman" w:hAnsi="Times New Roman" w:cs="Times New Roman"/>
                <w:color w:val="000000"/>
                <w:sz w:val="24"/>
                <w:szCs w:val="24"/>
              </w:rPr>
            </w:pPr>
            <w:r>
              <w:rPr>
                <w:color w:val="000000"/>
              </w:rPr>
              <w:t xml:space="preserve">Vienlaikus </w:t>
            </w:r>
            <w:r>
              <w:rPr>
                <w:rStyle w:val="HTMLTypewriter"/>
                <w:rFonts w:ascii="Times New Roman" w:hAnsi="Times New Roman" w:cs="Times New Roman"/>
                <w:color w:val="000000"/>
                <w:sz w:val="24"/>
                <w:szCs w:val="24"/>
              </w:rPr>
              <w:t>k</w:t>
            </w:r>
            <w:r w:rsidRPr="009C4533">
              <w:rPr>
                <w:rStyle w:val="HTMLTypewriter"/>
                <w:rFonts w:ascii="Times New Roman" w:hAnsi="Times New Roman" w:cs="Times New Roman"/>
                <w:color w:val="000000"/>
                <w:sz w:val="24"/>
                <w:szCs w:val="24"/>
              </w:rPr>
              <w:t>onferences laikā Latvijai kā prezidējošajai valstij Eiropas Savienības Padomē būs jākoordinē Eiropas Savienības</w:t>
            </w:r>
            <w:r w:rsidRPr="009C4533">
              <w:rPr>
                <w:color w:val="000000"/>
              </w:rPr>
              <w:t xml:space="preserve"> </w:t>
            </w:r>
            <w:r w:rsidRPr="009C4533">
              <w:rPr>
                <w:rStyle w:val="HTMLTypewriter"/>
                <w:rFonts w:ascii="Times New Roman" w:hAnsi="Times New Roman" w:cs="Times New Roman"/>
                <w:color w:val="000000"/>
                <w:sz w:val="24"/>
                <w:szCs w:val="24"/>
              </w:rPr>
              <w:t>pozīcijas izstrādāšana un pārstāvēšana vairākās konferences komitejās</w:t>
            </w:r>
            <w:r>
              <w:rPr>
                <w:rStyle w:val="HTMLTypewriter"/>
                <w:rFonts w:ascii="Times New Roman" w:hAnsi="Times New Roman" w:cs="Times New Roman"/>
                <w:color w:val="000000"/>
                <w:sz w:val="24"/>
                <w:szCs w:val="24"/>
              </w:rPr>
              <w:t>.</w:t>
            </w:r>
          </w:p>
          <w:p w:rsidR="00BB66B8" w:rsidRDefault="00BB66B8" w:rsidP="00820C28">
            <w:pPr>
              <w:jc w:val="both"/>
              <w:rPr>
                <w:rStyle w:val="HTMLTypewriter"/>
                <w:rFonts w:ascii="Times New Roman" w:hAnsi="Times New Roman" w:cs="Times New Roman"/>
                <w:color w:val="000000"/>
                <w:sz w:val="24"/>
                <w:szCs w:val="24"/>
              </w:rPr>
            </w:pPr>
            <w:r w:rsidRPr="009C4533">
              <w:rPr>
                <w:rStyle w:val="HTMLTypewriter"/>
                <w:rFonts w:ascii="Times New Roman" w:hAnsi="Times New Roman" w:cs="Times New Roman"/>
                <w:color w:val="000000"/>
                <w:sz w:val="24"/>
                <w:szCs w:val="24"/>
              </w:rPr>
              <w:t>Latvija kā Eiropas Savienības Padomē prezidējošā valsts SDO laikā rīkos arī neformālo ministru sanāksmi par darba aizsardzības normatīvo standartu labāku piemērošanu mazos un mikro uzņēmumos. Sanāksmi vadīs labklājības ministrs, un sanāksmē piedalīsies deviņi citu SDO dalībvalstu ministri, SDO ģenerāldirektors Gajs Raiders, Eiropas Komisijas Nodarbinātības, sociālo lietu, prasmju un darbaspēka mobilitātes komisāre Marianna Taisena, kā arī Starptautiskās Arodbiedrību konfederācijas un Starptautiskās Darba devēju organizācijas pārstāvji.</w:t>
            </w:r>
          </w:p>
          <w:p w:rsidR="00BB66B8" w:rsidRPr="00820C28" w:rsidRDefault="00BB66B8" w:rsidP="00820C28">
            <w:pPr>
              <w:jc w:val="both"/>
              <w:rPr>
                <w:color w:val="000000"/>
              </w:rPr>
            </w:pPr>
            <w:r w:rsidRPr="009C4533">
              <w:rPr>
                <w:color w:val="000000"/>
              </w:rPr>
              <w:t>Papildu</w:t>
            </w:r>
            <w:r>
              <w:rPr>
                <w:color w:val="000000"/>
              </w:rPr>
              <w:t>s</w:t>
            </w:r>
            <w:r w:rsidRPr="009C4533">
              <w:rPr>
                <w:color w:val="000000"/>
              </w:rPr>
              <w:t xml:space="preserve"> tam šī gada konferences prezidenta amatā ir apstiprināta Labklājības ministrijas valsts sekretāre I.Jaunzeme. Konferences prezidenta pienākumu veikšana ir liels gods, kas apliecina Latvijas un I.Jaunzemes profesionalitāti un ieguldījuma SDO mērķu īstenošanā augsto novērtējumu. Latvijas pārstāvja atrašanās konferences prezidenta amatā sniegs nozīmīgu ieguldījumu Latvijas kā Eiropas Savienības Padomē prezidējošās valsts atpazīstamībai un sniegs ievērojamu praktisku atbalstu tās pienākumu īstenošanā konferences laikā.</w:t>
            </w:r>
          </w:p>
          <w:p w:rsidR="00BB66B8" w:rsidRPr="00A2763D" w:rsidRDefault="00BB66B8" w:rsidP="007B410B">
            <w:pPr>
              <w:autoSpaceDE w:val="0"/>
              <w:autoSpaceDN w:val="0"/>
              <w:adjustRightInd w:val="0"/>
              <w:jc w:val="both"/>
              <w:rPr>
                <w:lang w:eastAsia="en-US"/>
              </w:rPr>
            </w:pPr>
            <w:r>
              <w:rPr>
                <w:lang w:eastAsia="en-US"/>
              </w:rPr>
              <w:t>Tādējādi</w:t>
            </w:r>
            <w:r w:rsidRPr="00AA0C45">
              <w:t xml:space="preserve"> </w:t>
            </w:r>
            <w:r>
              <w:t>balsstiesību zaudēšanas risks būtu</w:t>
            </w:r>
            <w:r>
              <w:rPr>
                <w:lang w:eastAsia="en-US"/>
              </w:rPr>
              <w:t xml:space="preserve"> jo īpaši nepatīkams Latvijai kā prezidējošai valstij Eiropas Savienības Padomē un valstij, kuras pārstāvis ir šī gada konferences sesijas prezidents.</w:t>
            </w:r>
          </w:p>
          <w:p w:rsidR="00BB66B8" w:rsidRPr="009C4533" w:rsidRDefault="00BB66B8" w:rsidP="00D36A05">
            <w:pPr>
              <w:jc w:val="both"/>
              <w:rPr>
                <w:color w:val="000000"/>
              </w:rPr>
            </w:pPr>
          </w:p>
          <w:p w:rsidR="00BB66B8" w:rsidRPr="000E0386" w:rsidRDefault="00BB66B8" w:rsidP="000E0386">
            <w:pPr>
              <w:jc w:val="both"/>
            </w:pPr>
            <w:r w:rsidRPr="009C4533">
              <w:rPr>
                <w:color w:val="000000"/>
              </w:rPr>
              <w:t>Ar šo rīkojuma projektu</w:t>
            </w:r>
            <w:r>
              <w:rPr>
                <w:color w:val="000000"/>
              </w:rPr>
              <w:t xml:space="preserve"> tiks nodrošināts nepieciešamais finansējums </w:t>
            </w:r>
            <w:r>
              <w:t>Latvijas iemaksas</w:t>
            </w:r>
            <w:r w:rsidRPr="00EC74E3">
              <w:t xml:space="preserve"> </w:t>
            </w:r>
            <w:r>
              <w:t>SDO</w:t>
            </w:r>
            <w:r w:rsidRPr="00EC74E3">
              <w:t xml:space="preserve"> </w:t>
            </w:r>
            <w:r>
              <w:t xml:space="preserve">veikšanai par </w:t>
            </w:r>
            <w:r w:rsidRPr="00EC74E3">
              <w:t>2015.gad</w:t>
            </w:r>
            <w:r>
              <w:t>u</w:t>
            </w:r>
            <w:r w:rsidRPr="00EC74E3">
              <w:t xml:space="preserve"> pilnā apmērā.</w:t>
            </w:r>
            <w:r w:rsidRPr="007B410B">
              <w:t xml:space="preserve"> </w:t>
            </w:r>
          </w:p>
        </w:tc>
      </w:tr>
      <w:tr w:rsidR="00BB66B8" w:rsidRPr="007C0F2C" w:rsidTr="00C2003E">
        <w:trPr>
          <w:trHeight w:val="1071"/>
        </w:trPr>
        <w:tc>
          <w:tcPr>
            <w:tcW w:w="403" w:type="dxa"/>
          </w:tcPr>
          <w:p w:rsidR="00BB66B8" w:rsidRPr="007B11D2" w:rsidRDefault="00BB66B8" w:rsidP="00954594">
            <w:pPr>
              <w:pStyle w:val="naiskr"/>
              <w:spacing w:before="0" w:after="0"/>
            </w:pPr>
            <w:r>
              <w:lastRenderedPageBreak/>
              <w:t xml:space="preserve"> </w:t>
            </w:r>
            <w:r w:rsidRPr="007B11D2">
              <w:t>3.</w:t>
            </w:r>
          </w:p>
        </w:tc>
        <w:tc>
          <w:tcPr>
            <w:tcW w:w="3295" w:type="dxa"/>
          </w:tcPr>
          <w:p w:rsidR="00BB66B8" w:rsidRPr="007B11D2" w:rsidRDefault="00BB66B8" w:rsidP="00954594">
            <w:pPr>
              <w:pStyle w:val="naiskr"/>
              <w:spacing w:before="0" w:after="0"/>
            </w:pPr>
            <w:r w:rsidRPr="009C4533">
              <w:rPr>
                <w:color w:val="000000"/>
              </w:rPr>
              <w:t>Projekta izstrādē iesaistītās institūcijas</w:t>
            </w:r>
          </w:p>
        </w:tc>
        <w:tc>
          <w:tcPr>
            <w:tcW w:w="5941" w:type="dxa"/>
          </w:tcPr>
          <w:p w:rsidR="00BB66B8" w:rsidRPr="00B9092F" w:rsidRDefault="00BB66B8" w:rsidP="00954594">
            <w:pPr>
              <w:pStyle w:val="FootnoteText"/>
              <w:rPr>
                <w:sz w:val="24"/>
                <w:szCs w:val="24"/>
              </w:rPr>
            </w:pPr>
            <w:r>
              <w:rPr>
                <w:sz w:val="24"/>
                <w:szCs w:val="24"/>
              </w:rPr>
              <w:t>Nav</w:t>
            </w:r>
          </w:p>
        </w:tc>
      </w:tr>
      <w:tr w:rsidR="00BB66B8" w:rsidRPr="007C0F2C" w:rsidTr="00C2003E">
        <w:trPr>
          <w:trHeight w:val="384"/>
        </w:trPr>
        <w:tc>
          <w:tcPr>
            <w:tcW w:w="403" w:type="dxa"/>
          </w:tcPr>
          <w:p w:rsidR="00BB66B8" w:rsidRPr="007B11D2" w:rsidRDefault="00BB66B8" w:rsidP="00954594">
            <w:pPr>
              <w:pStyle w:val="naiskr"/>
              <w:spacing w:before="0" w:after="0"/>
            </w:pPr>
            <w:r>
              <w:t xml:space="preserve"> </w:t>
            </w:r>
            <w:r w:rsidRPr="007B11D2">
              <w:t>4.</w:t>
            </w:r>
          </w:p>
        </w:tc>
        <w:tc>
          <w:tcPr>
            <w:tcW w:w="3295" w:type="dxa"/>
          </w:tcPr>
          <w:p w:rsidR="00BB66B8" w:rsidRPr="007B11D2" w:rsidRDefault="00BB66B8" w:rsidP="00954594">
            <w:pPr>
              <w:pStyle w:val="naiskr"/>
              <w:spacing w:before="0" w:after="0"/>
            </w:pPr>
            <w:r w:rsidRPr="009C4533">
              <w:rPr>
                <w:color w:val="000000"/>
              </w:rPr>
              <w:t>Cita informācija</w:t>
            </w:r>
          </w:p>
        </w:tc>
        <w:tc>
          <w:tcPr>
            <w:tcW w:w="5941" w:type="dxa"/>
          </w:tcPr>
          <w:p w:rsidR="00BB66B8" w:rsidRPr="00C62918" w:rsidRDefault="00BB66B8" w:rsidP="00674007">
            <w:pPr>
              <w:pStyle w:val="naiskr"/>
              <w:spacing w:before="0" w:after="0"/>
              <w:jc w:val="both"/>
              <w:rPr>
                <w:lang w:eastAsia="en-US"/>
              </w:rPr>
            </w:pPr>
            <w:r>
              <w:rPr>
                <w:lang w:eastAsia="en-US"/>
              </w:rPr>
              <w:t>Latvijas delegācijas sastāvs tiks noteikts ar Ministru kabineta rīkojumu par delegācijas sastāvu</w:t>
            </w:r>
            <w:r>
              <w:rPr>
                <w:color w:val="000000"/>
                <w:lang w:eastAsia="en-US"/>
              </w:rPr>
              <w:t>, un delegācijas sastāvā tiks iekļauti darba devēju un darbinieku organizāciju (Latvijas Brīvo arodbiedrību savienības un Latvijas Darba devēju konfederācijas), kā arī valdības puses deleģētie pārstāvji.</w:t>
            </w:r>
            <w:r>
              <w:rPr>
                <w:lang w:eastAsia="en-US"/>
              </w:rPr>
              <w:t xml:space="preserve"> Līdz ar to </w:t>
            </w:r>
            <w:r w:rsidRPr="00C62918">
              <w:rPr>
                <w:lang w:eastAsia="en-US"/>
              </w:rPr>
              <w:t xml:space="preserve">Labklājības ministrija vienlaikus ar šo rīkojuma projektu virzīs izskatīšanai Ministru kabinetā rīkojuma projektu </w:t>
            </w:r>
            <w:r w:rsidRPr="00C62918">
              <w:t>“Par Latvijas Republikas delegāciju dalībai Starptautiskā darba konferences 104.sesijā Ženēvā”</w:t>
            </w:r>
            <w:r>
              <w:t xml:space="preserve"> (izsludināts Valsts sekretāru sanāksmē 2015.gada 26.martā (VSS-269)). </w:t>
            </w:r>
          </w:p>
        </w:tc>
      </w:tr>
    </w:tbl>
    <w:p w:rsidR="00BB66B8" w:rsidRDefault="00BB66B8" w:rsidP="00410131">
      <w:pPr>
        <w:pStyle w:val="naisf"/>
        <w:spacing w:before="0" w:after="0"/>
        <w:ind w:firstLine="0"/>
      </w:pPr>
    </w:p>
    <w:p w:rsidR="00BB66B8" w:rsidRPr="007C0F2C" w:rsidRDefault="00BB66B8" w:rsidP="006C4607">
      <w:pPr>
        <w:pStyle w:val="naisf"/>
        <w:spacing w:before="0" w:after="0"/>
      </w:pPr>
    </w:p>
    <w:tbl>
      <w:tblPr>
        <w:tblW w:w="9781" w:type="dxa"/>
        <w:tblInd w:w="-1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0A0" w:firstRow="1" w:lastRow="0" w:firstColumn="1" w:lastColumn="0" w:noHBand="0" w:noVBand="0"/>
      </w:tblPr>
      <w:tblGrid>
        <w:gridCol w:w="2518"/>
        <w:gridCol w:w="1649"/>
        <w:gridCol w:w="1919"/>
        <w:gridCol w:w="1204"/>
        <w:gridCol w:w="1199"/>
        <w:gridCol w:w="11"/>
        <w:gridCol w:w="1281"/>
      </w:tblGrid>
      <w:tr w:rsidR="00BB66B8" w:rsidRPr="00DC1722" w:rsidTr="00C2003E">
        <w:trPr>
          <w:trHeight w:val="261"/>
        </w:trPr>
        <w:tc>
          <w:tcPr>
            <w:tcW w:w="9781" w:type="dxa"/>
            <w:gridSpan w:val="7"/>
            <w:tcBorders>
              <w:top w:val="outset" w:sz="6" w:space="0" w:color="auto"/>
            </w:tcBorders>
            <w:vAlign w:val="center"/>
          </w:tcPr>
          <w:p w:rsidR="00BB66B8" w:rsidRPr="0079561D" w:rsidRDefault="00BB66B8" w:rsidP="00AC704C">
            <w:pPr>
              <w:jc w:val="center"/>
              <w:rPr>
                <w:b/>
                <w:bCs/>
              </w:rPr>
            </w:pPr>
            <w:r w:rsidRPr="0079561D">
              <w:rPr>
                <w:b/>
                <w:bCs/>
              </w:rPr>
              <w:br w:type="page"/>
            </w:r>
            <w:r w:rsidRPr="000F58C4">
              <w:rPr>
                <w:b/>
                <w:bCs/>
              </w:rPr>
              <w:t>III. Tiesību akta projekta ietekme uz valsts budžetu un pašvaldību budžetiem</w:t>
            </w:r>
          </w:p>
        </w:tc>
      </w:tr>
      <w:tr w:rsidR="00BB66B8" w:rsidRPr="00DC1722" w:rsidTr="00C20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518" w:type="dxa"/>
            <w:vMerge w:val="restart"/>
            <w:vAlign w:val="center"/>
          </w:tcPr>
          <w:p w:rsidR="00BB66B8" w:rsidRPr="00DC1722" w:rsidRDefault="00BB66B8" w:rsidP="007C7975">
            <w:pPr>
              <w:jc w:val="center"/>
            </w:pPr>
            <w:r w:rsidRPr="00701734">
              <w:rPr>
                <w:b/>
                <w:bCs/>
              </w:rPr>
              <w:t>Rādītāji</w:t>
            </w:r>
          </w:p>
        </w:tc>
        <w:tc>
          <w:tcPr>
            <w:tcW w:w="3568" w:type="dxa"/>
            <w:gridSpan w:val="2"/>
            <w:vMerge w:val="restart"/>
            <w:vAlign w:val="center"/>
          </w:tcPr>
          <w:p w:rsidR="00BB66B8" w:rsidRPr="00DC1722" w:rsidRDefault="00BB66B8" w:rsidP="007C7975">
            <w:pPr>
              <w:jc w:val="center"/>
            </w:pPr>
            <w:r w:rsidRPr="00701734">
              <w:rPr>
                <w:b/>
                <w:bCs/>
              </w:rPr>
              <w:t>201</w:t>
            </w:r>
            <w:r>
              <w:rPr>
                <w:b/>
                <w:bCs/>
              </w:rPr>
              <w:t>5</w:t>
            </w:r>
          </w:p>
        </w:tc>
        <w:tc>
          <w:tcPr>
            <w:tcW w:w="3695" w:type="dxa"/>
            <w:gridSpan w:val="4"/>
            <w:vAlign w:val="center"/>
          </w:tcPr>
          <w:p w:rsidR="00BB66B8" w:rsidRPr="00DC1722" w:rsidRDefault="00BB66B8" w:rsidP="007C7975">
            <w:pPr>
              <w:jc w:val="center"/>
            </w:pPr>
            <w:r w:rsidRPr="00DC1722">
              <w:t>Turpmākie trīs gadi</w:t>
            </w:r>
            <w:r>
              <w:t xml:space="preserve"> </w:t>
            </w:r>
            <w:r w:rsidRPr="00DC1722">
              <w:t>(</w:t>
            </w:r>
            <w:r w:rsidRPr="00993FEB">
              <w:rPr>
                <w:i/>
                <w:iCs/>
              </w:rPr>
              <w:t>euro</w:t>
            </w:r>
            <w:r w:rsidRPr="00DC1722">
              <w:t>)</w:t>
            </w:r>
          </w:p>
        </w:tc>
      </w:tr>
      <w:tr w:rsidR="00BB66B8" w:rsidRPr="00701734" w:rsidTr="00C20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518" w:type="dxa"/>
            <w:vMerge/>
          </w:tcPr>
          <w:p w:rsidR="00BB66B8" w:rsidRPr="00DC1722" w:rsidRDefault="00BB66B8" w:rsidP="007C7975">
            <w:pPr>
              <w:jc w:val="center"/>
            </w:pPr>
          </w:p>
        </w:tc>
        <w:tc>
          <w:tcPr>
            <w:tcW w:w="3568" w:type="dxa"/>
            <w:gridSpan w:val="2"/>
            <w:vMerge/>
          </w:tcPr>
          <w:p w:rsidR="00BB66B8" w:rsidRPr="00701734" w:rsidRDefault="00BB66B8" w:rsidP="007C7975">
            <w:pPr>
              <w:jc w:val="center"/>
              <w:rPr>
                <w:b/>
                <w:bCs/>
              </w:rPr>
            </w:pPr>
          </w:p>
        </w:tc>
        <w:tc>
          <w:tcPr>
            <w:tcW w:w="1204" w:type="dxa"/>
            <w:vAlign w:val="bottom"/>
          </w:tcPr>
          <w:p w:rsidR="00BB66B8" w:rsidRPr="00701734" w:rsidRDefault="00BB66B8" w:rsidP="007C7975">
            <w:pPr>
              <w:pStyle w:val="naisf"/>
              <w:spacing w:before="0" w:after="0"/>
              <w:ind w:firstLine="0"/>
              <w:jc w:val="center"/>
              <w:rPr>
                <w:b/>
                <w:bCs/>
                <w:i/>
                <w:iCs/>
              </w:rPr>
            </w:pPr>
            <w:r w:rsidRPr="00701734">
              <w:rPr>
                <w:b/>
                <w:bCs/>
              </w:rPr>
              <w:t>201</w:t>
            </w:r>
            <w:r>
              <w:rPr>
                <w:b/>
                <w:bCs/>
              </w:rPr>
              <w:t>6</w:t>
            </w:r>
          </w:p>
        </w:tc>
        <w:tc>
          <w:tcPr>
            <w:tcW w:w="1210" w:type="dxa"/>
            <w:gridSpan w:val="2"/>
            <w:vAlign w:val="bottom"/>
          </w:tcPr>
          <w:p w:rsidR="00BB66B8" w:rsidRPr="00701734" w:rsidRDefault="00BB66B8" w:rsidP="007C7975">
            <w:pPr>
              <w:pStyle w:val="naisf"/>
              <w:spacing w:before="0" w:after="0"/>
              <w:ind w:firstLine="0"/>
              <w:jc w:val="center"/>
              <w:rPr>
                <w:b/>
                <w:bCs/>
                <w:i/>
                <w:iCs/>
              </w:rPr>
            </w:pPr>
            <w:r w:rsidRPr="00701734">
              <w:rPr>
                <w:b/>
                <w:bCs/>
              </w:rPr>
              <w:t>201</w:t>
            </w:r>
            <w:r>
              <w:rPr>
                <w:b/>
                <w:bCs/>
              </w:rPr>
              <w:t>7</w:t>
            </w:r>
          </w:p>
        </w:tc>
        <w:tc>
          <w:tcPr>
            <w:tcW w:w="1281" w:type="dxa"/>
            <w:vAlign w:val="bottom"/>
          </w:tcPr>
          <w:p w:rsidR="00BB66B8" w:rsidRPr="00701734" w:rsidRDefault="00BB66B8" w:rsidP="007C7975">
            <w:pPr>
              <w:pStyle w:val="naisf"/>
              <w:spacing w:before="0" w:after="0"/>
              <w:ind w:firstLine="0"/>
              <w:jc w:val="center"/>
              <w:rPr>
                <w:b/>
                <w:bCs/>
                <w:i/>
                <w:iCs/>
              </w:rPr>
            </w:pPr>
            <w:r w:rsidRPr="00701734">
              <w:rPr>
                <w:b/>
                <w:bCs/>
              </w:rPr>
              <w:t>201</w:t>
            </w:r>
            <w:r>
              <w:rPr>
                <w:b/>
                <w:bCs/>
              </w:rPr>
              <w:t>8</w:t>
            </w:r>
          </w:p>
        </w:tc>
      </w:tr>
      <w:tr w:rsidR="00BB66B8" w:rsidRPr="00DC1722" w:rsidTr="00C20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518" w:type="dxa"/>
            <w:vMerge/>
            <w:vAlign w:val="bottom"/>
          </w:tcPr>
          <w:p w:rsidR="00BB66B8" w:rsidRPr="00DC1722" w:rsidRDefault="00BB66B8" w:rsidP="007C7975">
            <w:pPr>
              <w:jc w:val="center"/>
            </w:pPr>
          </w:p>
        </w:tc>
        <w:tc>
          <w:tcPr>
            <w:tcW w:w="1649" w:type="dxa"/>
            <w:vAlign w:val="bottom"/>
          </w:tcPr>
          <w:p w:rsidR="00BB66B8" w:rsidRPr="009C4533" w:rsidRDefault="00BB66B8" w:rsidP="007C7975">
            <w:pPr>
              <w:jc w:val="center"/>
              <w:rPr>
                <w:color w:val="000000"/>
              </w:rPr>
            </w:pPr>
            <w:r w:rsidRPr="009C4533">
              <w:rPr>
                <w:color w:val="000000"/>
              </w:rPr>
              <w:t>saskaņā ar valsts budžetu kārtējam gadam</w:t>
            </w:r>
          </w:p>
        </w:tc>
        <w:tc>
          <w:tcPr>
            <w:tcW w:w="1919" w:type="dxa"/>
            <w:vAlign w:val="bottom"/>
          </w:tcPr>
          <w:p w:rsidR="00BB66B8" w:rsidRPr="009C4533" w:rsidRDefault="00BB66B8" w:rsidP="007C7975">
            <w:pPr>
              <w:jc w:val="center"/>
              <w:rPr>
                <w:color w:val="000000"/>
              </w:rPr>
            </w:pPr>
            <w:r w:rsidRPr="009C4533">
              <w:rPr>
                <w:color w:val="000000"/>
              </w:rPr>
              <w:t>izmaiņas kārtējā gadā salīdzinot ar budžetu kārtējam gadam</w:t>
            </w:r>
          </w:p>
        </w:tc>
        <w:tc>
          <w:tcPr>
            <w:tcW w:w="1204" w:type="dxa"/>
            <w:vAlign w:val="bottom"/>
          </w:tcPr>
          <w:p w:rsidR="00BB66B8" w:rsidRPr="009C4533" w:rsidRDefault="00BB66B8" w:rsidP="007C7975">
            <w:pPr>
              <w:jc w:val="center"/>
              <w:rPr>
                <w:color w:val="000000"/>
              </w:rPr>
            </w:pPr>
            <w:r w:rsidRPr="009C4533">
              <w:rPr>
                <w:color w:val="000000"/>
              </w:rPr>
              <w:t>izmaiņas salīdzinot ar kārtējo (n) gadu</w:t>
            </w:r>
          </w:p>
        </w:tc>
        <w:tc>
          <w:tcPr>
            <w:tcW w:w="1210" w:type="dxa"/>
            <w:gridSpan w:val="2"/>
            <w:vAlign w:val="bottom"/>
          </w:tcPr>
          <w:p w:rsidR="00BB66B8" w:rsidRPr="009C4533" w:rsidRDefault="00BB66B8" w:rsidP="007C7975">
            <w:pPr>
              <w:jc w:val="center"/>
              <w:rPr>
                <w:color w:val="000000"/>
              </w:rPr>
            </w:pPr>
            <w:r w:rsidRPr="009C4533">
              <w:rPr>
                <w:color w:val="000000"/>
              </w:rPr>
              <w:t>izmaiņas salīdzinot ar kārtējo (n) gadu</w:t>
            </w:r>
          </w:p>
        </w:tc>
        <w:tc>
          <w:tcPr>
            <w:tcW w:w="1281" w:type="dxa"/>
            <w:vAlign w:val="bottom"/>
          </w:tcPr>
          <w:p w:rsidR="00BB66B8" w:rsidRPr="009C4533" w:rsidRDefault="00BB66B8" w:rsidP="007C7975">
            <w:pPr>
              <w:jc w:val="center"/>
              <w:rPr>
                <w:color w:val="000000"/>
              </w:rPr>
            </w:pPr>
            <w:r w:rsidRPr="009C4533">
              <w:rPr>
                <w:color w:val="000000"/>
              </w:rPr>
              <w:t>izmaiņas salīdzinot ar kārtējo (n) gadu</w:t>
            </w:r>
          </w:p>
        </w:tc>
      </w:tr>
      <w:tr w:rsidR="00BB66B8" w:rsidRPr="00701734" w:rsidTr="00C20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518" w:type="dxa"/>
          </w:tcPr>
          <w:p w:rsidR="00BB66B8" w:rsidRPr="00993FEB" w:rsidRDefault="00BB66B8" w:rsidP="007C7975">
            <w:pPr>
              <w:pStyle w:val="naisf"/>
              <w:spacing w:before="0" w:after="0"/>
              <w:ind w:firstLine="0"/>
              <w:jc w:val="center"/>
            </w:pPr>
            <w:r w:rsidRPr="00993FEB">
              <w:t>1</w:t>
            </w:r>
          </w:p>
        </w:tc>
        <w:tc>
          <w:tcPr>
            <w:tcW w:w="1649" w:type="dxa"/>
          </w:tcPr>
          <w:p w:rsidR="00BB66B8" w:rsidRPr="009C4533" w:rsidRDefault="00BB66B8" w:rsidP="007C7975">
            <w:pPr>
              <w:pStyle w:val="naisf"/>
              <w:spacing w:before="0" w:after="0"/>
              <w:ind w:firstLine="0"/>
              <w:jc w:val="center"/>
              <w:rPr>
                <w:color w:val="000000"/>
              </w:rPr>
            </w:pPr>
            <w:r w:rsidRPr="009C4533">
              <w:rPr>
                <w:color w:val="000000"/>
              </w:rPr>
              <w:t>2</w:t>
            </w:r>
          </w:p>
        </w:tc>
        <w:tc>
          <w:tcPr>
            <w:tcW w:w="1919" w:type="dxa"/>
          </w:tcPr>
          <w:p w:rsidR="00BB66B8" w:rsidRPr="00993FEB" w:rsidRDefault="00BB66B8" w:rsidP="007C7975">
            <w:pPr>
              <w:pStyle w:val="naisf"/>
              <w:spacing w:before="0" w:after="0"/>
              <w:ind w:firstLine="0"/>
              <w:jc w:val="center"/>
            </w:pPr>
            <w:r w:rsidRPr="00993FEB">
              <w:t>3</w:t>
            </w:r>
          </w:p>
        </w:tc>
        <w:tc>
          <w:tcPr>
            <w:tcW w:w="1204" w:type="dxa"/>
          </w:tcPr>
          <w:p w:rsidR="00BB66B8" w:rsidRPr="00993FEB" w:rsidRDefault="00BB66B8" w:rsidP="007C7975">
            <w:pPr>
              <w:pStyle w:val="naisf"/>
              <w:spacing w:before="0" w:after="0"/>
              <w:ind w:firstLine="0"/>
              <w:jc w:val="center"/>
            </w:pPr>
            <w:r w:rsidRPr="00993FEB">
              <w:t>4</w:t>
            </w:r>
          </w:p>
        </w:tc>
        <w:tc>
          <w:tcPr>
            <w:tcW w:w="1210" w:type="dxa"/>
            <w:gridSpan w:val="2"/>
          </w:tcPr>
          <w:p w:rsidR="00BB66B8" w:rsidRPr="00993FEB" w:rsidRDefault="00BB66B8" w:rsidP="007C7975">
            <w:pPr>
              <w:pStyle w:val="naisf"/>
              <w:spacing w:before="0" w:after="0"/>
              <w:ind w:firstLine="0"/>
              <w:jc w:val="center"/>
            </w:pPr>
            <w:r w:rsidRPr="00993FEB">
              <w:t>5</w:t>
            </w:r>
          </w:p>
        </w:tc>
        <w:tc>
          <w:tcPr>
            <w:tcW w:w="1281" w:type="dxa"/>
          </w:tcPr>
          <w:p w:rsidR="00BB66B8" w:rsidRPr="00993FEB" w:rsidRDefault="00BB66B8" w:rsidP="007C7975">
            <w:pPr>
              <w:pStyle w:val="naisf"/>
              <w:spacing w:before="0" w:after="0"/>
              <w:ind w:firstLine="0"/>
              <w:jc w:val="center"/>
            </w:pPr>
            <w:r w:rsidRPr="00993FEB">
              <w:t>6</w:t>
            </w:r>
          </w:p>
        </w:tc>
      </w:tr>
      <w:tr w:rsidR="00BB66B8" w:rsidRPr="00701734" w:rsidTr="00C20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18" w:type="dxa"/>
          </w:tcPr>
          <w:p w:rsidR="00BB66B8" w:rsidRPr="009C4533" w:rsidRDefault="00BB66B8" w:rsidP="00A021E3">
            <w:pPr>
              <w:pStyle w:val="naisf"/>
              <w:spacing w:before="0" w:after="0"/>
              <w:ind w:firstLine="0"/>
              <w:rPr>
                <w:b/>
                <w:bCs/>
                <w:color w:val="000000"/>
              </w:rPr>
            </w:pPr>
            <w:r w:rsidRPr="009C4533">
              <w:rPr>
                <w:color w:val="000000"/>
              </w:rPr>
              <w:t>1. Budžeta ieņēmumi:</w:t>
            </w:r>
          </w:p>
        </w:tc>
        <w:tc>
          <w:tcPr>
            <w:tcW w:w="1649" w:type="dxa"/>
          </w:tcPr>
          <w:p w:rsidR="00BB66B8" w:rsidRPr="00410131" w:rsidRDefault="00491DFC" w:rsidP="009F1D95">
            <w:pPr>
              <w:spacing w:before="100" w:beforeAutospacing="1" w:after="100" w:afterAutospacing="1"/>
              <w:jc w:val="center"/>
            </w:pPr>
            <w:r>
              <w:t>148 296</w:t>
            </w:r>
          </w:p>
        </w:tc>
        <w:tc>
          <w:tcPr>
            <w:tcW w:w="1919" w:type="dxa"/>
            <w:vAlign w:val="center"/>
          </w:tcPr>
          <w:p w:rsidR="00BB66B8" w:rsidRPr="009E08BA" w:rsidRDefault="00BB66B8" w:rsidP="009F0085">
            <w:pPr>
              <w:jc w:val="center"/>
            </w:pPr>
            <w:r w:rsidRPr="009E08BA">
              <w:t>0</w:t>
            </w:r>
          </w:p>
        </w:tc>
        <w:tc>
          <w:tcPr>
            <w:tcW w:w="1204" w:type="dxa"/>
            <w:vAlign w:val="center"/>
          </w:tcPr>
          <w:p w:rsidR="00BB66B8" w:rsidRPr="009E08BA" w:rsidRDefault="00BB66B8" w:rsidP="009F0085">
            <w:pPr>
              <w:jc w:val="center"/>
            </w:pPr>
            <w:r w:rsidRPr="009E08BA">
              <w:t>0</w:t>
            </w:r>
          </w:p>
        </w:tc>
        <w:tc>
          <w:tcPr>
            <w:tcW w:w="1210" w:type="dxa"/>
            <w:gridSpan w:val="2"/>
            <w:vAlign w:val="center"/>
          </w:tcPr>
          <w:p w:rsidR="00BB66B8" w:rsidRPr="009E08BA" w:rsidRDefault="00BB66B8" w:rsidP="009F0085">
            <w:pPr>
              <w:jc w:val="center"/>
            </w:pPr>
            <w:r w:rsidRPr="009E08BA">
              <w:t>0</w:t>
            </w:r>
          </w:p>
        </w:tc>
        <w:tc>
          <w:tcPr>
            <w:tcW w:w="1281" w:type="dxa"/>
            <w:vAlign w:val="center"/>
          </w:tcPr>
          <w:p w:rsidR="00BB66B8" w:rsidRPr="00EB593C" w:rsidRDefault="00BB66B8" w:rsidP="009F0085">
            <w:pPr>
              <w:jc w:val="center"/>
            </w:pPr>
            <w:r w:rsidRPr="00EB593C">
              <w:t>0</w:t>
            </w:r>
          </w:p>
        </w:tc>
      </w:tr>
      <w:tr w:rsidR="00BB66B8" w:rsidRPr="00DC1722" w:rsidTr="00C20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18" w:type="dxa"/>
          </w:tcPr>
          <w:p w:rsidR="00BB66B8" w:rsidRPr="009C4533" w:rsidRDefault="00BB66B8" w:rsidP="000C36DA">
            <w:pPr>
              <w:rPr>
                <w:color w:val="000000"/>
              </w:rPr>
            </w:pPr>
            <w:r w:rsidRPr="009C4533">
              <w:rPr>
                <w:color w:val="000000"/>
              </w:rPr>
              <w:t xml:space="preserve">1.1. </w:t>
            </w:r>
            <w:r w:rsidRPr="009F1D95">
              <w:t>valsts pamatbudžets, tai skaitā ieņēmumi no maksas pakalpojumiem un citi pašu ieņēmumi</w:t>
            </w:r>
          </w:p>
        </w:tc>
        <w:tc>
          <w:tcPr>
            <w:tcW w:w="1649" w:type="dxa"/>
            <w:vAlign w:val="center"/>
          </w:tcPr>
          <w:p w:rsidR="00BB66B8" w:rsidRPr="00410131" w:rsidRDefault="00BB66B8">
            <w:pPr>
              <w:pStyle w:val="naiskr"/>
              <w:spacing w:before="0" w:after="0"/>
              <w:jc w:val="center"/>
            </w:pPr>
            <w:r w:rsidRPr="00410131">
              <w:t xml:space="preserve">Saskaņā ar likumu „Par valsts budžetu 2015.gadam”, Labklājības ministrijas budžeta </w:t>
            </w:r>
            <w:r w:rsidR="00491DFC">
              <w:t>apakšprogrammā 97</w:t>
            </w:r>
            <w:r w:rsidRPr="00410131">
              <w:t>.0</w:t>
            </w:r>
            <w:r w:rsidR="00491DFC">
              <w:t>1</w:t>
            </w:r>
            <w:r w:rsidRPr="00410131">
              <w:t>.00 „</w:t>
            </w:r>
            <w:r w:rsidR="00491DFC">
              <w:t>Labklājības nozares vadība un politikas plānošana</w:t>
            </w:r>
            <w:r w:rsidRPr="00410131">
              <w:t xml:space="preserve">” plānots finansējums </w:t>
            </w:r>
            <w:r w:rsidR="00491DFC">
              <w:t>148 296</w:t>
            </w:r>
            <w:r w:rsidRPr="00410131">
              <w:t xml:space="preserve"> EUR apmērā.*</w:t>
            </w:r>
          </w:p>
        </w:tc>
        <w:tc>
          <w:tcPr>
            <w:tcW w:w="1919" w:type="dxa"/>
            <w:vAlign w:val="center"/>
          </w:tcPr>
          <w:p w:rsidR="00BB66B8" w:rsidRPr="00DC1722" w:rsidRDefault="00BB66B8">
            <w:pPr>
              <w:jc w:val="center"/>
            </w:pPr>
            <w:r>
              <w:t>0</w:t>
            </w:r>
          </w:p>
        </w:tc>
        <w:tc>
          <w:tcPr>
            <w:tcW w:w="1204" w:type="dxa"/>
            <w:vAlign w:val="center"/>
          </w:tcPr>
          <w:p w:rsidR="00BB66B8" w:rsidRPr="00DC1722" w:rsidRDefault="00BB66B8">
            <w:pPr>
              <w:jc w:val="center"/>
            </w:pPr>
            <w:r w:rsidRPr="009E08BA">
              <w:t>0</w:t>
            </w:r>
          </w:p>
        </w:tc>
        <w:tc>
          <w:tcPr>
            <w:tcW w:w="1210" w:type="dxa"/>
            <w:gridSpan w:val="2"/>
            <w:vAlign w:val="center"/>
          </w:tcPr>
          <w:p w:rsidR="00BB66B8" w:rsidRPr="00DC1722" w:rsidRDefault="00BB66B8">
            <w:pPr>
              <w:jc w:val="center"/>
            </w:pPr>
            <w:r w:rsidRPr="009E08BA">
              <w:t>0</w:t>
            </w:r>
          </w:p>
        </w:tc>
        <w:tc>
          <w:tcPr>
            <w:tcW w:w="1281" w:type="dxa"/>
            <w:vAlign w:val="center"/>
          </w:tcPr>
          <w:p w:rsidR="00BB66B8" w:rsidRPr="00DC1722" w:rsidRDefault="00BB66B8">
            <w:pPr>
              <w:jc w:val="center"/>
            </w:pPr>
            <w:r w:rsidRPr="00EB593C">
              <w:t>0</w:t>
            </w:r>
          </w:p>
        </w:tc>
      </w:tr>
      <w:tr w:rsidR="00BB66B8" w:rsidRPr="00DC1722" w:rsidTr="00C20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18" w:type="dxa"/>
          </w:tcPr>
          <w:p w:rsidR="00BB66B8" w:rsidRPr="009C4533" w:rsidRDefault="00BB66B8" w:rsidP="000C36DA">
            <w:pPr>
              <w:pStyle w:val="naisf"/>
              <w:spacing w:before="0" w:after="0"/>
              <w:ind w:firstLine="0"/>
              <w:jc w:val="left"/>
              <w:rPr>
                <w:i/>
                <w:iCs/>
                <w:color w:val="000000"/>
              </w:rPr>
            </w:pPr>
            <w:r w:rsidRPr="009C4533">
              <w:rPr>
                <w:color w:val="000000"/>
              </w:rPr>
              <w:t>1.2. valsts speciālais budžets</w:t>
            </w:r>
          </w:p>
        </w:tc>
        <w:tc>
          <w:tcPr>
            <w:tcW w:w="1649" w:type="dxa"/>
            <w:vAlign w:val="center"/>
          </w:tcPr>
          <w:p w:rsidR="00BB66B8" w:rsidRPr="009C4533" w:rsidRDefault="00BB66B8">
            <w:pPr>
              <w:pStyle w:val="naisf"/>
              <w:spacing w:before="0" w:after="0"/>
              <w:ind w:firstLine="0"/>
              <w:jc w:val="center"/>
              <w:rPr>
                <w:color w:val="000000"/>
              </w:rPr>
            </w:pPr>
            <w:r w:rsidRPr="009C4533">
              <w:rPr>
                <w:color w:val="000000"/>
              </w:rPr>
              <w:t>0</w:t>
            </w:r>
          </w:p>
        </w:tc>
        <w:tc>
          <w:tcPr>
            <w:tcW w:w="1919" w:type="dxa"/>
            <w:vAlign w:val="center"/>
          </w:tcPr>
          <w:p w:rsidR="00BB66B8" w:rsidRPr="00DC1722" w:rsidRDefault="00BB66B8">
            <w:pPr>
              <w:pStyle w:val="naisf"/>
              <w:spacing w:before="0" w:after="0"/>
              <w:ind w:firstLine="0"/>
              <w:jc w:val="center"/>
            </w:pPr>
            <w:r w:rsidRPr="009E08BA">
              <w:t>0</w:t>
            </w:r>
          </w:p>
        </w:tc>
        <w:tc>
          <w:tcPr>
            <w:tcW w:w="1204" w:type="dxa"/>
            <w:vAlign w:val="center"/>
          </w:tcPr>
          <w:p w:rsidR="00BB66B8" w:rsidRPr="00DC1722" w:rsidRDefault="00BB66B8">
            <w:pPr>
              <w:pStyle w:val="naisf"/>
              <w:spacing w:before="0" w:after="0"/>
              <w:ind w:firstLine="0"/>
              <w:jc w:val="center"/>
            </w:pPr>
            <w:r w:rsidRPr="009E08BA">
              <w:t>0</w:t>
            </w:r>
          </w:p>
        </w:tc>
        <w:tc>
          <w:tcPr>
            <w:tcW w:w="1210" w:type="dxa"/>
            <w:gridSpan w:val="2"/>
            <w:vAlign w:val="center"/>
          </w:tcPr>
          <w:p w:rsidR="00BB66B8" w:rsidRPr="00DC1722" w:rsidRDefault="00BB66B8">
            <w:pPr>
              <w:pStyle w:val="naisf"/>
              <w:spacing w:before="0" w:after="0"/>
              <w:ind w:firstLine="0"/>
              <w:jc w:val="center"/>
            </w:pPr>
            <w:r w:rsidRPr="009E08BA">
              <w:t>0</w:t>
            </w:r>
          </w:p>
        </w:tc>
        <w:tc>
          <w:tcPr>
            <w:tcW w:w="1281" w:type="dxa"/>
            <w:vAlign w:val="center"/>
          </w:tcPr>
          <w:p w:rsidR="00BB66B8" w:rsidRPr="00DC1722" w:rsidRDefault="00BB66B8">
            <w:pPr>
              <w:pStyle w:val="naisf"/>
              <w:spacing w:before="0" w:after="0"/>
              <w:ind w:firstLine="0"/>
              <w:jc w:val="center"/>
            </w:pPr>
            <w:r w:rsidRPr="00EB593C">
              <w:t>0</w:t>
            </w:r>
          </w:p>
        </w:tc>
      </w:tr>
      <w:tr w:rsidR="00BB66B8" w:rsidRPr="00DC1722" w:rsidTr="00C20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518" w:type="dxa"/>
          </w:tcPr>
          <w:p w:rsidR="00BB66B8" w:rsidRPr="009C4533" w:rsidRDefault="00BB66B8" w:rsidP="000C36DA">
            <w:pPr>
              <w:rPr>
                <w:color w:val="000000"/>
              </w:rPr>
            </w:pPr>
            <w:r w:rsidRPr="009C4533">
              <w:rPr>
                <w:color w:val="000000"/>
              </w:rPr>
              <w:t>1.3. pašvaldību budžets</w:t>
            </w:r>
          </w:p>
        </w:tc>
        <w:tc>
          <w:tcPr>
            <w:tcW w:w="1649" w:type="dxa"/>
            <w:vAlign w:val="center"/>
          </w:tcPr>
          <w:p w:rsidR="00BB66B8" w:rsidRPr="009C4533" w:rsidRDefault="00BB66B8" w:rsidP="000C36DA">
            <w:pPr>
              <w:jc w:val="center"/>
              <w:rPr>
                <w:color w:val="000000"/>
              </w:rPr>
            </w:pPr>
            <w:r>
              <w:rPr>
                <w:color w:val="000000"/>
              </w:rPr>
              <w:t>0</w:t>
            </w:r>
          </w:p>
        </w:tc>
        <w:tc>
          <w:tcPr>
            <w:tcW w:w="1919" w:type="dxa"/>
            <w:vAlign w:val="center"/>
          </w:tcPr>
          <w:p w:rsidR="00BB66B8" w:rsidRPr="00DC1722" w:rsidRDefault="00BB66B8" w:rsidP="000C36DA">
            <w:pPr>
              <w:jc w:val="center"/>
            </w:pPr>
            <w:r>
              <w:t>0</w:t>
            </w:r>
          </w:p>
        </w:tc>
        <w:tc>
          <w:tcPr>
            <w:tcW w:w="1204" w:type="dxa"/>
            <w:vAlign w:val="center"/>
          </w:tcPr>
          <w:p w:rsidR="00BB66B8" w:rsidRPr="00DC1722" w:rsidRDefault="00BB66B8" w:rsidP="000C36DA">
            <w:pPr>
              <w:jc w:val="center"/>
            </w:pPr>
            <w:r>
              <w:t>0</w:t>
            </w:r>
          </w:p>
        </w:tc>
        <w:tc>
          <w:tcPr>
            <w:tcW w:w="1210" w:type="dxa"/>
            <w:gridSpan w:val="2"/>
            <w:vAlign w:val="center"/>
          </w:tcPr>
          <w:p w:rsidR="00BB66B8" w:rsidRPr="00DC1722" w:rsidRDefault="00BB66B8" w:rsidP="000C36DA">
            <w:pPr>
              <w:jc w:val="center"/>
            </w:pPr>
            <w:r>
              <w:t>0</w:t>
            </w:r>
          </w:p>
        </w:tc>
        <w:tc>
          <w:tcPr>
            <w:tcW w:w="1281" w:type="dxa"/>
            <w:vAlign w:val="center"/>
          </w:tcPr>
          <w:p w:rsidR="00BB66B8" w:rsidRPr="00DC1722" w:rsidRDefault="00BB66B8" w:rsidP="000C36DA">
            <w:pPr>
              <w:jc w:val="center"/>
            </w:pPr>
            <w:r>
              <w:t>0</w:t>
            </w:r>
          </w:p>
        </w:tc>
      </w:tr>
      <w:tr w:rsidR="00BB66B8" w:rsidRPr="00DC1722" w:rsidTr="00C20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18" w:type="dxa"/>
          </w:tcPr>
          <w:p w:rsidR="00BB66B8" w:rsidRPr="009C4533" w:rsidRDefault="00BB66B8" w:rsidP="000C36DA">
            <w:pPr>
              <w:rPr>
                <w:color w:val="000000"/>
              </w:rPr>
            </w:pPr>
            <w:r w:rsidRPr="009C4533">
              <w:rPr>
                <w:color w:val="000000"/>
              </w:rPr>
              <w:t>2. Budžeta izdevumi:</w:t>
            </w:r>
          </w:p>
        </w:tc>
        <w:tc>
          <w:tcPr>
            <w:tcW w:w="1649" w:type="dxa"/>
            <w:vAlign w:val="center"/>
          </w:tcPr>
          <w:p w:rsidR="00BB66B8" w:rsidRPr="00410131" w:rsidRDefault="00491DFC" w:rsidP="000C36DA">
            <w:pPr>
              <w:jc w:val="center"/>
            </w:pPr>
            <w:r>
              <w:t>148 296</w:t>
            </w:r>
          </w:p>
        </w:tc>
        <w:tc>
          <w:tcPr>
            <w:tcW w:w="1919" w:type="dxa"/>
            <w:vAlign w:val="center"/>
          </w:tcPr>
          <w:p w:rsidR="00BB66B8" w:rsidRPr="00410131" w:rsidRDefault="00CD3D05" w:rsidP="00473F09">
            <w:pPr>
              <w:jc w:val="center"/>
            </w:pPr>
            <w:r>
              <w:t>20 020</w:t>
            </w:r>
          </w:p>
        </w:tc>
        <w:tc>
          <w:tcPr>
            <w:tcW w:w="1204" w:type="dxa"/>
            <w:vAlign w:val="center"/>
          </w:tcPr>
          <w:p w:rsidR="00BB66B8" w:rsidRPr="009E08BA" w:rsidRDefault="00BB66B8" w:rsidP="009F0085">
            <w:pPr>
              <w:jc w:val="center"/>
            </w:pPr>
            <w:r w:rsidRPr="009E08BA">
              <w:t>0</w:t>
            </w:r>
          </w:p>
        </w:tc>
        <w:tc>
          <w:tcPr>
            <w:tcW w:w="1210" w:type="dxa"/>
            <w:gridSpan w:val="2"/>
            <w:vAlign w:val="center"/>
          </w:tcPr>
          <w:p w:rsidR="00BB66B8" w:rsidRPr="009E08BA" w:rsidRDefault="00BB66B8" w:rsidP="009F0085">
            <w:pPr>
              <w:jc w:val="center"/>
            </w:pPr>
            <w:r w:rsidRPr="009E08BA">
              <w:t>0</w:t>
            </w:r>
          </w:p>
        </w:tc>
        <w:tc>
          <w:tcPr>
            <w:tcW w:w="1281" w:type="dxa"/>
            <w:vAlign w:val="center"/>
          </w:tcPr>
          <w:p w:rsidR="00BB66B8" w:rsidRPr="00EB593C" w:rsidRDefault="00BB66B8" w:rsidP="009F0085">
            <w:pPr>
              <w:jc w:val="center"/>
            </w:pPr>
            <w:r w:rsidRPr="00EB593C">
              <w:t>0</w:t>
            </w:r>
          </w:p>
        </w:tc>
      </w:tr>
      <w:tr w:rsidR="00BB66B8" w:rsidRPr="00DC1722" w:rsidTr="00C20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18" w:type="dxa"/>
          </w:tcPr>
          <w:p w:rsidR="00BB66B8" w:rsidRPr="009C4533" w:rsidRDefault="00BB66B8" w:rsidP="000C36DA">
            <w:pPr>
              <w:rPr>
                <w:color w:val="000000"/>
              </w:rPr>
            </w:pPr>
            <w:r w:rsidRPr="009F1D95">
              <w:rPr>
                <w:color w:val="000000"/>
              </w:rPr>
              <w:t>2.1. valsts pamatbudžets</w:t>
            </w:r>
          </w:p>
        </w:tc>
        <w:tc>
          <w:tcPr>
            <w:tcW w:w="1649" w:type="dxa"/>
            <w:vAlign w:val="center"/>
          </w:tcPr>
          <w:p w:rsidR="00BB66B8" w:rsidRPr="00410131" w:rsidRDefault="00BB66B8" w:rsidP="00491DFC">
            <w:pPr>
              <w:pStyle w:val="naiskr"/>
              <w:spacing w:before="0" w:after="0"/>
              <w:jc w:val="center"/>
              <w:rPr>
                <w:i/>
                <w:iCs/>
              </w:rPr>
            </w:pPr>
            <w:r w:rsidRPr="00410131">
              <w:t xml:space="preserve">Saskaņā ar likumu „Par valsts budžetu 2015.gadam”, Labklājības ministrijas budžeta </w:t>
            </w:r>
            <w:r w:rsidR="00491DFC">
              <w:t>apakšprogrammā 97</w:t>
            </w:r>
            <w:r w:rsidR="00491DFC" w:rsidRPr="00410131">
              <w:t>.0</w:t>
            </w:r>
            <w:r w:rsidR="00491DFC">
              <w:t>1</w:t>
            </w:r>
            <w:r w:rsidR="00491DFC" w:rsidRPr="00410131">
              <w:t>.00 „</w:t>
            </w:r>
            <w:r w:rsidR="00491DFC">
              <w:t>Labklājības nozares vadība un politikas plānošana</w:t>
            </w:r>
            <w:r w:rsidR="00491DFC" w:rsidRPr="00410131">
              <w:t xml:space="preserve">” </w:t>
            </w:r>
            <w:r w:rsidRPr="00410131">
              <w:t xml:space="preserve">plānots finansējums </w:t>
            </w:r>
            <w:r w:rsidR="00491DFC">
              <w:t>148 296</w:t>
            </w:r>
            <w:r w:rsidRPr="00410131">
              <w:t xml:space="preserve"> EUR apmērā.*</w:t>
            </w:r>
          </w:p>
        </w:tc>
        <w:tc>
          <w:tcPr>
            <w:tcW w:w="1919" w:type="dxa"/>
            <w:vAlign w:val="center"/>
          </w:tcPr>
          <w:p w:rsidR="00BB66B8" w:rsidRPr="00410131" w:rsidRDefault="00CD3D05" w:rsidP="00473F09">
            <w:pPr>
              <w:jc w:val="center"/>
            </w:pPr>
            <w:r>
              <w:t>20 020</w:t>
            </w:r>
          </w:p>
        </w:tc>
        <w:tc>
          <w:tcPr>
            <w:tcW w:w="1204" w:type="dxa"/>
            <w:vAlign w:val="center"/>
          </w:tcPr>
          <w:p w:rsidR="00BB66B8" w:rsidRPr="009E08BA" w:rsidRDefault="00BB66B8" w:rsidP="009F0085">
            <w:pPr>
              <w:jc w:val="center"/>
            </w:pPr>
            <w:r w:rsidRPr="009E08BA">
              <w:t>0</w:t>
            </w:r>
          </w:p>
        </w:tc>
        <w:tc>
          <w:tcPr>
            <w:tcW w:w="1210" w:type="dxa"/>
            <w:gridSpan w:val="2"/>
            <w:vAlign w:val="center"/>
          </w:tcPr>
          <w:p w:rsidR="00BB66B8" w:rsidRPr="009E08BA" w:rsidRDefault="00BB66B8" w:rsidP="009F0085">
            <w:pPr>
              <w:jc w:val="center"/>
            </w:pPr>
            <w:r w:rsidRPr="009E08BA">
              <w:t>0</w:t>
            </w:r>
          </w:p>
        </w:tc>
        <w:tc>
          <w:tcPr>
            <w:tcW w:w="1281" w:type="dxa"/>
            <w:vAlign w:val="center"/>
          </w:tcPr>
          <w:p w:rsidR="00BB66B8" w:rsidRPr="00EB593C" w:rsidRDefault="00BB66B8" w:rsidP="009F0085">
            <w:pPr>
              <w:jc w:val="center"/>
            </w:pPr>
            <w:r w:rsidRPr="00EB593C">
              <w:t>0</w:t>
            </w:r>
          </w:p>
        </w:tc>
      </w:tr>
      <w:tr w:rsidR="00BB66B8" w:rsidRPr="00DC1722" w:rsidTr="00C20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18" w:type="dxa"/>
          </w:tcPr>
          <w:p w:rsidR="00BB66B8" w:rsidRPr="009C4533" w:rsidRDefault="00BB66B8" w:rsidP="000C36DA">
            <w:pPr>
              <w:rPr>
                <w:color w:val="000000"/>
              </w:rPr>
            </w:pPr>
            <w:r w:rsidRPr="009C4533">
              <w:rPr>
                <w:color w:val="000000"/>
              </w:rPr>
              <w:t>2.2. valsts speciālais budžets</w:t>
            </w:r>
          </w:p>
        </w:tc>
        <w:tc>
          <w:tcPr>
            <w:tcW w:w="1649" w:type="dxa"/>
            <w:vAlign w:val="center"/>
          </w:tcPr>
          <w:p w:rsidR="00BB66B8" w:rsidRPr="009C4533" w:rsidRDefault="00BB66B8">
            <w:pPr>
              <w:pStyle w:val="naisf"/>
              <w:spacing w:before="0" w:after="0"/>
              <w:ind w:firstLine="0"/>
              <w:jc w:val="center"/>
              <w:rPr>
                <w:color w:val="000000"/>
              </w:rPr>
            </w:pPr>
            <w:r w:rsidRPr="009C4533">
              <w:rPr>
                <w:color w:val="000000"/>
              </w:rPr>
              <w:t>0</w:t>
            </w:r>
          </w:p>
        </w:tc>
        <w:tc>
          <w:tcPr>
            <w:tcW w:w="1919" w:type="dxa"/>
            <w:vAlign w:val="center"/>
          </w:tcPr>
          <w:p w:rsidR="00BB66B8" w:rsidRPr="000C36DA" w:rsidRDefault="00BB66B8">
            <w:pPr>
              <w:pStyle w:val="naisf"/>
              <w:spacing w:before="0" w:after="0"/>
              <w:ind w:firstLine="0"/>
              <w:jc w:val="center"/>
            </w:pPr>
            <w:r w:rsidRPr="000C36DA">
              <w:t>0</w:t>
            </w:r>
          </w:p>
        </w:tc>
        <w:tc>
          <w:tcPr>
            <w:tcW w:w="1204" w:type="dxa"/>
            <w:vAlign w:val="center"/>
          </w:tcPr>
          <w:p w:rsidR="00BB66B8" w:rsidRPr="000C36DA" w:rsidRDefault="00BB66B8">
            <w:pPr>
              <w:pStyle w:val="naisf"/>
              <w:spacing w:before="0" w:after="0"/>
              <w:ind w:firstLine="0"/>
              <w:jc w:val="center"/>
            </w:pPr>
            <w:r w:rsidRPr="000C36DA">
              <w:t>0</w:t>
            </w:r>
          </w:p>
        </w:tc>
        <w:tc>
          <w:tcPr>
            <w:tcW w:w="1210" w:type="dxa"/>
            <w:gridSpan w:val="2"/>
            <w:vAlign w:val="center"/>
          </w:tcPr>
          <w:p w:rsidR="00BB66B8" w:rsidRPr="000C36DA" w:rsidRDefault="00BB66B8">
            <w:pPr>
              <w:pStyle w:val="naisf"/>
              <w:spacing w:before="0" w:after="0"/>
              <w:ind w:firstLine="0"/>
              <w:jc w:val="center"/>
            </w:pPr>
            <w:r w:rsidRPr="000C36DA">
              <w:t>0</w:t>
            </w:r>
          </w:p>
        </w:tc>
        <w:tc>
          <w:tcPr>
            <w:tcW w:w="1281" w:type="dxa"/>
            <w:vAlign w:val="center"/>
          </w:tcPr>
          <w:p w:rsidR="00BB66B8" w:rsidRPr="000C36DA" w:rsidRDefault="00BB66B8">
            <w:pPr>
              <w:pStyle w:val="naisf"/>
              <w:spacing w:before="0" w:after="0"/>
              <w:ind w:firstLine="0"/>
              <w:jc w:val="center"/>
            </w:pPr>
            <w:r w:rsidRPr="000C36DA">
              <w:t>0</w:t>
            </w:r>
          </w:p>
        </w:tc>
      </w:tr>
      <w:tr w:rsidR="00BB66B8" w:rsidRPr="00DC1722" w:rsidTr="00C20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18" w:type="dxa"/>
          </w:tcPr>
          <w:p w:rsidR="00BB66B8" w:rsidRPr="009F1D95" w:rsidRDefault="00BB66B8" w:rsidP="000C36DA">
            <w:pPr>
              <w:rPr>
                <w:color w:val="000000"/>
              </w:rPr>
            </w:pPr>
            <w:r w:rsidRPr="009F1D95">
              <w:rPr>
                <w:color w:val="000000"/>
              </w:rPr>
              <w:t xml:space="preserve">2.3. pašvaldību budžets </w:t>
            </w:r>
          </w:p>
        </w:tc>
        <w:tc>
          <w:tcPr>
            <w:tcW w:w="1649" w:type="dxa"/>
            <w:vAlign w:val="center"/>
          </w:tcPr>
          <w:p w:rsidR="00BB66B8" w:rsidRPr="009C4533" w:rsidRDefault="00BB66B8">
            <w:pPr>
              <w:jc w:val="center"/>
              <w:rPr>
                <w:color w:val="000000"/>
              </w:rPr>
            </w:pPr>
            <w:r w:rsidRPr="009C4533">
              <w:rPr>
                <w:color w:val="000000"/>
              </w:rPr>
              <w:t>0</w:t>
            </w:r>
          </w:p>
        </w:tc>
        <w:tc>
          <w:tcPr>
            <w:tcW w:w="1919" w:type="dxa"/>
            <w:vAlign w:val="center"/>
          </w:tcPr>
          <w:p w:rsidR="00BB66B8" w:rsidRPr="000C36DA" w:rsidRDefault="00BB66B8">
            <w:pPr>
              <w:jc w:val="center"/>
            </w:pPr>
            <w:r w:rsidRPr="000C36DA">
              <w:t>0</w:t>
            </w:r>
          </w:p>
        </w:tc>
        <w:tc>
          <w:tcPr>
            <w:tcW w:w="1204" w:type="dxa"/>
            <w:vAlign w:val="center"/>
          </w:tcPr>
          <w:p w:rsidR="00BB66B8" w:rsidRPr="000C36DA" w:rsidRDefault="00BB66B8">
            <w:pPr>
              <w:jc w:val="center"/>
            </w:pPr>
            <w:r w:rsidRPr="000C36DA">
              <w:t>0</w:t>
            </w:r>
          </w:p>
        </w:tc>
        <w:tc>
          <w:tcPr>
            <w:tcW w:w="1210" w:type="dxa"/>
            <w:gridSpan w:val="2"/>
            <w:vAlign w:val="center"/>
          </w:tcPr>
          <w:p w:rsidR="00BB66B8" w:rsidRPr="000C36DA" w:rsidRDefault="00BB66B8">
            <w:pPr>
              <w:jc w:val="center"/>
            </w:pPr>
            <w:r w:rsidRPr="000C36DA">
              <w:t>0</w:t>
            </w:r>
          </w:p>
        </w:tc>
        <w:tc>
          <w:tcPr>
            <w:tcW w:w="1281" w:type="dxa"/>
            <w:vAlign w:val="center"/>
          </w:tcPr>
          <w:p w:rsidR="00BB66B8" w:rsidRPr="000C36DA" w:rsidRDefault="00BB66B8">
            <w:pPr>
              <w:jc w:val="center"/>
            </w:pPr>
            <w:r w:rsidRPr="000C36DA">
              <w:t>0</w:t>
            </w:r>
          </w:p>
        </w:tc>
      </w:tr>
      <w:tr w:rsidR="00BB66B8" w:rsidRPr="00DC1722" w:rsidTr="00C20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18" w:type="dxa"/>
          </w:tcPr>
          <w:p w:rsidR="00BB66B8" w:rsidRPr="009F1D95" w:rsidRDefault="00BB66B8" w:rsidP="000C36DA">
            <w:pPr>
              <w:rPr>
                <w:color w:val="000000"/>
              </w:rPr>
            </w:pPr>
            <w:r w:rsidRPr="009F1D95">
              <w:rPr>
                <w:color w:val="000000"/>
              </w:rPr>
              <w:t>3. Finansiālā ietekme:</w:t>
            </w:r>
          </w:p>
        </w:tc>
        <w:tc>
          <w:tcPr>
            <w:tcW w:w="1649" w:type="dxa"/>
            <w:vAlign w:val="center"/>
          </w:tcPr>
          <w:p w:rsidR="00BB66B8" w:rsidRPr="009C4533" w:rsidRDefault="00BB66B8" w:rsidP="009F0085">
            <w:pPr>
              <w:jc w:val="center"/>
              <w:rPr>
                <w:color w:val="000000"/>
              </w:rPr>
            </w:pPr>
            <w:r w:rsidRPr="009C4533">
              <w:rPr>
                <w:color w:val="000000"/>
              </w:rPr>
              <w:t>0</w:t>
            </w:r>
          </w:p>
        </w:tc>
        <w:tc>
          <w:tcPr>
            <w:tcW w:w="1919" w:type="dxa"/>
            <w:vAlign w:val="center"/>
          </w:tcPr>
          <w:p w:rsidR="00BB66B8" w:rsidRPr="00410131" w:rsidRDefault="00BB66B8">
            <w:pPr>
              <w:jc w:val="center"/>
            </w:pPr>
            <w:r w:rsidRPr="00410131">
              <w:t>-</w:t>
            </w:r>
            <w:r w:rsidR="00CD3D05">
              <w:t>20 020</w:t>
            </w:r>
          </w:p>
        </w:tc>
        <w:tc>
          <w:tcPr>
            <w:tcW w:w="1204" w:type="dxa"/>
            <w:vAlign w:val="center"/>
          </w:tcPr>
          <w:p w:rsidR="00BB66B8" w:rsidRPr="000C36DA" w:rsidRDefault="00BB66B8" w:rsidP="009F0085">
            <w:pPr>
              <w:jc w:val="center"/>
            </w:pPr>
            <w:r w:rsidRPr="000C36DA">
              <w:t>0</w:t>
            </w:r>
          </w:p>
        </w:tc>
        <w:tc>
          <w:tcPr>
            <w:tcW w:w="1210" w:type="dxa"/>
            <w:gridSpan w:val="2"/>
            <w:vAlign w:val="center"/>
          </w:tcPr>
          <w:p w:rsidR="00BB66B8" w:rsidRPr="000C36DA" w:rsidRDefault="00BB66B8" w:rsidP="009F0085">
            <w:pPr>
              <w:jc w:val="center"/>
            </w:pPr>
            <w:r w:rsidRPr="000C36DA">
              <w:t>0</w:t>
            </w:r>
          </w:p>
        </w:tc>
        <w:tc>
          <w:tcPr>
            <w:tcW w:w="1281" w:type="dxa"/>
            <w:vAlign w:val="center"/>
          </w:tcPr>
          <w:p w:rsidR="00BB66B8" w:rsidRPr="000C36DA" w:rsidRDefault="00BB66B8" w:rsidP="009F0085">
            <w:pPr>
              <w:jc w:val="center"/>
            </w:pPr>
            <w:r w:rsidRPr="000C36DA">
              <w:t>0</w:t>
            </w:r>
          </w:p>
        </w:tc>
      </w:tr>
      <w:tr w:rsidR="00BB66B8" w:rsidRPr="00DC1722" w:rsidTr="00C20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18" w:type="dxa"/>
          </w:tcPr>
          <w:p w:rsidR="00BB66B8" w:rsidRPr="009C4533" w:rsidRDefault="00BB66B8" w:rsidP="000C36DA">
            <w:pPr>
              <w:jc w:val="both"/>
              <w:rPr>
                <w:color w:val="000000"/>
              </w:rPr>
            </w:pPr>
            <w:r w:rsidRPr="009C4533">
              <w:rPr>
                <w:color w:val="000000"/>
              </w:rPr>
              <w:t>3.1. valsts pamatbudžets</w:t>
            </w:r>
          </w:p>
        </w:tc>
        <w:tc>
          <w:tcPr>
            <w:tcW w:w="1649" w:type="dxa"/>
            <w:vAlign w:val="center"/>
          </w:tcPr>
          <w:p w:rsidR="00BB66B8" w:rsidRPr="009C4533" w:rsidRDefault="00BB66B8" w:rsidP="009F0085">
            <w:pPr>
              <w:spacing w:before="100" w:beforeAutospacing="1" w:after="100" w:afterAutospacing="1"/>
              <w:jc w:val="center"/>
              <w:rPr>
                <w:color w:val="000000"/>
              </w:rPr>
            </w:pPr>
            <w:r w:rsidRPr="009C4533">
              <w:rPr>
                <w:color w:val="000000"/>
              </w:rPr>
              <w:t>0</w:t>
            </w:r>
          </w:p>
        </w:tc>
        <w:tc>
          <w:tcPr>
            <w:tcW w:w="1919" w:type="dxa"/>
            <w:vAlign w:val="center"/>
          </w:tcPr>
          <w:p w:rsidR="00BB66B8" w:rsidRPr="00410131" w:rsidRDefault="00BB66B8">
            <w:pPr>
              <w:spacing w:before="100" w:beforeAutospacing="1" w:after="100" w:afterAutospacing="1"/>
              <w:jc w:val="center"/>
            </w:pPr>
            <w:r w:rsidRPr="00410131">
              <w:t>-</w:t>
            </w:r>
            <w:r w:rsidR="00CD3D05">
              <w:t>20 020</w:t>
            </w:r>
          </w:p>
        </w:tc>
        <w:tc>
          <w:tcPr>
            <w:tcW w:w="1204" w:type="dxa"/>
            <w:vAlign w:val="center"/>
          </w:tcPr>
          <w:p w:rsidR="00BB66B8" w:rsidRPr="000C36DA" w:rsidRDefault="00BB66B8" w:rsidP="009F0085">
            <w:pPr>
              <w:spacing w:before="100" w:beforeAutospacing="1" w:after="100" w:afterAutospacing="1"/>
              <w:jc w:val="center"/>
            </w:pPr>
            <w:r w:rsidRPr="000C36DA">
              <w:t>0</w:t>
            </w:r>
          </w:p>
        </w:tc>
        <w:tc>
          <w:tcPr>
            <w:tcW w:w="1210" w:type="dxa"/>
            <w:gridSpan w:val="2"/>
            <w:vAlign w:val="center"/>
          </w:tcPr>
          <w:p w:rsidR="00BB66B8" w:rsidRPr="000C36DA" w:rsidRDefault="00BB66B8" w:rsidP="009F0085">
            <w:pPr>
              <w:spacing w:before="100" w:beforeAutospacing="1" w:after="100" w:afterAutospacing="1"/>
              <w:jc w:val="center"/>
            </w:pPr>
            <w:r w:rsidRPr="000C36DA">
              <w:t>0</w:t>
            </w:r>
          </w:p>
        </w:tc>
        <w:tc>
          <w:tcPr>
            <w:tcW w:w="1281" w:type="dxa"/>
            <w:vAlign w:val="center"/>
          </w:tcPr>
          <w:p w:rsidR="00BB66B8" w:rsidRPr="000C36DA" w:rsidRDefault="00BB66B8" w:rsidP="009F0085">
            <w:pPr>
              <w:spacing w:before="100" w:beforeAutospacing="1" w:after="100" w:afterAutospacing="1"/>
              <w:jc w:val="center"/>
            </w:pPr>
            <w:r w:rsidRPr="000C36DA">
              <w:t>0</w:t>
            </w:r>
          </w:p>
        </w:tc>
      </w:tr>
      <w:tr w:rsidR="00BB66B8" w:rsidRPr="00DC1722" w:rsidTr="00C20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18" w:type="dxa"/>
          </w:tcPr>
          <w:p w:rsidR="00BB66B8" w:rsidRPr="009C4533" w:rsidRDefault="00BB66B8" w:rsidP="000C36DA">
            <w:pPr>
              <w:jc w:val="both"/>
              <w:rPr>
                <w:color w:val="000000"/>
              </w:rPr>
            </w:pPr>
            <w:r w:rsidRPr="009C4533">
              <w:rPr>
                <w:color w:val="000000"/>
              </w:rPr>
              <w:t>3.2. speciālais budžets</w:t>
            </w:r>
          </w:p>
        </w:tc>
        <w:tc>
          <w:tcPr>
            <w:tcW w:w="1649" w:type="dxa"/>
            <w:vAlign w:val="center"/>
          </w:tcPr>
          <w:p w:rsidR="00BB66B8" w:rsidRPr="009C4533" w:rsidRDefault="00BB66B8">
            <w:pPr>
              <w:pStyle w:val="naisf"/>
              <w:spacing w:before="0" w:after="0"/>
              <w:ind w:firstLine="0"/>
              <w:jc w:val="center"/>
              <w:rPr>
                <w:color w:val="000000"/>
              </w:rPr>
            </w:pPr>
            <w:r w:rsidRPr="009C4533">
              <w:rPr>
                <w:color w:val="000000"/>
              </w:rPr>
              <w:t>0</w:t>
            </w:r>
          </w:p>
        </w:tc>
        <w:tc>
          <w:tcPr>
            <w:tcW w:w="1919" w:type="dxa"/>
            <w:vAlign w:val="center"/>
          </w:tcPr>
          <w:p w:rsidR="00BB66B8" w:rsidRPr="009F0085" w:rsidRDefault="00BB66B8">
            <w:pPr>
              <w:pStyle w:val="naisf"/>
              <w:spacing w:before="0" w:after="0"/>
              <w:ind w:firstLine="0"/>
              <w:jc w:val="center"/>
            </w:pPr>
            <w:r w:rsidRPr="009F0085">
              <w:t>0</w:t>
            </w:r>
          </w:p>
        </w:tc>
        <w:tc>
          <w:tcPr>
            <w:tcW w:w="1204" w:type="dxa"/>
            <w:vAlign w:val="center"/>
          </w:tcPr>
          <w:p w:rsidR="00BB66B8" w:rsidRPr="000C36DA" w:rsidRDefault="00BB66B8">
            <w:pPr>
              <w:pStyle w:val="naisf"/>
              <w:spacing w:before="0" w:after="0"/>
              <w:ind w:firstLine="0"/>
              <w:jc w:val="center"/>
            </w:pPr>
            <w:r w:rsidRPr="000C36DA">
              <w:t>0</w:t>
            </w:r>
          </w:p>
        </w:tc>
        <w:tc>
          <w:tcPr>
            <w:tcW w:w="1210" w:type="dxa"/>
            <w:gridSpan w:val="2"/>
            <w:vAlign w:val="center"/>
          </w:tcPr>
          <w:p w:rsidR="00BB66B8" w:rsidRPr="000C36DA" w:rsidRDefault="00BB66B8">
            <w:pPr>
              <w:pStyle w:val="naisf"/>
              <w:spacing w:before="0" w:after="0"/>
              <w:ind w:firstLine="0"/>
              <w:jc w:val="center"/>
            </w:pPr>
            <w:r w:rsidRPr="000C36DA">
              <w:t>0</w:t>
            </w:r>
          </w:p>
        </w:tc>
        <w:tc>
          <w:tcPr>
            <w:tcW w:w="1281" w:type="dxa"/>
            <w:vAlign w:val="center"/>
          </w:tcPr>
          <w:p w:rsidR="00BB66B8" w:rsidRPr="000C36DA" w:rsidRDefault="00BB66B8">
            <w:pPr>
              <w:pStyle w:val="naisf"/>
              <w:spacing w:before="0" w:after="0"/>
              <w:ind w:firstLine="0"/>
              <w:jc w:val="center"/>
            </w:pPr>
            <w:r w:rsidRPr="000C36DA">
              <w:t>0</w:t>
            </w:r>
          </w:p>
        </w:tc>
      </w:tr>
      <w:tr w:rsidR="00BB66B8" w:rsidRPr="00701734" w:rsidTr="00C20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18" w:type="dxa"/>
          </w:tcPr>
          <w:p w:rsidR="00BB66B8" w:rsidRPr="009C4533" w:rsidRDefault="00BB66B8" w:rsidP="000C36DA">
            <w:pPr>
              <w:jc w:val="both"/>
              <w:rPr>
                <w:color w:val="000000"/>
              </w:rPr>
            </w:pPr>
            <w:r w:rsidRPr="009C4533">
              <w:rPr>
                <w:color w:val="000000"/>
              </w:rPr>
              <w:t xml:space="preserve">3.3. pašvaldību budžets </w:t>
            </w:r>
          </w:p>
        </w:tc>
        <w:tc>
          <w:tcPr>
            <w:tcW w:w="1649" w:type="dxa"/>
            <w:vAlign w:val="center"/>
          </w:tcPr>
          <w:p w:rsidR="00BB66B8" w:rsidRPr="009C4533" w:rsidRDefault="00BB66B8">
            <w:pPr>
              <w:pStyle w:val="naisf"/>
              <w:spacing w:before="0" w:after="0"/>
              <w:ind w:firstLine="0"/>
              <w:jc w:val="center"/>
              <w:rPr>
                <w:color w:val="000000"/>
              </w:rPr>
            </w:pPr>
            <w:r w:rsidRPr="009C4533">
              <w:rPr>
                <w:color w:val="000000"/>
              </w:rPr>
              <w:t>0</w:t>
            </w:r>
          </w:p>
        </w:tc>
        <w:tc>
          <w:tcPr>
            <w:tcW w:w="1919" w:type="dxa"/>
            <w:vAlign w:val="center"/>
          </w:tcPr>
          <w:p w:rsidR="00BB66B8" w:rsidRPr="009F0085" w:rsidRDefault="00BB66B8">
            <w:pPr>
              <w:pStyle w:val="naisf"/>
              <w:spacing w:before="0" w:after="0"/>
              <w:ind w:firstLine="0"/>
              <w:jc w:val="center"/>
            </w:pPr>
            <w:r w:rsidRPr="009F0085">
              <w:t>0</w:t>
            </w:r>
          </w:p>
        </w:tc>
        <w:tc>
          <w:tcPr>
            <w:tcW w:w="1204" w:type="dxa"/>
            <w:vAlign w:val="center"/>
          </w:tcPr>
          <w:p w:rsidR="00BB66B8" w:rsidRPr="009F0085" w:rsidRDefault="00BB66B8">
            <w:pPr>
              <w:pStyle w:val="naisf"/>
              <w:spacing w:before="0" w:after="0"/>
              <w:ind w:firstLine="0"/>
              <w:jc w:val="center"/>
            </w:pPr>
            <w:r w:rsidRPr="009F0085">
              <w:t>0</w:t>
            </w:r>
          </w:p>
        </w:tc>
        <w:tc>
          <w:tcPr>
            <w:tcW w:w="1210" w:type="dxa"/>
            <w:gridSpan w:val="2"/>
            <w:vAlign w:val="center"/>
          </w:tcPr>
          <w:p w:rsidR="00BB66B8" w:rsidRPr="009F0085" w:rsidRDefault="00BB66B8">
            <w:pPr>
              <w:pStyle w:val="naisf"/>
              <w:spacing w:before="0" w:after="0"/>
              <w:ind w:firstLine="0"/>
              <w:jc w:val="center"/>
            </w:pPr>
            <w:r w:rsidRPr="009F0085">
              <w:t>0</w:t>
            </w:r>
          </w:p>
        </w:tc>
        <w:tc>
          <w:tcPr>
            <w:tcW w:w="1281" w:type="dxa"/>
            <w:vAlign w:val="center"/>
          </w:tcPr>
          <w:p w:rsidR="00BB66B8" w:rsidRPr="009F0085" w:rsidRDefault="00BB66B8">
            <w:pPr>
              <w:pStyle w:val="naisf"/>
              <w:spacing w:before="0" w:after="0"/>
              <w:ind w:firstLine="0"/>
              <w:jc w:val="center"/>
            </w:pPr>
            <w:r w:rsidRPr="009F0085">
              <w:t>0</w:t>
            </w:r>
          </w:p>
        </w:tc>
      </w:tr>
      <w:tr w:rsidR="00BB66B8" w:rsidRPr="00DC1722" w:rsidTr="00C20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18" w:type="dxa"/>
          </w:tcPr>
          <w:p w:rsidR="00BB66B8" w:rsidRPr="009C4533" w:rsidRDefault="00BB66B8" w:rsidP="000C36DA">
            <w:pPr>
              <w:rPr>
                <w:color w:val="000000"/>
              </w:rPr>
            </w:pPr>
            <w:r w:rsidRPr="008213C0">
              <w:rPr>
                <w:color w:val="000000"/>
              </w:rPr>
              <w:t>4. Finanšu līdzekļi papildu izdevumu finansēšanai (kompensējošu izdevumu samazinājumu norāda ar "+" zīmi)</w:t>
            </w:r>
          </w:p>
        </w:tc>
        <w:tc>
          <w:tcPr>
            <w:tcW w:w="1649" w:type="dxa"/>
            <w:vAlign w:val="center"/>
          </w:tcPr>
          <w:p w:rsidR="00BB66B8" w:rsidRPr="009C4533" w:rsidRDefault="00BB66B8">
            <w:pPr>
              <w:jc w:val="center"/>
              <w:rPr>
                <w:color w:val="000000"/>
              </w:rPr>
            </w:pPr>
            <w:r>
              <w:t>0</w:t>
            </w:r>
          </w:p>
        </w:tc>
        <w:tc>
          <w:tcPr>
            <w:tcW w:w="1919" w:type="dxa"/>
            <w:vAlign w:val="center"/>
          </w:tcPr>
          <w:p w:rsidR="00BB66B8" w:rsidRPr="000C36DA" w:rsidRDefault="00CD3D05" w:rsidP="00473F09">
            <w:pPr>
              <w:spacing w:before="100" w:beforeAutospacing="1" w:after="100" w:afterAutospacing="1"/>
              <w:jc w:val="center"/>
            </w:pPr>
            <w:r>
              <w:t>20 020</w:t>
            </w:r>
          </w:p>
        </w:tc>
        <w:tc>
          <w:tcPr>
            <w:tcW w:w="1204" w:type="dxa"/>
            <w:vAlign w:val="center"/>
          </w:tcPr>
          <w:p w:rsidR="00BB66B8" w:rsidRPr="000C36DA" w:rsidRDefault="00BB66B8" w:rsidP="009F0085">
            <w:pPr>
              <w:spacing w:before="100" w:beforeAutospacing="1" w:after="100" w:afterAutospacing="1"/>
              <w:jc w:val="center"/>
            </w:pPr>
            <w:r w:rsidRPr="000C36DA">
              <w:t>0</w:t>
            </w:r>
          </w:p>
        </w:tc>
        <w:tc>
          <w:tcPr>
            <w:tcW w:w="1210" w:type="dxa"/>
            <w:gridSpan w:val="2"/>
            <w:vAlign w:val="center"/>
          </w:tcPr>
          <w:p w:rsidR="00BB66B8" w:rsidRPr="000C36DA" w:rsidRDefault="00BB66B8" w:rsidP="009F0085">
            <w:pPr>
              <w:spacing w:before="100" w:beforeAutospacing="1" w:after="100" w:afterAutospacing="1"/>
              <w:jc w:val="center"/>
            </w:pPr>
            <w:r w:rsidRPr="000C36DA">
              <w:t>0</w:t>
            </w:r>
          </w:p>
        </w:tc>
        <w:tc>
          <w:tcPr>
            <w:tcW w:w="1281" w:type="dxa"/>
            <w:vAlign w:val="center"/>
          </w:tcPr>
          <w:p w:rsidR="00BB66B8" w:rsidRPr="000C36DA" w:rsidRDefault="00BB66B8" w:rsidP="009F0085">
            <w:pPr>
              <w:spacing w:before="100" w:beforeAutospacing="1" w:after="100" w:afterAutospacing="1"/>
              <w:jc w:val="center"/>
            </w:pPr>
            <w:r w:rsidRPr="000C36DA">
              <w:t>0</w:t>
            </w:r>
          </w:p>
        </w:tc>
      </w:tr>
      <w:tr w:rsidR="00BB66B8" w:rsidRPr="00DC1722" w:rsidTr="00C20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18" w:type="dxa"/>
          </w:tcPr>
          <w:p w:rsidR="00BB66B8" w:rsidRPr="009C4533" w:rsidRDefault="00BB66B8" w:rsidP="000C36DA">
            <w:pPr>
              <w:rPr>
                <w:color w:val="000000"/>
              </w:rPr>
            </w:pPr>
            <w:r w:rsidRPr="009C4533">
              <w:rPr>
                <w:color w:val="000000"/>
              </w:rPr>
              <w:t>5. Precizēta finansiālā ietekme:</w:t>
            </w:r>
          </w:p>
        </w:tc>
        <w:tc>
          <w:tcPr>
            <w:tcW w:w="1649" w:type="dxa"/>
            <w:vMerge w:val="restart"/>
            <w:vAlign w:val="center"/>
          </w:tcPr>
          <w:p w:rsidR="00BB66B8" w:rsidRPr="00DC1722" w:rsidRDefault="00BB66B8" w:rsidP="000C36DA">
            <w:pPr>
              <w:jc w:val="center"/>
            </w:pPr>
            <w:r w:rsidRPr="00701734">
              <w:rPr>
                <w:b/>
                <w:bCs/>
              </w:rPr>
              <w:t>x</w:t>
            </w:r>
          </w:p>
        </w:tc>
        <w:tc>
          <w:tcPr>
            <w:tcW w:w="1919" w:type="dxa"/>
            <w:vAlign w:val="center"/>
          </w:tcPr>
          <w:p w:rsidR="00BB66B8" w:rsidRPr="00DC1722" w:rsidRDefault="00BB66B8">
            <w:pPr>
              <w:jc w:val="center"/>
            </w:pPr>
            <w:r w:rsidRPr="00DC1722">
              <w:t>0</w:t>
            </w:r>
          </w:p>
        </w:tc>
        <w:tc>
          <w:tcPr>
            <w:tcW w:w="1204" w:type="dxa"/>
            <w:vAlign w:val="center"/>
          </w:tcPr>
          <w:p w:rsidR="00BB66B8" w:rsidRPr="00DC1722" w:rsidRDefault="00BB66B8">
            <w:pPr>
              <w:jc w:val="center"/>
            </w:pPr>
            <w:r w:rsidRPr="00DC1722">
              <w:t>0</w:t>
            </w:r>
          </w:p>
        </w:tc>
        <w:tc>
          <w:tcPr>
            <w:tcW w:w="1199" w:type="dxa"/>
            <w:vAlign w:val="center"/>
          </w:tcPr>
          <w:p w:rsidR="00BB66B8" w:rsidRPr="00DC1722" w:rsidRDefault="00BB66B8">
            <w:pPr>
              <w:jc w:val="center"/>
            </w:pPr>
            <w:r w:rsidRPr="00DC1722">
              <w:t>0</w:t>
            </w:r>
          </w:p>
        </w:tc>
        <w:tc>
          <w:tcPr>
            <w:tcW w:w="1292" w:type="dxa"/>
            <w:gridSpan w:val="2"/>
            <w:vAlign w:val="center"/>
          </w:tcPr>
          <w:p w:rsidR="00BB66B8" w:rsidRPr="00DC1722" w:rsidRDefault="00BB66B8">
            <w:pPr>
              <w:jc w:val="center"/>
            </w:pPr>
            <w:r w:rsidRPr="00DC1722">
              <w:t>0</w:t>
            </w:r>
          </w:p>
        </w:tc>
      </w:tr>
      <w:tr w:rsidR="00BB66B8" w:rsidRPr="00DC1722" w:rsidTr="00C20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518" w:type="dxa"/>
          </w:tcPr>
          <w:p w:rsidR="00BB66B8" w:rsidRPr="009C4533" w:rsidRDefault="00BB66B8" w:rsidP="000C36DA">
            <w:pPr>
              <w:jc w:val="both"/>
              <w:rPr>
                <w:color w:val="000000"/>
              </w:rPr>
            </w:pPr>
            <w:r w:rsidRPr="009C4533">
              <w:rPr>
                <w:color w:val="000000"/>
              </w:rPr>
              <w:t>5.1. valsts pamatbudžets</w:t>
            </w:r>
          </w:p>
        </w:tc>
        <w:tc>
          <w:tcPr>
            <w:tcW w:w="1649" w:type="dxa"/>
            <w:vMerge/>
          </w:tcPr>
          <w:p w:rsidR="00BB66B8" w:rsidRPr="00DC1722" w:rsidRDefault="00BB66B8" w:rsidP="000C36DA">
            <w:pPr>
              <w:jc w:val="center"/>
            </w:pPr>
          </w:p>
        </w:tc>
        <w:tc>
          <w:tcPr>
            <w:tcW w:w="1919" w:type="dxa"/>
            <w:vAlign w:val="center"/>
          </w:tcPr>
          <w:p w:rsidR="00BB66B8" w:rsidRPr="00DC1722" w:rsidRDefault="00BB66B8" w:rsidP="000C36DA">
            <w:pPr>
              <w:jc w:val="center"/>
            </w:pPr>
          </w:p>
        </w:tc>
        <w:tc>
          <w:tcPr>
            <w:tcW w:w="1204" w:type="dxa"/>
            <w:vAlign w:val="center"/>
          </w:tcPr>
          <w:p w:rsidR="00BB66B8" w:rsidRPr="00DC1722" w:rsidRDefault="00BB66B8" w:rsidP="000C36DA">
            <w:pPr>
              <w:jc w:val="center"/>
            </w:pPr>
          </w:p>
        </w:tc>
        <w:tc>
          <w:tcPr>
            <w:tcW w:w="1210" w:type="dxa"/>
            <w:gridSpan w:val="2"/>
            <w:vAlign w:val="center"/>
          </w:tcPr>
          <w:p w:rsidR="00BB66B8" w:rsidRPr="00DC1722" w:rsidRDefault="00BB66B8" w:rsidP="000C36DA">
            <w:pPr>
              <w:jc w:val="center"/>
            </w:pPr>
          </w:p>
        </w:tc>
        <w:tc>
          <w:tcPr>
            <w:tcW w:w="1281" w:type="dxa"/>
            <w:vAlign w:val="center"/>
          </w:tcPr>
          <w:p w:rsidR="00BB66B8" w:rsidRPr="00DC1722" w:rsidRDefault="00BB66B8" w:rsidP="000C36DA">
            <w:pPr>
              <w:jc w:val="center"/>
            </w:pPr>
          </w:p>
        </w:tc>
      </w:tr>
      <w:tr w:rsidR="00BB66B8" w:rsidRPr="00DC1722" w:rsidTr="00C20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518" w:type="dxa"/>
          </w:tcPr>
          <w:p w:rsidR="00BB66B8" w:rsidRPr="009C4533" w:rsidRDefault="00BB66B8" w:rsidP="000C36DA">
            <w:pPr>
              <w:jc w:val="both"/>
              <w:rPr>
                <w:color w:val="000000"/>
              </w:rPr>
            </w:pPr>
            <w:r w:rsidRPr="009C4533">
              <w:rPr>
                <w:color w:val="000000"/>
              </w:rPr>
              <w:t>5.2. speciālais budžets</w:t>
            </w:r>
          </w:p>
        </w:tc>
        <w:tc>
          <w:tcPr>
            <w:tcW w:w="1649" w:type="dxa"/>
            <w:vMerge/>
          </w:tcPr>
          <w:p w:rsidR="00BB66B8" w:rsidRPr="00DC1722" w:rsidRDefault="00BB66B8" w:rsidP="000C36DA">
            <w:pPr>
              <w:jc w:val="center"/>
            </w:pPr>
          </w:p>
        </w:tc>
        <w:tc>
          <w:tcPr>
            <w:tcW w:w="1919" w:type="dxa"/>
            <w:vAlign w:val="center"/>
          </w:tcPr>
          <w:p w:rsidR="00BB66B8" w:rsidRPr="00DC1722" w:rsidRDefault="00BB66B8" w:rsidP="000C36DA">
            <w:pPr>
              <w:jc w:val="center"/>
            </w:pPr>
          </w:p>
        </w:tc>
        <w:tc>
          <w:tcPr>
            <w:tcW w:w="1204" w:type="dxa"/>
            <w:vAlign w:val="center"/>
          </w:tcPr>
          <w:p w:rsidR="00BB66B8" w:rsidRPr="00DC1722" w:rsidRDefault="00BB66B8" w:rsidP="000C36DA">
            <w:pPr>
              <w:jc w:val="center"/>
            </w:pPr>
          </w:p>
        </w:tc>
        <w:tc>
          <w:tcPr>
            <w:tcW w:w="1210" w:type="dxa"/>
            <w:gridSpan w:val="2"/>
            <w:vAlign w:val="center"/>
          </w:tcPr>
          <w:p w:rsidR="00BB66B8" w:rsidRPr="00DC1722" w:rsidRDefault="00BB66B8" w:rsidP="000C36DA">
            <w:pPr>
              <w:jc w:val="center"/>
            </w:pPr>
          </w:p>
        </w:tc>
        <w:tc>
          <w:tcPr>
            <w:tcW w:w="1281" w:type="dxa"/>
            <w:vAlign w:val="center"/>
          </w:tcPr>
          <w:p w:rsidR="00BB66B8" w:rsidRPr="00DC1722" w:rsidRDefault="00BB66B8" w:rsidP="000C36DA">
            <w:pPr>
              <w:jc w:val="center"/>
            </w:pPr>
          </w:p>
        </w:tc>
      </w:tr>
      <w:tr w:rsidR="00BB66B8" w:rsidRPr="00DC1722" w:rsidTr="00C20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518" w:type="dxa"/>
          </w:tcPr>
          <w:p w:rsidR="00BB66B8" w:rsidRPr="009C4533" w:rsidRDefault="00BB66B8" w:rsidP="000C36DA">
            <w:pPr>
              <w:jc w:val="both"/>
              <w:rPr>
                <w:color w:val="000000"/>
              </w:rPr>
            </w:pPr>
            <w:r w:rsidRPr="009C4533">
              <w:rPr>
                <w:color w:val="000000"/>
              </w:rPr>
              <w:t xml:space="preserve">5.3. pašvaldību budžets </w:t>
            </w:r>
          </w:p>
        </w:tc>
        <w:tc>
          <w:tcPr>
            <w:tcW w:w="1649" w:type="dxa"/>
            <w:vMerge/>
          </w:tcPr>
          <w:p w:rsidR="00BB66B8" w:rsidRPr="00DC1722" w:rsidRDefault="00BB66B8" w:rsidP="000C36DA">
            <w:pPr>
              <w:jc w:val="center"/>
            </w:pPr>
          </w:p>
        </w:tc>
        <w:tc>
          <w:tcPr>
            <w:tcW w:w="1919" w:type="dxa"/>
            <w:vAlign w:val="center"/>
          </w:tcPr>
          <w:p w:rsidR="00BB66B8" w:rsidRPr="00DC1722" w:rsidRDefault="00BB66B8" w:rsidP="000C36DA">
            <w:pPr>
              <w:jc w:val="center"/>
            </w:pPr>
          </w:p>
        </w:tc>
        <w:tc>
          <w:tcPr>
            <w:tcW w:w="1204" w:type="dxa"/>
            <w:vAlign w:val="center"/>
          </w:tcPr>
          <w:p w:rsidR="00BB66B8" w:rsidRPr="00DC1722" w:rsidRDefault="00BB66B8" w:rsidP="000C36DA">
            <w:pPr>
              <w:jc w:val="center"/>
            </w:pPr>
          </w:p>
        </w:tc>
        <w:tc>
          <w:tcPr>
            <w:tcW w:w="1210" w:type="dxa"/>
            <w:gridSpan w:val="2"/>
            <w:vAlign w:val="center"/>
          </w:tcPr>
          <w:p w:rsidR="00BB66B8" w:rsidRPr="00DC1722" w:rsidRDefault="00BB66B8" w:rsidP="000C36DA">
            <w:pPr>
              <w:jc w:val="center"/>
            </w:pPr>
          </w:p>
        </w:tc>
        <w:tc>
          <w:tcPr>
            <w:tcW w:w="1281" w:type="dxa"/>
            <w:vAlign w:val="center"/>
          </w:tcPr>
          <w:p w:rsidR="00BB66B8" w:rsidRPr="00DC1722" w:rsidRDefault="00BB66B8" w:rsidP="000C36DA">
            <w:pPr>
              <w:jc w:val="center"/>
            </w:pPr>
          </w:p>
        </w:tc>
      </w:tr>
      <w:tr w:rsidR="00BB66B8" w:rsidRPr="00DC1722" w:rsidTr="00C20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518" w:type="dxa"/>
          </w:tcPr>
          <w:p w:rsidR="00BB66B8" w:rsidRPr="009C4533" w:rsidRDefault="00BB66B8" w:rsidP="000C36DA">
            <w:pPr>
              <w:jc w:val="both"/>
              <w:rPr>
                <w:color w:val="000000"/>
              </w:rPr>
            </w:pPr>
            <w:r w:rsidRPr="009C4533">
              <w:rPr>
                <w:color w:val="000000"/>
              </w:rPr>
              <w:t>6. Detalizēts ieņēmumu un izdevumu aprēķins (ja nepieciešams, detalizētu ieņēmumu un izdevumu aprēķinu var pievienot anotācijas pielikumā):</w:t>
            </w:r>
          </w:p>
        </w:tc>
        <w:tc>
          <w:tcPr>
            <w:tcW w:w="7263" w:type="dxa"/>
            <w:gridSpan w:val="6"/>
            <w:vMerge w:val="restart"/>
          </w:tcPr>
          <w:p w:rsidR="00BB66B8" w:rsidRPr="005C427C" w:rsidRDefault="00BB66B8" w:rsidP="00BF4404">
            <w:pPr>
              <w:tabs>
                <w:tab w:val="left" w:pos="397"/>
              </w:tabs>
              <w:snapToGrid w:val="0"/>
              <w:jc w:val="both"/>
            </w:pPr>
            <w:r w:rsidRPr="005C427C">
              <w:t xml:space="preserve">Rīkojuma projekts paredz piešķirt Labklājības ministrijai 2015.gadā papildu finansējumu </w:t>
            </w:r>
            <w:r w:rsidR="00CD3D05" w:rsidRPr="005C427C">
              <w:t>20 020</w:t>
            </w:r>
            <w:r w:rsidR="00864DD2" w:rsidRPr="005C427C">
              <w:t xml:space="preserve"> </w:t>
            </w:r>
            <w:r w:rsidRPr="005C427C">
              <w:t>EUR apmērā, lai izpildītu Latvijas Republikas starptautiskās saistības un veiktu Latvijas iemaksu SDO par 2015.gadu pilnā apmērā.</w:t>
            </w:r>
          </w:p>
          <w:p w:rsidR="00BB66B8" w:rsidRPr="005C427C" w:rsidRDefault="00BB66B8" w:rsidP="00BF4404">
            <w:pPr>
              <w:tabs>
                <w:tab w:val="left" w:pos="397"/>
              </w:tabs>
              <w:snapToGrid w:val="0"/>
              <w:jc w:val="both"/>
              <w:rPr>
                <w:lang w:eastAsia="en-US"/>
              </w:rPr>
            </w:pPr>
            <w:r w:rsidRPr="005C427C">
              <w:t xml:space="preserve">Latvija atbilstoši SDO konstitūcijai par dalību SDO ik gadu veic iemaksas. </w:t>
            </w:r>
            <w:r w:rsidRPr="005C427C">
              <w:rPr>
                <w:lang w:eastAsia="en-US"/>
              </w:rPr>
              <w:t>Atbilstoši 10.07.2014. Labklājības ministrijā saņemtajai vēstulei no SDO par kārtējām iemaksām 2015.gadā, iemaksu apmērs 2015.gadam noteikts 178 670 CHF</w:t>
            </w:r>
            <w:r w:rsidR="00864DD2" w:rsidRPr="005C427C">
              <w:rPr>
                <w:lang w:eastAsia="en-US"/>
              </w:rPr>
              <w:t>. 2015.gada 18.martā veikts maksājums</w:t>
            </w:r>
            <w:r w:rsidR="00864DD2" w:rsidRPr="005C427C">
              <w:t xml:space="preserve"> 158 083,54 CHF (148 296 EUR </w:t>
            </w:r>
            <w:r w:rsidR="00864DD2" w:rsidRPr="005C427C">
              <w:rPr>
                <w:lang w:eastAsia="en-US"/>
              </w:rPr>
              <w:t xml:space="preserve">(158 083,54 CHF /1.066 </w:t>
            </w:r>
            <w:r w:rsidR="00473F09" w:rsidRPr="005C427C">
              <w:rPr>
                <w:lang w:eastAsia="en-US"/>
              </w:rPr>
              <w:t>CHF</w:t>
            </w:r>
            <w:r w:rsidR="00864DD2" w:rsidRPr="005C427C">
              <w:rPr>
                <w:lang w:eastAsia="en-US"/>
              </w:rPr>
              <w:t xml:space="preserve"> par 1 </w:t>
            </w:r>
            <w:r w:rsidR="00473F09" w:rsidRPr="005C427C">
              <w:rPr>
                <w:lang w:eastAsia="en-US"/>
              </w:rPr>
              <w:t>EUR</w:t>
            </w:r>
            <w:r w:rsidR="00864DD2" w:rsidRPr="005C427C">
              <w:rPr>
                <w:lang w:eastAsia="en-US"/>
              </w:rPr>
              <w:t xml:space="preserve"> (Eiropas Centrālās bankas publicētais eiro atsauces valūtas kurss uz 17.03.2015.)</w:t>
            </w:r>
            <w:r w:rsidR="00864DD2" w:rsidRPr="005C427C">
              <w:t xml:space="preserve">). </w:t>
            </w:r>
            <w:r w:rsidRPr="005C427C">
              <w:rPr>
                <w:lang w:eastAsia="en-US"/>
              </w:rPr>
              <w:t xml:space="preserve">Lai pilnībā veiktu saistību izpildi, Labklājības ministrijai papildu nepieciešams finansējums </w:t>
            </w:r>
            <w:r w:rsidR="00CD3D05" w:rsidRPr="005C427C">
              <w:rPr>
                <w:lang w:eastAsia="en-US"/>
              </w:rPr>
              <w:t>20 019,90</w:t>
            </w:r>
            <w:r w:rsidR="00871D15" w:rsidRPr="005C427C">
              <w:rPr>
                <w:lang w:eastAsia="en-US"/>
              </w:rPr>
              <w:t xml:space="preserve"> </w:t>
            </w:r>
            <w:r w:rsidRPr="005C427C">
              <w:rPr>
                <w:lang w:eastAsia="en-US"/>
              </w:rPr>
              <w:t xml:space="preserve">EUR apmērā, t.i. </w:t>
            </w:r>
            <w:r w:rsidR="005F2EA1" w:rsidRPr="005C427C">
              <w:rPr>
                <w:lang w:eastAsia="en-US"/>
              </w:rPr>
              <w:t xml:space="preserve">(178 670 CHF 2015.gadam noteiktais iemaksu apmērs) - </w:t>
            </w:r>
            <w:r w:rsidRPr="005C427C">
              <w:rPr>
                <w:lang w:eastAsia="en-US"/>
              </w:rPr>
              <w:t>(likuma “Par valsts budžetu 2015.gadam” ietvaros no ministrijas pamatbudžeta apakšprogrammas 97.01.00 „Labklājības nozares vadība un politikas plānošana” 2015.gada 18.martā veiktais maksājums par dalību SDO 148 296 EUR</w:t>
            </w:r>
            <w:r w:rsidR="00864DD2" w:rsidRPr="005C427C">
              <w:rPr>
                <w:lang w:eastAsia="en-US"/>
              </w:rPr>
              <w:t xml:space="preserve"> vai (158 083,54 CHF)</w:t>
            </w:r>
            <w:r w:rsidRPr="005C427C">
              <w:rPr>
                <w:lang w:eastAsia="en-US"/>
              </w:rPr>
              <w:t>)</w:t>
            </w:r>
            <w:r w:rsidR="005F2EA1" w:rsidRPr="005C427C">
              <w:rPr>
                <w:lang w:eastAsia="en-US"/>
              </w:rPr>
              <w:t xml:space="preserve"> = parādsaistību apmērs </w:t>
            </w:r>
            <w:r w:rsidR="00451C27" w:rsidRPr="005C427C">
              <w:rPr>
                <w:lang w:eastAsia="en-US"/>
              </w:rPr>
              <w:t xml:space="preserve">(papildu nepieciešamais finansējums SDO kārtējām iemaksām </w:t>
            </w:r>
            <w:r w:rsidR="005F2EA1" w:rsidRPr="005C427C">
              <w:rPr>
                <w:lang w:eastAsia="en-US"/>
              </w:rPr>
              <w:t>par 2015.gadu</w:t>
            </w:r>
            <w:r w:rsidR="00451C27" w:rsidRPr="005C427C">
              <w:rPr>
                <w:lang w:eastAsia="en-US"/>
              </w:rPr>
              <w:t>)</w:t>
            </w:r>
            <w:r w:rsidR="005F2EA1" w:rsidRPr="005C427C">
              <w:rPr>
                <w:lang w:eastAsia="en-US"/>
              </w:rPr>
              <w:t xml:space="preserve"> 20 586,46 CHF (20</w:t>
            </w:r>
            <w:r w:rsidR="003D7D54" w:rsidRPr="005C427C">
              <w:rPr>
                <w:lang w:eastAsia="en-US"/>
              </w:rPr>
              <w:t> </w:t>
            </w:r>
            <w:r w:rsidR="005F2EA1" w:rsidRPr="005C427C">
              <w:rPr>
                <w:lang w:eastAsia="en-US"/>
              </w:rPr>
              <w:t>586</w:t>
            </w:r>
            <w:r w:rsidR="003D7D54" w:rsidRPr="005C427C">
              <w:rPr>
                <w:lang w:eastAsia="en-US"/>
              </w:rPr>
              <w:t>,</w:t>
            </w:r>
            <w:r w:rsidR="005F2EA1" w:rsidRPr="005C427C">
              <w:rPr>
                <w:lang w:eastAsia="en-US"/>
              </w:rPr>
              <w:t>46 CHF/1,</w:t>
            </w:r>
            <w:r w:rsidR="00CD3D05" w:rsidRPr="005C427C">
              <w:rPr>
                <w:lang w:eastAsia="en-US"/>
              </w:rPr>
              <w:t xml:space="preserve">0283 </w:t>
            </w:r>
            <w:r w:rsidR="00473F09" w:rsidRPr="005C427C">
              <w:rPr>
                <w:lang w:eastAsia="en-US"/>
              </w:rPr>
              <w:t xml:space="preserve">CHF </w:t>
            </w:r>
            <w:r w:rsidR="005F2EA1" w:rsidRPr="005C427C">
              <w:rPr>
                <w:lang w:eastAsia="en-US"/>
              </w:rPr>
              <w:t>par 1</w:t>
            </w:r>
            <w:r w:rsidR="00473F09" w:rsidRPr="005C427C">
              <w:rPr>
                <w:lang w:eastAsia="en-US"/>
              </w:rPr>
              <w:t>EUR</w:t>
            </w:r>
            <w:r w:rsidR="005F2EA1" w:rsidRPr="005C427C">
              <w:rPr>
                <w:lang w:eastAsia="en-US"/>
              </w:rPr>
              <w:t xml:space="preserve"> (Eiropas Centrālās bankas publicētais eiro atsa</w:t>
            </w:r>
            <w:r w:rsidR="00473F09" w:rsidRPr="005C427C">
              <w:rPr>
                <w:lang w:eastAsia="en-US"/>
              </w:rPr>
              <w:t xml:space="preserve">uces valūtas kurss uz </w:t>
            </w:r>
            <w:r w:rsidR="00CD3D05" w:rsidRPr="005C427C">
              <w:rPr>
                <w:lang w:eastAsia="en-US"/>
              </w:rPr>
              <w:t>20</w:t>
            </w:r>
            <w:r w:rsidR="006C0AAC" w:rsidRPr="005C427C">
              <w:rPr>
                <w:lang w:eastAsia="en-US"/>
              </w:rPr>
              <w:t>.04.2015</w:t>
            </w:r>
            <w:r w:rsidR="005F2EA1" w:rsidRPr="005C427C">
              <w:rPr>
                <w:lang w:eastAsia="en-US"/>
              </w:rPr>
              <w:t xml:space="preserve">.= </w:t>
            </w:r>
            <w:r w:rsidR="00CD3D05" w:rsidRPr="005C427C">
              <w:rPr>
                <w:lang w:eastAsia="en-US"/>
              </w:rPr>
              <w:t>20 019,90</w:t>
            </w:r>
            <w:r w:rsidR="005C427C" w:rsidRPr="005C427C">
              <w:rPr>
                <w:lang w:eastAsia="en-US"/>
              </w:rPr>
              <w:t xml:space="preserve"> </w:t>
            </w:r>
            <w:r w:rsidR="005F2EA1" w:rsidRPr="005C427C">
              <w:rPr>
                <w:lang w:eastAsia="en-US"/>
              </w:rPr>
              <w:t xml:space="preserve">EUR) </w:t>
            </w:r>
            <w:r w:rsidR="00CD3D05" w:rsidRPr="005C427C">
              <w:rPr>
                <w:lang w:eastAsia="en-US"/>
              </w:rPr>
              <w:t>20 019,90</w:t>
            </w:r>
            <w:r w:rsidR="00871D15" w:rsidRPr="005C427C">
              <w:rPr>
                <w:lang w:eastAsia="en-US"/>
              </w:rPr>
              <w:t xml:space="preserve"> </w:t>
            </w:r>
            <w:r w:rsidRPr="005C427C">
              <w:rPr>
                <w:lang w:eastAsia="en-US"/>
              </w:rPr>
              <w:t>EUR</w:t>
            </w:r>
            <w:r w:rsidR="005F2EA1" w:rsidRPr="005C427C">
              <w:rPr>
                <w:lang w:eastAsia="en-US"/>
              </w:rPr>
              <w:t xml:space="preserve"> apmērā.</w:t>
            </w:r>
            <w:r w:rsidRPr="005C427C">
              <w:rPr>
                <w:lang w:eastAsia="en-US"/>
              </w:rPr>
              <w:t xml:space="preserve"> </w:t>
            </w:r>
          </w:p>
          <w:p w:rsidR="00BB66B8" w:rsidRPr="005C427C" w:rsidRDefault="00BB66B8" w:rsidP="00BF4404">
            <w:pPr>
              <w:tabs>
                <w:tab w:val="left" w:pos="397"/>
              </w:tabs>
              <w:jc w:val="both"/>
              <w:rPr>
                <w:lang w:eastAsia="en-US"/>
              </w:rPr>
            </w:pPr>
            <w:r w:rsidRPr="005C427C">
              <w:rPr>
                <w:lang w:eastAsia="en-US"/>
              </w:rPr>
              <w:t xml:space="preserve">Likumā “Par valsts budžetu 2015.gadam” finansējums iemaksu veikšanai SDO iestrādāts pēc Finanšu ministrijas 2015.gada budžeta sagatavošanas procesā noteiktā valūtas maiņas kursa prognozes 0.83 EUR par vienu CHF, bet 2015.gadā notikušas krasas valūtas kursa svārstības, ko ietekmēja Šveices centrālās bankas 2015.gada 15.janvāra lēmums likvidēt CHF maksimālo apmēru attiecībā pret EUR, atsakoties no minimālā sliekšņa uz valūtu pāra EUR/CHF, kas bija uz līmeņa 1,2000. </w:t>
            </w:r>
          </w:p>
          <w:p w:rsidR="00BB66B8" w:rsidRPr="005C427C" w:rsidRDefault="00BB66B8" w:rsidP="00BF4404">
            <w:pPr>
              <w:tabs>
                <w:tab w:val="left" w:pos="397"/>
              </w:tabs>
              <w:ind w:left="52"/>
              <w:jc w:val="both"/>
            </w:pPr>
            <w:r w:rsidRPr="005C427C">
              <w:t>Likumā „Par valsts budžetu 2015.gadam” Labklājības ministrijai līdzekļi saistībā ar valūtas kursa svārstībām minētajam mērķiem nav plānoti un esošā finansējuma ietvaros brīvu līdzekļu nav.</w:t>
            </w:r>
          </w:p>
          <w:p w:rsidR="00BB66B8" w:rsidRPr="005C427C" w:rsidRDefault="00BB66B8">
            <w:pPr>
              <w:tabs>
                <w:tab w:val="left" w:pos="397"/>
              </w:tabs>
              <w:snapToGrid w:val="0"/>
              <w:jc w:val="both"/>
            </w:pPr>
            <w:r w:rsidRPr="005C427C">
              <w:rPr>
                <w:lang w:eastAsia="en-US"/>
              </w:rPr>
              <w:t xml:space="preserve">Līdz ar to Labklājības ministrijai ir nepieciešams </w:t>
            </w:r>
            <w:r w:rsidRPr="005C427C">
              <w:t xml:space="preserve">papildu finansējums </w:t>
            </w:r>
            <w:r w:rsidR="00CD3D05" w:rsidRPr="005C427C">
              <w:t>20 019,90</w:t>
            </w:r>
            <w:r w:rsidR="00473F09" w:rsidRPr="005C427C">
              <w:t xml:space="preserve"> </w:t>
            </w:r>
            <w:r w:rsidRPr="005C427C">
              <w:t>EUR apmērā no valsts budžeta pro</w:t>
            </w:r>
            <w:r w:rsidRPr="005C427C">
              <w:softHyphen/>
              <w:t>grammas 02.00.00 "Līdzekļi neparedzē</w:t>
            </w:r>
            <w:r w:rsidRPr="005C427C">
              <w:softHyphen/>
              <w:t>tiem gadīju</w:t>
            </w:r>
            <w:r w:rsidRPr="005C427C">
              <w:softHyphen/>
              <w:t>miem”, lai veiktu Latvijas iemaksu SDO par 2015.gadu pilnā apmērā.</w:t>
            </w:r>
          </w:p>
        </w:tc>
      </w:tr>
      <w:tr w:rsidR="00BB66B8" w:rsidRPr="00DC1722" w:rsidTr="00C20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518" w:type="dxa"/>
          </w:tcPr>
          <w:p w:rsidR="00BB66B8" w:rsidRPr="009C4533" w:rsidRDefault="00BB66B8" w:rsidP="000C36DA">
            <w:pPr>
              <w:rPr>
                <w:color w:val="000000"/>
              </w:rPr>
            </w:pPr>
            <w:r w:rsidRPr="009C4533">
              <w:rPr>
                <w:color w:val="000000"/>
              </w:rPr>
              <w:t>6.1. Detalizēts ieņēmumu aprēķins</w:t>
            </w:r>
          </w:p>
        </w:tc>
        <w:tc>
          <w:tcPr>
            <w:tcW w:w="7263" w:type="dxa"/>
            <w:gridSpan w:val="6"/>
            <w:vMerge/>
            <w:vAlign w:val="center"/>
          </w:tcPr>
          <w:p w:rsidR="00BB66B8" w:rsidRPr="005C427C" w:rsidRDefault="00BB66B8" w:rsidP="000C36DA">
            <w:pPr>
              <w:jc w:val="both"/>
            </w:pPr>
          </w:p>
        </w:tc>
      </w:tr>
      <w:tr w:rsidR="00BB66B8" w:rsidRPr="00DC1722" w:rsidTr="00C20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518" w:type="dxa"/>
          </w:tcPr>
          <w:p w:rsidR="00BB66B8" w:rsidRPr="009C4533" w:rsidRDefault="00BB66B8" w:rsidP="000C36DA">
            <w:pPr>
              <w:rPr>
                <w:color w:val="000000"/>
              </w:rPr>
            </w:pPr>
            <w:r w:rsidRPr="009C4533">
              <w:rPr>
                <w:color w:val="000000"/>
              </w:rPr>
              <w:t>6.2. Detalizēts izdevumu aprēķins</w:t>
            </w:r>
          </w:p>
        </w:tc>
        <w:tc>
          <w:tcPr>
            <w:tcW w:w="7263" w:type="dxa"/>
            <w:gridSpan w:val="6"/>
            <w:vMerge/>
          </w:tcPr>
          <w:p w:rsidR="00BB66B8" w:rsidRPr="005C427C" w:rsidRDefault="00BB66B8" w:rsidP="000C36DA">
            <w:pPr>
              <w:pStyle w:val="NormalWeb"/>
              <w:spacing w:before="0" w:beforeAutospacing="0" w:after="0" w:afterAutospacing="0"/>
              <w:jc w:val="both"/>
            </w:pPr>
          </w:p>
        </w:tc>
      </w:tr>
      <w:tr w:rsidR="00BB66B8" w:rsidRPr="00DC1722" w:rsidTr="00C20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518" w:type="dxa"/>
            <w:tcBorders>
              <w:bottom w:val="outset" w:sz="6" w:space="0" w:color="auto"/>
            </w:tcBorders>
          </w:tcPr>
          <w:p w:rsidR="00BB66B8" w:rsidRPr="00DC1722" w:rsidRDefault="00BB66B8" w:rsidP="000C36DA">
            <w:pPr>
              <w:jc w:val="both"/>
            </w:pPr>
            <w:r w:rsidRPr="00DC1722">
              <w:t xml:space="preserve">7. </w:t>
            </w:r>
            <w:r w:rsidRPr="009C4533">
              <w:rPr>
                <w:color w:val="000000"/>
              </w:rPr>
              <w:t>Cita informācija</w:t>
            </w:r>
          </w:p>
        </w:tc>
        <w:tc>
          <w:tcPr>
            <w:tcW w:w="7263" w:type="dxa"/>
            <w:gridSpan w:val="6"/>
            <w:tcBorders>
              <w:bottom w:val="outset" w:sz="6" w:space="0" w:color="auto"/>
            </w:tcBorders>
          </w:tcPr>
          <w:p w:rsidR="00BB66B8" w:rsidRPr="005C427C" w:rsidRDefault="00BB66B8" w:rsidP="003220D0">
            <w:pPr>
              <w:tabs>
                <w:tab w:val="left" w:pos="397"/>
              </w:tabs>
              <w:snapToGrid w:val="0"/>
              <w:ind w:left="52"/>
              <w:jc w:val="both"/>
            </w:pPr>
            <w:r w:rsidRPr="005C427C">
              <w:t>Izdevumus Latvijas Republikas dalības iemaksas SDO veikšanai pilnā apmērā sedz no valsts budžeta programmas 02.00.00 „Līdzekļi neparedzē</w:t>
            </w:r>
            <w:r w:rsidRPr="005C427C">
              <w:softHyphen/>
              <w:t>tiem gadīju</w:t>
            </w:r>
            <w:r w:rsidRPr="005C427C">
              <w:softHyphen/>
              <w:t>miem”, pārdalot finansējumu uz Labklājības ministrijas programmu 99.00.00 „Līdzekļu neparedzētiem gadījumiem izlietojums”.</w:t>
            </w:r>
          </w:p>
          <w:p w:rsidR="00BB66B8" w:rsidRPr="005C427C" w:rsidRDefault="00BB66B8" w:rsidP="00F768A8">
            <w:pPr>
              <w:tabs>
                <w:tab w:val="left" w:pos="397"/>
              </w:tabs>
              <w:snapToGrid w:val="0"/>
              <w:ind w:left="52"/>
              <w:jc w:val="both"/>
            </w:pPr>
            <w:r w:rsidRPr="005C427C">
              <w:t>*</w:t>
            </w:r>
            <w:r w:rsidR="00491DFC" w:rsidRPr="005C427C">
              <w:t xml:space="preserve"> Labklājības ministrijas budžeta apakšprogrammā 97.01.00 „Labklājības nozares vadība un politikas plānošana” likuma “Par valsts budžetu 2015.gadam” ietvaros iemaksu </w:t>
            </w:r>
            <w:r w:rsidR="00F768A8" w:rsidRPr="005C427C">
              <w:t>SDO</w:t>
            </w:r>
            <w:r w:rsidR="00491DFC" w:rsidRPr="005C427C">
              <w:t xml:space="preserve"> nodrošināšanai plānots finansējums 148 296 EUR apmērā.</w:t>
            </w:r>
          </w:p>
        </w:tc>
      </w:tr>
    </w:tbl>
    <w:p w:rsidR="00BB66B8" w:rsidRDefault="00BB66B8" w:rsidP="00C31E36"/>
    <w:p w:rsidR="00BB66B8" w:rsidRDefault="00BB66B8" w:rsidP="00C31E36"/>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6"/>
        <w:gridCol w:w="5402"/>
      </w:tblGrid>
      <w:tr w:rsidR="00BB66B8" w:rsidRPr="007A4D78" w:rsidTr="006B2CD9">
        <w:tc>
          <w:tcPr>
            <w:tcW w:w="9498" w:type="dxa"/>
            <w:gridSpan w:val="2"/>
          </w:tcPr>
          <w:p w:rsidR="00BB66B8" w:rsidRPr="007A4D78" w:rsidRDefault="00BB66B8" w:rsidP="007A4D78">
            <w:pPr>
              <w:spacing w:before="100" w:beforeAutospacing="1" w:after="100" w:afterAutospacing="1" w:line="360" w:lineRule="auto"/>
              <w:ind w:firstLine="300"/>
              <w:jc w:val="center"/>
              <w:rPr>
                <w:b/>
                <w:bCs/>
              </w:rPr>
            </w:pPr>
            <w:r w:rsidRPr="007A4D78">
              <w:rPr>
                <w:b/>
                <w:bCs/>
              </w:rPr>
              <w:t>V. Tiesību akta projekta atbilstība Latvijas Republikas starptautiskajām saistībām</w:t>
            </w:r>
          </w:p>
        </w:tc>
      </w:tr>
      <w:tr w:rsidR="00BB66B8" w:rsidRPr="0068384F" w:rsidTr="006B2CD9">
        <w:tc>
          <w:tcPr>
            <w:tcW w:w="4096" w:type="dxa"/>
          </w:tcPr>
          <w:p w:rsidR="00BB66B8" w:rsidRPr="006D54D0" w:rsidRDefault="00BB66B8" w:rsidP="007A4D78">
            <w:pPr>
              <w:pStyle w:val="naisf"/>
              <w:spacing w:before="0" w:after="0"/>
              <w:ind w:firstLine="0"/>
              <w:rPr>
                <w:color w:val="000000"/>
              </w:rPr>
            </w:pPr>
            <w:r w:rsidRPr="006D54D0">
              <w:rPr>
                <w:color w:val="000000"/>
              </w:rPr>
              <w:t>Saistības pret Eiropas Savienību</w:t>
            </w:r>
          </w:p>
        </w:tc>
        <w:tc>
          <w:tcPr>
            <w:tcW w:w="5402" w:type="dxa"/>
          </w:tcPr>
          <w:p w:rsidR="00BB66B8" w:rsidRPr="006D54D0" w:rsidRDefault="00BB66B8" w:rsidP="00AC2B38">
            <w:pPr>
              <w:jc w:val="both"/>
              <w:rPr>
                <w:rStyle w:val="HTMLTypewriter"/>
                <w:rFonts w:ascii="Times New Roman" w:hAnsi="Times New Roman" w:cs="Times New Roman"/>
                <w:color w:val="000000"/>
                <w:sz w:val="24"/>
                <w:szCs w:val="24"/>
              </w:rPr>
            </w:pPr>
            <w:r w:rsidRPr="006D54D0">
              <w:rPr>
                <w:rStyle w:val="HTMLTypewriter"/>
                <w:rFonts w:ascii="Times New Roman" w:hAnsi="Times New Roman" w:cs="Times New Roman"/>
                <w:color w:val="000000"/>
                <w:sz w:val="24"/>
                <w:szCs w:val="24"/>
              </w:rPr>
              <w:t>Konferences laikā Latvijai kā prezidējošajai valstij Eiropas Savienības Padomē būs jākoordinē Eiropas Savienības</w:t>
            </w:r>
            <w:r w:rsidRPr="006D54D0">
              <w:rPr>
                <w:color w:val="000000"/>
              </w:rPr>
              <w:t xml:space="preserve"> </w:t>
            </w:r>
            <w:r w:rsidRPr="006D54D0">
              <w:rPr>
                <w:rStyle w:val="HTMLTypewriter"/>
                <w:rFonts w:ascii="Times New Roman" w:hAnsi="Times New Roman" w:cs="Times New Roman"/>
                <w:color w:val="000000"/>
                <w:sz w:val="24"/>
                <w:szCs w:val="24"/>
              </w:rPr>
              <w:t>pozīcijas izstrādāšana un pārstāvēšana vairākās konferences komitejās:</w:t>
            </w:r>
          </w:p>
          <w:p w:rsidR="00BB66B8" w:rsidRPr="006D54D0" w:rsidRDefault="00BB66B8" w:rsidP="00AC2B38">
            <w:pPr>
              <w:pStyle w:val="ListParagraph"/>
              <w:numPr>
                <w:ilvl w:val="0"/>
                <w:numId w:val="14"/>
              </w:numPr>
              <w:jc w:val="both"/>
              <w:rPr>
                <w:rStyle w:val="HTMLTypewriter"/>
                <w:rFonts w:ascii="Times New Roman" w:hAnsi="Times New Roman" w:cs="Times New Roman"/>
                <w:color w:val="000000"/>
                <w:sz w:val="24"/>
                <w:szCs w:val="24"/>
              </w:rPr>
            </w:pPr>
            <w:r w:rsidRPr="006D54D0">
              <w:rPr>
                <w:rStyle w:val="HTMLTypewriter"/>
                <w:rFonts w:ascii="Times New Roman" w:hAnsi="Times New Roman" w:cs="Times New Roman"/>
                <w:color w:val="000000"/>
                <w:sz w:val="24"/>
                <w:szCs w:val="24"/>
              </w:rPr>
              <w:t>Standartu piemērošanas komitejā;</w:t>
            </w:r>
          </w:p>
          <w:p w:rsidR="00BB66B8" w:rsidRPr="006D54D0" w:rsidRDefault="00BB66B8" w:rsidP="00AC2B38">
            <w:pPr>
              <w:pStyle w:val="ListParagraph"/>
              <w:numPr>
                <w:ilvl w:val="0"/>
                <w:numId w:val="14"/>
              </w:numPr>
              <w:jc w:val="both"/>
              <w:rPr>
                <w:rStyle w:val="HTMLTypewriter"/>
                <w:rFonts w:ascii="Times New Roman" w:hAnsi="Times New Roman" w:cs="Times New Roman"/>
                <w:color w:val="000000"/>
                <w:sz w:val="24"/>
                <w:szCs w:val="24"/>
              </w:rPr>
            </w:pPr>
            <w:r w:rsidRPr="006D54D0">
              <w:rPr>
                <w:rStyle w:val="HTMLTypewriter"/>
                <w:rFonts w:ascii="Times New Roman" w:hAnsi="Times New Roman" w:cs="Times New Roman"/>
                <w:color w:val="000000"/>
                <w:sz w:val="24"/>
                <w:szCs w:val="24"/>
              </w:rPr>
              <w:t xml:space="preserve">Komitejā </w:t>
            </w:r>
            <w:r w:rsidRPr="006D54D0">
              <w:rPr>
                <w:color w:val="000000"/>
              </w:rPr>
              <w:t>par ziņojumu par sociālās aizsardzības (darba aizsardzības) stratēģisko mērķi</w:t>
            </w:r>
            <w:r w:rsidRPr="006D54D0">
              <w:rPr>
                <w:rStyle w:val="HTMLTypewriter"/>
                <w:rFonts w:ascii="Times New Roman" w:hAnsi="Times New Roman" w:cs="Times New Roman"/>
                <w:color w:val="000000"/>
                <w:sz w:val="24"/>
                <w:szCs w:val="24"/>
              </w:rPr>
              <w:t>;</w:t>
            </w:r>
          </w:p>
          <w:p w:rsidR="00BB66B8" w:rsidRPr="006D54D0" w:rsidRDefault="00BB66B8" w:rsidP="008320A3">
            <w:pPr>
              <w:pStyle w:val="ListParagraph"/>
              <w:numPr>
                <w:ilvl w:val="0"/>
                <w:numId w:val="14"/>
              </w:numPr>
              <w:jc w:val="both"/>
              <w:rPr>
                <w:color w:val="000000"/>
              </w:rPr>
            </w:pPr>
            <w:r w:rsidRPr="006D54D0">
              <w:rPr>
                <w:rStyle w:val="HTMLTypewriter"/>
                <w:rFonts w:ascii="Times New Roman" w:hAnsi="Times New Roman" w:cs="Times New Roman"/>
                <w:color w:val="000000"/>
                <w:sz w:val="24"/>
                <w:szCs w:val="24"/>
              </w:rPr>
              <w:t>Komitejā par rekomendācijas pieņemšanu p</w:t>
            </w:r>
            <w:r w:rsidRPr="006D54D0">
              <w:rPr>
                <w:color w:val="000000"/>
              </w:rPr>
              <w:t>ārejas no neformālas uz formālu ekonomiku veicināšanai</w:t>
            </w:r>
            <w:r w:rsidRPr="006D54D0">
              <w:rPr>
                <w:rStyle w:val="HTMLTypewriter"/>
                <w:rFonts w:ascii="Times New Roman" w:hAnsi="Times New Roman" w:cs="Times New Roman"/>
                <w:color w:val="000000"/>
                <w:sz w:val="24"/>
                <w:szCs w:val="24"/>
              </w:rPr>
              <w:t xml:space="preserve">. </w:t>
            </w:r>
          </w:p>
        </w:tc>
      </w:tr>
      <w:tr w:rsidR="00BB66B8" w:rsidRPr="0068384F" w:rsidTr="006B2CD9">
        <w:tc>
          <w:tcPr>
            <w:tcW w:w="4096" w:type="dxa"/>
          </w:tcPr>
          <w:p w:rsidR="00BB66B8" w:rsidRPr="006D54D0" w:rsidRDefault="00BB66B8" w:rsidP="007A4D78">
            <w:pPr>
              <w:pStyle w:val="naisf"/>
              <w:spacing w:before="0" w:after="0"/>
              <w:ind w:firstLine="0"/>
              <w:rPr>
                <w:color w:val="000000"/>
              </w:rPr>
            </w:pPr>
            <w:r w:rsidRPr="006D54D0">
              <w:rPr>
                <w:color w:val="000000"/>
              </w:rPr>
              <w:t>Citas starptautiskās saistības</w:t>
            </w:r>
          </w:p>
        </w:tc>
        <w:tc>
          <w:tcPr>
            <w:tcW w:w="5402" w:type="dxa"/>
          </w:tcPr>
          <w:p w:rsidR="00BB66B8" w:rsidRPr="006D54D0" w:rsidRDefault="00BB66B8" w:rsidP="007A4D78">
            <w:pPr>
              <w:pStyle w:val="naisf"/>
              <w:spacing w:before="0" w:after="0"/>
              <w:ind w:firstLine="0"/>
              <w:rPr>
                <w:color w:val="000000"/>
              </w:rPr>
            </w:pPr>
            <w:r>
              <w:rPr>
                <w:color w:val="000000"/>
              </w:rPr>
              <w:t>SDO konstitūcija.</w:t>
            </w:r>
          </w:p>
        </w:tc>
      </w:tr>
      <w:tr w:rsidR="00BB66B8" w:rsidRPr="0068384F" w:rsidTr="006B2CD9">
        <w:tc>
          <w:tcPr>
            <w:tcW w:w="4096" w:type="dxa"/>
          </w:tcPr>
          <w:p w:rsidR="00BB66B8" w:rsidRPr="006D54D0" w:rsidRDefault="00BB66B8" w:rsidP="007A4D78">
            <w:pPr>
              <w:pStyle w:val="naisf"/>
              <w:spacing w:before="0" w:after="0"/>
              <w:ind w:firstLine="0"/>
              <w:rPr>
                <w:color w:val="000000"/>
              </w:rPr>
            </w:pPr>
            <w:r w:rsidRPr="006D54D0">
              <w:rPr>
                <w:color w:val="000000"/>
              </w:rPr>
              <w:t>Cita informācija</w:t>
            </w:r>
          </w:p>
        </w:tc>
        <w:tc>
          <w:tcPr>
            <w:tcW w:w="5402" w:type="dxa"/>
          </w:tcPr>
          <w:p w:rsidR="00BB66B8" w:rsidRPr="006D54D0" w:rsidRDefault="00BB66B8" w:rsidP="001505DB">
            <w:pPr>
              <w:jc w:val="both"/>
              <w:rPr>
                <w:color w:val="000000"/>
              </w:rPr>
            </w:pPr>
            <w:r>
              <w:rPr>
                <w:color w:val="000000"/>
              </w:rPr>
              <w:t>Š</w:t>
            </w:r>
            <w:r w:rsidRPr="009C4533">
              <w:rPr>
                <w:color w:val="000000"/>
              </w:rPr>
              <w:t>ī gada konferences prezidenta amatā ir apstiprināta Labklājības ministrijas valsts sekretāre I.Jaunzeme. Konferences prezidenta pienākumos ietilpst kopējā konferences darba organizēšana, koordinācijas nodrošināšana starp dažādām konferences komitejām, diskusiju vadīšana konferences plenārsesijās un augsta līmeņa segmentā (</w:t>
            </w:r>
            <w:r w:rsidRPr="009C4533">
              <w:rPr>
                <w:i/>
                <w:iCs/>
                <w:color w:val="000000"/>
              </w:rPr>
              <w:t>World of work summit</w:t>
            </w:r>
            <w:r w:rsidRPr="009C4533">
              <w:rPr>
                <w:color w:val="000000"/>
              </w:rPr>
              <w:t>), kā arī balsošanas par konferencē pieņemamajiem lēmumiem vadīšana</w:t>
            </w:r>
            <w:r>
              <w:rPr>
                <w:color w:val="000000"/>
              </w:rPr>
              <w:t>.</w:t>
            </w:r>
          </w:p>
        </w:tc>
      </w:tr>
    </w:tbl>
    <w:p w:rsidR="00BB66B8" w:rsidRPr="00AF544C" w:rsidRDefault="00BB66B8" w:rsidP="00C31E36"/>
    <w:tbl>
      <w:tblPr>
        <w:tblW w:w="9538" w:type="dxa"/>
        <w:tblInd w:w="-26"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2223"/>
        <w:gridCol w:w="3102"/>
        <w:gridCol w:w="4213"/>
      </w:tblGrid>
      <w:tr w:rsidR="00BB66B8" w:rsidRPr="00194421">
        <w:trPr>
          <w:trHeight w:val="20"/>
        </w:trPr>
        <w:tc>
          <w:tcPr>
            <w:tcW w:w="9538" w:type="dxa"/>
            <w:gridSpan w:val="3"/>
            <w:tcBorders>
              <w:top w:val="outset" w:sz="6" w:space="0" w:color="auto"/>
              <w:bottom w:val="outset" w:sz="6" w:space="0" w:color="auto"/>
            </w:tcBorders>
            <w:vAlign w:val="center"/>
          </w:tcPr>
          <w:p w:rsidR="00BB66B8" w:rsidRPr="006D54D0" w:rsidRDefault="00BB66B8" w:rsidP="00C31E36">
            <w:pPr>
              <w:ind w:left="57"/>
              <w:jc w:val="center"/>
              <w:rPr>
                <w:b/>
                <w:bCs/>
                <w:color w:val="000000"/>
              </w:rPr>
            </w:pPr>
            <w:r w:rsidRPr="006D54D0">
              <w:rPr>
                <w:b/>
                <w:bCs/>
                <w:color w:val="000000"/>
              </w:rPr>
              <w:t>2.tabula</w:t>
            </w:r>
          </w:p>
          <w:p w:rsidR="00BB66B8" w:rsidRPr="006D54D0" w:rsidRDefault="00BB66B8" w:rsidP="00C31E36">
            <w:pPr>
              <w:ind w:left="57"/>
              <w:jc w:val="center"/>
              <w:rPr>
                <w:b/>
                <w:bCs/>
                <w:color w:val="000000"/>
              </w:rPr>
            </w:pPr>
            <w:r w:rsidRPr="006D54D0">
              <w:rPr>
                <w:b/>
                <w:bCs/>
                <w:color w:val="000000"/>
              </w:rPr>
              <w:t>Ar tiesību akta projektu izpildītās vai uzņemtās saistības, kas izriet no starptautiskajiem tiesību aktiem vai starptautiskas institūcijas vai organizācijas dokumentiem.</w:t>
            </w:r>
          </w:p>
          <w:p w:rsidR="00BB66B8" w:rsidRPr="006D54D0" w:rsidRDefault="00BB66B8" w:rsidP="00C31E36">
            <w:pPr>
              <w:ind w:left="57"/>
              <w:jc w:val="center"/>
              <w:rPr>
                <w:b/>
                <w:bCs/>
                <w:color w:val="000000"/>
              </w:rPr>
            </w:pPr>
            <w:r w:rsidRPr="006D54D0">
              <w:rPr>
                <w:b/>
                <w:bCs/>
                <w:color w:val="000000"/>
              </w:rPr>
              <w:t>Pasākumi šo saistību izpildei</w:t>
            </w:r>
          </w:p>
        </w:tc>
      </w:tr>
      <w:tr w:rsidR="00BB66B8" w:rsidRPr="00194421">
        <w:trPr>
          <w:trHeight w:val="20"/>
        </w:trPr>
        <w:tc>
          <w:tcPr>
            <w:tcW w:w="2223" w:type="dxa"/>
            <w:tcBorders>
              <w:top w:val="outset" w:sz="6" w:space="0" w:color="auto"/>
              <w:bottom w:val="outset" w:sz="6" w:space="0" w:color="auto"/>
              <w:right w:val="outset" w:sz="6" w:space="0" w:color="auto"/>
            </w:tcBorders>
            <w:vAlign w:val="center"/>
          </w:tcPr>
          <w:p w:rsidR="00BB66B8" w:rsidRPr="006D54D0" w:rsidRDefault="00BB66B8" w:rsidP="00C31E36">
            <w:pPr>
              <w:ind w:left="57"/>
              <w:rPr>
                <w:color w:val="000000"/>
              </w:rPr>
            </w:pPr>
            <w:r w:rsidRPr="006D54D0">
              <w:rPr>
                <w:color w:val="000000"/>
              </w:rPr>
              <w:t>Attiecīgā starptautiskā tiesību akta vai starptautiskas institūcijas vai organizācijas dokumenta (turpmāk – starptautiskais dokuments) datums, numurs un nosaukums</w:t>
            </w:r>
          </w:p>
        </w:tc>
        <w:tc>
          <w:tcPr>
            <w:tcW w:w="7315" w:type="dxa"/>
            <w:gridSpan w:val="2"/>
            <w:tcBorders>
              <w:top w:val="outset" w:sz="6" w:space="0" w:color="auto"/>
              <w:left w:val="outset" w:sz="6" w:space="0" w:color="auto"/>
              <w:bottom w:val="outset" w:sz="6" w:space="0" w:color="auto"/>
            </w:tcBorders>
          </w:tcPr>
          <w:p w:rsidR="00BB66B8" w:rsidRPr="00194421" w:rsidRDefault="00BB66B8" w:rsidP="00C31E36">
            <w:pPr>
              <w:ind w:left="57"/>
            </w:pPr>
            <w:r>
              <w:t xml:space="preserve">SDO konstitūcija. </w:t>
            </w:r>
          </w:p>
        </w:tc>
      </w:tr>
      <w:tr w:rsidR="00BB66B8" w:rsidRPr="00194421">
        <w:trPr>
          <w:trHeight w:val="20"/>
        </w:trPr>
        <w:tc>
          <w:tcPr>
            <w:tcW w:w="2223" w:type="dxa"/>
            <w:tcBorders>
              <w:top w:val="outset" w:sz="6" w:space="0" w:color="auto"/>
              <w:bottom w:val="outset" w:sz="6" w:space="0" w:color="auto"/>
              <w:right w:val="outset" w:sz="6" w:space="0" w:color="auto"/>
            </w:tcBorders>
            <w:vAlign w:val="center"/>
          </w:tcPr>
          <w:p w:rsidR="00BB66B8" w:rsidRPr="00194421" w:rsidRDefault="00BB66B8" w:rsidP="00C31E36">
            <w:pPr>
              <w:ind w:left="57"/>
              <w:jc w:val="center"/>
            </w:pPr>
            <w:r w:rsidRPr="00194421">
              <w:t>A</w:t>
            </w:r>
          </w:p>
        </w:tc>
        <w:tc>
          <w:tcPr>
            <w:tcW w:w="3102" w:type="dxa"/>
            <w:tcBorders>
              <w:top w:val="outset" w:sz="6" w:space="0" w:color="auto"/>
              <w:left w:val="outset" w:sz="6" w:space="0" w:color="auto"/>
              <w:bottom w:val="outset" w:sz="6" w:space="0" w:color="auto"/>
              <w:right w:val="outset" w:sz="6" w:space="0" w:color="auto"/>
            </w:tcBorders>
            <w:vAlign w:val="center"/>
          </w:tcPr>
          <w:p w:rsidR="00BB66B8" w:rsidRPr="00194421" w:rsidRDefault="00BB66B8" w:rsidP="00C31E36">
            <w:pPr>
              <w:ind w:left="57"/>
              <w:jc w:val="center"/>
            </w:pPr>
            <w:r w:rsidRPr="00194421">
              <w:t>B</w:t>
            </w:r>
          </w:p>
        </w:tc>
        <w:tc>
          <w:tcPr>
            <w:tcW w:w="4213" w:type="dxa"/>
            <w:tcBorders>
              <w:top w:val="outset" w:sz="6" w:space="0" w:color="auto"/>
              <w:left w:val="outset" w:sz="6" w:space="0" w:color="auto"/>
              <w:bottom w:val="outset" w:sz="6" w:space="0" w:color="auto"/>
            </w:tcBorders>
            <w:vAlign w:val="center"/>
          </w:tcPr>
          <w:p w:rsidR="00BB66B8" w:rsidRPr="00194421" w:rsidRDefault="00BB66B8" w:rsidP="00C31E36">
            <w:pPr>
              <w:ind w:left="57"/>
              <w:jc w:val="center"/>
            </w:pPr>
            <w:r w:rsidRPr="00194421">
              <w:t>C</w:t>
            </w:r>
          </w:p>
        </w:tc>
      </w:tr>
      <w:tr w:rsidR="00BB66B8" w:rsidRPr="00194421">
        <w:trPr>
          <w:trHeight w:val="20"/>
        </w:trPr>
        <w:tc>
          <w:tcPr>
            <w:tcW w:w="2223" w:type="dxa"/>
            <w:tcBorders>
              <w:top w:val="outset" w:sz="6" w:space="0" w:color="auto"/>
              <w:bottom w:val="outset" w:sz="6" w:space="0" w:color="auto"/>
              <w:right w:val="outset" w:sz="6" w:space="0" w:color="auto"/>
            </w:tcBorders>
          </w:tcPr>
          <w:p w:rsidR="00BB66B8" w:rsidRPr="006D54D0" w:rsidRDefault="00BB66B8" w:rsidP="00C31E36">
            <w:pPr>
              <w:spacing w:after="120"/>
              <w:ind w:left="57"/>
              <w:rPr>
                <w:color w:val="000000"/>
              </w:rPr>
            </w:pPr>
            <w:r w:rsidRPr="006D54D0">
              <w:rPr>
                <w:color w:val="000000"/>
              </w:rPr>
              <w:t>Starptautiskās saistības (pēc būtības), kas izriet no norādītā starptautiskā dokumenta.</w:t>
            </w:r>
          </w:p>
          <w:p w:rsidR="00BB66B8" w:rsidRPr="006D54D0" w:rsidRDefault="00BB66B8" w:rsidP="00C31E36">
            <w:pPr>
              <w:ind w:left="57"/>
              <w:rPr>
                <w:color w:val="000000"/>
              </w:rPr>
            </w:pPr>
            <w:r w:rsidRPr="006D54D0">
              <w:rPr>
                <w:color w:val="000000"/>
              </w:rPr>
              <w:t>Konkrēti veicamie pasākumi vai uzdevumi, kas nepieciešami šo starptautisko saistību izpildei</w:t>
            </w:r>
          </w:p>
        </w:tc>
        <w:tc>
          <w:tcPr>
            <w:tcW w:w="3102" w:type="dxa"/>
            <w:tcBorders>
              <w:top w:val="outset" w:sz="6" w:space="0" w:color="auto"/>
              <w:left w:val="outset" w:sz="6" w:space="0" w:color="auto"/>
              <w:bottom w:val="outset" w:sz="6" w:space="0" w:color="auto"/>
              <w:right w:val="outset" w:sz="6" w:space="0" w:color="auto"/>
            </w:tcBorders>
          </w:tcPr>
          <w:p w:rsidR="00BB66B8" w:rsidRPr="006D54D0" w:rsidRDefault="00BB66B8" w:rsidP="00C31E36">
            <w:pPr>
              <w:ind w:left="57"/>
              <w:rPr>
                <w:color w:val="000000"/>
              </w:rPr>
            </w:pPr>
            <w:r w:rsidRPr="006D54D0">
              <w:rPr>
                <w:color w:val="000000"/>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213" w:type="dxa"/>
            <w:tcBorders>
              <w:top w:val="outset" w:sz="6" w:space="0" w:color="auto"/>
              <w:left w:val="outset" w:sz="6" w:space="0" w:color="auto"/>
              <w:bottom w:val="outset" w:sz="6" w:space="0" w:color="auto"/>
            </w:tcBorders>
          </w:tcPr>
          <w:p w:rsidR="00BB66B8" w:rsidRPr="006D54D0" w:rsidRDefault="00BB66B8" w:rsidP="00C31E36">
            <w:pPr>
              <w:spacing w:after="120"/>
              <w:ind w:left="57"/>
              <w:rPr>
                <w:color w:val="000000"/>
              </w:rPr>
            </w:pPr>
            <w:r w:rsidRPr="006D54D0">
              <w:rPr>
                <w:color w:val="000000"/>
              </w:rPr>
              <w:t>Informācija par to, vai starptautiskās saistības, kas minētas šīs tabulas A ailē, tiek izpildītas pilnībā vai daļēji.</w:t>
            </w:r>
          </w:p>
          <w:p w:rsidR="00BB66B8" w:rsidRPr="006D54D0" w:rsidRDefault="00BB66B8" w:rsidP="00C31E36">
            <w:pPr>
              <w:spacing w:after="120"/>
              <w:ind w:left="57"/>
              <w:rPr>
                <w:color w:val="000000"/>
              </w:rPr>
            </w:pPr>
            <w:r w:rsidRPr="006D54D0">
              <w:rPr>
                <w:color w:val="000000"/>
              </w:rPr>
              <w:t>Ja attiecīgās starptautiskās saistības tiek izpildītas daļēji, sniedz attiecīgu skaidrojumu, kā arī precīzi norāda, kad un kādā veidā starptautiskās saistības tiks izpildītas pilnībā.</w:t>
            </w:r>
          </w:p>
          <w:p w:rsidR="00BB66B8" w:rsidRPr="006D54D0" w:rsidRDefault="00BB66B8" w:rsidP="00C31E36">
            <w:pPr>
              <w:ind w:left="57" w:right="57"/>
              <w:rPr>
                <w:color w:val="000000"/>
              </w:rPr>
            </w:pPr>
            <w:r w:rsidRPr="006D54D0">
              <w:rPr>
                <w:color w:val="000000"/>
              </w:rPr>
              <w:t>Norāda institūciju, kas ir atbildīga par šo saistību izpildi pilnībā</w:t>
            </w:r>
          </w:p>
        </w:tc>
      </w:tr>
      <w:tr w:rsidR="00BB66B8" w:rsidRPr="00194421">
        <w:trPr>
          <w:trHeight w:val="20"/>
        </w:trPr>
        <w:tc>
          <w:tcPr>
            <w:tcW w:w="2223" w:type="dxa"/>
            <w:tcBorders>
              <w:top w:val="outset" w:sz="6" w:space="0" w:color="auto"/>
              <w:bottom w:val="outset" w:sz="6" w:space="0" w:color="auto"/>
              <w:right w:val="outset" w:sz="6" w:space="0" w:color="auto"/>
            </w:tcBorders>
          </w:tcPr>
          <w:p w:rsidR="00BB66B8" w:rsidRPr="006D54D0" w:rsidRDefault="00BB66B8" w:rsidP="003220D0">
            <w:pPr>
              <w:ind w:left="57"/>
              <w:rPr>
                <w:color w:val="000000"/>
              </w:rPr>
            </w:pPr>
            <w:r w:rsidRPr="003220D0">
              <w:rPr>
                <w:color w:val="000000"/>
              </w:rPr>
              <w:t>SDO konstitūcijas 13.pants</w:t>
            </w:r>
            <w:r>
              <w:rPr>
                <w:color w:val="000000"/>
              </w:rPr>
              <w:t xml:space="preserve"> nosaka SDO dalībvalstu pienākumu veikt dalības maksu. Konstitūcijas </w:t>
            </w:r>
            <w:r w:rsidRPr="006D54D0">
              <w:rPr>
                <w:color w:val="000000"/>
              </w:rPr>
              <w:t>3.panta 1.punkts nosaka ikgadējās konferences delegācijas sastāvu</w:t>
            </w:r>
            <w:r>
              <w:rPr>
                <w:color w:val="000000"/>
              </w:rPr>
              <w:t>.</w:t>
            </w:r>
          </w:p>
        </w:tc>
        <w:tc>
          <w:tcPr>
            <w:tcW w:w="3102" w:type="dxa"/>
            <w:tcBorders>
              <w:top w:val="outset" w:sz="6" w:space="0" w:color="auto"/>
              <w:left w:val="outset" w:sz="6" w:space="0" w:color="auto"/>
              <w:bottom w:val="outset" w:sz="6" w:space="0" w:color="auto"/>
              <w:right w:val="outset" w:sz="6" w:space="0" w:color="auto"/>
            </w:tcBorders>
          </w:tcPr>
          <w:p w:rsidR="00BB66B8" w:rsidRPr="000D23A9" w:rsidRDefault="00BB66B8" w:rsidP="003220D0">
            <w:pPr>
              <w:ind w:left="57"/>
              <w:jc w:val="both"/>
              <w:rPr>
                <w:color w:val="000000"/>
              </w:rPr>
            </w:pPr>
            <w:r w:rsidRPr="000D23A9">
              <w:rPr>
                <w:color w:val="000000"/>
              </w:rPr>
              <w:t>Rīkojuma projekta teksts.</w:t>
            </w:r>
          </w:p>
          <w:p w:rsidR="00BB66B8" w:rsidRPr="006D54D0" w:rsidRDefault="00BB66B8" w:rsidP="003220D0">
            <w:pPr>
              <w:ind w:left="57"/>
              <w:rPr>
                <w:color w:val="000000"/>
              </w:rPr>
            </w:pPr>
            <w:r w:rsidRPr="000D23A9">
              <w:rPr>
                <w:color w:val="000000"/>
              </w:rPr>
              <w:t>Latvija kā SDO dalībvalsts ir ratificējusi SDO konstitūciju, līdz ar to Latvijai ir pienākumus veikt ik gadu dalības maksu</w:t>
            </w:r>
            <w:r>
              <w:rPr>
                <w:color w:val="000000"/>
              </w:rPr>
              <w:t xml:space="preserve">, kā arī nodrošināt Latvijas trīspusējās delegācijas pilnvērtīgu dalību konferencē. </w:t>
            </w:r>
          </w:p>
          <w:p w:rsidR="00BB66B8" w:rsidRPr="006D54D0" w:rsidRDefault="00BB66B8" w:rsidP="00C31E36">
            <w:pPr>
              <w:ind w:left="57"/>
              <w:rPr>
                <w:color w:val="000000"/>
              </w:rPr>
            </w:pPr>
            <w:r w:rsidRPr="006D54D0">
              <w:rPr>
                <w:color w:val="000000"/>
              </w:rPr>
              <w:t xml:space="preserve"> </w:t>
            </w:r>
          </w:p>
        </w:tc>
        <w:tc>
          <w:tcPr>
            <w:tcW w:w="4213" w:type="dxa"/>
            <w:tcBorders>
              <w:top w:val="outset" w:sz="6" w:space="0" w:color="auto"/>
              <w:left w:val="outset" w:sz="6" w:space="0" w:color="auto"/>
              <w:bottom w:val="outset" w:sz="6" w:space="0" w:color="auto"/>
            </w:tcBorders>
          </w:tcPr>
          <w:p w:rsidR="00BB66B8" w:rsidRPr="006D54D0" w:rsidRDefault="00BB66B8" w:rsidP="00C31E36">
            <w:pPr>
              <w:ind w:left="57"/>
              <w:rPr>
                <w:color w:val="000000"/>
              </w:rPr>
            </w:pPr>
            <w:r w:rsidRPr="006D54D0">
              <w:rPr>
                <w:color w:val="000000"/>
              </w:rPr>
              <w:t>Pilnībā</w:t>
            </w:r>
          </w:p>
        </w:tc>
      </w:tr>
      <w:tr w:rsidR="00BB66B8" w:rsidRPr="00194421">
        <w:trPr>
          <w:trHeight w:val="20"/>
        </w:trPr>
        <w:tc>
          <w:tcPr>
            <w:tcW w:w="2223" w:type="dxa"/>
            <w:tcBorders>
              <w:top w:val="outset" w:sz="6" w:space="0" w:color="auto"/>
              <w:bottom w:val="outset" w:sz="6" w:space="0" w:color="auto"/>
              <w:right w:val="outset" w:sz="6" w:space="0" w:color="auto"/>
            </w:tcBorders>
          </w:tcPr>
          <w:p w:rsidR="00BB66B8" w:rsidRPr="006D54D0" w:rsidRDefault="00BB66B8" w:rsidP="00C31E36">
            <w:pPr>
              <w:ind w:left="57"/>
              <w:rPr>
                <w:color w:val="000000"/>
              </w:rPr>
            </w:pPr>
            <w:r w:rsidRPr="006D54D0">
              <w:rPr>
                <w:color w:val="000000"/>
              </w:rPr>
              <w:t>Vai starptautiskajā dokumentā paredzētās saistības nav pretrunā ar jau esošajām Latvijas Republikas starptautiskajām saistībām</w:t>
            </w:r>
          </w:p>
        </w:tc>
        <w:tc>
          <w:tcPr>
            <w:tcW w:w="7315" w:type="dxa"/>
            <w:gridSpan w:val="2"/>
            <w:tcBorders>
              <w:top w:val="outset" w:sz="6" w:space="0" w:color="auto"/>
              <w:left w:val="outset" w:sz="6" w:space="0" w:color="auto"/>
              <w:bottom w:val="outset" w:sz="6" w:space="0" w:color="auto"/>
            </w:tcBorders>
          </w:tcPr>
          <w:p w:rsidR="00BB66B8" w:rsidRPr="006D54D0" w:rsidRDefault="00BB66B8" w:rsidP="00C31E36">
            <w:pPr>
              <w:ind w:left="57"/>
              <w:rPr>
                <w:color w:val="000000"/>
              </w:rPr>
            </w:pPr>
            <w:r w:rsidRPr="006D54D0">
              <w:rPr>
                <w:color w:val="000000"/>
              </w:rPr>
              <w:t>SDO konstitūcijā paredzētās saistības nav pretrunā ar jau esošajām Latvijas Republikas starptautiskajām saistībām.</w:t>
            </w:r>
          </w:p>
        </w:tc>
      </w:tr>
      <w:tr w:rsidR="00BB66B8" w:rsidRPr="00194421">
        <w:trPr>
          <w:trHeight w:val="20"/>
        </w:trPr>
        <w:tc>
          <w:tcPr>
            <w:tcW w:w="2223" w:type="dxa"/>
            <w:tcBorders>
              <w:top w:val="outset" w:sz="6" w:space="0" w:color="auto"/>
              <w:bottom w:val="outset" w:sz="6" w:space="0" w:color="auto"/>
              <w:right w:val="outset" w:sz="6" w:space="0" w:color="auto"/>
            </w:tcBorders>
          </w:tcPr>
          <w:p w:rsidR="00BB66B8" w:rsidRPr="006D54D0" w:rsidRDefault="00BB66B8" w:rsidP="00C31E36">
            <w:pPr>
              <w:ind w:left="57"/>
              <w:rPr>
                <w:color w:val="000000"/>
              </w:rPr>
            </w:pPr>
            <w:r w:rsidRPr="006D54D0">
              <w:rPr>
                <w:color w:val="000000"/>
              </w:rPr>
              <w:t>Cita informācija</w:t>
            </w:r>
          </w:p>
        </w:tc>
        <w:tc>
          <w:tcPr>
            <w:tcW w:w="7315" w:type="dxa"/>
            <w:gridSpan w:val="2"/>
            <w:tcBorders>
              <w:top w:val="outset" w:sz="6" w:space="0" w:color="auto"/>
              <w:left w:val="outset" w:sz="6" w:space="0" w:color="auto"/>
              <w:bottom w:val="outset" w:sz="6" w:space="0" w:color="auto"/>
            </w:tcBorders>
          </w:tcPr>
          <w:p w:rsidR="00BB66B8" w:rsidRPr="006D54D0" w:rsidRDefault="00BB66B8" w:rsidP="00C31E36">
            <w:pPr>
              <w:ind w:left="57"/>
              <w:rPr>
                <w:color w:val="000000"/>
              </w:rPr>
            </w:pPr>
            <w:r w:rsidRPr="006D54D0">
              <w:rPr>
                <w:color w:val="000000"/>
              </w:rPr>
              <w:t>Nav</w:t>
            </w:r>
          </w:p>
        </w:tc>
      </w:tr>
    </w:tbl>
    <w:p w:rsidR="00BB66B8" w:rsidRPr="00BE5448" w:rsidRDefault="00BB66B8" w:rsidP="00EC1157">
      <w:pPr>
        <w:pStyle w:val="naisf"/>
        <w:spacing w:before="0" w:after="0"/>
        <w:ind w:firstLine="0"/>
      </w:pPr>
    </w:p>
    <w:p w:rsidR="00BB66B8" w:rsidRPr="00BE5448" w:rsidRDefault="00BB66B8" w:rsidP="00EC1157">
      <w:pPr>
        <w:pStyle w:val="naisf"/>
        <w:spacing w:before="0" w:after="0"/>
        <w:ind w:firstLine="0"/>
      </w:pPr>
    </w:p>
    <w:tbl>
      <w:tblPr>
        <w:tblW w:w="9535"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0"/>
        <w:gridCol w:w="4296"/>
        <w:gridCol w:w="4759"/>
      </w:tblGrid>
      <w:tr w:rsidR="00BB66B8" w:rsidRPr="007C0F2C">
        <w:tc>
          <w:tcPr>
            <w:tcW w:w="9535" w:type="dxa"/>
            <w:gridSpan w:val="3"/>
          </w:tcPr>
          <w:p w:rsidR="00BB66B8" w:rsidRPr="006D54D0" w:rsidRDefault="00BB66B8" w:rsidP="007D099D">
            <w:pPr>
              <w:pStyle w:val="naisnod"/>
              <w:spacing w:before="0" w:after="0"/>
              <w:ind w:left="57" w:right="57"/>
              <w:rPr>
                <w:color w:val="000000"/>
              </w:rPr>
            </w:pPr>
            <w:r w:rsidRPr="006D54D0">
              <w:rPr>
                <w:color w:val="000000"/>
              </w:rPr>
              <w:t>VII. Tiesību akta projekta izpildes nodrošināšana un tās ietekme uz institūcijām</w:t>
            </w:r>
          </w:p>
        </w:tc>
      </w:tr>
      <w:tr w:rsidR="00BB66B8" w:rsidRPr="007C0F2C" w:rsidTr="006B2CD9">
        <w:trPr>
          <w:trHeight w:val="427"/>
        </w:trPr>
        <w:tc>
          <w:tcPr>
            <w:tcW w:w="480" w:type="dxa"/>
          </w:tcPr>
          <w:p w:rsidR="00BB66B8" w:rsidRPr="007C0F2C" w:rsidRDefault="00BB66B8" w:rsidP="007D099D">
            <w:pPr>
              <w:pStyle w:val="naisnod"/>
              <w:spacing w:before="0" w:after="0"/>
              <w:ind w:left="57" w:right="57"/>
              <w:jc w:val="left"/>
              <w:rPr>
                <w:b w:val="0"/>
                <w:bCs w:val="0"/>
              </w:rPr>
            </w:pPr>
            <w:r w:rsidRPr="007C0F2C">
              <w:rPr>
                <w:b w:val="0"/>
                <w:bCs w:val="0"/>
                <w:sz w:val="22"/>
                <w:szCs w:val="22"/>
              </w:rPr>
              <w:t>1.</w:t>
            </w:r>
          </w:p>
        </w:tc>
        <w:tc>
          <w:tcPr>
            <w:tcW w:w="4296" w:type="dxa"/>
          </w:tcPr>
          <w:p w:rsidR="00BB66B8" w:rsidRPr="006D54D0" w:rsidRDefault="00BB66B8" w:rsidP="007D099D">
            <w:pPr>
              <w:pStyle w:val="naisf"/>
              <w:spacing w:before="0" w:after="0"/>
              <w:ind w:left="57" w:right="57" w:firstLine="0"/>
              <w:jc w:val="left"/>
              <w:rPr>
                <w:color w:val="000000"/>
              </w:rPr>
            </w:pPr>
            <w:r w:rsidRPr="006D54D0">
              <w:rPr>
                <w:color w:val="000000"/>
              </w:rPr>
              <w:t xml:space="preserve">Projekta izpildē iesaistītās institūcijas </w:t>
            </w:r>
          </w:p>
        </w:tc>
        <w:tc>
          <w:tcPr>
            <w:tcW w:w="4759" w:type="dxa"/>
          </w:tcPr>
          <w:p w:rsidR="00BB66B8" w:rsidRPr="006D54D0" w:rsidRDefault="00BB66B8" w:rsidP="002A4DBA">
            <w:pPr>
              <w:pStyle w:val="naisnod"/>
              <w:spacing w:before="0" w:after="0"/>
              <w:ind w:left="57" w:right="57"/>
              <w:jc w:val="left"/>
              <w:rPr>
                <w:b w:val="0"/>
                <w:bCs w:val="0"/>
                <w:color w:val="000000"/>
              </w:rPr>
            </w:pPr>
            <w:r>
              <w:rPr>
                <w:b w:val="0"/>
                <w:bCs w:val="0"/>
                <w:color w:val="000000"/>
              </w:rPr>
              <w:t>Labklājības ministrija, Finanšu ministrija</w:t>
            </w:r>
          </w:p>
        </w:tc>
      </w:tr>
      <w:tr w:rsidR="00BB66B8" w:rsidRPr="007C0F2C" w:rsidTr="006B2CD9">
        <w:trPr>
          <w:trHeight w:val="463"/>
        </w:trPr>
        <w:tc>
          <w:tcPr>
            <w:tcW w:w="480" w:type="dxa"/>
          </w:tcPr>
          <w:p w:rsidR="00BB66B8" w:rsidRPr="007B11D2" w:rsidRDefault="00BB66B8" w:rsidP="007D099D">
            <w:pPr>
              <w:pStyle w:val="naisnod"/>
              <w:spacing w:before="0" w:after="0"/>
              <w:ind w:left="57" w:right="57"/>
              <w:jc w:val="left"/>
              <w:rPr>
                <w:b w:val="0"/>
                <w:bCs w:val="0"/>
              </w:rPr>
            </w:pPr>
            <w:r w:rsidRPr="007B11D2">
              <w:rPr>
                <w:b w:val="0"/>
                <w:bCs w:val="0"/>
              </w:rPr>
              <w:t>2.</w:t>
            </w:r>
          </w:p>
        </w:tc>
        <w:tc>
          <w:tcPr>
            <w:tcW w:w="4296" w:type="dxa"/>
          </w:tcPr>
          <w:p w:rsidR="00BB66B8" w:rsidRPr="006D54D0" w:rsidRDefault="00BB66B8" w:rsidP="00524B21">
            <w:pPr>
              <w:pStyle w:val="naisf"/>
              <w:spacing w:before="0" w:after="0"/>
              <w:ind w:left="57" w:right="57" w:firstLine="0"/>
              <w:jc w:val="left"/>
              <w:rPr>
                <w:color w:val="000000"/>
              </w:rPr>
            </w:pPr>
            <w:r w:rsidRPr="006D54D0">
              <w:rPr>
                <w:color w:val="000000"/>
              </w:rPr>
              <w:t>Projekta izpildes ietekme uz pārvaldes funkcijām un institucionālo struktūru.</w:t>
            </w:r>
          </w:p>
          <w:p w:rsidR="00BB66B8" w:rsidRPr="006D54D0" w:rsidRDefault="00BB66B8" w:rsidP="00524B21">
            <w:pPr>
              <w:rPr>
                <w:color w:val="000000"/>
              </w:rPr>
            </w:pPr>
          </w:p>
          <w:p w:rsidR="00BB66B8" w:rsidRPr="006D54D0" w:rsidRDefault="00BB66B8" w:rsidP="00524B21">
            <w:pPr>
              <w:rPr>
                <w:color w:val="000000"/>
              </w:rPr>
            </w:pPr>
            <w:r w:rsidRPr="006D54D0">
              <w:rPr>
                <w:color w:val="000000"/>
              </w:rPr>
              <w:t>Jaunu institūciju izveide, esošu institūciju likvidācija vai reorganizācija, to ietekme uz institūcijas cilvēkresursiem</w:t>
            </w:r>
          </w:p>
          <w:p w:rsidR="00BB66B8" w:rsidRPr="006D54D0" w:rsidRDefault="00BB66B8" w:rsidP="007D099D">
            <w:pPr>
              <w:pStyle w:val="naisf"/>
              <w:spacing w:before="0" w:after="0"/>
              <w:ind w:left="57" w:right="57" w:firstLine="0"/>
              <w:jc w:val="left"/>
              <w:rPr>
                <w:color w:val="000000"/>
              </w:rPr>
            </w:pPr>
          </w:p>
        </w:tc>
        <w:tc>
          <w:tcPr>
            <w:tcW w:w="4759" w:type="dxa"/>
          </w:tcPr>
          <w:p w:rsidR="00BB66B8" w:rsidRPr="006D54D0" w:rsidRDefault="00BB66B8" w:rsidP="007D099D">
            <w:pPr>
              <w:pStyle w:val="naisnod"/>
              <w:spacing w:before="0" w:after="0"/>
              <w:ind w:left="57" w:right="57"/>
              <w:jc w:val="left"/>
              <w:rPr>
                <w:b w:val="0"/>
                <w:bCs w:val="0"/>
                <w:color w:val="000000"/>
              </w:rPr>
            </w:pPr>
            <w:r w:rsidRPr="006D54D0">
              <w:rPr>
                <w:b w:val="0"/>
                <w:bCs w:val="0"/>
                <w:color w:val="000000"/>
              </w:rPr>
              <w:t>Projekts šīs jomas neskar.</w:t>
            </w:r>
          </w:p>
        </w:tc>
      </w:tr>
      <w:tr w:rsidR="00BB66B8" w:rsidRPr="007C0F2C" w:rsidTr="006B2CD9">
        <w:trPr>
          <w:trHeight w:val="476"/>
        </w:trPr>
        <w:tc>
          <w:tcPr>
            <w:tcW w:w="480" w:type="dxa"/>
          </w:tcPr>
          <w:p w:rsidR="00BB66B8" w:rsidRPr="007B11D2" w:rsidRDefault="00BB66B8" w:rsidP="007D099D">
            <w:pPr>
              <w:pStyle w:val="naiskr"/>
              <w:spacing w:before="0" w:after="0"/>
              <w:ind w:left="57" w:right="57"/>
            </w:pPr>
            <w:r>
              <w:t>3</w:t>
            </w:r>
            <w:r w:rsidRPr="007B11D2">
              <w:t>.</w:t>
            </w:r>
          </w:p>
        </w:tc>
        <w:tc>
          <w:tcPr>
            <w:tcW w:w="4296" w:type="dxa"/>
          </w:tcPr>
          <w:p w:rsidR="00BB66B8" w:rsidRPr="006D54D0" w:rsidRDefault="00BB66B8" w:rsidP="007D099D">
            <w:pPr>
              <w:pStyle w:val="naiskr"/>
              <w:spacing w:before="0" w:after="0"/>
              <w:ind w:left="57" w:right="57"/>
              <w:rPr>
                <w:color w:val="000000"/>
              </w:rPr>
            </w:pPr>
            <w:r w:rsidRPr="006D54D0">
              <w:rPr>
                <w:color w:val="000000"/>
              </w:rPr>
              <w:t>Cita informācija</w:t>
            </w:r>
          </w:p>
        </w:tc>
        <w:tc>
          <w:tcPr>
            <w:tcW w:w="4759" w:type="dxa"/>
          </w:tcPr>
          <w:p w:rsidR="00BB66B8" w:rsidRPr="006D54D0" w:rsidRDefault="00BB66B8" w:rsidP="007D099D">
            <w:pPr>
              <w:pStyle w:val="naiskr"/>
              <w:spacing w:before="0" w:after="0"/>
              <w:ind w:left="57" w:right="57"/>
              <w:rPr>
                <w:color w:val="000000"/>
              </w:rPr>
            </w:pPr>
            <w:r w:rsidRPr="006D54D0">
              <w:rPr>
                <w:color w:val="000000"/>
              </w:rPr>
              <w:t>Nav</w:t>
            </w:r>
          </w:p>
        </w:tc>
      </w:tr>
    </w:tbl>
    <w:p w:rsidR="00BB66B8" w:rsidRDefault="00BB66B8" w:rsidP="006C4607">
      <w:pPr>
        <w:pStyle w:val="naisf"/>
        <w:tabs>
          <w:tab w:val="left" w:pos="5760"/>
        </w:tabs>
        <w:spacing w:before="0" w:after="0"/>
        <w:ind w:firstLine="720"/>
        <w:rPr>
          <w:sz w:val="28"/>
          <w:szCs w:val="28"/>
        </w:rPr>
      </w:pPr>
    </w:p>
    <w:p w:rsidR="00BB66B8" w:rsidRPr="00227A40" w:rsidRDefault="00BB66B8" w:rsidP="00227A40">
      <w:pPr>
        <w:pStyle w:val="naisf"/>
        <w:tabs>
          <w:tab w:val="left" w:pos="5760"/>
        </w:tabs>
        <w:spacing w:before="0" w:after="0"/>
        <w:ind w:firstLine="720"/>
        <w:jc w:val="left"/>
        <w:rPr>
          <w:b/>
          <w:bCs/>
        </w:rPr>
      </w:pPr>
      <w:r w:rsidRPr="003220D0">
        <w:rPr>
          <w:b/>
          <w:bCs/>
        </w:rPr>
        <w:t>Anotācijas II</w:t>
      </w:r>
      <w:r w:rsidR="00891C72">
        <w:rPr>
          <w:b/>
          <w:bCs/>
        </w:rPr>
        <w:t>.</w:t>
      </w:r>
      <w:r w:rsidRPr="003220D0">
        <w:rPr>
          <w:b/>
          <w:bCs/>
        </w:rPr>
        <w:t>, IV</w:t>
      </w:r>
      <w:r w:rsidR="00891C72">
        <w:rPr>
          <w:b/>
          <w:bCs/>
        </w:rPr>
        <w:t>.</w:t>
      </w:r>
      <w:r w:rsidRPr="003220D0">
        <w:rPr>
          <w:b/>
          <w:bCs/>
        </w:rPr>
        <w:t>, VI</w:t>
      </w:r>
      <w:r w:rsidR="00891C72">
        <w:rPr>
          <w:b/>
          <w:bCs/>
        </w:rPr>
        <w:t>.</w:t>
      </w:r>
      <w:r w:rsidRPr="003220D0">
        <w:rPr>
          <w:b/>
          <w:bCs/>
        </w:rPr>
        <w:t xml:space="preserve"> sadaļa</w:t>
      </w:r>
      <w:r>
        <w:rPr>
          <w:b/>
          <w:bCs/>
        </w:rPr>
        <w:t xml:space="preserve"> </w:t>
      </w:r>
      <w:r w:rsidRPr="00227A40">
        <w:t>–</w:t>
      </w:r>
      <w:r>
        <w:rPr>
          <w:b/>
          <w:bCs/>
        </w:rPr>
        <w:t xml:space="preserve"> </w:t>
      </w:r>
      <w:r>
        <w:t>projekts šīs jomas neskar.</w:t>
      </w:r>
      <w:r>
        <w:rPr>
          <w:b/>
          <w:bCs/>
        </w:rPr>
        <w:t xml:space="preserve"> </w:t>
      </w:r>
    </w:p>
    <w:p w:rsidR="00BB66B8" w:rsidRPr="007C0F2C" w:rsidRDefault="00BB66B8" w:rsidP="006C4607">
      <w:pPr>
        <w:pStyle w:val="naisf"/>
        <w:tabs>
          <w:tab w:val="left" w:pos="5760"/>
        </w:tabs>
        <w:spacing w:before="0" w:after="0"/>
        <w:ind w:firstLine="720"/>
        <w:rPr>
          <w:sz w:val="28"/>
          <w:szCs w:val="28"/>
        </w:rPr>
      </w:pPr>
    </w:p>
    <w:p w:rsidR="00BB66B8" w:rsidRPr="007C0F2C" w:rsidRDefault="00BB66B8" w:rsidP="006C4607">
      <w:pPr>
        <w:pStyle w:val="naisf"/>
        <w:tabs>
          <w:tab w:val="left" w:pos="6804"/>
        </w:tabs>
        <w:spacing w:before="0" w:after="0"/>
        <w:ind w:firstLine="720"/>
        <w:rPr>
          <w:sz w:val="28"/>
          <w:szCs w:val="28"/>
        </w:rPr>
      </w:pPr>
    </w:p>
    <w:p w:rsidR="00BB66B8" w:rsidRDefault="00BB66B8" w:rsidP="00845811">
      <w:pPr>
        <w:pStyle w:val="naisf"/>
        <w:tabs>
          <w:tab w:val="left" w:pos="6804"/>
        </w:tabs>
        <w:spacing w:before="0" w:after="0"/>
        <w:ind w:firstLine="720"/>
        <w:rPr>
          <w:sz w:val="28"/>
          <w:szCs w:val="28"/>
        </w:rPr>
      </w:pPr>
      <w:r>
        <w:rPr>
          <w:sz w:val="28"/>
          <w:szCs w:val="28"/>
        </w:rPr>
        <w:t>Labklājības ministrs</w:t>
      </w:r>
      <w:r w:rsidRPr="007C0F2C">
        <w:rPr>
          <w:sz w:val="28"/>
          <w:szCs w:val="28"/>
        </w:rPr>
        <w:tab/>
      </w:r>
      <w:r>
        <w:rPr>
          <w:sz w:val="28"/>
          <w:szCs w:val="28"/>
        </w:rPr>
        <w:t>U.Augulis</w:t>
      </w:r>
    </w:p>
    <w:p w:rsidR="00BB66B8" w:rsidRDefault="00BB66B8" w:rsidP="00845811">
      <w:pPr>
        <w:pStyle w:val="naisf"/>
        <w:tabs>
          <w:tab w:val="left" w:pos="6804"/>
        </w:tabs>
        <w:spacing w:before="0" w:after="0"/>
        <w:ind w:firstLine="720"/>
        <w:rPr>
          <w:sz w:val="28"/>
          <w:szCs w:val="28"/>
        </w:rPr>
      </w:pPr>
    </w:p>
    <w:p w:rsidR="00BB66B8" w:rsidRDefault="00BB66B8" w:rsidP="008F24A7">
      <w:pPr>
        <w:pStyle w:val="naisf"/>
        <w:tabs>
          <w:tab w:val="left" w:pos="6804"/>
        </w:tabs>
        <w:spacing w:before="0" w:after="0"/>
        <w:rPr>
          <w:sz w:val="28"/>
          <w:szCs w:val="28"/>
        </w:rPr>
      </w:pPr>
    </w:p>
    <w:p w:rsidR="00BB66B8" w:rsidRDefault="00BB66B8" w:rsidP="003220D0">
      <w:pPr>
        <w:pStyle w:val="naisf"/>
        <w:tabs>
          <w:tab w:val="left" w:pos="6804"/>
        </w:tabs>
        <w:spacing w:before="0" w:after="0"/>
        <w:ind w:firstLine="0"/>
        <w:rPr>
          <w:sz w:val="28"/>
          <w:szCs w:val="28"/>
        </w:rPr>
      </w:pPr>
    </w:p>
    <w:p w:rsidR="00BB66B8" w:rsidRDefault="00BB66B8" w:rsidP="00845811">
      <w:pPr>
        <w:pStyle w:val="naisf"/>
        <w:tabs>
          <w:tab w:val="left" w:pos="6804"/>
        </w:tabs>
        <w:spacing w:before="0" w:after="0"/>
        <w:ind w:firstLine="720"/>
        <w:rPr>
          <w:sz w:val="20"/>
          <w:szCs w:val="20"/>
          <w:highlight w:val="yellow"/>
        </w:rPr>
      </w:pPr>
    </w:p>
    <w:p w:rsidR="00BB66B8" w:rsidRPr="00C2003E" w:rsidRDefault="002052A2" w:rsidP="00C2003E">
      <w:pPr>
        <w:pStyle w:val="naisf"/>
        <w:tabs>
          <w:tab w:val="left" w:pos="6804"/>
        </w:tabs>
        <w:spacing w:before="0" w:after="0"/>
        <w:ind w:firstLine="720"/>
        <w:rPr>
          <w:sz w:val="20"/>
          <w:szCs w:val="20"/>
        </w:rPr>
      </w:pPr>
      <w:r>
        <w:rPr>
          <w:sz w:val="20"/>
          <w:szCs w:val="20"/>
        </w:rPr>
        <w:t>2</w:t>
      </w:r>
      <w:r w:rsidR="005C427C">
        <w:rPr>
          <w:sz w:val="20"/>
          <w:szCs w:val="20"/>
        </w:rPr>
        <w:t>1.04.2015. 09</w:t>
      </w:r>
      <w:r>
        <w:rPr>
          <w:sz w:val="20"/>
          <w:szCs w:val="20"/>
        </w:rPr>
        <w:t>:</w:t>
      </w:r>
      <w:r w:rsidR="005C427C">
        <w:rPr>
          <w:sz w:val="20"/>
          <w:szCs w:val="20"/>
        </w:rPr>
        <w:t>54</w:t>
      </w:r>
      <w:bookmarkStart w:id="0" w:name="_GoBack"/>
      <w:bookmarkEnd w:id="0"/>
    </w:p>
    <w:p w:rsidR="00BB66B8" w:rsidRPr="008F24A7" w:rsidRDefault="002052A2" w:rsidP="00C2003E">
      <w:pPr>
        <w:pStyle w:val="naisf"/>
        <w:tabs>
          <w:tab w:val="left" w:pos="6804"/>
        </w:tabs>
        <w:spacing w:before="0" w:after="0"/>
        <w:ind w:firstLine="720"/>
        <w:rPr>
          <w:sz w:val="20"/>
          <w:szCs w:val="20"/>
        </w:rPr>
      </w:pPr>
      <w:r>
        <w:rPr>
          <w:sz w:val="20"/>
          <w:szCs w:val="20"/>
        </w:rPr>
        <w:t>1711</w:t>
      </w:r>
    </w:p>
    <w:p w:rsidR="00BB66B8" w:rsidRDefault="00C2003E" w:rsidP="00845811">
      <w:pPr>
        <w:pStyle w:val="naisf"/>
        <w:tabs>
          <w:tab w:val="left" w:pos="6804"/>
        </w:tabs>
        <w:spacing w:before="0" w:after="0"/>
        <w:ind w:firstLine="720"/>
        <w:rPr>
          <w:sz w:val="20"/>
          <w:szCs w:val="20"/>
        </w:rPr>
      </w:pPr>
      <w:r>
        <w:rPr>
          <w:sz w:val="20"/>
          <w:szCs w:val="20"/>
        </w:rPr>
        <w:t>L.Klemere, 67021618</w:t>
      </w:r>
    </w:p>
    <w:p w:rsidR="00BB66B8" w:rsidRDefault="005C427C" w:rsidP="00845811">
      <w:pPr>
        <w:pStyle w:val="naisf"/>
        <w:tabs>
          <w:tab w:val="left" w:pos="6804"/>
        </w:tabs>
        <w:spacing w:before="0" w:after="0"/>
        <w:ind w:firstLine="720"/>
        <w:rPr>
          <w:sz w:val="20"/>
          <w:szCs w:val="20"/>
        </w:rPr>
      </w:pPr>
      <w:hyperlink r:id="rId8" w:history="1">
        <w:r w:rsidR="00BB66B8" w:rsidRPr="00D30DC2">
          <w:rPr>
            <w:rStyle w:val="Hyperlink"/>
            <w:sz w:val="20"/>
            <w:szCs w:val="20"/>
          </w:rPr>
          <w:t>Liga.Klemere@lm.gov.lv</w:t>
        </w:r>
      </w:hyperlink>
      <w:r w:rsidR="00BB66B8">
        <w:rPr>
          <w:sz w:val="20"/>
          <w:szCs w:val="20"/>
        </w:rPr>
        <w:t xml:space="preserve"> </w:t>
      </w:r>
    </w:p>
    <w:p w:rsidR="00BB66B8" w:rsidRPr="00AF634B" w:rsidRDefault="00BB66B8" w:rsidP="00AF634B"/>
    <w:p w:rsidR="005C427C" w:rsidRDefault="005C427C" w:rsidP="00AF634B"/>
    <w:p w:rsidR="005C427C" w:rsidRPr="005C427C" w:rsidRDefault="005C427C" w:rsidP="005C427C"/>
    <w:p w:rsidR="005C427C" w:rsidRPr="005C427C" w:rsidRDefault="005C427C" w:rsidP="005C427C"/>
    <w:p w:rsidR="005C427C" w:rsidRPr="005C427C" w:rsidRDefault="005C427C" w:rsidP="005C427C"/>
    <w:p w:rsidR="005C427C" w:rsidRPr="005C427C" w:rsidRDefault="005C427C" w:rsidP="005C427C"/>
    <w:p w:rsidR="005C427C" w:rsidRPr="005C427C" w:rsidRDefault="005C427C" w:rsidP="005C427C"/>
    <w:p w:rsidR="005C427C" w:rsidRPr="005C427C" w:rsidRDefault="005C427C" w:rsidP="005C427C"/>
    <w:p w:rsidR="005C427C" w:rsidRPr="005C427C" w:rsidRDefault="005C427C" w:rsidP="005C427C"/>
    <w:p w:rsidR="005C427C" w:rsidRPr="005C427C" w:rsidRDefault="005C427C" w:rsidP="005C427C"/>
    <w:p w:rsidR="005C427C" w:rsidRPr="005C427C" w:rsidRDefault="005C427C" w:rsidP="005C427C"/>
    <w:p w:rsidR="005C427C" w:rsidRPr="005C427C" w:rsidRDefault="005C427C" w:rsidP="005C427C"/>
    <w:p w:rsidR="005C427C" w:rsidRPr="005C427C" w:rsidRDefault="005C427C" w:rsidP="005C427C"/>
    <w:p w:rsidR="005C427C" w:rsidRPr="005C427C" w:rsidRDefault="005C427C" w:rsidP="005C427C"/>
    <w:p w:rsidR="005C427C" w:rsidRPr="005C427C" w:rsidRDefault="005C427C" w:rsidP="005C427C"/>
    <w:p w:rsidR="005C427C" w:rsidRPr="005C427C" w:rsidRDefault="005C427C" w:rsidP="005C427C"/>
    <w:p w:rsidR="005C427C" w:rsidRPr="005C427C" w:rsidRDefault="005C427C" w:rsidP="005C427C"/>
    <w:p w:rsidR="005C427C" w:rsidRPr="005C427C" w:rsidRDefault="005C427C" w:rsidP="005C427C"/>
    <w:p w:rsidR="005C427C" w:rsidRPr="005C427C" w:rsidRDefault="005C427C" w:rsidP="005C427C"/>
    <w:p w:rsidR="005C427C" w:rsidRPr="005C427C" w:rsidRDefault="005C427C" w:rsidP="005C427C"/>
    <w:p w:rsidR="005C427C" w:rsidRPr="005C427C" w:rsidRDefault="005C427C" w:rsidP="005C427C"/>
    <w:p w:rsidR="005C427C" w:rsidRPr="005C427C" w:rsidRDefault="005C427C" w:rsidP="005C427C"/>
    <w:p w:rsidR="005C427C" w:rsidRPr="005C427C" w:rsidRDefault="005C427C" w:rsidP="005C427C"/>
    <w:p w:rsidR="005C427C" w:rsidRPr="005C427C" w:rsidRDefault="005C427C" w:rsidP="005C427C"/>
    <w:p w:rsidR="005C427C" w:rsidRPr="005C427C" w:rsidRDefault="005C427C" w:rsidP="005C427C"/>
    <w:p w:rsidR="005C427C" w:rsidRPr="005C427C" w:rsidRDefault="005C427C" w:rsidP="005C427C"/>
    <w:p w:rsidR="005C427C" w:rsidRPr="005C427C" w:rsidRDefault="005C427C" w:rsidP="005C427C"/>
    <w:p w:rsidR="005C427C" w:rsidRDefault="005C427C" w:rsidP="005C427C"/>
    <w:p w:rsidR="005C427C" w:rsidRPr="005C427C" w:rsidRDefault="005C427C" w:rsidP="005C427C"/>
    <w:p w:rsidR="005C427C" w:rsidRDefault="005C427C" w:rsidP="005C427C"/>
    <w:p w:rsidR="005C427C" w:rsidRDefault="005C427C" w:rsidP="005C427C"/>
    <w:p w:rsidR="00BB66B8" w:rsidRPr="005C427C" w:rsidRDefault="005C427C" w:rsidP="005C427C">
      <w:pPr>
        <w:tabs>
          <w:tab w:val="left" w:pos="5700"/>
        </w:tabs>
      </w:pPr>
      <w:r>
        <w:tab/>
      </w:r>
    </w:p>
    <w:sectPr w:rsidR="00BB66B8" w:rsidRPr="005C427C" w:rsidSect="00C31E36">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0EF" w:rsidRDefault="004B20EF">
      <w:r>
        <w:separator/>
      </w:r>
    </w:p>
  </w:endnote>
  <w:endnote w:type="continuationSeparator" w:id="0">
    <w:p w:rsidR="004B20EF" w:rsidRDefault="004B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6B8" w:rsidRPr="0050709A" w:rsidRDefault="00BB66B8" w:rsidP="007030BE">
    <w:pPr>
      <w:pStyle w:val="Footer"/>
      <w:jc w:val="both"/>
      <w:rPr>
        <w:sz w:val="20"/>
        <w:szCs w:val="20"/>
      </w:rPr>
    </w:pPr>
    <w:r w:rsidRPr="0050709A">
      <w:rPr>
        <w:sz w:val="20"/>
        <w:szCs w:val="20"/>
      </w:rPr>
      <w:t>LManot_</w:t>
    </w:r>
    <w:r w:rsidR="005C427C">
      <w:rPr>
        <w:sz w:val="20"/>
        <w:szCs w:val="20"/>
      </w:rPr>
      <w:t>21</w:t>
    </w:r>
    <w:r w:rsidR="002052A2">
      <w:rPr>
        <w:sz w:val="20"/>
        <w:szCs w:val="20"/>
      </w:rPr>
      <w:t>04</w:t>
    </w:r>
    <w:r>
      <w:rPr>
        <w:sz w:val="20"/>
        <w:szCs w:val="20"/>
      </w:rPr>
      <w:t>15</w:t>
    </w:r>
    <w:r w:rsidR="00BE4F43">
      <w:rPr>
        <w:sz w:val="20"/>
        <w:szCs w:val="20"/>
      </w:rPr>
      <w:t>_LNG</w:t>
    </w:r>
    <w:r w:rsidRPr="0050709A">
      <w:rPr>
        <w:sz w:val="20"/>
        <w:szCs w:val="20"/>
      </w:rPr>
      <w:t>; Ministru kabineta rīkojuma projekta „</w:t>
    </w:r>
    <w:r w:rsidRPr="00C62918">
      <w:rPr>
        <w:color w:val="000000"/>
        <w:sz w:val="20"/>
        <w:szCs w:val="20"/>
      </w:rPr>
      <w:t>Par finanšu līdzekļu piešķiršanu no valsts budžeta programmas “Līdzekļi neparedzētiem gadījumiem</w:t>
    </w:r>
    <w:r w:rsidRPr="00C62918">
      <w:rPr>
        <w:sz w:val="20"/>
        <w:szCs w:val="20"/>
      </w:rPr>
      <w:t>”</w:t>
    </w:r>
    <w:r w:rsidRPr="0050709A">
      <w:rPr>
        <w:sz w:val="20"/>
        <w:szCs w:val="20"/>
      </w:rPr>
      <w:t xml:space="preserve">” sākotnējās ietekmes novērtējuma ziņojums (anotācija)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6B8" w:rsidRPr="003C449B" w:rsidRDefault="00BB66B8" w:rsidP="007030BE">
    <w:pPr>
      <w:pStyle w:val="Footer"/>
      <w:jc w:val="both"/>
      <w:rPr>
        <w:sz w:val="16"/>
        <w:szCs w:val="16"/>
      </w:rPr>
    </w:pPr>
    <w:r w:rsidRPr="0050709A">
      <w:rPr>
        <w:sz w:val="20"/>
        <w:szCs w:val="20"/>
      </w:rPr>
      <w:t>LManot_</w:t>
    </w:r>
    <w:r w:rsidR="005C427C">
      <w:rPr>
        <w:sz w:val="20"/>
        <w:szCs w:val="20"/>
      </w:rPr>
      <w:t>21</w:t>
    </w:r>
    <w:r w:rsidR="002052A2">
      <w:rPr>
        <w:sz w:val="20"/>
        <w:szCs w:val="20"/>
      </w:rPr>
      <w:t>04</w:t>
    </w:r>
    <w:r>
      <w:rPr>
        <w:sz w:val="20"/>
        <w:szCs w:val="20"/>
      </w:rPr>
      <w:t>15</w:t>
    </w:r>
    <w:r w:rsidR="00BE4F43">
      <w:rPr>
        <w:sz w:val="20"/>
        <w:szCs w:val="20"/>
      </w:rPr>
      <w:t>_LNG</w:t>
    </w:r>
    <w:r w:rsidRPr="0050709A">
      <w:rPr>
        <w:sz w:val="20"/>
        <w:szCs w:val="20"/>
      </w:rPr>
      <w:t>; Ministru kabineta rīkojuma projekta „</w:t>
    </w:r>
    <w:r w:rsidRPr="00C62918">
      <w:rPr>
        <w:color w:val="000000"/>
        <w:sz w:val="20"/>
        <w:szCs w:val="20"/>
      </w:rPr>
      <w:t>Par finanšu līdzekļu piešķiršanu no valsts budžeta programmas “Līdzekļi neparedzētiem gadījumiem</w:t>
    </w:r>
    <w:r w:rsidRPr="00C62918">
      <w:rPr>
        <w:sz w:val="20"/>
        <w:szCs w:val="20"/>
      </w:rPr>
      <w:t>”</w:t>
    </w:r>
    <w:r w:rsidRPr="0050709A">
      <w:rPr>
        <w:sz w:val="20"/>
        <w:szCs w:val="20"/>
      </w:rPr>
      <w:t xml:space="preserve">” sākotnējās ietekmes novērtējuma ziņojums (anotācija)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0EF" w:rsidRDefault="004B20EF">
      <w:r>
        <w:separator/>
      </w:r>
    </w:p>
  </w:footnote>
  <w:footnote w:type="continuationSeparator" w:id="0">
    <w:p w:rsidR="004B20EF" w:rsidRDefault="004B2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6B8" w:rsidRDefault="00BB66B8" w:rsidP="003C449B">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427C">
      <w:rPr>
        <w:rStyle w:val="PageNumber"/>
        <w:noProof/>
      </w:rPr>
      <w:t>7</w:t>
    </w:r>
    <w:r>
      <w:rPr>
        <w:rStyle w:val="PageNumber"/>
      </w:rPr>
      <w:fldChar w:fldCharType="end"/>
    </w:r>
  </w:p>
  <w:p w:rsidR="00BB66B8" w:rsidRDefault="00BB6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cs="Times New Roman" w:hint="default"/>
      </w:rPr>
    </w:lvl>
    <w:lvl w:ilvl="1" w:tplc="BB0AE61C">
      <w:start w:val="1"/>
      <w:numFmt w:val="bullet"/>
      <w:lvlText w:val="▌"/>
      <w:lvlJc w:val="left"/>
      <w:pPr>
        <w:tabs>
          <w:tab w:val="num" w:pos="1440"/>
        </w:tabs>
        <w:ind w:left="1440" w:hanging="360"/>
      </w:pPr>
      <w:rPr>
        <w:rFonts w:ascii="Times New Roman" w:hAnsi="Times New Roman" w:cs="Times New Roman" w:hint="default"/>
      </w:rPr>
    </w:lvl>
    <w:lvl w:ilvl="2" w:tplc="4F526626">
      <w:start w:val="1"/>
      <w:numFmt w:val="bullet"/>
      <w:lvlText w:val="▌"/>
      <w:lvlJc w:val="left"/>
      <w:pPr>
        <w:tabs>
          <w:tab w:val="num" w:pos="2160"/>
        </w:tabs>
        <w:ind w:left="2160" w:hanging="360"/>
      </w:pPr>
      <w:rPr>
        <w:rFonts w:ascii="Times New Roman" w:hAnsi="Times New Roman" w:cs="Times New Roman" w:hint="default"/>
      </w:rPr>
    </w:lvl>
    <w:lvl w:ilvl="3" w:tplc="514077EE">
      <w:start w:val="1"/>
      <w:numFmt w:val="bullet"/>
      <w:lvlText w:val="▌"/>
      <w:lvlJc w:val="left"/>
      <w:pPr>
        <w:tabs>
          <w:tab w:val="num" w:pos="2880"/>
        </w:tabs>
        <w:ind w:left="2880" w:hanging="360"/>
      </w:pPr>
      <w:rPr>
        <w:rFonts w:ascii="Times New Roman" w:hAnsi="Times New Roman" w:cs="Times New Roman" w:hint="default"/>
      </w:rPr>
    </w:lvl>
    <w:lvl w:ilvl="4" w:tplc="6974FBCC">
      <w:start w:val="1"/>
      <w:numFmt w:val="bullet"/>
      <w:lvlText w:val="▌"/>
      <w:lvlJc w:val="left"/>
      <w:pPr>
        <w:tabs>
          <w:tab w:val="num" w:pos="3600"/>
        </w:tabs>
        <w:ind w:left="3600" w:hanging="360"/>
      </w:pPr>
      <w:rPr>
        <w:rFonts w:ascii="Times New Roman" w:hAnsi="Times New Roman" w:cs="Times New Roman" w:hint="default"/>
      </w:rPr>
    </w:lvl>
    <w:lvl w:ilvl="5" w:tplc="898671BE">
      <w:start w:val="1"/>
      <w:numFmt w:val="bullet"/>
      <w:lvlText w:val="▌"/>
      <w:lvlJc w:val="left"/>
      <w:pPr>
        <w:tabs>
          <w:tab w:val="num" w:pos="4320"/>
        </w:tabs>
        <w:ind w:left="4320" w:hanging="360"/>
      </w:pPr>
      <w:rPr>
        <w:rFonts w:ascii="Times New Roman" w:hAnsi="Times New Roman" w:cs="Times New Roman" w:hint="default"/>
      </w:rPr>
    </w:lvl>
    <w:lvl w:ilvl="6" w:tplc="E9B8FA78">
      <w:start w:val="1"/>
      <w:numFmt w:val="bullet"/>
      <w:lvlText w:val="▌"/>
      <w:lvlJc w:val="left"/>
      <w:pPr>
        <w:tabs>
          <w:tab w:val="num" w:pos="5040"/>
        </w:tabs>
        <w:ind w:left="5040" w:hanging="360"/>
      </w:pPr>
      <w:rPr>
        <w:rFonts w:ascii="Times New Roman" w:hAnsi="Times New Roman" w:cs="Times New Roman" w:hint="default"/>
      </w:rPr>
    </w:lvl>
    <w:lvl w:ilvl="7" w:tplc="83A62104">
      <w:start w:val="1"/>
      <w:numFmt w:val="bullet"/>
      <w:lvlText w:val="▌"/>
      <w:lvlJc w:val="left"/>
      <w:pPr>
        <w:tabs>
          <w:tab w:val="num" w:pos="5760"/>
        </w:tabs>
        <w:ind w:left="5760" w:hanging="360"/>
      </w:pPr>
      <w:rPr>
        <w:rFonts w:ascii="Times New Roman" w:hAnsi="Times New Roman" w:cs="Times New Roman" w:hint="default"/>
      </w:rPr>
    </w:lvl>
    <w:lvl w:ilvl="8" w:tplc="EC16CDEA">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cs="Times New Roman" w:hint="default"/>
      </w:rPr>
    </w:lvl>
    <w:lvl w:ilvl="1" w:tplc="AA702590">
      <w:start w:val="1"/>
      <w:numFmt w:val="bullet"/>
      <w:lvlText w:val="▌"/>
      <w:lvlJc w:val="left"/>
      <w:pPr>
        <w:tabs>
          <w:tab w:val="num" w:pos="1440"/>
        </w:tabs>
        <w:ind w:left="1440" w:hanging="360"/>
      </w:pPr>
      <w:rPr>
        <w:rFonts w:ascii="Times New Roman" w:hAnsi="Times New Roman" w:cs="Times New Roman" w:hint="default"/>
      </w:rPr>
    </w:lvl>
    <w:lvl w:ilvl="2" w:tplc="57B2DCBC">
      <w:start w:val="1"/>
      <w:numFmt w:val="bullet"/>
      <w:lvlText w:val="▌"/>
      <w:lvlJc w:val="left"/>
      <w:pPr>
        <w:tabs>
          <w:tab w:val="num" w:pos="2160"/>
        </w:tabs>
        <w:ind w:left="2160" w:hanging="360"/>
      </w:pPr>
      <w:rPr>
        <w:rFonts w:ascii="Times New Roman" w:hAnsi="Times New Roman" w:cs="Times New Roman" w:hint="default"/>
      </w:rPr>
    </w:lvl>
    <w:lvl w:ilvl="3" w:tplc="B7C0F6DE">
      <w:start w:val="1"/>
      <w:numFmt w:val="bullet"/>
      <w:lvlText w:val="▌"/>
      <w:lvlJc w:val="left"/>
      <w:pPr>
        <w:tabs>
          <w:tab w:val="num" w:pos="2880"/>
        </w:tabs>
        <w:ind w:left="2880" w:hanging="360"/>
      </w:pPr>
      <w:rPr>
        <w:rFonts w:ascii="Times New Roman" w:hAnsi="Times New Roman" w:cs="Times New Roman" w:hint="default"/>
      </w:rPr>
    </w:lvl>
    <w:lvl w:ilvl="4" w:tplc="46F245F6">
      <w:start w:val="1"/>
      <w:numFmt w:val="bullet"/>
      <w:lvlText w:val="▌"/>
      <w:lvlJc w:val="left"/>
      <w:pPr>
        <w:tabs>
          <w:tab w:val="num" w:pos="3600"/>
        </w:tabs>
        <w:ind w:left="3600" w:hanging="360"/>
      </w:pPr>
      <w:rPr>
        <w:rFonts w:ascii="Times New Roman" w:hAnsi="Times New Roman" w:cs="Times New Roman" w:hint="default"/>
      </w:rPr>
    </w:lvl>
    <w:lvl w:ilvl="5" w:tplc="81541756">
      <w:start w:val="1"/>
      <w:numFmt w:val="bullet"/>
      <w:lvlText w:val="▌"/>
      <w:lvlJc w:val="left"/>
      <w:pPr>
        <w:tabs>
          <w:tab w:val="num" w:pos="4320"/>
        </w:tabs>
        <w:ind w:left="4320" w:hanging="360"/>
      </w:pPr>
      <w:rPr>
        <w:rFonts w:ascii="Times New Roman" w:hAnsi="Times New Roman" w:cs="Times New Roman" w:hint="default"/>
      </w:rPr>
    </w:lvl>
    <w:lvl w:ilvl="6" w:tplc="A18C1E8E">
      <w:start w:val="1"/>
      <w:numFmt w:val="bullet"/>
      <w:lvlText w:val="▌"/>
      <w:lvlJc w:val="left"/>
      <w:pPr>
        <w:tabs>
          <w:tab w:val="num" w:pos="5040"/>
        </w:tabs>
        <w:ind w:left="5040" w:hanging="360"/>
      </w:pPr>
      <w:rPr>
        <w:rFonts w:ascii="Times New Roman" w:hAnsi="Times New Roman" w:cs="Times New Roman" w:hint="default"/>
      </w:rPr>
    </w:lvl>
    <w:lvl w:ilvl="7" w:tplc="A496BFFA">
      <w:start w:val="1"/>
      <w:numFmt w:val="bullet"/>
      <w:lvlText w:val="▌"/>
      <w:lvlJc w:val="left"/>
      <w:pPr>
        <w:tabs>
          <w:tab w:val="num" w:pos="5760"/>
        </w:tabs>
        <w:ind w:left="5760" w:hanging="360"/>
      </w:pPr>
      <w:rPr>
        <w:rFonts w:ascii="Times New Roman" w:hAnsi="Times New Roman" w:cs="Times New Roman" w:hint="default"/>
      </w:rPr>
    </w:lvl>
    <w:lvl w:ilvl="8" w:tplc="65C6F5CC">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cs="Times New Roman" w:hint="default"/>
      </w:rPr>
    </w:lvl>
    <w:lvl w:ilvl="1" w:tplc="C156AA46">
      <w:start w:val="1"/>
      <w:numFmt w:val="bullet"/>
      <w:lvlText w:val="▌"/>
      <w:lvlJc w:val="left"/>
      <w:pPr>
        <w:tabs>
          <w:tab w:val="num" w:pos="1440"/>
        </w:tabs>
        <w:ind w:left="1440" w:hanging="360"/>
      </w:pPr>
      <w:rPr>
        <w:rFonts w:ascii="Times New Roman" w:hAnsi="Times New Roman" w:cs="Times New Roman" w:hint="default"/>
      </w:rPr>
    </w:lvl>
    <w:lvl w:ilvl="2" w:tplc="D062EAA8">
      <w:start w:val="1"/>
      <w:numFmt w:val="bullet"/>
      <w:lvlText w:val="▌"/>
      <w:lvlJc w:val="left"/>
      <w:pPr>
        <w:tabs>
          <w:tab w:val="num" w:pos="2160"/>
        </w:tabs>
        <w:ind w:left="2160" w:hanging="360"/>
      </w:pPr>
      <w:rPr>
        <w:rFonts w:ascii="Times New Roman" w:hAnsi="Times New Roman" w:cs="Times New Roman" w:hint="default"/>
      </w:rPr>
    </w:lvl>
    <w:lvl w:ilvl="3" w:tplc="B268E700">
      <w:start w:val="1"/>
      <w:numFmt w:val="bullet"/>
      <w:lvlText w:val="▌"/>
      <w:lvlJc w:val="left"/>
      <w:pPr>
        <w:tabs>
          <w:tab w:val="num" w:pos="2880"/>
        </w:tabs>
        <w:ind w:left="2880" w:hanging="360"/>
      </w:pPr>
      <w:rPr>
        <w:rFonts w:ascii="Times New Roman" w:hAnsi="Times New Roman" w:cs="Times New Roman" w:hint="default"/>
      </w:rPr>
    </w:lvl>
    <w:lvl w:ilvl="4" w:tplc="9DA64F58">
      <w:start w:val="1"/>
      <w:numFmt w:val="bullet"/>
      <w:lvlText w:val="▌"/>
      <w:lvlJc w:val="left"/>
      <w:pPr>
        <w:tabs>
          <w:tab w:val="num" w:pos="3600"/>
        </w:tabs>
        <w:ind w:left="3600" w:hanging="360"/>
      </w:pPr>
      <w:rPr>
        <w:rFonts w:ascii="Times New Roman" w:hAnsi="Times New Roman" w:cs="Times New Roman" w:hint="default"/>
      </w:rPr>
    </w:lvl>
    <w:lvl w:ilvl="5" w:tplc="59B84090">
      <w:start w:val="1"/>
      <w:numFmt w:val="bullet"/>
      <w:lvlText w:val="▌"/>
      <w:lvlJc w:val="left"/>
      <w:pPr>
        <w:tabs>
          <w:tab w:val="num" w:pos="4320"/>
        </w:tabs>
        <w:ind w:left="4320" w:hanging="360"/>
      </w:pPr>
      <w:rPr>
        <w:rFonts w:ascii="Times New Roman" w:hAnsi="Times New Roman" w:cs="Times New Roman" w:hint="default"/>
      </w:rPr>
    </w:lvl>
    <w:lvl w:ilvl="6" w:tplc="4B742512">
      <w:start w:val="1"/>
      <w:numFmt w:val="bullet"/>
      <w:lvlText w:val="▌"/>
      <w:lvlJc w:val="left"/>
      <w:pPr>
        <w:tabs>
          <w:tab w:val="num" w:pos="5040"/>
        </w:tabs>
        <w:ind w:left="5040" w:hanging="360"/>
      </w:pPr>
      <w:rPr>
        <w:rFonts w:ascii="Times New Roman" w:hAnsi="Times New Roman" w:cs="Times New Roman" w:hint="default"/>
      </w:rPr>
    </w:lvl>
    <w:lvl w:ilvl="7" w:tplc="72A6DB4C">
      <w:start w:val="1"/>
      <w:numFmt w:val="bullet"/>
      <w:lvlText w:val="▌"/>
      <w:lvlJc w:val="left"/>
      <w:pPr>
        <w:tabs>
          <w:tab w:val="num" w:pos="5760"/>
        </w:tabs>
        <w:ind w:left="5760" w:hanging="360"/>
      </w:pPr>
      <w:rPr>
        <w:rFonts w:ascii="Times New Roman" w:hAnsi="Times New Roman" w:cs="Times New Roman" w:hint="default"/>
      </w:rPr>
    </w:lvl>
    <w:lvl w:ilvl="8" w:tplc="B16C29DA">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cs="Times New Roman" w:hint="default"/>
      </w:rPr>
    </w:lvl>
    <w:lvl w:ilvl="1" w:tplc="36FE28C0">
      <w:start w:val="1"/>
      <w:numFmt w:val="bullet"/>
      <w:lvlText w:val="▌"/>
      <w:lvlJc w:val="left"/>
      <w:pPr>
        <w:tabs>
          <w:tab w:val="num" w:pos="1440"/>
        </w:tabs>
        <w:ind w:left="1440" w:hanging="360"/>
      </w:pPr>
      <w:rPr>
        <w:rFonts w:ascii="Times New Roman" w:hAnsi="Times New Roman" w:cs="Times New Roman" w:hint="default"/>
      </w:rPr>
    </w:lvl>
    <w:lvl w:ilvl="2" w:tplc="9CC81F1C">
      <w:start w:val="1"/>
      <w:numFmt w:val="bullet"/>
      <w:lvlText w:val="▌"/>
      <w:lvlJc w:val="left"/>
      <w:pPr>
        <w:tabs>
          <w:tab w:val="num" w:pos="2160"/>
        </w:tabs>
        <w:ind w:left="2160" w:hanging="360"/>
      </w:pPr>
      <w:rPr>
        <w:rFonts w:ascii="Times New Roman" w:hAnsi="Times New Roman" w:cs="Times New Roman" w:hint="default"/>
      </w:rPr>
    </w:lvl>
    <w:lvl w:ilvl="3" w:tplc="E894F8A2">
      <w:start w:val="1"/>
      <w:numFmt w:val="bullet"/>
      <w:lvlText w:val="▌"/>
      <w:lvlJc w:val="left"/>
      <w:pPr>
        <w:tabs>
          <w:tab w:val="num" w:pos="2880"/>
        </w:tabs>
        <w:ind w:left="2880" w:hanging="360"/>
      </w:pPr>
      <w:rPr>
        <w:rFonts w:ascii="Times New Roman" w:hAnsi="Times New Roman" w:cs="Times New Roman" w:hint="default"/>
      </w:rPr>
    </w:lvl>
    <w:lvl w:ilvl="4" w:tplc="EB4EA872">
      <w:start w:val="1"/>
      <w:numFmt w:val="bullet"/>
      <w:lvlText w:val="▌"/>
      <w:lvlJc w:val="left"/>
      <w:pPr>
        <w:tabs>
          <w:tab w:val="num" w:pos="3600"/>
        </w:tabs>
        <w:ind w:left="3600" w:hanging="360"/>
      </w:pPr>
      <w:rPr>
        <w:rFonts w:ascii="Times New Roman" w:hAnsi="Times New Roman" w:cs="Times New Roman" w:hint="default"/>
      </w:rPr>
    </w:lvl>
    <w:lvl w:ilvl="5" w:tplc="89F4E01C">
      <w:start w:val="1"/>
      <w:numFmt w:val="bullet"/>
      <w:lvlText w:val="▌"/>
      <w:lvlJc w:val="left"/>
      <w:pPr>
        <w:tabs>
          <w:tab w:val="num" w:pos="4320"/>
        </w:tabs>
        <w:ind w:left="4320" w:hanging="360"/>
      </w:pPr>
      <w:rPr>
        <w:rFonts w:ascii="Times New Roman" w:hAnsi="Times New Roman" w:cs="Times New Roman" w:hint="default"/>
      </w:rPr>
    </w:lvl>
    <w:lvl w:ilvl="6" w:tplc="4CF4ADE6">
      <w:start w:val="1"/>
      <w:numFmt w:val="bullet"/>
      <w:lvlText w:val="▌"/>
      <w:lvlJc w:val="left"/>
      <w:pPr>
        <w:tabs>
          <w:tab w:val="num" w:pos="5040"/>
        </w:tabs>
        <w:ind w:left="5040" w:hanging="360"/>
      </w:pPr>
      <w:rPr>
        <w:rFonts w:ascii="Times New Roman" w:hAnsi="Times New Roman" w:cs="Times New Roman" w:hint="default"/>
      </w:rPr>
    </w:lvl>
    <w:lvl w:ilvl="7" w:tplc="C7661D1E">
      <w:start w:val="1"/>
      <w:numFmt w:val="bullet"/>
      <w:lvlText w:val="▌"/>
      <w:lvlJc w:val="left"/>
      <w:pPr>
        <w:tabs>
          <w:tab w:val="num" w:pos="5760"/>
        </w:tabs>
        <w:ind w:left="5760" w:hanging="360"/>
      </w:pPr>
      <w:rPr>
        <w:rFonts w:ascii="Times New Roman" w:hAnsi="Times New Roman" w:cs="Times New Roman" w:hint="default"/>
      </w:rPr>
    </w:lvl>
    <w:lvl w:ilvl="8" w:tplc="8E6C581E">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cs="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cs="Wingdings" w:hint="default"/>
      </w:rPr>
    </w:lvl>
    <w:lvl w:ilvl="1" w:tplc="04260003">
      <w:start w:val="1"/>
      <w:numFmt w:val="bullet"/>
      <w:lvlText w:val="o"/>
      <w:lvlJc w:val="left"/>
      <w:pPr>
        <w:tabs>
          <w:tab w:val="num" w:pos="1506"/>
        </w:tabs>
        <w:ind w:left="1506" w:hanging="360"/>
      </w:pPr>
      <w:rPr>
        <w:rFonts w:ascii="Courier New" w:hAnsi="Courier New" w:cs="Courier New" w:hint="default"/>
      </w:rPr>
    </w:lvl>
    <w:lvl w:ilvl="2" w:tplc="04260005">
      <w:start w:val="1"/>
      <w:numFmt w:val="bullet"/>
      <w:lvlText w:val=""/>
      <w:lvlJc w:val="left"/>
      <w:pPr>
        <w:tabs>
          <w:tab w:val="num" w:pos="2226"/>
        </w:tabs>
        <w:ind w:left="2226" w:hanging="360"/>
      </w:pPr>
      <w:rPr>
        <w:rFonts w:ascii="Wingdings" w:hAnsi="Wingdings" w:cs="Wingdings" w:hint="default"/>
      </w:rPr>
    </w:lvl>
    <w:lvl w:ilvl="3" w:tplc="04260001">
      <w:start w:val="1"/>
      <w:numFmt w:val="bullet"/>
      <w:lvlText w:val=""/>
      <w:lvlJc w:val="left"/>
      <w:pPr>
        <w:tabs>
          <w:tab w:val="num" w:pos="2946"/>
        </w:tabs>
        <w:ind w:left="2946" w:hanging="360"/>
      </w:pPr>
      <w:rPr>
        <w:rFonts w:ascii="Symbol" w:hAnsi="Symbol" w:cs="Symbol" w:hint="default"/>
      </w:rPr>
    </w:lvl>
    <w:lvl w:ilvl="4" w:tplc="04260003">
      <w:start w:val="1"/>
      <w:numFmt w:val="bullet"/>
      <w:lvlText w:val="o"/>
      <w:lvlJc w:val="left"/>
      <w:pPr>
        <w:tabs>
          <w:tab w:val="num" w:pos="3666"/>
        </w:tabs>
        <w:ind w:left="3666" w:hanging="360"/>
      </w:pPr>
      <w:rPr>
        <w:rFonts w:ascii="Courier New" w:hAnsi="Courier New" w:cs="Courier New" w:hint="default"/>
      </w:rPr>
    </w:lvl>
    <w:lvl w:ilvl="5" w:tplc="04260005">
      <w:start w:val="1"/>
      <w:numFmt w:val="bullet"/>
      <w:lvlText w:val=""/>
      <w:lvlJc w:val="left"/>
      <w:pPr>
        <w:tabs>
          <w:tab w:val="num" w:pos="4386"/>
        </w:tabs>
        <w:ind w:left="4386" w:hanging="360"/>
      </w:pPr>
      <w:rPr>
        <w:rFonts w:ascii="Wingdings" w:hAnsi="Wingdings" w:cs="Wingdings" w:hint="default"/>
      </w:rPr>
    </w:lvl>
    <w:lvl w:ilvl="6" w:tplc="04260001">
      <w:start w:val="1"/>
      <w:numFmt w:val="bullet"/>
      <w:lvlText w:val=""/>
      <w:lvlJc w:val="left"/>
      <w:pPr>
        <w:tabs>
          <w:tab w:val="num" w:pos="5106"/>
        </w:tabs>
        <w:ind w:left="5106" w:hanging="360"/>
      </w:pPr>
      <w:rPr>
        <w:rFonts w:ascii="Symbol" w:hAnsi="Symbol" w:cs="Symbol" w:hint="default"/>
      </w:rPr>
    </w:lvl>
    <w:lvl w:ilvl="7" w:tplc="04260003">
      <w:start w:val="1"/>
      <w:numFmt w:val="bullet"/>
      <w:lvlText w:val="o"/>
      <w:lvlJc w:val="left"/>
      <w:pPr>
        <w:tabs>
          <w:tab w:val="num" w:pos="5826"/>
        </w:tabs>
        <w:ind w:left="5826" w:hanging="360"/>
      </w:pPr>
      <w:rPr>
        <w:rFonts w:ascii="Courier New" w:hAnsi="Courier New" w:cs="Courier New" w:hint="default"/>
      </w:rPr>
    </w:lvl>
    <w:lvl w:ilvl="8" w:tplc="04260005">
      <w:start w:val="1"/>
      <w:numFmt w:val="bullet"/>
      <w:lvlText w:val=""/>
      <w:lvlJc w:val="left"/>
      <w:pPr>
        <w:tabs>
          <w:tab w:val="num" w:pos="6546"/>
        </w:tabs>
        <w:ind w:left="6546" w:hanging="360"/>
      </w:pPr>
      <w:rPr>
        <w:rFonts w:ascii="Wingdings" w:hAnsi="Wingdings" w:cs="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cs="Times New Roman" w:hint="default"/>
      </w:rPr>
    </w:lvl>
    <w:lvl w:ilvl="1" w:tplc="056C3BCA">
      <w:start w:val="1"/>
      <w:numFmt w:val="bullet"/>
      <w:lvlText w:val="▌"/>
      <w:lvlJc w:val="left"/>
      <w:pPr>
        <w:tabs>
          <w:tab w:val="num" w:pos="1440"/>
        </w:tabs>
        <w:ind w:left="1440" w:hanging="360"/>
      </w:pPr>
      <w:rPr>
        <w:rFonts w:ascii="Times New Roman" w:hAnsi="Times New Roman" w:cs="Times New Roman" w:hint="default"/>
      </w:rPr>
    </w:lvl>
    <w:lvl w:ilvl="2" w:tplc="3CFAB368">
      <w:start w:val="1"/>
      <w:numFmt w:val="bullet"/>
      <w:lvlText w:val="▌"/>
      <w:lvlJc w:val="left"/>
      <w:pPr>
        <w:tabs>
          <w:tab w:val="num" w:pos="2160"/>
        </w:tabs>
        <w:ind w:left="2160" w:hanging="360"/>
      </w:pPr>
      <w:rPr>
        <w:rFonts w:ascii="Times New Roman" w:hAnsi="Times New Roman" w:cs="Times New Roman" w:hint="default"/>
      </w:rPr>
    </w:lvl>
    <w:lvl w:ilvl="3" w:tplc="1DE063A6">
      <w:start w:val="1"/>
      <w:numFmt w:val="bullet"/>
      <w:lvlText w:val="▌"/>
      <w:lvlJc w:val="left"/>
      <w:pPr>
        <w:tabs>
          <w:tab w:val="num" w:pos="2880"/>
        </w:tabs>
        <w:ind w:left="2880" w:hanging="360"/>
      </w:pPr>
      <w:rPr>
        <w:rFonts w:ascii="Times New Roman" w:hAnsi="Times New Roman" w:cs="Times New Roman" w:hint="default"/>
      </w:rPr>
    </w:lvl>
    <w:lvl w:ilvl="4" w:tplc="3BA0E0DC">
      <w:start w:val="1"/>
      <w:numFmt w:val="bullet"/>
      <w:lvlText w:val="▌"/>
      <w:lvlJc w:val="left"/>
      <w:pPr>
        <w:tabs>
          <w:tab w:val="num" w:pos="3600"/>
        </w:tabs>
        <w:ind w:left="3600" w:hanging="360"/>
      </w:pPr>
      <w:rPr>
        <w:rFonts w:ascii="Times New Roman" w:hAnsi="Times New Roman" w:cs="Times New Roman" w:hint="default"/>
      </w:rPr>
    </w:lvl>
    <w:lvl w:ilvl="5" w:tplc="E618B692">
      <w:start w:val="1"/>
      <w:numFmt w:val="bullet"/>
      <w:lvlText w:val="▌"/>
      <w:lvlJc w:val="left"/>
      <w:pPr>
        <w:tabs>
          <w:tab w:val="num" w:pos="4320"/>
        </w:tabs>
        <w:ind w:left="4320" w:hanging="360"/>
      </w:pPr>
      <w:rPr>
        <w:rFonts w:ascii="Times New Roman" w:hAnsi="Times New Roman" w:cs="Times New Roman" w:hint="default"/>
      </w:rPr>
    </w:lvl>
    <w:lvl w:ilvl="6" w:tplc="911C8CF2">
      <w:start w:val="1"/>
      <w:numFmt w:val="bullet"/>
      <w:lvlText w:val="▌"/>
      <w:lvlJc w:val="left"/>
      <w:pPr>
        <w:tabs>
          <w:tab w:val="num" w:pos="5040"/>
        </w:tabs>
        <w:ind w:left="5040" w:hanging="360"/>
      </w:pPr>
      <w:rPr>
        <w:rFonts w:ascii="Times New Roman" w:hAnsi="Times New Roman" w:cs="Times New Roman" w:hint="default"/>
      </w:rPr>
    </w:lvl>
    <w:lvl w:ilvl="7" w:tplc="B6346DD6">
      <w:start w:val="1"/>
      <w:numFmt w:val="bullet"/>
      <w:lvlText w:val="▌"/>
      <w:lvlJc w:val="left"/>
      <w:pPr>
        <w:tabs>
          <w:tab w:val="num" w:pos="5760"/>
        </w:tabs>
        <w:ind w:left="5760" w:hanging="360"/>
      </w:pPr>
      <w:rPr>
        <w:rFonts w:ascii="Times New Roman" w:hAnsi="Times New Roman" w:cs="Times New Roman" w:hint="default"/>
      </w:rPr>
    </w:lvl>
    <w:lvl w:ilvl="8" w:tplc="24BA4D6C">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7B3B53EA"/>
    <w:multiLevelType w:val="hybridMultilevel"/>
    <w:tmpl w:val="FA96EDCC"/>
    <w:lvl w:ilvl="0" w:tplc="DCB82D2A">
      <w:start w:val="1"/>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11D24"/>
    <w:rsid w:val="00013FF4"/>
    <w:rsid w:val="00014243"/>
    <w:rsid w:val="00015DAD"/>
    <w:rsid w:val="00017F68"/>
    <w:rsid w:val="00020FE1"/>
    <w:rsid w:val="00022E13"/>
    <w:rsid w:val="00024E99"/>
    <w:rsid w:val="0002592E"/>
    <w:rsid w:val="0002737D"/>
    <w:rsid w:val="00027D55"/>
    <w:rsid w:val="00032388"/>
    <w:rsid w:val="00035CE2"/>
    <w:rsid w:val="00054FAB"/>
    <w:rsid w:val="0005553B"/>
    <w:rsid w:val="000604D2"/>
    <w:rsid w:val="000673D0"/>
    <w:rsid w:val="000827B3"/>
    <w:rsid w:val="000830A5"/>
    <w:rsid w:val="00084DF8"/>
    <w:rsid w:val="0009005E"/>
    <w:rsid w:val="00090130"/>
    <w:rsid w:val="000941C5"/>
    <w:rsid w:val="00094DB7"/>
    <w:rsid w:val="000A6451"/>
    <w:rsid w:val="000A6F31"/>
    <w:rsid w:val="000B04E5"/>
    <w:rsid w:val="000B064E"/>
    <w:rsid w:val="000B69CF"/>
    <w:rsid w:val="000C36DA"/>
    <w:rsid w:val="000C790C"/>
    <w:rsid w:val="000D0F86"/>
    <w:rsid w:val="000D23A9"/>
    <w:rsid w:val="000D407F"/>
    <w:rsid w:val="000E0386"/>
    <w:rsid w:val="000F061D"/>
    <w:rsid w:val="000F242B"/>
    <w:rsid w:val="000F4794"/>
    <w:rsid w:val="000F58C4"/>
    <w:rsid w:val="00100A83"/>
    <w:rsid w:val="00100D5D"/>
    <w:rsid w:val="00105DA2"/>
    <w:rsid w:val="00124F12"/>
    <w:rsid w:val="001379DB"/>
    <w:rsid w:val="00144E3A"/>
    <w:rsid w:val="00147C6C"/>
    <w:rsid w:val="001505DB"/>
    <w:rsid w:val="0015060C"/>
    <w:rsid w:val="0016018A"/>
    <w:rsid w:val="00161124"/>
    <w:rsid w:val="00161F0E"/>
    <w:rsid w:val="00170E2A"/>
    <w:rsid w:val="00177394"/>
    <w:rsid w:val="00180F69"/>
    <w:rsid w:val="00182C18"/>
    <w:rsid w:val="00183CC2"/>
    <w:rsid w:val="00186C91"/>
    <w:rsid w:val="001900E4"/>
    <w:rsid w:val="00190F88"/>
    <w:rsid w:val="0019318A"/>
    <w:rsid w:val="00194421"/>
    <w:rsid w:val="001955F0"/>
    <w:rsid w:val="001973CD"/>
    <w:rsid w:val="001A14ED"/>
    <w:rsid w:val="001A4066"/>
    <w:rsid w:val="001A6AE4"/>
    <w:rsid w:val="001B01FD"/>
    <w:rsid w:val="001B0595"/>
    <w:rsid w:val="001B4A71"/>
    <w:rsid w:val="001B4DCE"/>
    <w:rsid w:val="001C37A7"/>
    <w:rsid w:val="001D5B54"/>
    <w:rsid w:val="001E1DBF"/>
    <w:rsid w:val="001E4639"/>
    <w:rsid w:val="001E4A7D"/>
    <w:rsid w:val="001F4209"/>
    <w:rsid w:val="001F43A8"/>
    <w:rsid w:val="001F5CD6"/>
    <w:rsid w:val="002052A2"/>
    <w:rsid w:val="0021135F"/>
    <w:rsid w:val="0021263D"/>
    <w:rsid w:val="00213F0C"/>
    <w:rsid w:val="00214094"/>
    <w:rsid w:val="002140A5"/>
    <w:rsid w:val="0021592D"/>
    <w:rsid w:val="00222D76"/>
    <w:rsid w:val="00222D99"/>
    <w:rsid w:val="00223EB1"/>
    <w:rsid w:val="00227A40"/>
    <w:rsid w:val="00231344"/>
    <w:rsid w:val="0023436E"/>
    <w:rsid w:val="002347C0"/>
    <w:rsid w:val="00235180"/>
    <w:rsid w:val="0024103D"/>
    <w:rsid w:val="00241A6C"/>
    <w:rsid w:val="00242D2B"/>
    <w:rsid w:val="00254A78"/>
    <w:rsid w:val="00262E2B"/>
    <w:rsid w:val="00270167"/>
    <w:rsid w:val="00270429"/>
    <w:rsid w:val="002723E9"/>
    <w:rsid w:val="00277929"/>
    <w:rsid w:val="00283B82"/>
    <w:rsid w:val="002846E9"/>
    <w:rsid w:val="00284C34"/>
    <w:rsid w:val="0029066C"/>
    <w:rsid w:val="002954F7"/>
    <w:rsid w:val="00295D73"/>
    <w:rsid w:val="002A08C7"/>
    <w:rsid w:val="002A4DBA"/>
    <w:rsid w:val="002B50DB"/>
    <w:rsid w:val="002C12AB"/>
    <w:rsid w:val="002C7CAC"/>
    <w:rsid w:val="002D3306"/>
    <w:rsid w:val="002D48AA"/>
    <w:rsid w:val="002D5E26"/>
    <w:rsid w:val="002D7BAA"/>
    <w:rsid w:val="002D7F54"/>
    <w:rsid w:val="002E3FF4"/>
    <w:rsid w:val="002F1BC6"/>
    <w:rsid w:val="002F2AD9"/>
    <w:rsid w:val="002F5074"/>
    <w:rsid w:val="002F78C8"/>
    <w:rsid w:val="00301CF3"/>
    <w:rsid w:val="00303BBA"/>
    <w:rsid w:val="00313056"/>
    <w:rsid w:val="003220D0"/>
    <w:rsid w:val="0032715C"/>
    <w:rsid w:val="00331E11"/>
    <w:rsid w:val="00337AAD"/>
    <w:rsid w:val="00337CA5"/>
    <w:rsid w:val="00340093"/>
    <w:rsid w:val="003431F0"/>
    <w:rsid w:val="00347BFF"/>
    <w:rsid w:val="003501D4"/>
    <w:rsid w:val="003501EB"/>
    <w:rsid w:val="00362478"/>
    <w:rsid w:val="00375B25"/>
    <w:rsid w:val="0037657B"/>
    <w:rsid w:val="0038132C"/>
    <w:rsid w:val="00394266"/>
    <w:rsid w:val="0039593C"/>
    <w:rsid w:val="00396542"/>
    <w:rsid w:val="0039685B"/>
    <w:rsid w:val="003A0313"/>
    <w:rsid w:val="003A17FD"/>
    <w:rsid w:val="003A31A6"/>
    <w:rsid w:val="003A5EAC"/>
    <w:rsid w:val="003A7F0C"/>
    <w:rsid w:val="003A7F79"/>
    <w:rsid w:val="003B6404"/>
    <w:rsid w:val="003B7371"/>
    <w:rsid w:val="003C391E"/>
    <w:rsid w:val="003C449B"/>
    <w:rsid w:val="003D205D"/>
    <w:rsid w:val="003D21FF"/>
    <w:rsid w:val="003D7D54"/>
    <w:rsid w:val="003F0112"/>
    <w:rsid w:val="003F071A"/>
    <w:rsid w:val="003F160B"/>
    <w:rsid w:val="003F4716"/>
    <w:rsid w:val="003F6B94"/>
    <w:rsid w:val="003F7281"/>
    <w:rsid w:val="00400032"/>
    <w:rsid w:val="00400B5B"/>
    <w:rsid w:val="00405A00"/>
    <w:rsid w:val="00410131"/>
    <w:rsid w:val="0041154A"/>
    <w:rsid w:val="00420870"/>
    <w:rsid w:val="0042588F"/>
    <w:rsid w:val="00432D0C"/>
    <w:rsid w:val="0043791B"/>
    <w:rsid w:val="00441483"/>
    <w:rsid w:val="00441BCB"/>
    <w:rsid w:val="00447713"/>
    <w:rsid w:val="0045176A"/>
    <w:rsid w:val="00451C27"/>
    <w:rsid w:val="00453480"/>
    <w:rsid w:val="00453978"/>
    <w:rsid w:val="0045509E"/>
    <w:rsid w:val="00456332"/>
    <w:rsid w:val="004577D5"/>
    <w:rsid w:val="00461826"/>
    <w:rsid w:val="0047284D"/>
    <w:rsid w:val="00473F09"/>
    <w:rsid w:val="004800F9"/>
    <w:rsid w:val="004854B1"/>
    <w:rsid w:val="0049134A"/>
    <w:rsid w:val="00491DFC"/>
    <w:rsid w:val="004A30A6"/>
    <w:rsid w:val="004A58CB"/>
    <w:rsid w:val="004A7193"/>
    <w:rsid w:val="004B1795"/>
    <w:rsid w:val="004B1BA7"/>
    <w:rsid w:val="004B20EF"/>
    <w:rsid w:val="004B3D87"/>
    <w:rsid w:val="004B56DD"/>
    <w:rsid w:val="004C020F"/>
    <w:rsid w:val="004C0E24"/>
    <w:rsid w:val="004C1AFD"/>
    <w:rsid w:val="004C558B"/>
    <w:rsid w:val="004F1F88"/>
    <w:rsid w:val="004F5F1B"/>
    <w:rsid w:val="00502374"/>
    <w:rsid w:val="00502D91"/>
    <w:rsid w:val="005060A1"/>
    <w:rsid w:val="0050709A"/>
    <w:rsid w:val="00513073"/>
    <w:rsid w:val="00516072"/>
    <w:rsid w:val="00517BC4"/>
    <w:rsid w:val="00524B21"/>
    <w:rsid w:val="00526356"/>
    <w:rsid w:val="005332EC"/>
    <w:rsid w:val="00534418"/>
    <w:rsid w:val="005353AB"/>
    <w:rsid w:val="00541F12"/>
    <w:rsid w:val="005505F0"/>
    <w:rsid w:val="005560BC"/>
    <w:rsid w:val="005573BE"/>
    <w:rsid w:val="00562BE0"/>
    <w:rsid w:val="0056470C"/>
    <w:rsid w:val="00572700"/>
    <w:rsid w:val="00572C45"/>
    <w:rsid w:val="00577601"/>
    <w:rsid w:val="00580468"/>
    <w:rsid w:val="00582231"/>
    <w:rsid w:val="0058603B"/>
    <w:rsid w:val="0059431B"/>
    <w:rsid w:val="005A09C3"/>
    <w:rsid w:val="005A1248"/>
    <w:rsid w:val="005A39CC"/>
    <w:rsid w:val="005A3A0A"/>
    <w:rsid w:val="005B4730"/>
    <w:rsid w:val="005C07B7"/>
    <w:rsid w:val="005C1C28"/>
    <w:rsid w:val="005C427C"/>
    <w:rsid w:val="005D6F72"/>
    <w:rsid w:val="005E05D7"/>
    <w:rsid w:val="005E26AD"/>
    <w:rsid w:val="005E41E7"/>
    <w:rsid w:val="005E450F"/>
    <w:rsid w:val="005F0CCE"/>
    <w:rsid w:val="005F14DF"/>
    <w:rsid w:val="005F2EA1"/>
    <w:rsid w:val="005F74A9"/>
    <w:rsid w:val="00600161"/>
    <w:rsid w:val="0061530E"/>
    <w:rsid w:val="0062298A"/>
    <w:rsid w:val="00626514"/>
    <w:rsid w:val="00626589"/>
    <w:rsid w:val="006339A0"/>
    <w:rsid w:val="006363ED"/>
    <w:rsid w:val="00640363"/>
    <w:rsid w:val="006413A8"/>
    <w:rsid w:val="00642E56"/>
    <w:rsid w:val="006454E8"/>
    <w:rsid w:val="0064792B"/>
    <w:rsid w:val="00651E00"/>
    <w:rsid w:val="00670793"/>
    <w:rsid w:val="00674007"/>
    <w:rsid w:val="00674572"/>
    <w:rsid w:val="00674A5F"/>
    <w:rsid w:val="0068384F"/>
    <w:rsid w:val="00687763"/>
    <w:rsid w:val="00692B0D"/>
    <w:rsid w:val="00692B4C"/>
    <w:rsid w:val="0069338A"/>
    <w:rsid w:val="00693E0E"/>
    <w:rsid w:val="006A1AE3"/>
    <w:rsid w:val="006A34D0"/>
    <w:rsid w:val="006B2BBC"/>
    <w:rsid w:val="006B2CD9"/>
    <w:rsid w:val="006C0AAC"/>
    <w:rsid w:val="006C1B52"/>
    <w:rsid w:val="006C30E1"/>
    <w:rsid w:val="006C4607"/>
    <w:rsid w:val="006D067E"/>
    <w:rsid w:val="006D48F1"/>
    <w:rsid w:val="006D54D0"/>
    <w:rsid w:val="006E5C01"/>
    <w:rsid w:val="006E77E1"/>
    <w:rsid w:val="006F45BE"/>
    <w:rsid w:val="006F6959"/>
    <w:rsid w:val="007004FC"/>
    <w:rsid w:val="00701734"/>
    <w:rsid w:val="007030BE"/>
    <w:rsid w:val="007057B4"/>
    <w:rsid w:val="00706670"/>
    <w:rsid w:val="00711F59"/>
    <w:rsid w:val="00722249"/>
    <w:rsid w:val="0072417C"/>
    <w:rsid w:val="00731304"/>
    <w:rsid w:val="00734450"/>
    <w:rsid w:val="00745F67"/>
    <w:rsid w:val="0075039E"/>
    <w:rsid w:val="0075169A"/>
    <w:rsid w:val="00752D9D"/>
    <w:rsid w:val="00754784"/>
    <w:rsid w:val="00754E3B"/>
    <w:rsid w:val="007551AA"/>
    <w:rsid w:val="00757C6E"/>
    <w:rsid w:val="00762BDA"/>
    <w:rsid w:val="00775A9F"/>
    <w:rsid w:val="00776B52"/>
    <w:rsid w:val="007805FD"/>
    <w:rsid w:val="00782C25"/>
    <w:rsid w:val="00784422"/>
    <w:rsid w:val="00792DE5"/>
    <w:rsid w:val="00794B0A"/>
    <w:rsid w:val="0079561D"/>
    <w:rsid w:val="0079573E"/>
    <w:rsid w:val="007A22F2"/>
    <w:rsid w:val="007A4702"/>
    <w:rsid w:val="007A4D78"/>
    <w:rsid w:val="007B11D2"/>
    <w:rsid w:val="007B3B54"/>
    <w:rsid w:val="007B3FA0"/>
    <w:rsid w:val="007B410B"/>
    <w:rsid w:val="007B6D53"/>
    <w:rsid w:val="007C0F2C"/>
    <w:rsid w:val="007C2BCC"/>
    <w:rsid w:val="007C4EF0"/>
    <w:rsid w:val="007C57A1"/>
    <w:rsid w:val="007C7975"/>
    <w:rsid w:val="007D099D"/>
    <w:rsid w:val="007E2664"/>
    <w:rsid w:val="007E3ABF"/>
    <w:rsid w:val="007E5BFA"/>
    <w:rsid w:val="007E6689"/>
    <w:rsid w:val="007E731C"/>
    <w:rsid w:val="007E7AD7"/>
    <w:rsid w:val="007F0A03"/>
    <w:rsid w:val="007F657E"/>
    <w:rsid w:val="00810040"/>
    <w:rsid w:val="00816079"/>
    <w:rsid w:val="008171B9"/>
    <w:rsid w:val="0082023A"/>
    <w:rsid w:val="00820C28"/>
    <w:rsid w:val="00820C44"/>
    <w:rsid w:val="008213C0"/>
    <w:rsid w:val="00821A7A"/>
    <w:rsid w:val="008253F8"/>
    <w:rsid w:val="008320A3"/>
    <w:rsid w:val="008322E8"/>
    <w:rsid w:val="008325E4"/>
    <w:rsid w:val="00832A2B"/>
    <w:rsid w:val="00845811"/>
    <w:rsid w:val="00846994"/>
    <w:rsid w:val="00850451"/>
    <w:rsid w:val="00852042"/>
    <w:rsid w:val="008531C6"/>
    <w:rsid w:val="008534C9"/>
    <w:rsid w:val="0085599D"/>
    <w:rsid w:val="00863439"/>
    <w:rsid w:val="00864DD2"/>
    <w:rsid w:val="00871D15"/>
    <w:rsid w:val="00872C50"/>
    <w:rsid w:val="00874615"/>
    <w:rsid w:val="0087510C"/>
    <w:rsid w:val="00877192"/>
    <w:rsid w:val="00881A2A"/>
    <w:rsid w:val="00884BBD"/>
    <w:rsid w:val="00891C72"/>
    <w:rsid w:val="00894B08"/>
    <w:rsid w:val="00895E87"/>
    <w:rsid w:val="008968D2"/>
    <w:rsid w:val="0089738E"/>
    <w:rsid w:val="008A48F8"/>
    <w:rsid w:val="008A7744"/>
    <w:rsid w:val="008B0D0A"/>
    <w:rsid w:val="008B5FDB"/>
    <w:rsid w:val="008B60AB"/>
    <w:rsid w:val="008C0E28"/>
    <w:rsid w:val="008C2042"/>
    <w:rsid w:val="008C50F4"/>
    <w:rsid w:val="008C5649"/>
    <w:rsid w:val="008D7974"/>
    <w:rsid w:val="008E44A2"/>
    <w:rsid w:val="008E5F36"/>
    <w:rsid w:val="008E697D"/>
    <w:rsid w:val="008E70C3"/>
    <w:rsid w:val="008F24A7"/>
    <w:rsid w:val="00903263"/>
    <w:rsid w:val="00905876"/>
    <w:rsid w:val="009068B1"/>
    <w:rsid w:val="00906A21"/>
    <w:rsid w:val="009079C3"/>
    <w:rsid w:val="00910462"/>
    <w:rsid w:val="00911E9A"/>
    <w:rsid w:val="00915AB1"/>
    <w:rsid w:val="00917532"/>
    <w:rsid w:val="00917AD8"/>
    <w:rsid w:val="009235BA"/>
    <w:rsid w:val="00924023"/>
    <w:rsid w:val="00924B9A"/>
    <w:rsid w:val="00924CE2"/>
    <w:rsid w:val="00925B9F"/>
    <w:rsid w:val="00931AED"/>
    <w:rsid w:val="009412BD"/>
    <w:rsid w:val="009476A3"/>
    <w:rsid w:val="0095334F"/>
    <w:rsid w:val="00954594"/>
    <w:rsid w:val="009641CD"/>
    <w:rsid w:val="00964C17"/>
    <w:rsid w:val="00965897"/>
    <w:rsid w:val="0096765C"/>
    <w:rsid w:val="00972783"/>
    <w:rsid w:val="009727E4"/>
    <w:rsid w:val="00973E0D"/>
    <w:rsid w:val="0098194D"/>
    <w:rsid w:val="0098282D"/>
    <w:rsid w:val="009934C5"/>
    <w:rsid w:val="00993FEB"/>
    <w:rsid w:val="00994C0F"/>
    <w:rsid w:val="009A2A37"/>
    <w:rsid w:val="009B22D7"/>
    <w:rsid w:val="009B4871"/>
    <w:rsid w:val="009B72ED"/>
    <w:rsid w:val="009C1842"/>
    <w:rsid w:val="009C4533"/>
    <w:rsid w:val="009C6C48"/>
    <w:rsid w:val="009C6DEB"/>
    <w:rsid w:val="009D3652"/>
    <w:rsid w:val="009D6504"/>
    <w:rsid w:val="009E0394"/>
    <w:rsid w:val="009E08BA"/>
    <w:rsid w:val="009E12D7"/>
    <w:rsid w:val="009E194F"/>
    <w:rsid w:val="009E63E5"/>
    <w:rsid w:val="009E661A"/>
    <w:rsid w:val="009F0085"/>
    <w:rsid w:val="009F1D95"/>
    <w:rsid w:val="009F4E68"/>
    <w:rsid w:val="009F5C1F"/>
    <w:rsid w:val="009F7675"/>
    <w:rsid w:val="00A021E3"/>
    <w:rsid w:val="00A027E4"/>
    <w:rsid w:val="00A06781"/>
    <w:rsid w:val="00A0748E"/>
    <w:rsid w:val="00A074C3"/>
    <w:rsid w:val="00A1509C"/>
    <w:rsid w:val="00A1682C"/>
    <w:rsid w:val="00A249B9"/>
    <w:rsid w:val="00A2763D"/>
    <w:rsid w:val="00A34260"/>
    <w:rsid w:val="00A414FC"/>
    <w:rsid w:val="00A42329"/>
    <w:rsid w:val="00A52C72"/>
    <w:rsid w:val="00A6351C"/>
    <w:rsid w:val="00A63AD9"/>
    <w:rsid w:val="00A65848"/>
    <w:rsid w:val="00A70CFD"/>
    <w:rsid w:val="00A72A0B"/>
    <w:rsid w:val="00A72CC6"/>
    <w:rsid w:val="00A747F3"/>
    <w:rsid w:val="00A81E42"/>
    <w:rsid w:val="00A864FE"/>
    <w:rsid w:val="00A86F41"/>
    <w:rsid w:val="00A87BE0"/>
    <w:rsid w:val="00A87D04"/>
    <w:rsid w:val="00A950C5"/>
    <w:rsid w:val="00AA0C45"/>
    <w:rsid w:val="00AA1D25"/>
    <w:rsid w:val="00AA330C"/>
    <w:rsid w:val="00AB108E"/>
    <w:rsid w:val="00AB2B1A"/>
    <w:rsid w:val="00AB397F"/>
    <w:rsid w:val="00AB5832"/>
    <w:rsid w:val="00AC06A8"/>
    <w:rsid w:val="00AC2B38"/>
    <w:rsid w:val="00AC51F2"/>
    <w:rsid w:val="00AC704C"/>
    <w:rsid w:val="00AD3269"/>
    <w:rsid w:val="00AD5061"/>
    <w:rsid w:val="00AE2B9E"/>
    <w:rsid w:val="00AE3030"/>
    <w:rsid w:val="00AE5066"/>
    <w:rsid w:val="00AE5E24"/>
    <w:rsid w:val="00AE61B7"/>
    <w:rsid w:val="00AE6CBA"/>
    <w:rsid w:val="00AE79AD"/>
    <w:rsid w:val="00AF35E4"/>
    <w:rsid w:val="00AF48ED"/>
    <w:rsid w:val="00AF544C"/>
    <w:rsid w:val="00AF5CDE"/>
    <w:rsid w:val="00AF634B"/>
    <w:rsid w:val="00B04C92"/>
    <w:rsid w:val="00B10280"/>
    <w:rsid w:val="00B11A57"/>
    <w:rsid w:val="00B13A48"/>
    <w:rsid w:val="00B211C3"/>
    <w:rsid w:val="00B25597"/>
    <w:rsid w:val="00B25D62"/>
    <w:rsid w:val="00B267B9"/>
    <w:rsid w:val="00B26CAF"/>
    <w:rsid w:val="00B33E09"/>
    <w:rsid w:val="00B45D71"/>
    <w:rsid w:val="00B50708"/>
    <w:rsid w:val="00B50C68"/>
    <w:rsid w:val="00B51293"/>
    <w:rsid w:val="00B52B1E"/>
    <w:rsid w:val="00B534E1"/>
    <w:rsid w:val="00B55481"/>
    <w:rsid w:val="00B56C32"/>
    <w:rsid w:val="00B57ACF"/>
    <w:rsid w:val="00B6423A"/>
    <w:rsid w:val="00B647C7"/>
    <w:rsid w:val="00B64BB1"/>
    <w:rsid w:val="00B73166"/>
    <w:rsid w:val="00B76623"/>
    <w:rsid w:val="00B8426C"/>
    <w:rsid w:val="00B9092F"/>
    <w:rsid w:val="00B91B8D"/>
    <w:rsid w:val="00B94E90"/>
    <w:rsid w:val="00B9758F"/>
    <w:rsid w:val="00BA06A0"/>
    <w:rsid w:val="00BA1120"/>
    <w:rsid w:val="00BA2F36"/>
    <w:rsid w:val="00BB0A82"/>
    <w:rsid w:val="00BB1E3F"/>
    <w:rsid w:val="00BB5510"/>
    <w:rsid w:val="00BB66B8"/>
    <w:rsid w:val="00BB7C94"/>
    <w:rsid w:val="00BC0A9D"/>
    <w:rsid w:val="00BD307F"/>
    <w:rsid w:val="00BD4252"/>
    <w:rsid w:val="00BE1FD3"/>
    <w:rsid w:val="00BE268F"/>
    <w:rsid w:val="00BE4F43"/>
    <w:rsid w:val="00BE5448"/>
    <w:rsid w:val="00BF1936"/>
    <w:rsid w:val="00BF40ED"/>
    <w:rsid w:val="00BF4404"/>
    <w:rsid w:val="00BF5BC2"/>
    <w:rsid w:val="00C00A5C"/>
    <w:rsid w:val="00C10C64"/>
    <w:rsid w:val="00C1133D"/>
    <w:rsid w:val="00C140D8"/>
    <w:rsid w:val="00C15418"/>
    <w:rsid w:val="00C2003E"/>
    <w:rsid w:val="00C23369"/>
    <w:rsid w:val="00C248AE"/>
    <w:rsid w:val="00C27A08"/>
    <w:rsid w:val="00C30D38"/>
    <w:rsid w:val="00C31312"/>
    <w:rsid w:val="00C31E36"/>
    <w:rsid w:val="00C326C6"/>
    <w:rsid w:val="00C35295"/>
    <w:rsid w:val="00C36ADD"/>
    <w:rsid w:val="00C36E74"/>
    <w:rsid w:val="00C40595"/>
    <w:rsid w:val="00C41621"/>
    <w:rsid w:val="00C449FA"/>
    <w:rsid w:val="00C45CAC"/>
    <w:rsid w:val="00C45D38"/>
    <w:rsid w:val="00C5384F"/>
    <w:rsid w:val="00C56964"/>
    <w:rsid w:val="00C62918"/>
    <w:rsid w:val="00C656D5"/>
    <w:rsid w:val="00C66EF8"/>
    <w:rsid w:val="00C67103"/>
    <w:rsid w:val="00C67C70"/>
    <w:rsid w:val="00C71BB9"/>
    <w:rsid w:val="00C801AB"/>
    <w:rsid w:val="00C94C28"/>
    <w:rsid w:val="00CA3D9E"/>
    <w:rsid w:val="00CA7FD3"/>
    <w:rsid w:val="00CB0247"/>
    <w:rsid w:val="00CB1901"/>
    <w:rsid w:val="00CB2748"/>
    <w:rsid w:val="00CB3440"/>
    <w:rsid w:val="00CC1692"/>
    <w:rsid w:val="00CC30EE"/>
    <w:rsid w:val="00CD138B"/>
    <w:rsid w:val="00CD2B5F"/>
    <w:rsid w:val="00CD3D05"/>
    <w:rsid w:val="00CD3E31"/>
    <w:rsid w:val="00CD74A3"/>
    <w:rsid w:val="00CD7C6D"/>
    <w:rsid w:val="00CE0527"/>
    <w:rsid w:val="00CE5B23"/>
    <w:rsid w:val="00CE733D"/>
    <w:rsid w:val="00CF5EED"/>
    <w:rsid w:val="00CF70AD"/>
    <w:rsid w:val="00CF7729"/>
    <w:rsid w:val="00D00059"/>
    <w:rsid w:val="00D00E01"/>
    <w:rsid w:val="00D07C4F"/>
    <w:rsid w:val="00D10331"/>
    <w:rsid w:val="00D107FA"/>
    <w:rsid w:val="00D12275"/>
    <w:rsid w:val="00D12766"/>
    <w:rsid w:val="00D20FF4"/>
    <w:rsid w:val="00D24D2C"/>
    <w:rsid w:val="00D26831"/>
    <w:rsid w:val="00D30DC2"/>
    <w:rsid w:val="00D35881"/>
    <w:rsid w:val="00D36A05"/>
    <w:rsid w:val="00D43B35"/>
    <w:rsid w:val="00D558F7"/>
    <w:rsid w:val="00D5655B"/>
    <w:rsid w:val="00D62A7E"/>
    <w:rsid w:val="00D8370B"/>
    <w:rsid w:val="00D87F00"/>
    <w:rsid w:val="00DA0C74"/>
    <w:rsid w:val="00DA7DA5"/>
    <w:rsid w:val="00DB073B"/>
    <w:rsid w:val="00DB78F0"/>
    <w:rsid w:val="00DC0CEA"/>
    <w:rsid w:val="00DC1722"/>
    <w:rsid w:val="00DC189F"/>
    <w:rsid w:val="00DC2E43"/>
    <w:rsid w:val="00DD095C"/>
    <w:rsid w:val="00DD1020"/>
    <w:rsid w:val="00DD1330"/>
    <w:rsid w:val="00DD7423"/>
    <w:rsid w:val="00DE0B83"/>
    <w:rsid w:val="00DE1A81"/>
    <w:rsid w:val="00DE1C13"/>
    <w:rsid w:val="00DE41FB"/>
    <w:rsid w:val="00DE4E10"/>
    <w:rsid w:val="00DE51F0"/>
    <w:rsid w:val="00DF0EFA"/>
    <w:rsid w:val="00DF36FE"/>
    <w:rsid w:val="00E02ABF"/>
    <w:rsid w:val="00E14995"/>
    <w:rsid w:val="00E16BF4"/>
    <w:rsid w:val="00E179CD"/>
    <w:rsid w:val="00E23E8D"/>
    <w:rsid w:val="00E37F98"/>
    <w:rsid w:val="00E41139"/>
    <w:rsid w:val="00E46416"/>
    <w:rsid w:val="00E46559"/>
    <w:rsid w:val="00E57D9B"/>
    <w:rsid w:val="00E6670C"/>
    <w:rsid w:val="00E76759"/>
    <w:rsid w:val="00E776E8"/>
    <w:rsid w:val="00E81404"/>
    <w:rsid w:val="00E828FE"/>
    <w:rsid w:val="00E92C1F"/>
    <w:rsid w:val="00E95D4B"/>
    <w:rsid w:val="00EA2670"/>
    <w:rsid w:val="00EB0474"/>
    <w:rsid w:val="00EB199F"/>
    <w:rsid w:val="00EB1BA3"/>
    <w:rsid w:val="00EB425F"/>
    <w:rsid w:val="00EB593C"/>
    <w:rsid w:val="00EB707A"/>
    <w:rsid w:val="00EC1157"/>
    <w:rsid w:val="00EC23F7"/>
    <w:rsid w:val="00EC4BD8"/>
    <w:rsid w:val="00EC5000"/>
    <w:rsid w:val="00EC63EB"/>
    <w:rsid w:val="00EC74E3"/>
    <w:rsid w:val="00ED412F"/>
    <w:rsid w:val="00ED4F1A"/>
    <w:rsid w:val="00ED77E3"/>
    <w:rsid w:val="00EE5F38"/>
    <w:rsid w:val="00EE7944"/>
    <w:rsid w:val="00EE7D40"/>
    <w:rsid w:val="00EE7F5F"/>
    <w:rsid w:val="00EF36B2"/>
    <w:rsid w:val="00EF7D5B"/>
    <w:rsid w:val="00F1246B"/>
    <w:rsid w:val="00F201EC"/>
    <w:rsid w:val="00F208A9"/>
    <w:rsid w:val="00F41D75"/>
    <w:rsid w:val="00F4212F"/>
    <w:rsid w:val="00F5139D"/>
    <w:rsid w:val="00F53512"/>
    <w:rsid w:val="00F55133"/>
    <w:rsid w:val="00F56888"/>
    <w:rsid w:val="00F622E1"/>
    <w:rsid w:val="00F63DAC"/>
    <w:rsid w:val="00F72A3D"/>
    <w:rsid w:val="00F7454F"/>
    <w:rsid w:val="00F768A8"/>
    <w:rsid w:val="00F77988"/>
    <w:rsid w:val="00F77F48"/>
    <w:rsid w:val="00F95C15"/>
    <w:rsid w:val="00FA0571"/>
    <w:rsid w:val="00FA71B4"/>
    <w:rsid w:val="00FB30F1"/>
    <w:rsid w:val="00FB53E7"/>
    <w:rsid w:val="00FD209F"/>
    <w:rsid w:val="00FD29AC"/>
    <w:rsid w:val="00FD2A8A"/>
    <w:rsid w:val="00FE5CD9"/>
    <w:rsid w:val="00FF11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9006AC5A-9098-4EDF-8E1A-EF063B58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customStyle="1" w:styleId="HeaderChar">
    <w:name w:val="Header Char"/>
    <w:basedOn w:val="DefaultParagraphFont"/>
    <w:link w:val="Header"/>
    <w:uiPriority w:val="99"/>
    <w:semiHidden/>
    <w:locked/>
    <w:rsid w:val="0079561D"/>
    <w:rPr>
      <w:sz w:val="24"/>
      <w:szCs w:val="24"/>
      <w:lang w:val="lv-LV" w:eastAsia="lv-LV"/>
    </w:rPr>
  </w:style>
  <w:style w:type="character" w:styleId="PageNumber">
    <w:name w:val="page number"/>
    <w:basedOn w:val="DefaultParagraphFont"/>
    <w:uiPriority w:val="99"/>
    <w:rsid w:val="008C5649"/>
  </w:style>
  <w:style w:type="paragraph" w:customStyle="1" w:styleId="naisf">
    <w:name w:val="naisf"/>
    <w:basedOn w:val="Normal"/>
    <w:link w:val="naisfChar"/>
    <w:uiPriority w:val="99"/>
    <w:rsid w:val="008C5649"/>
    <w:pPr>
      <w:spacing w:before="75" w:after="75"/>
      <w:ind w:firstLine="375"/>
      <w:jc w:val="both"/>
    </w:pPr>
  </w:style>
  <w:style w:type="paragraph" w:customStyle="1" w:styleId="naisnod">
    <w:name w:val="naisnod"/>
    <w:basedOn w:val="Normal"/>
    <w:uiPriority w:val="99"/>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uiPriority w:val="99"/>
    <w:rsid w:val="008C5649"/>
    <w:pPr>
      <w:spacing w:before="75" w:after="75"/>
    </w:pPr>
  </w:style>
  <w:style w:type="paragraph" w:customStyle="1" w:styleId="naisc">
    <w:name w:val="naisc"/>
    <w:basedOn w:val="Normal"/>
    <w:uiPriority w:val="99"/>
    <w:rsid w:val="008C5649"/>
    <w:pPr>
      <w:spacing w:before="75" w:after="75"/>
      <w:jc w:val="center"/>
    </w:pPr>
  </w:style>
  <w:style w:type="character" w:customStyle="1" w:styleId="th1">
    <w:name w:val="th1"/>
    <w:uiPriority w:val="99"/>
    <w:rsid w:val="008C5649"/>
    <w:rPr>
      <w:b/>
      <w:bCs/>
      <w:color w:val="auto"/>
    </w:rPr>
  </w:style>
  <w:style w:type="character" w:styleId="CommentReference">
    <w:name w:val="annotation reference"/>
    <w:basedOn w:val="DefaultParagraphFont"/>
    <w:uiPriority w:val="99"/>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basedOn w:val="DefaultParagraphFont"/>
    <w:link w:val="CommentText"/>
    <w:uiPriority w:val="99"/>
    <w:semiHidden/>
    <w:locked/>
    <w:rsid w:val="008C5649"/>
    <w:rPr>
      <w:lang w:val="lv-LV" w:eastAsia="lv-LV"/>
    </w:rPr>
  </w:style>
  <w:style w:type="paragraph" w:styleId="BalloonText">
    <w:name w:val="Balloon Text"/>
    <w:basedOn w:val="Normal"/>
    <w:link w:val="BalloonTextChar"/>
    <w:uiPriority w:val="99"/>
    <w:semiHidden/>
    <w:rsid w:val="008C5649"/>
    <w:rPr>
      <w:rFonts w:ascii="Tahoma" w:hAnsi="Tahoma" w:cs="Tahoma"/>
      <w:sz w:val="16"/>
      <w:szCs w:val="16"/>
    </w:rPr>
  </w:style>
  <w:style w:type="character" w:customStyle="1" w:styleId="BalloonTextChar">
    <w:name w:val="Balloon Text Char"/>
    <w:basedOn w:val="DefaultParagraphFont"/>
    <w:link w:val="BalloonText"/>
    <w:uiPriority w:val="99"/>
    <w:semiHidden/>
    <w:rsid w:val="005F3B32"/>
    <w:rPr>
      <w:sz w:val="0"/>
      <w:szCs w:val="0"/>
    </w:rPr>
  </w:style>
  <w:style w:type="table" w:styleId="TableGrid">
    <w:name w:val="Table Grid"/>
    <w:basedOn w:val="TableNormal"/>
    <w:uiPriority w:val="99"/>
    <w:rsid w:val="008C564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C5649"/>
    <w:rPr>
      <w:sz w:val="20"/>
      <w:szCs w:val="20"/>
    </w:rPr>
  </w:style>
  <w:style w:type="character" w:customStyle="1" w:styleId="FootnoteTextChar">
    <w:name w:val="Footnote Text Char"/>
    <w:basedOn w:val="DefaultParagraphFont"/>
    <w:link w:val="FootnoteText"/>
    <w:uiPriority w:val="99"/>
    <w:semiHidden/>
    <w:rsid w:val="005F3B32"/>
    <w:rPr>
      <w:sz w:val="20"/>
      <w:szCs w:val="20"/>
    </w:rPr>
  </w:style>
  <w:style w:type="character" w:styleId="FootnoteReference">
    <w:name w:val="footnote reference"/>
    <w:basedOn w:val="DefaultParagraphFont"/>
    <w:uiPriority w:val="99"/>
    <w:semiHidden/>
    <w:rsid w:val="008C5649"/>
    <w:rPr>
      <w:vertAlign w:val="superscript"/>
    </w:rPr>
  </w:style>
  <w:style w:type="paragraph" w:styleId="CommentSubject">
    <w:name w:val="annotation subject"/>
    <w:basedOn w:val="CommentText"/>
    <w:next w:val="CommentText"/>
    <w:link w:val="CommentSubjectChar"/>
    <w:uiPriority w:val="99"/>
    <w:semiHidden/>
    <w:rsid w:val="00262E2B"/>
    <w:rPr>
      <w:b/>
      <w:bCs/>
    </w:rPr>
  </w:style>
  <w:style w:type="character" w:customStyle="1" w:styleId="CommentSubjectChar">
    <w:name w:val="Comment Subject Char"/>
    <w:basedOn w:val="CommentTextChar"/>
    <w:link w:val="CommentSubject"/>
    <w:uiPriority w:val="99"/>
    <w:semiHidden/>
    <w:rsid w:val="005F3B32"/>
    <w:rPr>
      <w:b/>
      <w:bCs/>
      <w:sz w:val="20"/>
      <w:szCs w:val="20"/>
      <w:lang w:val="lv-LV" w:eastAsia="lv-LV"/>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semiHidden/>
    <w:locked/>
    <w:rsid w:val="00231344"/>
    <w:rPr>
      <w:sz w:val="24"/>
      <w:szCs w:val="24"/>
      <w:lang w:val="lv-LV" w:eastAsia="lv-LV"/>
    </w:rPr>
  </w:style>
  <w:style w:type="character" w:styleId="Hyperlink">
    <w:name w:val="Hyperlink"/>
    <w:basedOn w:val="DefaultParagraphFont"/>
    <w:uiPriority w:val="99"/>
    <w:rsid w:val="007004FC"/>
    <w:rPr>
      <w:color w:val="0000FF"/>
      <w:u w:val="single"/>
    </w:rPr>
  </w:style>
  <w:style w:type="paragraph" w:styleId="DocumentMap">
    <w:name w:val="Document Map"/>
    <w:basedOn w:val="Normal"/>
    <w:link w:val="DocumentMapChar"/>
    <w:uiPriority w:val="99"/>
    <w:semiHidden/>
    <w:rsid w:val="008469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F3B32"/>
    <w:rPr>
      <w:sz w:val="0"/>
      <w:szCs w:val="0"/>
    </w:rPr>
  </w:style>
  <w:style w:type="paragraph" w:styleId="NormalWeb">
    <w:name w:val="Normal (Web)"/>
    <w:basedOn w:val="Normal"/>
    <w:uiPriority w:val="99"/>
    <w:rsid w:val="0079561D"/>
    <w:pPr>
      <w:spacing w:before="100" w:beforeAutospacing="1" w:after="100" w:afterAutospacing="1"/>
    </w:pPr>
  </w:style>
  <w:style w:type="character" w:customStyle="1" w:styleId="naisfChar">
    <w:name w:val="naisf Char"/>
    <w:link w:val="naisf"/>
    <w:uiPriority w:val="99"/>
    <w:locked/>
    <w:rsid w:val="0079561D"/>
    <w:rPr>
      <w:sz w:val="24"/>
      <w:szCs w:val="24"/>
      <w:lang w:val="lv-LV" w:eastAsia="lv-LV"/>
    </w:rPr>
  </w:style>
  <w:style w:type="character" w:styleId="HTMLTypewriter">
    <w:name w:val="HTML Typewriter"/>
    <w:basedOn w:val="DefaultParagraphFont"/>
    <w:uiPriority w:val="99"/>
    <w:rsid w:val="000D407F"/>
    <w:rPr>
      <w:rFonts w:ascii="Courier New" w:hAnsi="Courier New" w:cs="Courier New"/>
      <w:sz w:val="20"/>
      <w:szCs w:val="20"/>
    </w:rPr>
  </w:style>
  <w:style w:type="paragraph" w:styleId="ListParagraph">
    <w:name w:val="List Paragraph"/>
    <w:basedOn w:val="Normal"/>
    <w:uiPriority w:val="99"/>
    <w:qFormat/>
    <w:rsid w:val="003501EB"/>
    <w:pPr>
      <w:ind w:left="720"/>
    </w:pPr>
  </w:style>
  <w:style w:type="paragraph" w:customStyle="1" w:styleId="tvhtml">
    <w:name w:val="tv_html"/>
    <w:basedOn w:val="Normal"/>
    <w:uiPriority w:val="99"/>
    <w:rsid w:val="0024103D"/>
    <w:pPr>
      <w:spacing w:before="100" w:beforeAutospacing="1" w:after="100" w:afterAutospacing="1"/>
    </w:pPr>
  </w:style>
  <w:style w:type="paragraph" w:styleId="Revision">
    <w:name w:val="Revision"/>
    <w:hidden/>
    <w:uiPriority w:val="99"/>
    <w:semiHidden/>
    <w:rsid w:val="008E5F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442944">
      <w:marLeft w:val="0"/>
      <w:marRight w:val="0"/>
      <w:marTop w:val="0"/>
      <w:marBottom w:val="0"/>
      <w:divBdr>
        <w:top w:val="none" w:sz="0" w:space="0" w:color="auto"/>
        <w:left w:val="none" w:sz="0" w:space="0" w:color="auto"/>
        <w:bottom w:val="none" w:sz="0" w:space="0" w:color="auto"/>
        <w:right w:val="none" w:sz="0" w:space="0" w:color="auto"/>
      </w:divBdr>
      <w:divsChild>
        <w:div w:id="992442951">
          <w:marLeft w:val="0"/>
          <w:marRight w:val="0"/>
          <w:marTop w:val="0"/>
          <w:marBottom w:val="0"/>
          <w:divBdr>
            <w:top w:val="none" w:sz="0" w:space="0" w:color="auto"/>
            <w:left w:val="none" w:sz="0" w:space="0" w:color="auto"/>
            <w:bottom w:val="none" w:sz="0" w:space="0" w:color="auto"/>
            <w:right w:val="none" w:sz="0" w:space="0" w:color="auto"/>
          </w:divBdr>
          <w:divsChild>
            <w:div w:id="992442954">
              <w:marLeft w:val="0"/>
              <w:marRight w:val="0"/>
              <w:marTop w:val="0"/>
              <w:marBottom w:val="0"/>
              <w:divBdr>
                <w:top w:val="none" w:sz="0" w:space="0" w:color="auto"/>
                <w:left w:val="none" w:sz="0" w:space="0" w:color="auto"/>
                <w:bottom w:val="none" w:sz="0" w:space="0" w:color="auto"/>
                <w:right w:val="none" w:sz="0" w:space="0" w:color="auto"/>
              </w:divBdr>
              <w:divsChild>
                <w:div w:id="992442952">
                  <w:marLeft w:val="0"/>
                  <w:marRight w:val="0"/>
                  <w:marTop w:val="0"/>
                  <w:marBottom w:val="0"/>
                  <w:divBdr>
                    <w:top w:val="none" w:sz="0" w:space="0" w:color="auto"/>
                    <w:left w:val="none" w:sz="0" w:space="0" w:color="auto"/>
                    <w:bottom w:val="none" w:sz="0" w:space="0" w:color="auto"/>
                    <w:right w:val="none" w:sz="0" w:space="0" w:color="auto"/>
                  </w:divBdr>
                  <w:divsChild>
                    <w:div w:id="992442953">
                      <w:marLeft w:val="0"/>
                      <w:marRight w:val="0"/>
                      <w:marTop w:val="0"/>
                      <w:marBottom w:val="0"/>
                      <w:divBdr>
                        <w:top w:val="none" w:sz="0" w:space="0" w:color="auto"/>
                        <w:left w:val="none" w:sz="0" w:space="0" w:color="auto"/>
                        <w:bottom w:val="none" w:sz="0" w:space="0" w:color="auto"/>
                        <w:right w:val="none" w:sz="0" w:space="0" w:color="auto"/>
                      </w:divBdr>
                      <w:divsChild>
                        <w:div w:id="992442949">
                          <w:marLeft w:val="0"/>
                          <w:marRight w:val="0"/>
                          <w:marTop w:val="300"/>
                          <w:marBottom w:val="0"/>
                          <w:divBdr>
                            <w:top w:val="none" w:sz="0" w:space="0" w:color="auto"/>
                            <w:left w:val="none" w:sz="0" w:space="0" w:color="auto"/>
                            <w:bottom w:val="none" w:sz="0" w:space="0" w:color="auto"/>
                            <w:right w:val="none" w:sz="0" w:space="0" w:color="auto"/>
                          </w:divBdr>
                          <w:divsChild>
                            <w:div w:id="9924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442945">
      <w:marLeft w:val="0"/>
      <w:marRight w:val="0"/>
      <w:marTop w:val="0"/>
      <w:marBottom w:val="0"/>
      <w:divBdr>
        <w:top w:val="none" w:sz="0" w:space="0" w:color="auto"/>
        <w:left w:val="none" w:sz="0" w:space="0" w:color="auto"/>
        <w:bottom w:val="none" w:sz="0" w:space="0" w:color="auto"/>
        <w:right w:val="none" w:sz="0" w:space="0" w:color="auto"/>
      </w:divBdr>
    </w:div>
    <w:div w:id="992442946">
      <w:marLeft w:val="0"/>
      <w:marRight w:val="0"/>
      <w:marTop w:val="0"/>
      <w:marBottom w:val="0"/>
      <w:divBdr>
        <w:top w:val="none" w:sz="0" w:space="0" w:color="auto"/>
        <w:left w:val="none" w:sz="0" w:space="0" w:color="auto"/>
        <w:bottom w:val="none" w:sz="0" w:space="0" w:color="auto"/>
        <w:right w:val="none" w:sz="0" w:space="0" w:color="auto"/>
      </w:divBdr>
    </w:div>
    <w:div w:id="992442948">
      <w:marLeft w:val="0"/>
      <w:marRight w:val="0"/>
      <w:marTop w:val="0"/>
      <w:marBottom w:val="0"/>
      <w:divBdr>
        <w:top w:val="none" w:sz="0" w:space="0" w:color="auto"/>
        <w:left w:val="none" w:sz="0" w:space="0" w:color="auto"/>
        <w:bottom w:val="none" w:sz="0" w:space="0" w:color="auto"/>
        <w:right w:val="none" w:sz="0" w:space="0" w:color="auto"/>
      </w:divBdr>
    </w:div>
    <w:div w:id="992442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ga.Klemer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A8456-1FDC-4850-8154-486EAD14F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8578</Words>
  <Characters>4890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Ministru kabineta rīkojuma projekta „Par finanšu līdzekļu piešķiršanu no valsts budžeta programmas “Līdzekļi neparedzētiem gadījumiem”” sākotnējās ietekmes izvērtēšanas ziņojums (anotācija)</vt:lpstr>
    </vt:vector>
  </TitlesOfParts>
  <Company>LM</Company>
  <LinksUpToDate>false</LinksUpToDate>
  <CharactersWithSpaces>13442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izvērtēšanas ziņojums (anotācija)</dc:title>
  <dc:subject>Anotācija</dc:subject>
  <dc:creator>Līga Klemere</dc:creator>
  <dc:description>Liga.Klemere@lm.gov.lv
tālr.nr. 67021618, fakss: 67276445</dc:description>
  <cp:lastModifiedBy>Liga Klemere</cp:lastModifiedBy>
  <cp:revision>2</cp:revision>
  <cp:lastPrinted>2013-04-15T08:00:00Z</cp:lastPrinted>
  <dcterms:created xsi:type="dcterms:W3CDTF">2015-04-21T06:54:00Z</dcterms:created>
  <dcterms:modified xsi:type="dcterms:W3CDTF">2015-04-21T06:54:00Z</dcterms:modified>
</cp:coreProperties>
</file>