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B5" w:rsidRDefault="00030FB5" w:rsidP="009D6202">
      <w:pPr>
        <w:pStyle w:val="BodyText3"/>
        <w:spacing w:after="0"/>
        <w:jc w:val="center"/>
        <w:rPr>
          <w:b/>
          <w:bCs/>
          <w:sz w:val="28"/>
          <w:szCs w:val="28"/>
        </w:rPr>
      </w:pPr>
    </w:p>
    <w:p w:rsidR="009D6202" w:rsidRDefault="009D6202" w:rsidP="009D6202">
      <w:pPr>
        <w:pStyle w:val="BodyText3"/>
        <w:spacing w:after="0"/>
        <w:jc w:val="center"/>
        <w:rPr>
          <w:b/>
          <w:bCs/>
          <w:sz w:val="28"/>
          <w:szCs w:val="28"/>
        </w:rPr>
      </w:pPr>
      <w:r w:rsidRPr="00583CC4">
        <w:rPr>
          <w:b/>
          <w:bCs/>
          <w:sz w:val="28"/>
          <w:szCs w:val="28"/>
        </w:rPr>
        <w:t>Likum</w:t>
      </w:r>
      <w:r>
        <w:rPr>
          <w:b/>
          <w:bCs/>
          <w:sz w:val="28"/>
          <w:szCs w:val="28"/>
        </w:rPr>
        <w:t xml:space="preserve">projekta </w:t>
      </w:r>
      <w:r w:rsidRPr="00583CC4">
        <w:rPr>
          <w:b/>
          <w:bCs/>
          <w:sz w:val="28"/>
          <w:szCs w:val="28"/>
        </w:rPr>
        <w:t>„</w:t>
      </w:r>
      <w:r w:rsidRPr="00583CC4">
        <w:rPr>
          <w:b/>
          <w:sz w:val="28"/>
          <w:szCs w:val="28"/>
        </w:rPr>
        <w:t>Grozījum</w:t>
      </w:r>
      <w:r>
        <w:rPr>
          <w:b/>
          <w:sz w:val="28"/>
          <w:szCs w:val="28"/>
        </w:rPr>
        <w:t>i</w:t>
      </w:r>
      <w:r w:rsidRPr="00583CC4">
        <w:rPr>
          <w:b/>
          <w:sz w:val="28"/>
          <w:szCs w:val="28"/>
        </w:rPr>
        <w:t xml:space="preserve"> </w:t>
      </w:r>
      <w:r>
        <w:rPr>
          <w:b/>
          <w:sz w:val="28"/>
          <w:szCs w:val="28"/>
        </w:rPr>
        <w:t>Latvijas Administratīvo pārkāpumu kodeksā</w:t>
      </w:r>
      <w:r w:rsidRPr="00583CC4">
        <w:rPr>
          <w:b/>
          <w:sz w:val="28"/>
          <w:szCs w:val="28"/>
        </w:rPr>
        <w:t>” sākotnējās ietekmes novērtējuma ziņojums</w:t>
      </w:r>
      <w:r w:rsidRPr="00583CC4">
        <w:rPr>
          <w:sz w:val="28"/>
          <w:szCs w:val="28"/>
        </w:rPr>
        <w:t xml:space="preserve"> </w:t>
      </w:r>
      <w:r w:rsidRPr="00583CC4">
        <w:rPr>
          <w:b/>
          <w:sz w:val="28"/>
          <w:szCs w:val="28"/>
        </w:rPr>
        <w:t>(</w:t>
      </w:r>
      <w:r w:rsidRPr="00583CC4">
        <w:rPr>
          <w:b/>
          <w:bCs/>
          <w:sz w:val="28"/>
          <w:szCs w:val="28"/>
        </w:rPr>
        <w:t>anotācija)</w:t>
      </w:r>
    </w:p>
    <w:p w:rsidR="00030FB5" w:rsidRPr="00583CC4" w:rsidRDefault="00030FB5" w:rsidP="009D6202">
      <w:pPr>
        <w:pStyle w:val="BodyText3"/>
        <w:spacing w:after="0"/>
        <w:jc w:val="center"/>
        <w:rPr>
          <w:b/>
          <w:sz w:val="28"/>
          <w:szCs w:val="28"/>
        </w:rPr>
      </w:pPr>
    </w:p>
    <w:p w:rsidR="00506F1D" w:rsidRPr="009656DE" w:rsidRDefault="00506F1D" w:rsidP="006D0922">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77"/>
        <w:gridCol w:w="3024"/>
        <w:gridCol w:w="6085"/>
      </w:tblGrid>
      <w:tr w:rsidR="009A0027" w:rsidRPr="009656DE" w:rsidTr="00D36916">
        <w:tc>
          <w:tcPr>
            <w:tcW w:w="9786" w:type="dxa"/>
            <w:gridSpan w:val="3"/>
            <w:vAlign w:val="center"/>
          </w:tcPr>
          <w:p w:rsidR="00852042" w:rsidRPr="008C7FE1" w:rsidRDefault="00852042" w:rsidP="00097549">
            <w:pPr>
              <w:pStyle w:val="naisnod"/>
              <w:spacing w:before="0" w:after="60"/>
              <w:rPr>
                <w:sz w:val="28"/>
                <w:szCs w:val="28"/>
              </w:rPr>
            </w:pPr>
            <w:r w:rsidRPr="008C7FE1">
              <w:rPr>
                <w:sz w:val="28"/>
                <w:szCs w:val="28"/>
              </w:rPr>
              <w:t>I</w:t>
            </w:r>
            <w:r w:rsidR="000941C5" w:rsidRPr="008C7FE1">
              <w:rPr>
                <w:sz w:val="28"/>
                <w:szCs w:val="28"/>
              </w:rPr>
              <w:t>.</w:t>
            </w:r>
            <w:r w:rsidRPr="008C7FE1">
              <w:rPr>
                <w:sz w:val="28"/>
                <w:szCs w:val="28"/>
              </w:rPr>
              <w:t xml:space="preserve"> Tiesību akta </w:t>
            </w:r>
            <w:r w:rsidR="002E3FF4" w:rsidRPr="008C7FE1">
              <w:rPr>
                <w:sz w:val="28"/>
                <w:szCs w:val="28"/>
              </w:rPr>
              <w:t xml:space="preserve">projekta </w:t>
            </w:r>
            <w:r w:rsidRPr="008C7FE1">
              <w:rPr>
                <w:sz w:val="28"/>
                <w:szCs w:val="28"/>
              </w:rPr>
              <w:t>izstrādes nepieciešamība</w:t>
            </w:r>
          </w:p>
        </w:tc>
      </w:tr>
      <w:tr w:rsidR="009A0027" w:rsidRPr="009656DE" w:rsidTr="00D36916">
        <w:trPr>
          <w:trHeight w:val="267"/>
        </w:trPr>
        <w:tc>
          <w:tcPr>
            <w:tcW w:w="677" w:type="dxa"/>
          </w:tcPr>
          <w:p w:rsidR="00262E2B" w:rsidRPr="009656DE" w:rsidRDefault="00262E2B" w:rsidP="006D0922">
            <w:pPr>
              <w:pStyle w:val="naiskr"/>
              <w:spacing w:before="0" w:after="0"/>
              <w:jc w:val="center"/>
            </w:pPr>
            <w:r w:rsidRPr="009656DE">
              <w:t>1.</w:t>
            </w:r>
          </w:p>
        </w:tc>
        <w:tc>
          <w:tcPr>
            <w:tcW w:w="3024" w:type="dxa"/>
          </w:tcPr>
          <w:p w:rsidR="00262E2B" w:rsidRPr="009656DE" w:rsidRDefault="002D7F54" w:rsidP="00FB5BAF">
            <w:pPr>
              <w:pStyle w:val="naiskr"/>
              <w:spacing w:before="0" w:after="0"/>
            </w:pPr>
            <w:r w:rsidRPr="009656DE">
              <w:t>Pamatojums</w:t>
            </w:r>
          </w:p>
        </w:tc>
        <w:tc>
          <w:tcPr>
            <w:tcW w:w="6085" w:type="dxa"/>
          </w:tcPr>
          <w:p w:rsidR="008A229F" w:rsidRPr="008E275D" w:rsidRDefault="00983EF2" w:rsidP="00983EF2">
            <w:pPr>
              <w:pStyle w:val="NoSpacing"/>
              <w:jc w:val="both"/>
              <w:rPr>
                <w:rFonts w:ascii="Times New Roman" w:hAnsi="Times New Roman"/>
                <w:i/>
                <w:sz w:val="24"/>
                <w:szCs w:val="24"/>
              </w:rPr>
            </w:pPr>
            <w:r w:rsidRPr="008E275D">
              <w:rPr>
                <w:rFonts w:ascii="Times New Roman" w:hAnsi="Times New Roman"/>
                <w:i/>
                <w:sz w:val="24"/>
                <w:szCs w:val="24"/>
              </w:rPr>
              <w:t>Epidemioloģiskās drošības likum</w:t>
            </w:r>
            <w:r w:rsidR="008A229F" w:rsidRPr="008E275D">
              <w:rPr>
                <w:rFonts w:ascii="Times New Roman" w:hAnsi="Times New Roman"/>
                <w:i/>
                <w:sz w:val="24"/>
                <w:szCs w:val="24"/>
              </w:rPr>
              <w:t xml:space="preserve">a </w:t>
            </w:r>
            <w:r w:rsidR="008A229F" w:rsidRPr="008E275D">
              <w:rPr>
                <w:rFonts w:ascii="Times New Roman" w:hAnsi="Times New Roman"/>
                <w:sz w:val="24"/>
                <w:szCs w:val="24"/>
              </w:rPr>
              <w:t>1.panta 8.punkts un 3.pants.</w:t>
            </w:r>
          </w:p>
          <w:p w:rsidR="00983EF2" w:rsidRPr="008E275D" w:rsidRDefault="00983EF2" w:rsidP="00983EF2">
            <w:pPr>
              <w:pStyle w:val="NoSpacing"/>
              <w:jc w:val="both"/>
              <w:rPr>
                <w:rFonts w:ascii="Times New Roman" w:hAnsi="Times New Roman"/>
                <w:sz w:val="24"/>
                <w:szCs w:val="24"/>
              </w:rPr>
            </w:pPr>
            <w:r w:rsidRPr="008E275D">
              <w:rPr>
                <w:rFonts w:ascii="Times New Roman" w:hAnsi="Times New Roman"/>
                <w:i/>
                <w:sz w:val="24"/>
                <w:szCs w:val="24"/>
              </w:rPr>
              <w:t>Farmācijas likuma</w:t>
            </w:r>
            <w:r w:rsidRPr="008E275D">
              <w:rPr>
                <w:rFonts w:ascii="Times New Roman" w:hAnsi="Times New Roman"/>
                <w:sz w:val="24"/>
                <w:szCs w:val="24"/>
              </w:rPr>
              <w:t xml:space="preserve"> 1.panta 1</w:t>
            </w:r>
            <w:r w:rsidR="00703387" w:rsidRPr="008E275D">
              <w:rPr>
                <w:rFonts w:ascii="Times New Roman" w:hAnsi="Times New Roman"/>
                <w:sz w:val="24"/>
                <w:szCs w:val="24"/>
              </w:rPr>
              <w:t>.</w:t>
            </w:r>
            <w:r w:rsidR="00711109" w:rsidRPr="008E275D">
              <w:rPr>
                <w:rFonts w:ascii="Times New Roman" w:hAnsi="Times New Roman"/>
                <w:sz w:val="24"/>
                <w:szCs w:val="24"/>
              </w:rPr>
              <w:t xml:space="preserve"> un 17.punkts</w:t>
            </w:r>
            <w:r w:rsidR="005E22D6" w:rsidRPr="008E275D">
              <w:rPr>
                <w:rFonts w:ascii="Times New Roman" w:hAnsi="Times New Roman"/>
                <w:sz w:val="24"/>
                <w:szCs w:val="24"/>
              </w:rPr>
              <w:t>.</w:t>
            </w:r>
          </w:p>
          <w:p w:rsidR="00983EF2" w:rsidRPr="008E275D" w:rsidRDefault="00983EF2" w:rsidP="00983EF2">
            <w:pPr>
              <w:pStyle w:val="NoSpacing"/>
              <w:jc w:val="both"/>
              <w:rPr>
                <w:rFonts w:ascii="Times New Roman" w:hAnsi="Times New Roman"/>
                <w:sz w:val="24"/>
                <w:szCs w:val="24"/>
              </w:rPr>
            </w:pPr>
            <w:r w:rsidRPr="008E275D">
              <w:rPr>
                <w:rFonts w:ascii="Times New Roman" w:hAnsi="Times New Roman"/>
                <w:i/>
                <w:sz w:val="24"/>
                <w:szCs w:val="24"/>
              </w:rPr>
              <w:t>Ārstniecības likuma</w:t>
            </w:r>
            <w:r w:rsidRPr="008E275D">
              <w:rPr>
                <w:rFonts w:ascii="Times New Roman" w:hAnsi="Times New Roman"/>
                <w:sz w:val="24"/>
                <w:szCs w:val="24"/>
              </w:rPr>
              <w:t xml:space="preserve"> 9.panta pirmā daļa un 35.pants</w:t>
            </w:r>
          </w:p>
          <w:p w:rsidR="00983EF2" w:rsidRPr="008E275D" w:rsidRDefault="00983EF2" w:rsidP="00983EF2">
            <w:pPr>
              <w:pStyle w:val="NoSpacing"/>
              <w:jc w:val="both"/>
              <w:rPr>
                <w:rFonts w:ascii="Times New Roman" w:hAnsi="Times New Roman"/>
                <w:bCs/>
                <w:sz w:val="24"/>
                <w:szCs w:val="24"/>
              </w:rPr>
            </w:pPr>
            <w:r w:rsidRPr="008E275D">
              <w:rPr>
                <w:rFonts w:ascii="Times New Roman" w:hAnsi="Times New Roman"/>
                <w:bCs/>
                <w:sz w:val="24"/>
                <w:szCs w:val="24"/>
              </w:rPr>
              <w:t xml:space="preserve">Likums </w:t>
            </w:r>
            <w:r w:rsidRPr="008E275D">
              <w:rPr>
                <w:rFonts w:ascii="Times New Roman" w:hAnsi="Times New Roman"/>
                <w:bCs/>
                <w:i/>
                <w:sz w:val="24"/>
                <w:szCs w:val="24"/>
              </w:rPr>
              <w:t>„Par piesārņojumu”</w:t>
            </w:r>
            <w:r w:rsidR="005B4DFD" w:rsidRPr="008E275D">
              <w:rPr>
                <w:rFonts w:ascii="Times New Roman" w:hAnsi="Times New Roman"/>
                <w:bCs/>
                <w:i/>
                <w:sz w:val="24"/>
                <w:szCs w:val="24"/>
              </w:rPr>
              <w:t xml:space="preserve"> </w:t>
            </w:r>
            <w:r w:rsidR="00E94458" w:rsidRPr="008E275D">
              <w:rPr>
                <w:rFonts w:ascii="Times New Roman" w:hAnsi="Times New Roman"/>
                <w:bCs/>
                <w:sz w:val="24"/>
                <w:szCs w:val="24"/>
              </w:rPr>
              <w:t>32.</w:t>
            </w:r>
            <w:r w:rsidR="00E94458" w:rsidRPr="008E275D">
              <w:rPr>
                <w:rFonts w:ascii="Times New Roman" w:hAnsi="Times New Roman"/>
                <w:bCs/>
                <w:sz w:val="24"/>
                <w:szCs w:val="24"/>
                <w:vertAlign w:val="superscript"/>
              </w:rPr>
              <w:t xml:space="preserve">9 </w:t>
            </w:r>
            <w:r w:rsidR="00E94458" w:rsidRPr="008E275D">
              <w:rPr>
                <w:rFonts w:ascii="Times New Roman" w:hAnsi="Times New Roman"/>
                <w:bCs/>
                <w:sz w:val="24"/>
                <w:szCs w:val="24"/>
              </w:rPr>
              <w:t>panta sestā daļa</w:t>
            </w:r>
            <w:r w:rsidR="005E22D6" w:rsidRPr="008E275D">
              <w:rPr>
                <w:rFonts w:ascii="Times New Roman" w:hAnsi="Times New Roman"/>
                <w:bCs/>
                <w:sz w:val="24"/>
                <w:szCs w:val="24"/>
              </w:rPr>
              <w:t>.</w:t>
            </w:r>
          </w:p>
          <w:p w:rsidR="00983EF2" w:rsidRPr="008E275D" w:rsidRDefault="00983EF2" w:rsidP="00983EF2">
            <w:pPr>
              <w:pStyle w:val="NoSpacing"/>
              <w:jc w:val="both"/>
              <w:rPr>
                <w:rFonts w:ascii="Times New Roman" w:hAnsi="Times New Roman"/>
                <w:i/>
                <w:sz w:val="24"/>
                <w:szCs w:val="24"/>
              </w:rPr>
            </w:pPr>
            <w:r w:rsidRPr="008E275D">
              <w:rPr>
                <w:rFonts w:ascii="Times New Roman" w:hAnsi="Times New Roman"/>
                <w:sz w:val="24"/>
                <w:szCs w:val="24"/>
              </w:rPr>
              <w:t xml:space="preserve">Ministru kabineta 2005.gada 2.augusta noteikumi Nr.581 </w:t>
            </w:r>
            <w:r w:rsidRPr="008E275D">
              <w:rPr>
                <w:rFonts w:ascii="Times New Roman" w:hAnsi="Times New Roman"/>
                <w:i/>
                <w:sz w:val="24"/>
                <w:szCs w:val="24"/>
              </w:rPr>
              <w:t>„Medicīnisko ierīču reģistrācijas, atbilstības novērtēšanas, izplatīšanas, ekspluatācijas un tehniskās uzraudzības kārtība”</w:t>
            </w:r>
            <w:r w:rsidR="005B4DFD" w:rsidRPr="008E275D">
              <w:rPr>
                <w:rFonts w:ascii="Times New Roman" w:hAnsi="Times New Roman"/>
                <w:i/>
                <w:sz w:val="24"/>
                <w:szCs w:val="24"/>
              </w:rPr>
              <w:t xml:space="preserve"> </w:t>
            </w:r>
            <w:r w:rsidR="00315829" w:rsidRPr="008E275D">
              <w:rPr>
                <w:rFonts w:ascii="Times New Roman" w:hAnsi="Times New Roman"/>
                <w:sz w:val="24"/>
                <w:szCs w:val="24"/>
              </w:rPr>
              <w:t>2.</w:t>
            </w:r>
            <w:r w:rsidR="005B4DFD" w:rsidRPr="008E275D">
              <w:rPr>
                <w:rFonts w:ascii="Times New Roman" w:hAnsi="Times New Roman"/>
                <w:sz w:val="24"/>
                <w:szCs w:val="24"/>
              </w:rPr>
              <w:t>punkts</w:t>
            </w:r>
            <w:r w:rsidR="00315829" w:rsidRPr="008E275D">
              <w:rPr>
                <w:rFonts w:ascii="Times New Roman" w:hAnsi="Times New Roman"/>
                <w:sz w:val="24"/>
                <w:szCs w:val="24"/>
              </w:rPr>
              <w:t>.</w:t>
            </w:r>
          </w:p>
          <w:p w:rsidR="00983EF2" w:rsidRPr="008E275D" w:rsidRDefault="00983EF2" w:rsidP="00983EF2">
            <w:pPr>
              <w:pStyle w:val="NoSpacing"/>
              <w:jc w:val="both"/>
              <w:rPr>
                <w:rFonts w:ascii="Times New Roman" w:hAnsi="Times New Roman"/>
                <w:i/>
                <w:sz w:val="24"/>
                <w:szCs w:val="24"/>
              </w:rPr>
            </w:pPr>
            <w:r w:rsidRPr="008E275D">
              <w:rPr>
                <w:rFonts w:ascii="Times New Roman" w:hAnsi="Times New Roman"/>
                <w:sz w:val="24"/>
                <w:szCs w:val="24"/>
              </w:rPr>
              <w:t xml:space="preserve">Ministru kabineta 2010.gada 7.septembra noteikumu Nr.834 </w:t>
            </w:r>
            <w:r w:rsidRPr="008E275D">
              <w:rPr>
                <w:rFonts w:ascii="Times New Roman" w:hAnsi="Times New Roman"/>
                <w:i/>
                <w:sz w:val="24"/>
                <w:szCs w:val="24"/>
              </w:rPr>
              <w:t>„Noteikumi par kosmētiskā iedeguma iegūšanas pakalpojuma higiēnas un nekaitīguma prasībām un šo prasību uzraudzības kārtību”</w:t>
            </w:r>
            <w:r w:rsidR="005B4DFD" w:rsidRPr="008E275D">
              <w:rPr>
                <w:rFonts w:ascii="Times New Roman" w:hAnsi="Times New Roman"/>
                <w:i/>
                <w:sz w:val="24"/>
                <w:szCs w:val="24"/>
              </w:rPr>
              <w:t xml:space="preserve"> </w:t>
            </w:r>
            <w:r w:rsidR="00703387" w:rsidRPr="008E275D">
              <w:rPr>
                <w:rFonts w:ascii="Times New Roman" w:hAnsi="Times New Roman"/>
                <w:sz w:val="24"/>
                <w:szCs w:val="24"/>
              </w:rPr>
              <w:t>4.</w:t>
            </w:r>
            <w:r w:rsidR="005B4DFD" w:rsidRPr="008E275D">
              <w:rPr>
                <w:rFonts w:ascii="Times New Roman" w:hAnsi="Times New Roman"/>
                <w:sz w:val="24"/>
                <w:szCs w:val="24"/>
              </w:rPr>
              <w:t>punkts</w:t>
            </w:r>
            <w:r w:rsidR="00703387" w:rsidRPr="008E275D">
              <w:rPr>
                <w:rFonts w:ascii="Times New Roman" w:hAnsi="Times New Roman"/>
                <w:sz w:val="24"/>
                <w:szCs w:val="24"/>
              </w:rPr>
              <w:t>.</w:t>
            </w:r>
          </w:p>
          <w:p w:rsidR="00983EF2" w:rsidRPr="008E275D" w:rsidRDefault="00983EF2" w:rsidP="00983EF2">
            <w:pPr>
              <w:pStyle w:val="NoSpacing"/>
              <w:jc w:val="both"/>
              <w:rPr>
                <w:rFonts w:ascii="Times New Roman" w:hAnsi="Times New Roman"/>
                <w:i/>
                <w:sz w:val="24"/>
                <w:szCs w:val="24"/>
              </w:rPr>
            </w:pPr>
            <w:r w:rsidRPr="008E275D">
              <w:rPr>
                <w:rFonts w:ascii="Times New Roman" w:hAnsi="Times New Roman"/>
                <w:sz w:val="24"/>
                <w:szCs w:val="24"/>
              </w:rPr>
              <w:t xml:space="preserve">Ministru kabineta 2005.gada 8.marta noteikumi Nr.170 </w:t>
            </w:r>
            <w:r w:rsidRPr="008E275D">
              <w:rPr>
                <w:rFonts w:ascii="Times New Roman" w:hAnsi="Times New Roman"/>
                <w:i/>
                <w:sz w:val="24"/>
                <w:szCs w:val="24"/>
              </w:rPr>
              <w:t>„Noteikumi par ārstniecības iestāžu reģistru”</w:t>
            </w:r>
            <w:r w:rsidR="005B4DFD" w:rsidRPr="008E275D">
              <w:rPr>
                <w:rFonts w:ascii="Times New Roman" w:hAnsi="Times New Roman"/>
                <w:i/>
                <w:sz w:val="24"/>
                <w:szCs w:val="24"/>
              </w:rPr>
              <w:t xml:space="preserve"> </w:t>
            </w:r>
            <w:r w:rsidR="00343832" w:rsidRPr="008E275D">
              <w:rPr>
                <w:rFonts w:ascii="Times New Roman" w:hAnsi="Times New Roman"/>
                <w:sz w:val="24"/>
                <w:szCs w:val="24"/>
              </w:rPr>
              <w:t>5. un 15.</w:t>
            </w:r>
            <w:r w:rsidR="005B4DFD" w:rsidRPr="008E275D">
              <w:rPr>
                <w:rFonts w:ascii="Times New Roman" w:hAnsi="Times New Roman"/>
                <w:sz w:val="24"/>
                <w:szCs w:val="24"/>
              </w:rPr>
              <w:t>punkts</w:t>
            </w:r>
            <w:r w:rsidR="00343832" w:rsidRPr="008E275D">
              <w:rPr>
                <w:rFonts w:ascii="Times New Roman" w:hAnsi="Times New Roman"/>
                <w:sz w:val="24"/>
                <w:szCs w:val="24"/>
              </w:rPr>
              <w:t>.</w:t>
            </w:r>
          </w:p>
          <w:p w:rsidR="00983EF2" w:rsidRPr="008E275D" w:rsidRDefault="00983EF2" w:rsidP="00983EF2">
            <w:pPr>
              <w:pStyle w:val="NoSpacing"/>
              <w:jc w:val="both"/>
              <w:rPr>
                <w:rFonts w:ascii="Times New Roman" w:eastAsia="Times New Roman" w:hAnsi="Times New Roman"/>
                <w:bCs/>
                <w:i/>
                <w:sz w:val="24"/>
                <w:szCs w:val="24"/>
                <w:lang w:eastAsia="lv-LV"/>
              </w:rPr>
            </w:pPr>
            <w:r w:rsidRPr="008E275D">
              <w:rPr>
                <w:rFonts w:ascii="Times New Roman" w:hAnsi="Times New Roman"/>
                <w:sz w:val="24"/>
                <w:szCs w:val="24"/>
              </w:rPr>
              <w:t xml:space="preserve">Ministru kabineta 2005.gada 28.jūnija noteikumi Nr.468 </w:t>
            </w:r>
            <w:r w:rsidRPr="008E275D">
              <w:rPr>
                <w:rFonts w:ascii="Times New Roman" w:hAnsi="Times New Roman"/>
                <w:i/>
                <w:sz w:val="24"/>
                <w:szCs w:val="24"/>
              </w:rPr>
              <w:t>„</w:t>
            </w:r>
            <w:r w:rsidRPr="008E275D">
              <w:rPr>
                <w:rFonts w:ascii="Times New Roman" w:eastAsia="Times New Roman" w:hAnsi="Times New Roman"/>
                <w:bCs/>
                <w:i/>
                <w:sz w:val="24"/>
                <w:szCs w:val="24"/>
                <w:lang w:eastAsia="lv-LV"/>
              </w:rPr>
              <w:t>Ārstniecībā izmantojamo medicīnisko tehnoloģiju apstiprināšanas un jaunu medicīnisko tehnoloģiju ieviešanas kārtība”</w:t>
            </w:r>
            <w:r w:rsidR="005B4DFD" w:rsidRPr="008E275D">
              <w:rPr>
                <w:rFonts w:ascii="Times New Roman" w:eastAsia="Times New Roman" w:hAnsi="Times New Roman"/>
                <w:bCs/>
                <w:i/>
                <w:sz w:val="24"/>
                <w:szCs w:val="24"/>
                <w:lang w:eastAsia="lv-LV"/>
              </w:rPr>
              <w:t xml:space="preserve"> </w:t>
            </w:r>
            <w:r w:rsidR="00165819" w:rsidRPr="008E275D">
              <w:rPr>
                <w:rFonts w:ascii="Times New Roman" w:hAnsi="Times New Roman"/>
                <w:sz w:val="24"/>
                <w:szCs w:val="24"/>
              </w:rPr>
              <w:t>2.</w:t>
            </w:r>
            <w:r w:rsidR="005B4DFD" w:rsidRPr="008E275D">
              <w:rPr>
                <w:rFonts w:ascii="Times New Roman" w:hAnsi="Times New Roman"/>
                <w:sz w:val="24"/>
                <w:szCs w:val="24"/>
              </w:rPr>
              <w:t>punkts</w:t>
            </w:r>
            <w:r w:rsidR="00165819" w:rsidRPr="008E275D">
              <w:rPr>
                <w:rFonts w:ascii="Times New Roman" w:hAnsi="Times New Roman"/>
                <w:sz w:val="24"/>
                <w:szCs w:val="24"/>
              </w:rPr>
              <w:t>.</w:t>
            </w:r>
          </w:p>
          <w:p w:rsidR="00D920E7" w:rsidRPr="009656DE" w:rsidRDefault="00983EF2" w:rsidP="00002A93">
            <w:pPr>
              <w:pStyle w:val="naiskr"/>
              <w:spacing w:before="0" w:after="60"/>
              <w:jc w:val="both"/>
            </w:pPr>
            <w:r w:rsidRPr="008E275D">
              <w:t xml:space="preserve">Eiropas Padomes 2010.gada 10.maija direktīva 2010/32/ES, ar ko īsteno HOSPEEM un EPSU noslēgto </w:t>
            </w:r>
            <w:proofErr w:type="spellStart"/>
            <w:r w:rsidRPr="008E275D">
              <w:t>Pamatnolīgumu</w:t>
            </w:r>
            <w:proofErr w:type="spellEnd"/>
            <w:r w:rsidRPr="008E275D">
              <w:t xml:space="preserve"> par asu instrumentu radītu ievainojumu novēršanu slimnīcu un veselības aprūpes nozarē, kuras prasības nepieciešams pārņemt nacionālajā normatīvajā regulējumā.</w:t>
            </w:r>
          </w:p>
        </w:tc>
      </w:tr>
      <w:tr w:rsidR="009A0027" w:rsidRPr="009656DE" w:rsidTr="00D36916">
        <w:trPr>
          <w:trHeight w:val="472"/>
        </w:trPr>
        <w:tc>
          <w:tcPr>
            <w:tcW w:w="677" w:type="dxa"/>
          </w:tcPr>
          <w:p w:rsidR="00262E2B" w:rsidRPr="009656DE" w:rsidRDefault="00262E2B" w:rsidP="006D0922">
            <w:pPr>
              <w:pStyle w:val="naiskr"/>
              <w:spacing w:before="0" w:after="0"/>
              <w:jc w:val="center"/>
            </w:pPr>
            <w:r w:rsidRPr="009656DE">
              <w:t>2.</w:t>
            </w:r>
          </w:p>
        </w:tc>
        <w:tc>
          <w:tcPr>
            <w:tcW w:w="3024" w:type="dxa"/>
          </w:tcPr>
          <w:p w:rsidR="00262E2B" w:rsidRPr="00FB331B" w:rsidRDefault="003A3C61" w:rsidP="00F16CC4">
            <w:pPr>
              <w:pStyle w:val="naiskr"/>
              <w:spacing w:before="0" w:after="0"/>
            </w:pPr>
            <w:r w:rsidRPr="009656DE">
              <w:t>Pašreizējā situācija un problēmas, kuru risināšanai tiesību akta projekts izstrādāts, tiesiskā regulējuma mērķis un būtība</w:t>
            </w:r>
          </w:p>
        </w:tc>
        <w:tc>
          <w:tcPr>
            <w:tcW w:w="6085" w:type="dxa"/>
          </w:tcPr>
          <w:p w:rsidR="00B46646" w:rsidRPr="008E275D" w:rsidRDefault="00B46646" w:rsidP="00B46646">
            <w:pPr>
              <w:pStyle w:val="NoSpacing"/>
              <w:jc w:val="both"/>
              <w:rPr>
                <w:rFonts w:ascii="Times New Roman" w:hAnsi="Times New Roman"/>
                <w:sz w:val="24"/>
                <w:szCs w:val="24"/>
              </w:rPr>
            </w:pPr>
            <w:r w:rsidRPr="008E275D">
              <w:rPr>
                <w:rFonts w:ascii="Times New Roman" w:hAnsi="Times New Roman"/>
                <w:sz w:val="24"/>
                <w:szCs w:val="24"/>
              </w:rPr>
              <w:t xml:space="preserve">Likumprojekta </w:t>
            </w:r>
            <w:r w:rsidRPr="008E275D">
              <w:rPr>
                <w:rFonts w:ascii="Times New Roman" w:hAnsi="Times New Roman"/>
                <w:i/>
                <w:sz w:val="24"/>
                <w:szCs w:val="24"/>
              </w:rPr>
              <w:t>„Grozījumi Latvijas Administratīvo pārkāpumu kodeksā”</w:t>
            </w:r>
            <w:r w:rsidRPr="008E275D">
              <w:rPr>
                <w:rFonts w:ascii="Times New Roman" w:hAnsi="Times New Roman"/>
                <w:sz w:val="24"/>
                <w:szCs w:val="24"/>
              </w:rPr>
              <w:t xml:space="preserve"> (turpmāk – likumprojekts) mērķis ir precizēt Veselības inspekcijas kompetencē esošo</w:t>
            </w:r>
            <w:r w:rsidR="00F11EFA" w:rsidRPr="008E275D">
              <w:rPr>
                <w:rFonts w:ascii="Times New Roman" w:hAnsi="Times New Roman"/>
                <w:sz w:val="24"/>
                <w:szCs w:val="24"/>
              </w:rPr>
              <w:t xml:space="preserve"> </w:t>
            </w:r>
            <w:r w:rsidR="005B4DFD" w:rsidRPr="008E275D">
              <w:rPr>
                <w:rFonts w:ascii="Times New Roman" w:hAnsi="Times New Roman"/>
                <w:sz w:val="24"/>
                <w:szCs w:val="24"/>
              </w:rPr>
              <w:t xml:space="preserve">Latvijas </w:t>
            </w:r>
            <w:r w:rsidR="005B4DFD" w:rsidRPr="00002A93">
              <w:rPr>
                <w:rFonts w:ascii="Times New Roman" w:hAnsi="Times New Roman"/>
                <w:i/>
                <w:sz w:val="24"/>
                <w:szCs w:val="24"/>
              </w:rPr>
              <w:t>A</w:t>
            </w:r>
            <w:r w:rsidR="00F11EFA" w:rsidRPr="00002A93">
              <w:rPr>
                <w:rFonts w:ascii="Times New Roman" w:hAnsi="Times New Roman"/>
                <w:i/>
                <w:sz w:val="24"/>
                <w:szCs w:val="24"/>
              </w:rPr>
              <w:t>dministratīvo pārkāpumu kodeksā</w:t>
            </w:r>
            <w:r w:rsidR="00F11EFA" w:rsidRPr="008E275D">
              <w:rPr>
                <w:rFonts w:ascii="Times New Roman" w:hAnsi="Times New Roman"/>
                <w:sz w:val="24"/>
                <w:szCs w:val="24"/>
              </w:rPr>
              <w:t xml:space="preserve"> (turpmāk – LAPK)</w:t>
            </w:r>
            <w:r w:rsidRPr="008E275D">
              <w:rPr>
                <w:rFonts w:ascii="Times New Roman" w:hAnsi="Times New Roman"/>
                <w:sz w:val="24"/>
                <w:szCs w:val="24"/>
              </w:rPr>
              <w:t xml:space="preserve"> </w:t>
            </w:r>
            <w:r w:rsidR="005B4DFD" w:rsidRPr="008E275D">
              <w:rPr>
                <w:rFonts w:ascii="Times New Roman" w:hAnsi="Times New Roman"/>
                <w:sz w:val="24"/>
                <w:szCs w:val="24"/>
              </w:rPr>
              <w:t xml:space="preserve">noteikto </w:t>
            </w:r>
            <w:r w:rsidRPr="008E275D">
              <w:rPr>
                <w:rFonts w:ascii="Times New Roman" w:hAnsi="Times New Roman"/>
                <w:sz w:val="24"/>
                <w:szCs w:val="24"/>
              </w:rPr>
              <w:t>administratīvās atbildības regulējumu, lai veicinātu administratīvās atbil</w:t>
            </w:r>
            <w:r w:rsidR="005B4DFD" w:rsidRPr="008E275D">
              <w:rPr>
                <w:rFonts w:ascii="Times New Roman" w:hAnsi="Times New Roman"/>
                <w:sz w:val="24"/>
                <w:szCs w:val="24"/>
              </w:rPr>
              <w:t>dības piemērošanas efektivitāti.</w:t>
            </w:r>
          </w:p>
          <w:p w:rsidR="00983EF2" w:rsidRPr="008E275D" w:rsidRDefault="00983EF2" w:rsidP="00B46646">
            <w:pPr>
              <w:pStyle w:val="naisf"/>
              <w:tabs>
                <w:tab w:val="left" w:pos="993"/>
              </w:tabs>
              <w:spacing w:after="0"/>
              <w:ind w:firstLine="0"/>
            </w:pPr>
            <w:r w:rsidRPr="008E275D">
              <w:rPr>
                <w:b/>
              </w:rPr>
              <w:t>1.</w:t>
            </w:r>
            <w:r w:rsidR="004B6E4F" w:rsidRPr="008E275D">
              <w:rPr>
                <w:b/>
              </w:rPr>
              <w:t xml:space="preserve"> </w:t>
            </w:r>
            <w:r w:rsidRPr="008E275D">
              <w:rPr>
                <w:b/>
              </w:rPr>
              <w:t>LAPK 42.pants</w:t>
            </w:r>
            <w:r w:rsidRPr="008E275D">
              <w:t xml:space="preserve"> </w:t>
            </w:r>
            <w:r w:rsidRPr="008E275D">
              <w:rPr>
                <w:b/>
              </w:rPr>
              <w:t xml:space="preserve">„Sanitāri higiēnisko un sanitāri </w:t>
            </w:r>
            <w:proofErr w:type="spellStart"/>
            <w:r w:rsidRPr="008E275D">
              <w:rPr>
                <w:b/>
              </w:rPr>
              <w:t>pretepidēmisko</w:t>
            </w:r>
            <w:proofErr w:type="spellEnd"/>
            <w:r w:rsidRPr="008E275D">
              <w:rPr>
                <w:b/>
              </w:rPr>
              <w:t xml:space="preserve"> noteikumu un normu pārkāpšana”</w:t>
            </w:r>
            <w:r w:rsidRPr="008E275D">
              <w:t xml:space="preserve"> nosaka, ka par sanitāri higiēnisko un sanitāri </w:t>
            </w:r>
            <w:proofErr w:type="spellStart"/>
            <w:r w:rsidRPr="008E275D">
              <w:t>pretepidēmisko</w:t>
            </w:r>
            <w:proofErr w:type="spellEnd"/>
            <w:r w:rsidRPr="008E275D">
              <w:t xml:space="preserve"> noteikumu un normu (izņemot vides aizsardzības noteikumus un normas) pārkāpšanu - uzliek naudas sodu līdz trīssimt piecdesmit </w:t>
            </w:r>
            <w:r w:rsidRPr="008E275D">
              <w:rPr>
                <w:i/>
              </w:rPr>
              <w:t>eiro</w:t>
            </w:r>
            <w:r w:rsidRPr="008E275D">
              <w:t>.</w:t>
            </w:r>
            <w:r w:rsidR="001F0D64" w:rsidRPr="008E275D">
              <w:t xml:space="preserve"> </w:t>
            </w:r>
            <w:r w:rsidR="00242DBB" w:rsidRPr="008E275D">
              <w:t>LAPK 42.</w:t>
            </w:r>
            <w:r w:rsidR="00525EB6" w:rsidRPr="008E275D">
              <w:t>p</w:t>
            </w:r>
            <w:r w:rsidR="00242DBB" w:rsidRPr="008E275D">
              <w:t xml:space="preserve">anta nosaukums un dispozīcija precizējama, ņemot vērā </w:t>
            </w:r>
            <w:r w:rsidR="00242DBB" w:rsidRPr="008E275D">
              <w:rPr>
                <w:i/>
              </w:rPr>
              <w:t>Epidemioloģiskās drošības likuma 1.panta 8.punktā</w:t>
            </w:r>
            <w:r w:rsidR="00242DBB">
              <w:rPr>
                <w:sz w:val="28"/>
                <w:szCs w:val="28"/>
              </w:rPr>
              <w:t xml:space="preserve"> </w:t>
            </w:r>
            <w:r w:rsidR="00242DBB" w:rsidRPr="008E275D">
              <w:t>lietoto terminu „epidemioloģiskā drošība” un 3.pantā ietverto epidemioloģiskās</w:t>
            </w:r>
            <w:r w:rsidR="00411382" w:rsidRPr="008E275D">
              <w:t xml:space="preserve"> drošības pasākumu uzskaitījumu, kā arī izslēdzami </w:t>
            </w:r>
            <w:r w:rsidR="00421742" w:rsidRPr="008E275D">
              <w:t xml:space="preserve">iekavās </w:t>
            </w:r>
            <w:r w:rsidR="00411382" w:rsidRPr="008E275D">
              <w:t>vārdi „</w:t>
            </w:r>
            <w:r w:rsidR="00421742" w:rsidRPr="008E275D">
              <w:t>(izņemot vides aizsardzības noteikumus un normas)</w:t>
            </w:r>
            <w:r w:rsidR="00411382" w:rsidRPr="008E275D">
              <w:t>”</w:t>
            </w:r>
            <w:r w:rsidR="00421742" w:rsidRPr="008E275D">
              <w:t xml:space="preserve">, jo epidemioloģiskās drošības jautājumi neskar vides aizsardzības noteikumus un </w:t>
            </w:r>
            <w:r w:rsidR="00421742" w:rsidRPr="008E275D">
              <w:lastRenderedPageBreak/>
              <w:t>normas.</w:t>
            </w:r>
            <w:r w:rsidR="00242DBB" w:rsidRPr="008E275D">
              <w:t xml:space="preserve"> </w:t>
            </w:r>
            <w:r w:rsidR="005471AF" w:rsidRPr="008E275D">
              <w:t>LAPK 42.</w:t>
            </w:r>
            <w:r w:rsidR="00525EB6" w:rsidRPr="008E275D">
              <w:t>pants papildināms ar</w:t>
            </w:r>
            <w:r w:rsidR="005471AF" w:rsidRPr="008E275D">
              <w:t xml:space="preserve"> </w:t>
            </w:r>
            <w:r w:rsidR="00DE55DF" w:rsidRPr="008E275D">
              <w:t>minimāl</w:t>
            </w:r>
            <w:r w:rsidR="00525EB6" w:rsidRPr="008E275D">
              <w:t>o</w:t>
            </w:r>
            <w:r w:rsidR="00DE55DF" w:rsidRPr="008E275D">
              <w:t xml:space="preserve"> sankcij</w:t>
            </w:r>
            <w:r w:rsidR="00525EB6" w:rsidRPr="008E275D">
              <w:t>u</w:t>
            </w:r>
            <w:r w:rsidR="00DE55DF" w:rsidRPr="008E275D">
              <w:t>,</w:t>
            </w:r>
            <w:r w:rsidR="00525EB6" w:rsidRPr="008E275D">
              <w:t xml:space="preserve"> kas piemērojama attiecīgo</w:t>
            </w:r>
            <w:r w:rsidR="00525EB6">
              <w:rPr>
                <w:sz w:val="28"/>
                <w:szCs w:val="28"/>
              </w:rPr>
              <w:t xml:space="preserve"> </w:t>
            </w:r>
            <w:r w:rsidR="00525EB6" w:rsidRPr="008E275D">
              <w:t>pārkāpumu gadījumos, lai noteiktu vienveidīgu un pietiekami efektīvu zemāko soda robežu par attiecīgās jomas pārkāpumiem. A</w:t>
            </w:r>
            <w:r w:rsidR="00DE55DF" w:rsidRPr="008E275D">
              <w:t>tsevišķ</w:t>
            </w:r>
            <w:r w:rsidR="005471AF" w:rsidRPr="008E275D">
              <w:t>i norādāmas</w:t>
            </w:r>
            <w:r w:rsidR="00DE55DF" w:rsidRPr="008E275D">
              <w:t xml:space="preserve"> sankcijas</w:t>
            </w:r>
            <w:r w:rsidRPr="008E275D">
              <w:t xml:space="preserve"> </w:t>
            </w:r>
            <w:r w:rsidR="00DE55DF" w:rsidRPr="008E275D">
              <w:t>fiziskai personai un</w:t>
            </w:r>
            <w:r w:rsidR="005471AF" w:rsidRPr="008E275D">
              <w:t xml:space="preserve"> juridiskai personai</w:t>
            </w:r>
            <w:r w:rsidR="00AF3C1D" w:rsidRPr="008E275D">
              <w:t xml:space="preserve">, jo </w:t>
            </w:r>
            <w:r w:rsidR="00711109" w:rsidRPr="008E275D">
              <w:t>jāņem</w:t>
            </w:r>
            <w:r w:rsidR="00AF3C1D" w:rsidRPr="008E275D">
              <w:t xml:space="preserve"> vērā attiecīgās jomas pārk</w:t>
            </w:r>
            <w:r w:rsidR="00421742" w:rsidRPr="008E275D">
              <w:t xml:space="preserve">āpumu sekas, ko ar </w:t>
            </w:r>
            <w:r w:rsidR="00AF3C1D" w:rsidRPr="008E275D">
              <w:t>saimniecisko darbību var nodarīt juridiska persona</w:t>
            </w:r>
            <w:r w:rsidR="005471AF" w:rsidRPr="008E275D">
              <w:t>. Juridiskai personai sankcija palielināma, jo esošā s</w:t>
            </w:r>
            <w:r w:rsidR="001F0D64" w:rsidRPr="008E275D">
              <w:t>ankcija nav pietiekami efektīva</w:t>
            </w:r>
            <w:r w:rsidR="005471AF" w:rsidRPr="008E275D">
              <w:t>. Pašreiz</w:t>
            </w:r>
            <w:r w:rsidRPr="008E275D">
              <w:t xml:space="preserve"> </w:t>
            </w:r>
            <w:r w:rsidR="00AF3C1D" w:rsidRPr="008E275D">
              <w:t xml:space="preserve">LAPK </w:t>
            </w:r>
            <w:r w:rsidRPr="008E275D">
              <w:t xml:space="preserve">42.pantā paredzētais naudas soda </w:t>
            </w:r>
            <w:r w:rsidR="001F0D64" w:rsidRPr="008E275D">
              <w:t xml:space="preserve">maksimālais apmērs </w:t>
            </w:r>
            <w:r w:rsidR="005471AF" w:rsidRPr="008E275D">
              <w:t xml:space="preserve">juridiskai personai </w:t>
            </w:r>
            <w:r w:rsidR="00AF3C1D" w:rsidRPr="008E275D">
              <w:t xml:space="preserve">ir </w:t>
            </w:r>
            <w:r w:rsidR="001F0D64" w:rsidRPr="008E275D">
              <w:t xml:space="preserve">līdz </w:t>
            </w:r>
            <w:r w:rsidRPr="008E275D">
              <w:t xml:space="preserve">350 </w:t>
            </w:r>
            <w:proofErr w:type="spellStart"/>
            <w:r w:rsidRPr="008E275D">
              <w:rPr>
                <w:i/>
              </w:rPr>
              <w:t>euro</w:t>
            </w:r>
            <w:proofErr w:type="spellEnd"/>
            <w:r w:rsidR="00AF3C1D" w:rsidRPr="008E275D">
              <w:rPr>
                <w:i/>
              </w:rPr>
              <w:t xml:space="preserve">, </w:t>
            </w:r>
            <w:r w:rsidR="00AF3C1D" w:rsidRPr="008E275D">
              <w:t>kas</w:t>
            </w:r>
            <w:r w:rsidRPr="008E275D">
              <w:t xml:space="preserve"> ir mazāks nekā </w:t>
            </w:r>
            <w:proofErr w:type="spellStart"/>
            <w:r w:rsidRPr="008E275D">
              <w:t>pretepidēmisko</w:t>
            </w:r>
            <w:proofErr w:type="spellEnd"/>
            <w:r w:rsidRPr="008E275D">
              <w:t xml:space="preserve"> pakalpojumu sniegšanas izmaksas (piemēram, </w:t>
            </w:r>
            <w:proofErr w:type="spellStart"/>
            <w:r w:rsidRPr="008E275D">
              <w:t>leģionelozes</w:t>
            </w:r>
            <w:proofErr w:type="spellEnd"/>
            <w:r w:rsidRPr="008E275D">
              <w:t xml:space="preserve"> gadījumos daudzstāvu daudzdzīvokļu nama iekšējās ūdens apgādes sistēmas tīrīšanas un dezinfekcijas veikšanas izmaksas – sākot no 430 </w:t>
            </w:r>
            <w:proofErr w:type="spellStart"/>
            <w:r w:rsidRPr="008E275D">
              <w:rPr>
                <w:i/>
              </w:rPr>
              <w:t>euro</w:t>
            </w:r>
            <w:proofErr w:type="spellEnd"/>
            <w:r w:rsidRPr="008E275D">
              <w:t>)</w:t>
            </w:r>
            <w:r w:rsidR="00AF3C1D" w:rsidRPr="008E275D">
              <w:t>.</w:t>
            </w:r>
            <w:r w:rsidRPr="008E275D">
              <w:t xml:space="preserve"> </w:t>
            </w:r>
            <w:r w:rsidR="00AF3C1D" w:rsidRPr="008E275D">
              <w:t>N</w:t>
            </w:r>
            <w:r w:rsidR="004A721A" w:rsidRPr="008E275D">
              <w:t xml:space="preserve">epieciešams </w:t>
            </w:r>
            <w:r w:rsidRPr="008E275D">
              <w:t>n</w:t>
            </w:r>
            <w:r w:rsidR="00DE55DF" w:rsidRPr="008E275D">
              <w:t>oteikt</w:t>
            </w:r>
            <w:r w:rsidRPr="008E275D">
              <w:t xml:space="preserve"> sankcij</w:t>
            </w:r>
            <w:r w:rsidR="00DE55DF" w:rsidRPr="008E275D">
              <w:t>u</w:t>
            </w:r>
            <w:r w:rsidR="005471AF" w:rsidRPr="008E275D">
              <w:t xml:space="preserve"> (naudas sodu)</w:t>
            </w:r>
            <w:r w:rsidR="00AF3C1D" w:rsidRPr="008E275D">
              <w:t xml:space="preserve"> tādā apmērā</w:t>
            </w:r>
            <w:r w:rsidRPr="008E275D">
              <w:t xml:space="preserve">, </w:t>
            </w:r>
            <w:r w:rsidR="00DE55DF" w:rsidRPr="008E275D">
              <w:t>lai</w:t>
            </w:r>
            <w:r w:rsidR="005B4DFD" w:rsidRPr="008E275D">
              <w:t xml:space="preserve"> </w:t>
            </w:r>
            <w:r w:rsidRPr="008E275D">
              <w:t xml:space="preserve">preventīvi </w:t>
            </w:r>
            <w:r w:rsidR="00F11EFA" w:rsidRPr="008E275D">
              <w:t>novērst</w:t>
            </w:r>
            <w:r w:rsidR="00DE55DF" w:rsidRPr="008E275D">
              <w:t>u</w:t>
            </w:r>
            <w:r w:rsidR="00F11EFA" w:rsidRPr="008E275D">
              <w:t xml:space="preserve"> tiesību pārkāpumu</w:t>
            </w:r>
            <w:r w:rsidR="00C9567A" w:rsidRPr="008E275D">
              <w:t>. Likumprojektā fi</w:t>
            </w:r>
            <w:r w:rsidR="00F11EFA" w:rsidRPr="008E275D">
              <w:t xml:space="preserve">ziskām personām </w:t>
            </w:r>
            <w:r w:rsidR="00AF3C1D" w:rsidRPr="008E275D">
              <w:t xml:space="preserve">naudas </w:t>
            </w:r>
            <w:r w:rsidR="00F11EFA" w:rsidRPr="008E275D">
              <w:t>sods</w:t>
            </w:r>
            <w:r w:rsidR="001F0D64" w:rsidRPr="008E275D">
              <w:t xml:space="preserve"> paredzēts </w:t>
            </w:r>
            <w:r w:rsidR="00F11EFA" w:rsidRPr="008E275D">
              <w:t xml:space="preserve">no </w:t>
            </w:r>
            <w:r w:rsidR="00867C30" w:rsidRPr="008E275D">
              <w:t>10</w:t>
            </w:r>
            <w:r w:rsidR="00F11EFA" w:rsidRPr="008E275D">
              <w:t xml:space="preserve"> </w:t>
            </w:r>
            <w:proofErr w:type="spellStart"/>
            <w:r w:rsidR="00F11EFA" w:rsidRPr="008E275D">
              <w:rPr>
                <w:i/>
              </w:rPr>
              <w:t>euro</w:t>
            </w:r>
            <w:proofErr w:type="spellEnd"/>
            <w:r w:rsidR="00F11EFA" w:rsidRPr="008E275D">
              <w:t xml:space="preserve"> līdz </w:t>
            </w:r>
            <w:r w:rsidR="00867C30" w:rsidRPr="008E275D">
              <w:t xml:space="preserve">700 </w:t>
            </w:r>
            <w:proofErr w:type="spellStart"/>
            <w:r w:rsidR="00F11EFA" w:rsidRPr="008E275D">
              <w:rPr>
                <w:i/>
              </w:rPr>
              <w:t>euro</w:t>
            </w:r>
            <w:proofErr w:type="spellEnd"/>
            <w:r w:rsidR="00F11EFA" w:rsidRPr="008E275D">
              <w:t xml:space="preserve">, </w:t>
            </w:r>
            <w:r w:rsidR="00AF3C1D" w:rsidRPr="008E275D">
              <w:t xml:space="preserve">bet </w:t>
            </w:r>
            <w:r w:rsidR="00F11EFA" w:rsidRPr="008E275D">
              <w:t xml:space="preserve">juridiskām personām – no </w:t>
            </w:r>
            <w:r w:rsidR="00867C30" w:rsidRPr="008E275D">
              <w:t>140</w:t>
            </w:r>
            <w:r w:rsidR="00F11EFA" w:rsidRPr="008E275D">
              <w:t xml:space="preserve"> </w:t>
            </w:r>
            <w:proofErr w:type="spellStart"/>
            <w:r w:rsidR="00F11EFA" w:rsidRPr="008E275D">
              <w:rPr>
                <w:i/>
              </w:rPr>
              <w:t>euro</w:t>
            </w:r>
            <w:proofErr w:type="spellEnd"/>
            <w:r w:rsidR="00F11EFA" w:rsidRPr="008E275D">
              <w:t xml:space="preserve"> līdz </w:t>
            </w:r>
            <w:r w:rsidR="00AF3C1D" w:rsidRPr="008E275D">
              <w:t>28</w:t>
            </w:r>
            <w:r w:rsidR="00867C30" w:rsidRPr="008E275D">
              <w:t xml:space="preserve">00 </w:t>
            </w:r>
            <w:proofErr w:type="spellStart"/>
            <w:r w:rsidR="00F11EFA" w:rsidRPr="008E275D">
              <w:rPr>
                <w:i/>
              </w:rPr>
              <w:t>euro</w:t>
            </w:r>
            <w:proofErr w:type="spellEnd"/>
            <w:r w:rsidR="00F11EFA" w:rsidRPr="008E275D">
              <w:t xml:space="preserve">. </w:t>
            </w:r>
          </w:p>
          <w:p w:rsidR="00581959" w:rsidRPr="008E275D" w:rsidRDefault="00581959" w:rsidP="00983EF2">
            <w:pPr>
              <w:pStyle w:val="naisf"/>
              <w:tabs>
                <w:tab w:val="left" w:pos="0"/>
                <w:tab w:val="left" w:pos="993"/>
              </w:tabs>
              <w:spacing w:after="0"/>
            </w:pPr>
          </w:p>
          <w:p w:rsidR="00FF216D" w:rsidRPr="008E275D" w:rsidRDefault="00983EF2" w:rsidP="005C2224">
            <w:pPr>
              <w:pStyle w:val="naisf"/>
              <w:tabs>
                <w:tab w:val="left" w:pos="993"/>
              </w:tabs>
              <w:spacing w:after="0"/>
              <w:ind w:firstLine="0"/>
            </w:pPr>
            <w:r w:rsidRPr="008E275D">
              <w:rPr>
                <w:b/>
              </w:rPr>
              <w:t xml:space="preserve">2. LAPK 45.panta trešā daļa nosaka, ka </w:t>
            </w:r>
            <w:r w:rsidRPr="008E275D">
              <w:t>par</w:t>
            </w:r>
            <w:r w:rsidRPr="008E275D">
              <w:rPr>
                <w:rFonts w:ascii="Arial" w:hAnsi="Arial" w:cs="Arial"/>
              </w:rPr>
              <w:t xml:space="preserve"> </w:t>
            </w:r>
            <w:r w:rsidRPr="008E275D">
              <w:rPr>
                <w:u w:val="single"/>
              </w:rPr>
              <w:t>Veselības ministrijas</w:t>
            </w:r>
            <w:r w:rsidRPr="008E275D">
              <w:t xml:space="preserve"> neapstiprinātas medicīniskās tehnoloģijas izmantošanu ārstniecībā uzliek naudas sodu ārstniecības iestādes vadītājam un ārstniecības personām līdz </w:t>
            </w:r>
            <w:r w:rsidR="004B6E4F" w:rsidRPr="008E275D">
              <w:t>140</w:t>
            </w:r>
            <w:r w:rsidR="009C46BB" w:rsidRPr="008E275D">
              <w:t xml:space="preserve"> </w:t>
            </w:r>
            <w:proofErr w:type="spellStart"/>
            <w:r w:rsidR="009C46BB" w:rsidRPr="008E275D">
              <w:rPr>
                <w:i/>
              </w:rPr>
              <w:t>euro</w:t>
            </w:r>
            <w:proofErr w:type="spellEnd"/>
            <w:r w:rsidRPr="008E275D">
              <w:t>.</w:t>
            </w:r>
            <w:r w:rsidR="00581959" w:rsidRPr="008E275D">
              <w:t xml:space="preserve"> LAPK 45.panta trešā daļa</w:t>
            </w:r>
            <w:r w:rsidR="009C46BB" w:rsidRPr="008E275D">
              <w:t xml:space="preserve"> precizējama, jo Veselības </w:t>
            </w:r>
            <w:r w:rsidR="00FF216D" w:rsidRPr="008E275D">
              <w:t>ministrija</w:t>
            </w:r>
            <w:r w:rsidR="009C46BB" w:rsidRPr="008E275D">
              <w:t xml:space="preserve"> nav kompetentā institūcija</w:t>
            </w:r>
            <w:r w:rsidR="00402C46" w:rsidRPr="008E275D">
              <w:t xml:space="preserve"> par ārstniecībā izmantojamo</w:t>
            </w:r>
            <w:r w:rsidR="00AF3C1D" w:rsidRPr="008E275D">
              <w:t xml:space="preserve"> m</w:t>
            </w:r>
            <w:r w:rsidR="00402C46" w:rsidRPr="008E275D">
              <w:t>edicīnisko tehnoloģiju apstiprināšanu</w:t>
            </w:r>
            <w:r w:rsidR="009C46BB" w:rsidRPr="008E275D">
              <w:t>.</w:t>
            </w:r>
            <w:r w:rsidR="00FF216D" w:rsidRPr="008E275D">
              <w:t xml:space="preserve"> </w:t>
            </w:r>
            <w:r w:rsidR="00581959" w:rsidRPr="008E275D">
              <w:rPr>
                <w:i/>
              </w:rPr>
              <w:t>Ārstniecības likuma</w:t>
            </w:r>
            <w:r w:rsidR="00581959" w:rsidRPr="008E275D">
              <w:t xml:space="preserve"> </w:t>
            </w:r>
            <w:r w:rsidR="00581959" w:rsidRPr="008E275D">
              <w:rPr>
                <w:bCs/>
              </w:rPr>
              <w:t>9.panta pirmā daļ</w:t>
            </w:r>
            <w:r w:rsidR="00FF216D" w:rsidRPr="008E275D">
              <w:rPr>
                <w:bCs/>
              </w:rPr>
              <w:t>a nosaka</w:t>
            </w:r>
            <w:r w:rsidR="00581959" w:rsidRPr="008E275D">
              <w:rPr>
                <w:bCs/>
              </w:rPr>
              <w:t>, ka</w:t>
            </w:r>
            <w:r w:rsidR="00581959" w:rsidRPr="008E275D">
              <w:t xml:space="preserve"> ārstniecībā izmantojamo medicīnisko tehnoloģiju apstiprināšanas un jaunu medicīnisko tehnoloģiju ieviešanas kārtību nosaka Ministru kabinets</w:t>
            </w:r>
            <w:r w:rsidR="004B6E4F" w:rsidRPr="008E275D">
              <w:t xml:space="preserve">. </w:t>
            </w:r>
            <w:r w:rsidR="00FF216D" w:rsidRPr="008E275D">
              <w:t xml:space="preserve">Ministru kabineta 2005.gada 28.jūnija noteikumu Nr.468 </w:t>
            </w:r>
            <w:r w:rsidR="00FF216D" w:rsidRPr="008E275D">
              <w:rPr>
                <w:i/>
              </w:rPr>
              <w:t>„</w:t>
            </w:r>
            <w:r w:rsidR="00FF216D" w:rsidRPr="008E275D">
              <w:rPr>
                <w:bCs/>
                <w:i/>
              </w:rPr>
              <w:t xml:space="preserve">Ārstniecībā izmantojamo medicīnisko tehnoloģiju apstiprināšanas un jaunu medicīnisko tehnoloģiju ieviešanas kārtība” </w:t>
            </w:r>
            <w:r w:rsidR="00FF216D" w:rsidRPr="008E275D">
              <w:rPr>
                <w:bCs/>
              </w:rPr>
              <w:t>(turpmāk – noteikumi Nr.468)</w:t>
            </w:r>
            <w:r w:rsidR="00FF216D" w:rsidRPr="008E275D">
              <w:rPr>
                <w:bCs/>
                <w:i/>
              </w:rPr>
              <w:t xml:space="preserve"> </w:t>
            </w:r>
            <w:r w:rsidR="00FF216D" w:rsidRPr="008E275D">
              <w:rPr>
                <w:bCs/>
              </w:rPr>
              <w:t>2.punkts nosaka, ka m</w:t>
            </w:r>
            <w:r w:rsidR="00FF216D" w:rsidRPr="008E275D">
              <w:t>edicīniskās tehnoloģijas novērtē un apstiprina Veselības ekonomikas centrs.</w:t>
            </w:r>
            <w:r w:rsidR="005C2224" w:rsidRPr="008E275D">
              <w:t xml:space="preserve"> </w:t>
            </w:r>
            <w:r w:rsidR="00FF216D" w:rsidRPr="008E275D">
              <w:t>Ar Ministru kabineta 2011.gada 7.septembra rīkojumu</w:t>
            </w:r>
            <w:r w:rsidR="00FF216D" w:rsidRPr="008E275D">
              <w:rPr>
                <w:b/>
                <w:bCs/>
              </w:rPr>
              <w:t xml:space="preserve"> </w:t>
            </w:r>
            <w:r w:rsidR="00FF216D" w:rsidRPr="008E275D">
              <w:rPr>
                <w:bCs/>
              </w:rPr>
              <w:t>Nr.436</w:t>
            </w:r>
            <w:r w:rsidR="00FF216D" w:rsidRPr="008E275D">
              <w:rPr>
                <w:bCs/>
                <w:i/>
              </w:rPr>
              <w:t xml:space="preserve"> „Par Veselības norēķinu centra un Veselības ekonomikas centra reorganizāciju” </w:t>
            </w:r>
            <w:r w:rsidR="00FF216D" w:rsidRPr="008E275D">
              <w:rPr>
                <w:bCs/>
              </w:rPr>
              <w:t>(turpmāk – rīkojums Nr.436)</w:t>
            </w:r>
            <w:r w:rsidR="00FF216D" w:rsidRPr="008E275D">
              <w:rPr>
                <w:bCs/>
                <w:i/>
              </w:rPr>
              <w:t xml:space="preserve"> </w:t>
            </w:r>
            <w:r w:rsidR="00FF216D" w:rsidRPr="008E275D">
              <w:rPr>
                <w:bCs/>
              </w:rPr>
              <w:t xml:space="preserve">1.punktu </w:t>
            </w:r>
            <w:r w:rsidR="00FF216D" w:rsidRPr="008E275D">
              <w:t xml:space="preserve">veselības ministra pakļautībā esošās tiešās pārvaldes iestādes </w:t>
            </w:r>
            <w:r w:rsidR="005942D7" w:rsidRPr="008E275D">
              <w:t>(</w:t>
            </w:r>
            <w:r w:rsidR="00FF216D" w:rsidRPr="008E275D">
              <w:t xml:space="preserve">Veselības norēķinu centrs un </w:t>
            </w:r>
            <w:r w:rsidR="00FF216D" w:rsidRPr="008E275D">
              <w:rPr>
                <w:u w:val="single"/>
              </w:rPr>
              <w:t>Veselības ekonomikas centrs</w:t>
            </w:r>
            <w:r w:rsidR="005942D7" w:rsidRPr="008E275D">
              <w:rPr>
                <w:u w:val="single"/>
              </w:rPr>
              <w:t>)</w:t>
            </w:r>
            <w:r w:rsidR="00FF216D" w:rsidRPr="008E275D">
              <w:t xml:space="preserve"> reorganizētas, tās apvienojot, un ar 2011.gada 1.novembri izveidota veselības ministra pakļautībā esoša tiešās pārvaldes iestāde –</w:t>
            </w:r>
            <w:r w:rsidR="005C2224" w:rsidRPr="008E275D">
              <w:t xml:space="preserve"> Nacionālais veselības dienests</w:t>
            </w:r>
            <w:r w:rsidR="00C9567A" w:rsidRPr="008E275D">
              <w:t xml:space="preserve"> (turpmāk – dienests)</w:t>
            </w:r>
            <w:r w:rsidR="00FF216D" w:rsidRPr="008E275D">
              <w:t>. Saskaņā ar rīkojuma Nr.436 3.17.apakšpunktu dienestam deleģēta valsts pārvaldes funkcija „3.17. apstiprināt ārstniecībā izmantojamās medicīniskās tehnoloģijas”.</w:t>
            </w:r>
          </w:p>
          <w:p w:rsidR="0082183F" w:rsidRPr="0082183F" w:rsidRDefault="0082183F" w:rsidP="00983EF2">
            <w:pPr>
              <w:pStyle w:val="NoSpacing"/>
              <w:jc w:val="both"/>
              <w:rPr>
                <w:rFonts w:ascii="Times New Roman" w:hAnsi="Times New Roman"/>
                <w:sz w:val="24"/>
                <w:szCs w:val="24"/>
                <w:u w:val="single"/>
              </w:rPr>
            </w:pPr>
            <w:r w:rsidRPr="0082183F">
              <w:rPr>
                <w:rFonts w:ascii="Times New Roman" w:hAnsi="Times New Roman"/>
                <w:sz w:val="24"/>
                <w:szCs w:val="24"/>
                <w:u w:val="single"/>
              </w:rPr>
              <w:t xml:space="preserve">Valsts sekretāru sanāksmē 2014.gada 11.septembrī ir izsludināts noteikumu projekts (VSS-839), kas paredz izdarīt grozījumus Ministru kabineta 2005.gada 28.jūnija </w:t>
            </w:r>
            <w:r w:rsidRPr="0082183F">
              <w:rPr>
                <w:rFonts w:ascii="Times New Roman" w:hAnsi="Times New Roman"/>
                <w:sz w:val="24"/>
                <w:szCs w:val="24"/>
                <w:u w:val="single"/>
              </w:rPr>
              <w:lastRenderedPageBreak/>
              <w:t>noteikumos Nr.468 „Ārstniecībā izmantojamo medicīnisko tehnoloģiju apstiprināšanas un jaunu medicīnisko tehnoloģiju ieviešanas kārtība”, t.sk. aizstāt 2.punktā vārdus „Veselības ekonomikas centrs” ar vārdiem „Nacionālais veselības dienests”</w:t>
            </w:r>
          </w:p>
          <w:p w:rsidR="005C2224" w:rsidRPr="008E275D" w:rsidRDefault="00FF216D" w:rsidP="005942D7">
            <w:pPr>
              <w:pStyle w:val="NoSpacing"/>
              <w:jc w:val="both"/>
              <w:rPr>
                <w:rFonts w:ascii="Times New Roman" w:hAnsi="Times New Roman"/>
                <w:sz w:val="24"/>
                <w:szCs w:val="24"/>
              </w:rPr>
            </w:pPr>
            <w:r w:rsidRPr="008E275D">
              <w:rPr>
                <w:rFonts w:ascii="Times New Roman" w:hAnsi="Times New Roman"/>
                <w:sz w:val="24"/>
                <w:szCs w:val="24"/>
              </w:rPr>
              <w:t>LAPK 45.panta trešā</w:t>
            </w:r>
            <w:r w:rsidR="005C2224" w:rsidRPr="008E275D">
              <w:rPr>
                <w:rFonts w:ascii="Times New Roman" w:hAnsi="Times New Roman"/>
                <w:sz w:val="24"/>
                <w:szCs w:val="24"/>
              </w:rPr>
              <w:t xml:space="preserve">s daļas dispozīcija </w:t>
            </w:r>
            <w:r w:rsidR="00282AAE">
              <w:rPr>
                <w:rFonts w:ascii="Times New Roman" w:hAnsi="Times New Roman"/>
                <w:sz w:val="24"/>
                <w:szCs w:val="24"/>
              </w:rPr>
              <w:t xml:space="preserve">likumprojektā </w:t>
            </w:r>
            <w:r w:rsidR="005C2224" w:rsidRPr="008E275D">
              <w:rPr>
                <w:rFonts w:ascii="Times New Roman" w:hAnsi="Times New Roman"/>
                <w:sz w:val="24"/>
                <w:szCs w:val="24"/>
              </w:rPr>
              <w:t>tiek izteikta jaunā redakcijā</w:t>
            </w:r>
            <w:r w:rsidR="00AF3C1D" w:rsidRPr="008E275D">
              <w:rPr>
                <w:rFonts w:ascii="Times New Roman" w:hAnsi="Times New Roman"/>
                <w:sz w:val="24"/>
                <w:szCs w:val="24"/>
              </w:rPr>
              <w:t xml:space="preserve">, nosakot, atbildību </w:t>
            </w:r>
            <w:r w:rsidR="005C2224" w:rsidRPr="008E275D">
              <w:rPr>
                <w:rFonts w:ascii="Times New Roman" w:hAnsi="Times New Roman"/>
                <w:sz w:val="24"/>
                <w:szCs w:val="24"/>
              </w:rPr>
              <w:t>par tādas medicīnisk</w:t>
            </w:r>
            <w:r w:rsidR="005942D7" w:rsidRPr="008E275D">
              <w:rPr>
                <w:rFonts w:ascii="Times New Roman" w:hAnsi="Times New Roman"/>
                <w:sz w:val="24"/>
                <w:szCs w:val="24"/>
              </w:rPr>
              <w:t>ās tehn</w:t>
            </w:r>
            <w:r w:rsidR="005C2224" w:rsidRPr="008E275D">
              <w:rPr>
                <w:rFonts w:ascii="Times New Roman" w:hAnsi="Times New Roman"/>
                <w:sz w:val="24"/>
                <w:szCs w:val="24"/>
              </w:rPr>
              <w:t xml:space="preserve">oloģijas izmantošanu ārstniecībā, kuru nav apstiprinājusi noteiktā </w:t>
            </w:r>
            <w:r w:rsidR="00AF3C1D" w:rsidRPr="008E275D">
              <w:rPr>
                <w:rFonts w:ascii="Times New Roman" w:hAnsi="Times New Roman"/>
                <w:sz w:val="24"/>
                <w:szCs w:val="24"/>
              </w:rPr>
              <w:t xml:space="preserve">kārtībā pilnvarota institūcija. LAPK 45.panta trešās daļa papildināma ar minimālo sankciju, kas piemērojama attiecīgo pārkāpumu gadījumos, lai noteiktu vienveidīgu un pietiekami efektīvu zemāko soda robežu par attiecīgās jomas pārkāpumiem </w:t>
            </w:r>
            <w:r w:rsidR="009635F6" w:rsidRPr="008E275D">
              <w:rPr>
                <w:rFonts w:ascii="Times New Roman" w:hAnsi="Times New Roman"/>
                <w:sz w:val="24"/>
                <w:szCs w:val="24"/>
              </w:rPr>
              <w:t>(naudas soda zemākā</w:t>
            </w:r>
            <w:r w:rsidR="00C50907" w:rsidRPr="008E275D">
              <w:rPr>
                <w:rFonts w:ascii="Times New Roman" w:hAnsi="Times New Roman"/>
                <w:sz w:val="24"/>
                <w:szCs w:val="24"/>
              </w:rPr>
              <w:t xml:space="preserve"> summ</w:t>
            </w:r>
            <w:r w:rsidR="009635F6" w:rsidRPr="008E275D">
              <w:rPr>
                <w:rFonts w:ascii="Times New Roman" w:hAnsi="Times New Roman"/>
                <w:sz w:val="24"/>
                <w:szCs w:val="24"/>
              </w:rPr>
              <w:t>a</w:t>
            </w:r>
            <w:r w:rsidR="00C50907" w:rsidRPr="008E275D">
              <w:rPr>
                <w:rFonts w:ascii="Times New Roman" w:hAnsi="Times New Roman"/>
                <w:sz w:val="24"/>
                <w:szCs w:val="24"/>
              </w:rPr>
              <w:t xml:space="preserve"> </w:t>
            </w:r>
            <w:r w:rsidR="003D131C" w:rsidRPr="008E275D">
              <w:rPr>
                <w:rFonts w:ascii="Times New Roman" w:hAnsi="Times New Roman"/>
                <w:sz w:val="24"/>
                <w:szCs w:val="24"/>
              </w:rPr>
              <w:t xml:space="preserve">– </w:t>
            </w:r>
            <w:r w:rsidR="00C50907" w:rsidRPr="008E275D">
              <w:rPr>
                <w:rFonts w:ascii="Times New Roman" w:hAnsi="Times New Roman"/>
                <w:sz w:val="24"/>
                <w:szCs w:val="24"/>
              </w:rPr>
              <w:t xml:space="preserve">no </w:t>
            </w:r>
            <w:r w:rsidR="00E57040" w:rsidRPr="008E275D">
              <w:rPr>
                <w:rFonts w:ascii="Times New Roman" w:hAnsi="Times New Roman"/>
                <w:sz w:val="24"/>
                <w:szCs w:val="24"/>
              </w:rPr>
              <w:t>50</w:t>
            </w:r>
            <w:r w:rsidR="00C50907" w:rsidRPr="008E275D">
              <w:rPr>
                <w:rFonts w:ascii="Times New Roman" w:hAnsi="Times New Roman"/>
                <w:sz w:val="24"/>
                <w:szCs w:val="24"/>
              </w:rPr>
              <w:t xml:space="preserve"> </w:t>
            </w:r>
            <w:proofErr w:type="spellStart"/>
            <w:r w:rsidR="00C50907" w:rsidRPr="008E275D">
              <w:rPr>
                <w:rFonts w:ascii="Times New Roman" w:hAnsi="Times New Roman"/>
                <w:i/>
                <w:sz w:val="24"/>
                <w:szCs w:val="24"/>
              </w:rPr>
              <w:t>eur</w:t>
            </w:r>
            <w:r w:rsidR="00C9567A" w:rsidRPr="008E275D">
              <w:rPr>
                <w:rFonts w:ascii="Times New Roman" w:hAnsi="Times New Roman"/>
                <w:i/>
                <w:sz w:val="24"/>
                <w:szCs w:val="24"/>
              </w:rPr>
              <w:t>o</w:t>
            </w:r>
            <w:proofErr w:type="spellEnd"/>
            <w:r w:rsidR="009635F6" w:rsidRPr="008E275D">
              <w:rPr>
                <w:rFonts w:ascii="Times New Roman" w:hAnsi="Times New Roman"/>
                <w:i/>
                <w:sz w:val="24"/>
                <w:szCs w:val="24"/>
              </w:rPr>
              <w:t>)</w:t>
            </w:r>
            <w:r w:rsidR="00C9567A" w:rsidRPr="008E275D">
              <w:rPr>
                <w:rFonts w:ascii="Times New Roman" w:hAnsi="Times New Roman"/>
                <w:i/>
                <w:sz w:val="24"/>
                <w:szCs w:val="24"/>
              </w:rPr>
              <w:t>.</w:t>
            </w:r>
            <w:r w:rsidR="00421742" w:rsidRPr="008E275D">
              <w:rPr>
                <w:rFonts w:ascii="Times New Roman" w:hAnsi="Times New Roman"/>
                <w:i/>
                <w:sz w:val="24"/>
                <w:szCs w:val="24"/>
              </w:rPr>
              <w:t xml:space="preserve"> </w:t>
            </w:r>
            <w:r w:rsidR="00421742" w:rsidRPr="008E275D">
              <w:rPr>
                <w:rFonts w:ascii="Times New Roman" w:hAnsi="Times New Roman"/>
                <w:sz w:val="24"/>
                <w:szCs w:val="24"/>
              </w:rPr>
              <w:t xml:space="preserve"> LAPK 45.panta trešās daļas sankcijā paaugstināta naudas soda augstākā robeža</w:t>
            </w:r>
            <w:r w:rsidR="004D02CC" w:rsidRPr="008E275D">
              <w:rPr>
                <w:rFonts w:ascii="Times New Roman" w:hAnsi="Times New Roman"/>
                <w:sz w:val="24"/>
                <w:szCs w:val="24"/>
              </w:rPr>
              <w:t xml:space="preserve"> (līdz 350 </w:t>
            </w:r>
            <w:proofErr w:type="spellStart"/>
            <w:r w:rsidR="004D02CC" w:rsidRPr="008E275D">
              <w:rPr>
                <w:rFonts w:ascii="Times New Roman" w:hAnsi="Times New Roman"/>
                <w:sz w:val="24"/>
                <w:szCs w:val="24"/>
              </w:rPr>
              <w:t>euro</w:t>
            </w:r>
            <w:proofErr w:type="spellEnd"/>
            <w:r w:rsidR="004D02CC" w:rsidRPr="008E275D">
              <w:rPr>
                <w:rFonts w:ascii="Times New Roman" w:hAnsi="Times New Roman"/>
                <w:sz w:val="24"/>
                <w:szCs w:val="24"/>
              </w:rPr>
              <w:t>)</w:t>
            </w:r>
            <w:r w:rsidR="00421742" w:rsidRPr="008E275D">
              <w:rPr>
                <w:rFonts w:ascii="Times New Roman" w:hAnsi="Times New Roman"/>
                <w:sz w:val="24"/>
                <w:szCs w:val="24"/>
              </w:rPr>
              <w:t xml:space="preserve">, lai </w:t>
            </w:r>
            <w:r w:rsidR="004D02CC" w:rsidRPr="008E275D">
              <w:rPr>
                <w:rFonts w:ascii="Times New Roman" w:hAnsi="Times New Roman"/>
                <w:sz w:val="24"/>
                <w:szCs w:val="24"/>
              </w:rPr>
              <w:t xml:space="preserve">samērīgi </w:t>
            </w:r>
            <w:r w:rsidR="00421742" w:rsidRPr="008E275D">
              <w:rPr>
                <w:rFonts w:ascii="Times New Roman" w:hAnsi="Times New Roman"/>
                <w:sz w:val="24"/>
                <w:szCs w:val="24"/>
              </w:rPr>
              <w:t>saskaņotu sodu par šajā daļā norādīto pārkāpumu ar sodiem, kas noteikti par citiem LAPK ietvertajiem administratīvajiem pārkāpumiem</w:t>
            </w:r>
            <w:r w:rsidR="007C177C" w:rsidRPr="008E275D">
              <w:rPr>
                <w:rFonts w:ascii="Times New Roman" w:hAnsi="Times New Roman"/>
                <w:sz w:val="24"/>
                <w:szCs w:val="24"/>
              </w:rPr>
              <w:t xml:space="preserve"> (tajā skaitā par LAPK 45.</w:t>
            </w:r>
            <w:r w:rsidR="007C177C" w:rsidRPr="008E275D">
              <w:rPr>
                <w:rFonts w:ascii="Times New Roman" w:hAnsi="Times New Roman"/>
                <w:sz w:val="24"/>
                <w:szCs w:val="24"/>
                <w:vertAlign w:val="superscript"/>
              </w:rPr>
              <w:t xml:space="preserve">2 </w:t>
            </w:r>
            <w:r w:rsidR="001C3942" w:rsidRPr="008E275D">
              <w:rPr>
                <w:rFonts w:ascii="Times New Roman" w:hAnsi="Times New Roman"/>
                <w:sz w:val="24"/>
                <w:szCs w:val="24"/>
              </w:rPr>
              <w:t>un</w:t>
            </w:r>
            <w:r w:rsidR="001C3942" w:rsidRPr="008E275D">
              <w:rPr>
                <w:rFonts w:ascii="Times New Roman" w:hAnsi="Times New Roman"/>
                <w:sz w:val="24"/>
                <w:szCs w:val="24"/>
                <w:vertAlign w:val="superscript"/>
              </w:rPr>
              <w:t xml:space="preserve"> </w:t>
            </w:r>
            <w:r w:rsidR="001C3942" w:rsidRPr="008E275D">
              <w:rPr>
                <w:rFonts w:ascii="Times New Roman" w:hAnsi="Times New Roman"/>
                <w:sz w:val="24"/>
                <w:szCs w:val="24"/>
              </w:rPr>
              <w:t>45.</w:t>
            </w:r>
            <w:r w:rsidR="005770E6">
              <w:rPr>
                <w:rFonts w:ascii="Times New Roman" w:hAnsi="Times New Roman"/>
                <w:sz w:val="24"/>
                <w:szCs w:val="24"/>
                <w:vertAlign w:val="superscript"/>
              </w:rPr>
              <w:t>5</w:t>
            </w:r>
            <w:r w:rsidR="001C3942" w:rsidRPr="008E275D">
              <w:rPr>
                <w:b/>
                <w:sz w:val="24"/>
                <w:szCs w:val="24"/>
                <w:vertAlign w:val="superscript"/>
              </w:rPr>
              <w:t xml:space="preserve"> </w:t>
            </w:r>
            <w:r w:rsidR="007C177C" w:rsidRPr="008E275D">
              <w:rPr>
                <w:rFonts w:ascii="Times New Roman" w:hAnsi="Times New Roman"/>
                <w:sz w:val="24"/>
                <w:szCs w:val="24"/>
              </w:rPr>
              <w:t>pantā ietverto pārkāpumu)</w:t>
            </w:r>
            <w:r w:rsidR="00421742" w:rsidRPr="008E275D">
              <w:rPr>
                <w:rFonts w:ascii="Times New Roman" w:hAnsi="Times New Roman"/>
                <w:sz w:val="24"/>
                <w:szCs w:val="24"/>
              </w:rPr>
              <w:t>.</w:t>
            </w:r>
          </w:p>
          <w:p w:rsidR="005942D7" w:rsidRPr="000351FA" w:rsidRDefault="005942D7" w:rsidP="005942D7">
            <w:pPr>
              <w:pStyle w:val="NoSpacing"/>
              <w:jc w:val="both"/>
              <w:rPr>
                <w:rFonts w:ascii="Times New Roman" w:hAnsi="Times New Roman"/>
                <w:sz w:val="28"/>
                <w:szCs w:val="28"/>
              </w:rPr>
            </w:pPr>
          </w:p>
          <w:p w:rsidR="006C2065" w:rsidRPr="008E275D" w:rsidRDefault="00983EF2" w:rsidP="002C2A23">
            <w:pPr>
              <w:pStyle w:val="naisf"/>
              <w:tabs>
                <w:tab w:val="left" w:pos="993"/>
              </w:tabs>
              <w:spacing w:after="0"/>
              <w:ind w:firstLine="0"/>
            </w:pPr>
            <w:r w:rsidRPr="008E275D">
              <w:rPr>
                <w:b/>
              </w:rPr>
              <w:t>3. LAPK 45.</w:t>
            </w:r>
            <w:r w:rsidRPr="008E275D">
              <w:rPr>
                <w:b/>
                <w:vertAlign w:val="superscript"/>
              </w:rPr>
              <w:t xml:space="preserve">2 </w:t>
            </w:r>
            <w:r w:rsidRPr="008E275D">
              <w:rPr>
                <w:b/>
              </w:rPr>
              <w:t>pants</w:t>
            </w:r>
            <w:r w:rsidRPr="008E275D">
              <w:t xml:space="preserve"> </w:t>
            </w:r>
            <w:r w:rsidR="00362801" w:rsidRPr="008E275D">
              <w:t>„</w:t>
            </w:r>
            <w:r w:rsidR="00362801" w:rsidRPr="008E275D">
              <w:rPr>
                <w:b/>
                <w:bCs/>
              </w:rPr>
              <w:t>Kārtības, kādā ārstniecības iestādēm jāsniedz ziņas par ārstniecības personu pieņemšanu darbā un atlaišanu no darba</w:t>
            </w:r>
            <w:r w:rsidR="008C1EA8">
              <w:rPr>
                <w:b/>
                <w:bCs/>
              </w:rPr>
              <w:t>,</w:t>
            </w:r>
            <w:r w:rsidR="008C1EA8" w:rsidRPr="008E275D">
              <w:rPr>
                <w:b/>
                <w:bCs/>
              </w:rPr>
              <w:t xml:space="preserve"> neievērošana</w:t>
            </w:r>
            <w:r w:rsidR="00362801" w:rsidRPr="008E275D">
              <w:rPr>
                <w:b/>
                <w:bCs/>
              </w:rPr>
              <w:t>”</w:t>
            </w:r>
            <w:r w:rsidR="00362801" w:rsidRPr="008E275D">
              <w:rPr>
                <w:rFonts w:ascii="Arial" w:hAnsi="Arial" w:cs="Arial"/>
                <w:b/>
                <w:bCs/>
              </w:rPr>
              <w:t xml:space="preserve"> </w:t>
            </w:r>
            <w:r w:rsidRPr="008E275D">
              <w:rPr>
                <w:bCs/>
              </w:rPr>
              <w:t>nosaka, ka p</w:t>
            </w:r>
            <w:r w:rsidRPr="008E275D">
              <w:t>ar kārtības neievērošanu, kādā ārstniecības iestādēm jāsniedz ziņas Veselības ministrijai par ārstniecības personu pieņemšanu darbā un atlaišanu no darba uzliek naudas sodu ārstniecības iestādes vadītājam līdz</w:t>
            </w:r>
            <w:r w:rsidR="005942D7" w:rsidRPr="008E275D">
              <w:t xml:space="preserve"> </w:t>
            </w:r>
            <w:r w:rsidR="00084307" w:rsidRPr="008E275D">
              <w:t>140</w:t>
            </w:r>
            <w:r w:rsidRPr="008E275D">
              <w:t xml:space="preserve"> </w:t>
            </w:r>
            <w:proofErr w:type="spellStart"/>
            <w:r w:rsidRPr="008E275D">
              <w:rPr>
                <w:i/>
              </w:rPr>
              <w:t>euro</w:t>
            </w:r>
            <w:proofErr w:type="spellEnd"/>
            <w:r w:rsidRPr="008E275D">
              <w:t>. LAPK 45.</w:t>
            </w:r>
            <w:r w:rsidRPr="008E275D">
              <w:rPr>
                <w:vertAlign w:val="superscript"/>
              </w:rPr>
              <w:t>2</w:t>
            </w:r>
            <w:r w:rsidR="00362801" w:rsidRPr="008E275D">
              <w:rPr>
                <w:vertAlign w:val="superscript"/>
              </w:rPr>
              <w:t xml:space="preserve"> </w:t>
            </w:r>
            <w:r w:rsidRPr="008E275D">
              <w:t>pantā nepieciešam</w:t>
            </w:r>
            <w:r w:rsidR="006040A5" w:rsidRPr="008E275D">
              <w:t xml:space="preserve">i grozījumi, </w:t>
            </w:r>
            <w:r w:rsidRPr="008E275D">
              <w:t xml:space="preserve">jo ziņas par ārstniecības personu pieņemšanu darbā un atlaišanu no darba </w:t>
            </w:r>
            <w:r w:rsidR="007C177C" w:rsidRPr="008E275D">
              <w:t xml:space="preserve">nav </w:t>
            </w:r>
            <w:r w:rsidRPr="008E275D">
              <w:t>iesniedzamas Veselības ministrijai</w:t>
            </w:r>
            <w:r w:rsidR="007C177C" w:rsidRPr="008E275D">
              <w:t>, bet Veselības inspekcijai.</w:t>
            </w:r>
            <w:r w:rsidRPr="008E275D">
              <w:t xml:space="preserve"> </w:t>
            </w:r>
            <w:r w:rsidR="003D131C" w:rsidRPr="008E275D">
              <w:t xml:space="preserve">Likumprojektā </w:t>
            </w:r>
            <w:r w:rsidR="006C2065" w:rsidRPr="008E275D">
              <w:t>LAPK 45.</w:t>
            </w:r>
            <w:r w:rsidR="006C2065" w:rsidRPr="008E275D">
              <w:rPr>
                <w:vertAlign w:val="superscript"/>
              </w:rPr>
              <w:t xml:space="preserve">2 </w:t>
            </w:r>
            <w:r w:rsidR="006C2065" w:rsidRPr="008E275D">
              <w:t xml:space="preserve">pantā Veselības ministrija </w:t>
            </w:r>
            <w:r w:rsidR="00362801" w:rsidRPr="008E275D">
              <w:t>tiek aizstāta ar</w:t>
            </w:r>
            <w:r w:rsidR="007C177C" w:rsidRPr="008E275D">
              <w:t xml:space="preserve"> norādi uz „kompetento institūciju”</w:t>
            </w:r>
            <w:r w:rsidR="00362801" w:rsidRPr="008E275D">
              <w:t xml:space="preserve">. </w:t>
            </w:r>
            <w:r w:rsidR="009635F6" w:rsidRPr="008E275D">
              <w:t xml:space="preserve">LAPK 45 </w:t>
            </w:r>
            <w:r w:rsidR="009635F6" w:rsidRPr="008E275D">
              <w:rPr>
                <w:vertAlign w:val="superscript"/>
              </w:rPr>
              <w:t>2</w:t>
            </w:r>
            <w:r w:rsidR="00BB6B88" w:rsidRPr="008E275D">
              <w:t>.pants</w:t>
            </w:r>
            <w:r w:rsidR="009635F6" w:rsidRPr="008E275D">
              <w:t xml:space="preserve"> </w:t>
            </w:r>
            <w:r w:rsidR="00BB6B88" w:rsidRPr="008E275D">
              <w:t>papildināms</w:t>
            </w:r>
            <w:r w:rsidR="009635F6" w:rsidRPr="008E275D">
              <w:t xml:space="preserve"> ar minimālo sankciju, kas piemērojama attiecīgo pārkāpumu gadījumos, lai noteiktu vienveidīgu un pietiekami efektīvu zemāko soda robežu par attiecīg</w:t>
            </w:r>
            <w:r w:rsidR="006040A5" w:rsidRPr="008E275D">
              <w:t>ajiem</w:t>
            </w:r>
            <w:r w:rsidR="009635F6" w:rsidRPr="008E275D">
              <w:t xml:space="preserve"> pārkāpumiem</w:t>
            </w:r>
            <w:r w:rsidR="006040A5" w:rsidRPr="008E275D">
              <w:t xml:space="preserve"> - s</w:t>
            </w:r>
            <w:r w:rsidR="00362801" w:rsidRPr="008E275D">
              <w:t xml:space="preserve">ankcija papildināta ar naudas soda zemāko robežu –  </w:t>
            </w:r>
            <w:r w:rsidR="00856305" w:rsidRPr="008E275D">
              <w:t>50</w:t>
            </w:r>
            <w:r w:rsidR="009804CE" w:rsidRPr="008E275D">
              <w:t xml:space="preserve"> </w:t>
            </w:r>
            <w:proofErr w:type="spellStart"/>
            <w:r w:rsidR="00362801" w:rsidRPr="008E275D">
              <w:rPr>
                <w:i/>
              </w:rPr>
              <w:t>euro</w:t>
            </w:r>
            <w:proofErr w:type="spellEnd"/>
            <w:r w:rsidR="009635F6" w:rsidRPr="008E275D">
              <w:rPr>
                <w:i/>
              </w:rPr>
              <w:t>.</w:t>
            </w:r>
            <w:r w:rsidR="009635F6" w:rsidRPr="008E275D">
              <w:t xml:space="preserve"> Lai pastiprinātu atbildību par pārkāpumu,</w:t>
            </w:r>
            <w:r w:rsidR="006040A5" w:rsidRPr="008E275D">
              <w:t xml:space="preserve"> efektīvāk nodrošinātu soda preventīvo funkciju,</w:t>
            </w:r>
            <w:r w:rsidR="009635F6" w:rsidRPr="008E275D">
              <w:t xml:space="preserve"> </w:t>
            </w:r>
            <w:r w:rsidR="009804CE" w:rsidRPr="008E275D">
              <w:t xml:space="preserve">tiek paaugstināta naudas soda </w:t>
            </w:r>
            <w:r w:rsidR="00084307" w:rsidRPr="008E275D">
              <w:t>augstāk</w:t>
            </w:r>
            <w:r w:rsidR="009804CE" w:rsidRPr="008E275D">
              <w:t>ā robeža</w:t>
            </w:r>
            <w:r w:rsidR="00084307" w:rsidRPr="008E275D">
              <w:t xml:space="preserve"> - līd</w:t>
            </w:r>
            <w:r w:rsidR="006C2B5B" w:rsidRPr="008E275D">
              <w:t>z 350</w:t>
            </w:r>
            <w:r w:rsidR="006040A5" w:rsidRPr="008E275D">
              <w:rPr>
                <w:i/>
              </w:rPr>
              <w:t xml:space="preserve"> </w:t>
            </w:r>
            <w:proofErr w:type="spellStart"/>
            <w:r w:rsidR="006040A5" w:rsidRPr="008E275D">
              <w:rPr>
                <w:i/>
              </w:rPr>
              <w:t>euro</w:t>
            </w:r>
            <w:proofErr w:type="spellEnd"/>
            <w:r w:rsidR="00084307" w:rsidRPr="008E275D">
              <w:t>.</w:t>
            </w:r>
          </w:p>
          <w:p w:rsidR="0002539D" w:rsidRPr="0002539D" w:rsidRDefault="0080495D" w:rsidP="0002539D">
            <w:pPr>
              <w:pStyle w:val="NoSpacing"/>
              <w:jc w:val="both"/>
              <w:rPr>
                <w:rFonts w:ascii="Times New Roman" w:hAnsi="Times New Roman"/>
                <w:sz w:val="24"/>
                <w:szCs w:val="24"/>
              </w:rPr>
            </w:pPr>
            <w:r w:rsidRPr="0002539D">
              <w:rPr>
                <w:rFonts w:ascii="Times New Roman" w:hAnsi="Times New Roman"/>
                <w:sz w:val="24"/>
                <w:szCs w:val="24"/>
              </w:rPr>
              <w:t>Nepieciešami</w:t>
            </w:r>
            <w:r w:rsidR="0002539D" w:rsidRPr="0002539D">
              <w:rPr>
                <w:rFonts w:ascii="Times New Roman" w:hAnsi="Times New Roman"/>
                <w:sz w:val="24"/>
                <w:szCs w:val="24"/>
              </w:rPr>
              <w:t>e</w:t>
            </w:r>
            <w:r w:rsidRPr="0002539D">
              <w:rPr>
                <w:rFonts w:ascii="Times New Roman" w:hAnsi="Times New Roman"/>
                <w:sz w:val="24"/>
                <w:szCs w:val="24"/>
              </w:rPr>
              <w:t xml:space="preserve"> tehniski grozījumi Ministru kabineta 2009.gada 24.februāra noteikumos Nr.192 „Ārstniecības personu un ārstniecības atbalsta personu reģistra izveides, papildināšanas un uzturēšanas kārtība” aizstājot reģistra iestādes nosaukumu „Veselības statistikas un medicīnas tehnoloģiju valsts aģentūra” ar vārdiem „Veselības inspekcija”</w:t>
            </w:r>
            <w:r w:rsidR="0002539D" w:rsidRPr="0002539D">
              <w:rPr>
                <w:rFonts w:ascii="Times New Roman" w:hAnsi="Times New Roman"/>
                <w:sz w:val="24"/>
                <w:szCs w:val="24"/>
              </w:rPr>
              <w:t>- tiks veikti vienlaicīgi ar grozījumiem pēc būtības.</w:t>
            </w:r>
          </w:p>
          <w:p w:rsidR="00AA3451" w:rsidRDefault="00AA3451" w:rsidP="00DC63A1">
            <w:pPr>
              <w:pStyle w:val="naisf"/>
              <w:tabs>
                <w:tab w:val="left" w:pos="993"/>
              </w:tabs>
              <w:spacing w:after="0"/>
              <w:ind w:firstLine="0"/>
              <w:rPr>
                <w:b/>
                <w:sz w:val="28"/>
                <w:szCs w:val="28"/>
              </w:rPr>
            </w:pPr>
          </w:p>
          <w:p w:rsidR="005B4B48" w:rsidRDefault="00983EF2" w:rsidP="0002539D">
            <w:pPr>
              <w:pStyle w:val="naisf"/>
              <w:tabs>
                <w:tab w:val="left" w:pos="993"/>
              </w:tabs>
              <w:spacing w:after="0"/>
              <w:ind w:firstLine="0"/>
            </w:pPr>
            <w:r w:rsidRPr="008E275D">
              <w:rPr>
                <w:b/>
              </w:rPr>
              <w:t xml:space="preserve">4. </w:t>
            </w:r>
            <w:r w:rsidR="003C0346" w:rsidRPr="008E275D">
              <w:t>LAPK papildinā</w:t>
            </w:r>
            <w:r w:rsidR="009635F6" w:rsidRPr="008E275D">
              <w:t>m</w:t>
            </w:r>
            <w:r w:rsidR="003C0346" w:rsidRPr="008E275D">
              <w:t xml:space="preserve">s ar jaunu </w:t>
            </w:r>
            <w:r w:rsidR="00237A72" w:rsidRPr="008E275D">
              <w:rPr>
                <w:b/>
              </w:rPr>
              <w:t>LAPK</w:t>
            </w:r>
            <w:r w:rsidR="00237A72" w:rsidRPr="008E275D">
              <w:t xml:space="preserve"> </w:t>
            </w:r>
            <w:r w:rsidR="003C0346" w:rsidRPr="008E275D">
              <w:rPr>
                <w:b/>
              </w:rPr>
              <w:t>45.</w:t>
            </w:r>
            <w:r w:rsidR="00C6033C" w:rsidRPr="008E275D">
              <w:rPr>
                <w:b/>
                <w:vertAlign w:val="superscript"/>
              </w:rPr>
              <w:t>5</w:t>
            </w:r>
            <w:r w:rsidR="003C0346" w:rsidRPr="008E275D">
              <w:rPr>
                <w:b/>
                <w:vertAlign w:val="superscript"/>
              </w:rPr>
              <w:t xml:space="preserve"> </w:t>
            </w:r>
            <w:r w:rsidR="003C0346" w:rsidRPr="008E275D">
              <w:rPr>
                <w:b/>
              </w:rPr>
              <w:t>pantu</w:t>
            </w:r>
            <w:r w:rsidR="0049181E" w:rsidRPr="008E275D">
              <w:rPr>
                <w:b/>
              </w:rPr>
              <w:t xml:space="preserve"> „Ārstniecības iestāžu reģistrācijas noteikumu </w:t>
            </w:r>
            <w:r w:rsidR="0049181E" w:rsidRPr="008E275D">
              <w:rPr>
                <w:b/>
              </w:rPr>
              <w:lastRenderedPageBreak/>
              <w:t>pārkāpumi”</w:t>
            </w:r>
            <w:r w:rsidR="003C0346" w:rsidRPr="008E275D">
              <w:t xml:space="preserve">, lai noteiktu administratīvo atbildību par ārstniecības iestāžu </w:t>
            </w:r>
            <w:r w:rsidR="00B45488" w:rsidRPr="008E275D">
              <w:t xml:space="preserve">pieļautajiem pārkāpumiem tām noteikto uzdevumu izpildē par ziņu sniegšanu </w:t>
            </w:r>
            <w:r w:rsidR="00DF42DF" w:rsidRPr="008E275D">
              <w:t xml:space="preserve">iekļaušanai </w:t>
            </w:r>
            <w:r w:rsidR="00B45488" w:rsidRPr="008E275D">
              <w:t xml:space="preserve">Ārstniecības </w:t>
            </w:r>
            <w:r w:rsidR="00DF42DF" w:rsidRPr="008E275D">
              <w:t xml:space="preserve">iestāžu </w:t>
            </w:r>
            <w:r w:rsidR="00B45488" w:rsidRPr="008E275D">
              <w:t>reģistr</w:t>
            </w:r>
            <w:r w:rsidR="00DF42DF" w:rsidRPr="008E275D">
              <w:t>ā</w:t>
            </w:r>
            <w:r w:rsidR="00B45488" w:rsidRPr="008E275D">
              <w:t xml:space="preserve"> (</w:t>
            </w:r>
            <w:r w:rsidR="0049181E" w:rsidRPr="008E275D">
              <w:t xml:space="preserve">ārstniecības iestāžu </w:t>
            </w:r>
            <w:r w:rsidR="003C0346" w:rsidRPr="008E275D">
              <w:t>reģistrācijas</w:t>
            </w:r>
            <w:r w:rsidR="00B45488" w:rsidRPr="008E275D">
              <w:t xml:space="preserve"> noteikumu </w:t>
            </w:r>
            <w:r w:rsidR="003C0346" w:rsidRPr="008E275D">
              <w:t>pārkāpumiem</w:t>
            </w:r>
            <w:r w:rsidR="00B45488" w:rsidRPr="008E275D">
              <w:t>)</w:t>
            </w:r>
            <w:r w:rsidR="009635F6" w:rsidRPr="008E275D">
              <w:t>, ko nosaka</w:t>
            </w:r>
            <w:r w:rsidR="003C0346" w:rsidRPr="008E275D">
              <w:t xml:space="preserve"> Ministru kabineta </w:t>
            </w:r>
            <w:r w:rsidR="00B45488" w:rsidRPr="008E275D">
              <w:t xml:space="preserve">2005.gada 8.marta </w:t>
            </w:r>
            <w:r w:rsidR="003C0346" w:rsidRPr="008E275D">
              <w:t>noteikum</w:t>
            </w:r>
            <w:r w:rsidR="00BB6B88" w:rsidRPr="008E275D">
              <w:t>i</w:t>
            </w:r>
            <w:r w:rsidR="003C0346" w:rsidRPr="008E275D">
              <w:t xml:space="preserve"> </w:t>
            </w:r>
            <w:r w:rsidR="00B45488" w:rsidRPr="008E275D">
              <w:t>Nr.</w:t>
            </w:r>
            <w:r w:rsidR="00DF42DF" w:rsidRPr="008E275D">
              <w:t>1</w:t>
            </w:r>
            <w:r w:rsidR="00B45488" w:rsidRPr="008E275D">
              <w:t xml:space="preserve">70 </w:t>
            </w:r>
            <w:r w:rsidR="00B45488" w:rsidRPr="008E275D">
              <w:rPr>
                <w:i/>
              </w:rPr>
              <w:t>„Noteikumi par ārstniecības iestāžu reģistru”</w:t>
            </w:r>
            <w:r w:rsidR="00856305" w:rsidRPr="008E275D">
              <w:t xml:space="preserve"> </w:t>
            </w:r>
            <w:r w:rsidR="00DF42DF" w:rsidRPr="008E275D">
              <w:t>(turpmāk – noteikumi Nr.170)</w:t>
            </w:r>
            <w:r w:rsidR="009635F6" w:rsidRPr="008E275D">
              <w:t>. Noteikumu Nr.170</w:t>
            </w:r>
            <w:r w:rsidR="00DF42DF" w:rsidRPr="008E275D">
              <w:t xml:space="preserve"> </w:t>
            </w:r>
            <w:r w:rsidR="00B45488" w:rsidRPr="008E275D">
              <w:t xml:space="preserve">5. un 15.punkts </w:t>
            </w:r>
            <w:r w:rsidR="003C0346" w:rsidRPr="008E275D">
              <w:t xml:space="preserve">nosaka </w:t>
            </w:r>
            <w:r w:rsidR="00856305" w:rsidRPr="008E275D">
              <w:t xml:space="preserve">pienākumu Ārstniecības iestāžu reģistrā (turpmāk – reģistrs) reģistrētas </w:t>
            </w:r>
            <w:r w:rsidR="003C0346" w:rsidRPr="008E275D">
              <w:t>ārstniec</w:t>
            </w:r>
            <w:r w:rsidR="00EC0403" w:rsidRPr="008E275D">
              <w:t>ī</w:t>
            </w:r>
            <w:r w:rsidR="003C0346" w:rsidRPr="008E275D">
              <w:t>ba</w:t>
            </w:r>
            <w:r w:rsidR="00EC0403" w:rsidRPr="008E275D">
              <w:t xml:space="preserve">s </w:t>
            </w:r>
            <w:r w:rsidR="003C0346" w:rsidRPr="008E275D">
              <w:t>iestādes vadītājam</w:t>
            </w:r>
            <w:r w:rsidR="00B45488" w:rsidRPr="008E275D">
              <w:t xml:space="preserve">, ja notikušas izmaiņas </w:t>
            </w:r>
            <w:r w:rsidR="00873CFE" w:rsidRPr="008E275D">
              <w:t xml:space="preserve">šo </w:t>
            </w:r>
            <w:r w:rsidR="00B45488" w:rsidRPr="008E275D">
              <w:t xml:space="preserve">noteikumu 5.punktā minētajā informācijā, </w:t>
            </w:r>
            <w:r w:rsidR="00873CFE" w:rsidRPr="008E275D">
              <w:t xml:space="preserve">tad </w:t>
            </w:r>
            <w:r w:rsidR="00B45488" w:rsidRPr="008E275D">
              <w:t>10 darbdienu laikā pēc i</w:t>
            </w:r>
            <w:r w:rsidR="00873CFE" w:rsidRPr="008E275D">
              <w:t>zmaiņu rašanās par to informēt r</w:t>
            </w:r>
            <w:r w:rsidR="00B45488" w:rsidRPr="008E275D">
              <w:t xml:space="preserve">eģistra iestādi, iesniedzot </w:t>
            </w:r>
            <w:r w:rsidR="00873CFE" w:rsidRPr="008E275D">
              <w:t xml:space="preserve">tai </w:t>
            </w:r>
            <w:r w:rsidR="00B45488" w:rsidRPr="008E275D">
              <w:t>paziņojumu atbilstoši noteikumu</w:t>
            </w:r>
            <w:r w:rsidR="00873CFE" w:rsidRPr="008E275D">
              <w:t xml:space="preserve"> Nr.170 3.pielikumam, ievērojot šādus</w:t>
            </w:r>
            <w:r w:rsidR="00B45488" w:rsidRPr="008E275D">
              <w:t xml:space="preserve"> </w:t>
            </w:r>
            <w:r w:rsidR="00873CFE" w:rsidRPr="008E275D">
              <w:t>kritērijus:</w:t>
            </w:r>
            <w:r w:rsidR="00B45488" w:rsidRPr="008E275D">
              <w:t xml:space="preserve"> 1) savlaicīgi</w:t>
            </w:r>
            <w:r w:rsidR="00873CFE" w:rsidRPr="008E275D">
              <w:t xml:space="preserve"> nodrošināt reģistra iestādi ar ziņām; </w:t>
            </w:r>
            <w:r w:rsidR="00DF42DF" w:rsidRPr="008E275D">
              <w:t xml:space="preserve">2) </w:t>
            </w:r>
            <w:r w:rsidR="00873CFE" w:rsidRPr="008E275D">
              <w:t xml:space="preserve">nodrošināt ar </w:t>
            </w:r>
            <w:r w:rsidR="00DF42DF" w:rsidRPr="008E275D">
              <w:t>aktuālām ziņām</w:t>
            </w:r>
            <w:r w:rsidR="00873CFE" w:rsidRPr="008E275D">
              <w:t>;</w:t>
            </w:r>
            <w:r w:rsidR="00DF42DF" w:rsidRPr="008E275D">
              <w:t xml:space="preserve"> 3</w:t>
            </w:r>
            <w:r w:rsidR="00B45488" w:rsidRPr="008E275D">
              <w:t>) pilnā apjomā</w:t>
            </w:r>
            <w:r w:rsidR="00873CFE" w:rsidRPr="008E275D">
              <w:t xml:space="preserve"> nodrošināt reģistra iestādi ar ziņām;</w:t>
            </w:r>
            <w:r w:rsidR="00B45488" w:rsidRPr="008E275D">
              <w:t xml:space="preserve"> </w:t>
            </w:r>
            <w:r w:rsidR="00873CFE" w:rsidRPr="008E275D">
              <w:t>4</w:t>
            </w:r>
            <w:r w:rsidR="00B45488" w:rsidRPr="008E275D">
              <w:t xml:space="preserve">) </w:t>
            </w:r>
            <w:r w:rsidR="00E27A62" w:rsidRPr="008E275D">
              <w:t xml:space="preserve">nodrošināt ar </w:t>
            </w:r>
            <w:r w:rsidR="00B45488" w:rsidRPr="008E275D">
              <w:t>patiesām ziņām.</w:t>
            </w:r>
            <w:r w:rsidR="00EC0403" w:rsidRPr="008E275D">
              <w:t xml:space="preserve"> </w:t>
            </w:r>
            <w:r w:rsidR="00E27A62" w:rsidRPr="008E275D">
              <w:t>Veselības i</w:t>
            </w:r>
            <w:r w:rsidR="00856305" w:rsidRPr="008E275D">
              <w:t>nspekcija</w:t>
            </w:r>
            <w:r w:rsidR="00E27A62" w:rsidRPr="008E275D">
              <w:t xml:space="preserve">, kas ir reģistra iestāde, </w:t>
            </w:r>
            <w:r w:rsidR="00856305" w:rsidRPr="008E275D">
              <w:t>konstatē</w:t>
            </w:r>
            <w:r w:rsidR="00D46682" w:rsidRPr="008E275D">
              <w:t>jusi</w:t>
            </w:r>
            <w:r w:rsidR="00856305" w:rsidRPr="008E275D">
              <w:t xml:space="preserve"> gadījumus, </w:t>
            </w:r>
            <w:r w:rsidR="00EC0403" w:rsidRPr="008E275D">
              <w:t>ka</w:t>
            </w:r>
            <w:r w:rsidR="00DF42DF" w:rsidRPr="008E275D">
              <w:t>d</w:t>
            </w:r>
            <w:r w:rsidR="00EC0403" w:rsidRPr="008E275D">
              <w:t xml:space="preserve"> ārstniecības iestādes vadītāji pēc </w:t>
            </w:r>
            <w:r w:rsidR="00E27A62" w:rsidRPr="008E275D">
              <w:t xml:space="preserve">ārstniecības iestādes </w:t>
            </w:r>
            <w:r w:rsidR="00EC0403" w:rsidRPr="008E275D">
              <w:t>reģistrācijas reģistr</w:t>
            </w:r>
            <w:r w:rsidR="00856305" w:rsidRPr="008E275D">
              <w:t>ā</w:t>
            </w:r>
            <w:r w:rsidR="00EC0403" w:rsidRPr="008E275D">
              <w:t xml:space="preserve"> </w:t>
            </w:r>
            <w:r w:rsidR="00E27A62" w:rsidRPr="008E275D">
              <w:t>ie</w:t>
            </w:r>
            <w:r w:rsidR="00EC0403" w:rsidRPr="008E275D">
              <w:t>sniedz</w:t>
            </w:r>
            <w:r w:rsidR="00856305" w:rsidRPr="008E275D">
              <w:t xml:space="preserve"> </w:t>
            </w:r>
            <w:r w:rsidR="00DF42DF" w:rsidRPr="008E275D">
              <w:t xml:space="preserve">aktuālās </w:t>
            </w:r>
            <w:r w:rsidR="00856305" w:rsidRPr="008E275D">
              <w:t>ziņas novēloti, sniedz</w:t>
            </w:r>
            <w:r w:rsidR="00EC0403" w:rsidRPr="008E275D">
              <w:t xml:space="preserve"> nepatiesas ziņas, vai vispār nesniedz aktuālas ziņas. </w:t>
            </w:r>
            <w:r w:rsidR="006B2D03" w:rsidRPr="008E275D">
              <w:t>R</w:t>
            </w:r>
            <w:r w:rsidR="00EC0403" w:rsidRPr="008E275D">
              <w:t>eģistrs ir publiski pieejams reģistrs</w:t>
            </w:r>
            <w:r w:rsidR="00B45488" w:rsidRPr="008E275D">
              <w:t xml:space="preserve"> - valsts informācija sistēmas daļa, kurā ir ziņas par visām ārstniecības iest</w:t>
            </w:r>
            <w:r w:rsidR="00524A03" w:rsidRPr="008E275D">
              <w:t>ā</w:t>
            </w:r>
            <w:r w:rsidR="00B45488" w:rsidRPr="008E275D">
              <w:t xml:space="preserve">dēm neatkarīgi no to īpašuma formas un piederības. </w:t>
            </w:r>
            <w:r w:rsidR="00EE44C6" w:rsidRPr="008E275D">
              <w:t xml:space="preserve">Nepieciešams nodrošināt, ka reģistrs satur aktualizētas un pareizas ziņas atbilstoši noteikumu Nr.170 prasībām. </w:t>
            </w:r>
            <w:r w:rsidR="00B45488" w:rsidRPr="008E275D">
              <w:t>Reģistra</w:t>
            </w:r>
            <w:r w:rsidR="00E01AD0" w:rsidRPr="008E275D">
              <w:t xml:space="preserve"> iestāde nodrošina reģistrā iekļautās informācijas publisku pieejamību. </w:t>
            </w:r>
            <w:r w:rsidR="00D46682" w:rsidRPr="008E275D">
              <w:t>R</w:t>
            </w:r>
            <w:r w:rsidR="00E27A62" w:rsidRPr="008E275D">
              <w:t xml:space="preserve">eģistrā </w:t>
            </w:r>
            <w:r w:rsidR="00E01AD0" w:rsidRPr="008E275D">
              <w:t xml:space="preserve">katrs </w:t>
            </w:r>
            <w:r w:rsidR="00EC0403" w:rsidRPr="008E275D">
              <w:t xml:space="preserve">var </w:t>
            </w:r>
            <w:r w:rsidR="006B2D03" w:rsidRPr="008E275D">
              <w:t>iegūt informāciju</w:t>
            </w:r>
            <w:r w:rsidR="00EC0403" w:rsidRPr="008E275D">
              <w:t xml:space="preserve"> par </w:t>
            </w:r>
            <w:r w:rsidR="006B2D03" w:rsidRPr="008E275D">
              <w:t>ārstniecības iestādi, ārstniecībā iesaistītajām personām</w:t>
            </w:r>
            <w:r w:rsidR="00E01AD0" w:rsidRPr="008E275D">
              <w:t>, pakalpojumiem un citas ziņas</w:t>
            </w:r>
            <w:r w:rsidR="006B2D03" w:rsidRPr="008E275D">
              <w:t xml:space="preserve">. </w:t>
            </w:r>
            <w:r w:rsidR="00EC0403" w:rsidRPr="008E275D">
              <w:t xml:space="preserve">Sakarā ar minēto nepieciešams noteikt </w:t>
            </w:r>
            <w:r w:rsidR="006B2D03" w:rsidRPr="008E275D">
              <w:t xml:space="preserve">ārstniecības iestāžu vadītājiem </w:t>
            </w:r>
            <w:r w:rsidR="00EC0403" w:rsidRPr="008E275D">
              <w:t>administratīvo atbildību par normatīvajos aktos noteikt</w:t>
            </w:r>
            <w:r w:rsidR="00666426" w:rsidRPr="008E275D">
              <w:t>o</w:t>
            </w:r>
            <w:r w:rsidR="00662167" w:rsidRPr="008E275D">
              <w:t xml:space="preserve"> ziņu </w:t>
            </w:r>
            <w:r w:rsidR="003E0513" w:rsidRPr="008E275D">
              <w:t>nesniegšanu vai nepatiesu ziņu sniegšanu reģistram</w:t>
            </w:r>
            <w:r w:rsidR="00662167" w:rsidRPr="008E275D">
              <w:t>.</w:t>
            </w:r>
            <w:r w:rsidR="00DC63A1" w:rsidRPr="008E275D">
              <w:t xml:space="preserve"> Likumprojekts paredz papildināt</w:t>
            </w:r>
            <w:r w:rsidR="00666426" w:rsidRPr="008E275D">
              <w:t xml:space="preserve"> LAPK </w:t>
            </w:r>
            <w:r w:rsidR="00DC63A1" w:rsidRPr="008E275D">
              <w:t xml:space="preserve">ar </w:t>
            </w:r>
            <w:r w:rsidR="00DC63A1" w:rsidRPr="008E275D">
              <w:rPr>
                <w:b/>
              </w:rPr>
              <w:t>45.</w:t>
            </w:r>
            <w:r w:rsidR="00C6033C" w:rsidRPr="008E275D">
              <w:rPr>
                <w:b/>
                <w:vertAlign w:val="superscript"/>
              </w:rPr>
              <w:t>5</w:t>
            </w:r>
            <w:r w:rsidR="00DC63A1" w:rsidRPr="008E275D">
              <w:rPr>
                <w:b/>
                <w:vertAlign w:val="superscript"/>
              </w:rPr>
              <w:t xml:space="preserve"> </w:t>
            </w:r>
            <w:r w:rsidR="00DC63A1" w:rsidRPr="008E275D">
              <w:rPr>
                <w:b/>
              </w:rPr>
              <w:t>pantu „</w:t>
            </w:r>
            <w:r w:rsidR="00DC63A1" w:rsidRPr="008E275D">
              <w:rPr>
                <w:b/>
                <w:bCs/>
              </w:rPr>
              <w:t>Ārstniecības iestāžu reģistrācijas noteikumu pārkāpumi”</w:t>
            </w:r>
            <w:r w:rsidR="00122E73" w:rsidRPr="008E275D">
              <w:rPr>
                <w:b/>
                <w:bCs/>
              </w:rPr>
              <w:t xml:space="preserve">, </w:t>
            </w:r>
            <w:r w:rsidR="00122E73" w:rsidRPr="008E275D">
              <w:rPr>
                <w:bCs/>
              </w:rPr>
              <w:t>kas nosaka, ka</w:t>
            </w:r>
            <w:r w:rsidR="00122E73" w:rsidRPr="008E275D">
              <w:rPr>
                <w:b/>
                <w:bCs/>
              </w:rPr>
              <w:t xml:space="preserve"> </w:t>
            </w:r>
            <w:r w:rsidR="00520EE2" w:rsidRPr="008E275D">
              <w:rPr>
                <w:bCs/>
              </w:rPr>
              <w:t>p</w:t>
            </w:r>
            <w:r w:rsidR="00DC63A1" w:rsidRPr="008E275D">
              <w:t xml:space="preserve">ar normatīvajos aktos noteikto ziņu nesniegšanu vai nepatiesu ziņu sniegšanu Ārstniecības iestāžu reģistram, – uzliek naudas sodu ārstniecības iestādes vadītājam no piecdesmit </w:t>
            </w:r>
            <w:proofErr w:type="spellStart"/>
            <w:r w:rsidR="00DC63A1" w:rsidRPr="008E275D">
              <w:t>euro</w:t>
            </w:r>
            <w:proofErr w:type="spellEnd"/>
            <w:r w:rsidR="00DC63A1" w:rsidRPr="008E275D">
              <w:t xml:space="preserve"> līdz trīssimt piecdesmit </w:t>
            </w:r>
            <w:proofErr w:type="spellStart"/>
            <w:r w:rsidR="00DC63A1" w:rsidRPr="008E275D">
              <w:t>euro</w:t>
            </w:r>
            <w:proofErr w:type="spellEnd"/>
            <w:r w:rsidR="00DC63A1" w:rsidRPr="008E275D">
              <w:t>.</w:t>
            </w:r>
            <w:r w:rsidR="0002539D">
              <w:t xml:space="preserve"> </w:t>
            </w:r>
          </w:p>
          <w:p w:rsidR="005B4B48" w:rsidRPr="005B4B48" w:rsidRDefault="005B4B48" w:rsidP="0002539D">
            <w:pPr>
              <w:pStyle w:val="naisf"/>
              <w:tabs>
                <w:tab w:val="left" w:pos="993"/>
              </w:tabs>
              <w:spacing w:after="0"/>
              <w:ind w:firstLine="0"/>
              <w:rPr>
                <w:u w:val="single"/>
              </w:rPr>
            </w:pPr>
            <w:r w:rsidRPr="005B4B48">
              <w:t xml:space="preserve">Tā kā </w:t>
            </w:r>
            <w:r w:rsidRPr="005B4B48">
              <w:rPr>
                <w:b/>
                <w:i/>
              </w:rPr>
              <w:t xml:space="preserve">Krimināllikuma </w:t>
            </w:r>
            <w:r w:rsidRPr="005B4B48">
              <w:t xml:space="preserve">272. pants paredz atbildību par  </w:t>
            </w:r>
            <w:r w:rsidRPr="005B4B48">
              <w:rPr>
                <w:b/>
              </w:rPr>
              <w:t xml:space="preserve"> </w:t>
            </w:r>
            <w:r w:rsidRPr="005B4B48">
              <w:rPr>
                <w:b/>
                <w:u w:val="single"/>
              </w:rPr>
              <w:t>apzināti nepatiesu</w:t>
            </w:r>
            <w:r w:rsidRPr="005B4B48">
              <w:rPr>
                <w:b/>
              </w:rPr>
              <w:t xml:space="preserve"> ziņu sniegšanu valsts institūcijai, tad </w:t>
            </w:r>
            <w:r w:rsidRPr="008E275D">
              <w:rPr>
                <w:b/>
              </w:rPr>
              <w:t xml:space="preserve"> LAPK</w:t>
            </w:r>
            <w:r w:rsidRPr="008E275D">
              <w:t xml:space="preserve"> </w:t>
            </w:r>
            <w:r w:rsidRPr="008E275D">
              <w:rPr>
                <w:b/>
              </w:rPr>
              <w:t>45.</w:t>
            </w:r>
            <w:r w:rsidRPr="008E275D">
              <w:rPr>
                <w:b/>
                <w:vertAlign w:val="superscript"/>
              </w:rPr>
              <w:t xml:space="preserve">5 </w:t>
            </w:r>
            <w:r w:rsidRPr="008E275D">
              <w:rPr>
                <w:b/>
              </w:rPr>
              <w:t>pant</w:t>
            </w:r>
            <w:r>
              <w:rPr>
                <w:b/>
              </w:rPr>
              <w:t>ā noteiktā</w:t>
            </w:r>
            <w:r w:rsidRPr="008E275D">
              <w:rPr>
                <w:b/>
              </w:rPr>
              <w:t xml:space="preserve"> </w:t>
            </w:r>
            <w:r w:rsidRPr="005B4B48">
              <w:rPr>
                <w:b/>
              </w:rPr>
              <w:t>administratīvā atbildība tiks piemērota gadījumā, ja Veselība</w:t>
            </w:r>
            <w:r>
              <w:rPr>
                <w:b/>
              </w:rPr>
              <w:t>s</w:t>
            </w:r>
            <w:r w:rsidRPr="005B4B48">
              <w:rPr>
                <w:b/>
              </w:rPr>
              <w:t xml:space="preserve"> inspekcijai iesniegtas nepatiesas ziņas </w:t>
            </w:r>
            <w:r w:rsidRPr="005B4B48">
              <w:rPr>
                <w:u w:val="single"/>
              </w:rPr>
              <w:t>neuzmanības dēļ</w:t>
            </w:r>
            <w:r>
              <w:rPr>
                <w:u w:val="single"/>
              </w:rPr>
              <w:t>.</w:t>
            </w:r>
            <w:r w:rsidRPr="005B4B48">
              <w:t xml:space="preserve"> LAPK </w:t>
            </w:r>
            <w:r w:rsidRPr="005B4B48">
              <w:rPr>
                <w:b/>
              </w:rPr>
              <w:t>45.</w:t>
            </w:r>
            <w:r w:rsidRPr="005B4B48">
              <w:rPr>
                <w:b/>
                <w:vertAlign w:val="superscript"/>
              </w:rPr>
              <w:t xml:space="preserve">5 </w:t>
            </w:r>
            <w:r w:rsidRPr="005B4B48">
              <w:rPr>
                <w:b/>
              </w:rPr>
              <w:t xml:space="preserve">pantā </w:t>
            </w:r>
            <w:r w:rsidRPr="005B4B48">
              <w:t xml:space="preserve"> ietvertais tiesību normas sastāvs neprasa pārkāpēja subjektīvās attieksmes konstatēšanu, bet gan nepatiesa fakta konstatēšanu. Ja Veselības inspekcija būs ieguvusi ziņas, kas varētu liecināt par </w:t>
            </w:r>
            <w:r w:rsidRPr="005B4B48">
              <w:rPr>
                <w:u w:val="single"/>
              </w:rPr>
              <w:t>apzināti nepatiesu</w:t>
            </w:r>
            <w:r w:rsidRPr="005B4B48">
              <w:t xml:space="preserve"> ziņu sniegšanu reģistram, tad tai būs pienākums pārsūtīt lietas materiālus atbilstoši kompetencei </w:t>
            </w:r>
            <w:r w:rsidR="00EA0F60">
              <w:t xml:space="preserve">prokuroram </w:t>
            </w:r>
            <w:r w:rsidRPr="005B4B48">
              <w:t>izmeklēšanas iestādei saskaņā ar LAPK 245.pantu</w:t>
            </w:r>
            <w:r>
              <w:t>.</w:t>
            </w:r>
          </w:p>
          <w:p w:rsidR="0002539D" w:rsidRPr="0002539D" w:rsidRDefault="0080495D" w:rsidP="0002539D">
            <w:pPr>
              <w:pStyle w:val="naisf"/>
              <w:tabs>
                <w:tab w:val="left" w:pos="993"/>
              </w:tabs>
              <w:spacing w:after="0"/>
              <w:ind w:firstLine="0"/>
            </w:pPr>
            <w:r w:rsidRPr="0002539D">
              <w:lastRenderedPageBreak/>
              <w:t>Nepieciešami</w:t>
            </w:r>
            <w:r w:rsidR="0002539D" w:rsidRPr="0002539D">
              <w:t>e</w:t>
            </w:r>
            <w:r w:rsidRPr="0002539D">
              <w:t xml:space="preserve"> tehniski</w:t>
            </w:r>
            <w:r w:rsidR="0002539D" w:rsidRPr="0002539D">
              <w:t>e</w:t>
            </w:r>
            <w:r w:rsidRPr="0002539D">
              <w:t xml:space="preserve"> grozījumi Ministru kabineta 2005.gada 8.marta noteikumos Nr.170 „Noteikumi par ārstniecības iestāžu reģistru”, aizstājot reģistra iestādes nosaukumu „Veselības statistikas un medicīnas tehnoloģiju valsts aģentūra” ar vārdiem „Veselības inspekcija”</w:t>
            </w:r>
            <w:r w:rsidR="0002539D" w:rsidRPr="0002539D">
              <w:t xml:space="preserve"> - tiks veikti vienlaicīgi ar grozījumiem pēc būtības.</w:t>
            </w:r>
          </w:p>
          <w:p w:rsidR="0080495D" w:rsidRPr="0002539D" w:rsidRDefault="0080495D" w:rsidP="0080495D">
            <w:pPr>
              <w:pStyle w:val="naisf"/>
              <w:tabs>
                <w:tab w:val="left" w:pos="993"/>
              </w:tabs>
              <w:spacing w:after="0"/>
              <w:ind w:firstLine="0"/>
              <w:rPr>
                <w:b/>
                <w:sz w:val="28"/>
                <w:szCs w:val="28"/>
              </w:rPr>
            </w:pPr>
          </w:p>
          <w:p w:rsidR="00E71064" w:rsidRPr="008E275D" w:rsidRDefault="003514C9" w:rsidP="00E71064">
            <w:pPr>
              <w:pStyle w:val="naisf"/>
              <w:tabs>
                <w:tab w:val="left" w:pos="0"/>
                <w:tab w:val="left" w:pos="993"/>
              </w:tabs>
              <w:spacing w:after="0"/>
              <w:ind w:firstLine="0"/>
            </w:pPr>
            <w:r>
              <w:rPr>
                <w:b/>
              </w:rPr>
              <w:t>5</w:t>
            </w:r>
            <w:r w:rsidR="00983EF2" w:rsidRPr="008E275D">
              <w:rPr>
                <w:b/>
              </w:rPr>
              <w:t>.</w:t>
            </w:r>
            <w:r w:rsidR="00983EF2" w:rsidRPr="008E275D">
              <w:t xml:space="preserve"> </w:t>
            </w:r>
            <w:r w:rsidR="00983EF2" w:rsidRPr="008E275D">
              <w:rPr>
                <w:b/>
              </w:rPr>
              <w:t>LAPK 166.</w:t>
            </w:r>
            <w:r w:rsidR="00983EF2" w:rsidRPr="008E275D">
              <w:rPr>
                <w:b/>
                <w:vertAlign w:val="superscript"/>
              </w:rPr>
              <w:t xml:space="preserve">15 </w:t>
            </w:r>
            <w:r w:rsidR="00983EF2" w:rsidRPr="008E275D">
              <w:rPr>
                <w:b/>
              </w:rPr>
              <w:t>pant</w:t>
            </w:r>
            <w:r w:rsidR="007F5FA5" w:rsidRPr="008E275D">
              <w:rPr>
                <w:b/>
              </w:rPr>
              <w:t>a</w:t>
            </w:r>
            <w:r w:rsidR="00983EF2" w:rsidRPr="008E275D">
              <w:t xml:space="preserve"> </w:t>
            </w:r>
            <w:r w:rsidR="00983EF2" w:rsidRPr="008E275D">
              <w:rPr>
                <w:b/>
                <w:i/>
              </w:rPr>
              <w:t>„</w:t>
            </w:r>
            <w:r w:rsidR="00983EF2" w:rsidRPr="008E275D">
              <w:rPr>
                <w:b/>
                <w:bCs/>
                <w:i/>
              </w:rPr>
              <w:t>Atbilstības novērtēšanai pakļauto preču nenodrošināšana ar atbilstības apliecinājumiem vai apstiprinājumiem un to piedāvāšana un realizēšana bez atbilstības apliecinājumiem vai apstiprinājumiem”</w:t>
            </w:r>
            <w:r w:rsidR="00983EF2" w:rsidRPr="008E275D">
              <w:t xml:space="preserve"> </w:t>
            </w:r>
            <w:r w:rsidR="00983EF2" w:rsidRPr="008E275D">
              <w:rPr>
                <w:u w:val="single"/>
              </w:rPr>
              <w:t>pirmā</w:t>
            </w:r>
            <w:r w:rsidR="00983EF2" w:rsidRPr="008E275D">
              <w:t xml:space="preserve"> daļa nosaka administratīvo sodu personām, kuras ir atbildīgas par atbilstības novērtēšanai pakļauto preču ievietošanu tirgū, nenodrošinot tās ar atbilstības apliecinājumu vai apstiprinājumu, </w:t>
            </w:r>
            <w:r w:rsidR="00983EF2" w:rsidRPr="008E275D">
              <w:rPr>
                <w:u w:val="single"/>
              </w:rPr>
              <w:t>izņemot</w:t>
            </w:r>
            <w:r w:rsidR="00983EF2" w:rsidRPr="008E275D">
              <w:t xml:space="preserve"> </w:t>
            </w:r>
            <w:r w:rsidR="00983EF2" w:rsidRPr="008E275D">
              <w:rPr>
                <w:u w:val="single"/>
              </w:rPr>
              <w:t>ārstniecības līdzekļu</w:t>
            </w:r>
            <w:r w:rsidR="00983EF2" w:rsidRPr="008E275D">
              <w:t xml:space="preserve"> ievietošanu tirgū. Šā</w:t>
            </w:r>
            <w:r w:rsidR="00983EF2" w:rsidRPr="008E275D">
              <w:rPr>
                <w:vertAlign w:val="superscript"/>
              </w:rPr>
              <w:t xml:space="preserve"> </w:t>
            </w:r>
            <w:r w:rsidR="00983EF2" w:rsidRPr="008E275D">
              <w:t xml:space="preserve">panta </w:t>
            </w:r>
            <w:r w:rsidR="00983EF2" w:rsidRPr="008E275D">
              <w:rPr>
                <w:u w:val="single"/>
              </w:rPr>
              <w:t>piektā</w:t>
            </w:r>
            <w:r w:rsidR="00983EF2" w:rsidRPr="008E275D">
              <w:t xml:space="preserve"> daļa nosaka administratīvo sodu personām, kuras ir atbildīgas par atbilstības novērtēšanai pakļauto preču piedāvāšanu vai realizēšanu bez atbilstības apliecinājuma vai apstiprinājuma, izņemot </w:t>
            </w:r>
            <w:r w:rsidR="00983EF2" w:rsidRPr="008E275D">
              <w:rPr>
                <w:u w:val="single"/>
              </w:rPr>
              <w:t xml:space="preserve">ārstniecības līdzekļu </w:t>
            </w:r>
            <w:r w:rsidR="00983EF2" w:rsidRPr="008E275D">
              <w:t>piedāvāšanu vai realizēšanu.</w:t>
            </w:r>
            <w:r w:rsidR="005E4D98" w:rsidRPr="008E275D">
              <w:t xml:space="preserve"> Esošā</w:t>
            </w:r>
            <w:r w:rsidR="00983EF2" w:rsidRPr="008E275D">
              <w:t xml:space="preserve"> </w:t>
            </w:r>
            <w:r w:rsidR="00FF4B97" w:rsidRPr="008E275D">
              <w:rPr>
                <w:b/>
              </w:rPr>
              <w:t xml:space="preserve"> LAPK 166.</w:t>
            </w:r>
            <w:r w:rsidR="00FF4B97" w:rsidRPr="008E275D">
              <w:rPr>
                <w:b/>
                <w:vertAlign w:val="superscript"/>
              </w:rPr>
              <w:t xml:space="preserve">15 </w:t>
            </w:r>
            <w:r w:rsidR="00FF4B97" w:rsidRPr="008E275D">
              <w:rPr>
                <w:b/>
              </w:rPr>
              <w:t>panta</w:t>
            </w:r>
            <w:r w:rsidR="00FF4B97" w:rsidRPr="008E275D">
              <w:t xml:space="preserve"> pirmās un piektās daļas redakcija </w:t>
            </w:r>
            <w:r w:rsidR="00983EF2" w:rsidRPr="008E275D">
              <w:t xml:space="preserve">neļauj </w:t>
            </w:r>
            <w:r w:rsidR="005E4D98" w:rsidRPr="008E275D">
              <w:t>sodu</w:t>
            </w:r>
            <w:r w:rsidR="00FF4B97" w:rsidRPr="008E275D">
              <w:t xml:space="preserve"> </w:t>
            </w:r>
            <w:r w:rsidR="005E4D98" w:rsidRPr="008E275D">
              <w:t xml:space="preserve">piemērot </w:t>
            </w:r>
            <w:r w:rsidR="00983EF2" w:rsidRPr="008E275D">
              <w:t xml:space="preserve">gadījumā, kad nav ievērotas </w:t>
            </w:r>
            <w:r w:rsidR="00983EF2" w:rsidRPr="008E275D">
              <w:rPr>
                <w:u w:val="single"/>
              </w:rPr>
              <w:t>medicīnas ierīču</w:t>
            </w:r>
            <w:r w:rsidR="00983EF2" w:rsidRPr="008E275D">
              <w:t xml:space="preserve"> izplatīšanas prasības, ņemot vērā, ka </w:t>
            </w:r>
            <w:r w:rsidR="00983EF2" w:rsidRPr="008E275D">
              <w:rPr>
                <w:i/>
              </w:rPr>
              <w:t>Farmācijas likuma</w:t>
            </w:r>
            <w:r w:rsidR="00983EF2" w:rsidRPr="008E275D">
              <w:t xml:space="preserve"> 1.panta 1) punkts nosaka, ka </w:t>
            </w:r>
            <w:r w:rsidR="00983EF2" w:rsidRPr="008E275D">
              <w:rPr>
                <w:b/>
                <w:bCs/>
                <w:u w:val="single"/>
              </w:rPr>
              <w:t>ārstniecības līdzekļi</w:t>
            </w:r>
            <w:r w:rsidR="00983EF2" w:rsidRPr="008E275D">
              <w:rPr>
                <w:u w:val="single"/>
              </w:rPr>
              <w:t xml:space="preserve"> ir zāles un medicīniskās ierīces</w:t>
            </w:r>
            <w:r w:rsidR="00983EF2" w:rsidRPr="008E275D">
              <w:t xml:space="preserve">. </w:t>
            </w:r>
            <w:r w:rsidR="005E4D98" w:rsidRPr="008E275D">
              <w:t>Veselības i</w:t>
            </w:r>
            <w:r w:rsidR="00983EF2" w:rsidRPr="008E275D">
              <w:t>nspekcijai nepieciešams šā panta pirm</w:t>
            </w:r>
            <w:r w:rsidR="00374E43" w:rsidRPr="008E275D">
              <w:t>o</w:t>
            </w:r>
            <w:r w:rsidR="00983EF2" w:rsidRPr="008E275D">
              <w:t xml:space="preserve"> un piekt</w:t>
            </w:r>
            <w:r w:rsidR="00374E43" w:rsidRPr="008E275D">
              <w:t>o</w:t>
            </w:r>
            <w:r w:rsidR="00983EF2" w:rsidRPr="008E275D">
              <w:t xml:space="preserve"> daļ</w:t>
            </w:r>
            <w:r w:rsidR="00374E43" w:rsidRPr="008E275D">
              <w:t>u</w:t>
            </w:r>
            <w:r w:rsidR="00983EF2" w:rsidRPr="008E275D">
              <w:t xml:space="preserve">  piemērot, uzraugot arī </w:t>
            </w:r>
            <w:r w:rsidR="00983EF2" w:rsidRPr="008E275D">
              <w:rPr>
                <w:u w:val="single"/>
              </w:rPr>
              <w:t>medicīnas ierīces</w:t>
            </w:r>
            <w:r w:rsidR="00983EF2" w:rsidRPr="008E275D">
              <w:t xml:space="preserve"> saskaņā ar Ministru kabineta 2005.gada 2.augusta noteikumu Nr.581 </w:t>
            </w:r>
            <w:r w:rsidR="00983EF2" w:rsidRPr="008E275D">
              <w:rPr>
                <w:i/>
              </w:rPr>
              <w:t>„Medicīnisko ierīču reģistrācijas, atbilstības novērtēšanas, izplatīšanas, ekspluatācijas un tehniskās uzraudzības kārtība”</w:t>
            </w:r>
            <w:r w:rsidR="00983EF2" w:rsidRPr="008E275D">
              <w:t xml:space="preserve"> (turpmāk – noteikumi Nr.581) </w:t>
            </w:r>
            <w:r w:rsidR="00315829" w:rsidRPr="008E275D">
              <w:t>2.punktu</w:t>
            </w:r>
            <w:r w:rsidR="00374E43" w:rsidRPr="008E275D">
              <w:t>, kas nosaka, ka</w:t>
            </w:r>
            <w:r w:rsidR="00315829" w:rsidRPr="008E275D">
              <w:t xml:space="preserve"> medicīnisko ierīču ražošanas, izplatīšanas, ekspluatācijas un tehnisko uzraudzību veic Veselības inspekcija.</w:t>
            </w:r>
            <w:r w:rsidR="00EA30FE" w:rsidRPr="008E275D">
              <w:t xml:space="preserve"> </w:t>
            </w:r>
            <w:r w:rsidR="00EA30FE" w:rsidRPr="008E275D">
              <w:rPr>
                <w:b/>
              </w:rPr>
              <w:t>LAPK 166.</w:t>
            </w:r>
            <w:r w:rsidR="00EA30FE" w:rsidRPr="008E275D">
              <w:rPr>
                <w:b/>
                <w:vertAlign w:val="superscript"/>
              </w:rPr>
              <w:t xml:space="preserve">15 </w:t>
            </w:r>
            <w:r w:rsidR="00EA30FE" w:rsidRPr="008E275D">
              <w:rPr>
                <w:b/>
              </w:rPr>
              <w:t xml:space="preserve">panta </w:t>
            </w:r>
            <w:r w:rsidR="00EA30FE" w:rsidRPr="008E275D">
              <w:t xml:space="preserve">pirmajā un piektajā daļā vārdi </w:t>
            </w:r>
            <w:r w:rsidR="00EA30FE" w:rsidRPr="008E275D">
              <w:rPr>
                <w:i/>
              </w:rPr>
              <w:t>„</w:t>
            </w:r>
            <w:r w:rsidR="00EC67A0" w:rsidRPr="008E275D">
              <w:rPr>
                <w:i/>
              </w:rPr>
              <w:t xml:space="preserve">izņemot </w:t>
            </w:r>
            <w:r w:rsidR="00EA30FE" w:rsidRPr="008E275D">
              <w:rPr>
                <w:i/>
              </w:rPr>
              <w:t>ārstniecības līdzekļu”</w:t>
            </w:r>
            <w:r w:rsidR="00EA30FE" w:rsidRPr="008E275D">
              <w:t xml:space="preserve"> aizstāti ar vārdiem </w:t>
            </w:r>
            <w:r w:rsidR="00EA30FE" w:rsidRPr="008E275D">
              <w:rPr>
                <w:b/>
              </w:rPr>
              <w:t>„</w:t>
            </w:r>
            <w:r w:rsidR="00EC67A0" w:rsidRPr="008E275D">
              <w:rPr>
                <w:b/>
              </w:rPr>
              <w:t xml:space="preserve">izņemot </w:t>
            </w:r>
            <w:r w:rsidR="00EA30FE" w:rsidRPr="008E275D">
              <w:rPr>
                <w:b/>
                <w:i/>
              </w:rPr>
              <w:t>zāļu”</w:t>
            </w:r>
            <w:r w:rsidR="00EA30FE" w:rsidRPr="008E275D">
              <w:t xml:space="preserve">, </w:t>
            </w:r>
            <w:r w:rsidR="00EA30FE" w:rsidRPr="008E275D">
              <w:rPr>
                <w:u w:val="single"/>
              </w:rPr>
              <w:t>lai š</w:t>
            </w:r>
            <w:r w:rsidR="00315829" w:rsidRPr="008E275D">
              <w:rPr>
                <w:u w:val="single"/>
              </w:rPr>
              <w:t>īs normas</w:t>
            </w:r>
            <w:r w:rsidR="00EA30FE" w:rsidRPr="008E275D">
              <w:rPr>
                <w:u w:val="single"/>
              </w:rPr>
              <w:t xml:space="preserve"> piemēro</w:t>
            </w:r>
            <w:r w:rsidR="00315829" w:rsidRPr="008E275D">
              <w:rPr>
                <w:u w:val="single"/>
              </w:rPr>
              <w:t>t</w:t>
            </w:r>
            <w:r w:rsidR="00EA30FE" w:rsidRPr="008E275D">
              <w:rPr>
                <w:u w:val="single"/>
              </w:rPr>
              <w:t>u arī uz</w:t>
            </w:r>
            <w:r w:rsidR="00EA30FE" w:rsidRPr="008E275D">
              <w:t xml:space="preserve"> </w:t>
            </w:r>
            <w:r w:rsidR="00EA30FE" w:rsidRPr="008E275D">
              <w:rPr>
                <w:b/>
                <w:u w:val="single"/>
              </w:rPr>
              <w:t>medicīnas ierīču</w:t>
            </w:r>
            <w:r w:rsidR="00437AC1" w:rsidRPr="008E275D">
              <w:t xml:space="preserve"> kontroli</w:t>
            </w:r>
            <w:r w:rsidR="00EC67A0" w:rsidRPr="008E275D">
              <w:t xml:space="preserve"> </w:t>
            </w:r>
            <w:r w:rsidR="00D2256D" w:rsidRPr="008E275D">
              <w:t>(</w:t>
            </w:r>
            <w:r w:rsidR="00437AC1" w:rsidRPr="008E275D">
              <w:t>z</w:t>
            </w:r>
            <w:r w:rsidR="00EC67A0" w:rsidRPr="008E275D">
              <w:t>āļu uzraudzībai piemēro citus LAPK pantus</w:t>
            </w:r>
            <w:r w:rsidR="00D2256D" w:rsidRPr="008E275D">
              <w:t>)</w:t>
            </w:r>
            <w:r w:rsidR="00EC67A0" w:rsidRPr="008E275D">
              <w:t>.</w:t>
            </w:r>
          </w:p>
          <w:p w:rsidR="00064F9A" w:rsidRPr="008E275D" w:rsidRDefault="00064F9A" w:rsidP="008C7FE1">
            <w:pPr>
              <w:pStyle w:val="naisf"/>
              <w:tabs>
                <w:tab w:val="left" w:pos="0"/>
                <w:tab w:val="left" w:pos="993"/>
              </w:tabs>
              <w:spacing w:before="0" w:after="0"/>
              <w:ind w:firstLine="0"/>
            </w:pPr>
          </w:p>
          <w:p w:rsidR="00E71064" w:rsidRPr="008E275D" w:rsidRDefault="003514C9" w:rsidP="00E71064">
            <w:pPr>
              <w:pStyle w:val="naisf"/>
              <w:tabs>
                <w:tab w:val="left" w:pos="0"/>
                <w:tab w:val="left" w:pos="993"/>
              </w:tabs>
              <w:spacing w:after="0"/>
              <w:ind w:firstLine="0"/>
            </w:pPr>
            <w:r w:rsidRPr="00F90038">
              <w:rPr>
                <w:b/>
              </w:rPr>
              <w:t>6</w:t>
            </w:r>
            <w:r w:rsidR="00983EF2" w:rsidRPr="00F90038">
              <w:rPr>
                <w:b/>
              </w:rPr>
              <w:t>.</w:t>
            </w:r>
            <w:r w:rsidR="00983EF2" w:rsidRPr="008E275D">
              <w:rPr>
                <w:b/>
              </w:rPr>
              <w:t xml:space="preserve"> LAPK 228.pant</w:t>
            </w:r>
            <w:r w:rsidR="00DD789F" w:rsidRPr="008E275D">
              <w:rPr>
                <w:b/>
              </w:rPr>
              <w:t>a pirmajā daļā</w:t>
            </w:r>
            <w:r w:rsidR="00983EF2" w:rsidRPr="008E275D">
              <w:t xml:space="preserve"> ietvert</w:t>
            </w:r>
            <w:r w:rsidR="0095636C" w:rsidRPr="008E275D">
              <w:t>s</w:t>
            </w:r>
            <w:r w:rsidR="00DD789F" w:rsidRPr="008E275D">
              <w:t xml:space="preserve"> Veselības i</w:t>
            </w:r>
            <w:r w:rsidR="00983EF2" w:rsidRPr="008E275D">
              <w:t>nspekcijas kompetences pantu uzskaitījum</w:t>
            </w:r>
            <w:r w:rsidR="0095636C" w:rsidRPr="008E275D">
              <w:t xml:space="preserve">s, kurā </w:t>
            </w:r>
            <w:r w:rsidR="00983EF2" w:rsidRPr="008E275D">
              <w:t>nepieciešams veikt šādus grozījumus:</w:t>
            </w:r>
          </w:p>
          <w:p w:rsidR="00E71064" w:rsidRPr="008E275D" w:rsidRDefault="00E71064" w:rsidP="00983EF2">
            <w:pPr>
              <w:tabs>
                <w:tab w:val="left" w:pos="1134"/>
              </w:tabs>
              <w:overflowPunct w:val="0"/>
              <w:autoSpaceDE w:val="0"/>
              <w:autoSpaceDN w:val="0"/>
              <w:adjustRightInd w:val="0"/>
              <w:spacing w:before="100"/>
              <w:jc w:val="both"/>
              <w:textAlignment w:val="baseline"/>
            </w:pPr>
            <w:r w:rsidRPr="008E275D">
              <w:rPr>
                <w:b/>
              </w:rPr>
              <w:t>1</w:t>
            </w:r>
            <w:r w:rsidR="00983EF2" w:rsidRPr="008E275D">
              <w:rPr>
                <w:b/>
              </w:rPr>
              <w:t>)</w:t>
            </w:r>
            <w:r w:rsidR="00983EF2" w:rsidRPr="008E275D">
              <w:t xml:space="preserve"> papildināt ar skait</w:t>
            </w:r>
            <w:r w:rsidRPr="008E275D">
              <w:t>l</w:t>
            </w:r>
            <w:r w:rsidR="00983EF2" w:rsidRPr="008E275D">
              <w:t>i „45.</w:t>
            </w:r>
            <w:r w:rsidR="008C1EA8">
              <w:rPr>
                <w:vertAlign w:val="superscript"/>
              </w:rPr>
              <w:t>5</w:t>
            </w:r>
            <w:r w:rsidRPr="008E275D">
              <w:t>”,</w:t>
            </w:r>
            <w:r w:rsidR="00983EF2" w:rsidRPr="008E275D">
              <w:t xml:space="preserve"> jo</w:t>
            </w:r>
            <w:r w:rsidR="009127C6" w:rsidRPr="008E275D">
              <w:t xml:space="preserve"> likumprojekts paredz </w:t>
            </w:r>
            <w:r w:rsidR="00983EF2" w:rsidRPr="008E275D">
              <w:t xml:space="preserve">LAPK </w:t>
            </w:r>
            <w:r w:rsidRPr="008E275D">
              <w:t>papildināt ar jaunu</w:t>
            </w:r>
            <w:r w:rsidR="00983EF2" w:rsidRPr="008E275D">
              <w:t xml:space="preserve"> </w:t>
            </w:r>
            <w:r w:rsidRPr="008E275D">
              <w:t>45.</w:t>
            </w:r>
            <w:r w:rsidR="008C1EA8">
              <w:rPr>
                <w:vertAlign w:val="superscript"/>
              </w:rPr>
              <w:t>5</w:t>
            </w:r>
            <w:r w:rsidRPr="008E275D">
              <w:t xml:space="preserve"> </w:t>
            </w:r>
            <w:r w:rsidR="00983EF2" w:rsidRPr="008E275D">
              <w:t>pant</w:t>
            </w:r>
            <w:r w:rsidRPr="008E275D">
              <w:t>u.</w:t>
            </w:r>
          </w:p>
          <w:p w:rsidR="004B256B" w:rsidRPr="008E275D" w:rsidRDefault="003B6A19" w:rsidP="004B256B">
            <w:pPr>
              <w:jc w:val="both"/>
            </w:pPr>
            <w:r w:rsidRPr="008E275D">
              <w:rPr>
                <w:b/>
              </w:rPr>
              <w:t>2</w:t>
            </w:r>
            <w:r w:rsidR="00983EF2" w:rsidRPr="008E275D">
              <w:rPr>
                <w:b/>
              </w:rPr>
              <w:t>)</w:t>
            </w:r>
            <w:r w:rsidR="00983EF2" w:rsidRPr="008E275D">
              <w:t xml:space="preserve"> norād</w:t>
            </w:r>
            <w:r w:rsidR="00064F9A" w:rsidRPr="008E275D">
              <w:t>i</w:t>
            </w:r>
            <w:r w:rsidR="00983EF2" w:rsidRPr="008E275D">
              <w:t xml:space="preserve"> uz LAPK 166.</w:t>
            </w:r>
            <w:r w:rsidR="00983EF2" w:rsidRPr="008E275D">
              <w:rPr>
                <w:vertAlign w:val="superscript"/>
              </w:rPr>
              <w:t xml:space="preserve">9 </w:t>
            </w:r>
            <w:r w:rsidR="00983EF2" w:rsidRPr="008E275D">
              <w:t>pantu</w:t>
            </w:r>
            <w:r w:rsidR="0095636C" w:rsidRPr="008E275D">
              <w:t xml:space="preserve"> nepieciešams </w:t>
            </w:r>
            <w:r w:rsidR="00983EF2" w:rsidRPr="008E275D">
              <w:t xml:space="preserve"> </w:t>
            </w:r>
            <w:r w:rsidR="00064F9A" w:rsidRPr="008E275D">
              <w:t>papildināt ar vārdiem „pirmajā, trešajā un ceturtajā daļā”, precizējot Veselības inspekcijas kompetenci. Aiz norādes uz 166.</w:t>
            </w:r>
            <w:r w:rsidR="00064F9A" w:rsidRPr="008E275D">
              <w:rPr>
                <w:vertAlign w:val="superscript"/>
              </w:rPr>
              <w:t xml:space="preserve">9 </w:t>
            </w:r>
            <w:r w:rsidR="00064F9A" w:rsidRPr="008E275D">
              <w:t xml:space="preserve">pantu </w:t>
            </w:r>
            <w:r w:rsidR="00983EF2" w:rsidRPr="008E275D">
              <w:t>vārdus iekavās „(ja tie ir pārkāpumi sadzīvē lietojamo ķīmisko vielu un ķīmisko produktu realizācijā un kosmētikas līdzekļu apritē)”</w:t>
            </w:r>
            <w:r w:rsidR="00701265" w:rsidRPr="008E275D">
              <w:t xml:space="preserve"> </w:t>
            </w:r>
            <w:r w:rsidR="0095636C" w:rsidRPr="008E275D">
              <w:t xml:space="preserve">nepieciešams </w:t>
            </w:r>
            <w:r w:rsidR="00701265" w:rsidRPr="008E275D">
              <w:t xml:space="preserve">aizstāt ar vārdiem: „(ja tie ir pārkāpumi ķīmisko vielu un ķīmisko maisījumu, kosmētisko </w:t>
            </w:r>
            <w:r w:rsidR="00701265" w:rsidRPr="008E275D">
              <w:lastRenderedPageBreak/>
              <w:t>līdzekļu un medicīnisko ierīču laišanā tirgū un izplatīšanā, ultravioletā starojuma iekārtu lietošanā, kosmētiskā iedeguma iegūšanas pakalpojuma sniegšanā)”, lai paplašinātu Veselības inspekcijas kompetences jomu</w:t>
            </w:r>
            <w:r w:rsidR="004B256B" w:rsidRPr="008E275D">
              <w:t>.</w:t>
            </w:r>
            <w:r w:rsidR="005E4D98" w:rsidRPr="008E275D">
              <w:t xml:space="preserve"> </w:t>
            </w:r>
          </w:p>
          <w:p w:rsidR="00983EF2" w:rsidRPr="008E275D" w:rsidRDefault="00DA780D" w:rsidP="004B256B">
            <w:pPr>
              <w:jc w:val="both"/>
            </w:pPr>
            <w:r w:rsidRPr="008E275D">
              <w:rPr>
                <w:bCs/>
              </w:rPr>
              <w:t xml:space="preserve">Ministru kabineta </w:t>
            </w:r>
            <w:r w:rsidRPr="008E275D">
              <w:t xml:space="preserve">2010.gada 7.septembra </w:t>
            </w:r>
            <w:r w:rsidRPr="008E275D">
              <w:rPr>
                <w:bCs/>
              </w:rPr>
              <w:t>noteikum</w:t>
            </w:r>
            <w:r w:rsidR="004B256B" w:rsidRPr="008E275D">
              <w:rPr>
                <w:bCs/>
              </w:rPr>
              <w:t>u</w:t>
            </w:r>
            <w:r w:rsidRPr="008E275D">
              <w:rPr>
                <w:bCs/>
              </w:rPr>
              <w:t xml:space="preserve"> Nr.834</w:t>
            </w:r>
            <w:r w:rsidRPr="008E275D">
              <w:t xml:space="preserve"> </w:t>
            </w:r>
            <w:r w:rsidRPr="008E275D">
              <w:rPr>
                <w:bCs/>
                <w:i/>
              </w:rPr>
              <w:t>„Noteikumi par kosmētiskā iedeguma iegūšanas pakalpojuma higiēnas un nekaitīguma prasībām un šo prasību uzraudzības kārtību</w:t>
            </w:r>
            <w:r w:rsidR="004B256B" w:rsidRPr="008E275D">
              <w:rPr>
                <w:bCs/>
                <w:i/>
              </w:rPr>
              <w:t xml:space="preserve">” </w:t>
            </w:r>
            <w:r w:rsidR="004B256B" w:rsidRPr="008E275D">
              <w:t>(turpmāk – noteikumi Nr.834)</w:t>
            </w:r>
            <w:r w:rsidR="004B256B" w:rsidRPr="008E275D">
              <w:rPr>
                <w:bCs/>
              </w:rPr>
              <w:t xml:space="preserve"> ievērošanu uzrauga </w:t>
            </w:r>
            <w:r w:rsidR="004B256B" w:rsidRPr="008E275D">
              <w:t>Veselības inspekcija.</w:t>
            </w:r>
            <w:r w:rsidR="00983EF2" w:rsidRPr="008E275D">
              <w:t xml:space="preserve"> Kontrolējot noteikumu Nr.834 prasību izpildi, </w:t>
            </w:r>
            <w:r w:rsidR="00701265" w:rsidRPr="008E275D">
              <w:t>Veselības i</w:t>
            </w:r>
            <w:r w:rsidR="00983EF2" w:rsidRPr="008E275D">
              <w:t>nspekcija nevar pilnvērtīgi nodrošināt noteikumu Nr.834 uzraudzību savas kompetences ietvaros.</w:t>
            </w:r>
            <w:r w:rsidR="00701265" w:rsidRPr="008E275D">
              <w:t xml:space="preserve"> Veselības i</w:t>
            </w:r>
            <w:r w:rsidR="00983EF2" w:rsidRPr="008E275D">
              <w:t xml:space="preserve">nspekcija tās kompetences ietvaros šobrīd ir tiesīga piemērot sankcijas par noteikumu Nr.834 pārkāpumiem, kas ir piekritīgi higiēnas un epidemioloģiskās drošības uzraudzībai saskaņā ar LAPK 42.pantu </w:t>
            </w:r>
            <w:r w:rsidR="00983EF2" w:rsidRPr="008E275D">
              <w:rPr>
                <w:i/>
              </w:rPr>
              <w:t xml:space="preserve">„Sanitāri higiēnisko un sanitāri </w:t>
            </w:r>
            <w:proofErr w:type="spellStart"/>
            <w:r w:rsidR="00983EF2" w:rsidRPr="008E275D">
              <w:rPr>
                <w:i/>
              </w:rPr>
              <w:t>pretepidēmisko</w:t>
            </w:r>
            <w:proofErr w:type="spellEnd"/>
            <w:r w:rsidR="00983EF2" w:rsidRPr="008E275D">
              <w:rPr>
                <w:i/>
              </w:rPr>
              <w:t xml:space="preserve"> noteikumu un normu pārkāpšana”</w:t>
            </w:r>
            <w:r w:rsidR="003B6A19" w:rsidRPr="008E275D">
              <w:t>. Noteikumu Nr.834 normu</w:t>
            </w:r>
            <w:r w:rsidR="00983EF2" w:rsidRPr="008E275D">
              <w:t xml:space="preserve"> par droša un nekaitīga pakalpojumu</w:t>
            </w:r>
            <w:r w:rsidR="003B6A19" w:rsidRPr="008E275D">
              <w:t xml:space="preserve"> sniegšanu pārkāpuma gadījumā</w:t>
            </w:r>
            <w:r w:rsidR="00701265" w:rsidRPr="008E275D">
              <w:t xml:space="preserve"> Veselības </w:t>
            </w:r>
            <w:r w:rsidR="001F4B89" w:rsidRPr="008E275D">
              <w:t>i</w:t>
            </w:r>
            <w:r w:rsidR="003B6A19" w:rsidRPr="008E275D">
              <w:t>nspekcija</w:t>
            </w:r>
            <w:r w:rsidR="00983EF2" w:rsidRPr="008E275D">
              <w:t xml:space="preserve"> nevar pieņemt lēmumu saskaņā ar LAPK, jo LAPK 166.</w:t>
            </w:r>
            <w:r w:rsidR="00983EF2" w:rsidRPr="008E275D">
              <w:rPr>
                <w:vertAlign w:val="superscript"/>
              </w:rPr>
              <w:t xml:space="preserve">9 </w:t>
            </w:r>
            <w:r w:rsidR="00983EF2" w:rsidRPr="008E275D">
              <w:t>pant</w:t>
            </w:r>
            <w:r w:rsidR="001F4B89" w:rsidRPr="008E275D">
              <w:t>s</w:t>
            </w:r>
            <w:r w:rsidR="00983EF2" w:rsidRPr="008E275D">
              <w:rPr>
                <w:vertAlign w:val="superscript"/>
              </w:rPr>
              <w:t xml:space="preserve"> </w:t>
            </w:r>
            <w:r w:rsidR="00983EF2" w:rsidRPr="008E275D">
              <w:t>un 166.</w:t>
            </w:r>
            <w:r w:rsidR="00983EF2" w:rsidRPr="008E275D">
              <w:rPr>
                <w:vertAlign w:val="superscript"/>
              </w:rPr>
              <w:t xml:space="preserve">12 </w:t>
            </w:r>
            <w:r w:rsidR="00983EF2" w:rsidRPr="008E275D">
              <w:t>pants</w:t>
            </w:r>
            <w:r w:rsidR="00983EF2" w:rsidRPr="008E275D">
              <w:rPr>
                <w:vertAlign w:val="superscript"/>
              </w:rPr>
              <w:t xml:space="preserve"> </w:t>
            </w:r>
            <w:r w:rsidR="00983EF2" w:rsidRPr="008E275D">
              <w:t xml:space="preserve">šobrīd </w:t>
            </w:r>
            <w:r w:rsidR="00983EF2" w:rsidRPr="008E275D">
              <w:rPr>
                <w:vertAlign w:val="superscript"/>
              </w:rPr>
              <w:t xml:space="preserve"> </w:t>
            </w:r>
            <w:r w:rsidR="00983EF2" w:rsidRPr="008E275D">
              <w:t>piemērojami,</w:t>
            </w:r>
            <w:r w:rsidR="00983EF2" w:rsidRPr="008E275D">
              <w:rPr>
                <w:vertAlign w:val="superscript"/>
              </w:rPr>
              <w:t xml:space="preserve">, </w:t>
            </w:r>
            <w:r w:rsidR="00983EF2" w:rsidRPr="008E275D">
              <w:t>ievērojot 228.panta pir</w:t>
            </w:r>
            <w:r w:rsidR="001F4B89" w:rsidRPr="008E275D">
              <w:t>majā daļā norādīto sašaurināto Veselības i</w:t>
            </w:r>
            <w:r w:rsidR="00983EF2" w:rsidRPr="008E275D">
              <w:t>nspekcijas kompetenci (</w:t>
            </w:r>
            <w:r w:rsidR="001F4B89" w:rsidRPr="008E275D">
              <w:t xml:space="preserve">tikai, </w:t>
            </w:r>
            <w:r w:rsidR="00983EF2" w:rsidRPr="008E275D">
              <w:t>„ja tie ir pārkāpumi cilvēka dzīves vides un epidemioloģiskās drošības jomā, sadzīvē lietojamo ķīmisko vielu un ķīmisko produktu realizācijā un kosmētikas līdzekļu apritē”)</w:t>
            </w:r>
            <w:r w:rsidR="001F4B89" w:rsidRPr="008E275D">
              <w:t>.</w:t>
            </w:r>
            <w:r w:rsidR="00983EF2" w:rsidRPr="008E275D">
              <w:t xml:space="preserve"> Lai novērstu konst</w:t>
            </w:r>
            <w:r w:rsidR="001F4B89" w:rsidRPr="008E275D">
              <w:t>atētos trūkumus un nodrošinātu Veselības i</w:t>
            </w:r>
            <w:r w:rsidR="00983EF2" w:rsidRPr="008E275D">
              <w:t xml:space="preserve">nspekcijas uzraudzības funkcijas efektīvu izpildi, piemērotu LAPK sankcijas noteikumu Nr.834 pārkāpuma gadījumos, ir nepieciešams paplašināt LAPK 228.panta pirmajā daļā noteikto </w:t>
            </w:r>
            <w:r w:rsidR="001F4B89" w:rsidRPr="008E275D">
              <w:t>Veselības i</w:t>
            </w:r>
            <w:r w:rsidR="00983EF2" w:rsidRPr="008E275D">
              <w:t xml:space="preserve">nspekcijas kompetenci, </w:t>
            </w:r>
            <w:r w:rsidR="001F4B89" w:rsidRPr="008E275D">
              <w:t>paplašinot uzraudzības jomu</w:t>
            </w:r>
            <w:r w:rsidR="00983EF2" w:rsidRPr="008E275D">
              <w:t>.</w:t>
            </w:r>
          </w:p>
          <w:p w:rsidR="001F4B89" w:rsidRPr="008E275D" w:rsidRDefault="001F4B89" w:rsidP="001F4B89">
            <w:pPr>
              <w:pStyle w:val="NormalWeb"/>
              <w:tabs>
                <w:tab w:val="left" w:pos="993"/>
              </w:tabs>
              <w:spacing w:after="0" w:afterAutospacing="0"/>
              <w:jc w:val="both"/>
              <w:rPr>
                <w:rFonts w:ascii="Times New Roman" w:hAnsi="Times New Roman"/>
                <w:lang w:val="lv-LV"/>
              </w:rPr>
            </w:pPr>
            <w:r w:rsidRPr="008E275D">
              <w:rPr>
                <w:rFonts w:ascii="Times New Roman" w:hAnsi="Times New Roman"/>
                <w:lang w:val="lv-LV"/>
              </w:rPr>
              <w:t>LAPK 166.</w:t>
            </w:r>
            <w:r w:rsidRPr="008E275D">
              <w:rPr>
                <w:rFonts w:ascii="Times New Roman" w:hAnsi="Times New Roman"/>
                <w:vertAlign w:val="superscript"/>
                <w:lang w:val="lv-LV"/>
              </w:rPr>
              <w:t xml:space="preserve">9 </w:t>
            </w:r>
            <w:r w:rsidRPr="008E275D">
              <w:rPr>
                <w:rFonts w:ascii="Times New Roman" w:hAnsi="Times New Roman"/>
                <w:lang w:val="lv-LV"/>
              </w:rPr>
              <w:t>pants paplašināms arī ar norādi uz kontroli, ko Veselības inspekcija veic m</w:t>
            </w:r>
            <w:r w:rsidR="004B256B" w:rsidRPr="008E275D">
              <w:rPr>
                <w:rFonts w:ascii="Times New Roman" w:hAnsi="Times New Roman"/>
                <w:lang w:val="lv-LV"/>
              </w:rPr>
              <w:t>edicīnisko ierīču laišanā tirgū, ko nosaka noteikumi Nr.</w:t>
            </w:r>
            <w:r w:rsidR="00F158A1" w:rsidRPr="008E275D">
              <w:rPr>
                <w:rFonts w:ascii="Times New Roman" w:hAnsi="Times New Roman"/>
                <w:lang w:val="lv-LV"/>
              </w:rPr>
              <w:t>581</w:t>
            </w:r>
            <w:r w:rsidR="004B256B" w:rsidRPr="008E275D">
              <w:rPr>
                <w:rFonts w:ascii="Times New Roman" w:hAnsi="Times New Roman"/>
                <w:lang w:val="lv-LV"/>
              </w:rPr>
              <w:t>.</w:t>
            </w:r>
          </w:p>
          <w:p w:rsidR="00BF5BBB" w:rsidRPr="008E275D" w:rsidRDefault="003B6A19" w:rsidP="001F4B89">
            <w:pPr>
              <w:pStyle w:val="NormalWeb"/>
              <w:tabs>
                <w:tab w:val="left" w:pos="993"/>
              </w:tabs>
              <w:spacing w:after="0" w:afterAutospacing="0"/>
              <w:jc w:val="both"/>
              <w:rPr>
                <w:rFonts w:ascii="Times New Roman" w:hAnsi="Times New Roman" w:cs="Times New Roman"/>
                <w:lang w:val="lv-LV"/>
              </w:rPr>
            </w:pPr>
            <w:r w:rsidRPr="008E275D">
              <w:rPr>
                <w:rFonts w:ascii="Times New Roman" w:hAnsi="Times New Roman" w:cs="Times New Roman"/>
                <w:b/>
                <w:lang w:val="lv-LV"/>
              </w:rPr>
              <w:t>3</w:t>
            </w:r>
            <w:r w:rsidR="00E71064" w:rsidRPr="008E275D">
              <w:rPr>
                <w:rFonts w:ascii="Times New Roman" w:hAnsi="Times New Roman" w:cs="Times New Roman"/>
                <w:b/>
                <w:lang w:val="lv-LV"/>
              </w:rPr>
              <w:t>)</w:t>
            </w:r>
            <w:r w:rsidR="00E71064" w:rsidRPr="008E275D">
              <w:rPr>
                <w:rFonts w:ascii="Times New Roman" w:hAnsi="Times New Roman" w:cs="Times New Roman"/>
                <w:lang w:val="lv-LV"/>
              </w:rPr>
              <w:t xml:space="preserve"> saskaņā ar LAPK 228.panta pirmā daļā noteikto </w:t>
            </w:r>
            <w:r w:rsidR="001F4B89" w:rsidRPr="008E275D">
              <w:rPr>
                <w:rFonts w:ascii="Times New Roman" w:hAnsi="Times New Roman" w:cs="Times New Roman"/>
                <w:lang w:val="lv-LV"/>
              </w:rPr>
              <w:t>Veselības i</w:t>
            </w:r>
            <w:r w:rsidR="00E71064" w:rsidRPr="008E275D">
              <w:rPr>
                <w:rFonts w:ascii="Times New Roman" w:hAnsi="Times New Roman" w:cs="Times New Roman"/>
                <w:lang w:val="lv-LV"/>
              </w:rPr>
              <w:t xml:space="preserve">nspekcija izskata LAPK </w:t>
            </w:r>
            <w:hyperlink r:id="rId12" w:anchor="p166.15" w:history="1">
              <w:r w:rsidR="00E71064" w:rsidRPr="008E275D">
                <w:rPr>
                  <w:rFonts w:ascii="Times New Roman" w:hAnsi="Times New Roman" w:cs="Times New Roman"/>
                  <w:lang w:val="lv-LV"/>
                </w:rPr>
                <w:t>166.</w:t>
              </w:r>
              <w:r w:rsidR="00E71064" w:rsidRPr="008E275D">
                <w:rPr>
                  <w:rFonts w:ascii="Times New Roman" w:hAnsi="Times New Roman" w:cs="Times New Roman"/>
                  <w:vertAlign w:val="superscript"/>
                  <w:lang w:val="lv-LV"/>
                </w:rPr>
                <w:t>15</w:t>
              </w:r>
            </w:hyperlink>
            <w:r w:rsidR="00E71064" w:rsidRPr="008E275D">
              <w:rPr>
                <w:rFonts w:ascii="Times New Roman" w:hAnsi="Times New Roman" w:cs="Times New Roman"/>
                <w:lang w:val="lv-LV"/>
              </w:rPr>
              <w:t xml:space="preserve"> panta</w:t>
            </w:r>
            <w:r w:rsidR="00A9203A" w:rsidRPr="008E275D">
              <w:rPr>
                <w:rFonts w:ascii="Times New Roman" w:hAnsi="Times New Roman" w:cs="Times New Roman"/>
                <w:lang w:val="lv-LV"/>
              </w:rPr>
              <w:t xml:space="preserve"> </w:t>
            </w:r>
            <w:r w:rsidR="00A9203A" w:rsidRPr="008E275D">
              <w:rPr>
                <w:rFonts w:ascii="Times New Roman" w:hAnsi="Times New Roman" w:cs="Times New Roman"/>
                <w:i/>
                <w:lang w:val="lv-LV"/>
              </w:rPr>
              <w:t>„</w:t>
            </w:r>
            <w:r w:rsidR="00A9203A" w:rsidRPr="008E275D">
              <w:rPr>
                <w:rFonts w:ascii="Times New Roman" w:hAnsi="Times New Roman" w:cs="Times New Roman"/>
                <w:bCs/>
                <w:i/>
                <w:lang w:val="lv-LV"/>
              </w:rPr>
              <w:t>Atbilstības novērtēšanai pakļauto preču nenodrošināšana ar atbilstības apliecinājumiem vai apstiprinājumiem un to piedāvāšana un realizēšana bez atbilstības apliecinājumiem vai apstiprinājumiem”</w:t>
            </w:r>
            <w:r w:rsidR="00E71064" w:rsidRPr="008E275D">
              <w:rPr>
                <w:rFonts w:ascii="Times New Roman" w:hAnsi="Times New Roman" w:cs="Times New Roman"/>
                <w:lang w:val="lv-LV"/>
              </w:rPr>
              <w:t xml:space="preserve"> pirmajā daļā paredzēto administratīvo pārkāpumu (ja tie ir pārkāpumi cilvēka dzīves vides un epidemioloģiskās drošības jomā, sadzīvē lietojamo ķīmisko vielu un ķīmisko produktu realizācijā un kosmētikas līdzekļu apritē)</w:t>
            </w:r>
            <w:r w:rsidR="00A9203A" w:rsidRPr="008E275D">
              <w:rPr>
                <w:rFonts w:ascii="Times New Roman" w:hAnsi="Times New Roman" w:cs="Times New Roman"/>
                <w:lang w:val="lv-LV"/>
              </w:rPr>
              <w:t>, lietas</w:t>
            </w:r>
            <w:r w:rsidR="001F4B89" w:rsidRPr="008E275D">
              <w:rPr>
                <w:rFonts w:ascii="Times New Roman" w:hAnsi="Times New Roman" w:cs="Times New Roman"/>
                <w:lang w:val="lv-LV"/>
              </w:rPr>
              <w:t>.</w:t>
            </w:r>
            <w:r w:rsidR="00E71064" w:rsidRPr="008E275D">
              <w:rPr>
                <w:rFonts w:ascii="Times New Roman" w:hAnsi="Times New Roman" w:cs="Times New Roman"/>
                <w:lang w:val="lv-LV"/>
              </w:rPr>
              <w:t xml:space="preserve"> </w:t>
            </w:r>
            <w:r w:rsidR="001F4B89" w:rsidRPr="008E275D">
              <w:rPr>
                <w:rFonts w:ascii="Times New Roman" w:hAnsi="Times New Roman" w:cs="Times New Roman"/>
                <w:lang w:val="lv-LV"/>
              </w:rPr>
              <w:t>Nepieciešams paplašināt Veselības i</w:t>
            </w:r>
            <w:r w:rsidR="00E71064" w:rsidRPr="008E275D">
              <w:rPr>
                <w:rFonts w:ascii="Times New Roman" w:hAnsi="Times New Roman" w:cs="Times New Roman"/>
                <w:lang w:val="lv-LV"/>
              </w:rPr>
              <w:t xml:space="preserve">nspekcijas kompetenci, </w:t>
            </w:r>
            <w:r w:rsidR="001F4B89" w:rsidRPr="008E275D">
              <w:rPr>
                <w:rFonts w:ascii="Times New Roman" w:hAnsi="Times New Roman" w:cs="Times New Roman"/>
                <w:lang w:val="lv-LV"/>
              </w:rPr>
              <w:t>preciz</w:t>
            </w:r>
            <w:r w:rsidR="00BF5BBB" w:rsidRPr="008E275D">
              <w:rPr>
                <w:rFonts w:ascii="Times New Roman" w:hAnsi="Times New Roman" w:cs="Times New Roman"/>
                <w:lang w:val="lv-LV"/>
              </w:rPr>
              <w:t>ē</w:t>
            </w:r>
            <w:r w:rsidR="001F4B89" w:rsidRPr="008E275D">
              <w:rPr>
                <w:rFonts w:ascii="Times New Roman" w:hAnsi="Times New Roman" w:cs="Times New Roman"/>
                <w:lang w:val="lv-LV"/>
              </w:rPr>
              <w:t>jot</w:t>
            </w:r>
            <w:r w:rsidR="00E71064" w:rsidRPr="008E275D">
              <w:rPr>
                <w:rFonts w:ascii="Times New Roman" w:hAnsi="Times New Roman" w:cs="Times New Roman"/>
                <w:lang w:val="lv-LV"/>
              </w:rPr>
              <w:t xml:space="preserve"> LAPK 228.panta pirmās daļas tajā ietverto LAPK 166.</w:t>
            </w:r>
            <w:r w:rsidR="00E71064" w:rsidRPr="008E275D">
              <w:rPr>
                <w:rFonts w:ascii="Times New Roman" w:hAnsi="Times New Roman" w:cs="Times New Roman"/>
                <w:vertAlign w:val="superscript"/>
                <w:lang w:val="lv-LV"/>
              </w:rPr>
              <w:t>15</w:t>
            </w:r>
            <w:r w:rsidR="00E71064" w:rsidRPr="008E275D">
              <w:rPr>
                <w:rFonts w:ascii="Times New Roman" w:hAnsi="Times New Roman" w:cs="Times New Roman"/>
                <w:lang w:val="lv-LV"/>
              </w:rPr>
              <w:t xml:space="preserve"> panta uzraudzības jomas </w:t>
            </w:r>
            <w:r w:rsidR="001F4B89" w:rsidRPr="008E275D">
              <w:rPr>
                <w:rFonts w:ascii="Times New Roman" w:hAnsi="Times New Roman" w:cs="Times New Roman"/>
                <w:lang w:val="lv-LV"/>
              </w:rPr>
              <w:t>norādi, izsakot to šādā redakcijā: „</w:t>
            </w:r>
            <w:r w:rsidR="00E71064" w:rsidRPr="008E275D">
              <w:rPr>
                <w:rFonts w:ascii="Times New Roman" w:hAnsi="Times New Roman" w:cs="Times New Roman"/>
                <w:lang w:val="lv-LV"/>
              </w:rPr>
              <w:t xml:space="preserve">(ja tie ir pārkāpumi cilvēka dzīves vides un epidemioloģiskās drošības jomā, </w:t>
            </w:r>
            <w:r w:rsidR="00BF5BBB" w:rsidRPr="008E275D">
              <w:rPr>
                <w:rFonts w:ascii="Times New Roman" w:hAnsi="Times New Roman" w:cs="Times New Roman"/>
                <w:lang w:val="lv-LV"/>
              </w:rPr>
              <w:t xml:space="preserve">medicīnisko preču laišanā tirgū un izplatīšanā, ultravioletā starojuma iekārtu </w:t>
            </w:r>
            <w:r w:rsidR="00BF5BBB" w:rsidRPr="008E275D">
              <w:rPr>
                <w:rFonts w:ascii="Times New Roman" w:hAnsi="Times New Roman" w:cs="Times New Roman"/>
                <w:lang w:val="lv-LV"/>
              </w:rPr>
              <w:lastRenderedPageBreak/>
              <w:t>lietošanā, kosmētiskā iedeguma iegūšanas pakalpojuma sniegšanā</w:t>
            </w:r>
            <w:r w:rsidR="00E71064" w:rsidRPr="008E275D">
              <w:rPr>
                <w:rFonts w:ascii="Times New Roman" w:hAnsi="Times New Roman" w:cs="Times New Roman"/>
                <w:lang w:val="lv-LV"/>
              </w:rPr>
              <w:t>)</w:t>
            </w:r>
            <w:r w:rsidR="001F4B89" w:rsidRPr="008E275D">
              <w:rPr>
                <w:rFonts w:ascii="Times New Roman" w:hAnsi="Times New Roman" w:cs="Times New Roman"/>
                <w:lang w:val="lv-LV"/>
              </w:rPr>
              <w:t>”</w:t>
            </w:r>
            <w:r w:rsidR="00A9203A" w:rsidRPr="008E275D">
              <w:rPr>
                <w:rFonts w:ascii="Times New Roman" w:hAnsi="Times New Roman" w:cs="Times New Roman"/>
                <w:lang w:val="lv-LV"/>
              </w:rPr>
              <w:t xml:space="preserve">, lai Veselības inspekcija to piemērotu noteikumu Nr.384 un </w:t>
            </w:r>
            <w:r w:rsidR="00F158A1" w:rsidRPr="008E275D">
              <w:rPr>
                <w:rFonts w:ascii="Times New Roman" w:hAnsi="Times New Roman" w:cs="Times New Roman"/>
                <w:lang w:val="lv-LV"/>
              </w:rPr>
              <w:t>n</w:t>
            </w:r>
            <w:r w:rsidR="00A9203A" w:rsidRPr="008E275D">
              <w:rPr>
                <w:rFonts w:ascii="Times New Roman" w:hAnsi="Times New Roman" w:cs="Times New Roman"/>
                <w:lang w:val="lv-LV"/>
              </w:rPr>
              <w:t>oteikum</w:t>
            </w:r>
            <w:r w:rsidR="00F158A1" w:rsidRPr="008E275D">
              <w:rPr>
                <w:rFonts w:ascii="Times New Roman" w:hAnsi="Times New Roman" w:cs="Times New Roman"/>
                <w:lang w:val="lv-LV"/>
              </w:rPr>
              <w:t>u</w:t>
            </w:r>
            <w:r w:rsidR="00A9203A" w:rsidRPr="008E275D">
              <w:rPr>
                <w:rFonts w:ascii="Times New Roman" w:hAnsi="Times New Roman" w:cs="Times New Roman"/>
                <w:lang w:val="lv-LV"/>
              </w:rPr>
              <w:t xml:space="preserve"> Nr.</w:t>
            </w:r>
            <w:r w:rsidR="00F158A1" w:rsidRPr="008E275D">
              <w:rPr>
                <w:rFonts w:ascii="Times New Roman" w:hAnsi="Times New Roman" w:cs="Times New Roman"/>
                <w:lang w:val="lv-LV"/>
              </w:rPr>
              <w:t>581</w:t>
            </w:r>
            <w:r w:rsidR="00A9203A" w:rsidRPr="008E275D">
              <w:rPr>
                <w:rFonts w:ascii="Times New Roman" w:hAnsi="Times New Roman" w:cs="Times New Roman"/>
                <w:lang w:val="lv-LV"/>
              </w:rPr>
              <w:t xml:space="preserve"> pārkāpumu gadījumos </w:t>
            </w:r>
          </w:p>
          <w:p w:rsidR="00E71064" w:rsidRPr="008E275D" w:rsidRDefault="003B6A19" w:rsidP="001F4B89">
            <w:pPr>
              <w:pStyle w:val="NormalWeb"/>
              <w:tabs>
                <w:tab w:val="left" w:pos="993"/>
              </w:tabs>
              <w:spacing w:after="0" w:afterAutospacing="0"/>
              <w:jc w:val="both"/>
              <w:rPr>
                <w:rFonts w:ascii="Times New Roman" w:hAnsi="Times New Roman" w:cs="Times New Roman"/>
                <w:b/>
                <w:lang w:val="lv-LV"/>
              </w:rPr>
            </w:pPr>
            <w:r w:rsidRPr="008E275D">
              <w:rPr>
                <w:rFonts w:ascii="Times New Roman" w:hAnsi="Times New Roman" w:cs="Times New Roman"/>
                <w:b/>
                <w:lang w:val="lv-LV"/>
              </w:rPr>
              <w:t>4</w:t>
            </w:r>
            <w:r w:rsidR="000D451B" w:rsidRPr="008E275D">
              <w:rPr>
                <w:rFonts w:ascii="Times New Roman" w:hAnsi="Times New Roman" w:cs="Times New Roman"/>
                <w:b/>
                <w:lang w:val="lv-LV"/>
              </w:rPr>
              <w:t>)</w:t>
            </w:r>
            <w:r w:rsidR="00E71064" w:rsidRPr="008E275D">
              <w:rPr>
                <w:rFonts w:ascii="Times New Roman" w:hAnsi="Times New Roman" w:cs="Times New Roman"/>
                <w:lang w:val="lv-LV"/>
              </w:rPr>
              <w:t xml:space="preserve"> LAPK 228.panta pirmajā daļā nepieciešams </w:t>
            </w:r>
            <w:r w:rsidR="000D451B" w:rsidRPr="008E275D">
              <w:rPr>
                <w:rFonts w:ascii="Times New Roman" w:hAnsi="Times New Roman" w:cs="Times New Roman"/>
                <w:lang w:val="lv-LV"/>
              </w:rPr>
              <w:t xml:space="preserve">papildināt ar </w:t>
            </w:r>
            <w:r w:rsidR="00E71064" w:rsidRPr="008E275D">
              <w:rPr>
                <w:rFonts w:ascii="Times New Roman" w:hAnsi="Times New Roman" w:cs="Times New Roman"/>
                <w:lang w:val="lv-LV"/>
              </w:rPr>
              <w:t>norādi uz LAPK</w:t>
            </w:r>
            <w:r w:rsidR="000D451B" w:rsidRPr="008E275D">
              <w:rPr>
                <w:rFonts w:ascii="Times New Roman" w:hAnsi="Times New Roman" w:cs="Times New Roman"/>
                <w:lang w:val="lv-LV"/>
              </w:rPr>
              <w:t xml:space="preserve"> </w:t>
            </w:r>
            <w:r w:rsidR="00E71064" w:rsidRPr="008E275D">
              <w:rPr>
                <w:rFonts w:ascii="Times New Roman" w:hAnsi="Times New Roman" w:cs="Times New Roman"/>
                <w:lang w:val="lv-LV"/>
              </w:rPr>
              <w:t>166.</w:t>
            </w:r>
            <w:r w:rsidR="00E71064" w:rsidRPr="008E275D">
              <w:rPr>
                <w:rFonts w:ascii="Times New Roman" w:hAnsi="Times New Roman" w:cs="Times New Roman"/>
                <w:vertAlign w:val="superscript"/>
                <w:lang w:val="lv-LV"/>
              </w:rPr>
              <w:t>15</w:t>
            </w:r>
            <w:r w:rsidR="00E71064" w:rsidRPr="008E275D">
              <w:rPr>
                <w:rFonts w:ascii="Times New Roman" w:hAnsi="Times New Roman" w:cs="Times New Roman"/>
                <w:lang w:val="lv-LV"/>
              </w:rPr>
              <w:t xml:space="preserve"> panta piekto daļu (norādot to </w:t>
            </w:r>
            <w:r w:rsidR="00F158A1" w:rsidRPr="008E275D">
              <w:rPr>
                <w:rFonts w:ascii="Times New Roman" w:hAnsi="Times New Roman" w:cs="Times New Roman"/>
                <w:lang w:val="lv-LV"/>
              </w:rPr>
              <w:t>Veselības i</w:t>
            </w:r>
            <w:r w:rsidR="00E71064" w:rsidRPr="008E275D">
              <w:rPr>
                <w:rFonts w:ascii="Times New Roman" w:hAnsi="Times New Roman" w:cs="Times New Roman"/>
                <w:lang w:val="lv-LV"/>
              </w:rPr>
              <w:t>nspekcijas kompetencē)</w:t>
            </w:r>
            <w:r w:rsidR="00F158A1" w:rsidRPr="008E275D">
              <w:rPr>
                <w:rFonts w:ascii="Times New Roman" w:hAnsi="Times New Roman" w:cs="Times New Roman"/>
                <w:lang w:val="lv-LV"/>
              </w:rPr>
              <w:t xml:space="preserve"> – lai piemērotu administratīvo atbildību </w:t>
            </w:r>
            <w:r w:rsidR="00F158A1" w:rsidRPr="008E275D">
              <w:rPr>
                <w:rFonts w:ascii="Times New Roman" w:hAnsi="Times New Roman" w:cs="Times New Roman"/>
                <w:i/>
                <w:lang w:val="lv-LV"/>
              </w:rPr>
              <w:t>par atbilstības novērtēšanai pakļauto preču piedāvāšanu vai realizēšanu bez atbilstības apliecinājuma vai apstiprinājuma, izņemot ārstniecības līdzekļu piedāvāšanu vai realizēšanu.</w:t>
            </w:r>
          </w:p>
          <w:p w:rsidR="006317DD" w:rsidRPr="008E275D" w:rsidRDefault="006317DD" w:rsidP="008C7FE1">
            <w:pPr>
              <w:pStyle w:val="NormalWeb"/>
              <w:tabs>
                <w:tab w:val="left" w:pos="993"/>
              </w:tabs>
              <w:spacing w:before="0" w:beforeAutospacing="0" w:after="0" w:afterAutospacing="0"/>
              <w:jc w:val="both"/>
              <w:rPr>
                <w:rFonts w:ascii="Times New Roman" w:hAnsi="Times New Roman" w:cs="Times New Roman"/>
                <w:lang w:val="lv-LV"/>
              </w:rPr>
            </w:pPr>
          </w:p>
          <w:p w:rsidR="00983EF2" w:rsidRPr="008E275D" w:rsidRDefault="00983EF2" w:rsidP="00983EF2">
            <w:pPr>
              <w:pStyle w:val="NormalWeb"/>
              <w:tabs>
                <w:tab w:val="left" w:pos="993"/>
              </w:tabs>
              <w:spacing w:beforeAutospacing="0" w:after="0" w:afterAutospacing="0"/>
              <w:jc w:val="both"/>
              <w:rPr>
                <w:rFonts w:ascii="Times New Roman" w:hAnsi="Times New Roman"/>
                <w:lang w:val="lv-LV"/>
              </w:rPr>
            </w:pPr>
            <w:r w:rsidRPr="008E275D">
              <w:rPr>
                <w:rFonts w:ascii="Times New Roman" w:hAnsi="Times New Roman"/>
                <w:lang w:val="lv-LV"/>
              </w:rPr>
              <w:t xml:space="preserve">Izvērtējot </w:t>
            </w:r>
            <w:r w:rsidRPr="008E275D">
              <w:rPr>
                <w:rFonts w:ascii="Times New Roman" w:hAnsi="Times New Roman"/>
                <w:b/>
                <w:lang w:val="lv-LV"/>
              </w:rPr>
              <w:t>LAPK 228.panta</w:t>
            </w:r>
            <w:r w:rsidR="00BF5BBB" w:rsidRPr="008E275D">
              <w:rPr>
                <w:rFonts w:ascii="Times New Roman" w:hAnsi="Times New Roman"/>
                <w:lang w:val="lv-LV"/>
              </w:rPr>
              <w:t xml:space="preserve"> pirmajā daļā Veselības i</w:t>
            </w:r>
            <w:r w:rsidRPr="008E275D">
              <w:rPr>
                <w:rFonts w:ascii="Times New Roman" w:hAnsi="Times New Roman"/>
                <w:lang w:val="lv-LV"/>
              </w:rPr>
              <w:t xml:space="preserve">nspekcijas kompetencē norādītos pantus, konstatēts, ka atsevišķi </w:t>
            </w:r>
            <w:r w:rsidR="00BF5BBB" w:rsidRPr="008E275D">
              <w:rPr>
                <w:rFonts w:ascii="Times New Roman" w:hAnsi="Times New Roman"/>
                <w:lang w:val="lv-LV"/>
              </w:rPr>
              <w:t>Veselības i</w:t>
            </w:r>
            <w:r w:rsidRPr="008E275D">
              <w:rPr>
                <w:rFonts w:ascii="Times New Roman" w:hAnsi="Times New Roman"/>
                <w:lang w:val="lv-LV"/>
              </w:rPr>
              <w:t>nspekcijas kompetencē norādītie p</w:t>
            </w:r>
            <w:r w:rsidR="0054485A" w:rsidRPr="008E275D">
              <w:rPr>
                <w:rFonts w:ascii="Times New Roman" w:hAnsi="Times New Roman"/>
                <w:lang w:val="lv-LV"/>
              </w:rPr>
              <w:t>anti nav piemērojami</w:t>
            </w:r>
            <w:r w:rsidRPr="008E275D">
              <w:rPr>
                <w:rFonts w:ascii="Times New Roman" w:hAnsi="Times New Roman"/>
                <w:lang w:val="lv-LV"/>
              </w:rPr>
              <w:t xml:space="preserve">, jo nav speciālo materiālo tiesību normu, </w:t>
            </w:r>
            <w:r w:rsidR="00BF5BBB" w:rsidRPr="008E275D">
              <w:rPr>
                <w:rFonts w:ascii="Times New Roman" w:hAnsi="Times New Roman"/>
                <w:lang w:val="lv-LV"/>
              </w:rPr>
              <w:t>kas subjektam nosaka attiecīgo Veselības i</w:t>
            </w:r>
            <w:r w:rsidRPr="008E275D">
              <w:rPr>
                <w:rFonts w:ascii="Times New Roman" w:hAnsi="Times New Roman"/>
                <w:lang w:val="lv-LV"/>
              </w:rPr>
              <w:t xml:space="preserve">nspekcijas kontrolei pakļauto tiesisko pienākumu. </w:t>
            </w:r>
            <w:r w:rsidR="003B6A19" w:rsidRPr="008E275D">
              <w:rPr>
                <w:rFonts w:ascii="Times New Roman" w:hAnsi="Times New Roman"/>
                <w:lang w:val="lv-LV"/>
              </w:rPr>
              <w:t xml:space="preserve">Norāde uz </w:t>
            </w:r>
            <w:r w:rsidR="00F158A1" w:rsidRPr="008E275D">
              <w:rPr>
                <w:rFonts w:ascii="Times New Roman" w:hAnsi="Times New Roman"/>
                <w:lang w:val="lv-LV"/>
              </w:rPr>
              <w:t xml:space="preserve">piemērojamiem pantiem ir nepamatota un maldinoša. </w:t>
            </w:r>
            <w:r w:rsidRPr="008E275D">
              <w:rPr>
                <w:rFonts w:ascii="Times New Roman" w:hAnsi="Times New Roman"/>
                <w:lang w:val="lv-LV"/>
              </w:rPr>
              <w:t xml:space="preserve">Sakarā ar minēto nepieciešams </w:t>
            </w:r>
            <w:r w:rsidRPr="008E275D">
              <w:rPr>
                <w:rFonts w:ascii="Times New Roman" w:hAnsi="Times New Roman"/>
                <w:u w:val="single"/>
                <w:lang w:val="lv-LV"/>
              </w:rPr>
              <w:t>izslēgt</w:t>
            </w:r>
            <w:r w:rsidRPr="008E275D">
              <w:rPr>
                <w:rFonts w:ascii="Times New Roman" w:hAnsi="Times New Roman"/>
                <w:lang w:val="lv-LV"/>
              </w:rPr>
              <w:t xml:space="preserve"> šādus LAPK pantus no </w:t>
            </w:r>
            <w:r w:rsidR="00F158A1" w:rsidRPr="008E275D">
              <w:rPr>
                <w:rFonts w:ascii="Times New Roman" w:hAnsi="Times New Roman"/>
                <w:lang w:val="lv-LV"/>
              </w:rPr>
              <w:t>Veselības i</w:t>
            </w:r>
            <w:r w:rsidRPr="008E275D">
              <w:rPr>
                <w:rFonts w:ascii="Times New Roman" w:hAnsi="Times New Roman"/>
                <w:lang w:val="lv-LV"/>
              </w:rPr>
              <w:t>nspekcijas kompetences</w:t>
            </w:r>
            <w:r w:rsidR="00BF5BBB" w:rsidRPr="008E275D">
              <w:rPr>
                <w:rFonts w:ascii="Times New Roman" w:hAnsi="Times New Roman"/>
                <w:lang w:val="lv-LV"/>
              </w:rPr>
              <w:t xml:space="preserve">, izslēdzot norādes uz tiem no </w:t>
            </w:r>
            <w:r w:rsidR="00BF5BBB" w:rsidRPr="008E275D">
              <w:rPr>
                <w:rFonts w:ascii="Times New Roman" w:hAnsi="Times New Roman"/>
                <w:b/>
                <w:lang w:val="lv-LV"/>
              </w:rPr>
              <w:t>LAPK 228.panta</w:t>
            </w:r>
            <w:r w:rsidR="00BF5BBB" w:rsidRPr="008E275D">
              <w:rPr>
                <w:rFonts w:ascii="Times New Roman" w:hAnsi="Times New Roman"/>
                <w:lang w:val="lv-LV"/>
              </w:rPr>
              <w:t xml:space="preserve"> pirmās daļas</w:t>
            </w:r>
            <w:r w:rsidRPr="008E275D">
              <w:rPr>
                <w:rFonts w:ascii="Times New Roman" w:hAnsi="Times New Roman"/>
                <w:lang w:val="lv-LV"/>
              </w:rPr>
              <w:t>:</w:t>
            </w:r>
          </w:p>
          <w:p w:rsidR="00983EF2" w:rsidRPr="008E275D" w:rsidRDefault="006317DD" w:rsidP="00983EF2">
            <w:pPr>
              <w:pStyle w:val="NormalWeb"/>
              <w:tabs>
                <w:tab w:val="left" w:pos="993"/>
              </w:tabs>
              <w:spacing w:beforeAutospacing="0" w:after="0" w:afterAutospacing="0"/>
              <w:jc w:val="both"/>
              <w:rPr>
                <w:rFonts w:ascii="Times New Roman" w:hAnsi="Times New Roman"/>
                <w:bCs/>
                <w:lang w:val="lv-LV"/>
              </w:rPr>
            </w:pPr>
            <w:r w:rsidRPr="008E275D">
              <w:rPr>
                <w:rFonts w:ascii="Times New Roman" w:hAnsi="Times New Roman"/>
                <w:b/>
                <w:bCs/>
                <w:lang w:val="lv-LV"/>
              </w:rPr>
              <w:t>1</w:t>
            </w:r>
            <w:r w:rsidR="00983EF2" w:rsidRPr="008E275D">
              <w:rPr>
                <w:rFonts w:ascii="Times New Roman" w:hAnsi="Times New Roman"/>
                <w:b/>
                <w:bCs/>
                <w:lang w:val="lv-LV"/>
              </w:rPr>
              <w:t xml:space="preserve">) </w:t>
            </w:r>
            <w:r w:rsidR="00983EF2" w:rsidRPr="008E275D">
              <w:rPr>
                <w:rFonts w:ascii="Times New Roman" w:hAnsi="Times New Roman"/>
                <w:b/>
                <w:lang w:val="lv-LV"/>
              </w:rPr>
              <w:t>LAPK</w:t>
            </w:r>
            <w:r w:rsidR="00983EF2" w:rsidRPr="008E275D">
              <w:rPr>
                <w:rFonts w:ascii="Times New Roman" w:hAnsi="Times New Roman"/>
                <w:b/>
                <w:bCs/>
                <w:lang w:val="lv-LV"/>
              </w:rPr>
              <w:t xml:space="preserve"> 63.pants </w:t>
            </w:r>
            <w:r w:rsidR="00983EF2" w:rsidRPr="008E275D">
              <w:rPr>
                <w:rFonts w:ascii="Times New Roman" w:hAnsi="Times New Roman"/>
                <w:b/>
                <w:bCs/>
                <w:i/>
                <w:lang w:val="lv-LV"/>
              </w:rPr>
              <w:t>„Ūdeņu ņemšanas noteikumu pārkāpšana”</w:t>
            </w:r>
            <w:r w:rsidR="00983EF2" w:rsidRPr="008E275D">
              <w:rPr>
                <w:rFonts w:ascii="Times New Roman" w:hAnsi="Times New Roman"/>
                <w:b/>
                <w:bCs/>
                <w:lang w:val="lv-LV"/>
              </w:rPr>
              <w:t xml:space="preserve"> </w:t>
            </w:r>
            <w:r w:rsidR="00983EF2" w:rsidRPr="008E275D">
              <w:rPr>
                <w:rFonts w:ascii="Times New Roman" w:hAnsi="Times New Roman"/>
                <w:bCs/>
                <w:lang w:val="lv-LV"/>
              </w:rPr>
              <w:t xml:space="preserve">izslēdzams no </w:t>
            </w:r>
            <w:r w:rsidR="0094233F" w:rsidRPr="008E275D">
              <w:rPr>
                <w:rFonts w:ascii="Times New Roman" w:hAnsi="Times New Roman"/>
                <w:bCs/>
                <w:lang w:val="lv-LV"/>
              </w:rPr>
              <w:t>Veselības i</w:t>
            </w:r>
            <w:r w:rsidR="00983EF2" w:rsidRPr="008E275D">
              <w:rPr>
                <w:rFonts w:ascii="Times New Roman" w:hAnsi="Times New Roman"/>
                <w:bCs/>
                <w:lang w:val="lv-LV"/>
              </w:rPr>
              <w:t xml:space="preserve">nspekcijas kompetences, jo </w:t>
            </w:r>
            <w:r w:rsidR="0094233F" w:rsidRPr="008E275D">
              <w:rPr>
                <w:rFonts w:ascii="Times New Roman" w:hAnsi="Times New Roman"/>
                <w:bCs/>
                <w:lang w:val="lv-LV"/>
              </w:rPr>
              <w:t>Veselības i</w:t>
            </w:r>
            <w:r w:rsidR="00983EF2" w:rsidRPr="008E275D">
              <w:rPr>
                <w:rFonts w:ascii="Times New Roman" w:hAnsi="Times New Roman"/>
                <w:bCs/>
                <w:lang w:val="lv-LV"/>
              </w:rPr>
              <w:t>nspekcija šo sastāvu praksē nepiemēro, konstatēta kompetenču pārklāšanās ar vides aizsardzības valsts ies</w:t>
            </w:r>
            <w:r w:rsidR="003B6A19" w:rsidRPr="008E275D">
              <w:rPr>
                <w:rFonts w:ascii="Times New Roman" w:hAnsi="Times New Roman"/>
                <w:bCs/>
                <w:lang w:val="lv-LV"/>
              </w:rPr>
              <w:t>tādēm (LAPK 231.pants), turklāt</w:t>
            </w:r>
            <w:r w:rsidR="00983EF2" w:rsidRPr="008E275D">
              <w:rPr>
                <w:rFonts w:ascii="Times New Roman" w:hAnsi="Times New Roman"/>
                <w:bCs/>
                <w:lang w:val="lv-LV"/>
              </w:rPr>
              <w:t xml:space="preserve"> sastāvs dublē LAPK 62.pantu </w:t>
            </w:r>
            <w:r w:rsidR="00983EF2" w:rsidRPr="008E275D">
              <w:rPr>
                <w:rFonts w:ascii="Times New Roman" w:hAnsi="Times New Roman"/>
                <w:bCs/>
                <w:i/>
                <w:lang w:val="lv-LV"/>
              </w:rPr>
              <w:t>„</w:t>
            </w:r>
            <w:r w:rsidR="00983EF2" w:rsidRPr="008E275D">
              <w:rPr>
                <w:rFonts w:ascii="Times New Roman" w:hAnsi="Times New Roman"/>
                <w:b/>
                <w:bCs/>
                <w:i/>
                <w:lang w:val="lv-LV"/>
              </w:rPr>
              <w:t>Virszemes un pazemes ūdeņu aizsardzības vai lietošanas noteikumu vai prasību pārkāpšana”</w:t>
            </w:r>
            <w:r w:rsidR="00983EF2" w:rsidRPr="008E275D">
              <w:rPr>
                <w:rFonts w:ascii="Times New Roman" w:hAnsi="Times New Roman"/>
                <w:bCs/>
                <w:i/>
                <w:lang w:val="lv-LV"/>
              </w:rPr>
              <w:t>,</w:t>
            </w:r>
            <w:r w:rsidR="003B6A19" w:rsidRPr="008E275D">
              <w:rPr>
                <w:rFonts w:ascii="Times New Roman" w:hAnsi="Times New Roman"/>
                <w:bCs/>
                <w:lang w:val="lv-LV"/>
              </w:rPr>
              <w:t xml:space="preserve"> kas ir Veselības </w:t>
            </w:r>
            <w:r w:rsidR="00983EF2" w:rsidRPr="008E275D">
              <w:rPr>
                <w:rFonts w:ascii="Times New Roman" w:hAnsi="Times New Roman"/>
                <w:bCs/>
                <w:lang w:val="lv-LV"/>
              </w:rPr>
              <w:t>inspekcijas un vides aizsardzības valsts iestāžu kompetencē;</w:t>
            </w:r>
          </w:p>
          <w:p w:rsidR="00983EF2" w:rsidRPr="008E275D" w:rsidRDefault="006317DD" w:rsidP="00983EF2">
            <w:pPr>
              <w:pStyle w:val="naispant"/>
              <w:jc w:val="both"/>
              <w:rPr>
                <w:bCs/>
              </w:rPr>
            </w:pPr>
            <w:r w:rsidRPr="008E275D">
              <w:rPr>
                <w:b/>
                <w:bCs/>
              </w:rPr>
              <w:t>2</w:t>
            </w:r>
            <w:r w:rsidR="00983EF2" w:rsidRPr="008E275D">
              <w:rPr>
                <w:b/>
                <w:bCs/>
              </w:rPr>
              <w:t xml:space="preserve">) </w:t>
            </w:r>
            <w:r w:rsidR="00983EF2" w:rsidRPr="008E275D">
              <w:rPr>
                <w:b/>
              </w:rPr>
              <w:t>LAPK</w:t>
            </w:r>
            <w:r w:rsidR="00983EF2" w:rsidRPr="008E275D">
              <w:rPr>
                <w:b/>
                <w:bCs/>
              </w:rPr>
              <w:t xml:space="preserve"> 64.pants </w:t>
            </w:r>
            <w:r w:rsidR="00983EF2" w:rsidRPr="008E275D">
              <w:rPr>
                <w:b/>
                <w:bCs/>
                <w:i/>
              </w:rPr>
              <w:t>„Ūdens objektu lietošanas noteikumu pārkāpšana”</w:t>
            </w:r>
            <w:r w:rsidR="00983EF2" w:rsidRPr="008E275D">
              <w:rPr>
                <w:b/>
                <w:bCs/>
              </w:rPr>
              <w:t xml:space="preserve"> </w:t>
            </w:r>
            <w:r w:rsidR="00983EF2" w:rsidRPr="008E275D">
              <w:rPr>
                <w:bCs/>
              </w:rPr>
              <w:t>izslēdzams</w:t>
            </w:r>
            <w:r w:rsidR="00983EF2" w:rsidRPr="008E275D">
              <w:rPr>
                <w:b/>
                <w:bCs/>
              </w:rPr>
              <w:t xml:space="preserve"> </w:t>
            </w:r>
            <w:r w:rsidR="00983EF2" w:rsidRPr="008E275D">
              <w:rPr>
                <w:bCs/>
              </w:rPr>
              <w:t>no</w:t>
            </w:r>
            <w:r w:rsidR="0094233F" w:rsidRPr="008E275D">
              <w:rPr>
                <w:bCs/>
              </w:rPr>
              <w:t xml:space="preserve"> Veselības i</w:t>
            </w:r>
            <w:r w:rsidR="00983EF2" w:rsidRPr="008E275D">
              <w:rPr>
                <w:bCs/>
              </w:rPr>
              <w:t xml:space="preserve">nspekcijas kompetences, jo sastāvs dublē LAPK 62.pantu, un neietver </w:t>
            </w:r>
            <w:r w:rsidR="0094233F" w:rsidRPr="008E275D">
              <w:rPr>
                <w:bCs/>
              </w:rPr>
              <w:t>Veselības i</w:t>
            </w:r>
            <w:r w:rsidR="00983EF2" w:rsidRPr="008E275D">
              <w:rPr>
                <w:bCs/>
              </w:rPr>
              <w:t>nspekcijas kompetencē esošu higiēnas noteikumu pārkāpumu; LAPK 64.pants ir vides aizsardzības valsts iestāžu kompetencē (LAPK 231.pants);</w:t>
            </w:r>
          </w:p>
          <w:p w:rsidR="00983EF2" w:rsidRPr="008E275D" w:rsidRDefault="006317DD" w:rsidP="00983EF2">
            <w:pPr>
              <w:pStyle w:val="naispant"/>
              <w:jc w:val="both"/>
              <w:rPr>
                <w:bCs/>
              </w:rPr>
            </w:pPr>
            <w:r w:rsidRPr="008E275D">
              <w:rPr>
                <w:b/>
                <w:bCs/>
              </w:rPr>
              <w:t>3</w:t>
            </w:r>
            <w:r w:rsidR="00983EF2" w:rsidRPr="008E275D">
              <w:rPr>
                <w:b/>
                <w:bCs/>
              </w:rPr>
              <w:t xml:space="preserve">) </w:t>
            </w:r>
            <w:r w:rsidR="00983EF2" w:rsidRPr="008E275D">
              <w:rPr>
                <w:b/>
              </w:rPr>
              <w:t>LAPK</w:t>
            </w:r>
            <w:r w:rsidR="00983EF2" w:rsidRPr="008E275D">
              <w:rPr>
                <w:b/>
                <w:bCs/>
              </w:rPr>
              <w:t xml:space="preserve"> 72</w:t>
            </w:r>
            <w:r w:rsidR="00983EF2" w:rsidRPr="008E275D">
              <w:rPr>
                <w:b/>
                <w:bCs/>
                <w:i/>
              </w:rPr>
              <w:t>.</w:t>
            </w:r>
            <w:r w:rsidR="00983EF2" w:rsidRPr="008E275D">
              <w:rPr>
                <w:b/>
                <w:bCs/>
              </w:rPr>
              <w:t xml:space="preserve">pants </w:t>
            </w:r>
            <w:r w:rsidR="00983EF2" w:rsidRPr="008E275D">
              <w:rPr>
                <w:b/>
                <w:bCs/>
                <w:i/>
              </w:rPr>
              <w:t xml:space="preserve">„Attīrīšanas iekārtu ekspluatācijas noteikumu pārkāpšana” </w:t>
            </w:r>
            <w:r w:rsidR="00983EF2" w:rsidRPr="008E275D">
              <w:rPr>
                <w:bCs/>
              </w:rPr>
              <w:t>izslēdzams no</w:t>
            </w:r>
            <w:r w:rsidR="0094233F" w:rsidRPr="008E275D">
              <w:rPr>
                <w:bCs/>
              </w:rPr>
              <w:t xml:space="preserve"> Veselības i</w:t>
            </w:r>
            <w:r w:rsidR="00983EF2" w:rsidRPr="008E275D">
              <w:rPr>
                <w:bCs/>
              </w:rPr>
              <w:t xml:space="preserve">nspekcijas kompetences, jo sastāvs </w:t>
            </w:r>
            <w:r w:rsidR="0094233F" w:rsidRPr="008E275D">
              <w:rPr>
                <w:bCs/>
              </w:rPr>
              <w:t>neietver Veselības i</w:t>
            </w:r>
            <w:r w:rsidR="00983EF2" w:rsidRPr="008E275D">
              <w:rPr>
                <w:bCs/>
              </w:rPr>
              <w:t xml:space="preserve">nspekcijas kompetencē esošu higiēnas noteikumu pārkāpumu; </w:t>
            </w:r>
            <w:r w:rsidR="0094233F" w:rsidRPr="008E275D">
              <w:rPr>
                <w:bCs/>
              </w:rPr>
              <w:t xml:space="preserve">LAPK </w:t>
            </w:r>
            <w:r w:rsidR="00983EF2" w:rsidRPr="008E275D">
              <w:rPr>
                <w:bCs/>
              </w:rPr>
              <w:t>72.pants ir vides aizsardzības valsts iestāžu kompetencē (LAPK 231.pants);</w:t>
            </w:r>
          </w:p>
          <w:p w:rsidR="00983EF2" w:rsidRPr="008E275D" w:rsidRDefault="006317DD" w:rsidP="00983EF2">
            <w:pPr>
              <w:pStyle w:val="naispant"/>
              <w:spacing w:before="240"/>
              <w:jc w:val="both"/>
              <w:rPr>
                <w:bCs/>
              </w:rPr>
            </w:pPr>
            <w:r w:rsidRPr="008E275D">
              <w:rPr>
                <w:b/>
                <w:bCs/>
              </w:rPr>
              <w:t>4</w:t>
            </w:r>
            <w:r w:rsidR="00983EF2" w:rsidRPr="008E275D">
              <w:rPr>
                <w:b/>
                <w:bCs/>
              </w:rPr>
              <w:t xml:space="preserve">) </w:t>
            </w:r>
            <w:r w:rsidR="00983EF2" w:rsidRPr="008E275D">
              <w:rPr>
                <w:b/>
              </w:rPr>
              <w:t>LAPK</w:t>
            </w:r>
            <w:r w:rsidR="00983EF2" w:rsidRPr="008E275D">
              <w:rPr>
                <w:b/>
                <w:bCs/>
              </w:rPr>
              <w:t xml:space="preserve"> 75</w:t>
            </w:r>
            <w:r w:rsidR="00983EF2" w:rsidRPr="008E275D">
              <w:rPr>
                <w:b/>
                <w:bCs/>
                <w:i/>
              </w:rPr>
              <w:t>.</w:t>
            </w:r>
            <w:r w:rsidR="00983EF2" w:rsidRPr="008E275D">
              <w:rPr>
                <w:b/>
                <w:bCs/>
              </w:rPr>
              <w:t xml:space="preserve">pants </w:t>
            </w:r>
            <w:r w:rsidR="00983EF2" w:rsidRPr="008E275D">
              <w:rPr>
                <w:b/>
                <w:bCs/>
                <w:i/>
              </w:rPr>
              <w:t>„Atkritumu apsaimniekošanas noteikumu pārkāpšana”</w:t>
            </w:r>
            <w:r w:rsidR="00983EF2" w:rsidRPr="008E275D">
              <w:rPr>
                <w:bCs/>
              </w:rPr>
              <w:t xml:space="preserve"> (</w:t>
            </w:r>
            <w:r w:rsidR="0094233F" w:rsidRPr="008E275D">
              <w:rPr>
                <w:bCs/>
              </w:rPr>
              <w:t xml:space="preserve">pirmā un otrā </w:t>
            </w:r>
            <w:r w:rsidR="00983EF2" w:rsidRPr="008E275D">
              <w:rPr>
                <w:bCs/>
              </w:rPr>
              <w:t>daļa) izslēdzams no Veselības inspekcijas kompetences, jo pārkāpuma sastāvs</w:t>
            </w:r>
            <w:r w:rsidR="0094233F" w:rsidRPr="008E275D">
              <w:rPr>
                <w:bCs/>
              </w:rPr>
              <w:t xml:space="preserve"> neietver Veselības in</w:t>
            </w:r>
            <w:r w:rsidR="00983EF2" w:rsidRPr="008E275D">
              <w:rPr>
                <w:bCs/>
              </w:rPr>
              <w:t xml:space="preserve">spekcijas kompetencē esošu higiēnas </w:t>
            </w:r>
            <w:r w:rsidR="00983EF2" w:rsidRPr="008E275D">
              <w:rPr>
                <w:bCs/>
              </w:rPr>
              <w:lastRenderedPageBreak/>
              <w:t>noteikumu pārkāpumu (</w:t>
            </w:r>
            <w:r w:rsidR="0094233F" w:rsidRPr="008E275D">
              <w:rPr>
                <w:bCs/>
              </w:rPr>
              <w:t>Veselības i</w:t>
            </w:r>
            <w:r w:rsidR="00983EF2" w:rsidRPr="008E275D">
              <w:rPr>
                <w:bCs/>
              </w:rPr>
              <w:t>nspekcijas kompetencē ir tikai ārstniecības procesā radušos pārkāpumu kontrole, un tos izskata ārstniecības iestādes darbības kontroles ietvaros). LAPK 75.pantu piemēro pašvaldību administratīvās komisijas (LAPK 210.panta pirmā daļa),</w:t>
            </w:r>
            <w:r w:rsidR="00983EF2" w:rsidRPr="008E275D">
              <w:rPr>
                <w:rFonts w:ascii="Arial" w:hAnsi="Arial" w:cs="Arial"/>
                <w:b/>
                <w:bCs/>
              </w:rPr>
              <w:t xml:space="preserve"> </w:t>
            </w:r>
            <w:r w:rsidR="00983EF2" w:rsidRPr="008E275D">
              <w:rPr>
                <w:bCs/>
              </w:rPr>
              <w:t>republikas pilsētu domju un novadu domju priekšsēdētāji, viņu vietnieki un izpilddirektori (LAPK 211.</w:t>
            </w:r>
            <w:r w:rsidR="00983EF2" w:rsidRPr="008E275D">
              <w:rPr>
                <w:bCs/>
                <w:vertAlign w:val="superscript"/>
              </w:rPr>
              <w:t>1</w:t>
            </w:r>
            <w:r w:rsidR="00983EF2" w:rsidRPr="008E275D">
              <w:rPr>
                <w:bCs/>
              </w:rPr>
              <w:t xml:space="preserve"> panta pirmā daļa), vides aizsardzības valsts iestādes (LAPK 231.panta pirmā daļa);</w:t>
            </w:r>
          </w:p>
          <w:p w:rsidR="00983EF2" w:rsidRPr="008E275D" w:rsidRDefault="006317DD" w:rsidP="00983EF2">
            <w:pPr>
              <w:pStyle w:val="naispant"/>
              <w:jc w:val="both"/>
              <w:rPr>
                <w:bCs/>
              </w:rPr>
            </w:pPr>
            <w:r w:rsidRPr="008E275D">
              <w:rPr>
                <w:b/>
                <w:bCs/>
              </w:rPr>
              <w:t>5</w:t>
            </w:r>
            <w:r w:rsidR="00983EF2" w:rsidRPr="008E275D">
              <w:rPr>
                <w:b/>
                <w:bCs/>
              </w:rPr>
              <w:t xml:space="preserve">) </w:t>
            </w:r>
            <w:r w:rsidR="00983EF2" w:rsidRPr="008E275D">
              <w:rPr>
                <w:b/>
              </w:rPr>
              <w:t>LAPK</w:t>
            </w:r>
            <w:r w:rsidR="00983EF2" w:rsidRPr="008E275D">
              <w:rPr>
                <w:b/>
                <w:bCs/>
              </w:rPr>
              <w:t xml:space="preserve"> 76.pants</w:t>
            </w:r>
            <w:r w:rsidR="00983EF2" w:rsidRPr="008E275D">
              <w:rPr>
                <w:bCs/>
              </w:rPr>
              <w:t xml:space="preserve"> </w:t>
            </w:r>
            <w:r w:rsidR="00983EF2" w:rsidRPr="008E275D">
              <w:rPr>
                <w:bCs/>
                <w:i/>
              </w:rPr>
              <w:t>„</w:t>
            </w:r>
            <w:r w:rsidR="00983EF2" w:rsidRPr="008E275D">
              <w:rPr>
                <w:b/>
                <w:bCs/>
                <w:i/>
              </w:rPr>
              <w:t>Pesticīdu, augšanas stimulatoru, minerālmēslu vai citu vielu transportēšanas, uzglabāšanas vai lietošanas noteikumu pārkāpšana”</w:t>
            </w:r>
            <w:r w:rsidR="00983EF2" w:rsidRPr="008E275D">
              <w:rPr>
                <w:b/>
                <w:bCs/>
              </w:rPr>
              <w:t xml:space="preserve"> </w:t>
            </w:r>
            <w:r w:rsidR="00983EF2" w:rsidRPr="008E275D">
              <w:rPr>
                <w:bCs/>
              </w:rPr>
              <w:t>izslēdzams no</w:t>
            </w:r>
            <w:r w:rsidR="0094233F" w:rsidRPr="008E275D">
              <w:rPr>
                <w:bCs/>
              </w:rPr>
              <w:t xml:space="preserve"> Veselības </w:t>
            </w:r>
            <w:r w:rsidR="00983EF2" w:rsidRPr="008E275D">
              <w:rPr>
                <w:bCs/>
              </w:rPr>
              <w:t xml:space="preserve"> </w:t>
            </w:r>
            <w:r w:rsidR="0094233F" w:rsidRPr="008E275D">
              <w:rPr>
                <w:bCs/>
              </w:rPr>
              <w:t>i</w:t>
            </w:r>
            <w:r w:rsidR="00983EF2" w:rsidRPr="008E275D">
              <w:rPr>
                <w:bCs/>
              </w:rPr>
              <w:t xml:space="preserve">nspekcijas kompetences, jo pārkāpuma sastāvs neietver </w:t>
            </w:r>
            <w:r w:rsidR="0094233F" w:rsidRPr="008E275D">
              <w:rPr>
                <w:bCs/>
              </w:rPr>
              <w:t>Veselības i</w:t>
            </w:r>
            <w:r w:rsidR="00983EF2" w:rsidRPr="008E275D">
              <w:rPr>
                <w:bCs/>
              </w:rPr>
              <w:t>nspekcijas kompetencē esošu higiēnas noteikumu pārkāpumu. LAPK 76.pantu piemēro pašvaldību administratīvās komisijas (LAPK 210.panta 1.daļa), republikas pilsētu domju un novadu domju priekšsēdētāji, viņu vietnieki un izpilddirektori (LAPK 211.</w:t>
            </w:r>
            <w:r w:rsidR="00983EF2" w:rsidRPr="008E275D">
              <w:rPr>
                <w:bCs/>
                <w:vertAlign w:val="superscript"/>
              </w:rPr>
              <w:t>1</w:t>
            </w:r>
            <w:r w:rsidR="00983EF2" w:rsidRPr="008E275D">
              <w:rPr>
                <w:bCs/>
              </w:rPr>
              <w:t xml:space="preserve"> panta pirmā daļa), vides aizsardzības valsts iestādes (LAPK 231.panta pirmā daļa);</w:t>
            </w:r>
          </w:p>
          <w:p w:rsidR="00983EF2" w:rsidRPr="008E275D" w:rsidRDefault="006317DD" w:rsidP="00983EF2">
            <w:pPr>
              <w:pStyle w:val="naispant"/>
              <w:jc w:val="both"/>
              <w:rPr>
                <w:bCs/>
              </w:rPr>
            </w:pPr>
            <w:r w:rsidRPr="008E275D">
              <w:rPr>
                <w:b/>
                <w:bCs/>
              </w:rPr>
              <w:t>6</w:t>
            </w:r>
            <w:r w:rsidR="00983EF2" w:rsidRPr="008E275D">
              <w:rPr>
                <w:b/>
                <w:bCs/>
              </w:rPr>
              <w:t xml:space="preserve">) </w:t>
            </w:r>
            <w:r w:rsidR="00983EF2" w:rsidRPr="008E275D">
              <w:rPr>
                <w:b/>
              </w:rPr>
              <w:t>LAPK</w:t>
            </w:r>
            <w:r w:rsidR="00983EF2" w:rsidRPr="008E275D">
              <w:rPr>
                <w:b/>
                <w:bCs/>
              </w:rPr>
              <w:t xml:space="preserve"> 83.pants </w:t>
            </w:r>
            <w:r w:rsidR="00983EF2" w:rsidRPr="008E275D">
              <w:rPr>
                <w:b/>
                <w:bCs/>
                <w:i/>
              </w:rPr>
              <w:t>„Piesārņojošo vielu emisiju ierobežojošu pasākumu neveikšana nelabvēlīgu meteoroloģisko apstākļu periodos”</w:t>
            </w:r>
            <w:r w:rsidR="00983EF2" w:rsidRPr="008E275D">
              <w:rPr>
                <w:b/>
                <w:bCs/>
              </w:rPr>
              <w:t xml:space="preserve"> </w:t>
            </w:r>
            <w:r w:rsidR="00983EF2" w:rsidRPr="008E275D">
              <w:rPr>
                <w:bCs/>
              </w:rPr>
              <w:t xml:space="preserve">izslēdzams no </w:t>
            </w:r>
            <w:r w:rsidR="0094233F" w:rsidRPr="008E275D">
              <w:rPr>
                <w:bCs/>
              </w:rPr>
              <w:t>Veselības i</w:t>
            </w:r>
            <w:r w:rsidR="00983EF2" w:rsidRPr="008E275D">
              <w:rPr>
                <w:bCs/>
              </w:rPr>
              <w:t>nspekcijas kompetences, jo pārkāpuma sastāvs</w:t>
            </w:r>
            <w:r w:rsidR="0094233F" w:rsidRPr="008E275D">
              <w:rPr>
                <w:bCs/>
              </w:rPr>
              <w:t xml:space="preserve"> neietver Veselības i</w:t>
            </w:r>
            <w:r w:rsidR="00983EF2" w:rsidRPr="008E275D">
              <w:rPr>
                <w:bCs/>
              </w:rPr>
              <w:t xml:space="preserve">nspekcijas kompetencē esošu higiēnas noteikumu pārkāpumu. Inspekcija var piedalīties kā eksperti ietekmes uz veselību risku novērtējumā (likums </w:t>
            </w:r>
            <w:r w:rsidR="00983EF2" w:rsidRPr="008E275D">
              <w:rPr>
                <w:bCs/>
                <w:i/>
              </w:rPr>
              <w:t>„Par piesārņojumu”</w:t>
            </w:r>
            <w:r w:rsidR="00983EF2" w:rsidRPr="008E275D">
              <w:rPr>
                <w:bCs/>
              </w:rPr>
              <w:t>). LAPK 83.pantu piemēro Vides aizsardzības valsts iestādes (LAPK 231.panta pirmā daļa);</w:t>
            </w:r>
          </w:p>
          <w:p w:rsidR="00983EF2" w:rsidRPr="008E275D" w:rsidRDefault="006317DD" w:rsidP="00983EF2">
            <w:pPr>
              <w:pStyle w:val="naispant"/>
              <w:jc w:val="both"/>
              <w:rPr>
                <w:bCs/>
              </w:rPr>
            </w:pPr>
            <w:r w:rsidRPr="008E275D">
              <w:rPr>
                <w:b/>
                <w:bCs/>
              </w:rPr>
              <w:t>7</w:t>
            </w:r>
            <w:r w:rsidR="00983EF2" w:rsidRPr="008E275D">
              <w:rPr>
                <w:b/>
                <w:bCs/>
              </w:rPr>
              <w:t xml:space="preserve">) </w:t>
            </w:r>
            <w:r w:rsidR="00983EF2" w:rsidRPr="008E275D">
              <w:rPr>
                <w:b/>
              </w:rPr>
              <w:t>LAPK</w:t>
            </w:r>
            <w:r w:rsidR="00983EF2" w:rsidRPr="008E275D">
              <w:rPr>
                <w:b/>
                <w:bCs/>
              </w:rPr>
              <w:t xml:space="preserve"> 84.</w:t>
            </w:r>
            <w:r w:rsidR="00983EF2" w:rsidRPr="008E275D">
              <w:rPr>
                <w:b/>
                <w:bCs/>
                <w:vertAlign w:val="superscript"/>
              </w:rPr>
              <w:t xml:space="preserve">1 </w:t>
            </w:r>
            <w:r w:rsidR="00983EF2" w:rsidRPr="008E275D">
              <w:rPr>
                <w:b/>
                <w:bCs/>
              </w:rPr>
              <w:t>pants</w:t>
            </w:r>
            <w:r w:rsidR="00983EF2" w:rsidRPr="008E275D">
              <w:rPr>
                <w:b/>
                <w:bCs/>
                <w:i/>
              </w:rPr>
              <w:t xml:space="preserve"> „Neziņošana par avārijām tautsaimniecības nozarēs vai šādu avāriju slēpšana”</w:t>
            </w:r>
            <w:r w:rsidR="00983EF2" w:rsidRPr="008E275D">
              <w:rPr>
                <w:b/>
                <w:bCs/>
              </w:rPr>
              <w:t xml:space="preserve"> </w:t>
            </w:r>
            <w:r w:rsidR="00983EF2" w:rsidRPr="008E275D">
              <w:rPr>
                <w:bCs/>
              </w:rPr>
              <w:t>(</w:t>
            </w:r>
            <w:r w:rsidR="0094233F" w:rsidRPr="008E275D">
              <w:rPr>
                <w:bCs/>
              </w:rPr>
              <w:t xml:space="preserve">pirmā un otrā </w:t>
            </w:r>
            <w:r w:rsidR="00983EF2" w:rsidRPr="008E275D">
              <w:rPr>
                <w:bCs/>
              </w:rPr>
              <w:t>daļa)</w:t>
            </w:r>
            <w:r w:rsidR="00983EF2" w:rsidRPr="008E275D">
              <w:rPr>
                <w:b/>
                <w:bCs/>
              </w:rPr>
              <w:t xml:space="preserve"> </w:t>
            </w:r>
            <w:r w:rsidR="00983EF2" w:rsidRPr="008E275D">
              <w:rPr>
                <w:bCs/>
              </w:rPr>
              <w:t>izslēdzams</w:t>
            </w:r>
            <w:r w:rsidR="00983EF2" w:rsidRPr="008E275D">
              <w:rPr>
                <w:b/>
                <w:bCs/>
              </w:rPr>
              <w:t xml:space="preserve"> </w:t>
            </w:r>
            <w:r w:rsidR="00983EF2" w:rsidRPr="008E275D">
              <w:rPr>
                <w:bCs/>
              </w:rPr>
              <w:t xml:space="preserve">no </w:t>
            </w:r>
            <w:r w:rsidR="0094233F" w:rsidRPr="008E275D">
              <w:rPr>
                <w:bCs/>
              </w:rPr>
              <w:t>Veselības i</w:t>
            </w:r>
            <w:r w:rsidR="00983EF2" w:rsidRPr="008E275D">
              <w:rPr>
                <w:bCs/>
              </w:rPr>
              <w:t>nspekcijas kompetences, jo pārkāpuma sastāvs</w:t>
            </w:r>
            <w:r w:rsidR="0094233F" w:rsidRPr="008E275D">
              <w:rPr>
                <w:bCs/>
              </w:rPr>
              <w:t xml:space="preserve"> neietver Veselības i</w:t>
            </w:r>
            <w:r w:rsidR="00983EF2" w:rsidRPr="008E275D">
              <w:rPr>
                <w:bCs/>
              </w:rPr>
              <w:t>nspekcijas kompetencē esošu higiēnas noteikumu pārkāpumu. LAPK 84</w:t>
            </w:r>
            <w:r w:rsidR="00983EF2" w:rsidRPr="008E275D">
              <w:rPr>
                <w:bCs/>
                <w:vertAlign w:val="superscript"/>
              </w:rPr>
              <w:t>1</w:t>
            </w:r>
            <w:r w:rsidR="00983EF2" w:rsidRPr="008E275D">
              <w:rPr>
                <w:bCs/>
              </w:rPr>
              <w:t>.pantu piemēro Vides aizsardzības valsts iestādes (</w:t>
            </w:r>
            <w:r w:rsidR="00983EF2" w:rsidRPr="008E275D">
              <w:t>LAPK</w:t>
            </w:r>
            <w:r w:rsidR="00983EF2" w:rsidRPr="008E275D">
              <w:rPr>
                <w:bCs/>
              </w:rPr>
              <w:t xml:space="preserve"> 231.panta pirmā daļa);</w:t>
            </w:r>
          </w:p>
          <w:p w:rsidR="00AA3451" w:rsidRDefault="006317DD" w:rsidP="008C7FE1">
            <w:pPr>
              <w:pStyle w:val="NoSpacing"/>
              <w:jc w:val="both"/>
              <w:rPr>
                <w:rFonts w:ascii="Times New Roman" w:hAnsi="Times New Roman"/>
                <w:bCs/>
                <w:sz w:val="24"/>
                <w:szCs w:val="24"/>
              </w:rPr>
            </w:pPr>
            <w:r w:rsidRPr="008E275D">
              <w:rPr>
                <w:rFonts w:ascii="Times New Roman" w:hAnsi="Times New Roman"/>
                <w:b/>
                <w:bCs/>
                <w:sz w:val="24"/>
                <w:szCs w:val="24"/>
              </w:rPr>
              <w:t>8</w:t>
            </w:r>
            <w:r w:rsidR="00983EF2" w:rsidRPr="008E275D">
              <w:rPr>
                <w:rFonts w:ascii="Times New Roman" w:hAnsi="Times New Roman"/>
                <w:b/>
                <w:bCs/>
                <w:sz w:val="24"/>
                <w:szCs w:val="24"/>
              </w:rPr>
              <w:t xml:space="preserve">) </w:t>
            </w:r>
            <w:r w:rsidR="00983EF2" w:rsidRPr="008E275D">
              <w:rPr>
                <w:rFonts w:ascii="Times New Roman" w:hAnsi="Times New Roman"/>
                <w:b/>
                <w:sz w:val="24"/>
                <w:szCs w:val="24"/>
              </w:rPr>
              <w:t>LAPK</w:t>
            </w:r>
            <w:r w:rsidR="00983EF2" w:rsidRPr="008E275D">
              <w:rPr>
                <w:rFonts w:ascii="Times New Roman" w:hAnsi="Times New Roman"/>
                <w:b/>
                <w:bCs/>
                <w:sz w:val="24"/>
                <w:szCs w:val="24"/>
              </w:rPr>
              <w:t xml:space="preserve"> 166.</w:t>
            </w:r>
            <w:r w:rsidR="00983EF2" w:rsidRPr="008E275D">
              <w:rPr>
                <w:rFonts w:ascii="Times New Roman" w:hAnsi="Times New Roman"/>
                <w:b/>
                <w:bCs/>
                <w:sz w:val="24"/>
                <w:szCs w:val="24"/>
                <w:vertAlign w:val="superscript"/>
              </w:rPr>
              <w:t xml:space="preserve">9 </w:t>
            </w:r>
            <w:r w:rsidR="00983EF2" w:rsidRPr="008E275D">
              <w:rPr>
                <w:rFonts w:ascii="Times New Roman" w:hAnsi="Times New Roman"/>
                <w:b/>
                <w:bCs/>
                <w:sz w:val="24"/>
                <w:szCs w:val="24"/>
              </w:rPr>
              <w:t xml:space="preserve">panta </w:t>
            </w:r>
            <w:r w:rsidR="00983EF2" w:rsidRPr="008E275D">
              <w:rPr>
                <w:rFonts w:ascii="Times New Roman" w:hAnsi="Times New Roman"/>
                <w:b/>
                <w:bCs/>
                <w:i/>
                <w:sz w:val="24"/>
                <w:szCs w:val="24"/>
              </w:rPr>
              <w:t>„Noteiktām prasībām neatbilstošu preču un pakalpojumu realizācija”</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otrā</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daļa</w:t>
            </w:r>
            <w:r w:rsidR="00983EF2" w:rsidRPr="008E275D">
              <w:rPr>
                <w:rFonts w:ascii="Times New Roman" w:hAnsi="Times New Roman"/>
                <w:sz w:val="24"/>
                <w:szCs w:val="24"/>
              </w:rPr>
              <w:t xml:space="preserve"> izslēdzama </w:t>
            </w:r>
            <w:r w:rsidR="00983EF2" w:rsidRPr="008E275D">
              <w:rPr>
                <w:rFonts w:ascii="Times New Roman" w:hAnsi="Times New Roman"/>
                <w:bCs/>
                <w:sz w:val="24"/>
                <w:szCs w:val="24"/>
              </w:rPr>
              <w:t xml:space="preserve">no </w:t>
            </w:r>
            <w:r w:rsidR="0094233F" w:rsidRPr="008E275D">
              <w:rPr>
                <w:rFonts w:ascii="Times New Roman" w:hAnsi="Times New Roman"/>
                <w:bCs/>
                <w:sz w:val="24"/>
                <w:szCs w:val="24"/>
              </w:rPr>
              <w:t>Veselības i</w:t>
            </w:r>
            <w:r w:rsidR="00983EF2" w:rsidRPr="008E275D">
              <w:rPr>
                <w:rFonts w:ascii="Times New Roman" w:hAnsi="Times New Roman"/>
                <w:bCs/>
                <w:sz w:val="24"/>
                <w:szCs w:val="24"/>
              </w:rPr>
              <w:t>nspekcijas kompetences, jo pārkāpuma sastāvs</w:t>
            </w:r>
            <w:r w:rsidR="0094233F" w:rsidRPr="008E275D">
              <w:rPr>
                <w:rFonts w:ascii="Times New Roman" w:hAnsi="Times New Roman"/>
                <w:bCs/>
                <w:sz w:val="24"/>
                <w:szCs w:val="24"/>
              </w:rPr>
              <w:t xml:space="preserve"> neietver Veselības i</w:t>
            </w:r>
            <w:r w:rsidR="00983EF2" w:rsidRPr="008E275D">
              <w:rPr>
                <w:rFonts w:ascii="Times New Roman" w:hAnsi="Times New Roman"/>
                <w:bCs/>
                <w:sz w:val="24"/>
                <w:szCs w:val="24"/>
              </w:rPr>
              <w:t>nspekcijas kompetencē esošu normatīvu aktu pārkāpumu. LAPK 166.</w:t>
            </w:r>
            <w:r w:rsidR="00983EF2" w:rsidRPr="008E275D">
              <w:rPr>
                <w:rFonts w:ascii="Times New Roman" w:hAnsi="Times New Roman"/>
                <w:bCs/>
                <w:sz w:val="24"/>
                <w:szCs w:val="24"/>
                <w:vertAlign w:val="superscript"/>
              </w:rPr>
              <w:t xml:space="preserve">9 </w:t>
            </w:r>
            <w:r w:rsidR="00983EF2" w:rsidRPr="008E275D">
              <w:rPr>
                <w:rFonts w:ascii="Times New Roman" w:hAnsi="Times New Roman"/>
                <w:bCs/>
                <w:sz w:val="24"/>
                <w:szCs w:val="24"/>
              </w:rPr>
              <w:t>panta otro daļu piemēro pašvaldības policija (LAPK 214.</w:t>
            </w:r>
            <w:r w:rsidR="00983EF2" w:rsidRPr="008E275D">
              <w:rPr>
                <w:rFonts w:ascii="Times New Roman" w:hAnsi="Times New Roman"/>
                <w:bCs/>
                <w:sz w:val="24"/>
                <w:szCs w:val="24"/>
                <w:vertAlign w:val="superscript"/>
              </w:rPr>
              <w:t>1</w:t>
            </w:r>
            <w:r w:rsidR="00983EF2" w:rsidRPr="008E275D">
              <w:rPr>
                <w:rFonts w:ascii="Times New Roman" w:hAnsi="Times New Roman"/>
                <w:bCs/>
                <w:sz w:val="24"/>
                <w:szCs w:val="24"/>
              </w:rPr>
              <w:t xml:space="preserve"> pants),</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Valsts ieņēmumu dienests (LAPK 215.</w:t>
            </w:r>
            <w:r w:rsidR="00983EF2" w:rsidRPr="008E275D">
              <w:rPr>
                <w:rFonts w:ascii="Times New Roman" w:hAnsi="Times New Roman"/>
                <w:bCs/>
                <w:sz w:val="24"/>
                <w:szCs w:val="24"/>
                <w:vertAlign w:val="superscript"/>
              </w:rPr>
              <w:t>1</w:t>
            </w:r>
            <w:r w:rsidR="00983EF2" w:rsidRPr="008E275D">
              <w:rPr>
                <w:rFonts w:ascii="Times New Roman" w:hAnsi="Times New Roman"/>
                <w:bCs/>
                <w:sz w:val="24"/>
                <w:szCs w:val="24"/>
              </w:rPr>
              <w:t xml:space="preserve"> panta pirmā daļa), vides aizsardzības valsts iestādes (LAPK 231.panta pirmā daļa)</w:t>
            </w:r>
            <w:r w:rsidR="003B6A19" w:rsidRPr="008E275D">
              <w:rPr>
                <w:rFonts w:ascii="Times New Roman" w:hAnsi="Times New Roman"/>
                <w:bCs/>
                <w:sz w:val="24"/>
                <w:szCs w:val="24"/>
              </w:rPr>
              <w:t>;</w:t>
            </w:r>
          </w:p>
          <w:p w:rsidR="00F90038" w:rsidRPr="008E275D" w:rsidRDefault="00F90038" w:rsidP="008C7FE1">
            <w:pPr>
              <w:pStyle w:val="NoSpacing"/>
              <w:jc w:val="both"/>
              <w:rPr>
                <w:rFonts w:ascii="Times New Roman" w:hAnsi="Times New Roman"/>
                <w:b/>
                <w:bCs/>
                <w:sz w:val="24"/>
                <w:szCs w:val="24"/>
              </w:rPr>
            </w:pPr>
          </w:p>
          <w:p w:rsidR="00F836E3" w:rsidRPr="008E275D" w:rsidRDefault="006317DD" w:rsidP="00A8455E">
            <w:pPr>
              <w:pStyle w:val="NoSpacing"/>
              <w:jc w:val="both"/>
              <w:rPr>
                <w:rFonts w:ascii="Times New Roman" w:hAnsi="Times New Roman"/>
                <w:bCs/>
                <w:sz w:val="24"/>
                <w:szCs w:val="24"/>
              </w:rPr>
            </w:pPr>
            <w:r w:rsidRPr="008E275D">
              <w:rPr>
                <w:rFonts w:ascii="Times New Roman" w:hAnsi="Times New Roman"/>
                <w:b/>
                <w:bCs/>
                <w:sz w:val="24"/>
                <w:szCs w:val="24"/>
              </w:rPr>
              <w:t>9</w:t>
            </w:r>
            <w:r w:rsidR="00983EF2" w:rsidRPr="008E275D">
              <w:rPr>
                <w:rFonts w:ascii="Times New Roman" w:hAnsi="Times New Roman"/>
                <w:b/>
                <w:bCs/>
                <w:sz w:val="24"/>
                <w:szCs w:val="24"/>
              </w:rPr>
              <w:t>)</w:t>
            </w:r>
            <w:r w:rsidR="00983EF2" w:rsidRPr="008E275D">
              <w:rPr>
                <w:rFonts w:ascii="Times New Roman" w:hAnsi="Times New Roman"/>
                <w:bCs/>
                <w:sz w:val="24"/>
                <w:szCs w:val="24"/>
              </w:rPr>
              <w:t xml:space="preserve"> </w:t>
            </w:r>
            <w:r w:rsidR="00983EF2" w:rsidRPr="008E275D">
              <w:rPr>
                <w:rFonts w:ascii="Times New Roman" w:hAnsi="Times New Roman"/>
                <w:b/>
                <w:sz w:val="24"/>
                <w:szCs w:val="24"/>
              </w:rPr>
              <w:t>LAPK</w:t>
            </w:r>
            <w:r w:rsidR="00983EF2" w:rsidRPr="008E275D">
              <w:rPr>
                <w:rFonts w:ascii="Times New Roman" w:hAnsi="Times New Roman"/>
                <w:b/>
                <w:bCs/>
                <w:sz w:val="24"/>
                <w:szCs w:val="24"/>
              </w:rPr>
              <w:t xml:space="preserve"> 166.</w:t>
            </w:r>
            <w:r w:rsidR="00983EF2" w:rsidRPr="008E275D">
              <w:rPr>
                <w:rFonts w:ascii="Times New Roman" w:hAnsi="Times New Roman"/>
                <w:b/>
                <w:bCs/>
                <w:sz w:val="24"/>
                <w:szCs w:val="24"/>
                <w:vertAlign w:val="superscript"/>
              </w:rPr>
              <w:t xml:space="preserve">11 </w:t>
            </w:r>
            <w:r w:rsidR="00983EF2" w:rsidRPr="008E275D">
              <w:rPr>
                <w:rFonts w:ascii="Times New Roman" w:hAnsi="Times New Roman"/>
                <w:b/>
                <w:bCs/>
                <w:sz w:val="24"/>
                <w:szCs w:val="24"/>
              </w:rPr>
              <w:t xml:space="preserve">pants </w:t>
            </w:r>
            <w:r w:rsidR="00983EF2" w:rsidRPr="008E275D">
              <w:rPr>
                <w:rFonts w:ascii="Times New Roman" w:hAnsi="Times New Roman"/>
                <w:b/>
                <w:bCs/>
                <w:i/>
                <w:sz w:val="24"/>
                <w:szCs w:val="24"/>
              </w:rPr>
              <w:t>„Patērētāja prasījuma pieņemšanas un izskatīšanas kārtības neievērošana, preču un pakalpojumu garantijas saistību nepildīšana”</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w:t>
            </w:r>
            <w:r w:rsidRPr="008E275D">
              <w:rPr>
                <w:rFonts w:ascii="Times New Roman" w:hAnsi="Times New Roman"/>
                <w:bCs/>
                <w:sz w:val="24"/>
                <w:szCs w:val="24"/>
              </w:rPr>
              <w:t xml:space="preserve">trešā un </w:t>
            </w:r>
            <w:r w:rsidRPr="008E275D">
              <w:rPr>
                <w:rFonts w:ascii="Times New Roman" w:hAnsi="Times New Roman"/>
                <w:bCs/>
                <w:sz w:val="24"/>
                <w:szCs w:val="24"/>
              </w:rPr>
              <w:lastRenderedPageBreak/>
              <w:t xml:space="preserve">ceturtā </w:t>
            </w:r>
            <w:r w:rsidR="00983EF2" w:rsidRPr="008E275D">
              <w:rPr>
                <w:rFonts w:ascii="Times New Roman" w:hAnsi="Times New Roman"/>
                <w:bCs/>
                <w:sz w:val="24"/>
                <w:szCs w:val="24"/>
              </w:rPr>
              <w:t>daļa)</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izslēdzams</w:t>
            </w:r>
            <w:r w:rsidR="00983EF2" w:rsidRPr="008E275D">
              <w:rPr>
                <w:rFonts w:ascii="Times New Roman" w:hAnsi="Times New Roman"/>
                <w:b/>
                <w:bCs/>
                <w:sz w:val="24"/>
                <w:szCs w:val="24"/>
              </w:rPr>
              <w:t xml:space="preserve"> </w:t>
            </w:r>
            <w:r w:rsidR="00983EF2" w:rsidRPr="008E275D">
              <w:rPr>
                <w:rFonts w:ascii="Times New Roman" w:hAnsi="Times New Roman"/>
                <w:bCs/>
                <w:sz w:val="24"/>
                <w:szCs w:val="24"/>
              </w:rPr>
              <w:t xml:space="preserve">no </w:t>
            </w:r>
            <w:r w:rsidR="00B06EFA" w:rsidRPr="008E275D">
              <w:rPr>
                <w:rFonts w:ascii="Times New Roman" w:hAnsi="Times New Roman"/>
                <w:bCs/>
                <w:sz w:val="24"/>
                <w:szCs w:val="24"/>
              </w:rPr>
              <w:t>Veselības i</w:t>
            </w:r>
            <w:r w:rsidR="00983EF2" w:rsidRPr="008E275D">
              <w:rPr>
                <w:rFonts w:ascii="Times New Roman" w:hAnsi="Times New Roman"/>
                <w:bCs/>
                <w:sz w:val="24"/>
                <w:szCs w:val="24"/>
              </w:rPr>
              <w:t>nspekcijas kompetences, jo pārkāpuma sastāvs</w:t>
            </w:r>
            <w:r w:rsidR="00B06EFA" w:rsidRPr="008E275D">
              <w:rPr>
                <w:rFonts w:ascii="Times New Roman" w:hAnsi="Times New Roman"/>
                <w:bCs/>
                <w:sz w:val="24"/>
                <w:szCs w:val="24"/>
              </w:rPr>
              <w:t xml:space="preserve"> neietver Veselības i</w:t>
            </w:r>
            <w:r w:rsidR="00983EF2" w:rsidRPr="008E275D">
              <w:rPr>
                <w:rFonts w:ascii="Times New Roman" w:hAnsi="Times New Roman"/>
                <w:bCs/>
                <w:sz w:val="24"/>
                <w:szCs w:val="24"/>
              </w:rPr>
              <w:t>nspekcijas kompetencē esošu noteikumu pārkāpumu. Inspekcija sniedz atzinumu savas kompetences ietvaros (Ministru kabineta 2006.gada 1.augusta noteikumi Nr.631</w:t>
            </w:r>
            <w:r w:rsidR="00983EF2" w:rsidRPr="008E275D">
              <w:rPr>
                <w:rFonts w:ascii="Times New Roman" w:hAnsi="Times New Roman"/>
                <w:sz w:val="24"/>
                <w:szCs w:val="24"/>
              </w:rPr>
              <w:t xml:space="preserve"> </w:t>
            </w:r>
            <w:r w:rsidR="00983EF2" w:rsidRPr="008E275D">
              <w:rPr>
                <w:rFonts w:ascii="Times New Roman" w:hAnsi="Times New Roman"/>
                <w:i/>
                <w:sz w:val="24"/>
                <w:szCs w:val="24"/>
              </w:rPr>
              <w:t xml:space="preserve">„Kārtība, kādā piesakāms un izskatāms patērētāja prasījums par līguma noteikumiem neatbilstošu preci vai pakalpojumu”). </w:t>
            </w:r>
            <w:r w:rsidR="00983EF2" w:rsidRPr="008E275D">
              <w:rPr>
                <w:rFonts w:ascii="Times New Roman" w:hAnsi="Times New Roman"/>
                <w:sz w:val="24"/>
                <w:szCs w:val="24"/>
              </w:rPr>
              <w:t xml:space="preserve">LAPK </w:t>
            </w:r>
            <w:r w:rsidR="00983EF2" w:rsidRPr="008E275D">
              <w:rPr>
                <w:rFonts w:ascii="Times New Roman" w:hAnsi="Times New Roman"/>
                <w:bCs/>
                <w:sz w:val="24"/>
                <w:szCs w:val="24"/>
              </w:rPr>
              <w:t>166.</w:t>
            </w:r>
            <w:r w:rsidR="00983EF2" w:rsidRPr="008E275D">
              <w:rPr>
                <w:rFonts w:ascii="Times New Roman" w:hAnsi="Times New Roman"/>
                <w:bCs/>
                <w:sz w:val="24"/>
                <w:szCs w:val="24"/>
                <w:vertAlign w:val="superscript"/>
              </w:rPr>
              <w:t xml:space="preserve">11 </w:t>
            </w:r>
            <w:r w:rsidR="00983EF2" w:rsidRPr="008E275D">
              <w:rPr>
                <w:rFonts w:ascii="Times New Roman" w:hAnsi="Times New Roman"/>
                <w:bCs/>
                <w:sz w:val="24"/>
                <w:szCs w:val="24"/>
              </w:rPr>
              <w:t>pantu piemēro Patērētāju tiesību aizsardzības centrs (LAPK 215.</w:t>
            </w:r>
            <w:r w:rsidR="00983EF2" w:rsidRPr="008E275D">
              <w:rPr>
                <w:rFonts w:ascii="Times New Roman" w:hAnsi="Times New Roman"/>
                <w:bCs/>
                <w:sz w:val="24"/>
                <w:szCs w:val="24"/>
                <w:vertAlign w:val="superscript"/>
              </w:rPr>
              <w:t>4</w:t>
            </w:r>
            <w:r w:rsidR="00983EF2" w:rsidRPr="008E275D">
              <w:rPr>
                <w:rFonts w:ascii="Times New Roman" w:hAnsi="Times New Roman"/>
                <w:bCs/>
                <w:sz w:val="24"/>
                <w:szCs w:val="24"/>
              </w:rPr>
              <w:t xml:space="preserve"> panta pirmā daļa).</w:t>
            </w:r>
          </w:p>
          <w:p w:rsidR="00AA3451" w:rsidRPr="008E275D" w:rsidRDefault="00AA3451" w:rsidP="00E27804">
            <w:pPr>
              <w:pStyle w:val="NoSpacing"/>
              <w:jc w:val="both"/>
              <w:rPr>
                <w:rFonts w:ascii="Times New Roman" w:hAnsi="Times New Roman"/>
                <w:b/>
                <w:bCs/>
                <w:sz w:val="24"/>
                <w:szCs w:val="24"/>
              </w:rPr>
            </w:pPr>
          </w:p>
          <w:p w:rsidR="00AA3451" w:rsidRPr="008E275D" w:rsidRDefault="00983EF2" w:rsidP="00E27804">
            <w:pPr>
              <w:pStyle w:val="NoSpacing"/>
              <w:jc w:val="both"/>
              <w:rPr>
                <w:rFonts w:ascii="Times New Roman" w:hAnsi="Times New Roman"/>
                <w:bCs/>
                <w:sz w:val="24"/>
                <w:szCs w:val="24"/>
              </w:rPr>
            </w:pPr>
            <w:r w:rsidRPr="008E275D">
              <w:rPr>
                <w:rFonts w:ascii="Times New Roman" w:hAnsi="Times New Roman"/>
                <w:b/>
                <w:bCs/>
                <w:sz w:val="24"/>
                <w:szCs w:val="24"/>
              </w:rPr>
              <w:t>1</w:t>
            </w:r>
            <w:r w:rsidR="003B6A19" w:rsidRPr="008E275D">
              <w:rPr>
                <w:rFonts w:ascii="Times New Roman" w:hAnsi="Times New Roman"/>
                <w:b/>
                <w:bCs/>
                <w:sz w:val="24"/>
                <w:szCs w:val="24"/>
              </w:rPr>
              <w:t>0</w:t>
            </w:r>
            <w:r w:rsidRPr="008E275D">
              <w:rPr>
                <w:rFonts w:ascii="Times New Roman" w:hAnsi="Times New Roman"/>
                <w:b/>
                <w:bCs/>
                <w:sz w:val="24"/>
                <w:szCs w:val="24"/>
              </w:rPr>
              <w:t>)</w:t>
            </w:r>
            <w:r w:rsidR="000D451B" w:rsidRPr="008E275D">
              <w:rPr>
                <w:rFonts w:ascii="Times New Roman" w:hAnsi="Times New Roman"/>
                <w:b/>
                <w:bCs/>
                <w:sz w:val="24"/>
                <w:szCs w:val="24"/>
              </w:rPr>
              <w:t xml:space="preserve"> </w:t>
            </w:r>
            <w:r w:rsidRPr="008E275D">
              <w:rPr>
                <w:rFonts w:ascii="Times New Roman" w:hAnsi="Times New Roman"/>
                <w:b/>
                <w:color w:val="000000"/>
                <w:sz w:val="24"/>
                <w:szCs w:val="24"/>
              </w:rPr>
              <w:t>LAPK</w:t>
            </w:r>
            <w:r w:rsidRPr="008E275D">
              <w:rPr>
                <w:rFonts w:ascii="Times New Roman" w:hAnsi="Times New Roman"/>
                <w:b/>
                <w:bCs/>
                <w:color w:val="000000"/>
                <w:sz w:val="24"/>
                <w:szCs w:val="24"/>
              </w:rPr>
              <w:t xml:space="preserve"> 166</w:t>
            </w:r>
            <w:r w:rsidRPr="008E275D">
              <w:rPr>
                <w:rFonts w:ascii="Times New Roman" w:hAnsi="Times New Roman"/>
                <w:b/>
                <w:bCs/>
                <w:color w:val="000000"/>
                <w:sz w:val="24"/>
                <w:szCs w:val="24"/>
                <w:vertAlign w:val="superscript"/>
              </w:rPr>
              <w:t>12</w:t>
            </w:r>
            <w:r w:rsidRPr="008E275D">
              <w:rPr>
                <w:rFonts w:ascii="Times New Roman" w:hAnsi="Times New Roman"/>
                <w:b/>
                <w:bCs/>
                <w:i/>
                <w:color w:val="000000"/>
                <w:sz w:val="24"/>
                <w:szCs w:val="24"/>
              </w:rPr>
              <w:t>.</w:t>
            </w:r>
            <w:r w:rsidRPr="008E275D">
              <w:rPr>
                <w:rFonts w:ascii="Times New Roman" w:hAnsi="Times New Roman"/>
                <w:b/>
                <w:bCs/>
                <w:color w:val="000000"/>
                <w:sz w:val="24"/>
                <w:szCs w:val="24"/>
              </w:rPr>
              <w:t>panta „</w:t>
            </w:r>
            <w:hyperlink r:id="rId13" w:anchor="1" w:tgtFrame="_top" w:tooltip="Patērētāju tiesību aizsardzības likums" w:history="1">
              <w:r w:rsidRPr="008E275D">
                <w:rPr>
                  <w:rStyle w:val="Hyperlink"/>
                  <w:rFonts w:ascii="Times New Roman" w:hAnsi="Times New Roman"/>
                  <w:b/>
                  <w:bCs/>
                  <w:i/>
                  <w:color w:val="000000"/>
                  <w:sz w:val="24"/>
                  <w:szCs w:val="24"/>
                  <w:u w:val="none"/>
                </w:rPr>
                <w:t>Informācijas nesniegšana par preci, pakalpojumu, ražotāju, pārdevēju vai pakalpojumu sniedzēju</w:t>
              </w:r>
            </w:hyperlink>
            <w:r w:rsidRPr="008E275D">
              <w:rPr>
                <w:rFonts w:ascii="Times New Roman" w:hAnsi="Times New Roman"/>
                <w:i/>
                <w:color w:val="000000"/>
                <w:sz w:val="24"/>
                <w:szCs w:val="24"/>
              </w:rPr>
              <w:t>”</w:t>
            </w:r>
            <w:r w:rsidRPr="008E275D">
              <w:rPr>
                <w:rFonts w:ascii="Times New Roman" w:hAnsi="Times New Roman"/>
                <w:b/>
                <w:bCs/>
                <w:color w:val="000000"/>
                <w:sz w:val="24"/>
                <w:szCs w:val="24"/>
              </w:rPr>
              <w:t xml:space="preserve"> </w:t>
            </w:r>
            <w:r w:rsidR="006317DD" w:rsidRPr="008E275D">
              <w:rPr>
                <w:rFonts w:ascii="Times New Roman" w:hAnsi="Times New Roman"/>
                <w:bCs/>
                <w:color w:val="000000"/>
                <w:sz w:val="24"/>
                <w:szCs w:val="24"/>
              </w:rPr>
              <w:t xml:space="preserve">trešā </w:t>
            </w:r>
            <w:r w:rsidRPr="008E275D">
              <w:rPr>
                <w:rFonts w:ascii="Times New Roman" w:hAnsi="Times New Roman"/>
                <w:bCs/>
                <w:color w:val="000000"/>
                <w:sz w:val="24"/>
                <w:szCs w:val="24"/>
              </w:rPr>
              <w:t>daļa</w:t>
            </w:r>
            <w:r w:rsidRPr="008E275D">
              <w:rPr>
                <w:rFonts w:ascii="Times New Roman" w:hAnsi="Times New Roman"/>
                <w:bCs/>
                <w:sz w:val="24"/>
                <w:szCs w:val="24"/>
              </w:rPr>
              <w:t xml:space="preserve"> (</w:t>
            </w:r>
            <w:r w:rsidRPr="008E275D">
              <w:rPr>
                <w:rFonts w:ascii="Times New Roman" w:hAnsi="Times New Roman"/>
                <w:i/>
                <w:sz w:val="24"/>
                <w:szCs w:val="24"/>
              </w:rPr>
              <w:t>par šā panta pirmajā daļā paredzētajiem pārkāpumiem, ja tie izdarīti attiecībā uz degvielu</w:t>
            </w:r>
            <w:r w:rsidRPr="008E275D">
              <w:rPr>
                <w:rFonts w:ascii="Times New Roman" w:hAnsi="Times New Roman"/>
                <w:sz w:val="24"/>
                <w:szCs w:val="24"/>
              </w:rPr>
              <w:t xml:space="preserve">) </w:t>
            </w:r>
            <w:r w:rsidRPr="008E275D">
              <w:rPr>
                <w:rFonts w:ascii="Times New Roman" w:hAnsi="Times New Roman"/>
                <w:bCs/>
                <w:sz w:val="24"/>
                <w:szCs w:val="24"/>
              </w:rPr>
              <w:t xml:space="preserve">izslēdzama no Veselības inspekcijas kompetences, jo pārkāpuma sastāvs neietver </w:t>
            </w:r>
            <w:r w:rsidR="003B6A19" w:rsidRPr="008E275D">
              <w:rPr>
                <w:rFonts w:ascii="Times New Roman" w:hAnsi="Times New Roman"/>
                <w:bCs/>
                <w:sz w:val="24"/>
                <w:szCs w:val="24"/>
              </w:rPr>
              <w:t>Veselības i</w:t>
            </w:r>
            <w:r w:rsidRPr="008E275D">
              <w:rPr>
                <w:rFonts w:ascii="Times New Roman" w:hAnsi="Times New Roman"/>
                <w:bCs/>
                <w:sz w:val="24"/>
                <w:szCs w:val="24"/>
              </w:rPr>
              <w:t>nspekcijas kompetencē esošu noteikumu pārkāpumu. LAPK 166</w:t>
            </w:r>
            <w:r w:rsidRPr="008E275D">
              <w:rPr>
                <w:rFonts w:ascii="Times New Roman" w:hAnsi="Times New Roman"/>
                <w:bCs/>
                <w:sz w:val="24"/>
                <w:szCs w:val="24"/>
                <w:vertAlign w:val="superscript"/>
              </w:rPr>
              <w:t>12</w:t>
            </w:r>
            <w:r w:rsidRPr="008E275D">
              <w:rPr>
                <w:rFonts w:ascii="Times New Roman" w:hAnsi="Times New Roman"/>
                <w:bCs/>
                <w:i/>
                <w:sz w:val="24"/>
                <w:szCs w:val="24"/>
              </w:rPr>
              <w:t>.</w:t>
            </w:r>
            <w:r w:rsidRPr="008E275D">
              <w:rPr>
                <w:rFonts w:ascii="Times New Roman" w:hAnsi="Times New Roman"/>
                <w:bCs/>
                <w:sz w:val="24"/>
                <w:szCs w:val="24"/>
              </w:rPr>
              <w:t>panta trešo daļu piemēro Valsts ieņēmumu dienests (LAPK 215.</w:t>
            </w:r>
            <w:r w:rsidRPr="008E275D">
              <w:rPr>
                <w:rFonts w:ascii="Times New Roman" w:hAnsi="Times New Roman"/>
                <w:bCs/>
                <w:sz w:val="24"/>
                <w:szCs w:val="24"/>
                <w:vertAlign w:val="superscript"/>
              </w:rPr>
              <w:t>1</w:t>
            </w:r>
            <w:r w:rsidRPr="008E275D">
              <w:rPr>
                <w:rFonts w:ascii="Times New Roman" w:hAnsi="Times New Roman"/>
                <w:bCs/>
                <w:sz w:val="24"/>
                <w:szCs w:val="24"/>
              </w:rPr>
              <w:t xml:space="preserve"> panta pirmā daļa).</w:t>
            </w:r>
          </w:p>
          <w:p w:rsidR="00F836E3" w:rsidRPr="008E275D" w:rsidRDefault="00F836E3" w:rsidP="00E27804">
            <w:pPr>
              <w:pStyle w:val="NoSpacing"/>
              <w:jc w:val="both"/>
              <w:rPr>
                <w:rFonts w:ascii="Times New Roman" w:hAnsi="Times New Roman"/>
                <w:b/>
                <w:bCs/>
                <w:sz w:val="24"/>
                <w:szCs w:val="24"/>
              </w:rPr>
            </w:pPr>
          </w:p>
          <w:p w:rsidR="00E27804" w:rsidRPr="008E275D" w:rsidRDefault="003B6A19" w:rsidP="00E27804">
            <w:pPr>
              <w:pStyle w:val="NoSpacing"/>
              <w:jc w:val="both"/>
              <w:rPr>
                <w:rFonts w:ascii="Times New Roman" w:hAnsi="Times New Roman"/>
                <w:bCs/>
                <w:sz w:val="24"/>
                <w:szCs w:val="24"/>
              </w:rPr>
            </w:pPr>
            <w:r w:rsidRPr="008E275D">
              <w:rPr>
                <w:rFonts w:ascii="Times New Roman" w:hAnsi="Times New Roman"/>
                <w:b/>
                <w:bCs/>
                <w:sz w:val="24"/>
                <w:szCs w:val="24"/>
              </w:rPr>
              <w:t>11</w:t>
            </w:r>
            <w:r w:rsidR="00E27804" w:rsidRPr="008E275D">
              <w:rPr>
                <w:rFonts w:ascii="Times New Roman" w:hAnsi="Times New Roman"/>
                <w:b/>
                <w:bCs/>
                <w:sz w:val="24"/>
                <w:szCs w:val="24"/>
              </w:rPr>
              <w:t xml:space="preserve">) </w:t>
            </w:r>
            <w:r w:rsidR="00E27804" w:rsidRPr="008E275D">
              <w:rPr>
                <w:rFonts w:ascii="Times New Roman" w:hAnsi="Times New Roman"/>
                <w:b/>
                <w:sz w:val="24"/>
                <w:szCs w:val="24"/>
              </w:rPr>
              <w:t>LAPK</w:t>
            </w:r>
            <w:r w:rsidR="00E27804" w:rsidRPr="008E275D">
              <w:rPr>
                <w:rFonts w:ascii="Times New Roman" w:hAnsi="Times New Roman"/>
                <w:b/>
                <w:bCs/>
                <w:sz w:val="24"/>
                <w:szCs w:val="24"/>
              </w:rPr>
              <w:t xml:space="preserve"> 166</w:t>
            </w:r>
            <w:r w:rsidR="00E27804" w:rsidRPr="008E275D">
              <w:rPr>
                <w:rFonts w:ascii="Times New Roman" w:hAnsi="Times New Roman"/>
                <w:b/>
                <w:bCs/>
                <w:sz w:val="24"/>
                <w:szCs w:val="24"/>
                <w:vertAlign w:val="superscript"/>
              </w:rPr>
              <w:t>14</w:t>
            </w:r>
            <w:r w:rsidR="00E27804" w:rsidRPr="008E275D">
              <w:rPr>
                <w:rFonts w:ascii="Times New Roman" w:hAnsi="Times New Roman"/>
                <w:b/>
                <w:bCs/>
                <w:i/>
                <w:sz w:val="24"/>
                <w:szCs w:val="24"/>
              </w:rPr>
              <w:t>.</w:t>
            </w:r>
            <w:r w:rsidR="00E27804" w:rsidRPr="008E275D">
              <w:rPr>
                <w:rFonts w:ascii="Times New Roman" w:hAnsi="Times New Roman"/>
                <w:b/>
                <w:bCs/>
                <w:sz w:val="24"/>
                <w:szCs w:val="24"/>
              </w:rPr>
              <w:t>pants</w:t>
            </w:r>
            <w:r w:rsidR="00E27804" w:rsidRPr="008E275D">
              <w:rPr>
                <w:rFonts w:ascii="Times New Roman" w:hAnsi="Times New Roman"/>
                <w:b/>
                <w:bCs/>
                <w:i/>
                <w:sz w:val="24"/>
                <w:szCs w:val="24"/>
              </w:rPr>
              <w:t xml:space="preserve"> „Viltotu preču pārdošana</w:t>
            </w:r>
            <w:r w:rsidR="00E27804" w:rsidRPr="008E275D">
              <w:rPr>
                <w:rFonts w:ascii="Times New Roman" w:hAnsi="Times New Roman"/>
                <w:b/>
                <w:bCs/>
                <w:sz w:val="24"/>
                <w:szCs w:val="24"/>
              </w:rPr>
              <w:t>”</w:t>
            </w:r>
            <w:r w:rsidR="00E27804" w:rsidRPr="008E275D">
              <w:rPr>
                <w:rFonts w:ascii="Times New Roman" w:hAnsi="Times New Roman"/>
                <w:b/>
                <w:sz w:val="24"/>
                <w:szCs w:val="24"/>
              </w:rPr>
              <w:t xml:space="preserve"> </w:t>
            </w:r>
            <w:r w:rsidRPr="008E275D">
              <w:rPr>
                <w:rFonts w:ascii="Times New Roman" w:hAnsi="Times New Roman"/>
                <w:bCs/>
                <w:sz w:val="24"/>
                <w:szCs w:val="24"/>
              </w:rPr>
              <w:t xml:space="preserve">(pirmā </w:t>
            </w:r>
            <w:r w:rsidR="00E27804" w:rsidRPr="008E275D">
              <w:rPr>
                <w:rFonts w:ascii="Times New Roman" w:hAnsi="Times New Roman"/>
                <w:bCs/>
                <w:sz w:val="24"/>
                <w:szCs w:val="24"/>
              </w:rPr>
              <w:t>daļa „</w:t>
            </w:r>
            <w:r w:rsidR="00E27804" w:rsidRPr="008E275D">
              <w:rPr>
                <w:rFonts w:ascii="Times New Roman" w:hAnsi="Times New Roman"/>
                <w:i/>
                <w:sz w:val="24"/>
                <w:szCs w:val="24"/>
              </w:rPr>
              <w:t>Par viltotu preču piedāvāšanu vai pārdošanu”</w:t>
            </w:r>
            <w:r w:rsidR="00E27804" w:rsidRPr="008E275D">
              <w:rPr>
                <w:rFonts w:ascii="Times New Roman" w:hAnsi="Times New Roman"/>
                <w:bCs/>
                <w:sz w:val="24"/>
                <w:szCs w:val="24"/>
              </w:rPr>
              <w:t xml:space="preserve">) izslēdzams no Veselības inspekcijas kompetences, jo </w:t>
            </w:r>
            <w:r w:rsidR="00E27804" w:rsidRPr="008E275D">
              <w:rPr>
                <w:rFonts w:ascii="Times New Roman" w:hAnsi="Times New Roman"/>
                <w:sz w:val="24"/>
                <w:szCs w:val="24"/>
              </w:rPr>
              <w:t xml:space="preserve">praksē netiek piemērots. LAPK </w:t>
            </w:r>
            <w:r w:rsidR="00E27804" w:rsidRPr="008E275D">
              <w:rPr>
                <w:rFonts w:ascii="Times New Roman" w:hAnsi="Times New Roman"/>
                <w:bCs/>
                <w:sz w:val="24"/>
                <w:szCs w:val="24"/>
              </w:rPr>
              <w:t>166</w:t>
            </w:r>
            <w:r w:rsidR="00E27804" w:rsidRPr="008E275D">
              <w:rPr>
                <w:rFonts w:ascii="Times New Roman" w:hAnsi="Times New Roman"/>
                <w:bCs/>
                <w:sz w:val="24"/>
                <w:szCs w:val="24"/>
                <w:vertAlign w:val="superscript"/>
              </w:rPr>
              <w:t>14</w:t>
            </w:r>
            <w:r w:rsidR="00E27804" w:rsidRPr="008E275D">
              <w:rPr>
                <w:rFonts w:ascii="Times New Roman" w:hAnsi="Times New Roman"/>
                <w:bCs/>
                <w:i/>
                <w:sz w:val="24"/>
                <w:szCs w:val="24"/>
              </w:rPr>
              <w:t>.</w:t>
            </w:r>
            <w:r w:rsidRPr="008E275D">
              <w:rPr>
                <w:rFonts w:ascii="Times New Roman" w:hAnsi="Times New Roman"/>
                <w:bCs/>
                <w:sz w:val="24"/>
                <w:szCs w:val="24"/>
              </w:rPr>
              <w:t xml:space="preserve">panta pirmo </w:t>
            </w:r>
            <w:r w:rsidR="00E27804" w:rsidRPr="008E275D">
              <w:rPr>
                <w:rFonts w:ascii="Times New Roman" w:hAnsi="Times New Roman"/>
                <w:bCs/>
                <w:sz w:val="24"/>
                <w:szCs w:val="24"/>
              </w:rPr>
              <w:t>daļu piemēro Valsts ieņēmumu dienests (LAPK 215.</w:t>
            </w:r>
            <w:r w:rsidR="00E27804" w:rsidRPr="008E275D">
              <w:rPr>
                <w:rFonts w:ascii="Times New Roman" w:hAnsi="Times New Roman"/>
                <w:bCs/>
                <w:sz w:val="24"/>
                <w:szCs w:val="24"/>
                <w:vertAlign w:val="superscript"/>
              </w:rPr>
              <w:t>1</w:t>
            </w:r>
            <w:r w:rsidR="00E27804" w:rsidRPr="008E275D">
              <w:rPr>
                <w:rFonts w:ascii="Times New Roman" w:hAnsi="Times New Roman"/>
                <w:bCs/>
                <w:sz w:val="24"/>
                <w:szCs w:val="24"/>
              </w:rPr>
              <w:t xml:space="preserve"> panta pirmā daļa) un Pārtikas un veterinārais dienests (LAPK 230.pants).</w:t>
            </w:r>
          </w:p>
          <w:p w:rsidR="00F836E3" w:rsidRPr="008E275D" w:rsidRDefault="00F836E3" w:rsidP="008C7FE1">
            <w:pPr>
              <w:pStyle w:val="NoSpacing"/>
              <w:jc w:val="both"/>
              <w:rPr>
                <w:rFonts w:ascii="Times New Roman" w:hAnsi="Times New Roman"/>
                <w:bCs/>
                <w:sz w:val="24"/>
                <w:szCs w:val="24"/>
              </w:rPr>
            </w:pPr>
          </w:p>
          <w:p w:rsidR="00581959" w:rsidRPr="008E275D" w:rsidRDefault="00002A93" w:rsidP="008C7FE1">
            <w:pPr>
              <w:tabs>
                <w:tab w:val="left" w:pos="1134"/>
              </w:tabs>
              <w:overflowPunct w:val="0"/>
              <w:autoSpaceDE w:val="0"/>
              <w:autoSpaceDN w:val="0"/>
              <w:adjustRightInd w:val="0"/>
              <w:jc w:val="both"/>
              <w:textAlignment w:val="baseline"/>
            </w:pPr>
            <w:r>
              <w:rPr>
                <w:b/>
              </w:rPr>
              <w:t>7</w:t>
            </w:r>
            <w:r w:rsidR="000D451B" w:rsidRPr="008E275D">
              <w:rPr>
                <w:b/>
              </w:rPr>
              <w:t xml:space="preserve">. </w:t>
            </w:r>
            <w:r w:rsidR="00B331EF" w:rsidRPr="008E275D">
              <w:rPr>
                <w:b/>
              </w:rPr>
              <w:t>I</w:t>
            </w:r>
            <w:r w:rsidR="00983EF2" w:rsidRPr="008E275D">
              <w:rPr>
                <w:b/>
              </w:rPr>
              <w:t>nformatīvā atsauce uz Eiropas Savienības direktīvām</w:t>
            </w:r>
            <w:r w:rsidR="00B331EF" w:rsidRPr="008E275D">
              <w:t xml:space="preserve"> </w:t>
            </w:r>
            <w:r w:rsidR="00983EF2" w:rsidRPr="008E275D">
              <w:t>papildin</w:t>
            </w:r>
            <w:r w:rsidR="00B331EF" w:rsidRPr="008E275D">
              <w:t>āta</w:t>
            </w:r>
            <w:r w:rsidR="00983EF2" w:rsidRPr="008E275D">
              <w:t xml:space="preserve"> ar atsauci uz Eiropas Padomes 2010.gada 10.maija direktīvu 2010/32/ES, ar ko īsteno HOSPEEM un EPSU noslēgto </w:t>
            </w:r>
            <w:proofErr w:type="spellStart"/>
            <w:r w:rsidR="00983EF2" w:rsidRPr="008E275D">
              <w:t>Pamatnolīgumu</w:t>
            </w:r>
            <w:proofErr w:type="spellEnd"/>
            <w:r w:rsidR="00983EF2" w:rsidRPr="008E275D">
              <w:t xml:space="preserve"> par asu instrumentu radītu ievainojumu novēršanu slimnīcu un veselības aprūpes nozarē, kuras prasības nepieciešams pārņemt nacionālajā normatīvajā regulējumā, (turpmāk – </w:t>
            </w:r>
            <w:r w:rsidR="00F836E3" w:rsidRPr="008E275D">
              <w:t>d</w:t>
            </w:r>
            <w:r w:rsidR="00983EF2" w:rsidRPr="008E275D">
              <w:t xml:space="preserve">irektīva), lai nodrošinātu </w:t>
            </w:r>
            <w:r w:rsidR="00F836E3" w:rsidRPr="008E275D">
              <w:t>d</w:t>
            </w:r>
            <w:r w:rsidR="00983EF2" w:rsidRPr="008E275D">
              <w:t xml:space="preserve">irektīvas 3.panta 1.punktā noteikto (dalībvalstis normatīvajos aktos, ar kuriem ir pārņemtas </w:t>
            </w:r>
            <w:r w:rsidR="00F836E3" w:rsidRPr="008E275D">
              <w:t>d</w:t>
            </w:r>
            <w:r w:rsidR="00983EF2" w:rsidRPr="008E275D">
              <w:t xml:space="preserve">irektīvas prasības, ietver vai oficiālajai publikācijai pievieno atsauci uz Direktīvu). </w:t>
            </w:r>
            <w:r w:rsidR="00F27BFB" w:rsidRPr="008E275D">
              <w:t xml:space="preserve">Ar </w:t>
            </w:r>
            <w:r w:rsidR="00983EF2" w:rsidRPr="008E275D">
              <w:t>LAPK 41.</w:t>
            </w:r>
            <w:r w:rsidR="00983EF2" w:rsidRPr="008E275D">
              <w:rPr>
                <w:vertAlign w:val="superscript"/>
              </w:rPr>
              <w:t>4</w:t>
            </w:r>
            <w:r w:rsidR="00983EF2" w:rsidRPr="008E275D">
              <w:t xml:space="preserve"> un 41.</w:t>
            </w:r>
            <w:r w:rsidR="00983EF2" w:rsidRPr="008E275D">
              <w:rPr>
                <w:vertAlign w:val="superscript"/>
              </w:rPr>
              <w:t>5</w:t>
            </w:r>
            <w:r w:rsidR="00F27BFB" w:rsidRPr="008E275D">
              <w:t xml:space="preserve"> pantu</w:t>
            </w:r>
            <w:r w:rsidR="00983EF2" w:rsidRPr="008E275D">
              <w:t xml:space="preserve"> (kurā noteikta administratīvā atbildība par </w:t>
            </w:r>
            <w:r w:rsidR="00983EF2" w:rsidRPr="008E275D">
              <w:rPr>
                <w:bCs/>
              </w:rPr>
              <w:t xml:space="preserve">darba aizsardzību regulējošo normatīvo aktu pārkāpšanu un darba aizsardzību regulējošo normatīvo aktu pārkāpšanu, kas rada tiešus draudus nodarbināto drošībai un </w:t>
            </w:r>
            <w:r w:rsidR="00F27BFB" w:rsidRPr="008E275D">
              <w:rPr>
                <w:bCs/>
              </w:rPr>
              <w:t>veselībai), kā arī LAPK 75.pantu</w:t>
            </w:r>
            <w:r w:rsidR="00983EF2" w:rsidRPr="008E275D">
              <w:rPr>
                <w:bCs/>
              </w:rPr>
              <w:t xml:space="preserve"> (kas paredz administratīvo atbildību par atkritumu, tajā skaitā ārstniecības iestādēs radušos atkritumu, apsaimniekošanas note</w:t>
            </w:r>
            <w:r w:rsidR="00F836E3" w:rsidRPr="008E275D">
              <w:rPr>
                <w:bCs/>
              </w:rPr>
              <w:t>ikumu pārkāpšanu) ir pārņemtas d</w:t>
            </w:r>
            <w:r w:rsidR="00983EF2" w:rsidRPr="008E275D">
              <w:rPr>
                <w:bCs/>
              </w:rPr>
              <w:t xml:space="preserve">irektīvas </w:t>
            </w:r>
            <w:r w:rsidR="00983EF2" w:rsidRPr="008E275D">
              <w:t>2.panta, kas paredz Eiropas Savienības dalībvalstīm noteikt efektīvas, samērīgas un atturošas sankcijas, ko piemēro, ja ir pārkāpti valstu noteiku</w:t>
            </w:r>
            <w:r w:rsidR="00F836E3" w:rsidRPr="008E275D">
              <w:t>mi, kas pieņemti, ievērojot šo d</w:t>
            </w:r>
            <w:r w:rsidR="00983EF2" w:rsidRPr="008E275D">
              <w:t>irektīvu, prasības.</w:t>
            </w:r>
            <w:r w:rsidR="00581959" w:rsidRPr="008E275D">
              <w:t xml:space="preserve"> </w:t>
            </w:r>
            <w:r w:rsidR="00581959" w:rsidRPr="008E275D">
              <w:rPr>
                <w:b/>
                <w:bCs/>
              </w:rPr>
              <w:t xml:space="preserve">LAPK </w:t>
            </w:r>
            <w:r w:rsidR="00581959" w:rsidRPr="008E275D">
              <w:rPr>
                <w:b/>
              </w:rPr>
              <w:t>informatīvā atsauce uz Eiropas Savienības direktīvām</w:t>
            </w:r>
            <w:r w:rsidR="00581959" w:rsidRPr="008E275D">
              <w:t xml:space="preserve"> papildināta ar atsauci uz </w:t>
            </w:r>
            <w:r w:rsidR="00F836E3" w:rsidRPr="008E275D">
              <w:t>d</w:t>
            </w:r>
            <w:r w:rsidR="00581959" w:rsidRPr="008E275D">
              <w:t>irektīvu.</w:t>
            </w:r>
          </w:p>
          <w:p w:rsidR="00F95719" w:rsidRPr="000C5CB0" w:rsidRDefault="00983EF2" w:rsidP="00AA3451">
            <w:pPr>
              <w:pStyle w:val="ListParagraph"/>
              <w:spacing w:after="60"/>
              <w:ind w:left="0"/>
              <w:jc w:val="both"/>
              <w:rPr>
                <w:lang w:val="lv-LV"/>
              </w:rPr>
            </w:pPr>
            <w:r w:rsidRPr="008E275D">
              <w:rPr>
                <w:lang w:val="lv-LV"/>
              </w:rPr>
              <w:t xml:space="preserve">Likumprojekts pilnībā atrisinās anotācijas I nodaļas 2.punktā </w:t>
            </w:r>
            <w:r w:rsidRPr="008E275D">
              <w:rPr>
                <w:lang w:val="lv-LV"/>
              </w:rPr>
              <w:lastRenderedPageBreak/>
              <w:t>minētās problēmas.</w:t>
            </w:r>
          </w:p>
        </w:tc>
      </w:tr>
      <w:tr w:rsidR="009A0027" w:rsidRPr="009656DE" w:rsidTr="00D36916">
        <w:trPr>
          <w:trHeight w:val="476"/>
        </w:trPr>
        <w:tc>
          <w:tcPr>
            <w:tcW w:w="677" w:type="dxa"/>
          </w:tcPr>
          <w:p w:rsidR="00262E2B" w:rsidRPr="009656DE" w:rsidRDefault="003A3C61" w:rsidP="006D0922">
            <w:pPr>
              <w:pStyle w:val="naiskr"/>
              <w:spacing w:before="0" w:after="0"/>
              <w:jc w:val="center"/>
            </w:pPr>
            <w:r w:rsidRPr="009656DE">
              <w:lastRenderedPageBreak/>
              <w:t>3</w:t>
            </w:r>
            <w:r w:rsidR="00262E2B" w:rsidRPr="009656DE">
              <w:t>.</w:t>
            </w:r>
          </w:p>
        </w:tc>
        <w:tc>
          <w:tcPr>
            <w:tcW w:w="3024" w:type="dxa"/>
          </w:tcPr>
          <w:p w:rsidR="00262E2B" w:rsidRPr="009656DE" w:rsidRDefault="001A4066" w:rsidP="00B84642">
            <w:pPr>
              <w:pStyle w:val="naiskr"/>
              <w:spacing w:before="0" w:after="60"/>
            </w:pPr>
            <w:r w:rsidRPr="009656DE">
              <w:t>Projekta i</w:t>
            </w:r>
            <w:r w:rsidR="00262E2B" w:rsidRPr="009656DE">
              <w:t>zstrād</w:t>
            </w:r>
            <w:r w:rsidR="00420870" w:rsidRPr="009656DE">
              <w:t xml:space="preserve">ē </w:t>
            </w:r>
            <w:r w:rsidR="00262E2B" w:rsidRPr="009656DE">
              <w:t>iesaistītās institūcijas</w:t>
            </w:r>
          </w:p>
        </w:tc>
        <w:tc>
          <w:tcPr>
            <w:tcW w:w="6085" w:type="dxa"/>
          </w:tcPr>
          <w:p w:rsidR="009C5659" w:rsidRPr="008E275D" w:rsidRDefault="00983EF2" w:rsidP="000C5CB0">
            <w:pPr>
              <w:pStyle w:val="naiskr"/>
              <w:spacing w:before="0" w:after="120"/>
              <w:jc w:val="both"/>
            </w:pPr>
            <w:r w:rsidRPr="008E275D">
              <w:t>Veselības inspekcija</w:t>
            </w:r>
            <w:r w:rsidR="00002A93">
              <w:t>.</w:t>
            </w:r>
          </w:p>
        </w:tc>
      </w:tr>
      <w:tr w:rsidR="009A0027" w:rsidRPr="009656DE" w:rsidTr="00D36916">
        <w:tc>
          <w:tcPr>
            <w:tcW w:w="677" w:type="dxa"/>
          </w:tcPr>
          <w:p w:rsidR="00262E2B" w:rsidRPr="009656DE" w:rsidRDefault="003A3C61" w:rsidP="006D0922">
            <w:pPr>
              <w:pStyle w:val="naiskr"/>
              <w:spacing w:before="0" w:after="0"/>
              <w:jc w:val="center"/>
            </w:pPr>
            <w:r w:rsidRPr="009656DE">
              <w:t>4</w:t>
            </w:r>
            <w:r w:rsidR="00262E2B" w:rsidRPr="009656DE">
              <w:t>.</w:t>
            </w:r>
          </w:p>
        </w:tc>
        <w:tc>
          <w:tcPr>
            <w:tcW w:w="3024" w:type="dxa"/>
          </w:tcPr>
          <w:p w:rsidR="00262E2B" w:rsidRPr="009656DE" w:rsidRDefault="00262E2B" w:rsidP="00FB5BAF">
            <w:pPr>
              <w:pStyle w:val="naiskr"/>
              <w:spacing w:before="0" w:after="0"/>
            </w:pPr>
            <w:r w:rsidRPr="009656DE">
              <w:t>Cita informācija</w:t>
            </w:r>
          </w:p>
        </w:tc>
        <w:tc>
          <w:tcPr>
            <w:tcW w:w="6085" w:type="dxa"/>
          </w:tcPr>
          <w:p w:rsidR="00003259" w:rsidRPr="008D3F73" w:rsidRDefault="00003259" w:rsidP="0019196D">
            <w:pPr>
              <w:pStyle w:val="naiskr"/>
              <w:spacing w:before="0" w:after="120"/>
              <w:jc w:val="both"/>
            </w:pPr>
            <w:r w:rsidRPr="008D3F73">
              <w:t>Likumprojekts neietver grozījumu LAPK 43.pantā</w:t>
            </w:r>
            <w:r w:rsidR="008D3F73" w:rsidRPr="008D3F73">
              <w:t xml:space="preserve"> </w:t>
            </w:r>
            <w:r w:rsidR="008D3F73" w:rsidRPr="008D3F73">
              <w:rPr>
                <w:rFonts w:ascii="Arial" w:hAnsi="Arial" w:cs="Arial"/>
                <w:b/>
                <w:bCs/>
              </w:rPr>
              <w:t xml:space="preserve"> </w:t>
            </w:r>
            <w:r w:rsidR="008D3F73" w:rsidRPr="008D3F73">
              <w:rPr>
                <w:bCs/>
                <w:i/>
              </w:rPr>
              <w:t xml:space="preserve">„Sanitāri higiēnisko un sanitāri </w:t>
            </w:r>
            <w:proofErr w:type="spellStart"/>
            <w:r w:rsidR="008D3F73" w:rsidRPr="008D3F73">
              <w:rPr>
                <w:bCs/>
                <w:i/>
              </w:rPr>
              <w:t>pretepidēmisko</w:t>
            </w:r>
            <w:proofErr w:type="spellEnd"/>
            <w:r w:rsidR="008D3F73" w:rsidRPr="008D3F73">
              <w:rPr>
                <w:bCs/>
                <w:i/>
              </w:rPr>
              <w:t xml:space="preserve"> noteikumu pārkāpšana transportā”</w:t>
            </w:r>
            <w:r w:rsidRPr="008D3F73">
              <w:rPr>
                <w:i/>
              </w:rPr>
              <w:t>.</w:t>
            </w:r>
            <w:r w:rsidRPr="008D3F73">
              <w:t xml:space="preserve"> Likumprojekts (VSS-898) ir saskaņots ar Tieslietu ministrijas izveidoto Latvijas Administratīvo pārkāpumu kodeksa pastāvīgo darba grupu (turpmāk - darba grupa). Tāpēc atsevišķa LAPK 43.panta papildus saskaņošana ar darba grupu aizkavētu likumprojekta virzību kopumā, kas nav lietderīgi, turklāt </w:t>
            </w:r>
            <w:bookmarkStart w:id="0" w:name="bkm16"/>
            <w:r w:rsidRPr="008D3F73">
              <w:t xml:space="preserve">ar likumprojektu tiek pārņemta arī </w:t>
            </w:r>
            <w:bookmarkEnd w:id="0"/>
            <w:r w:rsidRPr="008D3F73">
              <w:t xml:space="preserve">Eiropas Padomes 2010.gada 10.maija direktīva </w:t>
            </w:r>
            <w:hyperlink r:id="rId14" w:tgtFrame="_blank" w:tooltip="DIREKTĪVA" w:history="1">
              <w:r w:rsidRPr="008D3F73">
                <w:rPr>
                  <w:rStyle w:val="Hyperlink"/>
                </w:rPr>
                <w:t>2010/32/E</w:t>
              </w:r>
            </w:hyperlink>
            <w:r w:rsidRPr="008D3F73">
              <w:t>S.</w:t>
            </w:r>
            <w:r w:rsidRPr="008D3F73">
              <w:br/>
              <w:t xml:space="preserve">Tāpēc APK 43.panta redakcijas saskaņošanu ar APK 42.panta redakciju var veikt APK </w:t>
            </w:r>
            <w:proofErr w:type="spellStart"/>
            <w:r w:rsidRPr="008D3F73">
              <w:t>dekodifikācijas</w:t>
            </w:r>
            <w:proofErr w:type="spellEnd"/>
            <w:r w:rsidRPr="008D3F73">
              <w:t xml:space="preserve"> pasākumu ietvaros.</w:t>
            </w:r>
          </w:p>
          <w:p w:rsidR="004D3050" w:rsidRPr="008E275D" w:rsidRDefault="004D3050" w:rsidP="0019196D">
            <w:pPr>
              <w:pStyle w:val="naiskr"/>
              <w:spacing w:before="0" w:after="120"/>
              <w:jc w:val="both"/>
            </w:pPr>
            <w:r w:rsidRPr="008E275D">
              <w:t>Likumprojektā administratīvos sodus Veselības inspekcija piemēros, ievērojot Veselības inspekcijas iekšējā normatīvajā aktā par vadlīnijām administratīvo sodu piemērošanā noteiktos kritērijus.</w:t>
            </w:r>
          </w:p>
          <w:p w:rsidR="00D069BB" w:rsidRPr="00F27BFB" w:rsidRDefault="0019196D" w:rsidP="00D069BB">
            <w:pPr>
              <w:pStyle w:val="naiskr"/>
              <w:spacing w:before="0" w:after="120"/>
              <w:jc w:val="both"/>
              <w:rPr>
                <w:sz w:val="28"/>
                <w:szCs w:val="28"/>
              </w:rPr>
            </w:pPr>
            <w:r w:rsidRPr="008E275D">
              <w:t>Likumprojekts izskatīts Tieslietu ministrijas Administratīvo tiesību pilnveidošanas darba grupā</w:t>
            </w:r>
            <w:r w:rsidR="004D3050" w:rsidRPr="008E275D">
              <w:t xml:space="preserve"> 2013.gada 14.novembrī</w:t>
            </w:r>
            <w:r w:rsidRPr="008E275D">
              <w:t>,</w:t>
            </w:r>
            <w:r w:rsidR="004D3050" w:rsidRPr="008E275D">
              <w:t xml:space="preserve"> un </w:t>
            </w:r>
            <w:r w:rsidRPr="008E275D">
              <w:t>izteiktie priekšlikumi ņemti vērā projekta pilnveidošanā.</w:t>
            </w:r>
          </w:p>
        </w:tc>
      </w:tr>
    </w:tbl>
    <w:p w:rsidR="009D4EF6" w:rsidRDefault="009D4EF6" w:rsidP="006D0922">
      <w:pPr>
        <w:pStyle w:val="naisf"/>
        <w:spacing w:before="0" w:after="0"/>
        <w:ind w:firstLine="0"/>
      </w:pPr>
    </w:p>
    <w:p w:rsidR="008C7FE1" w:rsidRPr="009656DE" w:rsidRDefault="008C7FE1" w:rsidP="006D0922">
      <w:pPr>
        <w:pStyle w:val="naisf"/>
        <w:spacing w:before="0" w:after="0"/>
        <w:ind w:firstLine="0"/>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94"/>
        <w:gridCol w:w="3010"/>
        <w:gridCol w:w="6293"/>
      </w:tblGrid>
      <w:tr w:rsidR="009A0027" w:rsidRPr="009656DE" w:rsidTr="00A84596">
        <w:trPr>
          <w:jc w:val="center"/>
        </w:trPr>
        <w:tc>
          <w:tcPr>
            <w:tcW w:w="9997" w:type="dxa"/>
            <w:gridSpan w:val="3"/>
          </w:tcPr>
          <w:p w:rsidR="00FE4973" w:rsidRPr="008C7FE1" w:rsidRDefault="00FE4973" w:rsidP="00097549">
            <w:pPr>
              <w:pStyle w:val="naisnod"/>
              <w:spacing w:before="0" w:after="60"/>
              <w:rPr>
                <w:sz w:val="28"/>
                <w:szCs w:val="28"/>
              </w:rPr>
            </w:pPr>
            <w:r w:rsidRPr="008C7FE1">
              <w:rPr>
                <w:sz w:val="28"/>
                <w:szCs w:val="28"/>
              </w:rPr>
              <w:t>II.</w:t>
            </w:r>
            <w:r w:rsidRPr="008C7FE1">
              <w:rPr>
                <w:bCs w:val="0"/>
                <w:sz w:val="28"/>
                <w:szCs w:val="28"/>
              </w:rPr>
              <w:t xml:space="preserve"> Tiesību akta projekta ietekme uz sabiedrību, tautsaimniecības attīstību un administratīvo slogu</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1.</w:t>
            </w:r>
          </w:p>
        </w:tc>
        <w:tc>
          <w:tcPr>
            <w:tcW w:w="3010" w:type="dxa"/>
          </w:tcPr>
          <w:p w:rsidR="00FE4973" w:rsidRPr="009656DE" w:rsidRDefault="00FE4973" w:rsidP="006D0922">
            <w:pPr>
              <w:pStyle w:val="naiskr"/>
              <w:spacing w:before="0" w:after="0"/>
              <w:rPr>
                <w:iCs/>
              </w:rPr>
            </w:pPr>
            <w:r w:rsidRPr="009656DE">
              <w:t>Sabiedrības mērķgrupas, kuras tiesiskais regulējums ietekmē vai varētu ietekmēt</w:t>
            </w:r>
          </w:p>
        </w:tc>
        <w:tc>
          <w:tcPr>
            <w:tcW w:w="6293" w:type="dxa"/>
          </w:tcPr>
          <w:p w:rsidR="00687DDD" w:rsidRPr="008E275D" w:rsidRDefault="00983EF2" w:rsidP="00104D7A">
            <w:pPr>
              <w:pStyle w:val="naiskr"/>
              <w:tabs>
                <w:tab w:val="left" w:pos="2628"/>
              </w:tabs>
              <w:spacing w:before="0" w:after="60"/>
              <w:jc w:val="both"/>
              <w:rPr>
                <w:color w:val="000000"/>
              </w:rPr>
            </w:pPr>
            <w:r w:rsidRPr="008E275D">
              <w:rPr>
                <w:color w:val="000000"/>
              </w:rPr>
              <w:t>Likumprojekta tiesiskais regulējums attiecas uz ārstniecības personām, farmaceitiem un citām personām, kurām var tikt piemērota administratīvā atbildība</w:t>
            </w:r>
            <w:r w:rsidR="00687DDD" w:rsidRPr="008E275D">
              <w:rPr>
                <w:color w:val="000000"/>
              </w:rPr>
              <w:t>:</w:t>
            </w:r>
          </w:p>
          <w:p w:rsidR="004F304C" w:rsidRDefault="00687DDD" w:rsidP="00687DDD">
            <w:pPr>
              <w:pStyle w:val="naiskr"/>
              <w:tabs>
                <w:tab w:val="left" w:pos="2628"/>
              </w:tabs>
              <w:spacing w:before="0" w:after="60"/>
              <w:jc w:val="both"/>
              <w:rPr>
                <w:color w:val="000000"/>
              </w:rPr>
            </w:pPr>
            <w:r w:rsidRPr="008E275D">
              <w:rPr>
                <w:b/>
                <w:color w:val="000000"/>
              </w:rPr>
              <w:t>42.pants</w:t>
            </w:r>
            <w:r w:rsidRPr="008E275D">
              <w:rPr>
                <w:color w:val="000000"/>
              </w:rPr>
              <w:t xml:space="preserve"> </w:t>
            </w:r>
            <w:r w:rsidRPr="008E275D">
              <w:rPr>
                <w:i/>
                <w:color w:val="000000"/>
              </w:rPr>
              <w:t>„Epidemioloģiskās drošības prasību pārkāpšana”</w:t>
            </w:r>
            <w:r w:rsidRPr="008E275D">
              <w:rPr>
                <w:color w:val="000000"/>
              </w:rPr>
              <w:t xml:space="preserve"> – attiecas uz subjektiem </w:t>
            </w:r>
            <w:r w:rsidR="00EC00CA" w:rsidRPr="008E275D">
              <w:rPr>
                <w:color w:val="000000"/>
              </w:rPr>
              <w:t>(</w:t>
            </w:r>
            <w:r w:rsidRPr="008E275D">
              <w:rPr>
                <w:color w:val="000000"/>
              </w:rPr>
              <w:t>fiziskām un juridiskām personām</w:t>
            </w:r>
            <w:r w:rsidR="00EC00CA" w:rsidRPr="008E275D">
              <w:rPr>
                <w:color w:val="000000"/>
              </w:rPr>
              <w:t>)</w:t>
            </w:r>
            <w:r w:rsidRPr="008E275D">
              <w:rPr>
                <w:color w:val="000000"/>
              </w:rPr>
              <w:t>, kam ir saistoša epidemioloģisko prasību ievērošana</w:t>
            </w:r>
            <w:r w:rsidR="00983EF2" w:rsidRPr="008E275D">
              <w:rPr>
                <w:color w:val="000000"/>
              </w:rPr>
              <w:t>.</w:t>
            </w:r>
          </w:p>
          <w:p w:rsidR="00F90038" w:rsidRPr="008E275D" w:rsidRDefault="00F90038" w:rsidP="001613CE">
            <w:pPr>
              <w:tabs>
                <w:tab w:val="left" w:pos="993"/>
              </w:tabs>
              <w:spacing w:before="100"/>
              <w:jc w:val="both"/>
              <w:rPr>
                <w:color w:val="000000"/>
              </w:rPr>
            </w:pPr>
            <w:r w:rsidRPr="009829CC">
              <w:rPr>
                <w:b/>
                <w:color w:val="000000"/>
              </w:rPr>
              <w:t>45.panta</w:t>
            </w:r>
            <w:r>
              <w:rPr>
                <w:color w:val="000000"/>
              </w:rPr>
              <w:t xml:space="preserve"> trešā daļa attiecas uz ārstniecība</w:t>
            </w:r>
            <w:r w:rsidR="009829CC">
              <w:rPr>
                <w:color w:val="000000"/>
              </w:rPr>
              <w:t>s</w:t>
            </w:r>
            <w:r>
              <w:rPr>
                <w:color w:val="000000"/>
              </w:rPr>
              <w:t xml:space="preserve"> iestād</w:t>
            </w:r>
            <w:r w:rsidR="009829CC">
              <w:rPr>
                <w:color w:val="000000"/>
              </w:rPr>
              <w:t>ē</w:t>
            </w:r>
            <w:r>
              <w:rPr>
                <w:color w:val="000000"/>
              </w:rPr>
              <w:t xml:space="preserve">m, kuras izmanto medicīniskās tehnoloģijas </w:t>
            </w:r>
            <w:r w:rsidRPr="00DF4177">
              <w:rPr>
                <w:b/>
                <w:bCs/>
              </w:rPr>
              <w:t>(</w:t>
            </w:r>
            <w:r>
              <w:t>u</w:t>
            </w:r>
            <w:r w:rsidRPr="00DF4177">
              <w:t>z 10.12.2014. Ārstniecības iestāžu reģistrā ir 4738 ārstniecības iestādes</w:t>
            </w:r>
            <w:r w:rsidRPr="00DF4177">
              <w:rPr>
                <w:b/>
                <w:bCs/>
              </w:rPr>
              <w:t>)</w:t>
            </w:r>
            <w:r>
              <w:rPr>
                <w:b/>
                <w:bCs/>
              </w:rPr>
              <w:t>.</w:t>
            </w:r>
          </w:p>
          <w:p w:rsidR="00687DDD" w:rsidRPr="00FF5CF6" w:rsidRDefault="00687DDD" w:rsidP="00EB20E4">
            <w:pPr>
              <w:tabs>
                <w:tab w:val="left" w:pos="993"/>
              </w:tabs>
              <w:spacing w:before="100"/>
              <w:jc w:val="both"/>
              <w:rPr>
                <w:b/>
                <w:bCs/>
              </w:rPr>
            </w:pPr>
            <w:r w:rsidRPr="008E275D">
              <w:rPr>
                <w:b/>
                <w:bCs/>
              </w:rPr>
              <w:t>45.</w:t>
            </w:r>
            <w:r w:rsidRPr="008E275D">
              <w:rPr>
                <w:b/>
                <w:bCs/>
                <w:vertAlign w:val="superscript"/>
              </w:rPr>
              <w:t>2</w:t>
            </w:r>
            <w:r w:rsidRPr="008E275D">
              <w:rPr>
                <w:b/>
                <w:bCs/>
              </w:rPr>
              <w:t xml:space="preserve">pants </w:t>
            </w:r>
            <w:r w:rsidRPr="008E275D">
              <w:rPr>
                <w:bCs/>
                <w:i/>
              </w:rPr>
              <w:t>„Kārtības neievērošana, kādā ārstniecības iestāde sniedz ziņas par izmaiņām ārstniecības iestādes personālsastāvā”</w:t>
            </w:r>
            <w:r w:rsidRPr="008E275D">
              <w:rPr>
                <w:bCs/>
              </w:rPr>
              <w:t xml:space="preserve"> attiecas uz ārstniecības iestāžu vadītājiem</w:t>
            </w:r>
            <w:r w:rsidR="005D3117">
              <w:rPr>
                <w:bCs/>
              </w:rPr>
              <w:t xml:space="preserve"> </w:t>
            </w:r>
            <w:r w:rsidR="005D3117" w:rsidRPr="00DF4177">
              <w:rPr>
                <w:b/>
                <w:bCs/>
              </w:rPr>
              <w:t>(</w:t>
            </w:r>
            <w:r w:rsidR="00E36D32">
              <w:t>u</w:t>
            </w:r>
            <w:r w:rsidR="00DF4177" w:rsidRPr="00DF4177">
              <w:t>z 10.12.2014. Ārstniecības iestāžu reģistrā ir 4738 ārstniecības iestādes</w:t>
            </w:r>
            <w:r w:rsidR="005D3117" w:rsidRPr="00DF4177">
              <w:rPr>
                <w:b/>
                <w:bCs/>
              </w:rPr>
              <w:t>)</w:t>
            </w:r>
            <w:r w:rsidR="00DF4177">
              <w:rPr>
                <w:b/>
                <w:bCs/>
              </w:rPr>
              <w:t>.</w:t>
            </w:r>
          </w:p>
          <w:p w:rsidR="00646E2E" w:rsidRPr="00FF5CF6" w:rsidRDefault="000F2BE0" w:rsidP="00DF4177">
            <w:pPr>
              <w:tabs>
                <w:tab w:val="left" w:pos="993"/>
              </w:tabs>
              <w:spacing w:before="100"/>
              <w:jc w:val="both"/>
              <w:rPr>
                <w:b/>
              </w:rPr>
            </w:pPr>
            <w:r w:rsidRPr="008E275D">
              <w:rPr>
                <w:b/>
              </w:rPr>
              <w:t>45.</w:t>
            </w:r>
            <w:r w:rsidR="00C6033C" w:rsidRPr="008E275D">
              <w:rPr>
                <w:b/>
                <w:vertAlign w:val="superscript"/>
              </w:rPr>
              <w:t>5</w:t>
            </w:r>
            <w:r w:rsidRPr="008E275D">
              <w:rPr>
                <w:b/>
                <w:vertAlign w:val="superscript"/>
              </w:rPr>
              <w:t xml:space="preserve"> </w:t>
            </w:r>
            <w:r w:rsidRPr="008E275D">
              <w:rPr>
                <w:b/>
              </w:rPr>
              <w:t>pants</w:t>
            </w:r>
            <w:r w:rsidRPr="008E275D">
              <w:t xml:space="preserve"> </w:t>
            </w:r>
            <w:r w:rsidR="004D3050" w:rsidRPr="008E275D">
              <w:t>„</w:t>
            </w:r>
            <w:r w:rsidRPr="008E275D">
              <w:rPr>
                <w:bCs/>
                <w:i/>
              </w:rPr>
              <w:t>Ārstniecības iestāžu reģistrācijas noteikumu pārkāpumi</w:t>
            </w:r>
            <w:r w:rsidR="004D3050" w:rsidRPr="008E275D">
              <w:rPr>
                <w:bCs/>
                <w:i/>
              </w:rPr>
              <w:t>”</w:t>
            </w:r>
            <w:r w:rsidRPr="008E275D">
              <w:t xml:space="preserve"> attiecas uz ārstniecības iestādes vadītājiem</w:t>
            </w:r>
            <w:r w:rsidR="005D3117">
              <w:t xml:space="preserve"> </w:t>
            </w:r>
            <w:r w:rsidR="00DF4177" w:rsidRPr="00DF4177">
              <w:rPr>
                <w:b/>
                <w:bCs/>
              </w:rPr>
              <w:t>(</w:t>
            </w:r>
            <w:r w:rsidR="00E36D32">
              <w:t>u</w:t>
            </w:r>
            <w:r w:rsidR="00DF4177" w:rsidRPr="00DF4177">
              <w:t>z 10.12.2014. Ārstniecības iestāžu reģistrā ir 4738 ārstniecības iestādes</w:t>
            </w:r>
            <w:r w:rsidR="00DF4177" w:rsidRPr="00DF4177">
              <w:rPr>
                <w:b/>
                <w:bCs/>
              </w:rPr>
              <w:t>)</w:t>
            </w:r>
            <w:r w:rsidR="00DF4177">
              <w:rPr>
                <w:b/>
                <w:bCs/>
              </w:rPr>
              <w:t>.</w:t>
            </w:r>
          </w:p>
          <w:p w:rsidR="00687DDD" w:rsidRPr="00197064" w:rsidRDefault="00D04072" w:rsidP="00283E08">
            <w:pPr>
              <w:pStyle w:val="naisf"/>
              <w:tabs>
                <w:tab w:val="left" w:pos="993"/>
              </w:tabs>
              <w:spacing w:after="0"/>
              <w:ind w:firstLine="0"/>
            </w:pPr>
            <w:r w:rsidRPr="008E275D">
              <w:rPr>
                <w:b/>
              </w:rPr>
              <w:t>166.</w:t>
            </w:r>
            <w:r w:rsidRPr="008E275D">
              <w:rPr>
                <w:b/>
                <w:vertAlign w:val="superscript"/>
              </w:rPr>
              <w:t xml:space="preserve">15 </w:t>
            </w:r>
            <w:r w:rsidRPr="008E275D">
              <w:rPr>
                <w:b/>
              </w:rPr>
              <w:t>panta</w:t>
            </w:r>
            <w:r w:rsidRPr="008E275D">
              <w:t xml:space="preserve"> </w:t>
            </w:r>
            <w:r w:rsidR="003F54E1" w:rsidRPr="008E275D">
              <w:rPr>
                <w:i/>
              </w:rPr>
              <w:t>„</w:t>
            </w:r>
            <w:r w:rsidR="003F54E1" w:rsidRPr="008E275D">
              <w:rPr>
                <w:bCs/>
                <w:i/>
              </w:rPr>
              <w:t xml:space="preserve">Atbilstības novērtēšanai pakļauto preču nenodrošināšana ar atbilstības apliecinājumiem vai apstiprinājumiem un to piedāvāšana un realizēšana bez </w:t>
            </w:r>
            <w:r w:rsidR="003F54E1" w:rsidRPr="008E275D">
              <w:rPr>
                <w:bCs/>
                <w:i/>
              </w:rPr>
              <w:lastRenderedPageBreak/>
              <w:t>atbilstības apliecinājumiem vai apstiprinājumiem”</w:t>
            </w:r>
            <w:r w:rsidR="003F54E1" w:rsidRPr="008E275D">
              <w:t xml:space="preserve"> </w:t>
            </w:r>
            <w:r w:rsidRPr="008E275D">
              <w:t>pirmā un piektā daļa (</w:t>
            </w:r>
            <w:r w:rsidR="00283E08" w:rsidRPr="008E275D">
              <w:t xml:space="preserve">kas </w:t>
            </w:r>
            <w:r w:rsidRPr="008E275D">
              <w:t>aiz</w:t>
            </w:r>
            <w:r w:rsidR="003F54E1" w:rsidRPr="008E275D">
              <w:t>s</w:t>
            </w:r>
            <w:r w:rsidRPr="008E275D">
              <w:t>tā</w:t>
            </w:r>
            <w:r w:rsidR="00283E08" w:rsidRPr="008E275D">
              <w:t>j</w:t>
            </w:r>
            <w:r w:rsidRPr="008E275D">
              <w:t xml:space="preserve"> pirmās daļas dispozīcijā vārdus „ārstniecības līdzekļus” ar vārdiem „zāļu”) attiecas uz personām, </w:t>
            </w:r>
            <w:r w:rsidR="003F54E1" w:rsidRPr="008E275D">
              <w:t xml:space="preserve">kuras veic </w:t>
            </w:r>
            <w:r w:rsidR="00283E08" w:rsidRPr="008E275D">
              <w:t>novērtēšanai pakļauto preču - medicīnas ierīču ievietošanu tirgū, piedāvāšanu vai realizēšanu, nenodrošinot tās ar atbilstības apliecinājumu vai apstiprinājumu.</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lastRenderedPageBreak/>
              <w:t>2.</w:t>
            </w:r>
          </w:p>
        </w:tc>
        <w:tc>
          <w:tcPr>
            <w:tcW w:w="3010" w:type="dxa"/>
          </w:tcPr>
          <w:p w:rsidR="00FE4973" w:rsidRPr="009656DE" w:rsidRDefault="00FE4973" w:rsidP="006D0922">
            <w:pPr>
              <w:pStyle w:val="naiskr"/>
              <w:spacing w:before="0" w:after="0"/>
            </w:pPr>
            <w:r w:rsidRPr="009656DE">
              <w:t>Tiesiskā regulējuma ietekme uz tautsaimniecību un administratīvo slogu</w:t>
            </w:r>
          </w:p>
        </w:tc>
        <w:tc>
          <w:tcPr>
            <w:tcW w:w="6293" w:type="dxa"/>
          </w:tcPr>
          <w:p w:rsidR="00014356" w:rsidRPr="008E275D" w:rsidRDefault="00646E2E" w:rsidP="00646E2E">
            <w:pPr>
              <w:pStyle w:val="naiskr"/>
              <w:tabs>
                <w:tab w:val="left" w:pos="2628"/>
              </w:tabs>
              <w:spacing w:before="0" w:after="0"/>
              <w:jc w:val="both"/>
            </w:pPr>
            <w:r w:rsidRPr="008E275D">
              <w:t>P</w:t>
            </w:r>
            <w:r w:rsidR="00014356" w:rsidRPr="008E275D">
              <w:t xml:space="preserve">rojekta tiesiskais regulējums nemaina </w:t>
            </w:r>
            <w:r w:rsidRPr="008E275D">
              <w:t xml:space="preserve">tiesību subjektu </w:t>
            </w:r>
            <w:r w:rsidR="001613CE">
              <w:t xml:space="preserve">līdzšinējās </w:t>
            </w:r>
            <w:r w:rsidR="00014356" w:rsidRPr="008E275D">
              <w:t xml:space="preserve">tiesības un pienākumus, kā arī veicamās darbības, jo administratīvā atbildība tiek noteikta saistībā ar </w:t>
            </w:r>
            <w:r w:rsidRPr="008E275D">
              <w:t xml:space="preserve">citos </w:t>
            </w:r>
            <w:r w:rsidR="00014356" w:rsidRPr="008E275D">
              <w:t>speciālajos normatīvajos aktos noteikto pienākumu neizpildi.</w:t>
            </w:r>
            <w:r w:rsidRPr="008E275D">
              <w:t xml:space="preserve"> </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3.</w:t>
            </w:r>
          </w:p>
        </w:tc>
        <w:tc>
          <w:tcPr>
            <w:tcW w:w="3010" w:type="dxa"/>
          </w:tcPr>
          <w:p w:rsidR="00FE4973" w:rsidRPr="009656DE" w:rsidRDefault="00FE4973" w:rsidP="006D0922">
            <w:pPr>
              <w:pStyle w:val="naiskr"/>
              <w:tabs>
                <w:tab w:val="left" w:pos="2628"/>
              </w:tabs>
              <w:spacing w:before="0" w:after="0"/>
              <w:rPr>
                <w:iCs/>
              </w:rPr>
            </w:pPr>
            <w:r w:rsidRPr="009656DE">
              <w:t>Administratīvo izmaksu monetārs novērtējums</w:t>
            </w:r>
          </w:p>
        </w:tc>
        <w:tc>
          <w:tcPr>
            <w:tcW w:w="6293" w:type="dxa"/>
          </w:tcPr>
          <w:p w:rsidR="00E73BC0" w:rsidRPr="008E275D" w:rsidRDefault="00E73BC0" w:rsidP="00506F1D">
            <w:pPr>
              <w:pStyle w:val="naiskr"/>
              <w:tabs>
                <w:tab w:val="left" w:pos="2628"/>
              </w:tabs>
              <w:spacing w:before="0" w:after="120"/>
              <w:jc w:val="both"/>
            </w:pPr>
            <w:r w:rsidRPr="008E275D">
              <w:t xml:space="preserve">Ar administratīvā pārkāpuma lietu izskatīšanu saistītās </w:t>
            </w:r>
            <w:r w:rsidR="00F27BFB" w:rsidRPr="008E275D">
              <w:t xml:space="preserve">izmaksas </w:t>
            </w:r>
            <w:r w:rsidR="00646E2E" w:rsidRPr="008E275D">
              <w:t>Veselības inspekcijā</w:t>
            </w:r>
            <w:r w:rsidRPr="008E275D">
              <w:t xml:space="preserve"> tiek segtas no iestādei piešķirtajiem valsts budžeta līdzekļiem.</w:t>
            </w:r>
          </w:p>
          <w:p w:rsidR="00FE4973" w:rsidRPr="008E275D" w:rsidRDefault="00E73BC0" w:rsidP="00E73BC0">
            <w:pPr>
              <w:pStyle w:val="naiskr"/>
              <w:tabs>
                <w:tab w:val="left" w:pos="2628"/>
              </w:tabs>
              <w:spacing w:before="0" w:after="120"/>
              <w:jc w:val="both"/>
              <w:rPr>
                <w:iCs/>
              </w:rPr>
            </w:pPr>
            <w:r w:rsidRPr="008E275D">
              <w:t>Tiesību subjektam noteiktā administratīvā atbildība nepalielina administratīvās izmaksas, jo sankcijas tiek piemērotas par pienākumu neizpildi, ko nosaka attiecīgās jomas speciālie normatīvie akti.</w:t>
            </w:r>
          </w:p>
        </w:tc>
      </w:tr>
      <w:tr w:rsidR="009A0027" w:rsidRPr="009656DE" w:rsidTr="00A84596">
        <w:trPr>
          <w:jc w:val="center"/>
        </w:trPr>
        <w:tc>
          <w:tcPr>
            <w:tcW w:w="694" w:type="dxa"/>
          </w:tcPr>
          <w:p w:rsidR="00FE4973" w:rsidRPr="009656DE" w:rsidRDefault="00FE4973" w:rsidP="006D0922">
            <w:pPr>
              <w:pStyle w:val="naiskr"/>
              <w:tabs>
                <w:tab w:val="left" w:pos="2628"/>
              </w:tabs>
              <w:spacing w:before="0" w:after="0"/>
              <w:jc w:val="center"/>
              <w:rPr>
                <w:iCs/>
              </w:rPr>
            </w:pPr>
            <w:r w:rsidRPr="009656DE">
              <w:rPr>
                <w:iCs/>
              </w:rPr>
              <w:t>4.</w:t>
            </w:r>
          </w:p>
        </w:tc>
        <w:tc>
          <w:tcPr>
            <w:tcW w:w="3010" w:type="dxa"/>
          </w:tcPr>
          <w:p w:rsidR="00FE4973" w:rsidRPr="009656DE" w:rsidRDefault="00FE4973" w:rsidP="006D0922">
            <w:pPr>
              <w:pStyle w:val="naiskr"/>
              <w:tabs>
                <w:tab w:val="left" w:pos="2628"/>
              </w:tabs>
              <w:spacing w:before="0" w:after="0"/>
            </w:pPr>
            <w:r w:rsidRPr="009656DE">
              <w:t>Cita informācija</w:t>
            </w:r>
          </w:p>
        </w:tc>
        <w:tc>
          <w:tcPr>
            <w:tcW w:w="6293" w:type="dxa"/>
          </w:tcPr>
          <w:p w:rsidR="00983EF2" w:rsidRPr="009656DE" w:rsidRDefault="00014356" w:rsidP="006C4847">
            <w:pPr>
              <w:jc w:val="both"/>
            </w:pPr>
            <w:r>
              <w:t>Nav</w:t>
            </w:r>
          </w:p>
        </w:tc>
      </w:tr>
    </w:tbl>
    <w:p w:rsidR="008C7FE1" w:rsidRDefault="008C7FE1" w:rsidP="008C7FE1">
      <w:pPr>
        <w:rPr>
          <w:sz w:val="28"/>
          <w:szCs w:val="28"/>
        </w:rPr>
      </w:pPr>
    </w:p>
    <w:p w:rsidR="0081326D" w:rsidRDefault="0081326D" w:rsidP="008C7FE1">
      <w:pPr>
        <w:rPr>
          <w:sz w:val="28"/>
          <w:szCs w:val="28"/>
        </w:rPr>
      </w:pPr>
    </w:p>
    <w:tbl>
      <w:tblPr>
        <w:tblW w:w="10107" w:type="dxa"/>
        <w:jc w:val="center"/>
        <w:tblCellSpacing w:w="0" w:type="dxa"/>
        <w:tblInd w:w="469" w:type="dxa"/>
        <w:tblBorders>
          <w:top w:val="outset" w:sz="6" w:space="0" w:color="auto"/>
          <w:left w:val="outset" w:sz="6" w:space="0" w:color="auto"/>
          <w:bottom w:val="outset" w:sz="6" w:space="0" w:color="auto"/>
          <w:right w:val="outset" w:sz="6" w:space="0" w:color="auto"/>
        </w:tblBorders>
        <w:tblCellMar>
          <w:left w:w="113" w:type="dxa"/>
          <w:right w:w="113" w:type="dxa"/>
        </w:tblCellMar>
        <w:tblLook w:val="04A0"/>
      </w:tblPr>
      <w:tblGrid>
        <w:gridCol w:w="2878"/>
        <w:gridCol w:w="1418"/>
        <w:gridCol w:w="1417"/>
        <w:gridCol w:w="1431"/>
        <w:gridCol w:w="1431"/>
        <w:gridCol w:w="1532"/>
      </w:tblGrid>
      <w:tr w:rsidR="008C7FE1" w:rsidRPr="00AA7CA8" w:rsidTr="00A84596">
        <w:trPr>
          <w:trHeight w:val="340"/>
          <w:tblCellSpacing w:w="0" w:type="dxa"/>
          <w:jc w:val="center"/>
        </w:trPr>
        <w:tc>
          <w:tcPr>
            <w:tcW w:w="10107" w:type="dxa"/>
            <w:gridSpan w:val="6"/>
            <w:tcBorders>
              <w:top w:val="outset" w:sz="6" w:space="0" w:color="auto"/>
              <w:left w:val="outset" w:sz="2" w:space="0" w:color="auto"/>
              <w:bottom w:val="outset" w:sz="6" w:space="0" w:color="auto"/>
              <w:right w:val="outset" w:sz="2" w:space="0" w:color="auto"/>
            </w:tcBorders>
            <w:hideMark/>
          </w:tcPr>
          <w:p w:rsidR="008C7FE1" w:rsidRPr="008C7FE1" w:rsidRDefault="008C7FE1" w:rsidP="00D6564B">
            <w:pPr>
              <w:jc w:val="center"/>
              <w:rPr>
                <w:b/>
                <w:bCs/>
                <w:sz w:val="28"/>
                <w:szCs w:val="28"/>
              </w:rPr>
            </w:pPr>
            <w:r w:rsidRPr="008C7FE1">
              <w:rPr>
                <w:b/>
                <w:bCs/>
                <w:sz w:val="28"/>
                <w:szCs w:val="28"/>
              </w:rPr>
              <w:t>III. Tiesību akta projekta ietekme uz valsts budžetu un pašvaldību budžetiem</w:t>
            </w:r>
          </w:p>
        </w:tc>
      </w:tr>
      <w:tr w:rsidR="008C7FE1" w:rsidRPr="00964BD3" w:rsidTr="00A84596">
        <w:trPr>
          <w:trHeight w:val="397"/>
          <w:tblCellSpacing w:w="0" w:type="dxa"/>
          <w:jc w:val="center"/>
        </w:trPr>
        <w:tc>
          <w:tcPr>
            <w:tcW w:w="2878" w:type="dxa"/>
            <w:vMerge w:val="restart"/>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w:t>
            </w:r>
            <w:r w:rsidRPr="00F333EC">
              <w:rPr>
                <w:b/>
                <w:bCs/>
              </w:rPr>
              <w:t>Rādītāji</w:t>
            </w:r>
          </w:p>
        </w:tc>
        <w:tc>
          <w:tcPr>
            <w:tcW w:w="2835" w:type="dxa"/>
            <w:gridSpan w:val="2"/>
            <w:vMerge w:val="restart"/>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CE47D6">
            <w:pPr>
              <w:jc w:val="center"/>
            </w:pPr>
            <w:r w:rsidRPr="00F333EC">
              <w:rPr>
                <w:b/>
                <w:bCs/>
              </w:rPr>
              <w:t>201</w:t>
            </w:r>
            <w:r w:rsidR="00CE47D6">
              <w:rPr>
                <w:b/>
                <w:bCs/>
              </w:rPr>
              <w:t>5</w:t>
            </w:r>
            <w:r w:rsidRPr="00F333EC">
              <w:rPr>
                <w:b/>
                <w:bCs/>
              </w:rPr>
              <w:t>.gads</w:t>
            </w:r>
          </w:p>
        </w:tc>
        <w:tc>
          <w:tcPr>
            <w:tcW w:w="4394" w:type="dxa"/>
            <w:gridSpan w:val="3"/>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xml:space="preserve"> Turpmākie trīs gadi (tūkst. </w:t>
            </w:r>
            <w:proofErr w:type="spellStart"/>
            <w:r w:rsidRPr="00F333EC">
              <w:rPr>
                <w:i/>
              </w:rPr>
              <w:t>euro</w:t>
            </w:r>
            <w:proofErr w:type="spellEnd"/>
            <w:r w:rsidRPr="00F333EC">
              <w:t>)</w:t>
            </w:r>
          </w:p>
        </w:tc>
      </w:tr>
      <w:tr w:rsidR="008C7FE1" w:rsidRPr="00964BD3" w:rsidTr="00A84596">
        <w:trPr>
          <w:trHeight w:val="340"/>
          <w:tblCellSpacing w:w="0" w:type="dxa"/>
          <w:jc w:val="center"/>
        </w:trPr>
        <w:tc>
          <w:tcPr>
            <w:tcW w:w="2878" w:type="dxa"/>
            <w:vMerge/>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tc>
        <w:tc>
          <w:tcPr>
            <w:tcW w:w="2835" w:type="dxa"/>
            <w:gridSpan w:val="2"/>
            <w:vMerge/>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tc>
        <w:tc>
          <w:tcPr>
            <w:tcW w:w="1431"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CE47D6">
            <w:pPr>
              <w:jc w:val="center"/>
              <w:rPr>
                <w:b/>
                <w:bCs/>
              </w:rPr>
            </w:pPr>
            <w:r w:rsidRPr="00F333EC">
              <w:rPr>
                <w:b/>
                <w:bCs/>
              </w:rPr>
              <w:t>201</w:t>
            </w:r>
            <w:r w:rsidR="00CE47D6">
              <w:rPr>
                <w:b/>
                <w:bCs/>
              </w:rPr>
              <w:t>6</w:t>
            </w:r>
            <w:r w:rsidRPr="00F333EC">
              <w:rPr>
                <w:b/>
                <w:bCs/>
              </w:rPr>
              <w:t>.</w:t>
            </w:r>
          </w:p>
        </w:tc>
        <w:tc>
          <w:tcPr>
            <w:tcW w:w="1431"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CE47D6">
            <w:pPr>
              <w:jc w:val="center"/>
              <w:rPr>
                <w:b/>
                <w:bCs/>
              </w:rPr>
            </w:pPr>
            <w:r w:rsidRPr="00F333EC">
              <w:rPr>
                <w:b/>
                <w:bCs/>
              </w:rPr>
              <w:t>201</w:t>
            </w:r>
            <w:r w:rsidR="00CE47D6">
              <w:rPr>
                <w:b/>
                <w:bCs/>
              </w:rPr>
              <w:t>7</w:t>
            </w:r>
            <w:r w:rsidRPr="00F333EC">
              <w:rPr>
                <w:b/>
                <w:bCs/>
              </w:rPr>
              <w:t>.</w:t>
            </w:r>
          </w:p>
        </w:tc>
        <w:tc>
          <w:tcPr>
            <w:tcW w:w="1532"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CE47D6">
            <w:pPr>
              <w:jc w:val="center"/>
              <w:rPr>
                <w:b/>
                <w:bCs/>
              </w:rPr>
            </w:pPr>
            <w:r w:rsidRPr="00F333EC">
              <w:rPr>
                <w:b/>
                <w:bCs/>
              </w:rPr>
              <w:t>201</w:t>
            </w:r>
            <w:r w:rsidR="00CE47D6">
              <w:rPr>
                <w:b/>
                <w:bCs/>
              </w:rPr>
              <w:t>8</w:t>
            </w:r>
            <w:r w:rsidRPr="00F333EC">
              <w:rPr>
                <w:b/>
                <w:bCs/>
              </w:rPr>
              <w:t>.</w:t>
            </w:r>
          </w:p>
        </w:tc>
      </w:tr>
      <w:tr w:rsidR="008C7FE1" w:rsidRPr="00964BD3" w:rsidTr="00A84596">
        <w:trPr>
          <w:trHeight w:val="41"/>
          <w:tblCellSpacing w:w="0" w:type="dxa"/>
          <w:jc w:val="center"/>
        </w:trPr>
        <w:tc>
          <w:tcPr>
            <w:tcW w:w="2878" w:type="dxa"/>
            <w:vMerge/>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tc>
        <w:tc>
          <w:tcPr>
            <w:tcW w:w="1418"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Saskaņā ar valsts budžetu kārtējam gadam</w:t>
            </w:r>
          </w:p>
        </w:tc>
        <w:tc>
          <w:tcPr>
            <w:tcW w:w="1417"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Izmaiņas kārtējā gadā, salīdzinot ar budžetu kārtējam gadam</w:t>
            </w:r>
          </w:p>
        </w:tc>
        <w:tc>
          <w:tcPr>
            <w:tcW w:w="1431"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Izmaiņas, salīdzinot ar kārtējo (n) gadu</w:t>
            </w:r>
          </w:p>
        </w:tc>
        <w:tc>
          <w:tcPr>
            <w:tcW w:w="1431"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Izmaiņas, salīdzinot ar kārtējo (n) gadu</w:t>
            </w:r>
          </w:p>
        </w:tc>
        <w:tc>
          <w:tcPr>
            <w:tcW w:w="1532" w:type="dxa"/>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pPr>
              <w:jc w:val="center"/>
            </w:pPr>
            <w:r w:rsidRPr="00F333EC">
              <w:t> Izmaiņas, salīdzinot ar kārtējo (n) gadu</w:t>
            </w:r>
          </w:p>
        </w:tc>
      </w:tr>
      <w:tr w:rsidR="008D3102" w:rsidRPr="00964BD3" w:rsidTr="00A84596">
        <w:trPr>
          <w:trHeight w:val="113"/>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C03B2F" w:rsidRDefault="008D3102" w:rsidP="002F4C3F">
            <w:pPr>
              <w:rPr>
                <w:b/>
              </w:rPr>
            </w:pPr>
            <w:r w:rsidRPr="00C03B2F">
              <w:rPr>
                <w:b/>
              </w:rPr>
              <w:t> 1. Budžeta ieņēmumi:</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spacing w:line="270" w:lineRule="atLeast"/>
              <w:jc w:val="right"/>
              <w:rPr>
                <w:b/>
              </w:rPr>
            </w:pPr>
            <w:r>
              <w:rPr>
                <w:b/>
              </w:rPr>
              <w:t>15 070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6A3AC7">
            <w:pPr>
              <w:spacing w:line="270" w:lineRule="atLeast"/>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r>
      <w:tr w:rsidR="008D3102" w:rsidRPr="00964BD3" w:rsidTr="00A84596">
        <w:trPr>
          <w:trHeight w:val="338"/>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F2BA1" w:rsidRDefault="008D3102" w:rsidP="002F4C3F">
            <w:pPr>
              <w:pStyle w:val="ListParagraph"/>
              <w:ind w:left="0"/>
              <w:rPr>
                <w:noProof/>
                <w:lang w:val="lv-LV"/>
              </w:rPr>
            </w:pPr>
            <w:r>
              <w:rPr>
                <w:noProof/>
                <w:lang w:val="lv-LV"/>
              </w:rPr>
              <w:t>1.1.</w:t>
            </w:r>
            <w:r>
              <w:rPr>
                <w:lang w:val="lv-LV"/>
              </w:rPr>
              <w:t> </w:t>
            </w:r>
            <w:r w:rsidRPr="00FF2BA1">
              <w:rPr>
                <w:noProof/>
                <w:lang w:val="lv-LV"/>
              </w:rPr>
              <w:t>valsts pamatbudžets</w:t>
            </w:r>
            <w:r>
              <w:rPr>
                <w:noProof/>
                <w:lang w:val="lv-LV"/>
              </w:rPr>
              <w:t xml:space="preserve"> </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spacing w:line="270" w:lineRule="atLeast"/>
              <w:jc w:val="right"/>
            </w:pPr>
            <w:r>
              <w:t>15 070</w:t>
            </w:r>
          </w:p>
        </w:tc>
        <w:tc>
          <w:tcPr>
            <w:tcW w:w="1417" w:type="dxa"/>
            <w:tcBorders>
              <w:top w:val="outset" w:sz="2" w:space="0" w:color="auto"/>
              <w:left w:val="outset" w:sz="2" w:space="0" w:color="auto"/>
              <w:bottom w:val="outset" w:sz="6" w:space="0" w:color="auto"/>
              <w:right w:val="outset" w:sz="2" w:space="0" w:color="auto"/>
            </w:tcBorders>
            <w:vAlign w:val="center"/>
            <w:hideMark/>
          </w:tcPr>
          <w:p w:rsidR="008D3102" w:rsidRPr="00CE47D6" w:rsidRDefault="008D3102" w:rsidP="00AE58CA">
            <w:pPr>
              <w:spacing w:line="270" w:lineRule="atLeast"/>
              <w:jc w:val="right"/>
            </w:pPr>
            <w:r>
              <w:t>5 590</w:t>
            </w:r>
          </w:p>
        </w:tc>
        <w:tc>
          <w:tcPr>
            <w:tcW w:w="1431" w:type="dxa"/>
            <w:tcBorders>
              <w:top w:val="outset" w:sz="2"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431" w:type="dxa"/>
            <w:tcBorders>
              <w:top w:val="outset" w:sz="2"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532" w:type="dxa"/>
            <w:tcBorders>
              <w:top w:val="outset" w:sz="2"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r>
      <w:tr w:rsidR="008D3102" w:rsidRPr="00964BD3" w:rsidTr="00A84596">
        <w:trPr>
          <w:trHeight w:val="4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 xml:space="preserve"> 1.2. valsts speciālais </w:t>
            </w:r>
            <w:r>
              <w:t xml:space="preserve"> </w:t>
            </w:r>
            <w:r w:rsidRPr="00F333EC">
              <w:t>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 xml:space="preserve">   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shd w:val="clear" w:color="auto" w:fill="auto"/>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4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 1.3. pašvaldību 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 xml:space="preserve">   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113"/>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C03B2F" w:rsidRDefault="008D3102" w:rsidP="002F4C3F">
            <w:pPr>
              <w:rPr>
                <w:b/>
              </w:rPr>
            </w:pPr>
            <w:r w:rsidRPr="00F333EC">
              <w:t> </w:t>
            </w:r>
            <w:r w:rsidRPr="00C03B2F">
              <w:rPr>
                <w:b/>
              </w:rPr>
              <w:t>2. Budžeta izdevumi:</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spacing w:line="270" w:lineRule="atLeast"/>
              <w:jc w:val="right"/>
              <w:rPr>
                <w:b/>
              </w:rPr>
            </w:pPr>
            <w:r>
              <w:rPr>
                <w:b/>
              </w:rPr>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spacing w:line="270" w:lineRule="atLeast"/>
              <w:jc w:val="right"/>
              <w:rPr>
                <w:b/>
              </w:rPr>
            </w:pPr>
            <w:r w:rsidRPr="00CE47D6">
              <w:rPr>
                <w:b/>
              </w:rPr>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sidRPr="00CE47D6">
              <w:rPr>
                <w:b/>
              </w:rPr>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sidRPr="00CE47D6">
              <w:rPr>
                <w:b/>
              </w:rPr>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sidRPr="00CE47D6">
              <w:rPr>
                <w:b/>
              </w:rPr>
              <w:t>0</w:t>
            </w:r>
          </w:p>
        </w:tc>
      </w:tr>
      <w:tr w:rsidR="008D3102" w:rsidRPr="00964BD3" w:rsidTr="00A84596">
        <w:trPr>
          <w:trHeight w:val="227"/>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2.1. valsts pamatbudžets</w:t>
            </w:r>
            <w:r w:rsidRPr="00FF2BA1">
              <w:rPr>
                <w:b/>
              </w:rPr>
              <w:t xml:space="preserve"> </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pPr>
            <w:r>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jc w:val="right"/>
            </w:pPr>
            <w:r w:rsidRPr="00CE47D6">
              <w:t>0</w:t>
            </w:r>
          </w:p>
        </w:tc>
      </w:tr>
      <w:tr w:rsidR="008D3102" w:rsidRPr="00964BD3" w:rsidTr="00A84596">
        <w:trPr>
          <w:trHeight w:val="4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2.2. valsts speciālais 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spacing w:line="270" w:lineRule="atLeast"/>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rsidRPr="00CE47D6">
              <w:t>0</w:t>
            </w:r>
          </w:p>
        </w:tc>
      </w:tr>
      <w:tr w:rsidR="008D3102" w:rsidRPr="00964BD3" w:rsidTr="00A84596">
        <w:trPr>
          <w:trHeight w:val="196"/>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 2.3. pašvaldību 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124"/>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C03B2F" w:rsidRDefault="008D3102" w:rsidP="002F4C3F">
            <w:pPr>
              <w:rPr>
                <w:b/>
              </w:rPr>
            </w:pPr>
            <w:r w:rsidRPr="00C03B2F">
              <w:rPr>
                <w:b/>
              </w:rPr>
              <w:t> 3. Finansiālā ietekme:</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rPr>
                <w:b/>
              </w:rPr>
            </w:pPr>
            <w:r>
              <w:rPr>
                <w:b/>
              </w:rPr>
              <w:t>15 070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AE58CA">
            <w:pPr>
              <w:spacing w:line="270" w:lineRule="atLeast"/>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rPr>
                <w:b/>
              </w:rPr>
            </w:pPr>
            <w:r>
              <w:rPr>
                <w:b/>
              </w:rPr>
              <w:t>5 590</w:t>
            </w:r>
          </w:p>
        </w:tc>
      </w:tr>
      <w:tr w:rsidR="008D3102" w:rsidRPr="00964BD3" w:rsidTr="00A84596">
        <w:trPr>
          <w:trHeight w:val="20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t>3</w:t>
            </w:r>
            <w:r w:rsidRPr="00F333EC">
              <w:t>.1. valsts pamatbudžets</w:t>
            </w:r>
            <w:r w:rsidRPr="00FF2BA1">
              <w:rPr>
                <w:b/>
              </w:rPr>
              <w:t xml:space="preserve"> </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t>15 070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AE58CA">
            <w:pPr>
              <w:spacing w:line="270" w:lineRule="atLeast"/>
              <w:jc w:val="right"/>
            </w:pPr>
            <w: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r>
      <w:tr w:rsidR="008D3102" w:rsidRPr="00964BD3" w:rsidTr="00A84596">
        <w:trPr>
          <w:trHeight w:val="113"/>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 3.2. speciālais 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113"/>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F333EC">
              <w:t> 3.3. pašvaldību budžets</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454"/>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D3102" w:rsidRPr="00F333EC" w:rsidRDefault="008D3102" w:rsidP="002F4C3F">
            <w:r w:rsidRPr="00C03B2F">
              <w:rPr>
                <w:b/>
              </w:rPr>
              <w:t xml:space="preserve"> 4. Finanšu līdzekļi </w:t>
            </w:r>
            <w:r w:rsidRPr="00C03B2F">
              <w:rPr>
                <w:b/>
              </w:rPr>
              <w:lastRenderedPageBreak/>
              <w:t>papildu izde</w:t>
            </w:r>
            <w:r w:rsidRPr="00C03B2F">
              <w:rPr>
                <w:b/>
              </w:rPr>
              <w:softHyphen/>
              <w:t>vumu finansēšanai</w:t>
            </w:r>
            <w:r w:rsidRPr="00F333EC">
              <w:t xml:space="preserve"> </w:t>
            </w:r>
            <w:r w:rsidRPr="00856585">
              <w:rPr>
                <w:sz w:val="22"/>
                <w:szCs w:val="22"/>
              </w:rPr>
              <w:t>(kompensējošu izdevumu samazinājumu norāda ar "+" zīmi)</w:t>
            </w:r>
          </w:p>
        </w:tc>
        <w:tc>
          <w:tcPr>
            <w:tcW w:w="1418"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center"/>
            </w:pPr>
            <w:r w:rsidRPr="00CE47D6">
              <w:lastRenderedPageBreak/>
              <w:t>x</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rPr>
                <w:b/>
              </w:rPr>
            </w:pPr>
            <w:r w:rsidRPr="00CE47D6">
              <w:rPr>
                <w:b/>
              </w:rPr>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sidRPr="00CE47D6">
              <w:rPr>
                <w:b/>
              </w:rPr>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sidRPr="00CE47D6">
              <w:rPr>
                <w:b/>
              </w:rPr>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sidRPr="00CE47D6">
              <w:rPr>
                <w:b/>
              </w:rPr>
              <w:t>0</w:t>
            </w:r>
          </w:p>
        </w:tc>
      </w:tr>
      <w:tr w:rsidR="008D3102" w:rsidRPr="00964BD3" w:rsidTr="00A84596">
        <w:trPr>
          <w:trHeight w:val="201"/>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D3102" w:rsidRPr="00C03B2F" w:rsidRDefault="008D3102" w:rsidP="002F4C3F">
            <w:pPr>
              <w:rPr>
                <w:b/>
              </w:rPr>
            </w:pPr>
            <w:r w:rsidRPr="00C03B2F">
              <w:rPr>
                <w:b/>
              </w:rPr>
              <w:lastRenderedPageBreak/>
              <w:t> 5. Precizēta finansiālā ietekme:</w:t>
            </w:r>
          </w:p>
        </w:tc>
        <w:tc>
          <w:tcPr>
            <w:tcW w:w="1418" w:type="dxa"/>
            <w:vMerge w:val="restart"/>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center"/>
            </w:pPr>
            <w:r w:rsidRPr="00CE47D6">
              <w:t>x</w:t>
            </w: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2F4C3F">
            <w:pPr>
              <w:ind w:firstLine="375"/>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Pr>
                <w:b/>
              </w:rP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Pr>
                <w:b/>
              </w:rPr>
              <w:t>5 590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rPr>
                <w:b/>
              </w:rPr>
            </w:pPr>
            <w:r>
              <w:rPr>
                <w:b/>
              </w:rPr>
              <w:t>5 590</w:t>
            </w:r>
          </w:p>
        </w:tc>
      </w:tr>
      <w:tr w:rsidR="008D3102" w:rsidRPr="00964BD3" w:rsidTr="00A84596">
        <w:trPr>
          <w:trHeight w:val="397"/>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D3102" w:rsidRPr="00F333EC" w:rsidRDefault="008D3102" w:rsidP="002F4C3F">
            <w:r>
              <w:t>5</w:t>
            </w:r>
            <w:r w:rsidRPr="00F333EC">
              <w:t>.1. valsts pamatbudžets</w:t>
            </w:r>
            <w:r w:rsidRPr="00FF2BA1">
              <w:rPr>
                <w:b/>
              </w:rPr>
              <w:t xml:space="preserve"> </w:t>
            </w:r>
          </w:p>
        </w:tc>
        <w:tc>
          <w:tcPr>
            <w:tcW w:w="1418" w:type="dxa"/>
            <w:vMerge/>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pP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AE58CA">
            <w:pPr>
              <w:spacing w:line="270" w:lineRule="atLeast"/>
              <w:jc w:val="right"/>
            </w:pPr>
            <w: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spacing w:line="270" w:lineRule="atLeast"/>
              <w:jc w:val="right"/>
            </w:pPr>
            <w:r>
              <w:t>5 590</w:t>
            </w:r>
          </w:p>
        </w:tc>
      </w:tr>
      <w:tr w:rsidR="008D3102" w:rsidRPr="00964BD3" w:rsidTr="00A84596">
        <w:trPr>
          <w:trHeight w:val="124"/>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D3102" w:rsidRPr="00F333EC" w:rsidRDefault="008D3102" w:rsidP="002F4C3F">
            <w:r w:rsidRPr="00F333EC">
              <w:t> 5.2. speciālais budžets</w:t>
            </w:r>
          </w:p>
        </w:tc>
        <w:tc>
          <w:tcPr>
            <w:tcW w:w="1418" w:type="dxa"/>
            <w:vMerge/>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pP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D3102" w:rsidRPr="00964BD3" w:rsidTr="00A84596">
        <w:trPr>
          <w:trHeight w:val="196"/>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D3102" w:rsidRPr="00F333EC" w:rsidRDefault="008D3102" w:rsidP="00D6564B">
            <w:r w:rsidRPr="00F333EC">
              <w:t> 5.3. pašvaldību budžets</w:t>
            </w:r>
          </w:p>
        </w:tc>
        <w:tc>
          <w:tcPr>
            <w:tcW w:w="1418" w:type="dxa"/>
            <w:vMerge/>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jc w:val="right"/>
            </w:pPr>
          </w:p>
        </w:tc>
        <w:tc>
          <w:tcPr>
            <w:tcW w:w="1417"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D6564B">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431"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c>
          <w:tcPr>
            <w:tcW w:w="1532" w:type="dxa"/>
            <w:tcBorders>
              <w:top w:val="outset" w:sz="6" w:space="0" w:color="auto"/>
              <w:left w:val="outset" w:sz="2" w:space="0" w:color="auto"/>
              <w:bottom w:val="outset" w:sz="6" w:space="0" w:color="auto"/>
              <w:right w:val="outset" w:sz="2" w:space="0" w:color="auto"/>
            </w:tcBorders>
            <w:vAlign w:val="center"/>
            <w:hideMark/>
          </w:tcPr>
          <w:p w:rsidR="008D3102" w:rsidRPr="00CE47D6" w:rsidRDefault="008D3102" w:rsidP="008D3102">
            <w:pPr>
              <w:ind w:firstLine="375"/>
              <w:jc w:val="right"/>
            </w:pPr>
            <w:r w:rsidRPr="00CE47D6">
              <w:t>0</w:t>
            </w:r>
          </w:p>
        </w:tc>
      </w:tr>
      <w:tr w:rsidR="008C7FE1" w:rsidRPr="00964BD3" w:rsidTr="00A84596">
        <w:trPr>
          <w:tblCellSpacing w:w="0" w:type="dxa"/>
          <w:jc w:val="center"/>
        </w:trPr>
        <w:tc>
          <w:tcPr>
            <w:tcW w:w="10107" w:type="dxa"/>
            <w:gridSpan w:val="6"/>
            <w:tcBorders>
              <w:top w:val="outset" w:sz="6" w:space="0" w:color="auto"/>
              <w:left w:val="outset" w:sz="2" w:space="0" w:color="auto"/>
              <w:bottom w:val="outset" w:sz="6" w:space="0" w:color="auto"/>
              <w:right w:val="outset" w:sz="2" w:space="0" w:color="auto"/>
            </w:tcBorders>
            <w:hideMark/>
          </w:tcPr>
          <w:p w:rsidR="008C7FE1" w:rsidRPr="00F333EC" w:rsidRDefault="008C7FE1" w:rsidP="00D6564B">
            <w:pPr>
              <w:jc w:val="both"/>
            </w:pPr>
          </w:p>
        </w:tc>
      </w:tr>
      <w:tr w:rsidR="008C7FE1" w:rsidRPr="006E1329" w:rsidTr="00A84596">
        <w:trPr>
          <w:trHeight w:val="2373"/>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C7FE1" w:rsidRDefault="008C7FE1" w:rsidP="00D6564B">
            <w:r w:rsidRPr="00F333EC">
              <w:t> </w:t>
            </w:r>
            <w:r w:rsidRPr="00856585">
              <w:rPr>
                <w:b/>
              </w:rPr>
              <w:t>6. Detalizēts ieņēmumu un izdevumu aprēķins</w:t>
            </w:r>
            <w:r w:rsidRPr="00F333EC">
              <w:t xml:space="preserve"> </w:t>
            </w:r>
          </w:p>
          <w:p w:rsidR="008C7FE1" w:rsidRPr="00F333EC" w:rsidRDefault="008C7FE1" w:rsidP="00D6564B">
            <w:r w:rsidRPr="00F333EC">
              <w:t>(ja nepieciešams, detalizētu ieņēmumu un izdevumu aprēķinu var pievienot anotācijas pielikumā):</w:t>
            </w:r>
          </w:p>
        </w:tc>
        <w:tc>
          <w:tcPr>
            <w:tcW w:w="7229" w:type="dxa"/>
            <w:gridSpan w:val="5"/>
            <w:vMerge w:val="restart"/>
            <w:tcBorders>
              <w:top w:val="outset" w:sz="6" w:space="0" w:color="auto"/>
              <w:left w:val="outset" w:sz="2" w:space="0" w:color="auto"/>
              <w:bottom w:val="outset" w:sz="6" w:space="0" w:color="auto"/>
              <w:right w:val="outset" w:sz="2" w:space="0" w:color="auto"/>
            </w:tcBorders>
            <w:vAlign w:val="center"/>
            <w:hideMark/>
          </w:tcPr>
          <w:p w:rsidR="008C7FE1" w:rsidRDefault="008C7FE1" w:rsidP="00D6564B">
            <w:pPr>
              <w:spacing w:after="120"/>
              <w:jc w:val="both"/>
              <w:rPr>
                <w:noProof/>
              </w:rPr>
            </w:pPr>
            <w:r w:rsidRPr="00976B6A">
              <w:rPr>
                <w:i/>
                <w:noProof/>
                <w:u w:val="single"/>
              </w:rPr>
              <w:t>Informācijai</w:t>
            </w:r>
            <w:r w:rsidRPr="00F333EC">
              <w:rPr>
                <w:i/>
                <w:noProof/>
              </w:rPr>
              <w:t>:</w:t>
            </w:r>
            <w:r w:rsidRPr="00F333EC">
              <w:rPr>
                <w:noProof/>
              </w:rPr>
              <w:t xml:space="preserve"> </w:t>
            </w:r>
          </w:p>
          <w:p w:rsidR="00976B6A" w:rsidRDefault="00976B6A" w:rsidP="00976B6A">
            <w:pPr>
              <w:jc w:val="both"/>
              <w:rPr>
                <w:noProof/>
              </w:rPr>
            </w:pPr>
            <w:r w:rsidRPr="00F333EC">
              <w:rPr>
                <w:noProof/>
              </w:rPr>
              <w:t>Atbilstoši likumam „</w:t>
            </w:r>
            <w:r w:rsidRPr="004A4266">
              <w:rPr>
                <w:noProof/>
                <w:u w:val="single"/>
              </w:rPr>
              <w:t>Par valsts budžetu 2014.gadam</w:t>
            </w:r>
            <w:r w:rsidRPr="00F333EC">
              <w:rPr>
                <w:noProof/>
              </w:rPr>
              <w:t xml:space="preserve">” Veselības inspekcijai valsts budžeta apakšprogrammā 46.01.00 „Uzraudzība un kontrole” </w:t>
            </w:r>
            <w:r>
              <w:rPr>
                <w:noProof/>
              </w:rPr>
              <w:t>resursi izdevumu segšanai bija</w:t>
            </w:r>
            <w:r w:rsidRPr="00F333EC">
              <w:rPr>
                <w:noProof/>
              </w:rPr>
              <w:t xml:space="preserve"> 3</w:t>
            </w:r>
            <w:r>
              <w:rPr>
                <w:noProof/>
              </w:rPr>
              <w:t> </w:t>
            </w:r>
            <w:r w:rsidRPr="00F333EC">
              <w:rPr>
                <w:noProof/>
              </w:rPr>
              <w:t>649</w:t>
            </w:r>
            <w:r>
              <w:rPr>
                <w:noProof/>
              </w:rPr>
              <w:t> </w:t>
            </w:r>
            <w:r w:rsidRPr="00F333EC">
              <w:rPr>
                <w:noProof/>
              </w:rPr>
              <w:t xml:space="preserve">017 </w:t>
            </w:r>
            <w:r w:rsidRPr="00F333EC">
              <w:rPr>
                <w:i/>
                <w:noProof/>
              </w:rPr>
              <w:t>euro</w:t>
            </w:r>
            <w:r w:rsidRPr="00F333EC">
              <w:rPr>
                <w:noProof/>
              </w:rPr>
              <w:t xml:space="preserve">, </w:t>
            </w:r>
            <w:r>
              <w:rPr>
                <w:noProof/>
              </w:rPr>
              <w:t xml:space="preserve">tai skaitā </w:t>
            </w:r>
            <w:r w:rsidRPr="00F333EC">
              <w:rPr>
                <w:noProof/>
              </w:rPr>
              <w:t>ieņēmumi no maksas pakalpojumiem un citi pašu ieņēmumi 265</w:t>
            </w:r>
            <w:r>
              <w:rPr>
                <w:noProof/>
              </w:rPr>
              <w:t> </w:t>
            </w:r>
            <w:r w:rsidRPr="00F333EC">
              <w:rPr>
                <w:noProof/>
              </w:rPr>
              <w:t xml:space="preserve">758 </w:t>
            </w:r>
            <w:r w:rsidRPr="00F333EC">
              <w:rPr>
                <w:i/>
                <w:noProof/>
              </w:rPr>
              <w:t>euro</w:t>
            </w:r>
            <w:r w:rsidRPr="00F333EC">
              <w:rPr>
                <w:noProof/>
              </w:rPr>
              <w:t>, dotācija no vispārējiem ieņēmumiem 3</w:t>
            </w:r>
            <w:r>
              <w:rPr>
                <w:noProof/>
              </w:rPr>
              <w:t> </w:t>
            </w:r>
            <w:r w:rsidRPr="00F333EC">
              <w:rPr>
                <w:noProof/>
              </w:rPr>
              <w:t>383</w:t>
            </w:r>
            <w:r>
              <w:rPr>
                <w:noProof/>
              </w:rPr>
              <w:t> </w:t>
            </w:r>
            <w:r w:rsidRPr="00F333EC">
              <w:rPr>
                <w:noProof/>
              </w:rPr>
              <w:t xml:space="preserve">259 </w:t>
            </w:r>
            <w:r w:rsidRPr="00F333EC">
              <w:rPr>
                <w:i/>
                <w:noProof/>
              </w:rPr>
              <w:t>euro</w:t>
            </w:r>
            <w:r w:rsidRPr="00F333EC">
              <w:rPr>
                <w:noProof/>
              </w:rPr>
              <w:t xml:space="preserve">. </w:t>
            </w:r>
          </w:p>
          <w:p w:rsidR="00976B6A" w:rsidRPr="00F333EC" w:rsidRDefault="00976B6A" w:rsidP="00976B6A">
            <w:pPr>
              <w:jc w:val="both"/>
              <w:rPr>
                <w:i/>
                <w:noProof/>
              </w:rPr>
            </w:pPr>
            <w:r w:rsidRPr="00F333EC">
              <w:rPr>
                <w:noProof/>
              </w:rPr>
              <w:t xml:space="preserve">Izdevumi 3 649 017 </w:t>
            </w:r>
            <w:r w:rsidRPr="00F333EC">
              <w:rPr>
                <w:i/>
                <w:noProof/>
              </w:rPr>
              <w:t>euro</w:t>
            </w:r>
            <w:r>
              <w:rPr>
                <w:noProof/>
              </w:rPr>
              <w:t>, tai skaitā:</w:t>
            </w:r>
          </w:p>
          <w:p w:rsidR="00976B6A" w:rsidRPr="00F333EC" w:rsidRDefault="00976B6A" w:rsidP="00976B6A">
            <w:pPr>
              <w:ind w:right="215"/>
              <w:jc w:val="both"/>
              <w:rPr>
                <w:noProof/>
              </w:rPr>
            </w:pPr>
            <w:r w:rsidRPr="00F333EC">
              <w:rPr>
                <w:noProof/>
              </w:rPr>
              <w:t>EKK 1000 (</w:t>
            </w:r>
            <w:r>
              <w:rPr>
                <w:noProof/>
              </w:rPr>
              <w:t>a</w:t>
            </w:r>
            <w:r w:rsidRPr="00F333EC">
              <w:rPr>
                <w:noProof/>
              </w:rPr>
              <w:t>tlīdzība) –</w:t>
            </w:r>
            <w:r>
              <w:rPr>
                <w:noProof/>
              </w:rPr>
              <w:t xml:space="preserve"> </w:t>
            </w:r>
            <w:r w:rsidRPr="00F333EC">
              <w:rPr>
                <w:noProof/>
              </w:rPr>
              <w:t xml:space="preserve">2 970 904 </w:t>
            </w:r>
            <w:r w:rsidRPr="00172FB4">
              <w:rPr>
                <w:i/>
                <w:noProof/>
              </w:rPr>
              <w:t>euro</w:t>
            </w:r>
            <w:r w:rsidRPr="00F333EC">
              <w:rPr>
                <w:noProof/>
              </w:rPr>
              <w:t>,</w:t>
            </w:r>
          </w:p>
          <w:p w:rsidR="00976B6A" w:rsidRPr="00F333EC" w:rsidRDefault="00976B6A" w:rsidP="00976B6A">
            <w:pPr>
              <w:ind w:right="215"/>
              <w:jc w:val="both"/>
              <w:rPr>
                <w:noProof/>
                <w:color w:val="FF0000"/>
              </w:rPr>
            </w:pPr>
            <w:r>
              <w:rPr>
                <w:noProof/>
              </w:rPr>
              <w:t xml:space="preserve">   </w:t>
            </w:r>
            <w:r w:rsidRPr="00F333EC">
              <w:rPr>
                <w:noProof/>
              </w:rPr>
              <w:t>EKK 1100 (</w:t>
            </w:r>
            <w:r>
              <w:rPr>
                <w:noProof/>
              </w:rPr>
              <w:t>a</w:t>
            </w:r>
            <w:r w:rsidRPr="00F333EC">
              <w:rPr>
                <w:noProof/>
              </w:rPr>
              <w:t xml:space="preserve">talgojums) – 2 326 267 </w:t>
            </w:r>
            <w:r w:rsidRPr="00172FB4">
              <w:rPr>
                <w:i/>
                <w:noProof/>
              </w:rPr>
              <w:t>euro</w:t>
            </w:r>
            <w:r w:rsidRPr="00F333EC">
              <w:rPr>
                <w:noProof/>
              </w:rPr>
              <w:t>,</w:t>
            </w:r>
          </w:p>
          <w:p w:rsidR="00976B6A" w:rsidRPr="00F333EC" w:rsidRDefault="00976B6A" w:rsidP="00976B6A">
            <w:pPr>
              <w:ind w:right="215"/>
              <w:jc w:val="both"/>
              <w:rPr>
                <w:noProof/>
              </w:rPr>
            </w:pPr>
            <w:r w:rsidRPr="00F333EC">
              <w:rPr>
                <w:noProof/>
              </w:rPr>
              <w:t>EKK 2000 (</w:t>
            </w:r>
            <w:r>
              <w:rPr>
                <w:noProof/>
              </w:rPr>
              <w:t>p</w:t>
            </w:r>
            <w:r w:rsidRPr="00F333EC">
              <w:rPr>
                <w:noProof/>
              </w:rPr>
              <w:t>reces un pakalpojumi) –</w:t>
            </w:r>
            <w:r>
              <w:rPr>
                <w:noProof/>
              </w:rPr>
              <w:t xml:space="preserve"> </w:t>
            </w:r>
            <w:r w:rsidRPr="00F333EC">
              <w:rPr>
                <w:noProof/>
              </w:rPr>
              <w:t xml:space="preserve">623 865 </w:t>
            </w:r>
            <w:r w:rsidRPr="00172FB4">
              <w:rPr>
                <w:i/>
                <w:noProof/>
              </w:rPr>
              <w:t>euro</w:t>
            </w:r>
            <w:r w:rsidRPr="00F333EC">
              <w:rPr>
                <w:noProof/>
              </w:rPr>
              <w:t>,</w:t>
            </w:r>
          </w:p>
          <w:p w:rsidR="00976B6A" w:rsidRPr="00F333EC" w:rsidRDefault="00976B6A" w:rsidP="00976B6A">
            <w:pPr>
              <w:ind w:right="215"/>
              <w:jc w:val="both"/>
              <w:rPr>
                <w:noProof/>
              </w:rPr>
            </w:pPr>
            <w:r w:rsidRPr="00F333EC">
              <w:rPr>
                <w:noProof/>
              </w:rPr>
              <w:t>EKK 5000 (</w:t>
            </w:r>
            <w:r>
              <w:rPr>
                <w:noProof/>
              </w:rPr>
              <w:t>k</w:t>
            </w:r>
            <w:r w:rsidRPr="00F333EC">
              <w:rPr>
                <w:noProof/>
              </w:rPr>
              <w:t>apitālie izdevumi) –</w:t>
            </w:r>
            <w:r>
              <w:rPr>
                <w:noProof/>
              </w:rPr>
              <w:t xml:space="preserve"> </w:t>
            </w:r>
            <w:r w:rsidRPr="00F333EC">
              <w:rPr>
                <w:noProof/>
              </w:rPr>
              <w:t xml:space="preserve">54 248 </w:t>
            </w:r>
            <w:r w:rsidRPr="00172FB4">
              <w:rPr>
                <w:i/>
                <w:noProof/>
              </w:rPr>
              <w:t>euro</w:t>
            </w:r>
            <w:r w:rsidRPr="00F333EC">
              <w:rPr>
                <w:noProof/>
              </w:rPr>
              <w:t>.</w:t>
            </w:r>
          </w:p>
          <w:p w:rsidR="00976B6A" w:rsidRDefault="00976B6A" w:rsidP="00AE58CA">
            <w:pPr>
              <w:jc w:val="both"/>
              <w:rPr>
                <w:noProof/>
              </w:rPr>
            </w:pPr>
          </w:p>
          <w:p w:rsidR="008C7FE1" w:rsidRDefault="008C7FE1" w:rsidP="00AE58CA">
            <w:pPr>
              <w:jc w:val="both"/>
              <w:rPr>
                <w:noProof/>
              </w:rPr>
            </w:pPr>
            <w:r>
              <w:rPr>
                <w:noProof/>
              </w:rPr>
              <w:t xml:space="preserve">Atbilstoši </w:t>
            </w:r>
            <w:r w:rsidR="00AE58CA">
              <w:rPr>
                <w:noProof/>
              </w:rPr>
              <w:t xml:space="preserve">likumam </w:t>
            </w:r>
            <w:r w:rsidR="00AE58CA" w:rsidRPr="00976B6A">
              <w:rPr>
                <w:noProof/>
                <w:u w:val="single"/>
              </w:rPr>
              <w:t>„Par valsts budžetu 2015.gadam”</w:t>
            </w:r>
            <w:r w:rsidR="00AE58CA">
              <w:rPr>
                <w:noProof/>
              </w:rPr>
              <w:t xml:space="preserve"> un likumam </w:t>
            </w:r>
            <w:r w:rsidR="00AE58CA" w:rsidRPr="00976B6A">
              <w:rPr>
                <w:noProof/>
                <w:u w:val="single"/>
              </w:rPr>
              <w:t>„Par vidēja termiņa budžeta ietvaru 2015., 2016. un 2017.gadam”</w:t>
            </w:r>
            <w:r w:rsidRPr="00F333EC">
              <w:rPr>
                <w:noProof/>
              </w:rPr>
              <w:t xml:space="preserve"> Veselības inspekcijai </w:t>
            </w:r>
            <w:r w:rsidR="00AE58CA">
              <w:rPr>
                <w:noProof/>
              </w:rPr>
              <w:t xml:space="preserve">Veselības ministrijas </w:t>
            </w:r>
            <w:r w:rsidRPr="00F333EC">
              <w:rPr>
                <w:noProof/>
              </w:rPr>
              <w:t>valsts budžeta apakšprogrammā 46.01.00 „Uzraudzība un kontrole</w:t>
            </w:r>
            <w:r>
              <w:rPr>
                <w:noProof/>
              </w:rPr>
              <w:t>”:</w:t>
            </w:r>
          </w:p>
          <w:p w:rsidR="008C7FE1" w:rsidRDefault="008C7FE1" w:rsidP="00D6564B">
            <w:pPr>
              <w:spacing w:before="120"/>
              <w:ind w:right="215"/>
              <w:jc w:val="both"/>
              <w:rPr>
                <w:noProof/>
              </w:rPr>
            </w:pPr>
            <w:r w:rsidRPr="00172FB4">
              <w:rPr>
                <w:noProof/>
                <w:u w:val="single"/>
              </w:rPr>
              <w:t>2015.gadā</w:t>
            </w:r>
            <w:r>
              <w:rPr>
                <w:noProof/>
              </w:rPr>
              <w:t xml:space="preserve">: </w:t>
            </w:r>
          </w:p>
          <w:p w:rsidR="008C7FE1" w:rsidRDefault="00AE58CA" w:rsidP="00D6564B">
            <w:pPr>
              <w:ind w:right="215"/>
              <w:jc w:val="both"/>
              <w:rPr>
                <w:noProof/>
              </w:rPr>
            </w:pPr>
            <w:r>
              <w:rPr>
                <w:noProof/>
              </w:rPr>
              <w:t>R</w:t>
            </w:r>
            <w:r w:rsidR="008C7FE1">
              <w:rPr>
                <w:noProof/>
              </w:rPr>
              <w:t>esursi izdevumu segšanai</w:t>
            </w:r>
            <w:r w:rsidR="008C7FE1" w:rsidRPr="00F333EC">
              <w:rPr>
                <w:noProof/>
              </w:rPr>
              <w:t>” 3</w:t>
            </w:r>
            <w:r w:rsidR="008C7FE1">
              <w:rPr>
                <w:noProof/>
              </w:rPr>
              <w:t> </w:t>
            </w:r>
            <w:r w:rsidR="003209D9">
              <w:rPr>
                <w:noProof/>
              </w:rPr>
              <w:t>990</w:t>
            </w:r>
            <w:r w:rsidR="008C7FE1">
              <w:rPr>
                <w:noProof/>
              </w:rPr>
              <w:t> </w:t>
            </w:r>
            <w:r w:rsidR="003209D9">
              <w:rPr>
                <w:noProof/>
              </w:rPr>
              <w:t>474</w:t>
            </w:r>
            <w:r w:rsidR="008C7FE1" w:rsidRPr="00F333EC">
              <w:rPr>
                <w:noProof/>
              </w:rPr>
              <w:t xml:space="preserve"> </w:t>
            </w:r>
            <w:r w:rsidR="008C7FE1" w:rsidRPr="00F333EC">
              <w:rPr>
                <w:i/>
                <w:noProof/>
              </w:rPr>
              <w:t>euro</w:t>
            </w:r>
            <w:r w:rsidR="008C7FE1" w:rsidRPr="00F333EC">
              <w:rPr>
                <w:noProof/>
              </w:rPr>
              <w:t xml:space="preserve">, </w:t>
            </w:r>
            <w:r w:rsidR="008C7FE1">
              <w:rPr>
                <w:noProof/>
              </w:rPr>
              <w:t xml:space="preserve">tai skaitā </w:t>
            </w:r>
            <w:r w:rsidR="008C7FE1" w:rsidRPr="00F333EC">
              <w:rPr>
                <w:noProof/>
              </w:rPr>
              <w:t>ieņēmumi no maksas pakalpojumiem un citi pašu ieņēmumi 265</w:t>
            </w:r>
            <w:r w:rsidR="008C7FE1">
              <w:rPr>
                <w:noProof/>
              </w:rPr>
              <w:t> </w:t>
            </w:r>
            <w:r w:rsidR="008C7FE1" w:rsidRPr="00F333EC">
              <w:rPr>
                <w:noProof/>
              </w:rPr>
              <w:t xml:space="preserve">758 </w:t>
            </w:r>
            <w:r w:rsidR="008C7FE1" w:rsidRPr="00F333EC">
              <w:rPr>
                <w:i/>
                <w:noProof/>
              </w:rPr>
              <w:t>euro</w:t>
            </w:r>
            <w:r w:rsidR="008C7FE1" w:rsidRPr="00F333EC">
              <w:rPr>
                <w:noProof/>
              </w:rPr>
              <w:t xml:space="preserve">, dotācija no vispārējiem ieņēmumiem 3 </w:t>
            </w:r>
            <w:r>
              <w:rPr>
                <w:noProof/>
              </w:rPr>
              <w:t>724</w:t>
            </w:r>
            <w:r w:rsidR="008C7FE1" w:rsidRPr="00F333EC">
              <w:rPr>
                <w:noProof/>
              </w:rPr>
              <w:t xml:space="preserve"> </w:t>
            </w:r>
            <w:r w:rsidR="008C7FE1">
              <w:rPr>
                <w:noProof/>
              </w:rPr>
              <w:t>7</w:t>
            </w:r>
            <w:r>
              <w:rPr>
                <w:noProof/>
              </w:rPr>
              <w:t>16</w:t>
            </w:r>
            <w:r w:rsidR="008C7FE1" w:rsidRPr="00F333EC">
              <w:rPr>
                <w:noProof/>
              </w:rPr>
              <w:t xml:space="preserve"> </w:t>
            </w:r>
            <w:r w:rsidR="008C7FE1" w:rsidRPr="00F333EC">
              <w:rPr>
                <w:i/>
                <w:noProof/>
              </w:rPr>
              <w:t>euro</w:t>
            </w:r>
            <w:r w:rsidR="008C7FE1" w:rsidRPr="00F333EC">
              <w:rPr>
                <w:noProof/>
              </w:rPr>
              <w:t xml:space="preserve">. </w:t>
            </w:r>
          </w:p>
          <w:p w:rsidR="008C7FE1" w:rsidRPr="00172FB4" w:rsidRDefault="008C7FE1" w:rsidP="00D6564B">
            <w:pPr>
              <w:ind w:right="215"/>
              <w:jc w:val="both"/>
              <w:rPr>
                <w:noProof/>
              </w:rPr>
            </w:pPr>
            <w:r w:rsidRPr="00F333EC">
              <w:rPr>
                <w:noProof/>
              </w:rPr>
              <w:t xml:space="preserve">Izdevumi </w:t>
            </w:r>
            <w:r w:rsidR="003209D9" w:rsidRPr="00F333EC">
              <w:rPr>
                <w:noProof/>
              </w:rPr>
              <w:t>3</w:t>
            </w:r>
            <w:r w:rsidR="003209D9">
              <w:rPr>
                <w:noProof/>
              </w:rPr>
              <w:t> 990 474</w:t>
            </w:r>
            <w:r w:rsidR="003209D9" w:rsidRPr="00F333EC">
              <w:rPr>
                <w:noProof/>
              </w:rPr>
              <w:t xml:space="preserve"> </w:t>
            </w:r>
            <w:r w:rsidRPr="00F333EC">
              <w:rPr>
                <w:i/>
                <w:noProof/>
              </w:rPr>
              <w:t>euro</w:t>
            </w:r>
            <w:r>
              <w:rPr>
                <w:noProof/>
              </w:rPr>
              <w:t>, tai skaitā:</w:t>
            </w:r>
          </w:p>
          <w:p w:rsidR="008C7FE1" w:rsidRPr="00F333EC" w:rsidRDefault="008C7FE1" w:rsidP="00D6564B">
            <w:pPr>
              <w:ind w:right="215"/>
              <w:jc w:val="both"/>
              <w:rPr>
                <w:noProof/>
              </w:rPr>
            </w:pPr>
            <w:r w:rsidRPr="00F333EC">
              <w:rPr>
                <w:noProof/>
              </w:rPr>
              <w:t>EKK 1000 (</w:t>
            </w:r>
            <w:r>
              <w:rPr>
                <w:noProof/>
              </w:rPr>
              <w:t>a</w:t>
            </w:r>
            <w:r w:rsidRPr="00F333EC">
              <w:rPr>
                <w:noProof/>
              </w:rPr>
              <w:t>tlīdzība) –</w:t>
            </w:r>
            <w:r>
              <w:rPr>
                <w:noProof/>
              </w:rPr>
              <w:t xml:space="preserve"> </w:t>
            </w:r>
            <w:r w:rsidR="003209D9">
              <w:rPr>
                <w:noProof/>
              </w:rPr>
              <w:t>3</w:t>
            </w:r>
            <w:r w:rsidRPr="00F333EC">
              <w:rPr>
                <w:noProof/>
              </w:rPr>
              <w:t xml:space="preserve"> </w:t>
            </w:r>
            <w:r w:rsidR="003209D9">
              <w:rPr>
                <w:noProof/>
              </w:rPr>
              <w:t>241</w:t>
            </w:r>
            <w:r w:rsidRPr="00F333EC">
              <w:rPr>
                <w:noProof/>
              </w:rPr>
              <w:t xml:space="preserve"> </w:t>
            </w:r>
            <w:r w:rsidR="003209D9">
              <w:rPr>
                <w:noProof/>
              </w:rPr>
              <w:t>711</w:t>
            </w:r>
            <w:r w:rsidRPr="00F333EC">
              <w:rPr>
                <w:noProof/>
              </w:rPr>
              <w:t xml:space="preserve"> </w:t>
            </w:r>
            <w:r w:rsidRPr="00172FB4">
              <w:rPr>
                <w:i/>
                <w:noProof/>
              </w:rPr>
              <w:t>euro</w:t>
            </w:r>
            <w:r w:rsidRPr="00F333EC">
              <w:rPr>
                <w:noProof/>
              </w:rPr>
              <w:t>,</w:t>
            </w:r>
          </w:p>
          <w:p w:rsidR="008C7FE1" w:rsidRPr="00F333EC" w:rsidRDefault="008C7FE1" w:rsidP="00D6564B">
            <w:pPr>
              <w:ind w:right="215"/>
              <w:jc w:val="both"/>
              <w:rPr>
                <w:noProof/>
                <w:color w:val="FF0000"/>
              </w:rPr>
            </w:pPr>
            <w:r>
              <w:rPr>
                <w:noProof/>
              </w:rPr>
              <w:t xml:space="preserve">    </w:t>
            </w:r>
            <w:r w:rsidRPr="00F333EC">
              <w:rPr>
                <w:noProof/>
              </w:rPr>
              <w:t>EKK 1100 (</w:t>
            </w:r>
            <w:r>
              <w:rPr>
                <w:noProof/>
              </w:rPr>
              <w:t>a</w:t>
            </w:r>
            <w:r w:rsidRPr="00F333EC">
              <w:rPr>
                <w:noProof/>
              </w:rPr>
              <w:t xml:space="preserve">talgojums) – 2 </w:t>
            </w:r>
            <w:r w:rsidR="003209D9">
              <w:rPr>
                <w:noProof/>
              </w:rPr>
              <w:t>535</w:t>
            </w:r>
            <w:r w:rsidRPr="00F333EC">
              <w:rPr>
                <w:noProof/>
              </w:rPr>
              <w:t xml:space="preserve"> </w:t>
            </w:r>
            <w:r w:rsidR="003209D9">
              <w:rPr>
                <w:noProof/>
              </w:rPr>
              <w:t>85</w:t>
            </w:r>
            <w:r w:rsidRPr="00F333EC">
              <w:rPr>
                <w:noProof/>
              </w:rPr>
              <w:t xml:space="preserve">7 </w:t>
            </w:r>
            <w:r w:rsidRPr="00172FB4">
              <w:rPr>
                <w:i/>
                <w:noProof/>
              </w:rPr>
              <w:t>euro</w:t>
            </w:r>
            <w:r w:rsidRPr="00F333EC">
              <w:rPr>
                <w:noProof/>
              </w:rPr>
              <w:t>,</w:t>
            </w:r>
          </w:p>
          <w:p w:rsidR="008C7FE1" w:rsidRPr="00F333EC" w:rsidRDefault="008C7FE1" w:rsidP="00D6564B">
            <w:pPr>
              <w:ind w:right="215"/>
              <w:jc w:val="both"/>
              <w:rPr>
                <w:noProof/>
              </w:rPr>
            </w:pPr>
            <w:r w:rsidRPr="00F333EC">
              <w:rPr>
                <w:noProof/>
              </w:rPr>
              <w:t>EKK 2000 (</w:t>
            </w:r>
            <w:r>
              <w:rPr>
                <w:noProof/>
              </w:rPr>
              <w:t>p</w:t>
            </w:r>
            <w:r w:rsidRPr="00F333EC">
              <w:rPr>
                <w:noProof/>
              </w:rPr>
              <w:t>reces un pakalpojumi) –</w:t>
            </w:r>
            <w:r>
              <w:rPr>
                <w:noProof/>
              </w:rPr>
              <w:t xml:space="preserve"> </w:t>
            </w:r>
            <w:r w:rsidRPr="00F333EC">
              <w:rPr>
                <w:noProof/>
              </w:rPr>
              <w:t>6</w:t>
            </w:r>
            <w:r w:rsidR="003209D9">
              <w:rPr>
                <w:noProof/>
              </w:rPr>
              <w:t>84</w:t>
            </w:r>
            <w:r w:rsidRPr="00F333EC">
              <w:rPr>
                <w:noProof/>
              </w:rPr>
              <w:t> </w:t>
            </w:r>
            <w:r w:rsidR="003209D9">
              <w:rPr>
                <w:noProof/>
              </w:rPr>
              <w:t>295</w:t>
            </w:r>
            <w:r w:rsidRPr="00F333EC">
              <w:rPr>
                <w:noProof/>
              </w:rPr>
              <w:t xml:space="preserve"> </w:t>
            </w:r>
            <w:r w:rsidRPr="00172FB4">
              <w:rPr>
                <w:i/>
                <w:noProof/>
              </w:rPr>
              <w:t>euro</w:t>
            </w:r>
            <w:r w:rsidRPr="00F333EC">
              <w:rPr>
                <w:noProof/>
              </w:rPr>
              <w:t>,</w:t>
            </w:r>
          </w:p>
          <w:p w:rsidR="008C7FE1" w:rsidRPr="00F333EC" w:rsidRDefault="008C7FE1" w:rsidP="00D6564B">
            <w:pPr>
              <w:ind w:right="215"/>
              <w:jc w:val="both"/>
              <w:rPr>
                <w:noProof/>
              </w:rPr>
            </w:pPr>
            <w:r w:rsidRPr="00F333EC">
              <w:rPr>
                <w:noProof/>
              </w:rPr>
              <w:t>EKK 5000 (</w:t>
            </w:r>
            <w:r>
              <w:rPr>
                <w:noProof/>
              </w:rPr>
              <w:t>k</w:t>
            </w:r>
            <w:r w:rsidRPr="00F333EC">
              <w:rPr>
                <w:noProof/>
              </w:rPr>
              <w:t>apitālie izdevumi) –</w:t>
            </w:r>
            <w:r>
              <w:rPr>
                <w:noProof/>
              </w:rPr>
              <w:t xml:space="preserve"> </w:t>
            </w:r>
            <w:r w:rsidR="003209D9">
              <w:rPr>
                <w:noProof/>
              </w:rPr>
              <w:t>6</w:t>
            </w:r>
            <w:r w:rsidRPr="00F333EC">
              <w:rPr>
                <w:noProof/>
              </w:rPr>
              <w:t xml:space="preserve">4 </w:t>
            </w:r>
            <w:r w:rsidR="003209D9">
              <w:rPr>
                <w:noProof/>
              </w:rPr>
              <w:t>46</w:t>
            </w:r>
            <w:r w:rsidRPr="00F333EC">
              <w:rPr>
                <w:noProof/>
              </w:rPr>
              <w:t xml:space="preserve">8 </w:t>
            </w:r>
            <w:r w:rsidRPr="00172FB4">
              <w:rPr>
                <w:i/>
                <w:noProof/>
              </w:rPr>
              <w:t>euro</w:t>
            </w:r>
            <w:r w:rsidRPr="00F333EC">
              <w:rPr>
                <w:noProof/>
              </w:rPr>
              <w:t>.</w:t>
            </w:r>
          </w:p>
          <w:p w:rsidR="00AE58CA" w:rsidRDefault="008C7FE1" w:rsidP="00D6564B">
            <w:pPr>
              <w:spacing w:before="120"/>
              <w:jc w:val="both"/>
              <w:rPr>
                <w:noProof/>
              </w:rPr>
            </w:pPr>
            <w:r w:rsidRPr="00F333EC">
              <w:rPr>
                <w:noProof/>
              </w:rPr>
              <w:t>2015.gadā attiecībā pret 201</w:t>
            </w:r>
            <w:r>
              <w:rPr>
                <w:noProof/>
              </w:rPr>
              <w:t>4</w:t>
            </w:r>
            <w:r w:rsidRPr="00F333EC">
              <w:rPr>
                <w:noProof/>
              </w:rPr>
              <w:t>.gad</w:t>
            </w:r>
            <w:r w:rsidR="00976B6A">
              <w:rPr>
                <w:noProof/>
              </w:rPr>
              <w:t>a apstiprināto budžetu</w:t>
            </w:r>
            <w:r w:rsidRPr="00F333EC">
              <w:rPr>
                <w:noProof/>
              </w:rPr>
              <w:t xml:space="preserve"> Veselības inspekcijai piešķirtais finansējums ir palielinā</w:t>
            </w:r>
            <w:r>
              <w:rPr>
                <w:noProof/>
              </w:rPr>
              <w:t>t</w:t>
            </w:r>
            <w:r w:rsidRPr="00F333EC">
              <w:rPr>
                <w:noProof/>
              </w:rPr>
              <w:t xml:space="preserve">s par </w:t>
            </w:r>
            <w:r w:rsidR="00AE58CA">
              <w:rPr>
                <w:noProof/>
              </w:rPr>
              <w:t xml:space="preserve"> </w:t>
            </w:r>
            <w:r w:rsidR="003209D9">
              <w:rPr>
                <w:noProof/>
              </w:rPr>
              <w:t>341 457 </w:t>
            </w:r>
            <w:r w:rsidRPr="00F333EC">
              <w:rPr>
                <w:i/>
                <w:noProof/>
              </w:rPr>
              <w:t>eu</w:t>
            </w:r>
            <w:r w:rsidR="00AE58CA">
              <w:rPr>
                <w:i/>
                <w:noProof/>
              </w:rPr>
              <w:t>ro</w:t>
            </w:r>
            <w:r w:rsidR="00AE58CA">
              <w:rPr>
                <w:noProof/>
              </w:rPr>
              <w:t>, tai skaitā:</w:t>
            </w:r>
            <w:r>
              <w:rPr>
                <w:noProof/>
              </w:rPr>
              <w:t xml:space="preserve"> </w:t>
            </w:r>
          </w:p>
          <w:p w:rsidR="00AE58CA" w:rsidRPr="00A84596" w:rsidRDefault="008C7FE1" w:rsidP="00A22C9F">
            <w:pPr>
              <w:pStyle w:val="ListParagraph"/>
              <w:numPr>
                <w:ilvl w:val="0"/>
                <w:numId w:val="6"/>
              </w:numPr>
              <w:ind w:left="449" w:hanging="142"/>
              <w:jc w:val="both"/>
              <w:rPr>
                <w:noProof/>
                <w:lang w:val="lv-LV"/>
              </w:rPr>
            </w:pPr>
            <w:r w:rsidRPr="00A84596">
              <w:rPr>
                <w:noProof/>
                <w:lang w:val="lv-LV"/>
              </w:rPr>
              <w:t>palielinājums par 37 758 </w:t>
            </w:r>
            <w:r w:rsidRPr="00A84596">
              <w:rPr>
                <w:i/>
                <w:noProof/>
                <w:lang w:val="lv-LV"/>
              </w:rPr>
              <w:t>euro</w:t>
            </w:r>
            <w:r w:rsidRPr="00A84596">
              <w:rPr>
                <w:noProof/>
                <w:lang w:val="lv-LV"/>
              </w:rPr>
              <w:t xml:space="preserve"> </w:t>
            </w:r>
            <w:r w:rsidR="003209D9" w:rsidRPr="00A84596">
              <w:rPr>
                <w:noProof/>
                <w:lang w:val="lv-LV"/>
              </w:rPr>
              <w:t xml:space="preserve">- </w:t>
            </w:r>
            <w:r w:rsidRPr="00A84596">
              <w:rPr>
                <w:noProof/>
                <w:lang w:val="lv-LV"/>
              </w:rPr>
              <w:t>ERAF projekta ietvaros izstrādāto IT sistēmu turpmākai uzturēšanai</w:t>
            </w:r>
            <w:r w:rsidR="00AE58CA" w:rsidRPr="00A84596">
              <w:rPr>
                <w:noProof/>
                <w:lang w:val="lv-LV"/>
              </w:rPr>
              <w:t xml:space="preserve"> (</w:t>
            </w:r>
            <w:r w:rsidR="003209D9" w:rsidRPr="00A84596">
              <w:rPr>
                <w:noProof/>
                <w:lang w:val="lv-LV"/>
              </w:rPr>
              <w:t xml:space="preserve">iekļauts </w:t>
            </w:r>
            <w:r w:rsidR="00AE58CA" w:rsidRPr="00A84596">
              <w:rPr>
                <w:noProof/>
                <w:lang w:val="lv-LV"/>
              </w:rPr>
              <w:t>budžeta bāzē);</w:t>
            </w:r>
          </w:p>
          <w:p w:rsidR="00AE58CA" w:rsidRPr="00A84596" w:rsidRDefault="00AE58CA" w:rsidP="00A22C9F">
            <w:pPr>
              <w:pStyle w:val="ListParagraph"/>
              <w:numPr>
                <w:ilvl w:val="0"/>
                <w:numId w:val="6"/>
              </w:numPr>
              <w:ind w:left="449" w:hanging="142"/>
              <w:jc w:val="both"/>
              <w:rPr>
                <w:noProof/>
                <w:lang w:val="lv-LV"/>
              </w:rPr>
            </w:pPr>
            <w:r w:rsidRPr="00A84596">
              <w:rPr>
                <w:noProof/>
                <w:lang w:val="lv-LV"/>
              </w:rPr>
              <w:t>palielinājums par 201 165 </w:t>
            </w:r>
            <w:r w:rsidRPr="00A84596">
              <w:rPr>
                <w:i/>
                <w:noProof/>
                <w:lang w:val="lv-LV"/>
              </w:rPr>
              <w:t>euro</w:t>
            </w:r>
            <w:r w:rsidRPr="00A84596">
              <w:rPr>
                <w:noProof/>
                <w:lang w:val="lv-LV"/>
              </w:rPr>
              <w:t xml:space="preserve"> </w:t>
            </w:r>
            <w:r w:rsidR="003209D9" w:rsidRPr="00A84596">
              <w:rPr>
                <w:noProof/>
                <w:lang w:val="lv-LV"/>
              </w:rPr>
              <w:t xml:space="preserve">- </w:t>
            </w:r>
            <w:r w:rsidR="003209D9" w:rsidRPr="00A84596">
              <w:rPr>
                <w:rFonts w:eastAsia="Calibri"/>
                <w:noProof/>
                <w:lang w:val="lv-LV"/>
              </w:rPr>
              <w:t>ēnu ekonomikas apkarošanas un godīgas konkurences nodrošināšana veselības nozarē</w:t>
            </w:r>
            <w:r w:rsidRPr="00A84596">
              <w:rPr>
                <w:noProof/>
                <w:lang w:val="lv-LV"/>
              </w:rPr>
              <w:t xml:space="preserve">  (piešķirts </w:t>
            </w:r>
            <w:r w:rsidR="003209D9" w:rsidRPr="00A84596">
              <w:rPr>
                <w:noProof/>
                <w:lang w:val="lv-LV"/>
              </w:rPr>
              <w:t xml:space="preserve">papildus </w:t>
            </w:r>
            <w:r w:rsidRPr="00A84596">
              <w:rPr>
                <w:noProof/>
                <w:lang w:val="lv-LV"/>
              </w:rPr>
              <w:t>JPI);</w:t>
            </w:r>
          </w:p>
          <w:p w:rsidR="00AE58CA" w:rsidRPr="00A84596" w:rsidRDefault="00AE58CA" w:rsidP="00A22C9F">
            <w:pPr>
              <w:pStyle w:val="ListParagraph"/>
              <w:numPr>
                <w:ilvl w:val="0"/>
                <w:numId w:val="6"/>
              </w:numPr>
              <w:ind w:left="449" w:hanging="142"/>
              <w:jc w:val="both"/>
              <w:rPr>
                <w:noProof/>
                <w:lang w:val="lv-LV"/>
              </w:rPr>
            </w:pPr>
            <w:r w:rsidRPr="00A84596">
              <w:rPr>
                <w:noProof/>
                <w:lang w:val="lv-LV"/>
              </w:rPr>
              <w:t>palielinājums par 103 794 </w:t>
            </w:r>
            <w:r w:rsidRPr="00A84596">
              <w:rPr>
                <w:i/>
                <w:noProof/>
                <w:lang w:val="lv-LV"/>
              </w:rPr>
              <w:t>euro</w:t>
            </w:r>
            <w:r w:rsidRPr="00A84596">
              <w:rPr>
                <w:noProof/>
                <w:lang w:val="lv-LV"/>
              </w:rPr>
              <w:t xml:space="preserve"> </w:t>
            </w:r>
            <w:r w:rsidR="003209D9" w:rsidRPr="00A84596">
              <w:rPr>
                <w:noProof/>
                <w:lang w:val="lv-LV"/>
              </w:rPr>
              <w:t xml:space="preserve">- par </w:t>
            </w:r>
            <w:r w:rsidR="003209D9" w:rsidRPr="00A84596">
              <w:rPr>
                <w:rFonts w:eastAsia="Calibri"/>
                <w:noProof/>
                <w:lang w:val="lv-LV"/>
              </w:rPr>
              <w:t>normatīvo regulējumu un praksi ieslodzīto personu iesniegumu izskatīšanas kārtībai Veselības inspekcijā gadījumos, kas saistīti ar ieslodzīto personu nopietnu un akūtu saslimšan</w:t>
            </w:r>
            <w:r w:rsidR="003209D9" w:rsidRPr="00A84596">
              <w:rPr>
                <w:rFonts w:eastAsia="Calibri"/>
                <w:noProof/>
                <w:sz w:val="18"/>
                <w:lang w:val="lv-LV"/>
              </w:rPr>
              <w:t>u</w:t>
            </w:r>
            <w:r w:rsidRPr="00A84596">
              <w:rPr>
                <w:noProof/>
                <w:lang w:val="lv-LV"/>
              </w:rPr>
              <w:t xml:space="preserve"> (piešķirts </w:t>
            </w:r>
            <w:r w:rsidR="003209D9" w:rsidRPr="00A84596">
              <w:rPr>
                <w:noProof/>
                <w:lang w:val="lv-LV"/>
              </w:rPr>
              <w:t xml:space="preserve">papildus </w:t>
            </w:r>
            <w:r w:rsidRPr="00A84596">
              <w:rPr>
                <w:noProof/>
                <w:lang w:val="lv-LV"/>
              </w:rPr>
              <w:t>JPI);</w:t>
            </w:r>
            <w:r w:rsidR="008C7FE1" w:rsidRPr="00A84596">
              <w:rPr>
                <w:noProof/>
                <w:lang w:val="lv-LV"/>
              </w:rPr>
              <w:t xml:space="preserve"> </w:t>
            </w:r>
          </w:p>
          <w:p w:rsidR="008C7FE1" w:rsidRPr="00A84596" w:rsidRDefault="008C7FE1" w:rsidP="00A22C9F">
            <w:pPr>
              <w:pStyle w:val="ListParagraph"/>
              <w:numPr>
                <w:ilvl w:val="0"/>
                <w:numId w:val="6"/>
              </w:numPr>
              <w:ind w:left="449" w:hanging="142"/>
              <w:jc w:val="both"/>
              <w:rPr>
                <w:noProof/>
                <w:lang w:val="lv-LV"/>
              </w:rPr>
            </w:pPr>
            <w:r w:rsidRPr="00A84596">
              <w:rPr>
                <w:noProof/>
                <w:lang w:val="lv-LV"/>
              </w:rPr>
              <w:t>samazinājums par 1260</w:t>
            </w:r>
            <w:r w:rsidR="00AE58CA" w:rsidRPr="00A84596">
              <w:rPr>
                <w:noProof/>
                <w:lang w:val="lv-LV"/>
              </w:rPr>
              <w:t> </w:t>
            </w:r>
            <w:r w:rsidRPr="00A84596">
              <w:rPr>
                <w:i/>
                <w:noProof/>
                <w:lang w:val="lv-LV"/>
              </w:rPr>
              <w:t>euro</w:t>
            </w:r>
            <w:r w:rsidRPr="00A84596">
              <w:rPr>
                <w:noProof/>
                <w:lang w:val="lv-LV"/>
              </w:rPr>
              <w:t xml:space="preserve"> </w:t>
            </w:r>
            <w:r w:rsidR="00AE58CA" w:rsidRPr="00A84596">
              <w:rPr>
                <w:noProof/>
                <w:lang w:val="lv-LV"/>
              </w:rPr>
              <w:t>(</w:t>
            </w:r>
            <w:r w:rsidR="00A22C9F">
              <w:rPr>
                <w:noProof/>
                <w:lang w:val="lv-LV"/>
              </w:rPr>
              <w:t xml:space="preserve">kas </w:t>
            </w:r>
            <w:r w:rsidR="00AE58CA" w:rsidRPr="00A84596">
              <w:rPr>
                <w:noProof/>
                <w:lang w:val="lv-LV"/>
              </w:rPr>
              <w:t xml:space="preserve">bija vienreizēji </w:t>
            </w:r>
            <w:r w:rsidRPr="00A84596">
              <w:rPr>
                <w:noProof/>
                <w:lang w:val="lv-LV"/>
              </w:rPr>
              <w:t>piešķirti 2014.</w:t>
            </w:r>
            <w:r w:rsidR="00A22C9F">
              <w:rPr>
                <w:noProof/>
                <w:lang w:val="lv-LV"/>
              </w:rPr>
              <w:t xml:space="preserve"> </w:t>
            </w:r>
            <w:r w:rsidRPr="00A84596">
              <w:rPr>
                <w:noProof/>
                <w:lang w:val="lv-LV"/>
              </w:rPr>
              <w:lastRenderedPageBreak/>
              <w:t xml:space="preserve">gadā grāmatvedības </w:t>
            </w:r>
            <w:r w:rsidR="00AE58CA" w:rsidRPr="00A84596">
              <w:rPr>
                <w:noProof/>
                <w:lang w:val="lv-LV"/>
              </w:rPr>
              <w:t xml:space="preserve">un personālvadības </w:t>
            </w:r>
            <w:r w:rsidRPr="00A84596">
              <w:rPr>
                <w:noProof/>
                <w:lang w:val="lv-LV"/>
              </w:rPr>
              <w:t>programmu pielāgošanas pabeigšanai saistībā ar euro ieviešanu</w:t>
            </w:r>
            <w:r w:rsidR="00AE58CA" w:rsidRPr="00A84596">
              <w:rPr>
                <w:noProof/>
                <w:lang w:val="lv-LV"/>
              </w:rPr>
              <w:t>)</w:t>
            </w:r>
            <w:r w:rsidRPr="00A84596">
              <w:rPr>
                <w:noProof/>
                <w:lang w:val="lv-LV"/>
              </w:rPr>
              <w:t>.</w:t>
            </w:r>
          </w:p>
          <w:p w:rsidR="008C7FE1" w:rsidRDefault="008C7FE1" w:rsidP="00D6564B">
            <w:pPr>
              <w:jc w:val="both"/>
              <w:rPr>
                <w:noProof/>
              </w:rPr>
            </w:pPr>
            <w:r w:rsidRPr="00F333EC">
              <w:rPr>
                <w:noProof/>
              </w:rPr>
              <w:t xml:space="preserve"> </w:t>
            </w:r>
          </w:p>
          <w:p w:rsidR="008C7FE1" w:rsidRDefault="008C7FE1" w:rsidP="00D6564B">
            <w:pPr>
              <w:jc w:val="both"/>
              <w:rPr>
                <w:noProof/>
              </w:rPr>
            </w:pPr>
            <w:r w:rsidRPr="00172FB4">
              <w:rPr>
                <w:noProof/>
                <w:u w:val="single"/>
              </w:rPr>
              <w:t>2016.gadā</w:t>
            </w:r>
            <w:r>
              <w:rPr>
                <w:noProof/>
              </w:rPr>
              <w:t>:</w:t>
            </w:r>
            <w:r w:rsidRPr="00172FB4">
              <w:rPr>
                <w:noProof/>
              </w:rPr>
              <w:t xml:space="preserve"> </w:t>
            </w:r>
          </w:p>
          <w:p w:rsidR="003209D9" w:rsidRDefault="003209D9" w:rsidP="003209D9">
            <w:pPr>
              <w:ind w:right="215"/>
              <w:jc w:val="both"/>
              <w:rPr>
                <w:noProof/>
              </w:rPr>
            </w:pPr>
            <w:r>
              <w:rPr>
                <w:noProof/>
              </w:rPr>
              <w:t>Resursi izdevumu segšanai</w:t>
            </w:r>
            <w:r w:rsidRPr="00F333EC">
              <w:rPr>
                <w:noProof/>
              </w:rPr>
              <w:t xml:space="preserve">” </w:t>
            </w:r>
            <w:r w:rsidR="00A22C9F">
              <w:rPr>
                <w:noProof/>
              </w:rPr>
              <w:t>4</w:t>
            </w:r>
            <w:r>
              <w:rPr>
                <w:noProof/>
              </w:rPr>
              <w:t> </w:t>
            </w:r>
            <w:r w:rsidR="00A22C9F">
              <w:rPr>
                <w:noProof/>
              </w:rPr>
              <w:t>003</w:t>
            </w:r>
            <w:r>
              <w:rPr>
                <w:noProof/>
              </w:rPr>
              <w:t> </w:t>
            </w:r>
            <w:r w:rsidR="00A22C9F">
              <w:rPr>
                <w:noProof/>
              </w:rPr>
              <w:t>689</w:t>
            </w:r>
            <w:r w:rsidRPr="00F333EC">
              <w:rPr>
                <w:noProof/>
              </w:rPr>
              <w:t xml:space="preserve"> </w:t>
            </w:r>
            <w:r w:rsidRPr="00F333EC">
              <w:rPr>
                <w:i/>
                <w:noProof/>
              </w:rPr>
              <w:t>euro</w:t>
            </w:r>
            <w:r w:rsidRPr="00F333EC">
              <w:rPr>
                <w:noProof/>
              </w:rPr>
              <w:t xml:space="preserve">, </w:t>
            </w:r>
            <w:r>
              <w:rPr>
                <w:noProof/>
              </w:rPr>
              <w:t xml:space="preserve">tai skaitā </w:t>
            </w:r>
            <w:r w:rsidRPr="00F333EC">
              <w:rPr>
                <w:noProof/>
              </w:rPr>
              <w:t>ieņēmumi no maksas pakalpojumiem un citi pašu ieņēmumi 265</w:t>
            </w:r>
            <w:r>
              <w:rPr>
                <w:noProof/>
              </w:rPr>
              <w:t> </w:t>
            </w:r>
            <w:r w:rsidRPr="00F333EC">
              <w:rPr>
                <w:noProof/>
              </w:rPr>
              <w:t xml:space="preserve">758 </w:t>
            </w:r>
            <w:r w:rsidRPr="00F333EC">
              <w:rPr>
                <w:i/>
                <w:noProof/>
              </w:rPr>
              <w:t>euro</w:t>
            </w:r>
            <w:r w:rsidRPr="00F333EC">
              <w:rPr>
                <w:noProof/>
              </w:rPr>
              <w:t xml:space="preserve">, dotācija no vispārējiem ieņēmumiem 3 </w:t>
            </w:r>
            <w:r>
              <w:rPr>
                <w:noProof/>
              </w:rPr>
              <w:t>7</w:t>
            </w:r>
            <w:r w:rsidR="00A22C9F">
              <w:rPr>
                <w:noProof/>
              </w:rPr>
              <w:t>37</w:t>
            </w:r>
            <w:r w:rsidRPr="00F333EC">
              <w:rPr>
                <w:noProof/>
              </w:rPr>
              <w:t xml:space="preserve"> </w:t>
            </w:r>
            <w:r w:rsidR="00A22C9F">
              <w:rPr>
                <w:noProof/>
              </w:rPr>
              <w:t>931</w:t>
            </w:r>
            <w:r w:rsidRPr="00F333EC">
              <w:rPr>
                <w:noProof/>
              </w:rPr>
              <w:t xml:space="preserve"> </w:t>
            </w:r>
            <w:r w:rsidRPr="00F333EC">
              <w:rPr>
                <w:i/>
                <w:noProof/>
              </w:rPr>
              <w:t>euro</w:t>
            </w:r>
            <w:r w:rsidRPr="00F333EC">
              <w:rPr>
                <w:noProof/>
              </w:rPr>
              <w:t xml:space="preserve">. </w:t>
            </w:r>
          </w:p>
          <w:p w:rsidR="003209D9" w:rsidRPr="00172FB4" w:rsidRDefault="003209D9" w:rsidP="003209D9">
            <w:pPr>
              <w:ind w:right="215"/>
              <w:jc w:val="both"/>
              <w:rPr>
                <w:noProof/>
              </w:rPr>
            </w:pPr>
            <w:r w:rsidRPr="00F333EC">
              <w:rPr>
                <w:noProof/>
              </w:rPr>
              <w:t xml:space="preserve">Izdevumi </w:t>
            </w:r>
            <w:r w:rsidR="00A22C9F">
              <w:rPr>
                <w:noProof/>
              </w:rPr>
              <w:t>4 003 689</w:t>
            </w:r>
            <w:r w:rsidRPr="00F333EC">
              <w:rPr>
                <w:noProof/>
              </w:rPr>
              <w:t xml:space="preserve"> </w:t>
            </w:r>
            <w:r w:rsidRPr="00F333EC">
              <w:rPr>
                <w:i/>
                <w:noProof/>
              </w:rPr>
              <w:t>euro</w:t>
            </w:r>
            <w:r>
              <w:rPr>
                <w:noProof/>
              </w:rPr>
              <w:t>, tai skaitā:</w:t>
            </w:r>
          </w:p>
          <w:p w:rsidR="003209D9" w:rsidRPr="00F333EC" w:rsidRDefault="003209D9" w:rsidP="003209D9">
            <w:pPr>
              <w:ind w:right="215"/>
              <w:jc w:val="both"/>
              <w:rPr>
                <w:noProof/>
              </w:rPr>
            </w:pPr>
            <w:r w:rsidRPr="00F333EC">
              <w:rPr>
                <w:noProof/>
              </w:rPr>
              <w:t>EKK 1000 (</w:t>
            </w:r>
            <w:r>
              <w:rPr>
                <w:noProof/>
              </w:rPr>
              <w:t>a</w:t>
            </w:r>
            <w:r w:rsidRPr="00F333EC">
              <w:rPr>
                <w:noProof/>
              </w:rPr>
              <w:t>tlīdzība) –</w:t>
            </w:r>
            <w:r>
              <w:rPr>
                <w:noProof/>
              </w:rPr>
              <w:t xml:space="preserve"> 3</w:t>
            </w:r>
            <w:r w:rsidRPr="00F333EC">
              <w:rPr>
                <w:noProof/>
              </w:rPr>
              <w:t xml:space="preserve"> </w:t>
            </w:r>
            <w:r>
              <w:rPr>
                <w:noProof/>
              </w:rPr>
              <w:t>2</w:t>
            </w:r>
            <w:r w:rsidR="00A22C9F">
              <w:rPr>
                <w:noProof/>
              </w:rPr>
              <w:t>60</w:t>
            </w:r>
            <w:r w:rsidRPr="00F333EC">
              <w:rPr>
                <w:noProof/>
              </w:rPr>
              <w:t xml:space="preserve"> </w:t>
            </w:r>
            <w:r w:rsidR="00A22C9F">
              <w:rPr>
                <w:noProof/>
              </w:rPr>
              <w:t>022</w:t>
            </w:r>
            <w:r w:rsidRPr="00F333EC">
              <w:rPr>
                <w:noProof/>
              </w:rPr>
              <w:t xml:space="preserve"> </w:t>
            </w:r>
            <w:r w:rsidRPr="00172FB4">
              <w:rPr>
                <w:i/>
                <w:noProof/>
              </w:rPr>
              <w:t>euro</w:t>
            </w:r>
            <w:r w:rsidRPr="00F333EC">
              <w:rPr>
                <w:noProof/>
              </w:rPr>
              <w:t>,</w:t>
            </w:r>
          </w:p>
          <w:p w:rsidR="003209D9" w:rsidRPr="00F333EC" w:rsidRDefault="003209D9" w:rsidP="003209D9">
            <w:pPr>
              <w:ind w:right="215"/>
              <w:jc w:val="both"/>
              <w:rPr>
                <w:noProof/>
                <w:color w:val="FF0000"/>
              </w:rPr>
            </w:pPr>
            <w:r>
              <w:rPr>
                <w:noProof/>
              </w:rPr>
              <w:t xml:space="preserve">    </w:t>
            </w:r>
            <w:r w:rsidRPr="00F333EC">
              <w:rPr>
                <w:noProof/>
              </w:rPr>
              <w:t>EKK 1100 (</w:t>
            </w:r>
            <w:r>
              <w:rPr>
                <w:noProof/>
              </w:rPr>
              <w:t>a</w:t>
            </w:r>
            <w:r w:rsidRPr="00F333EC">
              <w:rPr>
                <w:noProof/>
              </w:rPr>
              <w:t xml:space="preserve">talgojums) – 2 </w:t>
            </w:r>
            <w:r>
              <w:rPr>
                <w:noProof/>
              </w:rPr>
              <w:t>5</w:t>
            </w:r>
            <w:r w:rsidR="00A22C9F">
              <w:rPr>
                <w:noProof/>
              </w:rPr>
              <w:t>50</w:t>
            </w:r>
            <w:r w:rsidRPr="00F333EC">
              <w:rPr>
                <w:noProof/>
              </w:rPr>
              <w:t xml:space="preserve"> </w:t>
            </w:r>
            <w:r w:rsidR="00A22C9F">
              <w:rPr>
                <w:noProof/>
              </w:rPr>
              <w:t>674</w:t>
            </w:r>
            <w:r w:rsidRPr="00F333EC">
              <w:rPr>
                <w:noProof/>
              </w:rPr>
              <w:t xml:space="preserve"> </w:t>
            </w:r>
            <w:r w:rsidRPr="00172FB4">
              <w:rPr>
                <w:i/>
                <w:noProof/>
              </w:rPr>
              <w:t>euro</w:t>
            </w:r>
            <w:r w:rsidRPr="00F333EC">
              <w:rPr>
                <w:noProof/>
              </w:rPr>
              <w:t>,</w:t>
            </w:r>
          </w:p>
          <w:p w:rsidR="003209D9" w:rsidRPr="00F333EC" w:rsidRDefault="003209D9" w:rsidP="003209D9">
            <w:pPr>
              <w:ind w:right="215"/>
              <w:jc w:val="both"/>
              <w:rPr>
                <w:noProof/>
              </w:rPr>
            </w:pPr>
            <w:r w:rsidRPr="00F333EC">
              <w:rPr>
                <w:noProof/>
              </w:rPr>
              <w:t>EKK 2000 (</w:t>
            </w:r>
            <w:r>
              <w:rPr>
                <w:noProof/>
              </w:rPr>
              <w:t>p</w:t>
            </w:r>
            <w:r w:rsidRPr="00F333EC">
              <w:rPr>
                <w:noProof/>
              </w:rPr>
              <w:t>reces un pakalpojumi) –</w:t>
            </w:r>
            <w:r>
              <w:rPr>
                <w:noProof/>
              </w:rPr>
              <w:t xml:space="preserve"> </w:t>
            </w:r>
            <w:r w:rsidRPr="00F333EC">
              <w:rPr>
                <w:noProof/>
              </w:rPr>
              <w:t>6</w:t>
            </w:r>
            <w:r>
              <w:rPr>
                <w:noProof/>
              </w:rPr>
              <w:t>8</w:t>
            </w:r>
            <w:r w:rsidR="00A22C9F">
              <w:rPr>
                <w:noProof/>
              </w:rPr>
              <w:t>9</w:t>
            </w:r>
            <w:r w:rsidRPr="00F333EC">
              <w:rPr>
                <w:noProof/>
              </w:rPr>
              <w:t> </w:t>
            </w:r>
            <w:r w:rsidR="00A22C9F">
              <w:rPr>
                <w:noProof/>
              </w:rPr>
              <w:t>419</w:t>
            </w:r>
            <w:r w:rsidRPr="00F333EC">
              <w:rPr>
                <w:noProof/>
              </w:rPr>
              <w:t xml:space="preserve"> </w:t>
            </w:r>
            <w:r w:rsidRPr="00172FB4">
              <w:rPr>
                <w:i/>
                <w:noProof/>
              </w:rPr>
              <w:t>euro</w:t>
            </w:r>
            <w:r w:rsidRPr="00F333EC">
              <w:rPr>
                <w:noProof/>
              </w:rPr>
              <w:t>,</w:t>
            </w:r>
          </w:p>
          <w:p w:rsidR="003209D9" w:rsidRPr="00F333EC" w:rsidRDefault="003209D9" w:rsidP="003209D9">
            <w:pPr>
              <w:ind w:right="215"/>
              <w:jc w:val="both"/>
              <w:rPr>
                <w:noProof/>
              </w:rPr>
            </w:pPr>
            <w:r w:rsidRPr="00F333EC">
              <w:rPr>
                <w:noProof/>
              </w:rPr>
              <w:t>EKK 5000 (</w:t>
            </w:r>
            <w:r>
              <w:rPr>
                <w:noProof/>
              </w:rPr>
              <w:t>k</w:t>
            </w:r>
            <w:r w:rsidRPr="00F333EC">
              <w:rPr>
                <w:noProof/>
              </w:rPr>
              <w:t>apitālie izdevumi) –</w:t>
            </w:r>
            <w:r>
              <w:rPr>
                <w:noProof/>
              </w:rPr>
              <w:t xml:space="preserve"> </w:t>
            </w:r>
            <w:r w:rsidR="00A22C9F">
              <w:rPr>
                <w:noProof/>
              </w:rPr>
              <w:t>5</w:t>
            </w:r>
            <w:r w:rsidRPr="00F333EC">
              <w:rPr>
                <w:noProof/>
              </w:rPr>
              <w:t xml:space="preserve">4 </w:t>
            </w:r>
            <w:r w:rsidR="00A22C9F">
              <w:rPr>
                <w:noProof/>
              </w:rPr>
              <w:t>24</w:t>
            </w:r>
            <w:r w:rsidRPr="00F333EC">
              <w:rPr>
                <w:noProof/>
              </w:rPr>
              <w:t xml:space="preserve">8 </w:t>
            </w:r>
            <w:r w:rsidRPr="00172FB4">
              <w:rPr>
                <w:i/>
                <w:noProof/>
              </w:rPr>
              <w:t>euro</w:t>
            </w:r>
            <w:r w:rsidRPr="00F333EC">
              <w:rPr>
                <w:noProof/>
              </w:rPr>
              <w:t>.</w:t>
            </w:r>
          </w:p>
          <w:p w:rsidR="008C7FE1" w:rsidRDefault="008C7FE1" w:rsidP="00D6564B">
            <w:pPr>
              <w:tabs>
                <w:tab w:val="left" w:pos="6895"/>
              </w:tabs>
              <w:jc w:val="both"/>
              <w:rPr>
                <w:noProof/>
              </w:rPr>
            </w:pPr>
          </w:p>
          <w:p w:rsidR="008C7FE1" w:rsidRDefault="008C7FE1" w:rsidP="00D6564B">
            <w:pPr>
              <w:jc w:val="both"/>
              <w:rPr>
                <w:noProof/>
              </w:rPr>
            </w:pPr>
            <w:r w:rsidRPr="00172FB4">
              <w:rPr>
                <w:noProof/>
                <w:u w:val="single"/>
              </w:rPr>
              <w:t>201</w:t>
            </w:r>
            <w:r>
              <w:rPr>
                <w:noProof/>
                <w:u w:val="single"/>
              </w:rPr>
              <w:t>7</w:t>
            </w:r>
            <w:r w:rsidRPr="00172FB4">
              <w:rPr>
                <w:noProof/>
                <w:u w:val="single"/>
              </w:rPr>
              <w:t>.gadā</w:t>
            </w:r>
            <w:r>
              <w:rPr>
                <w:noProof/>
              </w:rPr>
              <w:t>:</w:t>
            </w:r>
            <w:r w:rsidRPr="00172FB4">
              <w:rPr>
                <w:noProof/>
              </w:rPr>
              <w:t xml:space="preserve"> </w:t>
            </w:r>
          </w:p>
          <w:p w:rsidR="00A22C9F" w:rsidRDefault="00A22C9F" w:rsidP="00A22C9F">
            <w:pPr>
              <w:ind w:right="215"/>
              <w:jc w:val="both"/>
              <w:rPr>
                <w:noProof/>
              </w:rPr>
            </w:pPr>
            <w:r>
              <w:rPr>
                <w:noProof/>
              </w:rPr>
              <w:t>Resursi izdevumu segšanai</w:t>
            </w:r>
            <w:r w:rsidRPr="00F333EC">
              <w:rPr>
                <w:noProof/>
              </w:rPr>
              <w:t xml:space="preserve">” </w:t>
            </w:r>
            <w:r>
              <w:rPr>
                <w:noProof/>
              </w:rPr>
              <w:t>4 003 689</w:t>
            </w:r>
            <w:r w:rsidRPr="00F333EC">
              <w:rPr>
                <w:noProof/>
              </w:rPr>
              <w:t xml:space="preserve"> </w:t>
            </w:r>
            <w:r w:rsidRPr="00F333EC">
              <w:rPr>
                <w:i/>
                <w:noProof/>
              </w:rPr>
              <w:t>euro</w:t>
            </w:r>
            <w:r w:rsidRPr="00F333EC">
              <w:rPr>
                <w:noProof/>
              </w:rPr>
              <w:t xml:space="preserve">, </w:t>
            </w:r>
            <w:r>
              <w:rPr>
                <w:noProof/>
              </w:rPr>
              <w:t xml:space="preserve">tai skaitā </w:t>
            </w:r>
            <w:r w:rsidRPr="00F333EC">
              <w:rPr>
                <w:noProof/>
              </w:rPr>
              <w:t>ieņēmumi no maksas pakalpojumiem un citi pašu ieņēmumi 265</w:t>
            </w:r>
            <w:r>
              <w:rPr>
                <w:noProof/>
              </w:rPr>
              <w:t> </w:t>
            </w:r>
            <w:r w:rsidRPr="00F333EC">
              <w:rPr>
                <w:noProof/>
              </w:rPr>
              <w:t xml:space="preserve">758 </w:t>
            </w:r>
            <w:r w:rsidRPr="00F333EC">
              <w:rPr>
                <w:i/>
                <w:noProof/>
              </w:rPr>
              <w:t>euro</w:t>
            </w:r>
            <w:r w:rsidRPr="00F333EC">
              <w:rPr>
                <w:noProof/>
              </w:rPr>
              <w:t xml:space="preserve">, dotācija no vispārējiem ieņēmumiem 3 </w:t>
            </w:r>
            <w:r>
              <w:rPr>
                <w:noProof/>
              </w:rPr>
              <w:t>737</w:t>
            </w:r>
            <w:r w:rsidRPr="00F333EC">
              <w:rPr>
                <w:noProof/>
              </w:rPr>
              <w:t xml:space="preserve"> </w:t>
            </w:r>
            <w:r>
              <w:rPr>
                <w:noProof/>
              </w:rPr>
              <w:t>931</w:t>
            </w:r>
            <w:r w:rsidRPr="00F333EC">
              <w:rPr>
                <w:noProof/>
              </w:rPr>
              <w:t xml:space="preserve"> </w:t>
            </w:r>
            <w:r w:rsidRPr="00F333EC">
              <w:rPr>
                <w:i/>
                <w:noProof/>
              </w:rPr>
              <w:t>euro</w:t>
            </w:r>
            <w:r w:rsidRPr="00F333EC">
              <w:rPr>
                <w:noProof/>
              </w:rPr>
              <w:t xml:space="preserve">. </w:t>
            </w:r>
          </w:p>
          <w:p w:rsidR="00A22C9F" w:rsidRPr="00172FB4" w:rsidRDefault="00A22C9F" w:rsidP="00A22C9F">
            <w:pPr>
              <w:ind w:right="215"/>
              <w:jc w:val="both"/>
              <w:rPr>
                <w:noProof/>
              </w:rPr>
            </w:pPr>
            <w:r w:rsidRPr="00F333EC">
              <w:rPr>
                <w:noProof/>
              </w:rPr>
              <w:t xml:space="preserve">Izdevumi </w:t>
            </w:r>
            <w:r>
              <w:rPr>
                <w:noProof/>
              </w:rPr>
              <w:t>4 003 689</w:t>
            </w:r>
            <w:r w:rsidRPr="00F333EC">
              <w:rPr>
                <w:noProof/>
              </w:rPr>
              <w:t xml:space="preserve"> </w:t>
            </w:r>
            <w:r w:rsidRPr="00F333EC">
              <w:rPr>
                <w:i/>
                <w:noProof/>
              </w:rPr>
              <w:t>euro</w:t>
            </w:r>
            <w:r>
              <w:rPr>
                <w:noProof/>
              </w:rPr>
              <w:t>, tai skaitā:</w:t>
            </w:r>
          </w:p>
          <w:p w:rsidR="00A22C9F" w:rsidRPr="00F333EC" w:rsidRDefault="00A22C9F" w:rsidP="00A22C9F">
            <w:pPr>
              <w:ind w:right="215"/>
              <w:jc w:val="both"/>
              <w:rPr>
                <w:noProof/>
              </w:rPr>
            </w:pPr>
            <w:r w:rsidRPr="00F333EC">
              <w:rPr>
                <w:noProof/>
              </w:rPr>
              <w:t>EKK 1000 (</w:t>
            </w:r>
            <w:r>
              <w:rPr>
                <w:noProof/>
              </w:rPr>
              <w:t>a</w:t>
            </w:r>
            <w:r w:rsidRPr="00F333EC">
              <w:rPr>
                <w:noProof/>
              </w:rPr>
              <w:t>tlīdzība) –</w:t>
            </w:r>
            <w:r>
              <w:rPr>
                <w:noProof/>
              </w:rPr>
              <w:t xml:space="preserve"> 3</w:t>
            </w:r>
            <w:r w:rsidRPr="00F333EC">
              <w:rPr>
                <w:noProof/>
              </w:rPr>
              <w:t xml:space="preserve"> </w:t>
            </w:r>
            <w:r>
              <w:rPr>
                <w:noProof/>
              </w:rPr>
              <w:t>260</w:t>
            </w:r>
            <w:r w:rsidRPr="00F333EC">
              <w:rPr>
                <w:noProof/>
              </w:rPr>
              <w:t xml:space="preserve"> </w:t>
            </w:r>
            <w:r>
              <w:rPr>
                <w:noProof/>
              </w:rPr>
              <w:t>022</w:t>
            </w:r>
            <w:r w:rsidRPr="00F333EC">
              <w:rPr>
                <w:noProof/>
              </w:rPr>
              <w:t xml:space="preserve"> </w:t>
            </w:r>
            <w:r w:rsidRPr="00172FB4">
              <w:rPr>
                <w:i/>
                <w:noProof/>
              </w:rPr>
              <w:t>euro</w:t>
            </w:r>
            <w:r w:rsidRPr="00F333EC">
              <w:rPr>
                <w:noProof/>
              </w:rPr>
              <w:t>,</w:t>
            </w:r>
          </w:p>
          <w:p w:rsidR="00A22C9F" w:rsidRPr="00F333EC" w:rsidRDefault="00A22C9F" w:rsidP="00A22C9F">
            <w:pPr>
              <w:ind w:right="215"/>
              <w:jc w:val="both"/>
              <w:rPr>
                <w:noProof/>
                <w:color w:val="FF0000"/>
              </w:rPr>
            </w:pPr>
            <w:r>
              <w:rPr>
                <w:noProof/>
              </w:rPr>
              <w:t xml:space="preserve">    </w:t>
            </w:r>
            <w:r w:rsidRPr="00F333EC">
              <w:rPr>
                <w:noProof/>
              </w:rPr>
              <w:t>EKK 1100 (</w:t>
            </w:r>
            <w:r>
              <w:rPr>
                <w:noProof/>
              </w:rPr>
              <w:t>a</w:t>
            </w:r>
            <w:r w:rsidRPr="00F333EC">
              <w:rPr>
                <w:noProof/>
              </w:rPr>
              <w:t xml:space="preserve">talgojums) – 2 </w:t>
            </w:r>
            <w:r>
              <w:rPr>
                <w:noProof/>
              </w:rPr>
              <w:t>550</w:t>
            </w:r>
            <w:r w:rsidRPr="00F333EC">
              <w:rPr>
                <w:noProof/>
              </w:rPr>
              <w:t xml:space="preserve"> </w:t>
            </w:r>
            <w:r>
              <w:rPr>
                <w:noProof/>
              </w:rPr>
              <w:t>674</w:t>
            </w:r>
            <w:r w:rsidRPr="00F333EC">
              <w:rPr>
                <w:noProof/>
              </w:rPr>
              <w:t xml:space="preserve"> </w:t>
            </w:r>
            <w:r w:rsidRPr="00172FB4">
              <w:rPr>
                <w:i/>
                <w:noProof/>
              </w:rPr>
              <w:t>euro</w:t>
            </w:r>
            <w:r w:rsidRPr="00F333EC">
              <w:rPr>
                <w:noProof/>
              </w:rPr>
              <w:t>,</w:t>
            </w:r>
          </w:p>
          <w:p w:rsidR="00A22C9F" w:rsidRPr="00F333EC" w:rsidRDefault="00A22C9F" w:rsidP="00A22C9F">
            <w:pPr>
              <w:ind w:right="215"/>
              <w:jc w:val="both"/>
              <w:rPr>
                <w:noProof/>
              </w:rPr>
            </w:pPr>
            <w:r w:rsidRPr="00F333EC">
              <w:rPr>
                <w:noProof/>
              </w:rPr>
              <w:t>EKK 2000 (</w:t>
            </w:r>
            <w:r>
              <w:rPr>
                <w:noProof/>
              </w:rPr>
              <w:t>p</w:t>
            </w:r>
            <w:r w:rsidRPr="00F333EC">
              <w:rPr>
                <w:noProof/>
              </w:rPr>
              <w:t>reces un pakalpojumi) –</w:t>
            </w:r>
            <w:r>
              <w:rPr>
                <w:noProof/>
              </w:rPr>
              <w:t xml:space="preserve"> </w:t>
            </w:r>
            <w:r w:rsidRPr="00F333EC">
              <w:rPr>
                <w:noProof/>
              </w:rPr>
              <w:t>6</w:t>
            </w:r>
            <w:r>
              <w:rPr>
                <w:noProof/>
              </w:rPr>
              <w:t>89</w:t>
            </w:r>
            <w:r w:rsidRPr="00F333EC">
              <w:rPr>
                <w:noProof/>
              </w:rPr>
              <w:t> </w:t>
            </w:r>
            <w:r>
              <w:rPr>
                <w:noProof/>
              </w:rPr>
              <w:t>419</w:t>
            </w:r>
            <w:r w:rsidRPr="00F333EC">
              <w:rPr>
                <w:noProof/>
              </w:rPr>
              <w:t xml:space="preserve"> </w:t>
            </w:r>
            <w:r w:rsidRPr="00172FB4">
              <w:rPr>
                <w:i/>
                <w:noProof/>
              </w:rPr>
              <w:t>euro</w:t>
            </w:r>
            <w:r w:rsidRPr="00F333EC">
              <w:rPr>
                <w:noProof/>
              </w:rPr>
              <w:t>,</w:t>
            </w:r>
          </w:p>
          <w:p w:rsidR="008C7FE1" w:rsidRPr="00F333EC" w:rsidRDefault="00A22C9F" w:rsidP="00A22C9F">
            <w:pPr>
              <w:jc w:val="both"/>
              <w:rPr>
                <w:noProof/>
              </w:rPr>
            </w:pPr>
            <w:r w:rsidRPr="00F333EC">
              <w:rPr>
                <w:noProof/>
              </w:rPr>
              <w:t>EKK 5000 (</w:t>
            </w:r>
            <w:r>
              <w:rPr>
                <w:noProof/>
              </w:rPr>
              <w:t>k</w:t>
            </w:r>
            <w:r w:rsidRPr="00F333EC">
              <w:rPr>
                <w:noProof/>
              </w:rPr>
              <w:t>apitālie izdevumi) –</w:t>
            </w:r>
            <w:r>
              <w:rPr>
                <w:noProof/>
              </w:rPr>
              <w:t xml:space="preserve"> 5</w:t>
            </w:r>
            <w:r w:rsidRPr="00F333EC">
              <w:rPr>
                <w:noProof/>
              </w:rPr>
              <w:t xml:space="preserve">4 </w:t>
            </w:r>
            <w:r>
              <w:rPr>
                <w:noProof/>
              </w:rPr>
              <w:t>24</w:t>
            </w:r>
            <w:r w:rsidRPr="00F333EC">
              <w:rPr>
                <w:noProof/>
              </w:rPr>
              <w:t xml:space="preserve">8 </w:t>
            </w:r>
            <w:r w:rsidRPr="00172FB4">
              <w:rPr>
                <w:i/>
                <w:noProof/>
              </w:rPr>
              <w:t>euro</w:t>
            </w:r>
            <w:r w:rsidR="003209D9" w:rsidRPr="00F333EC">
              <w:rPr>
                <w:noProof/>
              </w:rPr>
              <w:t>.</w:t>
            </w:r>
          </w:p>
          <w:p w:rsidR="008C7FE1" w:rsidRDefault="008C7FE1" w:rsidP="00976B6A">
            <w:pPr>
              <w:tabs>
                <w:tab w:val="left" w:pos="6895"/>
              </w:tabs>
              <w:spacing w:before="120"/>
              <w:jc w:val="both"/>
              <w:rPr>
                <w:noProof/>
              </w:rPr>
            </w:pPr>
          </w:p>
          <w:p w:rsidR="008C7FE1" w:rsidRPr="00F333EC" w:rsidRDefault="008C7FE1" w:rsidP="00D6564B">
            <w:pPr>
              <w:tabs>
                <w:tab w:val="left" w:pos="6895"/>
              </w:tabs>
              <w:jc w:val="both"/>
              <w:rPr>
                <w:noProof/>
              </w:rPr>
            </w:pPr>
            <w:r w:rsidRPr="00C23340">
              <w:rPr>
                <w:noProof/>
                <w:u w:val="single"/>
              </w:rPr>
              <w:t>Likumprojekts paredz</w:t>
            </w:r>
            <w:r w:rsidRPr="00F333EC">
              <w:rPr>
                <w:noProof/>
              </w:rPr>
              <w:t xml:space="preserve"> papildināt Latvijas Administratīvo pārkāpumu kodeksu ar sankcijām (sodu mēriem) par normatīvo aktu neizpildi attiecībā uz privātpersonām (fiziskām, juridiskām personām), kas ir Veselības inspekcijas kompetencē. </w:t>
            </w:r>
            <w:r w:rsidRPr="006B106B">
              <w:rPr>
                <w:noProof/>
                <w:u w:val="single"/>
              </w:rPr>
              <w:t xml:space="preserve">Valsts </w:t>
            </w:r>
            <w:r w:rsidR="00A22C9F">
              <w:rPr>
                <w:noProof/>
                <w:u w:val="single"/>
              </w:rPr>
              <w:t>pamat</w:t>
            </w:r>
            <w:r w:rsidRPr="006B106B">
              <w:rPr>
                <w:noProof/>
                <w:u w:val="single"/>
              </w:rPr>
              <w:t>budžetā</w:t>
            </w:r>
            <w:r w:rsidRPr="00F333EC">
              <w:rPr>
                <w:noProof/>
              </w:rPr>
              <w:t xml:space="preserve"> 2015.gadā pēc likumprojekta izsludināšanas un turpmākajos gados </w:t>
            </w:r>
            <w:r w:rsidR="00D13C6C">
              <w:rPr>
                <w:noProof/>
              </w:rPr>
              <w:t xml:space="preserve">papildus </w:t>
            </w:r>
            <w:r w:rsidRPr="00F333EC">
              <w:rPr>
                <w:noProof/>
              </w:rPr>
              <w:t xml:space="preserve">plānojami ieņēmumi no administratīvo sodu piemērošanas kopā </w:t>
            </w:r>
            <w:r w:rsidR="00353171" w:rsidRPr="00353171">
              <w:rPr>
                <w:b/>
                <w:noProof/>
              </w:rPr>
              <w:t>5 590</w:t>
            </w:r>
            <w:r w:rsidRPr="00353171">
              <w:rPr>
                <w:b/>
                <w:noProof/>
              </w:rPr>
              <w:t> </w:t>
            </w:r>
            <w:r w:rsidRPr="00353171">
              <w:rPr>
                <w:b/>
                <w:i/>
                <w:noProof/>
              </w:rPr>
              <w:t>euro</w:t>
            </w:r>
            <w:r w:rsidRPr="00F333EC">
              <w:rPr>
                <w:noProof/>
              </w:rPr>
              <w:t xml:space="preserve"> apmērā</w:t>
            </w:r>
            <w:r w:rsidR="00A22C9F">
              <w:rPr>
                <w:noProof/>
              </w:rPr>
              <w:t xml:space="preserve"> ik gadu</w:t>
            </w:r>
            <w:r w:rsidR="00353171">
              <w:rPr>
                <w:noProof/>
              </w:rPr>
              <w:t>, tai skaitā:</w:t>
            </w:r>
          </w:p>
          <w:p w:rsidR="008C7FE1" w:rsidRPr="00F333EC" w:rsidRDefault="008C7FE1" w:rsidP="00724B8F">
            <w:pPr>
              <w:pStyle w:val="naisf"/>
              <w:tabs>
                <w:tab w:val="left" w:pos="993"/>
              </w:tabs>
              <w:spacing w:before="240" w:after="0"/>
              <w:ind w:firstLine="374"/>
              <w:rPr>
                <w:noProof/>
              </w:rPr>
            </w:pPr>
            <w:r w:rsidRPr="00724B8F">
              <w:rPr>
                <w:b/>
                <w:noProof/>
              </w:rPr>
              <w:t>1)</w:t>
            </w:r>
            <w:r w:rsidR="00724B8F">
              <w:rPr>
                <w:noProof/>
              </w:rPr>
              <w:t> S</w:t>
            </w:r>
            <w:r w:rsidRPr="00F333EC">
              <w:rPr>
                <w:noProof/>
              </w:rPr>
              <w:t xml:space="preserve">aistībā ar papildus ieņēmumiem budžetā no uzliktajām sankcijām par </w:t>
            </w:r>
            <w:r w:rsidRPr="00724B8F">
              <w:rPr>
                <w:noProof/>
                <w:u w:val="single"/>
              </w:rPr>
              <w:t>LAPK 42.panta pārkāpumiem</w:t>
            </w:r>
            <w:r w:rsidRPr="00F333EC">
              <w:rPr>
                <w:noProof/>
              </w:rPr>
              <w:t>, norādāms, ka 2013.gadā konstatēti</w:t>
            </w:r>
            <w:r w:rsidRPr="00F333EC">
              <w:rPr>
                <w:noProof/>
                <w:color w:val="FF0000"/>
              </w:rPr>
              <w:t xml:space="preserve"> </w:t>
            </w:r>
            <w:r w:rsidRPr="00F333EC">
              <w:rPr>
                <w:noProof/>
              </w:rPr>
              <w:t>33 LAPK 42.panta pārkāpumu gadījumi. Paredzams, ka 2015.gadā tiks konstatēti aptuveni 60 gadījumi fiziskām personām un 6 gadījumi juridiskām personām. Plānotie ieņēmumi par fizisko personu sodīšanu ir 60</w:t>
            </w:r>
            <w:r>
              <w:rPr>
                <w:noProof/>
              </w:rPr>
              <w:t> × </w:t>
            </w:r>
            <w:r w:rsidRPr="00F333EC">
              <w:rPr>
                <w:noProof/>
              </w:rPr>
              <w:t>35</w:t>
            </w:r>
            <w:r>
              <w:rPr>
                <w:noProof/>
              </w:rPr>
              <w:t> </w:t>
            </w:r>
            <w:r w:rsidRPr="00C23340">
              <w:rPr>
                <w:i/>
                <w:noProof/>
              </w:rPr>
              <w:t>euro</w:t>
            </w:r>
            <w:r w:rsidRPr="00F333EC">
              <w:rPr>
                <w:noProof/>
              </w:rPr>
              <w:t xml:space="preserve"> </w:t>
            </w:r>
            <w:r w:rsidRPr="00F333EC">
              <w:rPr>
                <w:i/>
                <w:noProof/>
              </w:rPr>
              <w:t>(aritmētiski vidējā naudas soda summa par fiziskas personas veiktu konkrēto pārkāpumu)</w:t>
            </w:r>
            <w:r w:rsidRPr="00F333EC">
              <w:rPr>
                <w:noProof/>
              </w:rPr>
              <w:t xml:space="preserve"> =</w:t>
            </w:r>
            <w:r>
              <w:rPr>
                <w:noProof/>
              </w:rPr>
              <w:t xml:space="preserve"> </w:t>
            </w:r>
            <w:r w:rsidRPr="00F333EC">
              <w:rPr>
                <w:noProof/>
              </w:rPr>
              <w:t xml:space="preserve">2100 </w:t>
            </w:r>
            <w:r w:rsidRPr="00C23340">
              <w:rPr>
                <w:i/>
                <w:noProof/>
              </w:rPr>
              <w:t>euro</w:t>
            </w:r>
            <w:r w:rsidRPr="00F333EC">
              <w:rPr>
                <w:noProof/>
              </w:rPr>
              <w:t>. Plānotie ieņēmumi par juridisko personu pārkāpumiem ir 6</w:t>
            </w:r>
            <w:r>
              <w:rPr>
                <w:noProof/>
              </w:rPr>
              <w:t> ×</w:t>
            </w:r>
            <w:r w:rsidRPr="00F333EC">
              <w:rPr>
                <w:noProof/>
              </w:rPr>
              <w:t>140</w:t>
            </w:r>
            <w:r>
              <w:rPr>
                <w:noProof/>
              </w:rPr>
              <w:t> </w:t>
            </w:r>
            <w:r w:rsidRPr="00C23340">
              <w:rPr>
                <w:i/>
                <w:noProof/>
              </w:rPr>
              <w:t>euro</w:t>
            </w:r>
            <w:r w:rsidRPr="00F333EC">
              <w:rPr>
                <w:noProof/>
              </w:rPr>
              <w:t xml:space="preserve"> </w:t>
            </w:r>
            <w:r w:rsidRPr="00F333EC">
              <w:rPr>
                <w:i/>
                <w:noProof/>
              </w:rPr>
              <w:t>(ja sankcija tiek piemērota minimālajā apmērā)</w:t>
            </w:r>
            <w:r>
              <w:rPr>
                <w:i/>
                <w:noProof/>
              </w:rPr>
              <w:t xml:space="preserve"> </w:t>
            </w:r>
            <w:r w:rsidRPr="00F333EC">
              <w:rPr>
                <w:noProof/>
              </w:rPr>
              <w:t>=</w:t>
            </w:r>
            <w:r>
              <w:rPr>
                <w:noProof/>
              </w:rPr>
              <w:t xml:space="preserve"> </w:t>
            </w:r>
            <w:r w:rsidRPr="00F333EC">
              <w:rPr>
                <w:noProof/>
              </w:rPr>
              <w:t xml:space="preserve">840 </w:t>
            </w:r>
            <w:r w:rsidRPr="00C23340">
              <w:rPr>
                <w:i/>
                <w:noProof/>
              </w:rPr>
              <w:t>euro</w:t>
            </w:r>
            <w:r w:rsidRPr="00F333EC">
              <w:rPr>
                <w:noProof/>
              </w:rPr>
              <w:t xml:space="preserve">. </w:t>
            </w:r>
          </w:p>
          <w:p w:rsidR="008C7FE1" w:rsidRPr="00F333EC" w:rsidRDefault="008C7FE1" w:rsidP="00D6564B">
            <w:pPr>
              <w:pStyle w:val="naisf"/>
              <w:tabs>
                <w:tab w:val="left" w:pos="993"/>
              </w:tabs>
              <w:spacing w:before="0" w:after="0"/>
              <w:rPr>
                <w:noProof/>
              </w:rPr>
            </w:pPr>
            <w:r w:rsidRPr="00F333EC">
              <w:rPr>
                <w:noProof/>
              </w:rPr>
              <w:t>Plānotie ieņēmumi kopā par fizisko un juridisko personu izdarītiem LAPK 42.pantā paredzētiem pārkāpumiem</w:t>
            </w:r>
            <w:r>
              <w:rPr>
                <w:noProof/>
              </w:rPr>
              <w:t>: (2100+840) =</w:t>
            </w:r>
            <w:r w:rsidRPr="00F333EC">
              <w:rPr>
                <w:noProof/>
              </w:rPr>
              <w:t xml:space="preserve"> </w:t>
            </w:r>
            <w:r w:rsidRPr="00D13C6C">
              <w:rPr>
                <w:b/>
                <w:noProof/>
              </w:rPr>
              <w:t>2940</w:t>
            </w:r>
            <w:r w:rsidRPr="00D13C6C">
              <w:rPr>
                <w:b/>
                <w:i/>
                <w:noProof/>
              </w:rPr>
              <w:t xml:space="preserve"> euro</w:t>
            </w:r>
            <w:r w:rsidR="00D13C6C">
              <w:rPr>
                <w:noProof/>
              </w:rPr>
              <w:t xml:space="preserve">  t.i. </w:t>
            </w:r>
            <w:r w:rsidR="00D13C6C" w:rsidRPr="00CA451B">
              <w:rPr>
                <w:noProof/>
                <w:u w:val="single"/>
              </w:rPr>
              <w:t>ieņēmumi par LAPK 42.panta pārkāpumiem nemainītos</w:t>
            </w:r>
            <w:r w:rsidR="00D13C6C">
              <w:rPr>
                <w:noProof/>
              </w:rPr>
              <w:t>, neatkarīgi vai sodus uzliktu pēc esošajām vai jaunajām sankcijām.</w:t>
            </w:r>
          </w:p>
          <w:p w:rsidR="008C7FE1" w:rsidRDefault="008C7FE1" w:rsidP="00724B8F">
            <w:pPr>
              <w:pStyle w:val="naisf"/>
              <w:tabs>
                <w:tab w:val="left" w:pos="993"/>
              </w:tabs>
              <w:spacing w:before="240" w:after="0"/>
              <w:ind w:firstLine="374"/>
              <w:rPr>
                <w:noProof/>
              </w:rPr>
            </w:pPr>
            <w:r w:rsidRPr="00724B8F">
              <w:rPr>
                <w:b/>
                <w:noProof/>
              </w:rPr>
              <w:t>2)</w:t>
            </w:r>
            <w:r w:rsidR="00724B8F">
              <w:rPr>
                <w:noProof/>
              </w:rPr>
              <w:t> S</w:t>
            </w:r>
            <w:r w:rsidRPr="00F333EC">
              <w:rPr>
                <w:noProof/>
              </w:rPr>
              <w:t xml:space="preserve">aistībā ar ieņēmumiem budžetā no uzliktajām sankcijām par </w:t>
            </w:r>
            <w:r w:rsidRPr="00724B8F">
              <w:rPr>
                <w:noProof/>
                <w:u w:val="single"/>
              </w:rPr>
              <w:t>LAPK 45.panta trešās daļas pārkāpumiem</w:t>
            </w:r>
            <w:r w:rsidRPr="00F333EC">
              <w:rPr>
                <w:noProof/>
              </w:rPr>
              <w:t xml:space="preserve"> prognozējamais pārkāpumu skaits 2015.gadā ir 20 pārkāpumi, ko veikušas ārstniecības personas, kurām piemērots  sods minimālās sankcijas robežās, līdz ar ko plānotie ieņēmumi varētu būt 1000 euro (20</w:t>
            </w:r>
            <w:r>
              <w:rPr>
                <w:noProof/>
              </w:rPr>
              <w:t xml:space="preserve"> ×</w:t>
            </w:r>
            <w:r w:rsidRPr="00F333EC">
              <w:rPr>
                <w:noProof/>
              </w:rPr>
              <w:t xml:space="preserve"> 50 </w:t>
            </w:r>
            <w:r w:rsidRPr="00D625F8">
              <w:rPr>
                <w:i/>
                <w:noProof/>
              </w:rPr>
              <w:t>euro</w:t>
            </w:r>
            <w:r w:rsidRPr="00F333EC">
              <w:rPr>
                <w:noProof/>
              </w:rPr>
              <w:t xml:space="preserve">). Prognozējams, ka vēl 7 </w:t>
            </w:r>
            <w:r w:rsidRPr="00F333EC">
              <w:rPr>
                <w:noProof/>
              </w:rPr>
              <w:lastRenderedPageBreak/>
              <w:t xml:space="preserve">ārstniecības iestāžu vadītājiem varētu piemērot sodu pēc LAPK 45.panta trešās daļas maksimālās sankcijas, līdz ar ko, ieņēmumi varētu sasniegt </w:t>
            </w:r>
            <w:r w:rsidR="00D13C6C">
              <w:rPr>
                <w:noProof/>
              </w:rPr>
              <w:t>980</w:t>
            </w:r>
            <w:r w:rsidRPr="00F333EC">
              <w:rPr>
                <w:noProof/>
              </w:rPr>
              <w:t xml:space="preserve"> </w:t>
            </w:r>
            <w:r w:rsidRPr="00D625F8">
              <w:rPr>
                <w:i/>
                <w:noProof/>
              </w:rPr>
              <w:t>euro</w:t>
            </w:r>
            <w:r w:rsidRPr="00F333EC">
              <w:rPr>
                <w:noProof/>
              </w:rPr>
              <w:t xml:space="preserve"> (7</w:t>
            </w:r>
            <w:r>
              <w:rPr>
                <w:noProof/>
              </w:rPr>
              <w:t xml:space="preserve"> ×</w:t>
            </w:r>
            <w:r w:rsidRPr="00F333EC">
              <w:rPr>
                <w:noProof/>
              </w:rPr>
              <w:t xml:space="preserve"> </w:t>
            </w:r>
            <w:r w:rsidR="00D13C6C">
              <w:rPr>
                <w:noProof/>
              </w:rPr>
              <w:t>14</w:t>
            </w:r>
            <w:r w:rsidRPr="00F333EC">
              <w:rPr>
                <w:noProof/>
              </w:rPr>
              <w:t xml:space="preserve">0 </w:t>
            </w:r>
            <w:r w:rsidRPr="00D625F8">
              <w:rPr>
                <w:i/>
                <w:noProof/>
              </w:rPr>
              <w:t>euro</w:t>
            </w:r>
            <w:r w:rsidRPr="00F333EC">
              <w:rPr>
                <w:noProof/>
              </w:rPr>
              <w:t xml:space="preserve">). Kopā ieņēmumi par ārstniecības iestādes vadītājiem un ārstniecības  personām uzliktiem administratīviem sodiem varētu sasniegt </w:t>
            </w:r>
            <w:r>
              <w:rPr>
                <w:noProof/>
              </w:rPr>
              <w:t xml:space="preserve">(1000 + </w:t>
            </w:r>
            <w:r w:rsidR="00D13C6C">
              <w:rPr>
                <w:noProof/>
              </w:rPr>
              <w:t>98</w:t>
            </w:r>
            <w:r>
              <w:rPr>
                <w:noProof/>
              </w:rPr>
              <w:t xml:space="preserve">0) = </w:t>
            </w:r>
            <w:r w:rsidR="00D13C6C" w:rsidRPr="00D13C6C">
              <w:rPr>
                <w:b/>
                <w:noProof/>
              </w:rPr>
              <w:t>1 98</w:t>
            </w:r>
            <w:r w:rsidRPr="00D13C6C">
              <w:rPr>
                <w:b/>
                <w:noProof/>
              </w:rPr>
              <w:t>0</w:t>
            </w:r>
            <w:r w:rsidRPr="00D13C6C">
              <w:rPr>
                <w:b/>
                <w:i/>
                <w:noProof/>
              </w:rPr>
              <w:t xml:space="preserve"> euro</w:t>
            </w:r>
            <w:r w:rsidR="00D13C6C">
              <w:rPr>
                <w:noProof/>
              </w:rPr>
              <w:t xml:space="preserve"> – bez LAPK grozījumiem.</w:t>
            </w:r>
          </w:p>
          <w:p w:rsidR="00D13C6C" w:rsidRDefault="00D13C6C" w:rsidP="00D13C6C">
            <w:pPr>
              <w:pStyle w:val="naisf"/>
              <w:tabs>
                <w:tab w:val="left" w:pos="993"/>
              </w:tabs>
              <w:spacing w:before="120" w:after="0"/>
              <w:ind w:firstLine="374"/>
              <w:rPr>
                <w:noProof/>
              </w:rPr>
            </w:pPr>
            <w:r>
              <w:rPr>
                <w:noProof/>
              </w:rPr>
              <w:t xml:space="preserve">Ņemot vērā paredzētos grozījumus, </w:t>
            </w:r>
            <w:r w:rsidRPr="00F333EC">
              <w:rPr>
                <w:noProof/>
              </w:rPr>
              <w:t>papildus ieņēmumiem budžetā no uzliktajām sankcijām par LAPK 45.panta trešās daļas pārkāpumiem prognozējamais pārkāpumu skaits 2015.gadā ir 20 pārkāpumi, ko veikušas ārstniecības personas, kurām piemērots  sods minimālās sankcijas robežās, līdz ar ko plānotie ieņēmumi varētu būt 1000 euro   (20</w:t>
            </w:r>
            <w:r>
              <w:rPr>
                <w:noProof/>
              </w:rPr>
              <w:t xml:space="preserve"> ×</w:t>
            </w:r>
            <w:r w:rsidRPr="00F333EC">
              <w:rPr>
                <w:noProof/>
              </w:rPr>
              <w:t xml:space="preserve"> 50 </w:t>
            </w:r>
            <w:r w:rsidRPr="00D625F8">
              <w:rPr>
                <w:i/>
                <w:noProof/>
              </w:rPr>
              <w:t>euro</w:t>
            </w:r>
            <w:r w:rsidRPr="00F333EC">
              <w:rPr>
                <w:noProof/>
              </w:rPr>
              <w:t>)</w:t>
            </w:r>
            <w:r>
              <w:rPr>
                <w:noProof/>
              </w:rPr>
              <w:t xml:space="preserve"> un</w:t>
            </w:r>
            <w:r w:rsidRPr="00F333EC">
              <w:rPr>
                <w:noProof/>
              </w:rPr>
              <w:t xml:space="preserve"> vēl 7 ārstniecības iestāžu vadītājiem varētu piemērot sodu pēc LAPK 45.panta trešās daļas maksimālās sankcijas, līdz ar ko, ieņēmumi varētu sasniegt </w:t>
            </w:r>
            <w:r w:rsidR="00CA451B">
              <w:rPr>
                <w:noProof/>
              </w:rPr>
              <w:t>2</w:t>
            </w:r>
            <w:r w:rsidR="008D3102">
              <w:rPr>
                <w:noProof/>
              </w:rPr>
              <w:t> </w:t>
            </w:r>
            <w:r w:rsidR="00CA451B">
              <w:rPr>
                <w:noProof/>
              </w:rPr>
              <w:t>45</w:t>
            </w:r>
            <w:r>
              <w:rPr>
                <w:noProof/>
              </w:rPr>
              <w:t>0</w:t>
            </w:r>
            <w:r w:rsidRPr="00F333EC">
              <w:rPr>
                <w:noProof/>
              </w:rPr>
              <w:t xml:space="preserve"> </w:t>
            </w:r>
            <w:r w:rsidRPr="00D625F8">
              <w:rPr>
                <w:i/>
                <w:noProof/>
              </w:rPr>
              <w:t>euro</w:t>
            </w:r>
            <w:r w:rsidRPr="00F333EC">
              <w:rPr>
                <w:noProof/>
              </w:rPr>
              <w:t xml:space="preserve"> (7</w:t>
            </w:r>
            <w:r>
              <w:rPr>
                <w:noProof/>
              </w:rPr>
              <w:t xml:space="preserve"> ×</w:t>
            </w:r>
            <w:r w:rsidRPr="00F333EC">
              <w:rPr>
                <w:noProof/>
              </w:rPr>
              <w:t xml:space="preserve"> </w:t>
            </w:r>
            <w:r w:rsidR="00CA451B">
              <w:rPr>
                <w:noProof/>
              </w:rPr>
              <w:t>35</w:t>
            </w:r>
            <w:r w:rsidRPr="00F333EC">
              <w:rPr>
                <w:noProof/>
              </w:rPr>
              <w:t xml:space="preserve">0 </w:t>
            </w:r>
            <w:r w:rsidRPr="00D625F8">
              <w:rPr>
                <w:i/>
                <w:noProof/>
              </w:rPr>
              <w:t>euro</w:t>
            </w:r>
            <w:r w:rsidRPr="00F333EC">
              <w:rPr>
                <w:noProof/>
              </w:rPr>
              <w:t xml:space="preserve">). Kopā ieņēmumi par ārstniecības iestādes vadītājiem un ārstniecības  personām uzliktiem administratīviem sodiem varētu sasniegt </w:t>
            </w:r>
            <w:r>
              <w:rPr>
                <w:noProof/>
              </w:rPr>
              <w:t>(1000+</w:t>
            </w:r>
            <w:r w:rsidR="008D3102">
              <w:rPr>
                <w:noProof/>
              </w:rPr>
              <w:t>24</w:t>
            </w:r>
            <w:r w:rsidR="00CA451B">
              <w:rPr>
                <w:noProof/>
              </w:rPr>
              <w:t>50</w:t>
            </w:r>
            <w:r>
              <w:rPr>
                <w:noProof/>
              </w:rPr>
              <w:t xml:space="preserve">) = </w:t>
            </w:r>
            <w:r w:rsidR="00CA451B">
              <w:rPr>
                <w:b/>
                <w:noProof/>
              </w:rPr>
              <w:t>3 450</w:t>
            </w:r>
            <w:r w:rsidRPr="00D13C6C">
              <w:rPr>
                <w:b/>
                <w:i/>
                <w:noProof/>
              </w:rPr>
              <w:t xml:space="preserve"> euro</w:t>
            </w:r>
            <w:r w:rsidR="00CA451B">
              <w:rPr>
                <w:b/>
                <w:i/>
                <w:noProof/>
              </w:rPr>
              <w:t>.</w:t>
            </w:r>
            <w:r w:rsidR="00CA451B">
              <w:rPr>
                <w:noProof/>
              </w:rPr>
              <w:t xml:space="preserve"> </w:t>
            </w:r>
          </w:p>
          <w:p w:rsidR="00724B8F" w:rsidRDefault="008C7FE1" w:rsidP="00353171">
            <w:pPr>
              <w:pStyle w:val="naisf"/>
              <w:tabs>
                <w:tab w:val="left" w:pos="993"/>
              </w:tabs>
              <w:spacing w:before="240" w:after="0"/>
              <w:ind w:firstLine="374"/>
              <w:rPr>
                <w:noProof/>
              </w:rPr>
            </w:pPr>
            <w:r w:rsidRPr="00F333EC">
              <w:rPr>
                <w:noProof/>
              </w:rPr>
              <w:t xml:space="preserve">3) </w:t>
            </w:r>
            <w:r w:rsidR="00724B8F">
              <w:rPr>
                <w:noProof/>
              </w:rPr>
              <w:t>S</w:t>
            </w:r>
            <w:r w:rsidR="00724B8F" w:rsidRPr="00F333EC">
              <w:rPr>
                <w:noProof/>
              </w:rPr>
              <w:t>aistībā ar ieņēmumiem budžetā no uzliktajām sankcijām par</w:t>
            </w:r>
            <w:r w:rsidR="00724B8F">
              <w:rPr>
                <w:noProof/>
              </w:rPr>
              <w:t xml:space="preserve"> </w:t>
            </w:r>
            <w:r w:rsidR="00724B8F" w:rsidRPr="00CD23F7">
              <w:rPr>
                <w:noProof/>
                <w:u w:val="single"/>
              </w:rPr>
              <w:t>LAPK 45.</w:t>
            </w:r>
            <w:r w:rsidR="00724B8F" w:rsidRPr="00CD23F7">
              <w:rPr>
                <w:noProof/>
                <w:u w:val="single"/>
                <w:vertAlign w:val="superscript"/>
              </w:rPr>
              <w:t>2</w:t>
            </w:r>
            <w:r w:rsidR="00724B8F" w:rsidRPr="00CD23F7">
              <w:rPr>
                <w:b/>
                <w:noProof/>
                <w:u w:val="single"/>
                <w:vertAlign w:val="superscript"/>
              </w:rPr>
              <w:t xml:space="preserve"> </w:t>
            </w:r>
            <w:r w:rsidR="00724B8F" w:rsidRPr="00CD23F7">
              <w:rPr>
                <w:noProof/>
                <w:u w:val="single"/>
              </w:rPr>
              <w:t>pārkāpumiem</w:t>
            </w:r>
            <w:r w:rsidR="00724B8F" w:rsidRPr="00F333EC">
              <w:rPr>
                <w:noProof/>
              </w:rPr>
              <w:t xml:space="preserve"> prognozējamais pārkāpumu skaits 2015.gadā ir 30 pārkāpumi, par kuriem piemērojama sankcija </w:t>
            </w:r>
            <w:r w:rsidR="00724B8F">
              <w:rPr>
                <w:noProof/>
              </w:rPr>
              <w:t>vidēj</w:t>
            </w:r>
            <w:r w:rsidR="00724B8F" w:rsidRPr="00F333EC">
              <w:rPr>
                <w:noProof/>
              </w:rPr>
              <w:t xml:space="preserve">ā apmērā, līdz ar ko plānotie ieņēmumi varētu sasniegt </w:t>
            </w:r>
            <w:r w:rsidR="00724B8F">
              <w:rPr>
                <w:noProof/>
              </w:rPr>
              <w:t>21</w:t>
            </w:r>
            <w:r w:rsidR="00724B8F" w:rsidRPr="00F333EC">
              <w:rPr>
                <w:noProof/>
              </w:rPr>
              <w:t xml:space="preserve">00 </w:t>
            </w:r>
            <w:r w:rsidR="00724B8F" w:rsidRPr="00D625F8">
              <w:rPr>
                <w:i/>
                <w:noProof/>
              </w:rPr>
              <w:t>euro</w:t>
            </w:r>
            <w:r w:rsidR="00724B8F" w:rsidRPr="00F333EC">
              <w:rPr>
                <w:noProof/>
              </w:rPr>
              <w:t xml:space="preserve"> (30</w:t>
            </w:r>
            <w:r w:rsidR="00724B8F">
              <w:rPr>
                <w:noProof/>
              </w:rPr>
              <w:t> × 7</w:t>
            </w:r>
            <w:r w:rsidR="00724B8F" w:rsidRPr="00F333EC">
              <w:rPr>
                <w:noProof/>
              </w:rPr>
              <w:t>0</w:t>
            </w:r>
            <w:r w:rsidR="00724B8F">
              <w:rPr>
                <w:noProof/>
              </w:rPr>
              <w:t> </w:t>
            </w:r>
            <w:r w:rsidR="00724B8F" w:rsidRPr="00D625F8">
              <w:rPr>
                <w:i/>
                <w:noProof/>
              </w:rPr>
              <w:t>euro</w:t>
            </w:r>
            <w:r w:rsidR="00724B8F" w:rsidRPr="00F333EC">
              <w:rPr>
                <w:noProof/>
              </w:rPr>
              <w:t>), un prognozējams, ka 7</w:t>
            </w:r>
            <w:r w:rsidR="00724B8F">
              <w:rPr>
                <w:noProof/>
              </w:rPr>
              <w:t> </w:t>
            </w:r>
            <w:r w:rsidR="00724B8F" w:rsidRPr="00F333EC">
              <w:rPr>
                <w:noProof/>
              </w:rPr>
              <w:t>gadījumos piemērojama</w:t>
            </w:r>
            <w:r w:rsidR="00724B8F">
              <w:rPr>
                <w:noProof/>
              </w:rPr>
              <w:t xml:space="preserve"> sankcija maksimālajā apmērā</w:t>
            </w:r>
            <w:r w:rsidR="00724B8F" w:rsidRPr="00F333EC">
              <w:rPr>
                <w:noProof/>
              </w:rPr>
              <w:t xml:space="preserve">, līdz ar ko, ieņēmumi varētu sasniegt </w:t>
            </w:r>
            <w:r w:rsidR="00724B8F">
              <w:rPr>
                <w:noProof/>
              </w:rPr>
              <w:t>980</w:t>
            </w:r>
            <w:r w:rsidR="00724B8F" w:rsidRPr="00F333EC">
              <w:rPr>
                <w:noProof/>
              </w:rPr>
              <w:t xml:space="preserve"> </w:t>
            </w:r>
            <w:r w:rsidR="00724B8F" w:rsidRPr="00D625F8">
              <w:rPr>
                <w:i/>
                <w:noProof/>
              </w:rPr>
              <w:t>euro</w:t>
            </w:r>
            <w:r w:rsidR="00724B8F" w:rsidRPr="00F333EC">
              <w:rPr>
                <w:noProof/>
              </w:rPr>
              <w:t xml:space="preserve"> (7</w:t>
            </w:r>
            <w:r w:rsidR="00724B8F">
              <w:rPr>
                <w:noProof/>
              </w:rPr>
              <w:t> ×</w:t>
            </w:r>
            <w:r w:rsidR="00724B8F" w:rsidRPr="00F333EC">
              <w:rPr>
                <w:noProof/>
              </w:rPr>
              <w:t xml:space="preserve"> </w:t>
            </w:r>
            <w:r w:rsidR="00724B8F">
              <w:rPr>
                <w:noProof/>
              </w:rPr>
              <w:t>14</w:t>
            </w:r>
            <w:r w:rsidR="00724B8F" w:rsidRPr="00F333EC">
              <w:rPr>
                <w:noProof/>
              </w:rPr>
              <w:t xml:space="preserve">0 </w:t>
            </w:r>
            <w:r w:rsidR="00724B8F" w:rsidRPr="00D625F8">
              <w:rPr>
                <w:i/>
                <w:noProof/>
              </w:rPr>
              <w:t>euro</w:t>
            </w:r>
            <w:r w:rsidR="00724B8F" w:rsidRPr="00F333EC">
              <w:rPr>
                <w:noProof/>
              </w:rPr>
              <w:t>). Kopā ieņēmumi par LAPK 45.</w:t>
            </w:r>
            <w:r w:rsidR="00724B8F" w:rsidRPr="00F333EC">
              <w:rPr>
                <w:noProof/>
                <w:vertAlign w:val="superscript"/>
              </w:rPr>
              <w:t>2</w:t>
            </w:r>
            <w:r w:rsidR="00724B8F">
              <w:rPr>
                <w:noProof/>
                <w:vertAlign w:val="superscript"/>
              </w:rPr>
              <w:t xml:space="preserve"> </w:t>
            </w:r>
            <w:r w:rsidR="00724B8F" w:rsidRPr="00F333EC">
              <w:rPr>
                <w:noProof/>
              </w:rPr>
              <w:t>panta pārkāpšanu uzliktiem administratīviem sodiem varētu sasniegt</w:t>
            </w:r>
            <w:r w:rsidR="00724B8F">
              <w:rPr>
                <w:noProof/>
              </w:rPr>
              <w:t xml:space="preserve"> (2100+980) =</w:t>
            </w:r>
            <w:r w:rsidR="00724B8F" w:rsidRPr="00F333EC">
              <w:rPr>
                <w:noProof/>
              </w:rPr>
              <w:t xml:space="preserve"> </w:t>
            </w:r>
            <w:r w:rsidR="00724B8F" w:rsidRPr="00724B8F">
              <w:rPr>
                <w:b/>
                <w:noProof/>
              </w:rPr>
              <w:t>3080</w:t>
            </w:r>
            <w:r w:rsidR="00724B8F" w:rsidRPr="00724B8F">
              <w:rPr>
                <w:b/>
                <w:i/>
                <w:noProof/>
              </w:rPr>
              <w:t xml:space="preserve"> euro</w:t>
            </w:r>
            <w:r w:rsidR="00724B8F">
              <w:rPr>
                <w:noProof/>
              </w:rPr>
              <w:t>.</w:t>
            </w:r>
          </w:p>
          <w:p w:rsidR="008C7FE1" w:rsidRDefault="00CA451B" w:rsidP="00724B8F">
            <w:pPr>
              <w:pStyle w:val="naisf"/>
              <w:tabs>
                <w:tab w:val="left" w:pos="993"/>
              </w:tabs>
              <w:spacing w:before="120" w:after="0"/>
              <w:ind w:firstLine="374"/>
              <w:rPr>
                <w:noProof/>
              </w:rPr>
            </w:pPr>
            <w:r>
              <w:rPr>
                <w:noProof/>
              </w:rPr>
              <w:t>Ņemot vērā paredzētos grozījumus,</w:t>
            </w:r>
            <w:r w:rsidR="008C7FE1" w:rsidRPr="00F333EC">
              <w:rPr>
                <w:noProof/>
              </w:rPr>
              <w:t xml:space="preserve"> papildus ieņēmumiem budžetā no uzliktajām sankcijām par LAPK 45.</w:t>
            </w:r>
            <w:r w:rsidR="008C7FE1" w:rsidRPr="00F333EC">
              <w:rPr>
                <w:noProof/>
                <w:vertAlign w:val="superscript"/>
              </w:rPr>
              <w:t>2</w:t>
            </w:r>
            <w:r w:rsidR="008C7FE1" w:rsidRPr="00F333EC">
              <w:rPr>
                <w:b/>
                <w:noProof/>
                <w:vertAlign w:val="superscript"/>
              </w:rPr>
              <w:t xml:space="preserve"> </w:t>
            </w:r>
            <w:r w:rsidR="008C7FE1" w:rsidRPr="00F333EC">
              <w:rPr>
                <w:noProof/>
              </w:rPr>
              <w:t>pārkāpumiem prognozējamais pārkāpumu skaits 2015.gadā ir 30 pārkāpumi, par kuriem piemērojama sankcija minimālajā apmērā, līdz ar ko plānotie ieņēmumi varētu būt 1500</w:t>
            </w:r>
            <w:r w:rsidR="00724B8F">
              <w:rPr>
                <w:noProof/>
              </w:rPr>
              <w:t> </w:t>
            </w:r>
            <w:r w:rsidR="008C7FE1" w:rsidRPr="00D625F8">
              <w:rPr>
                <w:i/>
                <w:noProof/>
              </w:rPr>
              <w:t>euro</w:t>
            </w:r>
            <w:r w:rsidR="00724B8F">
              <w:rPr>
                <w:i/>
                <w:noProof/>
              </w:rPr>
              <w:t xml:space="preserve"> </w:t>
            </w:r>
            <w:r w:rsidR="008C7FE1" w:rsidRPr="00F333EC">
              <w:rPr>
                <w:noProof/>
              </w:rPr>
              <w:t>(30</w:t>
            </w:r>
            <w:r w:rsidR="008C7FE1">
              <w:rPr>
                <w:noProof/>
              </w:rPr>
              <w:t> × </w:t>
            </w:r>
            <w:r w:rsidR="008C7FE1" w:rsidRPr="00F333EC">
              <w:rPr>
                <w:noProof/>
              </w:rPr>
              <w:t>50</w:t>
            </w:r>
            <w:r w:rsidR="008C7FE1">
              <w:rPr>
                <w:noProof/>
              </w:rPr>
              <w:t> </w:t>
            </w:r>
            <w:r w:rsidR="008C7FE1" w:rsidRPr="00D625F8">
              <w:rPr>
                <w:i/>
                <w:noProof/>
              </w:rPr>
              <w:t>euro</w:t>
            </w:r>
            <w:r w:rsidR="008C7FE1" w:rsidRPr="00F333EC">
              <w:rPr>
                <w:noProof/>
              </w:rPr>
              <w:t>), un prognozējams, ka 7</w:t>
            </w:r>
            <w:r>
              <w:rPr>
                <w:noProof/>
              </w:rPr>
              <w:t> </w:t>
            </w:r>
            <w:r w:rsidR="008C7FE1" w:rsidRPr="00F333EC">
              <w:rPr>
                <w:noProof/>
              </w:rPr>
              <w:t>gadījumos  piemēro</w:t>
            </w:r>
            <w:r w:rsidR="00724B8F">
              <w:rPr>
                <w:noProof/>
              </w:rPr>
              <w:softHyphen/>
            </w:r>
            <w:r w:rsidR="008C7FE1" w:rsidRPr="00F333EC">
              <w:rPr>
                <w:noProof/>
              </w:rPr>
              <w:t xml:space="preserve">jama sankcija maksimālajā apmērā, līdz ar ko, ieņēmumi varētu sasniegt 2450 </w:t>
            </w:r>
            <w:r w:rsidR="008C7FE1" w:rsidRPr="00D625F8">
              <w:rPr>
                <w:i/>
                <w:noProof/>
              </w:rPr>
              <w:t>euro</w:t>
            </w:r>
            <w:r w:rsidR="008C7FE1" w:rsidRPr="00F333EC">
              <w:rPr>
                <w:noProof/>
              </w:rPr>
              <w:t xml:space="preserve"> (7</w:t>
            </w:r>
            <w:r w:rsidR="008C7FE1">
              <w:rPr>
                <w:noProof/>
              </w:rPr>
              <w:t> ×</w:t>
            </w:r>
            <w:r w:rsidR="008C7FE1" w:rsidRPr="00F333EC">
              <w:rPr>
                <w:noProof/>
              </w:rPr>
              <w:t xml:space="preserve"> 350 </w:t>
            </w:r>
            <w:r w:rsidR="008C7FE1" w:rsidRPr="00D625F8">
              <w:rPr>
                <w:i/>
                <w:noProof/>
              </w:rPr>
              <w:t>euro</w:t>
            </w:r>
            <w:r w:rsidR="008C7FE1" w:rsidRPr="00F333EC">
              <w:rPr>
                <w:noProof/>
              </w:rPr>
              <w:t>). Kopā ieņēmumi par LAPK 45.</w:t>
            </w:r>
            <w:r w:rsidR="008C7FE1" w:rsidRPr="00F333EC">
              <w:rPr>
                <w:noProof/>
                <w:vertAlign w:val="superscript"/>
              </w:rPr>
              <w:t>2</w:t>
            </w:r>
            <w:r w:rsidR="008C7FE1">
              <w:rPr>
                <w:noProof/>
                <w:vertAlign w:val="superscript"/>
              </w:rPr>
              <w:t xml:space="preserve"> </w:t>
            </w:r>
            <w:r w:rsidR="008C7FE1" w:rsidRPr="00F333EC">
              <w:rPr>
                <w:noProof/>
              </w:rPr>
              <w:t>panta pārkāpšanu uzliktiem administratīviem sodiem varētu sasniegt</w:t>
            </w:r>
            <w:r w:rsidR="008C7FE1">
              <w:rPr>
                <w:noProof/>
              </w:rPr>
              <w:t xml:space="preserve"> (1500+2450) =</w:t>
            </w:r>
            <w:r w:rsidR="008C7FE1" w:rsidRPr="00F333EC">
              <w:rPr>
                <w:noProof/>
              </w:rPr>
              <w:t xml:space="preserve"> </w:t>
            </w:r>
            <w:r w:rsidR="008C7FE1" w:rsidRPr="00CD23F7">
              <w:rPr>
                <w:b/>
                <w:noProof/>
              </w:rPr>
              <w:t>3950</w:t>
            </w:r>
            <w:r w:rsidR="008C7FE1" w:rsidRPr="00CD23F7">
              <w:rPr>
                <w:b/>
                <w:i/>
                <w:noProof/>
              </w:rPr>
              <w:t xml:space="preserve"> euro</w:t>
            </w:r>
            <w:r w:rsidR="008C7FE1" w:rsidRPr="00F333EC">
              <w:rPr>
                <w:noProof/>
              </w:rPr>
              <w:t>;</w:t>
            </w:r>
          </w:p>
          <w:p w:rsidR="008C7FE1" w:rsidRPr="00F333EC" w:rsidRDefault="008C7FE1" w:rsidP="00CD23F7">
            <w:pPr>
              <w:pStyle w:val="naisf"/>
              <w:tabs>
                <w:tab w:val="left" w:pos="993"/>
              </w:tabs>
              <w:spacing w:before="240" w:after="0"/>
              <w:ind w:firstLine="374"/>
              <w:rPr>
                <w:noProof/>
              </w:rPr>
            </w:pPr>
            <w:r w:rsidRPr="00CD23F7">
              <w:rPr>
                <w:b/>
                <w:noProof/>
              </w:rPr>
              <w:t>4)</w:t>
            </w:r>
            <w:r w:rsidR="00CD23F7">
              <w:rPr>
                <w:noProof/>
              </w:rPr>
              <w:t> Ņemot vērā paredzētos grozījumus,</w:t>
            </w:r>
            <w:r w:rsidR="00CD23F7" w:rsidRPr="00F333EC">
              <w:rPr>
                <w:noProof/>
              </w:rPr>
              <w:t xml:space="preserve"> papildus ieņēmumiem budžetā </w:t>
            </w:r>
            <w:r w:rsidRPr="00F333EC">
              <w:rPr>
                <w:noProof/>
              </w:rPr>
              <w:t xml:space="preserve">par </w:t>
            </w:r>
            <w:r w:rsidR="00CD23F7" w:rsidRPr="008D3102">
              <w:rPr>
                <w:noProof/>
                <w:u w:val="single"/>
              </w:rPr>
              <w:t xml:space="preserve">jauno </w:t>
            </w:r>
            <w:r w:rsidRPr="00CD23F7">
              <w:rPr>
                <w:noProof/>
                <w:u w:val="single"/>
              </w:rPr>
              <w:t>LAPK 45.</w:t>
            </w:r>
            <w:r w:rsidRPr="00CD23F7">
              <w:rPr>
                <w:noProof/>
                <w:u w:val="single"/>
                <w:vertAlign w:val="superscript"/>
              </w:rPr>
              <w:t>5</w:t>
            </w:r>
            <w:r w:rsidRPr="00CD23F7">
              <w:rPr>
                <w:noProof/>
                <w:u w:val="single"/>
              </w:rPr>
              <w:t xml:space="preserve"> pantu</w:t>
            </w:r>
            <w:r w:rsidRPr="00F333EC">
              <w:rPr>
                <w:b/>
                <w:noProof/>
              </w:rPr>
              <w:t xml:space="preserve"> </w:t>
            </w:r>
            <w:r w:rsidRPr="00F333EC">
              <w:rPr>
                <w:noProof/>
              </w:rPr>
              <w:t xml:space="preserve">prognozējams, ka 2015.gadā varētu tikt konstatēti 30 pārkāpumu gadījumi, kad sods piemērots minimālās sankcijas robežās, līdz ar ko plānotie ieņēmumi varētu sasniegt 1500 </w:t>
            </w:r>
            <w:r w:rsidRPr="00D625F8">
              <w:rPr>
                <w:i/>
                <w:noProof/>
              </w:rPr>
              <w:t>euro</w:t>
            </w:r>
            <w:r w:rsidRPr="00F333EC">
              <w:rPr>
                <w:noProof/>
              </w:rPr>
              <w:t xml:space="preserve"> (30</w:t>
            </w:r>
            <w:r>
              <w:rPr>
                <w:noProof/>
              </w:rPr>
              <w:t>×</w:t>
            </w:r>
            <w:r w:rsidRPr="00F333EC">
              <w:rPr>
                <w:noProof/>
              </w:rPr>
              <w:t xml:space="preserve">50 </w:t>
            </w:r>
            <w:r w:rsidRPr="00D625F8">
              <w:rPr>
                <w:i/>
                <w:noProof/>
              </w:rPr>
              <w:t>euro</w:t>
            </w:r>
            <w:r w:rsidRPr="00F333EC">
              <w:rPr>
                <w:noProof/>
              </w:rPr>
              <w:t xml:space="preserve">), un varētu tikt konstatēti 5 pārkāpumu gadījumi, kad piemērojama maksimālā šī panta sankcija, kas tādējādi varētu </w:t>
            </w:r>
            <w:r>
              <w:rPr>
                <w:noProof/>
              </w:rPr>
              <w:t>dot</w:t>
            </w:r>
            <w:r w:rsidRPr="00F333EC">
              <w:rPr>
                <w:noProof/>
              </w:rPr>
              <w:t xml:space="preserve"> 1750</w:t>
            </w:r>
            <w:r>
              <w:rPr>
                <w:noProof/>
              </w:rPr>
              <w:t> </w:t>
            </w:r>
            <w:r w:rsidRPr="00D625F8">
              <w:rPr>
                <w:i/>
                <w:noProof/>
              </w:rPr>
              <w:t>euro</w:t>
            </w:r>
            <w:r w:rsidRPr="00F333EC">
              <w:rPr>
                <w:noProof/>
              </w:rPr>
              <w:t xml:space="preserve"> ieņēmumus (5</w:t>
            </w:r>
            <w:r>
              <w:rPr>
                <w:noProof/>
              </w:rPr>
              <w:t>×</w:t>
            </w:r>
            <w:r w:rsidRPr="00F333EC">
              <w:rPr>
                <w:noProof/>
              </w:rPr>
              <w:t xml:space="preserve">350 </w:t>
            </w:r>
            <w:r w:rsidRPr="00D625F8">
              <w:rPr>
                <w:i/>
                <w:noProof/>
              </w:rPr>
              <w:t>euro</w:t>
            </w:r>
            <w:r w:rsidRPr="00F333EC">
              <w:rPr>
                <w:noProof/>
              </w:rPr>
              <w:t>). Kopējie plānotie ieņēmumi par LAPK 45.</w:t>
            </w:r>
            <w:r w:rsidRPr="00F333EC">
              <w:rPr>
                <w:noProof/>
                <w:vertAlign w:val="superscript"/>
              </w:rPr>
              <w:t>5</w:t>
            </w:r>
            <w:r w:rsidRPr="00F333EC">
              <w:rPr>
                <w:noProof/>
              </w:rPr>
              <w:t xml:space="preserve"> pantā noteiktiem pārkāpumiem 2015.gadā varētu </w:t>
            </w:r>
            <w:r>
              <w:rPr>
                <w:noProof/>
              </w:rPr>
              <w:t>būt (1500 + 1750) =</w:t>
            </w:r>
            <w:r w:rsidRPr="00F333EC">
              <w:rPr>
                <w:noProof/>
              </w:rPr>
              <w:t xml:space="preserve"> </w:t>
            </w:r>
            <w:r w:rsidRPr="00CD23F7">
              <w:rPr>
                <w:b/>
                <w:noProof/>
              </w:rPr>
              <w:t>3250</w:t>
            </w:r>
            <w:r w:rsidRPr="00CD23F7">
              <w:rPr>
                <w:b/>
                <w:i/>
                <w:noProof/>
              </w:rPr>
              <w:t xml:space="preserve"> euro</w:t>
            </w:r>
            <w:r w:rsidRPr="00F333EC">
              <w:rPr>
                <w:noProof/>
              </w:rPr>
              <w:t>;</w:t>
            </w:r>
          </w:p>
          <w:p w:rsidR="008C7FE1" w:rsidRPr="00CD23F7" w:rsidRDefault="008C7FE1" w:rsidP="00CD23F7">
            <w:pPr>
              <w:pStyle w:val="NormalWeb"/>
              <w:tabs>
                <w:tab w:val="left" w:pos="993"/>
              </w:tabs>
              <w:spacing w:before="240" w:beforeAutospacing="0" w:after="0" w:afterAutospacing="0"/>
              <w:ind w:firstLine="448"/>
              <w:jc w:val="both"/>
              <w:rPr>
                <w:rFonts w:ascii="Times New Roman" w:hAnsi="Times New Roman" w:cs="Times New Roman"/>
                <w:noProof/>
                <w:lang w:val="lv-LV"/>
              </w:rPr>
            </w:pPr>
            <w:r w:rsidRPr="00CD23F7">
              <w:rPr>
                <w:rFonts w:ascii="Times New Roman" w:hAnsi="Times New Roman" w:cs="Times New Roman"/>
                <w:b/>
                <w:noProof/>
                <w:lang w:val="lv-LV"/>
              </w:rPr>
              <w:t>5)</w:t>
            </w:r>
            <w:r w:rsidR="00CD23F7">
              <w:rPr>
                <w:rFonts w:ascii="Times New Roman" w:hAnsi="Times New Roman" w:cs="Times New Roman"/>
                <w:noProof/>
                <w:lang w:val="lv-LV"/>
              </w:rPr>
              <w:t> A</w:t>
            </w:r>
            <w:r w:rsidRPr="00F333EC">
              <w:rPr>
                <w:rFonts w:ascii="Times New Roman" w:hAnsi="Times New Roman" w:cs="Times New Roman"/>
                <w:noProof/>
                <w:lang w:val="lv-LV"/>
              </w:rPr>
              <w:t xml:space="preserve">ttiecībā par </w:t>
            </w:r>
            <w:r w:rsidR="00CD23F7" w:rsidRPr="00CD23F7">
              <w:rPr>
                <w:rFonts w:ascii="Times New Roman" w:hAnsi="Times New Roman" w:cs="Times New Roman"/>
                <w:noProof/>
                <w:u w:val="single"/>
                <w:lang w:val="lv-LV"/>
              </w:rPr>
              <w:t xml:space="preserve">LAPK </w:t>
            </w:r>
            <w:r w:rsidRPr="00CD23F7">
              <w:rPr>
                <w:rFonts w:ascii="Times New Roman" w:hAnsi="Times New Roman" w:cs="Times New Roman"/>
                <w:noProof/>
                <w:u w:val="single"/>
                <w:lang w:val="lv-LV"/>
              </w:rPr>
              <w:t>166.</w:t>
            </w:r>
            <w:r w:rsidRPr="00CD23F7">
              <w:rPr>
                <w:rFonts w:ascii="Times New Roman" w:hAnsi="Times New Roman" w:cs="Times New Roman"/>
                <w:noProof/>
                <w:u w:val="single"/>
                <w:vertAlign w:val="superscript"/>
                <w:lang w:val="lv-LV"/>
              </w:rPr>
              <w:t xml:space="preserve">15 </w:t>
            </w:r>
            <w:r w:rsidRPr="00CD23F7">
              <w:rPr>
                <w:rFonts w:ascii="Times New Roman" w:hAnsi="Times New Roman" w:cs="Times New Roman"/>
                <w:noProof/>
                <w:u w:val="single"/>
                <w:lang w:val="lv-LV"/>
              </w:rPr>
              <w:t>pantu</w:t>
            </w:r>
            <w:r w:rsidRPr="00F333EC">
              <w:rPr>
                <w:rFonts w:ascii="Times New Roman" w:hAnsi="Times New Roman" w:cs="Times New Roman"/>
                <w:noProof/>
                <w:lang w:val="lv-LV"/>
              </w:rPr>
              <w:t xml:space="preserve"> 2013.gadā konstatēti 4</w:t>
            </w:r>
            <w:r w:rsidRPr="00F333EC">
              <w:rPr>
                <w:rFonts w:ascii="Times New Roman" w:hAnsi="Times New Roman" w:cs="Times New Roman"/>
                <w:noProof/>
                <w:color w:val="FF0000"/>
                <w:lang w:val="lv-LV"/>
              </w:rPr>
              <w:t xml:space="preserve"> </w:t>
            </w:r>
            <w:r w:rsidRPr="00F333EC">
              <w:rPr>
                <w:rFonts w:ascii="Times New Roman" w:hAnsi="Times New Roman" w:cs="Times New Roman"/>
                <w:noProof/>
                <w:lang w:val="lv-LV"/>
              </w:rPr>
              <w:t>LAPK 166.</w:t>
            </w:r>
            <w:r w:rsidRPr="00F333EC">
              <w:rPr>
                <w:rFonts w:ascii="Times New Roman" w:hAnsi="Times New Roman" w:cs="Times New Roman"/>
                <w:noProof/>
                <w:vertAlign w:val="superscript"/>
                <w:lang w:val="lv-LV"/>
              </w:rPr>
              <w:t>15</w:t>
            </w:r>
            <w:r w:rsidRPr="00F333EC">
              <w:rPr>
                <w:rFonts w:ascii="Times New Roman" w:hAnsi="Times New Roman" w:cs="Times New Roman"/>
                <w:noProof/>
                <w:lang w:val="lv-LV"/>
              </w:rPr>
              <w:t>panta pirmajā daļā minētie pārkāpuma gadījumi un 6 LAPK 166.</w:t>
            </w:r>
            <w:r w:rsidRPr="00F333EC">
              <w:rPr>
                <w:rFonts w:ascii="Times New Roman" w:hAnsi="Times New Roman" w:cs="Times New Roman"/>
                <w:noProof/>
                <w:vertAlign w:val="superscript"/>
                <w:lang w:val="lv-LV"/>
              </w:rPr>
              <w:t>15</w:t>
            </w:r>
            <w:r w:rsidRPr="00F333EC">
              <w:rPr>
                <w:rFonts w:ascii="Times New Roman" w:hAnsi="Times New Roman" w:cs="Times New Roman"/>
                <w:noProof/>
                <w:lang w:val="lv-LV"/>
              </w:rPr>
              <w:t>panta piektajā daļā paredzētie administratīvie pārkāpumi. Ja administratīvais sods tiks piemērots fiziskām personām pēc LAPK 166.</w:t>
            </w:r>
            <w:r w:rsidRPr="00F333EC">
              <w:rPr>
                <w:rFonts w:ascii="Times New Roman" w:hAnsi="Times New Roman" w:cs="Times New Roman"/>
                <w:noProof/>
                <w:vertAlign w:val="superscript"/>
                <w:lang w:val="lv-LV"/>
              </w:rPr>
              <w:t>15</w:t>
            </w:r>
            <w:r w:rsidRPr="00F333EC">
              <w:rPr>
                <w:rFonts w:ascii="Times New Roman" w:hAnsi="Times New Roman" w:cs="Times New Roman"/>
                <w:noProof/>
                <w:lang w:val="lv-LV"/>
              </w:rPr>
              <w:t>panta pirmās daļas tikai minimālās sankcijas apmērā, tad prognozējami</w:t>
            </w:r>
            <w:r>
              <w:rPr>
                <w:rFonts w:ascii="Times New Roman" w:hAnsi="Times New Roman" w:cs="Times New Roman"/>
                <w:noProof/>
                <w:lang w:val="lv-LV"/>
              </w:rPr>
              <w:t>e</w:t>
            </w:r>
            <w:r w:rsidRPr="00F333EC">
              <w:rPr>
                <w:rFonts w:ascii="Times New Roman" w:hAnsi="Times New Roman" w:cs="Times New Roman"/>
                <w:noProof/>
                <w:lang w:val="lv-LV"/>
              </w:rPr>
              <w:t xml:space="preserve"> ieņēmumi 2015.gadā </w:t>
            </w:r>
            <w:r>
              <w:rPr>
                <w:rFonts w:ascii="Times New Roman" w:hAnsi="Times New Roman" w:cs="Times New Roman"/>
                <w:noProof/>
                <w:lang w:val="lv-LV"/>
              </w:rPr>
              <w:t>būs</w:t>
            </w:r>
            <w:r w:rsidRPr="00F333EC">
              <w:rPr>
                <w:rFonts w:ascii="Times New Roman" w:hAnsi="Times New Roman" w:cs="Times New Roman"/>
                <w:noProof/>
                <w:lang w:val="lv-LV"/>
              </w:rPr>
              <w:t xml:space="preserve"> 1960</w:t>
            </w:r>
            <w:r>
              <w:rPr>
                <w:rFonts w:ascii="Times New Roman" w:hAnsi="Times New Roman" w:cs="Times New Roman"/>
                <w:noProof/>
                <w:lang w:val="lv-LV"/>
              </w:rPr>
              <w:t>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(7</w:t>
            </w:r>
            <w:r>
              <w:rPr>
                <w:rFonts w:ascii="Times New Roman" w:hAnsi="Times New Roman" w:cs="Times New Roman"/>
                <w:noProof/>
                <w:lang w:val="lv-LV"/>
              </w:rPr>
              <w:t> × </w:t>
            </w:r>
            <w:r w:rsidRPr="00F333EC">
              <w:rPr>
                <w:rFonts w:ascii="Times New Roman" w:hAnsi="Times New Roman" w:cs="Times New Roman"/>
                <w:noProof/>
                <w:lang w:val="lv-LV"/>
              </w:rPr>
              <w:t>280</w:t>
            </w:r>
            <w:r>
              <w:rPr>
                <w:rFonts w:ascii="Times New Roman" w:hAnsi="Times New Roman" w:cs="Times New Roman"/>
                <w:noProof/>
                <w:lang w:val="lv-LV"/>
              </w:rPr>
              <w:t>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w:t>
            </w:r>
            <w:r w:rsidRPr="00F333EC">
              <w:rPr>
                <w:rFonts w:ascii="Times New Roman" w:hAnsi="Times New Roman" w:cs="Times New Roman"/>
                <w:noProof/>
                <w:lang w:val="lv-LV"/>
              </w:rPr>
              <w:lastRenderedPageBreak/>
              <w:t xml:space="preserve">Savukārt, ja sods tiks piemērots juridiskām personām tikai minimālās sankcijas apmērā, tad plānoti ieņēmumi 2015.gadā </w:t>
            </w:r>
            <w:r>
              <w:rPr>
                <w:rFonts w:ascii="Times New Roman" w:hAnsi="Times New Roman" w:cs="Times New Roman"/>
                <w:noProof/>
                <w:lang w:val="lv-LV"/>
              </w:rPr>
              <w:t>būs</w:t>
            </w:r>
            <w:r w:rsidRPr="00F333EC">
              <w:rPr>
                <w:rFonts w:ascii="Times New Roman" w:hAnsi="Times New Roman" w:cs="Times New Roman"/>
                <w:noProof/>
                <w:lang w:val="lv-LV"/>
              </w:rPr>
              <w:t xml:space="preserve"> 4900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(7</w:t>
            </w:r>
            <w:r>
              <w:rPr>
                <w:rFonts w:ascii="Times New Roman" w:hAnsi="Times New Roman" w:cs="Times New Roman"/>
                <w:noProof/>
                <w:lang w:val="lv-LV"/>
              </w:rPr>
              <w:t>×</w:t>
            </w:r>
            <w:r w:rsidRPr="00F333EC">
              <w:rPr>
                <w:rFonts w:ascii="Times New Roman" w:hAnsi="Times New Roman" w:cs="Times New Roman"/>
                <w:noProof/>
                <w:lang w:val="lv-LV"/>
              </w:rPr>
              <w:t xml:space="preserve"> 700 </w:t>
            </w:r>
            <w:r w:rsidRPr="00E53A8D">
              <w:rPr>
                <w:rFonts w:ascii="Times New Roman" w:hAnsi="Times New Roman" w:cs="Times New Roman"/>
                <w:i/>
                <w:noProof/>
                <w:lang w:val="lv-LV"/>
              </w:rPr>
              <w:t>euro</w:t>
            </w:r>
            <w:r w:rsidRPr="00F333EC">
              <w:rPr>
                <w:rFonts w:ascii="Times New Roman" w:hAnsi="Times New Roman" w:cs="Times New Roman"/>
                <w:noProof/>
                <w:lang w:val="lv-LV"/>
              </w:rPr>
              <w:t>). Ja administratīvais sods pēc LAPK 166.</w:t>
            </w:r>
            <w:r w:rsidRPr="00F333EC">
              <w:rPr>
                <w:rFonts w:ascii="Times New Roman" w:hAnsi="Times New Roman" w:cs="Times New Roman"/>
                <w:noProof/>
                <w:vertAlign w:val="superscript"/>
                <w:lang w:val="lv-LV"/>
              </w:rPr>
              <w:t>15</w:t>
            </w:r>
            <w:r w:rsidRPr="00F333EC">
              <w:rPr>
                <w:rFonts w:ascii="Times New Roman" w:hAnsi="Times New Roman" w:cs="Times New Roman"/>
                <w:noProof/>
                <w:lang w:val="lv-LV"/>
              </w:rPr>
              <w:t xml:space="preserve">panta piektās daļas tiks piemērots fiziskām personām tikai minimālās sankcijas apmērā, tas varētu sasniegt 70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(2</w:t>
            </w:r>
            <w:r>
              <w:rPr>
                <w:rFonts w:ascii="Times New Roman" w:hAnsi="Times New Roman" w:cs="Times New Roman"/>
                <w:noProof/>
                <w:lang w:val="lv-LV"/>
              </w:rPr>
              <w:t> ×</w:t>
            </w:r>
            <w:r w:rsidRPr="00F333EC">
              <w:rPr>
                <w:rFonts w:ascii="Times New Roman" w:hAnsi="Times New Roman" w:cs="Times New Roman"/>
                <w:noProof/>
                <w:lang w:val="lv-LV"/>
              </w:rPr>
              <w:t xml:space="preserve"> 35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savukārt, juridiskām personām 140 </w:t>
            </w:r>
            <w:r w:rsidRPr="00E53A8D">
              <w:rPr>
                <w:rFonts w:ascii="Times New Roman" w:hAnsi="Times New Roman" w:cs="Times New Roman"/>
                <w:i/>
                <w:noProof/>
                <w:lang w:val="lv-LV"/>
              </w:rPr>
              <w:t>euro</w:t>
            </w:r>
            <w:r w:rsidRPr="00F333EC">
              <w:rPr>
                <w:rFonts w:ascii="Times New Roman" w:hAnsi="Times New Roman" w:cs="Times New Roman"/>
                <w:noProof/>
                <w:lang w:val="lv-LV"/>
              </w:rPr>
              <w:t xml:space="preserve"> (2</w:t>
            </w:r>
            <w:r>
              <w:rPr>
                <w:rFonts w:ascii="Times New Roman" w:hAnsi="Times New Roman" w:cs="Times New Roman"/>
                <w:noProof/>
                <w:lang w:val="lv-LV"/>
              </w:rPr>
              <w:t xml:space="preserve"> × </w:t>
            </w:r>
            <w:r w:rsidRPr="00F333EC">
              <w:rPr>
                <w:rFonts w:ascii="Times New Roman" w:hAnsi="Times New Roman" w:cs="Times New Roman"/>
                <w:noProof/>
                <w:lang w:val="lv-LV"/>
              </w:rPr>
              <w:t xml:space="preserve">70 </w:t>
            </w:r>
            <w:r w:rsidRPr="00E53A8D">
              <w:rPr>
                <w:rFonts w:ascii="Times New Roman" w:hAnsi="Times New Roman" w:cs="Times New Roman"/>
                <w:i/>
                <w:noProof/>
                <w:lang w:val="lv-LV"/>
              </w:rPr>
              <w:t>euro</w:t>
            </w:r>
            <w:r w:rsidRPr="00F333EC">
              <w:rPr>
                <w:rFonts w:ascii="Times New Roman" w:hAnsi="Times New Roman" w:cs="Times New Roman"/>
                <w:noProof/>
                <w:lang w:val="lv-LV"/>
              </w:rPr>
              <w:t>). Kopējie ieņēmumi par LAPK 166.</w:t>
            </w:r>
            <w:r w:rsidRPr="00F333EC">
              <w:rPr>
                <w:rFonts w:ascii="Times New Roman" w:hAnsi="Times New Roman" w:cs="Times New Roman"/>
                <w:noProof/>
                <w:vertAlign w:val="superscript"/>
                <w:lang w:val="lv-LV"/>
              </w:rPr>
              <w:t>15</w:t>
            </w:r>
            <w:r w:rsidRPr="00F333EC">
              <w:rPr>
                <w:rFonts w:ascii="Times New Roman" w:hAnsi="Times New Roman" w:cs="Times New Roman"/>
                <w:noProof/>
                <w:lang w:val="lv-LV"/>
              </w:rPr>
              <w:t xml:space="preserve">panta pirmajā un piektajā daļā minētiem pārkāpumiem varētu </w:t>
            </w:r>
            <w:r>
              <w:rPr>
                <w:rFonts w:ascii="Times New Roman" w:hAnsi="Times New Roman" w:cs="Times New Roman"/>
                <w:noProof/>
                <w:lang w:val="lv-LV"/>
              </w:rPr>
              <w:t>būt (1960+4900+70+140) =</w:t>
            </w:r>
            <w:r w:rsidRPr="00F333EC">
              <w:rPr>
                <w:rFonts w:ascii="Times New Roman" w:hAnsi="Times New Roman" w:cs="Times New Roman"/>
                <w:noProof/>
                <w:lang w:val="lv-LV"/>
              </w:rPr>
              <w:t xml:space="preserve"> </w:t>
            </w:r>
            <w:r w:rsidRPr="00D625F8">
              <w:rPr>
                <w:rFonts w:ascii="Times New Roman" w:hAnsi="Times New Roman" w:cs="Times New Roman"/>
                <w:noProof/>
                <w:lang w:val="lv-LV"/>
              </w:rPr>
              <w:t>7070</w:t>
            </w:r>
            <w:r w:rsidRPr="00F333EC">
              <w:rPr>
                <w:rFonts w:ascii="Times New Roman" w:hAnsi="Times New Roman" w:cs="Times New Roman"/>
                <w:i/>
                <w:noProof/>
                <w:lang w:val="lv-LV"/>
              </w:rPr>
              <w:t xml:space="preserve"> euro.</w:t>
            </w:r>
            <w:r w:rsidR="00CD23F7">
              <w:rPr>
                <w:rFonts w:ascii="Times New Roman" w:hAnsi="Times New Roman" w:cs="Times New Roman"/>
                <w:noProof/>
                <w:lang w:val="lv-LV"/>
              </w:rPr>
              <w:t xml:space="preserve"> Tā kā šajā pantā nav plānotas izmaiņas sankcijās, tad </w:t>
            </w:r>
            <w:r w:rsidR="00CD23F7" w:rsidRPr="00CD23F7">
              <w:rPr>
                <w:rFonts w:ascii="Times New Roman" w:hAnsi="Times New Roman" w:cs="Times New Roman"/>
                <w:noProof/>
                <w:u w:val="single"/>
                <w:lang w:val="lv-LV"/>
              </w:rPr>
              <w:t>ieņēmumi par pārkāpumiem nemainītos</w:t>
            </w:r>
            <w:r w:rsidR="00CD23F7">
              <w:rPr>
                <w:rFonts w:ascii="Times New Roman" w:hAnsi="Times New Roman" w:cs="Times New Roman"/>
                <w:noProof/>
                <w:lang w:val="lv-LV"/>
              </w:rPr>
              <w:t>, veicot grozījumus.</w:t>
            </w:r>
          </w:p>
          <w:p w:rsidR="00CD23F7" w:rsidRDefault="00CD23F7" w:rsidP="00CD23F7">
            <w:pPr>
              <w:pStyle w:val="naisf"/>
              <w:tabs>
                <w:tab w:val="left" w:pos="993"/>
              </w:tabs>
              <w:spacing w:before="0" w:after="0"/>
              <w:ind w:firstLine="449"/>
              <w:rPr>
                <w:noProof/>
              </w:rPr>
            </w:pPr>
          </w:p>
          <w:p w:rsidR="00CD23F7" w:rsidRDefault="00CD23F7" w:rsidP="00CD23F7">
            <w:pPr>
              <w:pStyle w:val="naisf"/>
              <w:tabs>
                <w:tab w:val="left" w:pos="993"/>
              </w:tabs>
              <w:spacing w:before="0" w:after="0"/>
              <w:ind w:firstLine="449"/>
              <w:rPr>
                <w:noProof/>
              </w:rPr>
            </w:pPr>
            <w:r>
              <w:rPr>
                <w:noProof/>
              </w:rPr>
              <w:t xml:space="preserve">Pavisam kopā paredzamie ieņēmumi no administratīvo sodu piemērošanas 2015.gadā un turpmākajos gados </w:t>
            </w:r>
            <w:r w:rsidRPr="00CD23F7">
              <w:rPr>
                <w:noProof/>
                <w:u w:val="single"/>
              </w:rPr>
              <w:t>bez LAPK grozījumiem</w:t>
            </w:r>
            <w:r>
              <w:rPr>
                <w:noProof/>
              </w:rPr>
              <w:t>:</w:t>
            </w:r>
          </w:p>
          <w:p w:rsidR="00CD23F7" w:rsidRDefault="00CD23F7" w:rsidP="00CD23F7">
            <w:pPr>
              <w:pStyle w:val="naisf"/>
              <w:tabs>
                <w:tab w:val="left" w:pos="993"/>
              </w:tabs>
              <w:spacing w:before="120" w:after="0"/>
              <w:ind w:firstLine="448"/>
              <w:rPr>
                <w:noProof/>
              </w:rPr>
            </w:pPr>
            <w:r>
              <w:rPr>
                <w:noProof/>
              </w:rPr>
              <w:t>(2940+1980+3080+7070) </w:t>
            </w:r>
            <w:r w:rsidRPr="00E53A8D">
              <w:rPr>
                <w:i/>
                <w:noProof/>
              </w:rPr>
              <w:t>euro</w:t>
            </w:r>
            <w:r>
              <w:rPr>
                <w:noProof/>
              </w:rPr>
              <w:t xml:space="preserve"> = </w:t>
            </w:r>
            <w:r>
              <w:rPr>
                <w:b/>
                <w:noProof/>
              </w:rPr>
              <w:t>15</w:t>
            </w:r>
            <w:r w:rsidRPr="00E53A8D">
              <w:rPr>
                <w:b/>
                <w:noProof/>
              </w:rPr>
              <w:t> </w:t>
            </w:r>
            <w:r>
              <w:rPr>
                <w:b/>
                <w:noProof/>
              </w:rPr>
              <w:t>07</w:t>
            </w:r>
            <w:r w:rsidRPr="00E53A8D">
              <w:rPr>
                <w:b/>
                <w:noProof/>
              </w:rPr>
              <w:t xml:space="preserve">0 </w:t>
            </w:r>
            <w:r w:rsidRPr="00E53A8D">
              <w:rPr>
                <w:b/>
                <w:i/>
                <w:noProof/>
              </w:rPr>
              <w:t>euro</w:t>
            </w:r>
            <w:r>
              <w:rPr>
                <w:noProof/>
              </w:rPr>
              <w:t>.</w:t>
            </w:r>
          </w:p>
          <w:p w:rsidR="00CD23F7" w:rsidRDefault="00CD23F7" w:rsidP="00D6564B">
            <w:pPr>
              <w:pStyle w:val="naisf"/>
              <w:tabs>
                <w:tab w:val="left" w:pos="993"/>
              </w:tabs>
              <w:spacing w:before="0" w:after="0"/>
              <w:ind w:firstLine="449"/>
              <w:rPr>
                <w:noProof/>
              </w:rPr>
            </w:pPr>
          </w:p>
          <w:p w:rsidR="008C7FE1" w:rsidRDefault="008C7FE1" w:rsidP="00D6564B">
            <w:pPr>
              <w:pStyle w:val="naisf"/>
              <w:tabs>
                <w:tab w:val="left" w:pos="993"/>
              </w:tabs>
              <w:spacing w:before="0" w:after="0"/>
              <w:ind w:firstLine="449"/>
              <w:rPr>
                <w:noProof/>
              </w:rPr>
            </w:pPr>
            <w:r>
              <w:rPr>
                <w:noProof/>
              </w:rPr>
              <w:t xml:space="preserve">Pavisam kopā </w:t>
            </w:r>
            <w:r w:rsidR="00A22C9F">
              <w:rPr>
                <w:noProof/>
              </w:rPr>
              <w:t xml:space="preserve">paredzamie </w:t>
            </w:r>
            <w:r>
              <w:rPr>
                <w:noProof/>
              </w:rPr>
              <w:t xml:space="preserve">ieņēmumi no administratīvo sodu piemērošanas 2015.gadā un </w:t>
            </w:r>
            <w:r w:rsidR="00CD23F7">
              <w:rPr>
                <w:noProof/>
              </w:rPr>
              <w:t xml:space="preserve">turpmāk, </w:t>
            </w:r>
            <w:r w:rsidR="00CD23F7" w:rsidRPr="00CD23F7">
              <w:rPr>
                <w:noProof/>
                <w:u w:val="single"/>
              </w:rPr>
              <w:t>veicot LAPK g</w:t>
            </w:r>
            <w:r w:rsidR="00CD23F7">
              <w:rPr>
                <w:noProof/>
                <w:u w:val="single"/>
              </w:rPr>
              <w:t>r</w:t>
            </w:r>
            <w:r w:rsidR="00CD23F7" w:rsidRPr="00CD23F7">
              <w:rPr>
                <w:noProof/>
                <w:u w:val="single"/>
              </w:rPr>
              <w:t>ozījumus</w:t>
            </w:r>
            <w:r>
              <w:rPr>
                <w:noProof/>
              </w:rPr>
              <w:t>:</w:t>
            </w:r>
          </w:p>
          <w:p w:rsidR="008C7FE1" w:rsidRDefault="008C7FE1" w:rsidP="00D6564B">
            <w:pPr>
              <w:pStyle w:val="naisf"/>
              <w:tabs>
                <w:tab w:val="left" w:pos="993"/>
              </w:tabs>
              <w:spacing w:before="120" w:after="0"/>
              <w:ind w:firstLine="448"/>
              <w:rPr>
                <w:noProof/>
              </w:rPr>
            </w:pPr>
            <w:r>
              <w:rPr>
                <w:noProof/>
              </w:rPr>
              <w:t>(2940+3450+3950+3250+7070) </w:t>
            </w:r>
            <w:r w:rsidRPr="00E53A8D">
              <w:rPr>
                <w:i/>
                <w:noProof/>
              </w:rPr>
              <w:t>euro</w:t>
            </w:r>
            <w:r>
              <w:rPr>
                <w:noProof/>
              </w:rPr>
              <w:t xml:space="preserve"> = </w:t>
            </w:r>
            <w:r w:rsidRPr="00E53A8D">
              <w:rPr>
                <w:b/>
                <w:noProof/>
              </w:rPr>
              <w:t xml:space="preserve">20 660 </w:t>
            </w:r>
            <w:r w:rsidRPr="00E53A8D">
              <w:rPr>
                <w:b/>
                <w:i/>
                <w:noProof/>
              </w:rPr>
              <w:t>euro</w:t>
            </w:r>
            <w:r>
              <w:rPr>
                <w:noProof/>
              </w:rPr>
              <w:t>.</w:t>
            </w:r>
          </w:p>
          <w:p w:rsidR="00353171" w:rsidRDefault="00353171" w:rsidP="00D6564B">
            <w:pPr>
              <w:pStyle w:val="naisf"/>
              <w:tabs>
                <w:tab w:val="left" w:pos="993"/>
              </w:tabs>
              <w:spacing w:before="120" w:after="0"/>
              <w:ind w:firstLine="448"/>
              <w:rPr>
                <w:noProof/>
              </w:rPr>
            </w:pPr>
            <w:r>
              <w:rPr>
                <w:noProof/>
              </w:rPr>
              <w:t xml:space="preserve">Tādējādi starpība jeb </w:t>
            </w:r>
            <w:r w:rsidRPr="00353171">
              <w:rPr>
                <w:noProof/>
                <w:u w:val="single"/>
              </w:rPr>
              <w:t>prognozējamie papildu ieņēmumi valsts budžetā</w:t>
            </w:r>
            <w:r>
              <w:rPr>
                <w:noProof/>
              </w:rPr>
              <w:t xml:space="preserve">, veicot LAPK grozījumus, ir: </w:t>
            </w:r>
          </w:p>
          <w:p w:rsidR="00353171" w:rsidRPr="00353171" w:rsidRDefault="00353171" w:rsidP="00D6564B">
            <w:pPr>
              <w:pStyle w:val="naisf"/>
              <w:tabs>
                <w:tab w:val="left" w:pos="993"/>
              </w:tabs>
              <w:spacing w:before="120" w:after="0"/>
              <w:ind w:firstLine="448"/>
              <w:rPr>
                <w:noProof/>
              </w:rPr>
            </w:pPr>
            <w:r>
              <w:rPr>
                <w:noProof/>
              </w:rPr>
              <w:t xml:space="preserve">(20 660 – 15 070) </w:t>
            </w:r>
            <w:r w:rsidRPr="00353171">
              <w:rPr>
                <w:i/>
                <w:noProof/>
              </w:rPr>
              <w:t>euro</w:t>
            </w:r>
            <w:r>
              <w:rPr>
                <w:noProof/>
              </w:rPr>
              <w:t xml:space="preserve"> = </w:t>
            </w:r>
            <w:r w:rsidRPr="00353171">
              <w:rPr>
                <w:b/>
                <w:noProof/>
                <w:u w:val="single"/>
              </w:rPr>
              <w:t xml:space="preserve">5 590 </w:t>
            </w:r>
            <w:r w:rsidRPr="00353171">
              <w:rPr>
                <w:b/>
                <w:i/>
                <w:noProof/>
                <w:u w:val="single"/>
              </w:rPr>
              <w:t>euro</w:t>
            </w:r>
            <w:r>
              <w:rPr>
                <w:noProof/>
              </w:rPr>
              <w:t>.</w:t>
            </w:r>
          </w:p>
          <w:p w:rsidR="008C7FE1" w:rsidRPr="00F333EC" w:rsidRDefault="008C7FE1" w:rsidP="00D6564B">
            <w:pPr>
              <w:pStyle w:val="naisf"/>
              <w:tabs>
                <w:tab w:val="left" w:pos="993"/>
              </w:tabs>
              <w:spacing w:before="0" w:after="0"/>
              <w:ind w:firstLine="24"/>
            </w:pPr>
          </w:p>
        </w:tc>
      </w:tr>
      <w:tr w:rsidR="008C7FE1" w:rsidRPr="00964BD3" w:rsidTr="00A84596">
        <w:trPr>
          <w:trHeight w:val="41"/>
          <w:tblCellSpacing w:w="0" w:type="dxa"/>
          <w:jc w:val="center"/>
        </w:trPr>
        <w:tc>
          <w:tcPr>
            <w:tcW w:w="2878" w:type="dxa"/>
            <w:tcBorders>
              <w:top w:val="outset" w:sz="6" w:space="0" w:color="auto"/>
              <w:left w:val="outset" w:sz="2" w:space="0" w:color="auto"/>
              <w:bottom w:val="outset" w:sz="6" w:space="0" w:color="auto"/>
              <w:right w:val="outset" w:sz="6" w:space="0" w:color="auto"/>
            </w:tcBorders>
            <w:hideMark/>
          </w:tcPr>
          <w:p w:rsidR="008C7FE1" w:rsidRPr="00F333EC" w:rsidRDefault="008C7FE1" w:rsidP="00D6564B">
            <w:r w:rsidRPr="00F333EC">
              <w:t> 6.1. detalizēts ieņēmumu aprēķins</w:t>
            </w:r>
          </w:p>
        </w:tc>
        <w:tc>
          <w:tcPr>
            <w:tcW w:w="7229" w:type="dxa"/>
            <w:gridSpan w:val="5"/>
            <w:vMerge/>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tc>
      </w:tr>
      <w:tr w:rsidR="008C7FE1" w:rsidRPr="00964BD3" w:rsidTr="00A84596">
        <w:trPr>
          <w:trHeight w:val="4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C7FE1" w:rsidRPr="00F333EC" w:rsidRDefault="008C7FE1" w:rsidP="00D6564B">
            <w:r w:rsidRPr="00F333EC">
              <w:t> 6.2. detalizēts izdevumu aprēķins</w:t>
            </w:r>
          </w:p>
        </w:tc>
        <w:tc>
          <w:tcPr>
            <w:tcW w:w="7229" w:type="dxa"/>
            <w:gridSpan w:val="5"/>
            <w:vMerge/>
            <w:tcBorders>
              <w:top w:val="outset" w:sz="6" w:space="0" w:color="auto"/>
              <w:left w:val="outset" w:sz="2" w:space="0" w:color="auto"/>
              <w:bottom w:val="outset" w:sz="6" w:space="0" w:color="auto"/>
              <w:right w:val="outset" w:sz="2" w:space="0" w:color="auto"/>
            </w:tcBorders>
            <w:vAlign w:val="center"/>
            <w:hideMark/>
          </w:tcPr>
          <w:p w:rsidR="008C7FE1" w:rsidRPr="00F333EC" w:rsidRDefault="008C7FE1" w:rsidP="00D6564B"/>
        </w:tc>
      </w:tr>
      <w:tr w:rsidR="008C7FE1" w:rsidRPr="002D507C" w:rsidTr="00A84596">
        <w:trPr>
          <w:trHeight w:val="41"/>
          <w:tblCellSpacing w:w="0" w:type="dxa"/>
          <w:jc w:val="center"/>
        </w:trPr>
        <w:tc>
          <w:tcPr>
            <w:tcW w:w="2878" w:type="dxa"/>
            <w:tcBorders>
              <w:top w:val="outset" w:sz="6" w:space="0" w:color="auto"/>
              <w:left w:val="outset" w:sz="2" w:space="0" w:color="auto"/>
              <w:bottom w:val="outset" w:sz="6" w:space="0" w:color="auto"/>
              <w:right w:val="outset" w:sz="2" w:space="0" w:color="auto"/>
            </w:tcBorders>
            <w:hideMark/>
          </w:tcPr>
          <w:p w:rsidR="008C7FE1" w:rsidRPr="00F333EC" w:rsidRDefault="008C7FE1" w:rsidP="00D6564B">
            <w:r w:rsidRPr="00F333EC">
              <w:lastRenderedPageBreak/>
              <w:t> 7. Cita informācija</w:t>
            </w:r>
          </w:p>
        </w:tc>
        <w:tc>
          <w:tcPr>
            <w:tcW w:w="7229" w:type="dxa"/>
            <w:gridSpan w:val="5"/>
            <w:tcBorders>
              <w:top w:val="outset" w:sz="6" w:space="0" w:color="auto"/>
              <w:left w:val="outset" w:sz="2" w:space="0" w:color="auto"/>
              <w:bottom w:val="outset" w:sz="6" w:space="0" w:color="auto"/>
              <w:right w:val="outset" w:sz="2" w:space="0" w:color="auto"/>
            </w:tcBorders>
            <w:hideMark/>
          </w:tcPr>
          <w:p w:rsidR="008C7FE1" w:rsidRDefault="008C7FE1" w:rsidP="00D6564B">
            <w:pPr>
              <w:jc w:val="both"/>
            </w:pPr>
            <w:r>
              <w:t>V</w:t>
            </w:r>
            <w:r w:rsidRPr="00F333EC">
              <w:t>eselības inspekcija 2015.gadā un turpmākajos gados  likumprojektā paredzēto pasākumu īstenošanu nodrošinās piešķ</w:t>
            </w:r>
            <w:r w:rsidR="006B5390">
              <w:t>irto finanšu līdzekļu ietvaros.</w:t>
            </w:r>
          </w:p>
          <w:p w:rsidR="00C43540" w:rsidRPr="00F333EC" w:rsidRDefault="008D3102" w:rsidP="00C43540">
            <w:pPr>
              <w:jc w:val="both"/>
            </w:pPr>
            <w:r>
              <w:t>Ieņēmumi no likumprojektā paredzēto administratīvo sodu piemērošanas 2015.gadā tiks ieskaitīti valsts budžeta kopējos ieņēmumos. Ieņēmumi no likumprojektā paredzēto administratīvo sodu piemērošanas 2016.gadā un turpmākajos gados plānojami kārtējā gada likumā par valsts budžetu.</w:t>
            </w:r>
          </w:p>
        </w:tc>
      </w:tr>
    </w:tbl>
    <w:p w:rsidR="008C7FE1" w:rsidRDefault="008C7FE1" w:rsidP="006D0922">
      <w:pPr>
        <w:pStyle w:val="naisf"/>
        <w:spacing w:before="0" w:after="0"/>
        <w:ind w:firstLine="0"/>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0064"/>
      </w:tblGrid>
      <w:tr w:rsidR="00983EF2" w:rsidRPr="00583CC4" w:rsidTr="00A84596">
        <w:tc>
          <w:tcPr>
            <w:tcW w:w="5000" w:type="pct"/>
            <w:tcBorders>
              <w:top w:val="outset" w:sz="6" w:space="0" w:color="000000"/>
              <w:left w:val="outset" w:sz="6" w:space="0" w:color="000000"/>
              <w:bottom w:val="outset" w:sz="6" w:space="0" w:color="000000"/>
              <w:right w:val="outset" w:sz="6" w:space="0" w:color="000000"/>
            </w:tcBorders>
          </w:tcPr>
          <w:p w:rsidR="00983EF2" w:rsidRPr="00583CC4" w:rsidRDefault="00983EF2" w:rsidP="00983EF2">
            <w:pPr>
              <w:spacing w:before="100" w:beforeAutospacing="1" w:after="100" w:afterAutospacing="1"/>
              <w:jc w:val="center"/>
              <w:rPr>
                <w:b/>
                <w:bCs/>
                <w:sz w:val="28"/>
                <w:szCs w:val="28"/>
              </w:rPr>
            </w:pPr>
            <w:r>
              <w:rPr>
                <w:b/>
                <w:bCs/>
                <w:sz w:val="28"/>
                <w:szCs w:val="28"/>
              </w:rPr>
              <w:t>I</w:t>
            </w:r>
            <w:r w:rsidRPr="00583CC4">
              <w:rPr>
                <w:b/>
                <w:bCs/>
                <w:sz w:val="28"/>
                <w:szCs w:val="28"/>
              </w:rPr>
              <w:t xml:space="preserve">V. </w:t>
            </w:r>
            <w:r w:rsidRPr="00443797">
              <w:rPr>
                <w:b/>
                <w:sz w:val="28"/>
                <w:szCs w:val="28"/>
              </w:rPr>
              <w:t>Tiesību akta projekta ietekme uz spēkā esošo tiesību normu sistēmu</w:t>
            </w:r>
          </w:p>
        </w:tc>
      </w:tr>
      <w:tr w:rsidR="00983EF2" w:rsidRPr="00583CC4" w:rsidTr="00A84596">
        <w:tc>
          <w:tcPr>
            <w:tcW w:w="5000" w:type="pct"/>
            <w:tcBorders>
              <w:top w:val="outset" w:sz="6" w:space="0" w:color="000000"/>
              <w:left w:val="outset" w:sz="6" w:space="0" w:color="000000"/>
              <w:bottom w:val="outset" w:sz="6" w:space="0" w:color="000000"/>
              <w:right w:val="outset" w:sz="6" w:space="0" w:color="000000"/>
            </w:tcBorders>
          </w:tcPr>
          <w:p w:rsidR="00983EF2" w:rsidRPr="008E275D" w:rsidRDefault="00983EF2" w:rsidP="00983EF2">
            <w:pPr>
              <w:spacing w:before="100" w:beforeAutospacing="1" w:after="100" w:afterAutospacing="1"/>
              <w:jc w:val="center"/>
              <w:rPr>
                <w:b/>
                <w:bCs/>
              </w:rPr>
            </w:pPr>
            <w:r w:rsidRPr="008E275D">
              <w:t>Likumprojekts šo jomu neskar</w:t>
            </w:r>
          </w:p>
        </w:tc>
      </w:tr>
    </w:tbl>
    <w:p w:rsidR="00983EF2" w:rsidRPr="005923D8" w:rsidRDefault="00983EF2" w:rsidP="00983EF2">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067"/>
        <w:gridCol w:w="5602"/>
      </w:tblGrid>
      <w:tr w:rsidR="009D6202" w:rsidRPr="00B47BD8" w:rsidTr="00A84596">
        <w:tc>
          <w:tcPr>
            <w:tcW w:w="10065" w:type="dxa"/>
            <w:gridSpan w:val="3"/>
          </w:tcPr>
          <w:p w:rsidR="009D6202" w:rsidRPr="00CD215B" w:rsidRDefault="009D6202" w:rsidP="009747C0">
            <w:pPr>
              <w:jc w:val="center"/>
              <w:rPr>
                <w:b/>
                <w:sz w:val="28"/>
                <w:szCs w:val="28"/>
              </w:rPr>
            </w:pPr>
            <w:r w:rsidRPr="00CD215B">
              <w:rPr>
                <w:b/>
                <w:sz w:val="28"/>
                <w:szCs w:val="28"/>
              </w:rPr>
              <w:t xml:space="preserve">V. Tiesību </w:t>
            </w:r>
            <w:smartTag w:uri="schemas-tilde-lv/tildestengine" w:element="veidnes">
              <w:smartTagPr>
                <w:attr w:name="baseform" w:val="akt|s"/>
                <w:attr w:name="id" w:val="-1"/>
                <w:attr w:name="text" w:val="akta"/>
              </w:smartTagPr>
              <w:r w:rsidRPr="00CD215B">
                <w:rPr>
                  <w:b/>
                  <w:sz w:val="28"/>
                  <w:szCs w:val="28"/>
                </w:rPr>
                <w:t>akta</w:t>
              </w:r>
            </w:smartTag>
            <w:r w:rsidRPr="00CD215B">
              <w:rPr>
                <w:b/>
                <w:sz w:val="28"/>
                <w:szCs w:val="28"/>
              </w:rPr>
              <w:t xml:space="preserve"> projekta atbilstība Latvijas Republikas starptautiskajām saistībām </w:t>
            </w:r>
          </w:p>
        </w:tc>
      </w:tr>
      <w:tr w:rsidR="009D6202" w:rsidRPr="00B47BD8" w:rsidTr="00A84596">
        <w:tc>
          <w:tcPr>
            <w:tcW w:w="284" w:type="dxa"/>
          </w:tcPr>
          <w:p w:rsidR="009D6202" w:rsidRPr="00BD2404" w:rsidRDefault="009D6202" w:rsidP="009747C0">
            <w:r w:rsidRPr="00BD2404">
              <w:t xml:space="preserve">1. </w:t>
            </w:r>
          </w:p>
        </w:tc>
        <w:tc>
          <w:tcPr>
            <w:tcW w:w="4111" w:type="dxa"/>
          </w:tcPr>
          <w:p w:rsidR="009D6202" w:rsidRPr="000C018D" w:rsidRDefault="009D6202" w:rsidP="009747C0">
            <w:pPr>
              <w:jc w:val="both"/>
            </w:pPr>
            <w:r w:rsidRPr="000C018D">
              <w:t xml:space="preserve">Saistības pret Eiropas Savienību </w:t>
            </w:r>
          </w:p>
        </w:tc>
        <w:tc>
          <w:tcPr>
            <w:tcW w:w="5670" w:type="dxa"/>
          </w:tcPr>
          <w:p w:rsidR="009D6202" w:rsidRPr="008E275D" w:rsidRDefault="009D6202" w:rsidP="009747C0">
            <w:pPr>
              <w:jc w:val="both"/>
            </w:pPr>
            <w:r w:rsidRPr="008E275D">
              <w:t xml:space="preserve">Direktīva 2010/32/ES, ar ko īsteno HOSPEEM un EPSU noslēgto </w:t>
            </w:r>
            <w:proofErr w:type="spellStart"/>
            <w:r w:rsidRPr="008E275D">
              <w:t>pamatnolīgumu</w:t>
            </w:r>
            <w:proofErr w:type="spellEnd"/>
            <w:r w:rsidRPr="008E275D">
              <w:t xml:space="preserve"> par asu instrumentu radītu ievainojumu novēršanu slimnīcu un veselības aprūpes nozarē</w:t>
            </w:r>
          </w:p>
        </w:tc>
      </w:tr>
      <w:tr w:rsidR="009D6202" w:rsidRPr="00B47BD8" w:rsidTr="00A84596">
        <w:tc>
          <w:tcPr>
            <w:tcW w:w="284" w:type="dxa"/>
          </w:tcPr>
          <w:p w:rsidR="009D6202" w:rsidRPr="00BD2404" w:rsidRDefault="009D6202" w:rsidP="009747C0">
            <w:r w:rsidRPr="00BD2404">
              <w:t xml:space="preserve">2. </w:t>
            </w:r>
          </w:p>
        </w:tc>
        <w:tc>
          <w:tcPr>
            <w:tcW w:w="4111" w:type="dxa"/>
          </w:tcPr>
          <w:p w:rsidR="009D6202" w:rsidRPr="000C018D" w:rsidRDefault="009D6202" w:rsidP="009747C0">
            <w:pPr>
              <w:jc w:val="both"/>
            </w:pPr>
            <w:r w:rsidRPr="000C018D">
              <w:t>Citas starptautiskās saistības</w:t>
            </w:r>
          </w:p>
        </w:tc>
        <w:tc>
          <w:tcPr>
            <w:tcW w:w="5670" w:type="dxa"/>
          </w:tcPr>
          <w:p w:rsidR="009D6202" w:rsidRPr="008E275D" w:rsidRDefault="009D6202" w:rsidP="009747C0">
            <w:pPr>
              <w:ind w:firstLine="176"/>
              <w:jc w:val="both"/>
            </w:pPr>
            <w:r w:rsidRPr="008E275D">
              <w:t xml:space="preserve">Projekts šo jomu neskar. </w:t>
            </w:r>
          </w:p>
        </w:tc>
      </w:tr>
      <w:tr w:rsidR="009D6202" w:rsidRPr="00B47BD8" w:rsidTr="00A84596">
        <w:tc>
          <w:tcPr>
            <w:tcW w:w="284" w:type="dxa"/>
          </w:tcPr>
          <w:p w:rsidR="009D6202" w:rsidRPr="00BD2404" w:rsidRDefault="009D6202" w:rsidP="009747C0">
            <w:r w:rsidRPr="00BD2404">
              <w:t>3.</w:t>
            </w:r>
          </w:p>
        </w:tc>
        <w:tc>
          <w:tcPr>
            <w:tcW w:w="4111" w:type="dxa"/>
          </w:tcPr>
          <w:p w:rsidR="009D6202" w:rsidRPr="000C018D" w:rsidRDefault="009D6202" w:rsidP="009747C0">
            <w:pPr>
              <w:jc w:val="both"/>
            </w:pPr>
            <w:r w:rsidRPr="000C018D">
              <w:t xml:space="preserve">Cita informācija </w:t>
            </w:r>
          </w:p>
        </w:tc>
        <w:tc>
          <w:tcPr>
            <w:tcW w:w="5670" w:type="dxa"/>
          </w:tcPr>
          <w:p w:rsidR="009D6202" w:rsidRPr="008E275D" w:rsidRDefault="009D6202" w:rsidP="009747C0">
            <w:pPr>
              <w:ind w:firstLine="176"/>
            </w:pPr>
            <w:r w:rsidRPr="008E275D">
              <w:t>Nav</w:t>
            </w:r>
          </w:p>
        </w:tc>
      </w:tr>
    </w:tbl>
    <w:p w:rsidR="009D6202" w:rsidRDefault="009D6202" w:rsidP="009D6202">
      <w:pPr>
        <w:rPr>
          <w:i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984"/>
        <w:gridCol w:w="567"/>
        <w:gridCol w:w="2339"/>
        <w:gridCol w:w="2623"/>
      </w:tblGrid>
      <w:tr w:rsidR="009D6202" w:rsidRPr="00CD215B" w:rsidTr="00A84596">
        <w:tc>
          <w:tcPr>
            <w:tcW w:w="9924" w:type="dxa"/>
            <w:gridSpan w:val="5"/>
          </w:tcPr>
          <w:p w:rsidR="009D6202" w:rsidRPr="00CD215B" w:rsidRDefault="009D6202" w:rsidP="009747C0">
            <w:pPr>
              <w:pStyle w:val="NoSpacing"/>
              <w:jc w:val="center"/>
              <w:rPr>
                <w:rFonts w:ascii="Times New Roman" w:hAnsi="Times New Roman"/>
                <w:b/>
                <w:sz w:val="28"/>
                <w:szCs w:val="28"/>
              </w:rPr>
            </w:pPr>
            <w:r w:rsidRPr="00CD215B">
              <w:rPr>
                <w:rFonts w:ascii="Times New Roman" w:hAnsi="Times New Roman"/>
                <w:b/>
                <w:sz w:val="28"/>
                <w:szCs w:val="28"/>
              </w:rPr>
              <w:t>1.tabula</w:t>
            </w:r>
          </w:p>
          <w:p w:rsidR="009D6202" w:rsidRPr="00CD215B" w:rsidRDefault="009D6202" w:rsidP="009747C0">
            <w:pPr>
              <w:pStyle w:val="NoSpacing"/>
              <w:jc w:val="center"/>
              <w:rPr>
                <w:rFonts w:ascii="Times New Roman" w:hAnsi="Times New Roman"/>
                <w:sz w:val="28"/>
                <w:szCs w:val="28"/>
              </w:rPr>
            </w:pPr>
            <w:r w:rsidRPr="00CD215B">
              <w:rPr>
                <w:rFonts w:ascii="Times New Roman" w:hAnsi="Times New Roman"/>
                <w:b/>
                <w:sz w:val="28"/>
                <w:szCs w:val="28"/>
              </w:rPr>
              <w:t>Tiesību akta projekta atbilstība ES tiesību aktiem</w:t>
            </w:r>
          </w:p>
        </w:tc>
      </w:tr>
      <w:tr w:rsidR="009D6202" w:rsidRPr="00CD215B" w:rsidTr="00A84596">
        <w:tc>
          <w:tcPr>
            <w:tcW w:w="2411" w:type="dxa"/>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 xml:space="preserve">Attiecīgā ES tiesību akta datums, numurs </w:t>
            </w:r>
            <w:r w:rsidRPr="000C018D">
              <w:rPr>
                <w:rFonts w:ascii="Times New Roman" w:hAnsi="Times New Roman"/>
                <w:sz w:val="24"/>
                <w:szCs w:val="24"/>
              </w:rPr>
              <w:lastRenderedPageBreak/>
              <w:t>un nosaukums</w:t>
            </w:r>
          </w:p>
        </w:tc>
        <w:tc>
          <w:tcPr>
            <w:tcW w:w="7513" w:type="dxa"/>
            <w:gridSpan w:val="4"/>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lastRenderedPageBreak/>
              <w:t xml:space="preserve">Direktīva 2010/32/ES, ar ko īsteno HOSPEEM un EPSU noslēgto </w:t>
            </w:r>
            <w:proofErr w:type="spellStart"/>
            <w:r w:rsidRPr="000C018D">
              <w:rPr>
                <w:rFonts w:ascii="Times New Roman" w:hAnsi="Times New Roman"/>
                <w:sz w:val="24"/>
                <w:szCs w:val="24"/>
              </w:rPr>
              <w:t>pamatnolīgumu</w:t>
            </w:r>
            <w:proofErr w:type="spellEnd"/>
            <w:r w:rsidRPr="000C018D">
              <w:rPr>
                <w:rFonts w:ascii="Times New Roman" w:hAnsi="Times New Roman"/>
                <w:sz w:val="24"/>
                <w:szCs w:val="24"/>
              </w:rPr>
              <w:t xml:space="preserve"> par asu instrumentu radītu ievainojumu novēršanu slimnīcu </w:t>
            </w:r>
            <w:r w:rsidRPr="000C018D">
              <w:rPr>
                <w:rFonts w:ascii="Times New Roman" w:hAnsi="Times New Roman"/>
                <w:sz w:val="24"/>
                <w:szCs w:val="24"/>
              </w:rPr>
              <w:lastRenderedPageBreak/>
              <w:t>un veselības aprūpes nozarē</w:t>
            </w:r>
          </w:p>
        </w:tc>
      </w:tr>
      <w:tr w:rsidR="009D6202" w:rsidRPr="00CD215B" w:rsidTr="00A84596">
        <w:tc>
          <w:tcPr>
            <w:tcW w:w="2411" w:type="dxa"/>
            <w:vAlign w:val="center"/>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lastRenderedPageBreak/>
              <w:t>A</w:t>
            </w:r>
          </w:p>
        </w:tc>
        <w:tc>
          <w:tcPr>
            <w:tcW w:w="2551" w:type="dxa"/>
            <w:gridSpan w:val="2"/>
            <w:vAlign w:val="center"/>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B</w:t>
            </w:r>
          </w:p>
        </w:tc>
        <w:tc>
          <w:tcPr>
            <w:tcW w:w="2339" w:type="dxa"/>
            <w:vAlign w:val="center"/>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C</w:t>
            </w:r>
          </w:p>
        </w:tc>
        <w:tc>
          <w:tcPr>
            <w:tcW w:w="2623" w:type="dxa"/>
            <w:vAlign w:val="center"/>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D</w:t>
            </w:r>
          </w:p>
        </w:tc>
      </w:tr>
      <w:tr w:rsidR="009D6202" w:rsidRPr="00CD215B" w:rsidTr="00A84596">
        <w:tc>
          <w:tcPr>
            <w:tcW w:w="2411" w:type="dxa"/>
          </w:tcPr>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Attiecīgā ES tiesību akta panta numurs (uzskaitot katru tiesību akta vienību – pantu, daļu, punktu, apakšpunktu)</w:t>
            </w:r>
          </w:p>
        </w:tc>
        <w:tc>
          <w:tcPr>
            <w:tcW w:w="2551" w:type="dxa"/>
            <w:gridSpan w:val="2"/>
          </w:tcPr>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Projekta vienība, kas pārņem vai ievieš katru šīs tabulas A ailē minēto ES tiesību akta vienību, vai tiesību akts, kur attiecīgā ES tiesību akta vienība pārņemta vai ieviesta</w:t>
            </w:r>
          </w:p>
        </w:tc>
        <w:tc>
          <w:tcPr>
            <w:tcW w:w="2339" w:type="dxa"/>
          </w:tcPr>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 xml:space="preserve">Informācija par to, vai šīs tabulas A ailē minētās ES tiesību akta vienības tiek pārņemtas vai ieviestas pilnībā vai daļēji. </w:t>
            </w:r>
          </w:p>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Ja attiecīgā ES tiesību akta vienība tiek pārņemta vai ieviesta daļēji, sniedz attiecīgu skaidrojumu, kā arī precīzi norāda, kad un kādā veidā ES tiesību akta vienība tiks pārņemta vai ieviesta pilnībā.</w:t>
            </w:r>
          </w:p>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Norāda institūciju, kas ir atbildīga par šo saistību izpildi pilnībā.</w:t>
            </w:r>
          </w:p>
        </w:tc>
        <w:tc>
          <w:tcPr>
            <w:tcW w:w="2623" w:type="dxa"/>
          </w:tcPr>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 xml:space="preserve">Informācija par to, vai šīs tabulas B ailē minētās projekta vienības paredz stingrākas prasības nekā šīs tabulas A ailē minētās ES tiesību akta vienības. </w:t>
            </w:r>
          </w:p>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Ja projekts satur stingrākas prasības nekā attiecīgais ES tiesību akts, norāda pamatojumu un samērīgumu.</w:t>
            </w:r>
          </w:p>
          <w:p w:rsidR="009D6202" w:rsidRPr="000C018D" w:rsidRDefault="009D6202" w:rsidP="009747C0">
            <w:pPr>
              <w:pStyle w:val="NoSpacing"/>
              <w:rPr>
                <w:rFonts w:ascii="Times New Roman" w:hAnsi="Times New Roman"/>
                <w:sz w:val="24"/>
                <w:szCs w:val="24"/>
                <w:lang w:bidi="lo-LA"/>
              </w:rPr>
            </w:pPr>
            <w:r w:rsidRPr="000C018D">
              <w:rPr>
                <w:rFonts w:ascii="Times New Roman" w:hAnsi="Times New Roman"/>
                <w:sz w:val="24"/>
                <w:szCs w:val="24"/>
                <w:lang w:bidi="lo-LA"/>
              </w:rPr>
              <w:t>Norāda iespējamās alternatīvas (t.sk. alternatīvas, kas neparedz tiesiskā regulējuma izstrādi) – kādos gadījumos būtu iespējams izvairīties no stingrāku prasību noteikšanas, nekā paredzēts attiecīgajos ES tiesību aktos.</w:t>
            </w:r>
          </w:p>
        </w:tc>
      </w:tr>
      <w:tr w:rsidR="00F27BFB" w:rsidRPr="00CD215B" w:rsidTr="00A84596">
        <w:tc>
          <w:tcPr>
            <w:tcW w:w="2411" w:type="dxa"/>
          </w:tcPr>
          <w:p w:rsidR="00F27BFB" w:rsidRPr="008E275D" w:rsidRDefault="00F27BFB" w:rsidP="009747C0">
            <w:pPr>
              <w:jc w:val="both"/>
            </w:pPr>
            <w:r w:rsidRPr="008E275D">
              <w:t>1.pants</w:t>
            </w:r>
          </w:p>
        </w:tc>
        <w:tc>
          <w:tcPr>
            <w:tcW w:w="2551" w:type="dxa"/>
            <w:gridSpan w:val="2"/>
          </w:tcPr>
          <w:p w:rsidR="00F27BFB" w:rsidRPr="008E275D" w:rsidRDefault="00F27BFB" w:rsidP="00876E6D">
            <w:pPr>
              <w:jc w:val="both"/>
            </w:pPr>
            <w:r w:rsidRPr="008E275D">
              <w:t>Nav jāpārņem, jo nosaka direktīvas mērķi</w:t>
            </w:r>
          </w:p>
        </w:tc>
        <w:tc>
          <w:tcPr>
            <w:tcW w:w="2339" w:type="dxa"/>
          </w:tcPr>
          <w:p w:rsidR="00F27BFB" w:rsidRPr="008E275D" w:rsidRDefault="00F27BFB" w:rsidP="009747C0">
            <w:pPr>
              <w:jc w:val="both"/>
            </w:pPr>
            <w:r w:rsidRPr="008E275D">
              <w:t>Nav</w:t>
            </w:r>
          </w:p>
        </w:tc>
        <w:tc>
          <w:tcPr>
            <w:tcW w:w="2623" w:type="dxa"/>
          </w:tcPr>
          <w:p w:rsidR="00F27BFB" w:rsidRPr="008E275D" w:rsidRDefault="00F27BFB" w:rsidP="009747C0">
            <w:pPr>
              <w:jc w:val="both"/>
            </w:pPr>
            <w:r w:rsidRPr="008E275D">
              <w:t>Nav</w:t>
            </w:r>
          </w:p>
        </w:tc>
      </w:tr>
      <w:tr w:rsidR="009D6202" w:rsidRPr="00CD215B" w:rsidTr="00A84596">
        <w:tc>
          <w:tcPr>
            <w:tcW w:w="2411" w:type="dxa"/>
          </w:tcPr>
          <w:p w:rsidR="009D6202" w:rsidRPr="008E275D" w:rsidRDefault="009D6202" w:rsidP="009747C0">
            <w:pPr>
              <w:jc w:val="both"/>
            </w:pPr>
            <w:r w:rsidRPr="008E275D">
              <w:t xml:space="preserve">2.pants </w:t>
            </w:r>
          </w:p>
        </w:tc>
        <w:tc>
          <w:tcPr>
            <w:tcW w:w="2551" w:type="dxa"/>
            <w:gridSpan w:val="2"/>
          </w:tcPr>
          <w:p w:rsidR="009D6202" w:rsidRPr="008E275D" w:rsidRDefault="009D6202" w:rsidP="008E275D">
            <w:pPr>
              <w:jc w:val="both"/>
            </w:pPr>
            <w:r w:rsidRPr="008E275D">
              <w:t>Latvijas Administratīvo pārkāpumu kodeksa 41.</w:t>
            </w:r>
            <w:r w:rsidRPr="008E275D">
              <w:rPr>
                <w:vertAlign w:val="superscript"/>
              </w:rPr>
              <w:t>4</w:t>
            </w:r>
            <w:r w:rsidRPr="008E275D">
              <w:t>, 41.</w:t>
            </w:r>
            <w:r w:rsidRPr="008E275D">
              <w:rPr>
                <w:vertAlign w:val="superscript"/>
              </w:rPr>
              <w:t>5</w:t>
            </w:r>
            <w:r w:rsidRPr="008E275D">
              <w:t>, un 75.pants</w:t>
            </w:r>
            <w:r w:rsidR="00876E6D" w:rsidRPr="008E275D">
              <w:t xml:space="preserve"> </w:t>
            </w:r>
          </w:p>
        </w:tc>
        <w:tc>
          <w:tcPr>
            <w:tcW w:w="2339" w:type="dxa"/>
          </w:tcPr>
          <w:p w:rsidR="009D6202" w:rsidRPr="008E275D" w:rsidRDefault="009D6202" w:rsidP="009747C0">
            <w:pPr>
              <w:jc w:val="both"/>
            </w:pPr>
            <w:r w:rsidRPr="008E275D">
              <w:t xml:space="preserve">Prasības ir pārņemtas pilnībā </w:t>
            </w:r>
          </w:p>
        </w:tc>
        <w:tc>
          <w:tcPr>
            <w:tcW w:w="2623" w:type="dxa"/>
          </w:tcPr>
          <w:p w:rsidR="009D6202" w:rsidRPr="008E275D" w:rsidRDefault="009D6202" w:rsidP="009747C0">
            <w:pPr>
              <w:jc w:val="both"/>
            </w:pPr>
            <w:r w:rsidRPr="008E275D">
              <w:t>Attiecīgais regulējums stingrākas prasības neparedz</w:t>
            </w:r>
          </w:p>
        </w:tc>
      </w:tr>
      <w:tr w:rsidR="009D6202" w:rsidRPr="00CD215B" w:rsidTr="00A84596">
        <w:tc>
          <w:tcPr>
            <w:tcW w:w="2411" w:type="dxa"/>
          </w:tcPr>
          <w:p w:rsidR="009D6202" w:rsidRPr="008E275D" w:rsidRDefault="009D6202" w:rsidP="009747C0">
            <w:pPr>
              <w:jc w:val="both"/>
            </w:pPr>
            <w:r w:rsidRPr="008E275D">
              <w:t>3.pant</w:t>
            </w:r>
            <w:r w:rsidR="008E275D" w:rsidRPr="008E275D">
              <w:t>s</w:t>
            </w:r>
          </w:p>
        </w:tc>
        <w:tc>
          <w:tcPr>
            <w:tcW w:w="2551" w:type="dxa"/>
            <w:gridSpan w:val="2"/>
          </w:tcPr>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Darba aizsardzības likuma 1., 3., 4., 5., 7., 8., 10., 13., 14., 16., 17., 20. un 21. pants;</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Ministru kabineta 2002.gada 21.maija</w:t>
            </w:r>
            <w:r w:rsidRPr="008E275D">
              <w:rPr>
                <w:rFonts w:ascii="Times New Roman" w:hAnsi="Times New Roman"/>
                <w:sz w:val="24"/>
                <w:szCs w:val="24"/>
                <w:u w:val="single"/>
              </w:rPr>
              <w:t xml:space="preserve"> </w:t>
            </w:r>
            <w:r w:rsidRPr="008E275D">
              <w:rPr>
                <w:rFonts w:ascii="Times New Roman" w:hAnsi="Times New Roman"/>
                <w:sz w:val="24"/>
                <w:szCs w:val="24"/>
              </w:rPr>
              <w:t>noteikumu Nr.189 „Darba aizsardzības prasības, saskaroties ar bioloģiskām vielām” 10., 11., 12., 13., 14., 15., 16., 18. 48., 57., 58, 59. un 60.punkts, III nodaļa;</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 xml:space="preserve">Ministru kabineta 2010.gada 10.augusta noteikumi Nr.749 „Apmācības kārtība darba aizsardzības </w:t>
            </w:r>
            <w:r w:rsidRPr="008E275D">
              <w:rPr>
                <w:rFonts w:ascii="Times New Roman" w:hAnsi="Times New Roman"/>
                <w:sz w:val="24"/>
                <w:szCs w:val="24"/>
              </w:rPr>
              <w:lastRenderedPageBreak/>
              <w:t>jautājumos” 2., 8., 9., 11., 12., 15., 18. un 20.punkts;</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Ministru kabineta 2000.gada 26.septembra noteikumu Nr.330 „Vakcinācijas noteikumi” 30.punkts, 31.3.apakšpunkts, 33.punkts;</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Latvijas Administratīvo pārkāpumu kodeksa 41.</w:t>
            </w:r>
            <w:r w:rsidRPr="008E275D">
              <w:rPr>
                <w:rFonts w:ascii="Times New Roman" w:hAnsi="Times New Roman"/>
                <w:sz w:val="24"/>
                <w:szCs w:val="24"/>
                <w:vertAlign w:val="superscript"/>
              </w:rPr>
              <w:t>4</w:t>
            </w:r>
            <w:r w:rsidRPr="008E275D">
              <w:rPr>
                <w:rFonts w:ascii="Times New Roman" w:hAnsi="Times New Roman"/>
                <w:sz w:val="24"/>
                <w:szCs w:val="24"/>
              </w:rPr>
              <w:t>, 41.</w:t>
            </w:r>
            <w:r w:rsidRPr="008E275D">
              <w:rPr>
                <w:rFonts w:ascii="Times New Roman" w:hAnsi="Times New Roman"/>
                <w:sz w:val="24"/>
                <w:szCs w:val="24"/>
                <w:vertAlign w:val="superscript"/>
              </w:rPr>
              <w:t>5</w:t>
            </w:r>
            <w:r w:rsidRPr="008E275D">
              <w:rPr>
                <w:rFonts w:ascii="Times New Roman" w:hAnsi="Times New Roman"/>
                <w:sz w:val="24"/>
                <w:szCs w:val="24"/>
              </w:rPr>
              <w:t>, un 75.pants;</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Ministru kabineta 2009.gada 25.augusta noteikumu Nr.950 “Nelaimes gadījumu darbā izmeklēšanas un uzskaites kārtība” 13.punkts;</w:t>
            </w:r>
          </w:p>
          <w:p w:rsidR="009D6202" w:rsidRPr="008E275D" w:rsidRDefault="009D6202" w:rsidP="009747C0">
            <w:pPr>
              <w:pStyle w:val="NoSpacing"/>
              <w:jc w:val="both"/>
              <w:rPr>
                <w:rFonts w:ascii="Times New Roman" w:hAnsi="Times New Roman"/>
                <w:sz w:val="24"/>
                <w:szCs w:val="24"/>
              </w:rPr>
            </w:pPr>
            <w:r w:rsidRPr="008E275D">
              <w:rPr>
                <w:rFonts w:ascii="Times New Roman" w:hAnsi="Times New Roman"/>
                <w:sz w:val="24"/>
                <w:szCs w:val="24"/>
              </w:rPr>
              <w:t>Pacientu tiesību likuma 10.panta</w:t>
            </w:r>
            <w:r w:rsidRPr="008E275D">
              <w:rPr>
                <w:rFonts w:ascii="Times New Roman" w:hAnsi="Times New Roman"/>
                <w:sz w:val="24"/>
                <w:szCs w:val="24"/>
                <w:u w:val="single"/>
              </w:rPr>
              <w:t xml:space="preserve"> </w:t>
            </w:r>
            <w:r w:rsidRPr="008E275D">
              <w:rPr>
                <w:rFonts w:ascii="Times New Roman" w:hAnsi="Times New Roman"/>
                <w:sz w:val="24"/>
                <w:szCs w:val="24"/>
              </w:rPr>
              <w:t xml:space="preserve">pirmā daļa; Ministru kabineta 2012.gada 22.maija noteikumu Nr.353 „Ārstniecības iestādēs radušos atkritumu apsaimniekošanas prasības” 14., 15., 16., 20., 32. un 33.punkts; </w:t>
            </w:r>
          </w:p>
          <w:p w:rsidR="009D6202" w:rsidRPr="008E275D" w:rsidRDefault="009D6202" w:rsidP="009747C0">
            <w:pPr>
              <w:jc w:val="both"/>
            </w:pPr>
            <w:r w:rsidRPr="008E275D">
              <w:t xml:space="preserve"> Ministru kabineta 2007.gada 2.oktobra noteikumu Nr.660 „Darba vides iekšējās uzraudzības veikšanas kārtība” 1.pielikums.</w:t>
            </w:r>
          </w:p>
          <w:p w:rsidR="008E275D" w:rsidRPr="008E275D" w:rsidRDefault="008E275D" w:rsidP="009747C0">
            <w:pPr>
              <w:jc w:val="both"/>
            </w:pPr>
            <w:r w:rsidRPr="008E275D">
              <w:t xml:space="preserve">Likumprojekta 8.pants </w:t>
            </w:r>
          </w:p>
        </w:tc>
        <w:tc>
          <w:tcPr>
            <w:tcW w:w="2339" w:type="dxa"/>
          </w:tcPr>
          <w:p w:rsidR="009D6202" w:rsidRPr="008E275D" w:rsidRDefault="008E275D" w:rsidP="00F27BFB">
            <w:pPr>
              <w:jc w:val="both"/>
            </w:pPr>
            <w:r w:rsidRPr="008E275D">
              <w:lastRenderedPageBreak/>
              <w:t>Prasības ir pārņemtas pilnībā</w:t>
            </w:r>
          </w:p>
        </w:tc>
        <w:tc>
          <w:tcPr>
            <w:tcW w:w="2623" w:type="dxa"/>
          </w:tcPr>
          <w:p w:rsidR="009D6202" w:rsidRPr="008E275D" w:rsidRDefault="008E275D"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9747C0">
            <w:pPr>
              <w:jc w:val="both"/>
            </w:pPr>
            <w:r w:rsidRPr="008E275D">
              <w:lastRenderedPageBreak/>
              <w:t>4.pants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Nav jāpārņem, jo nosaka direktīvas spēkā stāšanos</w:t>
            </w:r>
          </w:p>
        </w:tc>
        <w:tc>
          <w:tcPr>
            <w:tcW w:w="2339" w:type="dxa"/>
          </w:tcPr>
          <w:p w:rsidR="008E275D" w:rsidRPr="008E275D" w:rsidRDefault="000C018D" w:rsidP="00F27BFB">
            <w:pPr>
              <w:jc w:val="both"/>
            </w:pPr>
            <w:r>
              <w:t>Nav</w:t>
            </w:r>
          </w:p>
        </w:tc>
        <w:tc>
          <w:tcPr>
            <w:tcW w:w="2623" w:type="dxa"/>
          </w:tcPr>
          <w:p w:rsidR="008E275D" w:rsidRPr="008E275D" w:rsidRDefault="000C018D" w:rsidP="008E275D">
            <w:pPr>
              <w:jc w:val="both"/>
            </w:pPr>
            <w:r>
              <w:t>Nav</w:t>
            </w:r>
          </w:p>
        </w:tc>
      </w:tr>
      <w:tr w:rsidR="008E275D" w:rsidRPr="00CD215B" w:rsidTr="00A84596">
        <w:tc>
          <w:tcPr>
            <w:tcW w:w="2411" w:type="dxa"/>
          </w:tcPr>
          <w:p w:rsidR="008E275D" w:rsidRPr="008E275D" w:rsidRDefault="008E275D" w:rsidP="009747C0">
            <w:pPr>
              <w:jc w:val="both"/>
            </w:pPr>
            <w:r w:rsidRPr="008E275D">
              <w:t>5.pants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Nav jāpārņem, jo nosaka direktīvas adresātus</w:t>
            </w:r>
          </w:p>
        </w:tc>
        <w:tc>
          <w:tcPr>
            <w:tcW w:w="2339" w:type="dxa"/>
          </w:tcPr>
          <w:p w:rsidR="008E275D" w:rsidRPr="008E275D" w:rsidRDefault="000C018D" w:rsidP="00F27BFB">
            <w:pPr>
              <w:jc w:val="both"/>
            </w:pPr>
            <w:r>
              <w:t>Nav</w:t>
            </w:r>
          </w:p>
        </w:tc>
        <w:tc>
          <w:tcPr>
            <w:tcW w:w="2623" w:type="dxa"/>
          </w:tcPr>
          <w:p w:rsidR="008E275D" w:rsidRPr="008E275D" w:rsidRDefault="000C018D" w:rsidP="008E275D">
            <w:pPr>
              <w:jc w:val="both"/>
            </w:pPr>
            <w:r>
              <w:t>Nav</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0C018D" w:rsidRDefault="008E275D" w:rsidP="000C018D">
            <w:pPr>
              <w:pStyle w:val="NoSpacing"/>
              <w:rPr>
                <w:rFonts w:ascii="Times New Roman" w:hAnsi="Times New Roman"/>
                <w:sz w:val="24"/>
                <w:szCs w:val="24"/>
              </w:rPr>
            </w:pPr>
            <w:r w:rsidRPr="008E275D">
              <w:rPr>
                <w:rFonts w:ascii="Times New Roman" w:hAnsi="Times New Roman"/>
                <w:sz w:val="24"/>
                <w:szCs w:val="24"/>
              </w:rPr>
              <w:t>1.klauzula</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3., 4.un 8.pants;</w:t>
            </w:r>
          </w:p>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 xml:space="preserve">Ministru kabineta 2002.gada 21.maija noteikumi Nr.189 „Darba aizsardzības prasības, saskaroties ar </w:t>
            </w:r>
            <w:r w:rsidRPr="0076042F">
              <w:rPr>
                <w:rFonts w:ascii="Times New Roman" w:hAnsi="Times New Roman"/>
                <w:sz w:val="24"/>
                <w:szCs w:val="24"/>
              </w:rPr>
              <w:lastRenderedPageBreak/>
              <w:t>bioloģiskām vielām”</w:t>
            </w:r>
          </w:p>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10.un14.punkts</w:t>
            </w:r>
          </w:p>
        </w:tc>
        <w:tc>
          <w:tcPr>
            <w:tcW w:w="2339" w:type="dxa"/>
          </w:tcPr>
          <w:p w:rsidR="008E275D" w:rsidRPr="008E275D" w:rsidRDefault="00B3715E" w:rsidP="00F27BFB">
            <w:pPr>
              <w:jc w:val="both"/>
            </w:pPr>
            <w:r w:rsidRPr="008E275D">
              <w:lastRenderedPageBreak/>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lastRenderedPageBreak/>
              <w:t xml:space="preserve">Direktīvas pielikuma  </w:t>
            </w:r>
          </w:p>
          <w:p w:rsidR="008E275D" w:rsidRPr="008E275D" w:rsidRDefault="008E275D" w:rsidP="008E275D">
            <w:pPr>
              <w:jc w:val="both"/>
            </w:pPr>
            <w:r w:rsidRPr="008E275D">
              <w:t>2.klauzula</w:t>
            </w:r>
          </w:p>
        </w:tc>
        <w:tc>
          <w:tcPr>
            <w:tcW w:w="2551" w:type="dxa"/>
            <w:gridSpan w:val="2"/>
          </w:tcPr>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1.panta 5.</w:t>
            </w:r>
            <w:r>
              <w:rPr>
                <w:rFonts w:ascii="Times New Roman" w:hAnsi="Times New Roman"/>
                <w:sz w:val="24"/>
                <w:szCs w:val="24"/>
              </w:rPr>
              <w:t xml:space="preserve"> </w:t>
            </w:r>
            <w:r w:rsidRPr="0076042F">
              <w:rPr>
                <w:rFonts w:ascii="Times New Roman" w:hAnsi="Times New Roman"/>
                <w:sz w:val="24"/>
                <w:szCs w:val="24"/>
              </w:rPr>
              <w:t>un 13.punkts; 3.pants</w:t>
            </w:r>
            <w:r>
              <w:rPr>
                <w:rFonts w:ascii="Times New Roman" w:hAnsi="Times New Roman"/>
                <w:sz w:val="24"/>
                <w:szCs w:val="24"/>
              </w:rPr>
              <w:t>; 4.panta otrā daļa</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8E275D" w:rsidRDefault="008E275D" w:rsidP="008E275D">
            <w:pPr>
              <w:jc w:val="both"/>
            </w:pPr>
            <w:r w:rsidRPr="008E275D">
              <w:t>3.klauzulas 1.punkts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Pr>
                <w:rFonts w:ascii="Times New Roman" w:hAnsi="Times New Roman"/>
                <w:sz w:val="24"/>
                <w:szCs w:val="24"/>
              </w:rPr>
              <w:t>Darba aizsardzības likuma 1.panta 13.punkts, 3.pants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8E275D" w:rsidRDefault="008E275D" w:rsidP="008E275D">
            <w:pPr>
              <w:jc w:val="both"/>
            </w:pPr>
            <w:r w:rsidRPr="008E275D">
              <w:t>3.klauzulas 2.punkts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Pr>
                <w:rFonts w:ascii="Times New Roman" w:hAnsi="Times New Roman"/>
                <w:sz w:val="24"/>
                <w:szCs w:val="24"/>
              </w:rPr>
              <w:t>Darba aizsardzības likuma 1.panta 6.un 9.punkts, 3.pants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8E275D" w:rsidRDefault="008E275D" w:rsidP="008E275D">
            <w:pPr>
              <w:jc w:val="both"/>
            </w:pPr>
            <w:r w:rsidRPr="008E275D">
              <w:t>3.klauzulas 3.punkts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1.panta 5.punkts, 3. 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8E275D" w:rsidRDefault="008E275D" w:rsidP="008E275D">
            <w:pPr>
              <w:jc w:val="both"/>
            </w:pPr>
            <w:r w:rsidRPr="008E275D">
              <w:t>3.klauzulas 4.punkts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1.panta 4.punkts, 3.pants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8E275D" w:rsidRDefault="008E275D" w:rsidP="008E275D">
            <w:pPr>
              <w:pStyle w:val="NoSpacing"/>
              <w:rPr>
                <w:rFonts w:ascii="Times New Roman" w:hAnsi="Times New Roman"/>
                <w:sz w:val="24"/>
                <w:szCs w:val="24"/>
              </w:rPr>
            </w:pPr>
            <w:r w:rsidRPr="008E275D">
              <w:rPr>
                <w:rFonts w:ascii="Times New Roman" w:hAnsi="Times New Roman"/>
                <w:sz w:val="24"/>
                <w:szCs w:val="24"/>
              </w:rPr>
              <w:t xml:space="preserve">Direktīvas pielikuma  </w:t>
            </w:r>
          </w:p>
          <w:p w:rsidR="008E275D" w:rsidRPr="008E275D" w:rsidRDefault="008E275D" w:rsidP="008E275D">
            <w:pPr>
              <w:jc w:val="both"/>
            </w:pPr>
            <w:r w:rsidRPr="008E275D">
              <w:t>3.klauzulas 5.punkts</w:t>
            </w:r>
          </w:p>
        </w:tc>
        <w:tc>
          <w:tcPr>
            <w:tcW w:w="2551" w:type="dxa"/>
            <w:gridSpan w:val="2"/>
          </w:tcPr>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3., 4., 5. un 8.pants, 10.panta pirmā daļa un 16.pants; 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bioloģiskajām vielām” 10., 11, 12., 13., 14., 15., 16. un 18.punkts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3.klauzulas 6.punkts</w:t>
            </w:r>
          </w:p>
        </w:tc>
        <w:tc>
          <w:tcPr>
            <w:tcW w:w="2551" w:type="dxa"/>
            <w:gridSpan w:val="2"/>
          </w:tcPr>
          <w:p w:rsidR="008E275D" w:rsidRPr="008E275D" w:rsidRDefault="000C018D" w:rsidP="000C018D">
            <w:pPr>
              <w:pStyle w:val="NoSpacing"/>
              <w:jc w:val="both"/>
              <w:rPr>
                <w:rFonts w:ascii="Times New Roman" w:hAnsi="Times New Roman"/>
                <w:sz w:val="24"/>
                <w:szCs w:val="24"/>
              </w:rPr>
            </w:pPr>
            <w:r>
              <w:rPr>
                <w:rFonts w:ascii="Times New Roman" w:hAnsi="Times New Roman"/>
                <w:sz w:val="24"/>
                <w:szCs w:val="24"/>
              </w:rPr>
              <w:t>Darba aizsardzības likuma 1.panta 16.punkts, 3., 4. un 8.pants, Ministru kabineta 2012.gada 22.maija noteikumu Nr.353 „Ārstniecības iestādēs radušos atkritumu apsaimniekošanas prasības” 14., 15., 16., 20., 32. un 33.punkts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3.klauzulas 7.punkts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1.panta 14. un 18.punkts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3.klauzulas 8.punkts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1.panta  18.punkts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3.klauzulas 9.punkts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 xml:space="preserve">Darba aizsardzības likuma 1.panta </w:t>
            </w:r>
            <w:r>
              <w:rPr>
                <w:rFonts w:ascii="Times New Roman" w:hAnsi="Times New Roman"/>
                <w:sz w:val="24"/>
                <w:szCs w:val="24"/>
              </w:rPr>
              <w:t>13</w:t>
            </w:r>
            <w:r w:rsidRPr="0076042F">
              <w:rPr>
                <w:rFonts w:ascii="Times New Roman" w:hAnsi="Times New Roman"/>
                <w:sz w:val="24"/>
                <w:szCs w:val="24"/>
              </w:rPr>
              <w:t xml:space="preserve">. </w:t>
            </w:r>
            <w:r w:rsidRPr="0076042F">
              <w:rPr>
                <w:rFonts w:ascii="Times New Roman" w:hAnsi="Times New Roman"/>
                <w:sz w:val="24"/>
                <w:szCs w:val="24"/>
              </w:rPr>
              <w:lastRenderedPageBreak/>
              <w:t>punkts</w:t>
            </w:r>
          </w:p>
        </w:tc>
        <w:tc>
          <w:tcPr>
            <w:tcW w:w="2339" w:type="dxa"/>
          </w:tcPr>
          <w:p w:rsidR="008E275D" w:rsidRPr="008E275D" w:rsidRDefault="00B3715E" w:rsidP="00F27BFB">
            <w:pPr>
              <w:jc w:val="both"/>
            </w:pPr>
            <w:r w:rsidRPr="008E275D">
              <w:lastRenderedPageBreak/>
              <w:t>Prasības ir pārņemtas pilnībā</w:t>
            </w:r>
          </w:p>
        </w:tc>
        <w:tc>
          <w:tcPr>
            <w:tcW w:w="2623" w:type="dxa"/>
          </w:tcPr>
          <w:p w:rsidR="008E275D" w:rsidRPr="008E275D" w:rsidRDefault="00B3715E" w:rsidP="008E275D">
            <w:pPr>
              <w:jc w:val="both"/>
            </w:pPr>
            <w:r w:rsidRPr="008E275D">
              <w:t xml:space="preserve">Attiecīgais regulējums stingrākas prasības </w:t>
            </w:r>
            <w:r w:rsidRPr="008E275D">
              <w:lastRenderedPageBreak/>
              <w:t>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lastRenderedPageBreak/>
              <w:t xml:space="preserve">Direktīvas pielikuma  </w:t>
            </w:r>
          </w:p>
          <w:p w:rsidR="008E275D" w:rsidRPr="008E275D" w:rsidRDefault="008E275D" w:rsidP="008E275D">
            <w:pPr>
              <w:jc w:val="both"/>
            </w:pPr>
            <w:r w:rsidRPr="0076042F">
              <w:t>4.klauzulas 1.punkts</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3. un 4.pants, Ministru kabineta 2010.gada 10.augusta noteikum</w:t>
            </w:r>
            <w:r>
              <w:rPr>
                <w:rFonts w:ascii="Times New Roman" w:hAnsi="Times New Roman"/>
                <w:sz w:val="24"/>
                <w:szCs w:val="24"/>
              </w:rPr>
              <w:t>u</w:t>
            </w:r>
            <w:r w:rsidRPr="0076042F">
              <w:rPr>
                <w:rFonts w:ascii="Times New Roman" w:hAnsi="Times New Roman"/>
                <w:sz w:val="24"/>
                <w:szCs w:val="24"/>
              </w:rPr>
              <w:t xml:space="preserve"> Nr.749 „Apmācības kārtība darba aizsardzības jautājumos” 8.punkts,</w:t>
            </w:r>
          </w:p>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Ministru kabineta 2012.gada 22.maija noteikum</w:t>
            </w:r>
            <w:r>
              <w:rPr>
                <w:rFonts w:ascii="Times New Roman" w:hAnsi="Times New Roman"/>
                <w:sz w:val="24"/>
                <w:szCs w:val="24"/>
              </w:rPr>
              <w:t>u</w:t>
            </w:r>
            <w:r w:rsidRPr="0076042F">
              <w:rPr>
                <w:rFonts w:ascii="Times New Roman" w:hAnsi="Times New Roman"/>
                <w:sz w:val="24"/>
                <w:szCs w:val="24"/>
              </w:rPr>
              <w:t xml:space="preserve"> Nr.353 „Ārstniecības iestādēs radušos atkritumu apsaimniekošanas prasības” 14.,15. un 20.punkts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4.klauzulas 2.punkts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10., 20. un 21.pants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4.klauzulas 3.punkts</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4. un 8.pants</w:t>
            </w:r>
          </w:p>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Ministru kabineta 2007.gada 2.oktobra noteikum</w:t>
            </w:r>
            <w:r>
              <w:rPr>
                <w:rFonts w:ascii="Times New Roman" w:hAnsi="Times New Roman"/>
                <w:sz w:val="24"/>
                <w:szCs w:val="24"/>
              </w:rPr>
              <w:t>u</w:t>
            </w:r>
            <w:r w:rsidRPr="0076042F">
              <w:rPr>
                <w:rFonts w:ascii="Times New Roman" w:hAnsi="Times New Roman"/>
                <w:sz w:val="24"/>
                <w:szCs w:val="24"/>
              </w:rPr>
              <w:t xml:space="preserve"> Nr.660 „Darba vides iekšējās uzraudzības veikšanas kārtība” 1.pielikums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4.klauzulas 4.punkts</w:t>
            </w:r>
          </w:p>
        </w:tc>
        <w:tc>
          <w:tcPr>
            <w:tcW w:w="2551" w:type="dxa"/>
            <w:gridSpan w:val="2"/>
          </w:tcPr>
          <w:p w:rsidR="008E275D" w:rsidRPr="008E275D" w:rsidRDefault="000C018D" w:rsidP="000C018D">
            <w:pPr>
              <w:pStyle w:val="NoSpacing"/>
              <w:jc w:val="both"/>
              <w:rPr>
                <w:rFonts w:ascii="Times New Roman" w:hAnsi="Times New Roman"/>
                <w:sz w:val="24"/>
                <w:szCs w:val="24"/>
              </w:rPr>
            </w:pPr>
            <w:r w:rsidRPr="0076042F">
              <w:rPr>
                <w:rFonts w:ascii="Times New Roman" w:hAnsi="Times New Roman"/>
                <w:sz w:val="24"/>
                <w:szCs w:val="24"/>
              </w:rPr>
              <w:t>Darba aizsardzības likuma 17.pants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4.klauzulas 5.punkts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4.pants pirmās daļas 10.punkts, 5.panta pirmās daļas 3.punkts, 10.pants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8E275D" w:rsidRDefault="008E275D" w:rsidP="008E275D">
            <w:pPr>
              <w:jc w:val="both"/>
            </w:pPr>
            <w:r w:rsidRPr="0076042F">
              <w:t>4.klauzulas 6.punkts</w:t>
            </w:r>
          </w:p>
        </w:tc>
        <w:tc>
          <w:tcPr>
            <w:tcW w:w="2551" w:type="dxa"/>
            <w:gridSpan w:val="2"/>
          </w:tcPr>
          <w:p w:rsidR="008E275D" w:rsidRPr="008E275D" w:rsidRDefault="000C018D"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3., 4., 5. un 8.pants, 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bioloģiskajām vielām” 10., 11., 12., 13., 14., 15., 16. un 18.punkts</w:t>
            </w:r>
          </w:p>
        </w:tc>
        <w:tc>
          <w:tcPr>
            <w:tcW w:w="2339" w:type="dxa"/>
          </w:tcPr>
          <w:p w:rsidR="008E275D" w:rsidRPr="008E275D" w:rsidRDefault="00B3715E" w:rsidP="00F27BFB">
            <w:pPr>
              <w:jc w:val="both"/>
            </w:pPr>
            <w:r w:rsidRPr="008E275D">
              <w:t>Prasības ir pārņemtas pilnībā</w:t>
            </w:r>
          </w:p>
        </w:tc>
        <w:tc>
          <w:tcPr>
            <w:tcW w:w="2623" w:type="dxa"/>
          </w:tcPr>
          <w:p w:rsidR="008E275D" w:rsidRPr="008E275D" w:rsidRDefault="00B3715E" w:rsidP="008E275D">
            <w:pPr>
              <w:jc w:val="both"/>
            </w:pPr>
            <w:r w:rsidRPr="008E275D">
              <w:t>Attiecīgais regulējums stingrākas prasības neparedz</w:t>
            </w:r>
          </w:p>
        </w:tc>
      </w:tr>
      <w:tr w:rsidR="008E275D" w:rsidRPr="00CD215B" w:rsidTr="00A84596">
        <w:tc>
          <w:tcPr>
            <w:tcW w:w="2411" w:type="dxa"/>
          </w:tcPr>
          <w:p w:rsidR="008E275D" w:rsidRPr="0076042F" w:rsidRDefault="008E275D" w:rsidP="008E275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8E275D" w:rsidRPr="00CD215B" w:rsidRDefault="008E275D" w:rsidP="008E275D">
            <w:pPr>
              <w:jc w:val="both"/>
              <w:rPr>
                <w:sz w:val="28"/>
                <w:szCs w:val="28"/>
              </w:rPr>
            </w:pPr>
            <w:r w:rsidRPr="0076042F">
              <w:t>4.klauzulas 7.punkts</w:t>
            </w:r>
          </w:p>
        </w:tc>
        <w:tc>
          <w:tcPr>
            <w:tcW w:w="2551" w:type="dxa"/>
            <w:gridSpan w:val="2"/>
          </w:tcPr>
          <w:p w:rsidR="008E275D"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10. un 21.pants</w:t>
            </w:r>
          </w:p>
        </w:tc>
        <w:tc>
          <w:tcPr>
            <w:tcW w:w="2339" w:type="dxa"/>
          </w:tcPr>
          <w:p w:rsidR="008E275D" w:rsidRDefault="00B3715E" w:rsidP="00F27BFB">
            <w:pPr>
              <w:jc w:val="both"/>
              <w:rPr>
                <w:sz w:val="28"/>
                <w:szCs w:val="28"/>
              </w:rPr>
            </w:pPr>
            <w:r w:rsidRPr="008E275D">
              <w:t>Prasības ir pārņemtas pilnībā</w:t>
            </w:r>
          </w:p>
        </w:tc>
        <w:tc>
          <w:tcPr>
            <w:tcW w:w="2623" w:type="dxa"/>
          </w:tcPr>
          <w:p w:rsidR="008E275D" w:rsidRPr="00CD215B" w:rsidRDefault="00B3715E" w:rsidP="008E275D">
            <w:pPr>
              <w:jc w:val="both"/>
              <w:rPr>
                <w:sz w:val="28"/>
                <w:szCs w:val="28"/>
              </w:rPr>
            </w:pPr>
            <w:r w:rsidRPr="008E275D">
              <w:t>Attiecīgais regulējums stingrākas prasības neparedz</w:t>
            </w:r>
          </w:p>
        </w:tc>
      </w:tr>
      <w:tr w:rsidR="002F7420"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lastRenderedPageBreak/>
              <w:t xml:space="preserve">Direktīvas pielikuma  </w:t>
            </w:r>
          </w:p>
          <w:p w:rsidR="002F7420"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4.klauzulas 8.punkts</w:t>
            </w:r>
          </w:p>
        </w:tc>
        <w:tc>
          <w:tcPr>
            <w:tcW w:w="2551" w:type="dxa"/>
            <w:gridSpan w:val="2"/>
          </w:tcPr>
          <w:p w:rsidR="002F7420"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10. un 21.pants</w:t>
            </w:r>
          </w:p>
        </w:tc>
        <w:tc>
          <w:tcPr>
            <w:tcW w:w="2339" w:type="dxa"/>
          </w:tcPr>
          <w:p w:rsidR="002F7420" w:rsidRDefault="00B3715E" w:rsidP="00F27BFB">
            <w:pPr>
              <w:jc w:val="both"/>
              <w:rPr>
                <w:sz w:val="28"/>
                <w:szCs w:val="28"/>
              </w:rPr>
            </w:pPr>
            <w:r w:rsidRPr="008E275D">
              <w:t>Prasības ir pārņemtas pilnībā</w:t>
            </w:r>
          </w:p>
        </w:tc>
        <w:tc>
          <w:tcPr>
            <w:tcW w:w="2623" w:type="dxa"/>
          </w:tcPr>
          <w:p w:rsidR="002F7420" w:rsidRPr="00CD215B" w:rsidRDefault="00B3715E" w:rsidP="008E275D">
            <w:pPr>
              <w:jc w:val="both"/>
              <w:rPr>
                <w:sz w:val="28"/>
                <w:szCs w:val="28"/>
              </w:rPr>
            </w:pPr>
            <w:r w:rsidRPr="008E275D">
              <w:t>Attiecīgais regulējums stingrākas prasības neparedz</w:t>
            </w:r>
          </w:p>
        </w:tc>
      </w:tr>
      <w:tr w:rsidR="002F7420"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2F7420"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4.klauzulas 9.punkts</w:t>
            </w:r>
          </w:p>
        </w:tc>
        <w:tc>
          <w:tcPr>
            <w:tcW w:w="2551" w:type="dxa"/>
            <w:gridSpan w:val="2"/>
          </w:tcPr>
          <w:p w:rsidR="002F7420"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 xml:space="preserve">Darba aizsardzības likuma </w:t>
            </w:r>
            <w:r>
              <w:rPr>
                <w:rFonts w:ascii="Times New Roman" w:hAnsi="Times New Roman"/>
                <w:sz w:val="24"/>
                <w:szCs w:val="24"/>
              </w:rPr>
              <w:t xml:space="preserve">5., </w:t>
            </w:r>
            <w:r w:rsidRPr="0076042F">
              <w:rPr>
                <w:rFonts w:ascii="Times New Roman" w:hAnsi="Times New Roman"/>
                <w:sz w:val="24"/>
                <w:szCs w:val="24"/>
              </w:rPr>
              <w:t>10.</w:t>
            </w:r>
            <w:r>
              <w:rPr>
                <w:rFonts w:ascii="Times New Roman" w:hAnsi="Times New Roman"/>
                <w:sz w:val="24"/>
                <w:szCs w:val="24"/>
              </w:rPr>
              <w:t xml:space="preserve"> un 17.</w:t>
            </w:r>
            <w:r w:rsidRPr="0076042F">
              <w:rPr>
                <w:rFonts w:ascii="Times New Roman" w:hAnsi="Times New Roman"/>
                <w:sz w:val="24"/>
                <w:szCs w:val="24"/>
              </w:rPr>
              <w:t>pants</w:t>
            </w:r>
          </w:p>
        </w:tc>
        <w:tc>
          <w:tcPr>
            <w:tcW w:w="2339" w:type="dxa"/>
          </w:tcPr>
          <w:p w:rsidR="002F7420" w:rsidRDefault="00B3715E" w:rsidP="00F27BFB">
            <w:pPr>
              <w:jc w:val="both"/>
              <w:rPr>
                <w:sz w:val="28"/>
                <w:szCs w:val="28"/>
              </w:rPr>
            </w:pPr>
            <w:r w:rsidRPr="008E275D">
              <w:t>Prasības ir pārņemtas pilnībā</w:t>
            </w:r>
          </w:p>
        </w:tc>
        <w:tc>
          <w:tcPr>
            <w:tcW w:w="2623" w:type="dxa"/>
          </w:tcPr>
          <w:p w:rsidR="002F7420" w:rsidRPr="00CD215B" w:rsidRDefault="00B3715E" w:rsidP="008E275D">
            <w:pPr>
              <w:jc w:val="both"/>
              <w:rPr>
                <w:sz w:val="28"/>
                <w:szCs w:val="28"/>
              </w:rPr>
            </w:pPr>
            <w:r w:rsidRPr="008E275D">
              <w:t>Attiecīgais regulējums stingrākas prasības neparedz</w:t>
            </w:r>
          </w:p>
        </w:tc>
      </w:tr>
      <w:tr w:rsidR="002F7420"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2F7420"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4.klauzulas 10.punkts</w:t>
            </w:r>
          </w:p>
        </w:tc>
        <w:tc>
          <w:tcPr>
            <w:tcW w:w="2551" w:type="dxa"/>
            <w:gridSpan w:val="2"/>
          </w:tcPr>
          <w:p w:rsidR="002F7420"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4., 5., 7. un 8.pants</w:t>
            </w:r>
          </w:p>
        </w:tc>
        <w:tc>
          <w:tcPr>
            <w:tcW w:w="2339" w:type="dxa"/>
          </w:tcPr>
          <w:p w:rsidR="002F7420" w:rsidRDefault="00B3715E" w:rsidP="00F27BFB">
            <w:pPr>
              <w:jc w:val="both"/>
              <w:rPr>
                <w:sz w:val="28"/>
                <w:szCs w:val="28"/>
              </w:rPr>
            </w:pPr>
            <w:r w:rsidRPr="008E275D">
              <w:t>Prasības ir pārņemtas pilnībā</w:t>
            </w:r>
          </w:p>
        </w:tc>
        <w:tc>
          <w:tcPr>
            <w:tcW w:w="2623" w:type="dxa"/>
          </w:tcPr>
          <w:p w:rsidR="002F7420" w:rsidRPr="00CD215B" w:rsidRDefault="00B3715E" w:rsidP="008E275D">
            <w:pPr>
              <w:jc w:val="both"/>
              <w:rPr>
                <w:sz w:val="28"/>
                <w:szCs w:val="28"/>
              </w:rPr>
            </w:pPr>
            <w:r w:rsidRPr="008E275D">
              <w:t>Attiecīgais regulējums stingrākas prasības neparedz</w:t>
            </w:r>
          </w:p>
        </w:tc>
      </w:tr>
      <w:tr w:rsidR="002F7420"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2F7420"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4.klauzulas 11.punkts</w:t>
            </w:r>
          </w:p>
        </w:tc>
        <w:tc>
          <w:tcPr>
            <w:tcW w:w="2551" w:type="dxa"/>
            <w:gridSpan w:val="2"/>
          </w:tcPr>
          <w:p w:rsidR="002F7420"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13.panta pirmā daļa, Ministru kabineta 2009.gada 25.augusta noteikumu Nr.950 „Nelaimes gadījumu darbā izmeklēšanas un uzskaites kārtība” 2., 12. un 20.punkts</w:t>
            </w:r>
          </w:p>
        </w:tc>
        <w:tc>
          <w:tcPr>
            <w:tcW w:w="2339" w:type="dxa"/>
          </w:tcPr>
          <w:p w:rsidR="002F7420" w:rsidRDefault="00B3715E" w:rsidP="00F27BFB">
            <w:pPr>
              <w:jc w:val="both"/>
              <w:rPr>
                <w:sz w:val="28"/>
                <w:szCs w:val="28"/>
              </w:rPr>
            </w:pPr>
            <w:r w:rsidRPr="008E275D">
              <w:t>Prasības ir pārņemtas pilnībā</w:t>
            </w:r>
          </w:p>
        </w:tc>
        <w:tc>
          <w:tcPr>
            <w:tcW w:w="2623" w:type="dxa"/>
          </w:tcPr>
          <w:p w:rsidR="002F7420" w:rsidRPr="00CD215B" w:rsidRDefault="00B3715E" w:rsidP="008E275D">
            <w:pPr>
              <w:jc w:val="both"/>
              <w:rPr>
                <w:sz w:val="28"/>
                <w:szCs w:val="28"/>
              </w:rPr>
            </w:pPr>
            <w:r w:rsidRPr="008E275D">
              <w:t>Attiecīgais regulējums stingrākas prasības neparedz</w:t>
            </w:r>
          </w:p>
        </w:tc>
      </w:tr>
      <w:tr w:rsidR="002F7420"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2F7420"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5.klauzulas 1.punkts</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bioloģiskajām vielām” 10., 11., 12., 13., 14., 15. un 18.punkts;</w:t>
            </w:r>
          </w:p>
          <w:p w:rsidR="002F7420" w:rsidRPr="008E275D" w:rsidRDefault="000C018D" w:rsidP="000C018D">
            <w:pPr>
              <w:pStyle w:val="NoSpacing"/>
              <w:jc w:val="both"/>
              <w:rPr>
                <w:rFonts w:ascii="Times New Roman" w:hAnsi="Times New Roman"/>
                <w:sz w:val="28"/>
                <w:szCs w:val="28"/>
              </w:rPr>
            </w:pPr>
            <w:r w:rsidRPr="0076042F">
              <w:rPr>
                <w:rFonts w:ascii="Times New Roman" w:hAnsi="Times New Roman"/>
                <w:sz w:val="24"/>
                <w:szCs w:val="24"/>
              </w:rPr>
              <w:t xml:space="preserve">Darba aizsardzības likuma 4.pants, 5.panta pirmā un </w:t>
            </w:r>
            <w:r>
              <w:rPr>
                <w:rFonts w:ascii="Times New Roman" w:hAnsi="Times New Roman"/>
                <w:sz w:val="24"/>
                <w:szCs w:val="24"/>
              </w:rPr>
              <w:t xml:space="preserve">otrā daļa, 8.pants, 10.pants un </w:t>
            </w:r>
            <w:r w:rsidRPr="0076042F">
              <w:rPr>
                <w:rFonts w:ascii="Times New Roman" w:hAnsi="Times New Roman"/>
                <w:sz w:val="24"/>
                <w:szCs w:val="24"/>
              </w:rPr>
              <w:t>16.pants</w:t>
            </w:r>
          </w:p>
        </w:tc>
        <w:tc>
          <w:tcPr>
            <w:tcW w:w="2339" w:type="dxa"/>
          </w:tcPr>
          <w:p w:rsidR="002F7420" w:rsidRDefault="00B3715E" w:rsidP="00F27BFB">
            <w:pPr>
              <w:jc w:val="both"/>
              <w:rPr>
                <w:sz w:val="28"/>
                <w:szCs w:val="28"/>
              </w:rPr>
            </w:pPr>
            <w:r w:rsidRPr="008E275D">
              <w:t>Prasības ir pārņemtas pilnībā</w:t>
            </w:r>
          </w:p>
        </w:tc>
        <w:tc>
          <w:tcPr>
            <w:tcW w:w="2623" w:type="dxa"/>
          </w:tcPr>
          <w:p w:rsidR="002F7420"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5.klauzulas 2.punkts</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bioloģiskām vielām” 10., 14. un 18.punkts;</w:t>
            </w:r>
          </w:p>
          <w:p w:rsidR="000C018D" w:rsidRPr="008E275D" w:rsidRDefault="000C018D" w:rsidP="000C018D">
            <w:pPr>
              <w:pStyle w:val="NoSpacing"/>
              <w:jc w:val="both"/>
              <w:rPr>
                <w:rFonts w:ascii="Times New Roman" w:hAnsi="Times New Roman"/>
                <w:sz w:val="28"/>
                <w:szCs w:val="28"/>
              </w:rPr>
            </w:pPr>
            <w:r w:rsidRPr="0076042F">
              <w:rPr>
                <w:rFonts w:ascii="Times New Roman" w:hAnsi="Times New Roman"/>
                <w:sz w:val="24"/>
                <w:szCs w:val="24"/>
              </w:rPr>
              <w:t>Darba aizsardzības likuma 8.pants</w:t>
            </w:r>
          </w:p>
        </w:tc>
        <w:tc>
          <w:tcPr>
            <w:tcW w:w="2339" w:type="dxa"/>
          </w:tcPr>
          <w:p w:rsidR="000C018D" w:rsidRDefault="00B3715E" w:rsidP="00F27BFB">
            <w:pPr>
              <w:jc w:val="both"/>
              <w:rPr>
                <w:sz w:val="28"/>
                <w:szCs w:val="28"/>
              </w:rPr>
            </w:pPr>
            <w:r w:rsidRPr="008E275D">
              <w:t>Prasības ir pārņemtas pilnībā</w:t>
            </w:r>
          </w:p>
        </w:tc>
        <w:tc>
          <w:tcPr>
            <w:tcW w:w="2623" w:type="dxa"/>
          </w:tcPr>
          <w:p w:rsidR="000C018D"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5.klauzulas 3.punkts</w:t>
            </w:r>
          </w:p>
        </w:tc>
        <w:tc>
          <w:tcPr>
            <w:tcW w:w="2551" w:type="dxa"/>
            <w:gridSpan w:val="2"/>
          </w:tcPr>
          <w:p w:rsidR="000C018D"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8.panta trešā daļa</w:t>
            </w:r>
          </w:p>
        </w:tc>
        <w:tc>
          <w:tcPr>
            <w:tcW w:w="2339" w:type="dxa"/>
          </w:tcPr>
          <w:p w:rsidR="000C018D" w:rsidRDefault="00B3715E" w:rsidP="00F27BFB">
            <w:pPr>
              <w:jc w:val="both"/>
              <w:rPr>
                <w:sz w:val="28"/>
                <w:szCs w:val="28"/>
              </w:rPr>
            </w:pPr>
            <w:r w:rsidRPr="008E275D">
              <w:t>Prasības ir pārņemtas pilnībā</w:t>
            </w:r>
          </w:p>
        </w:tc>
        <w:tc>
          <w:tcPr>
            <w:tcW w:w="2623" w:type="dxa"/>
          </w:tcPr>
          <w:p w:rsidR="000C018D"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6.klauzulas 1.punkts</w:t>
            </w:r>
          </w:p>
        </w:tc>
        <w:tc>
          <w:tcPr>
            <w:tcW w:w="2551" w:type="dxa"/>
            <w:gridSpan w:val="2"/>
          </w:tcPr>
          <w:p w:rsidR="000C018D"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Ministru kabineta 2012.gada 22.maija noteikum</w:t>
            </w:r>
            <w:r>
              <w:rPr>
                <w:rFonts w:ascii="Times New Roman" w:hAnsi="Times New Roman"/>
                <w:sz w:val="24"/>
                <w:szCs w:val="24"/>
              </w:rPr>
              <w:t>u</w:t>
            </w:r>
            <w:r w:rsidRPr="0076042F">
              <w:rPr>
                <w:rFonts w:ascii="Times New Roman" w:hAnsi="Times New Roman"/>
                <w:sz w:val="24"/>
                <w:szCs w:val="24"/>
              </w:rPr>
              <w:t xml:space="preserve"> Nr.353 „Ārstniecības iestādēs radušos atkritumu apsaimniekošanas prasības” 14., 15., 16., </w:t>
            </w:r>
            <w:r w:rsidRPr="0076042F">
              <w:rPr>
                <w:rFonts w:ascii="Times New Roman" w:hAnsi="Times New Roman"/>
                <w:sz w:val="24"/>
                <w:szCs w:val="24"/>
              </w:rPr>
              <w:lastRenderedPageBreak/>
              <w:t>20., 32. un 33.punkts; Darba aizsardzības likuma 4.panta pirmās daļas 4. un 5.punkts, 8.panta trešās daļas 2.punkts</w:t>
            </w:r>
          </w:p>
        </w:tc>
        <w:tc>
          <w:tcPr>
            <w:tcW w:w="2339" w:type="dxa"/>
          </w:tcPr>
          <w:p w:rsidR="000C018D" w:rsidRDefault="00B3715E" w:rsidP="00F27BFB">
            <w:pPr>
              <w:jc w:val="both"/>
              <w:rPr>
                <w:sz w:val="28"/>
                <w:szCs w:val="28"/>
              </w:rPr>
            </w:pPr>
            <w:r w:rsidRPr="008E275D">
              <w:lastRenderedPageBreak/>
              <w:t>Prasības ir pārņemtas pilnībā</w:t>
            </w:r>
          </w:p>
        </w:tc>
        <w:tc>
          <w:tcPr>
            <w:tcW w:w="2623" w:type="dxa"/>
          </w:tcPr>
          <w:p w:rsidR="000C018D"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lastRenderedPageBreak/>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6.klauzulas 2.punkts</w:t>
            </w:r>
          </w:p>
        </w:tc>
        <w:tc>
          <w:tcPr>
            <w:tcW w:w="2551" w:type="dxa"/>
            <w:gridSpan w:val="2"/>
          </w:tcPr>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Ministru kabineta 2012.gada 22.maija noteikum</w:t>
            </w:r>
            <w:r>
              <w:rPr>
                <w:rFonts w:ascii="Times New Roman" w:hAnsi="Times New Roman"/>
                <w:sz w:val="24"/>
                <w:szCs w:val="24"/>
              </w:rPr>
              <w:t>u</w:t>
            </w:r>
            <w:r w:rsidRPr="0076042F">
              <w:rPr>
                <w:rFonts w:ascii="Times New Roman" w:hAnsi="Times New Roman"/>
                <w:sz w:val="24"/>
                <w:szCs w:val="24"/>
              </w:rPr>
              <w:t xml:space="preserve"> Nr.353 „Ārstniecības iestādēs radušos atkritumu apsaimniekošanas prasības” 16. un 20.punkts; </w:t>
            </w:r>
          </w:p>
          <w:p w:rsidR="000C018D" w:rsidRPr="0076042F" w:rsidRDefault="000C018D" w:rsidP="000C018D">
            <w:pPr>
              <w:pStyle w:val="NoSpacing"/>
              <w:jc w:val="both"/>
              <w:rPr>
                <w:rFonts w:ascii="Times New Roman" w:hAnsi="Times New Roman"/>
                <w:sz w:val="24"/>
                <w:szCs w:val="24"/>
              </w:rPr>
            </w:pPr>
            <w:r w:rsidRPr="0076042F">
              <w:rPr>
                <w:rFonts w:ascii="Times New Roman" w:hAnsi="Times New Roman"/>
                <w:sz w:val="24"/>
                <w:szCs w:val="24"/>
              </w:rPr>
              <w:t xml:space="preserve">Darba aizsardzības likuma 4.panta </w:t>
            </w:r>
            <w:r>
              <w:rPr>
                <w:rFonts w:ascii="Times New Roman" w:hAnsi="Times New Roman"/>
                <w:sz w:val="24"/>
                <w:szCs w:val="24"/>
              </w:rPr>
              <w:t xml:space="preserve">pirmās daļas </w:t>
            </w:r>
            <w:r w:rsidRPr="0076042F">
              <w:rPr>
                <w:rFonts w:ascii="Times New Roman" w:hAnsi="Times New Roman"/>
                <w:sz w:val="24"/>
                <w:szCs w:val="24"/>
              </w:rPr>
              <w:t>3., 7. un 9.punkts,</w:t>
            </w:r>
          </w:p>
          <w:p w:rsidR="000C018D" w:rsidRPr="008E275D" w:rsidRDefault="000C018D" w:rsidP="000C018D">
            <w:pPr>
              <w:pStyle w:val="NoSpacing"/>
              <w:jc w:val="both"/>
              <w:rPr>
                <w:rFonts w:ascii="Times New Roman" w:hAnsi="Times New Roman"/>
                <w:sz w:val="28"/>
                <w:szCs w:val="28"/>
              </w:rPr>
            </w:pPr>
            <w:r w:rsidRPr="0076042F">
              <w:rPr>
                <w:rFonts w:ascii="Times New Roman" w:hAnsi="Times New Roman"/>
                <w:sz w:val="24"/>
                <w:szCs w:val="24"/>
              </w:rPr>
              <w:t>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bioloģiskām vielām” 18.3.apakšpunkts, </w:t>
            </w:r>
            <w:proofErr w:type="spellStart"/>
            <w:r w:rsidRPr="0076042F">
              <w:rPr>
                <w:rFonts w:ascii="Times New Roman" w:hAnsi="Times New Roman"/>
                <w:sz w:val="24"/>
                <w:szCs w:val="24"/>
              </w:rPr>
              <w:t>III.nodaļa</w:t>
            </w:r>
            <w:proofErr w:type="spellEnd"/>
          </w:p>
        </w:tc>
        <w:tc>
          <w:tcPr>
            <w:tcW w:w="2339" w:type="dxa"/>
          </w:tcPr>
          <w:p w:rsidR="000C018D" w:rsidRDefault="00B3715E" w:rsidP="00F27BFB">
            <w:pPr>
              <w:jc w:val="both"/>
              <w:rPr>
                <w:sz w:val="28"/>
                <w:szCs w:val="28"/>
              </w:rPr>
            </w:pPr>
            <w:r w:rsidRPr="008E275D">
              <w:t>Prasības ir pārņemtas pilnībā</w:t>
            </w:r>
          </w:p>
        </w:tc>
        <w:tc>
          <w:tcPr>
            <w:tcW w:w="2623" w:type="dxa"/>
          </w:tcPr>
          <w:p w:rsidR="000C018D"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6.klauzulas 3.punkts</w:t>
            </w:r>
          </w:p>
        </w:tc>
        <w:tc>
          <w:tcPr>
            <w:tcW w:w="2551" w:type="dxa"/>
            <w:gridSpan w:val="2"/>
          </w:tcPr>
          <w:p w:rsidR="000C018D" w:rsidRPr="000C018D" w:rsidRDefault="000C018D" w:rsidP="009747C0">
            <w:pPr>
              <w:pStyle w:val="NoSpacing"/>
              <w:jc w:val="both"/>
              <w:rPr>
                <w:rFonts w:ascii="Times New Roman" w:hAnsi="Times New Roman"/>
                <w:sz w:val="28"/>
                <w:szCs w:val="28"/>
              </w:rPr>
            </w:pPr>
            <w:r w:rsidRPr="000C018D">
              <w:rPr>
                <w:rFonts w:ascii="Times New Roman" w:hAnsi="Times New Roman"/>
              </w:rPr>
              <w:t>Ministru kabineta 2002.gada 21.maija noteikumu Nr.189 „Darba aizsardzības prasības, saskaroties ar bioloģiskām vielām” 48.punkts;  Ministru kabineta 2000.gada 26.septembra noteikumu Nr.330 “Vakcinācijas noteikumi” 30.punkts, 31.3.apakšpunkts, 33.punkts</w:t>
            </w:r>
          </w:p>
        </w:tc>
        <w:tc>
          <w:tcPr>
            <w:tcW w:w="2339" w:type="dxa"/>
          </w:tcPr>
          <w:p w:rsidR="000C018D" w:rsidRDefault="00B3715E" w:rsidP="00F27BFB">
            <w:pPr>
              <w:jc w:val="both"/>
              <w:rPr>
                <w:sz w:val="28"/>
                <w:szCs w:val="28"/>
              </w:rPr>
            </w:pPr>
            <w:r w:rsidRPr="008E275D">
              <w:t>Prasības ir pārņemtas pilnībā</w:t>
            </w:r>
          </w:p>
        </w:tc>
        <w:tc>
          <w:tcPr>
            <w:tcW w:w="2623" w:type="dxa"/>
          </w:tcPr>
          <w:p w:rsidR="000C018D" w:rsidRPr="00CD215B" w:rsidRDefault="00B3715E" w:rsidP="008E275D">
            <w:pPr>
              <w:jc w:val="both"/>
              <w:rPr>
                <w:sz w:val="28"/>
                <w:szCs w:val="28"/>
              </w:rPr>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6.klauzulas 4.punkts</w:t>
            </w:r>
          </w:p>
        </w:tc>
        <w:tc>
          <w:tcPr>
            <w:tcW w:w="2551" w:type="dxa"/>
            <w:gridSpan w:val="2"/>
          </w:tcPr>
          <w:p w:rsidR="000C018D" w:rsidRPr="008E275D" w:rsidRDefault="000C018D" w:rsidP="009747C0">
            <w:pPr>
              <w:pStyle w:val="NoSpacing"/>
              <w:jc w:val="both"/>
              <w:rPr>
                <w:rFonts w:ascii="Times New Roman" w:hAnsi="Times New Roman"/>
                <w:sz w:val="28"/>
                <w:szCs w:val="28"/>
              </w:rPr>
            </w:pPr>
            <w:r w:rsidRPr="0076042F">
              <w:rPr>
                <w:rFonts w:ascii="Times New Roman" w:hAnsi="Times New Roman"/>
                <w:sz w:val="24"/>
                <w:szCs w:val="24"/>
              </w:rPr>
              <w:t>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bioloģiskām vielām” 48.punkts;  Ministru kabineta 2000.gada 26.septembra noteikumu Nr.330 “Vakcinācijas noteikumi” 30., 33.punkts</w:t>
            </w:r>
          </w:p>
        </w:tc>
        <w:tc>
          <w:tcPr>
            <w:tcW w:w="2339" w:type="dxa"/>
          </w:tcPr>
          <w:p w:rsidR="000C018D" w:rsidRPr="00B3715E" w:rsidRDefault="00B3715E" w:rsidP="00F27BFB">
            <w:pPr>
              <w:jc w:val="both"/>
            </w:pPr>
            <w:r w:rsidRPr="008E275D">
              <w:t>Prasības ir pārņemtas pilnībā</w:t>
            </w:r>
          </w:p>
        </w:tc>
        <w:tc>
          <w:tcPr>
            <w:tcW w:w="2623" w:type="dxa"/>
          </w:tcPr>
          <w:p w:rsidR="000C018D" w:rsidRPr="00B3715E" w:rsidRDefault="00B3715E" w:rsidP="008E275D">
            <w:pPr>
              <w:jc w:val="both"/>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lastRenderedPageBreak/>
              <w:t>7.klauzula</w:t>
            </w:r>
          </w:p>
        </w:tc>
        <w:tc>
          <w:tcPr>
            <w:tcW w:w="2551" w:type="dxa"/>
            <w:gridSpan w:val="2"/>
          </w:tcPr>
          <w:p w:rsidR="000C018D" w:rsidRPr="00B3715E" w:rsidRDefault="000C018D" w:rsidP="009747C0">
            <w:pPr>
              <w:pStyle w:val="NoSpacing"/>
              <w:jc w:val="both"/>
              <w:rPr>
                <w:rFonts w:ascii="Times New Roman" w:hAnsi="Times New Roman"/>
                <w:sz w:val="28"/>
                <w:szCs w:val="28"/>
              </w:rPr>
            </w:pPr>
            <w:r w:rsidRPr="0076042F">
              <w:rPr>
                <w:rFonts w:ascii="Times New Roman" w:hAnsi="Times New Roman"/>
                <w:sz w:val="24"/>
                <w:szCs w:val="24"/>
              </w:rPr>
              <w:lastRenderedPageBreak/>
              <w:t xml:space="preserve">Ministru kabineta </w:t>
            </w:r>
            <w:r w:rsidRPr="0076042F">
              <w:rPr>
                <w:rFonts w:ascii="Times New Roman" w:hAnsi="Times New Roman"/>
                <w:sz w:val="24"/>
                <w:szCs w:val="24"/>
              </w:rPr>
              <w:lastRenderedPageBreak/>
              <w:t>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bioloģiskām vielām” 48.punkts;  Ministru kabineta 2000.gada 26.septembra noteikumu Nr.330 “Vakcinācijas noteikumi” 30., 33.punkts</w:t>
            </w:r>
            <w:r w:rsidR="00B3715E">
              <w:rPr>
                <w:rFonts w:ascii="Times New Roman" w:hAnsi="Times New Roman"/>
                <w:sz w:val="24"/>
                <w:szCs w:val="24"/>
              </w:rPr>
              <w:t>; Ministru kabineta 2002.gada 9.decembra noteikumu Nr.526 „Darba aizsardzības prasības, lietojot darba aprīkojumu un strādājot augstumā” 90.</w:t>
            </w:r>
            <w:r w:rsidR="00B3715E">
              <w:rPr>
                <w:rFonts w:ascii="Times New Roman" w:hAnsi="Times New Roman"/>
                <w:sz w:val="24"/>
                <w:szCs w:val="24"/>
                <w:vertAlign w:val="superscript"/>
              </w:rPr>
              <w:t>1</w:t>
            </w:r>
            <w:r w:rsidR="00B3715E">
              <w:rPr>
                <w:rFonts w:ascii="Times New Roman" w:hAnsi="Times New Roman"/>
                <w:sz w:val="24"/>
                <w:szCs w:val="24"/>
              </w:rPr>
              <w:t>punkts</w:t>
            </w:r>
          </w:p>
        </w:tc>
        <w:tc>
          <w:tcPr>
            <w:tcW w:w="2339" w:type="dxa"/>
          </w:tcPr>
          <w:p w:rsidR="000C018D" w:rsidRPr="00B3715E" w:rsidRDefault="00B3715E" w:rsidP="00F27BFB">
            <w:pPr>
              <w:jc w:val="both"/>
            </w:pPr>
            <w:r w:rsidRPr="008E275D">
              <w:lastRenderedPageBreak/>
              <w:t xml:space="preserve">Prasības ir pārņemtas </w:t>
            </w:r>
            <w:r w:rsidRPr="008E275D">
              <w:lastRenderedPageBreak/>
              <w:t>pilnībā</w:t>
            </w:r>
          </w:p>
        </w:tc>
        <w:tc>
          <w:tcPr>
            <w:tcW w:w="2623" w:type="dxa"/>
          </w:tcPr>
          <w:p w:rsidR="000C018D" w:rsidRPr="00B3715E" w:rsidRDefault="00B3715E" w:rsidP="008E275D">
            <w:pPr>
              <w:jc w:val="both"/>
            </w:pPr>
            <w:r w:rsidRPr="008E275D">
              <w:lastRenderedPageBreak/>
              <w:t xml:space="preserve">Attiecīgais regulējums </w:t>
            </w:r>
            <w:r w:rsidRPr="008E275D">
              <w:lastRenderedPageBreak/>
              <w:t>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lastRenderedPageBreak/>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8.klauzula</w:t>
            </w:r>
          </w:p>
        </w:tc>
        <w:tc>
          <w:tcPr>
            <w:tcW w:w="2551" w:type="dxa"/>
            <w:gridSpan w:val="2"/>
          </w:tcPr>
          <w:p w:rsidR="00B3715E" w:rsidRPr="00BF0491" w:rsidRDefault="00B3715E" w:rsidP="00B3715E">
            <w:pPr>
              <w:pStyle w:val="NoSpacing"/>
              <w:jc w:val="both"/>
              <w:rPr>
                <w:rFonts w:ascii="Times New Roman" w:hAnsi="Times New Roman"/>
                <w:sz w:val="24"/>
                <w:szCs w:val="24"/>
              </w:rPr>
            </w:pPr>
            <w:r w:rsidRPr="00BF0491">
              <w:rPr>
                <w:rFonts w:ascii="Times New Roman" w:hAnsi="Times New Roman"/>
                <w:sz w:val="24"/>
                <w:szCs w:val="24"/>
              </w:rPr>
              <w:t>Darba aizsardzības likuma 14.panta pirmā un ceturtā daļa,</w:t>
            </w:r>
          </w:p>
          <w:p w:rsidR="00B3715E" w:rsidRPr="00BF0491" w:rsidRDefault="00B3715E" w:rsidP="00B3715E">
            <w:pPr>
              <w:pStyle w:val="NoSpacing"/>
              <w:jc w:val="both"/>
              <w:rPr>
                <w:rFonts w:ascii="Times New Roman" w:hAnsi="Times New Roman"/>
                <w:b/>
                <w:color w:val="7030A0"/>
                <w:sz w:val="24"/>
                <w:szCs w:val="24"/>
              </w:rPr>
            </w:pPr>
            <w:r w:rsidRPr="00BF0491">
              <w:rPr>
                <w:rFonts w:ascii="Times New Roman" w:hAnsi="Times New Roman"/>
                <w:sz w:val="24"/>
                <w:szCs w:val="24"/>
              </w:rPr>
              <w:t>Ministru kabineta 2002.gada 21.maija noteikumu Nr.189 „Darba aizsardzības prasības, saskaroties ar bioloģiskām vielām”</w:t>
            </w:r>
          </w:p>
          <w:p w:rsidR="000C018D" w:rsidRPr="00B3715E" w:rsidRDefault="00B3715E" w:rsidP="009747C0">
            <w:pPr>
              <w:pStyle w:val="NoSpacing"/>
              <w:jc w:val="both"/>
              <w:rPr>
                <w:rFonts w:ascii="Times New Roman" w:hAnsi="Times New Roman"/>
                <w:sz w:val="24"/>
                <w:szCs w:val="24"/>
              </w:rPr>
            </w:pPr>
            <w:r w:rsidRPr="00BF0491">
              <w:rPr>
                <w:rFonts w:ascii="Times New Roman" w:hAnsi="Times New Roman"/>
                <w:sz w:val="24"/>
                <w:szCs w:val="24"/>
              </w:rPr>
              <w:t>57., 58. un 59.punkts,</w:t>
            </w:r>
            <w:r>
              <w:rPr>
                <w:rFonts w:ascii="Times New Roman" w:hAnsi="Times New Roman"/>
                <w:sz w:val="24"/>
                <w:szCs w:val="24"/>
                <w:u w:val="single"/>
              </w:rPr>
              <w:t xml:space="preserve"> </w:t>
            </w:r>
            <w:r w:rsidRPr="002B7BC8">
              <w:rPr>
                <w:rFonts w:ascii="Times New Roman" w:hAnsi="Times New Roman"/>
                <w:sz w:val="24"/>
                <w:szCs w:val="24"/>
                <w:u w:val="single"/>
              </w:rPr>
              <w:t xml:space="preserve"> </w:t>
            </w:r>
            <w:r w:rsidRPr="00E94F9C">
              <w:rPr>
                <w:rFonts w:ascii="Times New Roman" w:hAnsi="Times New Roman"/>
                <w:sz w:val="24"/>
                <w:szCs w:val="24"/>
              </w:rPr>
              <w:t>Ministru kabineta 2010.gada 10.augusta noteikumu Nr.749 „Apmācības kārtība darba aizsardzības jautājumos” 11., 12., 15. un18.punkts;</w:t>
            </w:r>
            <w:r>
              <w:rPr>
                <w:rFonts w:ascii="Times New Roman" w:hAnsi="Times New Roman"/>
                <w:sz w:val="24"/>
                <w:szCs w:val="24"/>
              </w:rPr>
              <w:t xml:space="preserve"> Ministru kabineta 2002.gada 9.decembra noteikumu Nr.526 „Darba aizsardzības prasības, lietojot darba aprīkojumu un strādājot augstumā” 90.</w:t>
            </w:r>
            <w:r>
              <w:rPr>
                <w:rFonts w:ascii="Times New Roman" w:hAnsi="Times New Roman"/>
                <w:sz w:val="24"/>
                <w:szCs w:val="24"/>
                <w:vertAlign w:val="superscript"/>
              </w:rPr>
              <w:t>2</w:t>
            </w:r>
            <w:r>
              <w:rPr>
                <w:rFonts w:ascii="Times New Roman" w:hAnsi="Times New Roman"/>
                <w:sz w:val="24"/>
                <w:szCs w:val="24"/>
              </w:rPr>
              <w:t>punkts</w:t>
            </w:r>
          </w:p>
        </w:tc>
        <w:tc>
          <w:tcPr>
            <w:tcW w:w="2339" w:type="dxa"/>
          </w:tcPr>
          <w:p w:rsidR="000C018D" w:rsidRPr="00B3715E" w:rsidRDefault="00B3715E" w:rsidP="00F27BFB">
            <w:pPr>
              <w:jc w:val="both"/>
            </w:pPr>
            <w:r w:rsidRPr="008E275D">
              <w:t>Prasības ir pārņemtas pilnībā</w:t>
            </w:r>
          </w:p>
        </w:tc>
        <w:tc>
          <w:tcPr>
            <w:tcW w:w="2623" w:type="dxa"/>
          </w:tcPr>
          <w:p w:rsidR="000C018D" w:rsidRPr="00B3715E" w:rsidRDefault="00B3715E" w:rsidP="008E275D">
            <w:pPr>
              <w:jc w:val="both"/>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9.klauzulas 1.punkts</w:t>
            </w:r>
          </w:p>
        </w:tc>
        <w:tc>
          <w:tcPr>
            <w:tcW w:w="2551" w:type="dxa"/>
            <w:gridSpan w:val="2"/>
          </w:tcPr>
          <w:p w:rsidR="000C018D" w:rsidRPr="00B3715E" w:rsidRDefault="00B3715E" w:rsidP="009747C0">
            <w:pPr>
              <w:pStyle w:val="NoSpacing"/>
              <w:jc w:val="both"/>
              <w:rPr>
                <w:rFonts w:ascii="Times New Roman" w:hAnsi="Times New Roman"/>
                <w:sz w:val="24"/>
                <w:szCs w:val="24"/>
              </w:rPr>
            </w:pPr>
            <w:r w:rsidRPr="0076042F">
              <w:rPr>
                <w:rFonts w:ascii="Times New Roman" w:hAnsi="Times New Roman"/>
                <w:sz w:val="24"/>
                <w:szCs w:val="24"/>
              </w:rPr>
              <w:t>Darba aizsardzības likuma 13. un 14.pants</w:t>
            </w:r>
          </w:p>
        </w:tc>
        <w:tc>
          <w:tcPr>
            <w:tcW w:w="2339" w:type="dxa"/>
          </w:tcPr>
          <w:p w:rsidR="000C018D" w:rsidRPr="00B3715E" w:rsidRDefault="00B3715E" w:rsidP="00F27BFB">
            <w:pPr>
              <w:jc w:val="both"/>
            </w:pPr>
            <w:r w:rsidRPr="008E275D">
              <w:t>Prasības ir pārņemtas pilnībā</w:t>
            </w:r>
          </w:p>
        </w:tc>
        <w:tc>
          <w:tcPr>
            <w:tcW w:w="2623" w:type="dxa"/>
          </w:tcPr>
          <w:p w:rsidR="000C018D" w:rsidRPr="00B3715E" w:rsidRDefault="00B3715E" w:rsidP="008E275D">
            <w:pPr>
              <w:jc w:val="both"/>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9.klauzulas 2.punkts</w:t>
            </w:r>
          </w:p>
        </w:tc>
        <w:tc>
          <w:tcPr>
            <w:tcW w:w="2551" w:type="dxa"/>
            <w:gridSpan w:val="2"/>
          </w:tcPr>
          <w:p w:rsidR="000C018D" w:rsidRPr="008E275D" w:rsidRDefault="00B3715E" w:rsidP="009747C0">
            <w:pPr>
              <w:pStyle w:val="NoSpacing"/>
              <w:jc w:val="both"/>
              <w:rPr>
                <w:rFonts w:ascii="Times New Roman" w:hAnsi="Times New Roman"/>
                <w:sz w:val="28"/>
                <w:szCs w:val="28"/>
              </w:rPr>
            </w:pPr>
            <w:r w:rsidRPr="0076042F">
              <w:rPr>
                <w:rFonts w:ascii="Times New Roman" w:hAnsi="Times New Roman"/>
                <w:sz w:val="24"/>
                <w:szCs w:val="24"/>
              </w:rPr>
              <w:t xml:space="preserve">Ministru kabineta 2009.gada 25.augusta noteikumu Nr.950 „Nelaimes gadījumu darbā izmeklēšanas un </w:t>
            </w:r>
            <w:r w:rsidRPr="0076042F">
              <w:rPr>
                <w:rFonts w:ascii="Times New Roman" w:hAnsi="Times New Roman"/>
                <w:sz w:val="24"/>
                <w:szCs w:val="24"/>
              </w:rPr>
              <w:lastRenderedPageBreak/>
              <w:t>uzskaites kārtība” 2. un 12.punkts; Ministru kabineta 2002.gada 21.maija noteikum</w:t>
            </w:r>
            <w:r>
              <w:rPr>
                <w:rFonts w:ascii="Times New Roman" w:hAnsi="Times New Roman"/>
                <w:sz w:val="24"/>
                <w:szCs w:val="24"/>
              </w:rPr>
              <w:t>u</w:t>
            </w:r>
            <w:r w:rsidRPr="0076042F">
              <w:rPr>
                <w:rFonts w:ascii="Times New Roman" w:hAnsi="Times New Roman"/>
                <w:sz w:val="24"/>
                <w:szCs w:val="24"/>
              </w:rPr>
              <w:t xml:space="preserve"> Nr.189 „Darba aizsardzības prasības, saskaroties ar bioloģiskām vielām” 60.punkts</w:t>
            </w:r>
          </w:p>
        </w:tc>
        <w:tc>
          <w:tcPr>
            <w:tcW w:w="2339" w:type="dxa"/>
          </w:tcPr>
          <w:p w:rsidR="000C018D" w:rsidRPr="00B3715E" w:rsidRDefault="000C018D" w:rsidP="00F27BFB">
            <w:pPr>
              <w:jc w:val="both"/>
            </w:pPr>
          </w:p>
        </w:tc>
        <w:tc>
          <w:tcPr>
            <w:tcW w:w="2623" w:type="dxa"/>
          </w:tcPr>
          <w:p w:rsidR="000C018D" w:rsidRPr="00B3715E" w:rsidRDefault="00B3715E" w:rsidP="008E275D">
            <w:pPr>
              <w:jc w:val="both"/>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lastRenderedPageBreak/>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10.klauzula</w:t>
            </w:r>
          </w:p>
        </w:tc>
        <w:tc>
          <w:tcPr>
            <w:tcW w:w="2551" w:type="dxa"/>
            <w:gridSpan w:val="2"/>
          </w:tcPr>
          <w:p w:rsidR="000C018D" w:rsidRPr="008E275D" w:rsidRDefault="00B3715E" w:rsidP="009747C0">
            <w:pPr>
              <w:pStyle w:val="NoSpacing"/>
              <w:jc w:val="both"/>
              <w:rPr>
                <w:rFonts w:ascii="Times New Roman" w:hAnsi="Times New Roman"/>
                <w:sz w:val="28"/>
                <w:szCs w:val="28"/>
              </w:rPr>
            </w:pPr>
            <w:r w:rsidRPr="0076042F">
              <w:rPr>
                <w:rFonts w:ascii="Times New Roman" w:hAnsi="Times New Roman"/>
                <w:sz w:val="24"/>
                <w:szCs w:val="24"/>
              </w:rPr>
              <w:t>Darba aizsardzības likuma 10.panta otrā daļa, 13.panta pirmā daļa; Ministru kabineta 2009.gada 25.augusta noteikumu Nr.950 „Nelaimes gadījumu darbā izmeklēšanas un uzskaites kārtība” 13.punkts; Pacientu tiesību likuma 10.panta pirmā daļa</w:t>
            </w:r>
          </w:p>
        </w:tc>
        <w:tc>
          <w:tcPr>
            <w:tcW w:w="2339" w:type="dxa"/>
          </w:tcPr>
          <w:p w:rsidR="000C018D" w:rsidRPr="00B3715E" w:rsidRDefault="00B3715E" w:rsidP="00F27BFB">
            <w:pPr>
              <w:jc w:val="both"/>
            </w:pPr>
            <w:r w:rsidRPr="008E275D">
              <w:t>Prasības ir pārņemtas pilnībā</w:t>
            </w:r>
          </w:p>
        </w:tc>
        <w:tc>
          <w:tcPr>
            <w:tcW w:w="2623" w:type="dxa"/>
          </w:tcPr>
          <w:p w:rsidR="000C018D" w:rsidRPr="00B3715E" w:rsidRDefault="00B3715E" w:rsidP="008E275D">
            <w:pPr>
              <w:jc w:val="both"/>
            </w:pPr>
            <w:r w:rsidRPr="008E275D">
              <w:t>Attiecīgais regulējums stingrākas prasības neparedz</w:t>
            </w:r>
          </w:p>
        </w:tc>
      </w:tr>
      <w:tr w:rsidR="000C018D" w:rsidRPr="00CD215B" w:rsidTr="00A84596">
        <w:tc>
          <w:tcPr>
            <w:tcW w:w="2411" w:type="dxa"/>
          </w:tcPr>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 xml:space="preserve">Direktīvas pielikuma  </w:t>
            </w:r>
          </w:p>
          <w:p w:rsidR="000C018D" w:rsidRPr="0076042F" w:rsidRDefault="000C018D" w:rsidP="000C018D">
            <w:pPr>
              <w:pStyle w:val="NoSpacing"/>
              <w:rPr>
                <w:rFonts w:ascii="Times New Roman" w:hAnsi="Times New Roman"/>
                <w:sz w:val="24"/>
                <w:szCs w:val="24"/>
              </w:rPr>
            </w:pPr>
            <w:r w:rsidRPr="0076042F">
              <w:rPr>
                <w:rFonts w:ascii="Times New Roman" w:hAnsi="Times New Roman"/>
                <w:sz w:val="24"/>
                <w:szCs w:val="24"/>
              </w:rPr>
              <w:t>11.klauzula</w:t>
            </w:r>
          </w:p>
        </w:tc>
        <w:tc>
          <w:tcPr>
            <w:tcW w:w="2551" w:type="dxa"/>
            <w:gridSpan w:val="2"/>
          </w:tcPr>
          <w:p w:rsidR="000C018D" w:rsidRPr="008E275D" w:rsidRDefault="00B3715E" w:rsidP="009747C0">
            <w:pPr>
              <w:pStyle w:val="NoSpacing"/>
              <w:jc w:val="both"/>
              <w:rPr>
                <w:rFonts w:ascii="Times New Roman" w:hAnsi="Times New Roman"/>
                <w:sz w:val="28"/>
                <w:szCs w:val="28"/>
              </w:rPr>
            </w:pPr>
            <w:r w:rsidRPr="0076042F">
              <w:rPr>
                <w:rFonts w:ascii="Times New Roman" w:hAnsi="Times New Roman"/>
                <w:sz w:val="24"/>
                <w:szCs w:val="24"/>
              </w:rPr>
              <w:t>Nav jāpārņem, jo nosaka direktīvas īstenošanu</w:t>
            </w:r>
          </w:p>
        </w:tc>
        <w:tc>
          <w:tcPr>
            <w:tcW w:w="2339" w:type="dxa"/>
          </w:tcPr>
          <w:p w:rsidR="000C018D" w:rsidRPr="00B3715E" w:rsidRDefault="00B3715E" w:rsidP="00F27BFB">
            <w:pPr>
              <w:jc w:val="both"/>
            </w:pPr>
            <w:r>
              <w:t>Nav</w:t>
            </w:r>
          </w:p>
        </w:tc>
        <w:tc>
          <w:tcPr>
            <w:tcW w:w="2623" w:type="dxa"/>
          </w:tcPr>
          <w:p w:rsidR="000C018D" w:rsidRPr="00B3715E" w:rsidRDefault="00B3715E" w:rsidP="008E275D">
            <w:pPr>
              <w:jc w:val="both"/>
            </w:pPr>
            <w:r>
              <w:t>Nav</w:t>
            </w:r>
          </w:p>
        </w:tc>
      </w:tr>
      <w:tr w:rsidR="009D6202" w:rsidRPr="00CD215B" w:rsidTr="00A84596">
        <w:tc>
          <w:tcPr>
            <w:tcW w:w="4395" w:type="dxa"/>
            <w:gridSpan w:val="2"/>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Kā ir izmantota ES tiesību aktā paredzētā rīcības brīvība dalībvalstij pārņemt vai ieviest noteiktas ES tiesību akta normas.</w:t>
            </w:r>
          </w:p>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t>Kādēļ?</w:t>
            </w:r>
          </w:p>
        </w:tc>
        <w:tc>
          <w:tcPr>
            <w:tcW w:w="5529" w:type="dxa"/>
            <w:gridSpan w:val="3"/>
          </w:tcPr>
          <w:p w:rsidR="009D6202" w:rsidRPr="000C018D" w:rsidRDefault="009D6202" w:rsidP="009747C0">
            <w:pPr>
              <w:pStyle w:val="NoSpacing"/>
              <w:jc w:val="both"/>
              <w:rPr>
                <w:rFonts w:ascii="Times New Roman" w:hAnsi="Times New Roman"/>
                <w:sz w:val="24"/>
                <w:szCs w:val="24"/>
              </w:rPr>
            </w:pPr>
            <w:r w:rsidRPr="000C018D">
              <w:rPr>
                <w:rFonts w:ascii="Times New Roman" w:hAnsi="Times New Roman"/>
                <w:sz w:val="24"/>
                <w:szCs w:val="24"/>
              </w:rPr>
              <w:t xml:space="preserve">Direktīvas 2010/32/ES, ar ko īsteno HOSPEEM un EPSU noslēgto </w:t>
            </w:r>
            <w:proofErr w:type="spellStart"/>
            <w:r w:rsidRPr="000C018D">
              <w:rPr>
                <w:rFonts w:ascii="Times New Roman" w:hAnsi="Times New Roman"/>
                <w:sz w:val="24"/>
                <w:szCs w:val="24"/>
              </w:rPr>
              <w:t>pamatnolīgumu</w:t>
            </w:r>
            <w:proofErr w:type="spellEnd"/>
            <w:r w:rsidRPr="000C018D">
              <w:rPr>
                <w:rFonts w:ascii="Times New Roman" w:hAnsi="Times New Roman"/>
                <w:sz w:val="24"/>
                <w:szCs w:val="24"/>
              </w:rPr>
              <w:t xml:space="preserve"> par asu instrumentu radītu ievainojumu novēršanu slimnīcu un veselības aprūpes nozarē 3.panta pirmais punkts paredz rīcības brīvību dalībvalstīm Direktīvas prasību ieviešanai pieņemt normatīvos un administratīvos aktus vai nodrošināt, ka vēlākais līdz 2013.gada 11.maijam sociālie partneri ar nolīgumu ievieš vajadzīgos pasākumus. Ņemot vērā minēto Veselības ministrija organizēja sanāksmi, kurā piedalījās Labklājības ministrijas, sabiedrības ar ierobežotu atbildību „</w:t>
            </w:r>
            <w:proofErr w:type="spellStart"/>
            <w:r w:rsidRPr="000C018D">
              <w:rPr>
                <w:rFonts w:ascii="Times New Roman" w:hAnsi="Times New Roman"/>
                <w:sz w:val="24"/>
                <w:szCs w:val="24"/>
              </w:rPr>
              <w:t>Lautus</w:t>
            </w:r>
            <w:proofErr w:type="spellEnd"/>
            <w:r w:rsidRPr="000C018D">
              <w:rPr>
                <w:rFonts w:ascii="Times New Roman" w:hAnsi="Times New Roman"/>
                <w:sz w:val="24"/>
                <w:szCs w:val="24"/>
              </w:rPr>
              <w:t>”, Sabiedrības ar ierobežotu atbildību „Tukuma slimnīca”, Rīgas Stradiņa universitātes Higiēnas un arodslimību laboratorijas un Rīgas pašvaldības sabiedrības ar ierobežotu atbildību „Rīgas Dzemdību nams” pārstāvji. Sanāksmē tika skatīts jautājums par Direktīvas normu pārņemšanu, izvērtējot spēkā esošo darba aizsardzības jomu regulējošo normatīvo aktu prasības un secināts, ka Direktīvas prasības, izņemot atsevišķas normas (Direktīvas 7. un 8.klauzulas atsevišķas normas) jau šobrīd ir pārņemtas nacionālajā likumdošanā, līdz ar to nav nepieciešams izstrādāt specifisku normatīvo aktu attiecībā uz darba aizsardzību veselības aprūpes nozarē un sociālajiem partneriem nav ne</w:t>
            </w:r>
            <w:r w:rsidR="00D00B93" w:rsidRPr="000C018D">
              <w:rPr>
                <w:rFonts w:ascii="Times New Roman" w:hAnsi="Times New Roman"/>
                <w:sz w:val="24"/>
                <w:szCs w:val="24"/>
              </w:rPr>
              <w:t>pieciešams ar nolīgumu pārņemt d</w:t>
            </w:r>
            <w:r w:rsidRPr="000C018D">
              <w:rPr>
                <w:rFonts w:ascii="Times New Roman" w:hAnsi="Times New Roman"/>
                <w:sz w:val="24"/>
                <w:szCs w:val="24"/>
              </w:rPr>
              <w:t>irektīvas prasības.</w:t>
            </w:r>
          </w:p>
        </w:tc>
      </w:tr>
      <w:tr w:rsidR="009D6202" w:rsidRPr="00CD215B" w:rsidTr="00A84596">
        <w:tc>
          <w:tcPr>
            <w:tcW w:w="4395" w:type="dxa"/>
            <w:gridSpan w:val="2"/>
          </w:tcPr>
          <w:p w:rsidR="009D6202" w:rsidRPr="000C018D" w:rsidRDefault="009D6202" w:rsidP="00876E6D">
            <w:pPr>
              <w:pStyle w:val="NoSpacing"/>
              <w:jc w:val="both"/>
              <w:rPr>
                <w:rFonts w:ascii="Times New Roman" w:hAnsi="Times New Roman"/>
                <w:sz w:val="24"/>
                <w:szCs w:val="24"/>
              </w:rPr>
            </w:pPr>
            <w:r w:rsidRPr="000C018D">
              <w:rPr>
                <w:rFonts w:ascii="Times New Roman" w:hAnsi="Times New Roman"/>
                <w:sz w:val="24"/>
                <w:szCs w:val="24"/>
              </w:rPr>
              <w:t xml:space="preserve">Saistības sniegt paziņojumu ES </w:t>
            </w:r>
            <w:r w:rsidRPr="000C018D">
              <w:rPr>
                <w:rFonts w:ascii="Times New Roman" w:hAnsi="Times New Roman"/>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5529" w:type="dxa"/>
            <w:gridSpan w:val="3"/>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lastRenderedPageBreak/>
              <w:t>Projekts šo jomu neskar.</w:t>
            </w:r>
          </w:p>
        </w:tc>
      </w:tr>
      <w:tr w:rsidR="009D6202" w:rsidRPr="00CD215B" w:rsidTr="00A84596">
        <w:tc>
          <w:tcPr>
            <w:tcW w:w="4395" w:type="dxa"/>
            <w:gridSpan w:val="2"/>
          </w:tcPr>
          <w:p w:rsidR="009D6202" w:rsidRPr="000C018D" w:rsidRDefault="009D6202" w:rsidP="009747C0">
            <w:pPr>
              <w:pStyle w:val="NoSpacing"/>
              <w:rPr>
                <w:rFonts w:ascii="Times New Roman" w:hAnsi="Times New Roman"/>
                <w:sz w:val="24"/>
                <w:szCs w:val="24"/>
              </w:rPr>
            </w:pPr>
            <w:r w:rsidRPr="000C018D">
              <w:rPr>
                <w:rFonts w:ascii="Times New Roman" w:hAnsi="Times New Roman"/>
                <w:sz w:val="24"/>
                <w:szCs w:val="24"/>
              </w:rPr>
              <w:lastRenderedPageBreak/>
              <w:t>Cita informācija</w:t>
            </w:r>
          </w:p>
        </w:tc>
        <w:tc>
          <w:tcPr>
            <w:tcW w:w="5529" w:type="dxa"/>
            <w:gridSpan w:val="3"/>
          </w:tcPr>
          <w:p w:rsidR="009D6202" w:rsidRPr="000C018D" w:rsidRDefault="009D6202" w:rsidP="009747C0">
            <w:pPr>
              <w:pStyle w:val="NoSpacing"/>
              <w:rPr>
                <w:rFonts w:ascii="Times New Roman" w:hAnsi="Times New Roman"/>
                <w:sz w:val="24"/>
                <w:szCs w:val="24"/>
                <w:highlight w:val="yellow"/>
              </w:rPr>
            </w:pPr>
            <w:r w:rsidRPr="000C018D">
              <w:rPr>
                <w:rFonts w:ascii="Times New Roman" w:hAnsi="Times New Roman"/>
                <w:sz w:val="24"/>
                <w:szCs w:val="24"/>
              </w:rPr>
              <w:t>Nav</w:t>
            </w:r>
          </w:p>
        </w:tc>
      </w:tr>
    </w:tbl>
    <w:p w:rsidR="00DB264F" w:rsidRPr="00D00B93" w:rsidRDefault="00DB264F" w:rsidP="006D0922">
      <w:pPr>
        <w:pStyle w:val="naisf"/>
        <w:spacing w:before="0" w:after="0"/>
        <w:ind w:firstLine="0"/>
        <w:rPr>
          <w:sz w:val="28"/>
          <w:szCs w:val="28"/>
        </w:rPr>
      </w:pPr>
    </w:p>
    <w:tbl>
      <w:tblPr>
        <w:tblW w:w="9995" w:type="dxa"/>
        <w:jc w:val="center"/>
        <w:tblInd w:w="-2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358"/>
        <w:gridCol w:w="3161"/>
        <w:gridCol w:w="5476"/>
      </w:tblGrid>
      <w:tr w:rsidR="009A0027" w:rsidRPr="00D00B93" w:rsidTr="00A84596">
        <w:trPr>
          <w:jc w:val="center"/>
        </w:trPr>
        <w:tc>
          <w:tcPr>
            <w:tcW w:w="9995" w:type="dxa"/>
            <w:gridSpan w:val="3"/>
          </w:tcPr>
          <w:p w:rsidR="00FE4973" w:rsidRPr="00D00B93" w:rsidRDefault="00FE4973" w:rsidP="00097549">
            <w:pPr>
              <w:pStyle w:val="naisnod"/>
              <w:spacing w:before="0" w:after="60"/>
              <w:rPr>
                <w:sz w:val="28"/>
                <w:szCs w:val="28"/>
              </w:rPr>
            </w:pPr>
            <w:r w:rsidRPr="00D00B93">
              <w:rPr>
                <w:sz w:val="28"/>
                <w:szCs w:val="28"/>
              </w:rPr>
              <w:t xml:space="preserve">VI. </w:t>
            </w:r>
            <w:r w:rsidRPr="00D00B93">
              <w:rPr>
                <w:bCs w:val="0"/>
                <w:sz w:val="28"/>
                <w:szCs w:val="28"/>
              </w:rPr>
              <w:t>Sabiedrības līdzdalība un komunikācijas aktivitātes</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1.</w:t>
            </w:r>
          </w:p>
        </w:tc>
        <w:tc>
          <w:tcPr>
            <w:tcW w:w="3161" w:type="dxa"/>
          </w:tcPr>
          <w:p w:rsidR="00FE4973" w:rsidRPr="000C018D" w:rsidRDefault="00FE4973" w:rsidP="00BA64D3">
            <w:pPr>
              <w:pStyle w:val="naiskr"/>
              <w:tabs>
                <w:tab w:val="left" w:pos="2628"/>
              </w:tabs>
              <w:spacing w:before="0" w:after="60"/>
              <w:rPr>
                <w:iCs/>
              </w:rPr>
            </w:pPr>
            <w:r w:rsidRPr="000C018D">
              <w:t>Plānotās sabiedrības līdzdalības un komunikācijas aktivitātes saistībā ar projektu</w:t>
            </w:r>
          </w:p>
        </w:tc>
        <w:tc>
          <w:tcPr>
            <w:tcW w:w="5476" w:type="dxa"/>
          </w:tcPr>
          <w:p w:rsidR="00FE4973" w:rsidRPr="000C018D" w:rsidRDefault="00BA64D3" w:rsidP="00014356">
            <w:pPr>
              <w:pStyle w:val="naiskr"/>
              <w:tabs>
                <w:tab w:val="left" w:pos="2628"/>
              </w:tabs>
              <w:spacing w:before="0" w:after="120"/>
              <w:jc w:val="both"/>
              <w:rPr>
                <w:iCs/>
              </w:rPr>
            </w:pPr>
            <w:r w:rsidRPr="000C018D">
              <w:t>Sabiedrības informēšanai</w:t>
            </w:r>
            <w:r w:rsidR="00A43390" w:rsidRPr="000C018D">
              <w:t>,</w:t>
            </w:r>
            <w:r w:rsidRPr="000C018D">
              <w:t xml:space="preserve"> projekt</w:t>
            </w:r>
            <w:r w:rsidR="00A43390" w:rsidRPr="000C018D">
              <w:t>s</w:t>
            </w:r>
            <w:r w:rsidRPr="000C018D">
              <w:t xml:space="preserve"> </w:t>
            </w:r>
            <w:r w:rsidR="00C6033C" w:rsidRPr="000C018D">
              <w:t xml:space="preserve">2014.gada 1.augustā </w:t>
            </w:r>
            <w:r w:rsidR="00A43390" w:rsidRPr="000C018D">
              <w:t>publicēts</w:t>
            </w:r>
            <w:r w:rsidRPr="000C018D">
              <w:t xml:space="preserve"> </w:t>
            </w:r>
            <w:r w:rsidR="00014356" w:rsidRPr="000C018D">
              <w:t xml:space="preserve">Veselības </w:t>
            </w:r>
            <w:r w:rsidRPr="000C018D">
              <w:t>ministrijas mājas</w:t>
            </w:r>
            <w:r w:rsidR="009907DE" w:rsidRPr="000C018D">
              <w:t xml:space="preserve"> </w:t>
            </w:r>
            <w:r w:rsidRPr="000C018D">
              <w:t>lapā internetā sadaļā Sabiedrības līdzdalība.</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2.</w:t>
            </w:r>
          </w:p>
        </w:tc>
        <w:tc>
          <w:tcPr>
            <w:tcW w:w="3161" w:type="dxa"/>
          </w:tcPr>
          <w:p w:rsidR="00FE4973" w:rsidRPr="000C018D" w:rsidRDefault="00FE4973" w:rsidP="006D0922">
            <w:pPr>
              <w:pStyle w:val="naiskr"/>
              <w:tabs>
                <w:tab w:val="left" w:pos="2628"/>
              </w:tabs>
              <w:spacing w:before="0" w:after="0"/>
            </w:pPr>
            <w:r w:rsidRPr="000C018D">
              <w:t>Sabiedrības līdzdalība projekta izstrādē</w:t>
            </w:r>
          </w:p>
        </w:tc>
        <w:tc>
          <w:tcPr>
            <w:tcW w:w="5476" w:type="dxa"/>
          </w:tcPr>
          <w:p w:rsidR="00FE4973" w:rsidRPr="000C018D" w:rsidRDefault="00D6564B" w:rsidP="00014356">
            <w:pPr>
              <w:pStyle w:val="naiskr"/>
              <w:tabs>
                <w:tab w:val="left" w:pos="2628"/>
              </w:tabs>
              <w:spacing w:before="0" w:after="120"/>
              <w:jc w:val="both"/>
            </w:pPr>
            <w:r w:rsidRPr="000C018D">
              <w:t>S</w:t>
            </w:r>
            <w:r w:rsidR="00014356" w:rsidRPr="000C018D">
              <w:t>aņemt</w:t>
            </w:r>
            <w:r w:rsidR="00061104" w:rsidRPr="000C018D">
              <w:t xml:space="preserve">s </w:t>
            </w:r>
            <w:r w:rsidR="00061104" w:rsidRPr="001503B0">
              <w:rPr>
                <w:b/>
              </w:rPr>
              <w:t>L</w:t>
            </w:r>
            <w:r w:rsidR="00030FB5">
              <w:rPr>
                <w:b/>
              </w:rPr>
              <w:t>atvijas Ārstu biedrības (LĀB)</w:t>
            </w:r>
            <w:r w:rsidR="002A18FA" w:rsidRPr="000C018D">
              <w:t xml:space="preserve"> viedoklis</w:t>
            </w:r>
            <w:r w:rsidRPr="000C018D">
              <w:t>:</w:t>
            </w:r>
          </w:p>
          <w:p w:rsidR="00D6564B" w:rsidRDefault="007D6032" w:rsidP="007D6032">
            <w:pPr>
              <w:pStyle w:val="naiskr"/>
              <w:tabs>
                <w:tab w:val="left" w:pos="2628"/>
              </w:tabs>
              <w:spacing w:before="0" w:after="120"/>
              <w:jc w:val="both"/>
            </w:pPr>
            <w:r w:rsidRPr="007D6032">
              <w:rPr>
                <w:b/>
              </w:rPr>
              <w:t xml:space="preserve">1. </w:t>
            </w:r>
            <w:r>
              <w:t>i</w:t>
            </w:r>
            <w:r w:rsidR="004526A6" w:rsidRPr="000C018D">
              <w:t>erosina i</w:t>
            </w:r>
            <w:r w:rsidR="00D6564B" w:rsidRPr="000C018D">
              <w:t>etvert likumprojektā normu, ar kuru tiek izslēgts LAPK 45.panta trešā daļa, ar kuru paredzēta administratīvā atbildība par nereģistrētas medicīniskas tehnoloģijas lietošanu.</w:t>
            </w:r>
          </w:p>
          <w:p w:rsidR="00D6564B" w:rsidRDefault="007D6032" w:rsidP="007D6032">
            <w:pPr>
              <w:pStyle w:val="naiskr"/>
              <w:tabs>
                <w:tab w:val="left" w:pos="2628"/>
              </w:tabs>
              <w:spacing w:before="0" w:after="120"/>
              <w:jc w:val="both"/>
            </w:pPr>
            <w:r w:rsidRPr="00E17F85">
              <w:rPr>
                <w:b/>
              </w:rPr>
              <w:t>2.</w:t>
            </w:r>
            <w:r w:rsidR="00D6564B" w:rsidRPr="000C018D">
              <w:t xml:space="preserve">iebilst pret administratīvā soda palielināšanu par LAPK </w:t>
            </w:r>
            <w:r>
              <w:t xml:space="preserve"> </w:t>
            </w:r>
            <w:r w:rsidR="00D6564B" w:rsidRPr="000C018D">
              <w:t>45.</w:t>
            </w:r>
            <w:r w:rsidR="00D6564B" w:rsidRPr="000C018D">
              <w:rPr>
                <w:vertAlign w:val="superscript"/>
              </w:rPr>
              <w:t xml:space="preserve">2 </w:t>
            </w:r>
            <w:r w:rsidR="00D6564B" w:rsidRPr="000C018D">
              <w:t>pantā noteikto ziņu nesniegšanu par ārstniecība</w:t>
            </w:r>
            <w:r w:rsidR="000A4ECD" w:rsidRPr="000C018D">
              <w:t>s</w:t>
            </w:r>
            <w:r w:rsidR="00D6564B" w:rsidRPr="000C018D">
              <w:t xml:space="preserve"> personu nodarbinātību ārstniecības iestādē. Nav saprotams, kādēļ tiek noteikta vienveidīga sankcija par ziņu nesniegšanu reģistram un par veselības aprūpes pārkāpumiem. </w:t>
            </w:r>
            <w:r w:rsidR="004526A6" w:rsidRPr="000C018D">
              <w:t>LĀB ieskatā pārkāpums veselības aprūpē ir ar lielāku sabiedrisko bīstamību, tomēr ar likumprojektu paredzēta tik pat liela sankcija arī par reģistrācijas prasību neizpildi.</w:t>
            </w:r>
          </w:p>
          <w:p w:rsidR="002C2873" w:rsidRDefault="00E17F85" w:rsidP="00E17F85">
            <w:pPr>
              <w:pStyle w:val="naiskr"/>
              <w:tabs>
                <w:tab w:val="left" w:pos="2628"/>
              </w:tabs>
              <w:spacing w:before="0" w:after="120"/>
              <w:jc w:val="both"/>
            </w:pPr>
            <w:r>
              <w:t>3.</w:t>
            </w:r>
            <w:r w:rsidR="00852988" w:rsidRPr="000C018D">
              <w:t>Iebilst pret soda apmēra palielināšanu un uzskata, ka tas atstājams līdzšinējā apmērā</w:t>
            </w:r>
            <w:r w:rsidR="00002A93">
              <w:t>.</w:t>
            </w:r>
          </w:p>
          <w:p w:rsidR="00E17F85" w:rsidRDefault="00E17F85" w:rsidP="00E17F85">
            <w:pPr>
              <w:pStyle w:val="naiskr"/>
              <w:tabs>
                <w:tab w:val="left" w:pos="2628"/>
              </w:tabs>
              <w:spacing w:before="0" w:after="120"/>
              <w:jc w:val="both"/>
              <w:rPr>
                <w:iCs/>
              </w:rPr>
            </w:pPr>
            <w:r w:rsidRPr="00F43D64">
              <w:rPr>
                <w:b/>
                <w:iCs/>
                <w:color w:val="000000"/>
              </w:rPr>
              <w:t>Latvijas Ģimenes ārstu asociācija</w:t>
            </w:r>
            <w:r w:rsidRPr="00BD07CF">
              <w:rPr>
                <w:iCs/>
                <w:color w:val="000000"/>
              </w:rPr>
              <w:t xml:space="preserve"> </w:t>
            </w:r>
            <w:r w:rsidR="001503B0">
              <w:rPr>
                <w:iCs/>
                <w:color w:val="000000"/>
              </w:rPr>
              <w:t xml:space="preserve">(LĢĀA) </w:t>
            </w:r>
            <w:r w:rsidRPr="00BD07CF">
              <w:t>lūdz</w:t>
            </w:r>
            <w:r w:rsidR="001503B0">
              <w:t xml:space="preserve"> likumprojektā </w:t>
            </w:r>
            <w:r w:rsidR="001503B0" w:rsidRPr="001503B0">
              <w:rPr>
                <w:b/>
              </w:rPr>
              <w:t>LAPK</w:t>
            </w:r>
            <w:r w:rsidRPr="001503B0">
              <w:rPr>
                <w:b/>
              </w:rPr>
              <w:t xml:space="preserve"> 45.panta trešās daļas un </w:t>
            </w:r>
            <w:r w:rsidRPr="001503B0">
              <w:rPr>
                <w:b/>
                <w:bCs/>
              </w:rPr>
              <w:t>45.</w:t>
            </w:r>
            <w:r w:rsidRPr="001503B0">
              <w:rPr>
                <w:b/>
                <w:bCs/>
                <w:vertAlign w:val="superscript"/>
              </w:rPr>
              <w:t xml:space="preserve">2 </w:t>
            </w:r>
            <w:r w:rsidRPr="001503B0">
              <w:rPr>
                <w:b/>
                <w:bCs/>
              </w:rPr>
              <w:t xml:space="preserve">panta </w:t>
            </w:r>
            <w:r w:rsidRPr="00BD07CF">
              <w:rPr>
                <w:bCs/>
              </w:rPr>
              <w:t xml:space="preserve">sankcijas atstāt līdzšinējā apmērā, bet </w:t>
            </w:r>
            <w:r w:rsidR="00DF45F3" w:rsidRPr="001503B0">
              <w:rPr>
                <w:b/>
                <w:bCs/>
              </w:rPr>
              <w:t xml:space="preserve">LAPK </w:t>
            </w:r>
            <w:r w:rsidRPr="001503B0">
              <w:rPr>
                <w:b/>
                <w:bCs/>
              </w:rPr>
              <w:t>45.</w:t>
            </w:r>
            <w:r w:rsidRPr="001503B0">
              <w:rPr>
                <w:b/>
                <w:bCs/>
                <w:vertAlign w:val="superscript"/>
              </w:rPr>
              <w:t>5</w:t>
            </w:r>
            <w:r w:rsidRPr="00BD07CF">
              <w:rPr>
                <w:bCs/>
                <w:vertAlign w:val="superscript"/>
              </w:rPr>
              <w:t xml:space="preserve"> </w:t>
            </w:r>
            <w:r w:rsidRPr="00BD07CF">
              <w:rPr>
                <w:bCs/>
              </w:rPr>
              <w:t xml:space="preserve">panta sankciju noteikt, paredzot brīdinājumu vai naudas sodu līdz </w:t>
            </w:r>
            <w:r w:rsidRPr="00BD07CF">
              <w:t xml:space="preserve">simt četrdesmit </w:t>
            </w:r>
            <w:proofErr w:type="spellStart"/>
            <w:r w:rsidRPr="00BD07CF">
              <w:rPr>
                <w:iCs/>
              </w:rPr>
              <w:t>euro</w:t>
            </w:r>
            <w:proofErr w:type="spellEnd"/>
            <w:r>
              <w:rPr>
                <w:iCs/>
              </w:rPr>
              <w:t>.</w:t>
            </w:r>
          </w:p>
          <w:p w:rsidR="0088116D" w:rsidRDefault="0088116D" w:rsidP="00DF45F3">
            <w:pPr>
              <w:pStyle w:val="naiskr"/>
              <w:tabs>
                <w:tab w:val="left" w:pos="2628"/>
              </w:tabs>
              <w:spacing w:before="0" w:after="120"/>
              <w:jc w:val="both"/>
              <w:rPr>
                <w:iCs/>
              </w:rPr>
            </w:pPr>
            <w:r w:rsidRPr="00F43D64">
              <w:rPr>
                <w:b/>
                <w:iCs/>
              </w:rPr>
              <w:t>Veselības aprūpes un darba devēju asociācija</w:t>
            </w:r>
            <w:r>
              <w:rPr>
                <w:iCs/>
              </w:rPr>
              <w:t xml:space="preserve"> </w:t>
            </w:r>
            <w:r w:rsidR="00DF45F3">
              <w:rPr>
                <w:iCs/>
              </w:rPr>
              <w:t xml:space="preserve">(VADDA) </w:t>
            </w:r>
            <w:r w:rsidR="00F43D64">
              <w:rPr>
                <w:iCs/>
              </w:rPr>
              <w:t xml:space="preserve">par </w:t>
            </w:r>
            <w:r w:rsidR="00F43D64" w:rsidRPr="00F43D64">
              <w:rPr>
                <w:b/>
                <w:iCs/>
              </w:rPr>
              <w:t xml:space="preserve">LAPK </w:t>
            </w:r>
            <w:r w:rsidR="00F43D64" w:rsidRPr="00F43D64">
              <w:rPr>
                <w:b/>
                <w:color w:val="000000"/>
                <w:shd w:val="clear" w:color="auto" w:fill="FFFFFF"/>
              </w:rPr>
              <w:t>45.</w:t>
            </w:r>
            <w:r w:rsidR="00F43D64" w:rsidRPr="00F43D64">
              <w:rPr>
                <w:b/>
                <w:vertAlign w:val="superscript"/>
              </w:rPr>
              <w:t xml:space="preserve"> </w:t>
            </w:r>
            <w:r w:rsidR="00F43D64" w:rsidRPr="00F43D64">
              <w:rPr>
                <w:b/>
                <w:color w:val="000000"/>
                <w:shd w:val="clear" w:color="auto" w:fill="FFFFFF"/>
              </w:rPr>
              <w:t>pant</w:t>
            </w:r>
            <w:r w:rsidR="00F43D64">
              <w:rPr>
                <w:b/>
                <w:color w:val="000000"/>
                <w:shd w:val="clear" w:color="auto" w:fill="FFFFFF"/>
              </w:rPr>
              <w:t xml:space="preserve">a trešo daļas </w:t>
            </w:r>
            <w:r w:rsidR="00F43D64" w:rsidRPr="00F43D64">
              <w:rPr>
                <w:color w:val="000000"/>
                <w:shd w:val="clear" w:color="auto" w:fill="FFFFFF"/>
              </w:rPr>
              <w:t>precizēto redakciju</w:t>
            </w:r>
            <w:r w:rsidR="00F43D64" w:rsidRPr="00F43D64">
              <w:rPr>
                <w:color w:val="000000"/>
                <w:sz w:val="28"/>
                <w:szCs w:val="28"/>
                <w:shd w:val="clear" w:color="auto" w:fill="FFFFFF"/>
              </w:rPr>
              <w:t xml:space="preserve"> </w:t>
            </w:r>
            <w:r>
              <w:rPr>
                <w:iCs/>
              </w:rPr>
              <w:t>norāda, ka Ministru kabineta noteikumi Nr.468 ir novecojuši, tādēļ to piemērošana ir neskaidra un administratīvā atbildība tiks balstīts uz novecojušiem noteikumiem, nepieciešams pieņemt jaunus M</w:t>
            </w:r>
            <w:r w:rsidR="00DF45F3">
              <w:rPr>
                <w:iCs/>
              </w:rPr>
              <w:t xml:space="preserve">inistru </w:t>
            </w:r>
            <w:r>
              <w:rPr>
                <w:iCs/>
              </w:rPr>
              <w:t>k</w:t>
            </w:r>
            <w:r w:rsidR="00DF45F3">
              <w:rPr>
                <w:iCs/>
              </w:rPr>
              <w:t>abineta</w:t>
            </w:r>
            <w:r>
              <w:rPr>
                <w:iCs/>
              </w:rPr>
              <w:t xml:space="preserve"> noteikumus par medicīnisko tehnolo</w:t>
            </w:r>
            <w:r w:rsidR="00DF45F3">
              <w:rPr>
                <w:iCs/>
              </w:rPr>
              <w:t>ģi</w:t>
            </w:r>
            <w:r>
              <w:rPr>
                <w:iCs/>
              </w:rPr>
              <w:t xml:space="preserve">ju </w:t>
            </w:r>
            <w:r w:rsidR="00DF45F3">
              <w:rPr>
                <w:iCs/>
              </w:rPr>
              <w:t>apstiprināšanas un ieviešanas kārtību.</w:t>
            </w:r>
          </w:p>
          <w:p w:rsidR="00DF45F3" w:rsidRDefault="00DF45F3" w:rsidP="00DF45F3">
            <w:pPr>
              <w:pStyle w:val="naiskr"/>
              <w:tabs>
                <w:tab w:val="left" w:pos="2628"/>
              </w:tabs>
              <w:spacing w:before="0" w:after="120"/>
              <w:jc w:val="both"/>
              <w:rPr>
                <w:iCs/>
              </w:rPr>
            </w:pPr>
            <w:r>
              <w:rPr>
                <w:iCs/>
              </w:rPr>
              <w:t xml:space="preserve">VADDA iebildums </w:t>
            </w:r>
            <w:r w:rsidR="00F43D64">
              <w:rPr>
                <w:iCs/>
              </w:rPr>
              <w:t xml:space="preserve">par </w:t>
            </w:r>
            <w:r w:rsidR="00F43D64" w:rsidRPr="00F43D64">
              <w:rPr>
                <w:b/>
                <w:iCs/>
              </w:rPr>
              <w:t xml:space="preserve">LAPK </w:t>
            </w:r>
            <w:r w:rsidR="00F43D64" w:rsidRPr="00F43D64">
              <w:rPr>
                <w:b/>
                <w:color w:val="000000"/>
                <w:shd w:val="clear" w:color="auto" w:fill="FFFFFF"/>
              </w:rPr>
              <w:t>45.</w:t>
            </w:r>
            <w:r w:rsidR="00F43D64" w:rsidRPr="00F43D64">
              <w:rPr>
                <w:b/>
                <w:vertAlign w:val="superscript"/>
              </w:rPr>
              <w:t xml:space="preserve"> </w:t>
            </w:r>
            <w:r w:rsidR="00F43D64" w:rsidRPr="00F43D64">
              <w:rPr>
                <w:b/>
                <w:color w:val="000000"/>
                <w:shd w:val="clear" w:color="auto" w:fill="FFFFFF"/>
              </w:rPr>
              <w:t>panta trešo daļu</w:t>
            </w:r>
            <w:r w:rsidR="00F43D64" w:rsidRPr="001B0D9E">
              <w:rPr>
                <w:color w:val="000000"/>
                <w:sz w:val="28"/>
                <w:szCs w:val="28"/>
                <w:shd w:val="clear" w:color="auto" w:fill="FFFFFF"/>
              </w:rPr>
              <w:t xml:space="preserve"> </w:t>
            </w:r>
            <w:r>
              <w:rPr>
                <w:iCs/>
              </w:rPr>
              <w:t>zaudējis aktualitāti, jo Veselības ministrija 2014.gadā izstrādāja un Ministru kabinets pieņēma grozījumus Ministru kabineta noteikumi Nr.468, kas aktualizē tiesisko regulējumu.</w:t>
            </w:r>
          </w:p>
          <w:p w:rsidR="00DF45F3" w:rsidRDefault="00DF45F3" w:rsidP="00DF45F3">
            <w:pPr>
              <w:pStyle w:val="naiskr"/>
              <w:tabs>
                <w:tab w:val="left" w:pos="2628"/>
              </w:tabs>
              <w:spacing w:before="0" w:after="120"/>
              <w:jc w:val="both"/>
              <w:rPr>
                <w:iCs/>
              </w:rPr>
            </w:pPr>
            <w:r>
              <w:rPr>
                <w:iCs/>
              </w:rPr>
              <w:t xml:space="preserve">Par grozījumu </w:t>
            </w:r>
            <w:r w:rsidRPr="00DF45F3">
              <w:rPr>
                <w:b/>
                <w:iCs/>
              </w:rPr>
              <w:t>LAPK 166.</w:t>
            </w:r>
            <w:r w:rsidRPr="00DF45F3">
              <w:rPr>
                <w:b/>
                <w:iCs/>
                <w:vertAlign w:val="superscript"/>
              </w:rPr>
              <w:t>15.</w:t>
            </w:r>
            <w:r w:rsidRPr="00DF45F3">
              <w:rPr>
                <w:b/>
                <w:iCs/>
              </w:rPr>
              <w:t>pantā</w:t>
            </w:r>
            <w:r>
              <w:rPr>
                <w:iCs/>
              </w:rPr>
              <w:t xml:space="preserve"> VADDA norāda, ka </w:t>
            </w:r>
            <w:r>
              <w:rPr>
                <w:iCs/>
              </w:rPr>
              <w:lastRenderedPageBreak/>
              <w:t>groz</w:t>
            </w:r>
            <w:r w:rsidR="001613CE">
              <w:rPr>
                <w:iCs/>
              </w:rPr>
              <w:t>ījums ir pamatots, bet nepiecieša</w:t>
            </w:r>
            <w:r>
              <w:rPr>
                <w:iCs/>
              </w:rPr>
              <w:t>ms precizēt piemērošanu</w:t>
            </w:r>
            <w:r w:rsidR="002F4412">
              <w:rPr>
                <w:iCs/>
              </w:rPr>
              <w:t>,</w:t>
            </w:r>
            <w:r>
              <w:rPr>
                <w:iCs/>
              </w:rPr>
              <w:t xml:space="preserve"> saprātīgi noteikt minimālo preču daudzumu vai lietošanas apjomu, uz kuru attiecināms atbilstības apliecinājuma dokumentu komplekts. Nepieciešams noteikt kritērijus un diferencēt soda apmēru, lai sods būtu samērīgs ar nodarījumu.</w:t>
            </w:r>
          </w:p>
          <w:p w:rsidR="00DF45F3" w:rsidRPr="00DF45F3" w:rsidRDefault="00DF45F3" w:rsidP="00DF45F3">
            <w:pPr>
              <w:pStyle w:val="naiskr"/>
              <w:tabs>
                <w:tab w:val="left" w:pos="2628"/>
              </w:tabs>
              <w:spacing w:before="0" w:after="120"/>
              <w:jc w:val="both"/>
            </w:pPr>
            <w:r>
              <w:rPr>
                <w:iCs/>
              </w:rPr>
              <w:t>Veselības ministrija norāda, ka jautājums par preču daudzumu un atsevišķu kritēriju reglamentāciju ietverams speciālajos normatīvajos aktos.</w:t>
            </w:r>
            <w:r w:rsidR="002F4412">
              <w:rPr>
                <w:iCs/>
              </w:rPr>
              <w:t xml:space="preserve"> Piemērojamais soda apmērs tiks noteikts saskaņā ar vadlīnijām.</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lastRenderedPageBreak/>
              <w:t>3.</w:t>
            </w:r>
          </w:p>
        </w:tc>
        <w:tc>
          <w:tcPr>
            <w:tcW w:w="3161" w:type="dxa"/>
          </w:tcPr>
          <w:p w:rsidR="00FE4973" w:rsidRPr="000C018D" w:rsidRDefault="00FE4973" w:rsidP="00506F1D">
            <w:pPr>
              <w:pStyle w:val="naiskr"/>
              <w:tabs>
                <w:tab w:val="left" w:pos="2628"/>
              </w:tabs>
              <w:spacing w:before="0" w:after="120"/>
              <w:rPr>
                <w:iCs/>
              </w:rPr>
            </w:pPr>
            <w:r w:rsidRPr="000C018D">
              <w:t>Sabiedrības līdzdalības rezultāti</w:t>
            </w:r>
          </w:p>
        </w:tc>
        <w:tc>
          <w:tcPr>
            <w:tcW w:w="5476" w:type="dxa"/>
          </w:tcPr>
          <w:p w:rsidR="002C2873" w:rsidRDefault="00D3753F" w:rsidP="007D6032">
            <w:pPr>
              <w:jc w:val="both"/>
              <w:rPr>
                <w:iCs/>
              </w:rPr>
            </w:pPr>
            <w:r w:rsidRPr="000C018D">
              <w:t xml:space="preserve">Realizējot </w:t>
            </w:r>
            <w:r w:rsidRPr="000C018D">
              <w:rPr>
                <w:i/>
              </w:rPr>
              <w:t>Nozaru administratīvo pārkāpumu kodifikācijas ieviešanas plānu</w:t>
            </w:r>
            <w:r w:rsidR="00237A3D" w:rsidRPr="000C018D">
              <w:t xml:space="preserve"> (20</w:t>
            </w:r>
            <w:r w:rsidR="004065C4" w:rsidRPr="000C018D">
              <w:t>1</w:t>
            </w:r>
            <w:r w:rsidR="00237A3D" w:rsidRPr="000C018D">
              <w:t xml:space="preserve">5. </w:t>
            </w:r>
            <w:r w:rsidR="004065C4" w:rsidRPr="000C018D">
              <w:t>u</w:t>
            </w:r>
            <w:r w:rsidR="00237A3D" w:rsidRPr="000C018D">
              <w:t>n 2016.gadā)</w:t>
            </w:r>
            <w:r w:rsidRPr="000C018D">
              <w:t>, un ietverot</w:t>
            </w:r>
            <w:r w:rsidRPr="000C018D">
              <w:rPr>
                <w:iCs/>
              </w:rPr>
              <w:t xml:space="preserve"> nozaru likumos a</w:t>
            </w:r>
            <w:r w:rsidR="00852988" w:rsidRPr="000C018D">
              <w:rPr>
                <w:iCs/>
              </w:rPr>
              <w:t xml:space="preserve">dministratīvo </w:t>
            </w:r>
            <w:r w:rsidRPr="000C018D">
              <w:rPr>
                <w:iCs/>
              </w:rPr>
              <w:t>pārkāpumu sastāvus,</w:t>
            </w:r>
            <w:r w:rsidR="00852988" w:rsidRPr="000C018D">
              <w:rPr>
                <w:iCs/>
              </w:rPr>
              <w:t xml:space="preserve"> tiks veikta administratīv</w:t>
            </w:r>
            <w:r w:rsidRPr="000C018D">
              <w:rPr>
                <w:iCs/>
              </w:rPr>
              <w:t>ā</w:t>
            </w:r>
            <w:r w:rsidR="00852988" w:rsidRPr="000C018D">
              <w:rPr>
                <w:iCs/>
              </w:rPr>
              <w:t xml:space="preserve"> soda </w:t>
            </w:r>
            <w:r w:rsidRPr="000C018D">
              <w:rPr>
                <w:iCs/>
              </w:rPr>
              <w:t xml:space="preserve">apmēra </w:t>
            </w:r>
            <w:r w:rsidR="00852988" w:rsidRPr="000C018D">
              <w:rPr>
                <w:iCs/>
              </w:rPr>
              <w:t>pārskatīšana</w:t>
            </w:r>
            <w:r w:rsidR="007D6032">
              <w:rPr>
                <w:iCs/>
              </w:rPr>
              <w:t xml:space="preserve"> nozarē.</w:t>
            </w:r>
            <w:r w:rsidRPr="000C018D">
              <w:rPr>
                <w:iCs/>
              </w:rPr>
              <w:t xml:space="preserve"> Tiks ņemts vērā</w:t>
            </w:r>
            <w:r w:rsidR="00852988" w:rsidRPr="000C018D">
              <w:rPr>
                <w:iCs/>
              </w:rPr>
              <w:t>, ka netiks paredzēt</w:t>
            </w:r>
            <w:r w:rsidR="002C2873" w:rsidRPr="000C018D">
              <w:rPr>
                <w:iCs/>
              </w:rPr>
              <w:t>s</w:t>
            </w:r>
            <w:r w:rsidRPr="000C018D">
              <w:rPr>
                <w:iCs/>
              </w:rPr>
              <w:t xml:space="preserve"> administratīvais sods </w:t>
            </w:r>
            <w:r w:rsidR="00852988" w:rsidRPr="000C018D">
              <w:rPr>
                <w:iCs/>
              </w:rPr>
              <w:t xml:space="preserve">par atkārtojamību. Līdz ar to naudas soda apmērs par </w:t>
            </w:r>
            <w:r w:rsidR="00852988" w:rsidRPr="000C018D">
              <w:t>veselības aprūpes pārkāpumiem (LAPK 45.</w:t>
            </w:r>
            <w:r w:rsidR="00852988" w:rsidRPr="000C018D">
              <w:rPr>
                <w:vertAlign w:val="superscript"/>
              </w:rPr>
              <w:t>1</w:t>
            </w:r>
            <w:r w:rsidR="00852988" w:rsidRPr="000C018D">
              <w:t xml:space="preserve"> pants pirmā daļa) var tikt </w:t>
            </w:r>
            <w:r w:rsidR="00852988" w:rsidRPr="000C018D">
              <w:rPr>
                <w:iCs/>
              </w:rPr>
              <w:t>palielināts.</w:t>
            </w:r>
          </w:p>
          <w:p w:rsidR="007D6032" w:rsidRPr="000C018D" w:rsidRDefault="007D6032" w:rsidP="00223D38">
            <w:pPr>
              <w:pStyle w:val="naiskr"/>
              <w:tabs>
                <w:tab w:val="left" w:pos="2628"/>
              </w:tabs>
              <w:spacing w:before="0" w:after="120"/>
              <w:jc w:val="both"/>
              <w:rPr>
                <w:iCs/>
              </w:rPr>
            </w:pPr>
            <w:r w:rsidRPr="007D6032">
              <w:t xml:space="preserve">VM </w:t>
            </w:r>
            <w:r w:rsidR="002F4412">
              <w:t xml:space="preserve">2014.gadā </w:t>
            </w:r>
            <w:r w:rsidRPr="007D6032">
              <w:t>izstrādāja M</w:t>
            </w:r>
            <w:r>
              <w:t xml:space="preserve">inistru kabineta </w:t>
            </w:r>
            <w:r w:rsidRPr="007D6032">
              <w:t xml:space="preserve">noteikumu projektu </w:t>
            </w:r>
            <w:r>
              <w:t>„</w:t>
            </w:r>
            <w:r w:rsidRPr="007D6032">
              <w:t>Grozījumi Ministru kabineta 2005.ga</w:t>
            </w:r>
            <w:r>
              <w:t>da 28.jūnija noteikumos Nr.468 „</w:t>
            </w:r>
            <w:r w:rsidRPr="007D6032">
              <w:t>Ārstniecībā izmantojamo medicīnisko tehnoloģiju apstiprināšanas un jaunu medicīnisko tehnoloģiju ieviešanas kārtība""</w:t>
            </w:r>
            <w:r>
              <w:t xml:space="preserve">, lai mazinātu administratīvo slogu medicīnisko tehnoloģiju reģistrācijā. VM neatbalsta </w:t>
            </w:r>
            <w:r w:rsidRPr="000C018D">
              <w:t>LAPK 45.panta trešā</w:t>
            </w:r>
            <w:r>
              <w:t>s</w:t>
            </w:r>
            <w:r w:rsidRPr="000C018D">
              <w:t xml:space="preserve"> daļa</w:t>
            </w:r>
            <w:r>
              <w:t>s (</w:t>
            </w:r>
            <w:r w:rsidRPr="000C018D">
              <w:t>ar kuru paredzēta administratīvā atbildība par nereģistrētas medicīniskas tehnoloģijas lietošanu</w:t>
            </w:r>
            <w:r>
              <w:t>), izslēgšanu</w:t>
            </w:r>
            <w:r w:rsidR="00223D38">
              <w:t xml:space="preserve">, jo nepieciešams LAPK paredzēt administratīvo atbildību </w:t>
            </w:r>
            <w:r w:rsidR="00223D38" w:rsidRPr="00223D38">
              <w:t>par tādas medicīniskās tehnoloģijas izmantošanu ārstniecībā, kuru nav apstiprinājusi noteiktā kārtībā pilnvarota institūcija</w:t>
            </w:r>
            <w:r w:rsidR="00223D38">
              <w:t>.</w:t>
            </w:r>
          </w:p>
        </w:tc>
      </w:tr>
      <w:tr w:rsidR="009A0027" w:rsidRPr="00D00B93" w:rsidTr="00A84596">
        <w:trPr>
          <w:jc w:val="center"/>
        </w:trPr>
        <w:tc>
          <w:tcPr>
            <w:tcW w:w="1358" w:type="dxa"/>
          </w:tcPr>
          <w:p w:rsidR="00FE4973" w:rsidRPr="00D00B93" w:rsidRDefault="00FE4973" w:rsidP="006D0922">
            <w:pPr>
              <w:pStyle w:val="naiskr"/>
              <w:tabs>
                <w:tab w:val="left" w:pos="2628"/>
              </w:tabs>
              <w:spacing w:before="0" w:after="0"/>
              <w:jc w:val="center"/>
              <w:rPr>
                <w:iCs/>
                <w:sz w:val="28"/>
                <w:szCs w:val="28"/>
              </w:rPr>
            </w:pPr>
            <w:r w:rsidRPr="00D00B93">
              <w:rPr>
                <w:iCs/>
                <w:sz w:val="28"/>
                <w:szCs w:val="28"/>
              </w:rPr>
              <w:t>4.</w:t>
            </w:r>
          </w:p>
        </w:tc>
        <w:tc>
          <w:tcPr>
            <w:tcW w:w="3161" w:type="dxa"/>
          </w:tcPr>
          <w:p w:rsidR="00FE4973" w:rsidRPr="000C018D" w:rsidRDefault="00FE4973" w:rsidP="00A43390">
            <w:pPr>
              <w:pStyle w:val="naiskr"/>
              <w:tabs>
                <w:tab w:val="left" w:pos="2628"/>
              </w:tabs>
              <w:spacing w:before="0" w:after="60"/>
            </w:pPr>
            <w:r w:rsidRPr="000C018D">
              <w:t>Cita informācija</w:t>
            </w:r>
          </w:p>
        </w:tc>
        <w:tc>
          <w:tcPr>
            <w:tcW w:w="5476" w:type="dxa"/>
          </w:tcPr>
          <w:p w:rsidR="00FE4973" w:rsidRPr="000C018D" w:rsidRDefault="00204489" w:rsidP="00506F1D">
            <w:pPr>
              <w:pStyle w:val="naiskr"/>
              <w:tabs>
                <w:tab w:val="left" w:pos="2628"/>
              </w:tabs>
              <w:spacing w:before="0" w:after="120"/>
              <w:jc w:val="both"/>
            </w:pPr>
            <w:r w:rsidRPr="000C018D">
              <w:t>Nav.</w:t>
            </w:r>
          </w:p>
        </w:tc>
      </w:tr>
    </w:tbl>
    <w:p w:rsidR="00FE4973" w:rsidRDefault="00FE4973" w:rsidP="006D0922">
      <w:pPr>
        <w:pStyle w:val="naisf"/>
        <w:spacing w:before="0" w:after="0"/>
        <w:ind w:firstLine="0"/>
        <w:rPr>
          <w:sz w:val="28"/>
          <w:szCs w:val="28"/>
        </w:rPr>
      </w:pPr>
    </w:p>
    <w:tbl>
      <w:tblPr>
        <w:tblW w:w="9995"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903"/>
        <w:gridCol w:w="3010"/>
        <w:gridCol w:w="6082"/>
      </w:tblGrid>
      <w:tr w:rsidR="009A0027" w:rsidRPr="00D00B93" w:rsidTr="00133B52">
        <w:trPr>
          <w:jc w:val="center"/>
        </w:trPr>
        <w:tc>
          <w:tcPr>
            <w:tcW w:w="9995" w:type="dxa"/>
            <w:gridSpan w:val="3"/>
            <w:tcBorders>
              <w:top w:val="single" w:sz="4" w:space="0" w:color="auto"/>
              <w:left w:val="single" w:sz="4" w:space="0" w:color="auto"/>
              <w:bottom w:val="single" w:sz="4" w:space="0" w:color="auto"/>
              <w:right w:val="single" w:sz="4" w:space="0" w:color="auto"/>
            </w:tcBorders>
          </w:tcPr>
          <w:p w:rsidR="004C49D2" w:rsidRPr="00D00B93" w:rsidRDefault="004C49D2" w:rsidP="00097549">
            <w:pPr>
              <w:pStyle w:val="naisnod"/>
              <w:spacing w:before="0" w:after="60"/>
              <w:rPr>
                <w:sz w:val="28"/>
                <w:szCs w:val="28"/>
              </w:rPr>
            </w:pPr>
            <w:r w:rsidRPr="00D00B93">
              <w:rPr>
                <w:sz w:val="28"/>
                <w:szCs w:val="28"/>
              </w:rPr>
              <w:t>VII. Tiesību akta projekta izpildes nodrošināšana un tās ietekme uz institūcijām</w:t>
            </w:r>
          </w:p>
        </w:tc>
      </w:tr>
      <w:tr w:rsidR="009A0027" w:rsidRPr="00D00B93"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D00B93" w:rsidRDefault="004C49D2" w:rsidP="006D0922">
            <w:pPr>
              <w:pStyle w:val="NormalWeb"/>
              <w:spacing w:before="0" w:beforeAutospacing="0" w:after="0" w:afterAutospacing="0"/>
              <w:jc w:val="center"/>
              <w:rPr>
                <w:rFonts w:ascii="Times New Roman" w:hAnsi="Times New Roman" w:cs="Times New Roman"/>
                <w:sz w:val="28"/>
                <w:szCs w:val="28"/>
                <w:lang w:val="lv-LV"/>
              </w:rPr>
            </w:pPr>
            <w:r w:rsidRPr="00D00B93">
              <w:rPr>
                <w:rFonts w:ascii="Times New Roman" w:hAnsi="Times New Roman" w:cs="Times New Roman"/>
                <w:sz w:val="28"/>
                <w:szCs w:val="28"/>
                <w:lang w:val="lv-LV"/>
              </w:rPr>
              <w:t>1.</w:t>
            </w:r>
          </w:p>
        </w:tc>
        <w:tc>
          <w:tcPr>
            <w:tcW w:w="3010" w:type="dxa"/>
            <w:tcBorders>
              <w:top w:val="outset" w:sz="6" w:space="0" w:color="000000"/>
              <w:left w:val="outset" w:sz="6" w:space="0" w:color="000000"/>
              <w:bottom w:val="outset" w:sz="6" w:space="0" w:color="000000"/>
              <w:right w:val="outset" w:sz="6" w:space="0" w:color="000000"/>
            </w:tcBorders>
            <w:hideMark/>
          </w:tcPr>
          <w:p w:rsidR="004C49D2" w:rsidRPr="000C018D" w:rsidRDefault="004C49D2" w:rsidP="00506F1D">
            <w:pPr>
              <w:pStyle w:val="NormalWeb"/>
              <w:spacing w:before="0" w:beforeAutospacing="0" w:after="120" w:afterAutospacing="0"/>
              <w:rPr>
                <w:rFonts w:ascii="Times New Roman" w:hAnsi="Times New Roman" w:cs="Times New Roman"/>
                <w:lang w:val="lv-LV"/>
              </w:rPr>
            </w:pPr>
            <w:r w:rsidRPr="000C018D">
              <w:rPr>
                <w:rFonts w:ascii="Times New Roman" w:hAnsi="Times New Roman" w:cs="Times New Roman"/>
                <w:lang w:val="lv-LV"/>
              </w:rPr>
              <w:t>Projekta izpildē iesaistītās institūcijas</w:t>
            </w:r>
          </w:p>
        </w:tc>
        <w:tc>
          <w:tcPr>
            <w:tcW w:w="6082" w:type="dxa"/>
            <w:tcBorders>
              <w:top w:val="outset" w:sz="6" w:space="0" w:color="000000"/>
              <w:left w:val="outset" w:sz="6" w:space="0" w:color="000000"/>
              <w:bottom w:val="outset" w:sz="6" w:space="0" w:color="000000"/>
              <w:right w:val="outset" w:sz="6" w:space="0" w:color="000000"/>
            </w:tcBorders>
          </w:tcPr>
          <w:p w:rsidR="004C49D2" w:rsidRPr="000C018D" w:rsidRDefault="009D6202" w:rsidP="006D0922">
            <w:pPr>
              <w:pStyle w:val="NormalWeb"/>
              <w:spacing w:before="0" w:beforeAutospacing="0" w:after="0" w:afterAutospacing="0"/>
              <w:jc w:val="both"/>
              <w:rPr>
                <w:rFonts w:ascii="Times New Roman" w:hAnsi="Times New Roman" w:cs="Times New Roman"/>
                <w:lang w:val="lv-LV"/>
              </w:rPr>
            </w:pPr>
            <w:r w:rsidRPr="000C018D">
              <w:rPr>
                <w:rFonts w:ascii="Times New Roman" w:hAnsi="Times New Roman" w:cs="Times New Roman"/>
                <w:lang w:val="lv-LV"/>
              </w:rPr>
              <w:t>Veselības inspekcija</w:t>
            </w:r>
            <w:r w:rsidR="002D7DC7" w:rsidRPr="000C018D">
              <w:rPr>
                <w:rFonts w:ascii="Times New Roman" w:hAnsi="Times New Roman" w:cs="Times New Roman"/>
                <w:lang w:val="lv-LV"/>
              </w:rPr>
              <w:t>.</w:t>
            </w:r>
          </w:p>
        </w:tc>
      </w:tr>
      <w:tr w:rsidR="009A0027" w:rsidRPr="009656DE"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9656DE" w:rsidRDefault="004C49D2" w:rsidP="006D0922">
            <w:pPr>
              <w:pStyle w:val="NormalWeb"/>
              <w:spacing w:before="0" w:beforeAutospacing="0" w:after="0" w:afterAutospacing="0"/>
              <w:jc w:val="center"/>
              <w:rPr>
                <w:rFonts w:ascii="Times New Roman" w:hAnsi="Times New Roman" w:cs="Times New Roman"/>
                <w:lang w:val="lv-LV"/>
              </w:rPr>
            </w:pPr>
            <w:r w:rsidRPr="009656DE">
              <w:rPr>
                <w:rFonts w:ascii="Times New Roman" w:hAnsi="Times New Roman" w:cs="Times New Roman"/>
                <w:lang w:val="lv-LV"/>
              </w:rPr>
              <w:t>2.</w:t>
            </w:r>
          </w:p>
        </w:tc>
        <w:tc>
          <w:tcPr>
            <w:tcW w:w="3010" w:type="dxa"/>
            <w:tcBorders>
              <w:top w:val="outset" w:sz="6" w:space="0" w:color="000000"/>
              <w:left w:val="outset" w:sz="6" w:space="0" w:color="000000"/>
              <w:bottom w:val="outset" w:sz="6" w:space="0" w:color="000000"/>
              <w:right w:val="outset" w:sz="6" w:space="0" w:color="000000"/>
            </w:tcBorders>
            <w:hideMark/>
          </w:tcPr>
          <w:p w:rsidR="00D00B93" w:rsidRPr="000C018D" w:rsidRDefault="00E62175" w:rsidP="00D00B93">
            <w:pPr>
              <w:spacing w:after="120"/>
            </w:pPr>
            <w:r w:rsidRPr="000C018D">
              <w:t>Projekta izpildes ietekme uz pārvaldes funkcijām un institucionālo struktūru.</w:t>
            </w:r>
            <w:r w:rsidR="00D00B93" w:rsidRPr="000C018D">
              <w:t xml:space="preserve"> </w:t>
            </w:r>
          </w:p>
          <w:p w:rsidR="004C49D2" w:rsidRPr="000C018D" w:rsidRDefault="00E62175" w:rsidP="00D00B93">
            <w:pPr>
              <w:spacing w:after="120"/>
            </w:pPr>
            <w:r w:rsidRPr="000C018D">
              <w:t>Jaunu institūciju izveide, esošu institūciju likvidācija vai reorganizācija, to ietekme uz institūcijas cilvēkresursiem</w:t>
            </w:r>
          </w:p>
        </w:tc>
        <w:tc>
          <w:tcPr>
            <w:tcW w:w="6082" w:type="dxa"/>
            <w:tcBorders>
              <w:top w:val="outset" w:sz="6" w:space="0" w:color="000000"/>
              <w:left w:val="outset" w:sz="6" w:space="0" w:color="000000"/>
              <w:bottom w:val="outset" w:sz="6" w:space="0" w:color="000000"/>
              <w:right w:val="outset" w:sz="6" w:space="0" w:color="000000"/>
            </w:tcBorders>
          </w:tcPr>
          <w:p w:rsidR="004C49D2" w:rsidRPr="000C018D" w:rsidRDefault="009D6202" w:rsidP="009D6202">
            <w:pPr>
              <w:pStyle w:val="naiskr"/>
              <w:spacing w:before="0" w:after="0"/>
              <w:jc w:val="both"/>
              <w:rPr>
                <w:iCs/>
              </w:rPr>
            </w:pPr>
            <w:r w:rsidRPr="000C018D">
              <w:t>Veselības inspekcijas funkcijas netiek paplašinātas</w:t>
            </w:r>
            <w:r w:rsidR="00204489" w:rsidRPr="000C018D">
              <w:t>.</w:t>
            </w:r>
          </w:p>
        </w:tc>
      </w:tr>
      <w:tr w:rsidR="009A0027" w:rsidRPr="009656DE" w:rsidTr="00133B5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tblPrEx>
        <w:trPr>
          <w:jc w:val="center"/>
        </w:trPr>
        <w:tc>
          <w:tcPr>
            <w:tcW w:w="903" w:type="dxa"/>
            <w:tcBorders>
              <w:top w:val="outset" w:sz="6" w:space="0" w:color="000000"/>
              <w:left w:val="outset" w:sz="6" w:space="0" w:color="000000"/>
              <w:bottom w:val="outset" w:sz="6" w:space="0" w:color="000000"/>
              <w:right w:val="outset" w:sz="6" w:space="0" w:color="000000"/>
            </w:tcBorders>
            <w:hideMark/>
          </w:tcPr>
          <w:p w:rsidR="004C49D2" w:rsidRPr="009656DE" w:rsidRDefault="004C49D2" w:rsidP="006D0922">
            <w:pPr>
              <w:pStyle w:val="NormalWeb"/>
              <w:spacing w:before="0" w:beforeAutospacing="0" w:after="0" w:afterAutospacing="0"/>
              <w:jc w:val="center"/>
              <w:rPr>
                <w:rFonts w:ascii="Times New Roman" w:hAnsi="Times New Roman" w:cs="Times New Roman"/>
                <w:lang w:val="lv-LV"/>
              </w:rPr>
            </w:pPr>
            <w:r w:rsidRPr="009656DE">
              <w:rPr>
                <w:rFonts w:ascii="Times New Roman" w:hAnsi="Times New Roman" w:cs="Times New Roman"/>
                <w:lang w:val="lv-LV"/>
              </w:rPr>
              <w:lastRenderedPageBreak/>
              <w:t>3.</w:t>
            </w:r>
          </w:p>
        </w:tc>
        <w:tc>
          <w:tcPr>
            <w:tcW w:w="3010" w:type="dxa"/>
            <w:tcBorders>
              <w:top w:val="outset" w:sz="6" w:space="0" w:color="000000"/>
              <w:left w:val="outset" w:sz="6" w:space="0" w:color="000000"/>
              <w:bottom w:val="outset" w:sz="6" w:space="0" w:color="000000"/>
              <w:right w:val="outset" w:sz="6" w:space="0" w:color="000000"/>
            </w:tcBorders>
            <w:hideMark/>
          </w:tcPr>
          <w:p w:rsidR="004C49D2" w:rsidRPr="000C018D" w:rsidRDefault="00E62175" w:rsidP="00506F1D">
            <w:pPr>
              <w:pStyle w:val="NormalWeb"/>
              <w:spacing w:before="0" w:beforeAutospacing="0" w:after="120" w:afterAutospacing="0"/>
              <w:rPr>
                <w:rFonts w:ascii="Times New Roman" w:hAnsi="Times New Roman" w:cs="Times New Roman"/>
                <w:lang w:val="lv-LV"/>
              </w:rPr>
            </w:pPr>
            <w:r w:rsidRPr="000C018D">
              <w:rPr>
                <w:rFonts w:ascii="Times New Roman" w:hAnsi="Times New Roman" w:cs="Times New Roman"/>
                <w:lang w:val="lv-LV"/>
              </w:rPr>
              <w:t>Cita informācija</w:t>
            </w:r>
          </w:p>
        </w:tc>
        <w:tc>
          <w:tcPr>
            <w:tcW w:w="6082" w:type="dxa"/>
            <w:tcBorders>
              <w:top w:val="outset" w:sz="6" w:space="0" w:color="000000"/>
              <w:left w:val="outset" w:sz="6" w:space="0" w:color="000000"/>
              <w:bottom w:val="outset" w:sz="6" w:space="0" w:color="000000"/>
              <w:right w:val="outset" w:sz="6" w:space="0" w:color="000000"/>
            </w:tcBorders>
          </w:tcPr>
          <w:p w:rsidR="004C49D2" w:rsidRPr="000C018D" w:rsidRDefault="00204489" w:rsidP="006D0922">
            <w:pPr>
              <w:pStyle w:val="naiskr"/>
              <w:spacing w:before="0" w:after="0"/>
              <w:jc w:val="both"/>
              <w:rPr>
                <w:iCs/>
              </w:rPr>
            </w:pPr>
            <w:r w:rsidRPr="000C018D">
              <w:rPr>
                <w:iCs/>
              </w:rPr>
              <w:t>Nav.</w:t>
            </w:r>
          </w:p>
        </w:tc>
      </w:tr>
    </w:tbl>
    <w:p w:rsidR="009E2638" w:rsidRDefault="009E2638" w:rsidP="009E2638">
      <w:pPr>
        <w:pStyle w:val="naisf"/>
        <w:spacing w:before="0" w:after="0"/>
        <w:ind w:firstLine="0"/>
      </w:pPr>
    </w:p>
    <w:p w:rsidR="009E2638" w:rsidRDefault="009E2638" w:rsidP="009E2638">
      <w:pPr>
        <w:pStyle w:val="naisf"/>
        <w:spacing w:before="0" w:after="0"/>
        <w:ind w:firstLine="0"/>
      </w:pPr>
    </w:p>
    <w:p w:rsidR="00AB498A" w:rsidRDefault="00AB498A" w:rsidP="009E2638">
      <w:pPr>
        <w:pStyle w:val="naisf"/>
        <w:spacing w:before="0" w:after="0"/>
        <w:ind w:firstLine="0"/>
        <w:rPr>
          <w:sz w:val="28"/>
          <w:szCs w:val="28"/>
        </w:rPr>
      </w:pPr>
    </w:p>
    <w:p w:rsidR="009D6202" w:rsidRDefault="009D6202" w:rsidP="009E2638">
      <w:pPr>
        <w:pStyle w:val="naisf"/>
        <w:spacing w:before="0" w:after="0"/>
        <w:ind w:firstLine="0"/>
        <w:rPr>
          <w:sz w:val="28"/>
          <w:szCs w:val="28"/>
        </w:rPr>
      </w:pPr>
      <w:r w:rsidRPr="00583CC4">
        <w:rPr>
          <w:sz w:val="28"/>
          <w:szCs w:val="28"/>
        </w:rPr>
        <w:t>Veselības ministr</w:t>
      </w:r>
      <w:r w:rsidR="000F1479">
        <w:rPr>
          <w:sz w:val="28"/>
          <w:szCs w:val="28"/>
        </w:rPr>
        <w:t>s</w:t>
      </w:r>
      <w:r w:rsidRPr="00583CC4">
        <w:rPr>
          <w:sz w:val="28"/>
          <w:szCs w:val="28"/>
        </w:rPr>
        <w:tab/>
      </w:r>
      <w:r w:rsidRPr="00583CC4">
        <w:rPr>
          <w:sz w:val="28"/>
          <w:szCs w:val="28"/>
        </w:rPr>
        <w:tab/>
      </w:r>
      <w:r w:rsidRPr="00583CC4">
        <w:rPr>
          <w:sz w:val="28"/>
          <w:szCs w:val="28"/>
        </w:rPr>
        <w:tab/>
      </w:r>
      <w:r w:rsidRPr="00583CC4">
        <w:rPr>
          <w:sz w:val="28"/>
          <w:szCs w:val="28"/>
        </w:rPr>
        <w:tab/>
      </w:r>
      <w:r w:rsidRPr="00583CC4">
        <w:rPr>
          <w:sz w:val="28"/>
          <w:szCs w:val="28"/>
        </w:rPr>
        <w:tab/>
      </w:r>
      <w:r w:rsidR="00002A93">
        <w:rPr>
          <w:sz w:val="28"/>
          <w:szCs w:val="28"/>
        </w:rPr>
        <w:tab/>
      </w:r>
      <w:r w:rsidR="00002A93">
        <w:rPr>
          <w:sz w:val="28"/>
          <w:szCs w:val="28"/>
        </w:rPr>
        <w:tab/>
      </w:r>
      <w:r>
        <w:rPr>
          <w:sz w:val="28"/>
          <w:szCs w:val="28"/>
        </w:rPr>
        <w:tab/>
      </w:r>
      <w:proofErr w:type="spellStart"/>
      <w:r w:rsidR="00002A93">
        <w:rPr>
          <w:sz w:val="28"/>
          <w:szCs w:val="28"/>
        </w:rPr>
        <w:t>G.Belēvičs</w:t>
      </w:r>
      <w:proofErr w:type="spellEnd"/>
    </w:p>
    <w:p w:rsidR="00483F14" w:rsidRDefault="00483F14" w:rsidP="00B3715E">
      <w:pPr>
        <w:pStyle w:val="naisf"/>
        <w:spacing w:before="0" w:after="0"/>
        <w:ind w:firstLine="0"/>
        <w:rPr>
          <w:sz w:val="28"/>
          <w:szCs w:val="28"/>
        </w:rPr>
      </w:pPr>
    </w:p>
    <w:p w:rsidR="009E2638" w:rsidRPr="00583CC4" w:rsidRDefault="009E2638" w:rsidP="003D214C">
      <w:pPr>
        <w:pStyle w:val="naisf"/>
        <w:spacing w:before="0" w:after="0"/>
        <w:ind w:firstLine="0"/>
        <w:rPr>
          <w:sz w:val="28"/>
          <w:szCs w:val="28"/>
        </w:rPr>
      </w:pPr>
    </w:p>
    <w:p w:rsidR="00B3715E" w:rsidRDefault="00B3715E" w:rsidP="009D6202"/>
    <w:p w:rsidR="00B3715E" w:rsidRDefault="00B3715E" w:rsidP="009D6202"/>
    <w:p w:rsidR="00AB498A" w:rsidRDefault="00AB498A" w:rsidP="009D6202"/>
    <w:p w:rsidR="00AB498A" w:rsidRDefault="00AB498A" w:rsidP="009D6202"/>
    <w:p w:rsidR="00AB498A" w:rsidRDefault="00AB498A" w:rsidP="009D6202"/>
    <w:p w:rsidR="00746C1A" w:rsidRDefault="00746C1A" w:rsidP="009D6202"/>
    <w:p w:rsidR="00746C1A" w:rsidRDefault="00746C1A" w:rsidP="009D6202"/>
    <w:p w:rsidR="00746C1A" w:rsidRDefault="00746C1A" w:rsidP="009D6202"/>
    <w:p w:rsidR="00AB498A" w:rsidRDefault="00AB498A" w:rsidP="009D6202"/>
    <w:p w:rsidR="00AB498A" w:rsidRDefault="00AB498A" w:rsidP="009D6202"/>
    <w:p w:rsidR="00AB498A" w:rsidRDefault="00AB498A" w:rsidP="009D6202"/>
    <w:p w:rsidR="00B3715E" w:rsidRDefault="00B3715E" w:rsidP="009D6202"/>
    <w:p w:rsidR="000F1479" w:rsidRPr="006608CA" w:rsidRDefault="00030FB5" w:rsidP="009D6202">
      <w:r>
        <w:t>24</w:t>
      </w:r>
      <w:r w:rsidR="006C4847">
        <w:t>.</w:t>
      </w:r>
      <w:r w:rsidR="00A84596">
        <w:t>0</w:t>
      </w:r>
      <w:r w:rsidR="001613CE">
        <w:t>2</w:t>
      </w:r>
      <w:r w:rsidR="00002A93">
        <w:t>.</w:t>
      </w:r>
      <w:r w:rsidR="009D6202">
        <w:t>201</w:t>
      </w:r>
      <w:r w:rsidR="006C4847">
        <w:t>4</w:t>
      </w:r>
      <w:r w:rsidR="009D6202">
        <w:t xml:space="preserve">. </w:t>
      </w:r>
      <w:r w:rsidR="009D6202" w:rsidRPr="00884204">
        <w:t xml:space="preserve"> </w:t>
      </w:r>
      <w:r w:rsidR="00133B52">
        <w:t>1</w:t>
      </w:r>
      <w:r w:rsidR="00AB498A">
        <w:t>2</w:t>
      </w:r>
      <w:r w:rsidR="009D6202" w:rsidRPr="003E0134">
        <w:t>:</w:t>
      </w:r>
      <w:r w:rsidR="00746C1A">
        <w:t>13</w:t>
      </w:r>
    </w:p>
    <w:p w:rsidR="00483F14" w:rsidRDefault="00A84596" w:rsidP="006D0922">
      <w:pPr>
        <w:pStyle w:val="naisf"/>
        <w:tabs>
          <w:tab w:val="left" w:pos="6804"/>
        </w:tabs>
        <w:spacing w:before="0" w:after="0"/>
        <w:ind w:firstLine="0"/>
      </w:pPr>
      <w:r>
        <w:t>6</w:t>
      </w:r>
      <w:r w:rsidR="00030FB5">
        <w:t>948</w:t>
      </w:r>
    </w:p>
    <w:p w:rsidR="00483F14" w:rsidRDefault="00483F14" w:rsidP="006D0922">
      <w:pPr>
        <w:pStyle w:val="naisf"/>
        <w:tabs>
          <w:tab w:val="left" w:pos="6804"/>
        </w:tabs>
        <w:spacing w:before="0" w:after="0"/>
        <w:ind w:firstLine="0"/>
      </w:pPr>
      <w:proofErr w:type="spellStart"/>
      <w:r>
        <w:t>I.Brūvere</w:t>
      </w:r>
      <w:proofErr w:type="spellEnd"/>
      <w:r>
        <w:t>, 67876061</w:t>
      </w:r>
    </w:p>
    <w:p w:rsidR="00483F14" w:rsidRDefault="00CB69E8" w:rsidP="006D0922">
      <w:pPr>
        <w:pStyle w:val="naisf"/>
        <w:tabs>
          <w:tab w:val="left" w:pos="6804"/>
        </w:tabs>
        <w:spacing w:before="0" w:after="0"/>
        <w:ind w:firstLine="0"/>
      </w:pPr>
      <w:hyperlink r:id="rId15" w:history="1">
        <w:r w:rsidR="00483F14" w:rsidRPr="00C823EC">
          <w:rPr>
            <w:rStyle w:val="Hyperlink"/>
          </w:rPr>
          <w:t>Ieva.Bruvere@vm.gov.lv</w:t>
        </w:r>
      </w:hyperlink>
    </w:p>
    <w:p w:rsidR="00483F14" w:rsidRDefault="00483F14" w:rsidP="006D0922">
      <w:pPr>
        <w:pStyle w:val="naisf"/>
        <w:tabs>
          <w:tab w:val="left" w:pos="6804"/>
        </w:tabs>
        <w:spacing w:before="0" w:after="0"/>
        <w:ind w:firstLine="0"/>
      </w:pPr>
      <w:r>
        <w:t>Fakss 67876002</w:t>
      </w:r>
    </w:p>
    <w:p w:rsidR="00B3715E" w:rsidRDefault="00B3715E" w:rsidP="006D0922">
      <w:pPr>
        <w:pStyle w:val="naisf"/>
        <w:tabs>
          <w:tab w:val="left" w:pos="6804"/>
        </w:tabs>
        <w:spacing w:before="0" w:after="0"/>
        <w:ind w:firstLine="0"/>
      </w:pPr>
    </w:p>
    <w:p w:rsidR="00483F14" w:rsidRDefault="00483F14" w:rsidP="006D0922">
      <w:pPr>
        <w:pStyle w:val="naisf"/>
        <w:tabs>
          <w:tab w:val="left" w:pos="6804"/>
        </w:tabs>
        <w:spacing w:before="0" w:after="0"/>
        <w:ind w:firstLine="0"/>
      </w:pPr>
      <w:r>
        <w:t>V.Skudra, 67876038</w:t>
      </w:r>
    </w:p>
    <w:p w:rsidR="00483F14" w:rsidRDefault="00CB69E8" w:rsidP="006D0922">
      <w:pPr>
        <w:pStyle w:val="naisf"/>
        <w:tabs>
          <w:tab w:val="left" w:pos="6804"/>
        </w:tabs>
        <w:spacing w:before="0" w:after="0"/>
        <w:ind w:firstLine="0"/>
      </w:pPr>
      <w:hyperlink r:id="rId16" w:history="1">
        <w:r w:rsidR="00483F14" w:rsidRPr="00C823EC">
          <w:rPr>
            <w:rStyle w:val="Hyperlink"/>
          </w:rPr>
          <w:t>Vesma.Skudra@v.gov.lv</w:t>
        </w:r>
      </w:hyperlink>
    </w:p>
    <w:p w:rsidR="00483F14" w:rsidRDefault="00483F14" w:rsidP="006D0922">
      <w:pPr>
        <w:pStyle w:val="naisf"/>
        <w:tabs>
          <w:tab w:val="left" w:pos="6804"/>
        </w:tabs>
        <w:spacing w:before="0" w:after="0"/>
        <w:ind w:firstLine="0"/>
      </w:pPr>
    </w:p>
    <w:p w:rsidR="000F1479" w:rsidRPr="000F1479" w:rsidRDefault="00483F14" w:rsidP="006D0922">
      <w:pPr>
        <w:pStyle w:val="naisf"/>
        <w:tabs>
          <w:tab w:val="left" w:pos="6804"/>
        </w:tabs>
        <w:spacing w:before="0" w:after="0"/>
        <w:ind w:firstLine="0"/>
      </w:pPr>
      <w:proofErr w:type="spellStart"/>
      <w:r w:rsidRPr="000F1479">
        <w:t>M.Mudelis</w:t>
      </w:r>
      <w:proofErr w:type="spellEnd"/>
      <w:r w:rsidRPr="000F1479">
        <w:t xml:space="preserve">, </w:t>
      </w:r>
      <w:r w:rsidR="000F1479" w:rsidRPr="000F1479">
        <w:rPr>
          <w:color w:val="000000"/>
        </w:rPr>
        <w:t>67819678</w:t>
      </w:r>
    </w:p>
    <w:p w:rsidR="000F1479" w:rsidRPr="000F1479" w:rsidRDefault="00CB69E8" w:rsidP="006D0922">
      <w:pPr>
        <w:pStyle w:val="naisf"/>
        <w:tabs>
          <w:tab w:val="left" w:pos="6804"/>
        </w:tabs>
        <w:spacing w:before="0" w:after="0"/>
        <w:ind w:firstLine="0"/>
      </w:pPr>
      <w:hyperlink r:id="rId17" w:history="1">
        <w:r w:rsidR="000F1479" w:rsidRPr="00C823EC">
          <w:rPr>
            <w:rStyle w:val="Hyperlink"/>
          </w:rPr>
          <w:t>Maris.mudelis@vi.gov.lv</w:t>
        </w:r>
      </w:hyperlink>
    </w:p>
    <w:sectPr w:rsidR="000F1479" w:rsidRPr="000F1479" w:rsidSect="00F62F43">
      <w:headerReference w:type="even" r:id="rId18"/>
      <w:headerReference w:type="default"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02" w:rsidRDefault="008D3102">
      <w:r>
        <w:separator/>
      </w:r>
    </w:p>
  </w:endnote>
  <w:endnote w:type="continuationSeparator" w:id="0">
    <w:p w:rsidR="008D3102" w:rsidRDefault="008D3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02" w:rsidRPr="009D6202" w:rsidRDefault="00030FB5" w:rsidP="00F90038">
    <w:pPr>
      <w:pStyle w:val="BodyText3"/>
      <w:spacing w:after="0"/>
      <w:rPr>
        <w:sz w:val="24"/>
        <w:szCs w:val="24"/>
      </w:rPr>
    </w:pPr>
    <w:r>
      <w:rPr>
        <w:sz w:val="24"/>
        <w:szCs w:val="24"/>
      </w:rPr>
      <w:t>VMAnot_24</w:t>
    </w:r>
    <w:r w:rsidR="008D3102">
      <w:rPr>
        <w:sz w:val="24"/>
        <w:szCs w:val="24"/>
      </w:rPr>
      <w:t>0215</w:t>
    </w:r>
    <w:r w:rsidR="008D3102" w:rsidRPr="009D6202">
      <w:rPr>
        <w:sz w:val="24"/>
        <w:szCs w:val="24"/>
      </w:rPr>
      <w:t xml:space="preserve">_LAPK; </w:t>
    </w:r>
    <w:r w:rsidR="008D3102" w:rsidRPr="009D6202">
      <w:rPr>
        <w:bCs/>
        <w:sz w:val="24"/>
        <w:szCs w:val="24"/>
      </w:rPr>
      <w:t>Likumprojekta „</w:t>
    </w:r>
    <w:r w:rsidR="008D3102" w:rsidRPr="009D6202">
      <w:rPr>
        <w:sz w:val="24"/>
        <w:szCs w:val="24"/>
      </w:rPr>
      <w:t>Grozījumi Latvijas Administratīvo pārkāpumu kodeksā” sākotnējās ietekmes novērtējuma ziņojums (</w:t>
    </w:r>
    <w:r w:rsidR="008D3102" w:rsidRPr="009D6202">
      <w:rPr>
        <w:bCs/>
        <w:sz w:val="24"/>
        <w:szCs w:val="24"/>
      </w:rPr>
      <w:t>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02" w:rsidRPr="00BA7CAD" w:rsidRDefault="008D3102" w:rsidP="00F90038">
    <w:pPr>
      <w:pStyle w:val="BodyText3"/>
      <w:spacing w:after="0"/>
      <w:jc w:val="both"/>
      <w:rPr>
        <w:sz w:val="20"/>
        <w:szCs w:val="20"/>
      </w:rPr>
    </w:pPr>
    <w:r w:rsidRPr="009D6202">
      <w:rPr>
        <w:sz w:val="24"/>
        <w:szCs w:val="24"/>
      </w:rPr>
      <w:t>VMAnot</w:t>
    </w:r>
    <w:r w:rsidR="00030FB5">
      <w:rPr>
        <w:sz w:val="24"/>
        <w:szCs w:val="24"/>
      </w:rPr>
      <w:t>_24</w:t>
    </w:r>
    <w:r>
      <w:rPr>
        <w:sz w:val="24"/>
        <w:szCs w:val="24"/>
      </w:rPr>
      <w:t>0215</w:t>
    </w:r>
    <w:r w:rsidRPr="009D6202">
      <w:rPr>
        <w:sz w:val="24"/>
        <w:szCs w:val="24"/>
      </w:rPr>
      <w:t xml:space="preserve">_LAPK; </w:t>
    </w:r>
    <w:r w:rsidRPr="009D6202">
      <w:rPr>
        <w:bCs/>
        <w:sz w:val="24"/>
        <w:szCs w:val="24"/>
      </w:rPr>
      <w:t>Likumprojekta „</w:t>
    </w:r>
    <w:r w:rsidRPr="009D6202">
      <w:rPr>
        <w:sz w:val="24"/>
        <w:szCs w:val="24"/>
      </w:rPr>
      <w:t>Grozījumi Latvijas Administratīvo pārkāpumu kodeksā” sākotnējās ietekmes novērtējuma ziņojums (</w:t>
    </w:r>
    <w:r w:rsidRPr="009D6202">
      <w:rPr>
        <w:bCs/>
        <w:sz w:val="24"/>
        <w:szCs w:val="24"/>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02" w:rsidRDefault="008D3102">
      <w:r>
        <w:separator/>
      </w:r>
    </w:p>
  </w:footnote>
  <w:footnote w:type="continuationSeparator" w:id="0">
    <w:p w:rsidR="008D3102" w:rsidRDefault="008D3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02" w:rsidRDefault="00CB69E8" w:rsidP="003C449B">
    <w:pPr>
      <w:pStyle w:val="Header"/>
      <w:framePr w:wrap="around" w:vAnchor="text" w:hAnchor="margin" w:xAlign="center" w:y="1"/>
      <w:rPr>
        <w:rStyle w:val="PageNumber"/>
      </w:rPr>
    </w:pPr>
    <w:r>
      <w:rPr>
        <w:rStyle w:val="PageNumber"/>
      </w:rPr>
      <w:fldChar w:fldCharType="begin"/>
    </w:r>
    <w:r w:rsidR="008D3102">
      <w:rPr>
        <w:rStyle w:val="PageNumber"/>
      </w:rPr>
      <w:instrText xml:space="preserve">PAGE  </w:instrText>
    </w:r>
    <w:r>
      <w:rPr>
        <w:rStyle w:val="PageNumber"/>
      </w:rPr>
      <w:fldChar w:fldCharType="end"/>
    </w:r>
  </w:p>
  <w:p w:rsidR="008D3102" w:rsidRDefault="008D3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02" w:rsidRPr="00E106EB" w:rsidRDefault="00CB69E8" w:rsidP="003C449B">
    <w:pPr>
      <w:pStyle w:val="Header"/>
      <w:framePr w:wrap="around" w:vAnchor="text" w:hAnchor="margin" w:xAlign="center" w:y="1"/>
      <w:rPr>
        <w:rStyle w:val="PageNumber"/>
      </w:rPr>
    </w:pPr>
    <w:r w:rsidRPr="00E106EB">
      <w:rPr>
        <w:rStyle w:val="PageNumber"/>
      </w:rPr>
      <w:fldChar w:fldCharType="begin"/>
    </w:r>
    <w:r w:rsidR="008D3102" w:rsidRPr="00E106EB">
      <w:rPr>
        <w:rStyle w:val="PageNumber"/>
      </w:rPr>
      <w:instrText xml:space="preserve">PAGE  </w:instrText>
    </w:r>
    <w:r w:rsidRPr="00E106EB">
      <w:rPr>
        <w:rStyle w:val="PageNumber"/>
      </w:rPr>
      <w:fldChar w:fldCharType="separate"/>
    </w:r>
    <w:r w:rsidR="00746C1A">
      <w:rPr>
        <w:rStyle w:val="PageNumber"/>
        <w:noProof/>
      </w:rPr>
      <w:t>26</w:t>
    </w:r>
    <w:r w:rsidRPr="00E106EB">
      <w:rPr>
        <w:rStyle w:val="PageNumber"/>
      </w:rPr>
      <w:fldChar w:fldCharType="end"/>
    </w:r>
  </w:p>
  <w:p w:rsidR="008D3102" w:rsidRPr="00E106EB" w:rsidRDefault="008D3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E644D5"/>
    <w:multiLevelType w:val="hybridMultilevel"/>
    <w:tmpl w:val="FE2A3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34726B"/>
    <w:multiLevelType w:val="hybridMultilevel"/>
    <w:tmpl w:val="32D0C594"/>
    <w:lvl w:ilvl="0" w:tplc="FDBCCECE">
      <w:start w:val="20"/>
      <w:numFmt w:val="decimal"/>
      <w:lvlText w:val="%1"/>
      <w:lvlJc w:val="left"/>
      <w:pPr>
        <w:ind w:left="13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09429C"/>
    <w:multiLevelType w:val="hybridMultilevel"/>
    <w:tmpl w:val="EE48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798E1AC5"/>
    <w:multiLevelType w:val="hybridMultilevel"/>
    <w:tmpl w:val="72489DFE"/>
    <w:lvl w:ilvl="0" w:tplc="5C2A3CB6">
      <w:start w:val="2"/>
      <w:numFmt w:val="bullet"/>
      <w:lvlText w:val="-"/>
      <w:lvlJc w:val="left"/>
      <w:pPr>
        <w:ind w:left="1168" w:hanging="360"/>
      </w:pPr>
      <w:rPr>
        <w:rFonts w:ascii="Times New Roman" w:eastAsia="Calibri" w:hAnsi="Times New Roman" w:cs="Times New Roman" w:hint="default"/>
        <w:color w:val="000000"/>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8C5649"/>
    <w:rsid w:val="00000537"/>
    <w:rsid w:val="00002A93"/>
    <w:rsid w:val="0000308F"/>
    <w:rsid w:val="00003259"/>
    <w:rsid w:val="00003517"/>
    <w:rsid w:val="00005687"/>
    <w:rsid w:val="0000641C"/>
    <w:rsid w:val="00011C00"/>
    <w:rsid w:val="00011D24"/>
    <w:rsid w:val="00013FF4"/>
    <w:rsid w:val="00014356"/>
    <w:rsid w:val="00015213"/>
    <w:rsid w:val="00017EAF"/>
    <w:rsid w:val="00020FE1"/>
    <w:rsid w:val="00022E13"/>
    <w:rsid w:val="0002539D"/>
    <w:rsid w:val="0002627A"/>
    <w:rsid w:val="00027394"/>
    <w:rsid w:val="00030FB5"/>
    <w:rsid w:val="00032388"/>
    <w:rsid w:val="000347CE"/>
    <w:rsid w:val="00035CE2"/>
    <w:rsid w:val="00035DDF"/>
    <w:rsid w:val="00047CB3"/>
    <w:rsid w:val="00053EE5"/>
    <w:rsid w:val="0005553B"/>
    <w:rsid w:val="000604D2"/>
    <w:rsid w:val="00061104"/>
    <w:rsid w:val="00061587"/>
    <w:rsid w:val="00064F9A"/>
    <w:rsid w:val="00065241"/>
    <w:rsid w:val="000675A9"/>
    <w:rsid w:val="00070D7A"/>
    <w:rsid w:val="00074B12"/>
    <w:rsid w:val="0008341E"/>
    <w:rsid w:val="00084307"/>
    <w:rsid w:val="0009005E"/>
    <w:rsid w:val="00090BFB"/>
    <w:rsid w:val="000941C5"/>
    <w:rsid w:val="000971F9"/>
    <w:rsid w:val="00097549"/>
    <w:rsid w:val="000A4ECD"/>
    <w:rsid w:val="000A6451"/>
    <w:rsid w:val="000A6564"/>
    <w:rsid w:val="000B064E"/>
    <w:rsid w:val="000B0C7C"/>
    <w:rsid w:val="000B69CF"/>
    <w:rsid w:val="000B7357"/>
    <w:rsid w:val="000C018D"/>
    <w:rsid w:val="000C1E30"/>
    <w:rsid w:val="000C5CB0"/>
    <w:rsid w:val="000C6DD5"/>
    <w:rsid w:val="000C788D"/>
    <w:rsid w:val="000C790C"/>
    <w:rsid w:val="000D3AED"/>
    <w:rsid w:val="000D451B"/>
    <w:rsid w:val="000D452C"/>
    <w:rsid w:val="000D5A7F"/>
    <w:rsid w:val="000E0375"/>
    <w:rsid w:val="000E6EDE"/>
    <w:rsid w:val="000F061D"/>
    <w:rsid w:val="000F1479"/>
    <w:rsid w:val="000F1982"/>
    <w:rsid w:val="000F2BE0"/>
    <w:rsid w:val="000F4794"/>
    <w:rsid w:val="00100EF9"/>
    <w:rsid w:val="001010FC"/>
    <w:rsid w:val="00104D7A"/>
    <w:rsid w:val="00105059"/>
    <w:rsid w:val="00115838"/>
    <w:rsid w:val="00117E30"/>
    <w:rsid w:val="00122E73"/>
    <w:rsid w:val="00124F12"/>
    <w:rsid w:val="00133B52"/>
    <w:rsid w:val="001347F7"/>
    <w:rsid w:val="00135CA8"/>
    <w:rsid w:val="00141024"/>
    <w:rsid w:val="001417B4"/>
    <w:rsid w:val="0014222F"/>
    <w:rsid w:val="00142604"/>
    <w:rsid w:val="0014320E"/>
    <w:rsid w:val="00144E3A"/>
    <w:rsid w:val="00146F25"/>
    <w:rsid w:val="001503B0"/>
    <w:rsid w:val="0015060C"/>
    <w:rsid w:val="0016018A"/>
    <w:rsid w:val="001613CE"/>
    <w:rsid w:val="00161F0E"/>
    <w:rsid w:val="001623B0"/>
    <w:rsid w:val="00165819"/>
    <w:rsid w:val="00165B11"/>
    <w:rsid w:val="0016758D"/>
    <w:rsid w:val="001679AF"/>
    <w:rsid w:val="00170E2A"/>
    <w:rsid w:val="001713F3"/>
    <w:rsid w:val="00177394"/>
    <w:rsid w:val="00182C18"/>
    <w:rsid w:val="00183CC2"/>
    <w:rsid w:val="001900E4"/>
    <w:rsid w:val="00190F88"/>
    <w:rsid w:val="0019196D"/>
    <w:rsid w:val="00192DDB"/>
    <w:rsid w:val="00197064"/>
    <w:rsid w:val="001A2E25"/>
    <w:rsid w:val="001A4066"/>
    <w:rsid w:val="001A6AE4"/>
    <w:rsid w:val="001A6E4B"/>
    <w:rsid w:val="001A769D"/>
    <w:rsid w:val="001B01FD"/>
    <w:rsid w:val="001B4A71"/>
    <w:rsid w:val="001C3942"/>
    <w:rsid w:val="001C612F"/>
    <w:rsid w:val="001C6825"/>
    <w:rsid w:val="001D166B"/>
    <w:rsid w:val="001D1780"/>
    <w:rsid w:val="001D390F"/>
    <w:rsid w:val="001D5B54"/>
    <w:rsid w:val="001D79C3"/>
    <w:rsid w:val="001E1DBF"/>
    <w:rsid w:val="001E3070"/>
    <w:rsid w:val="001E3583"/>
    <w:rsid w:val="001E4639"/>
    <w:rsid w:val="001E4A7D"/>
    <w:rsid w:val="001F0D64"/>
    <w:rsid w:val="001F20AA"/>
    <w:rsid w:val="001F4209"/>
    <w:rsid w:val="001F43A8"/>
    <w:rsid w:val="001F4B89"/>
    <w:rsid w:val="001F5CD6"/>
    <w:rsid w:val="00200894"/>
    <w:rsid w:val="00200CC7"/>
    <w:rsid w:val="00201BDF"/>
    <w:rsid w:val="00202D9C"/>
    <w:rsid w:val="00204489"/>
    <w:rsid w:val="00206600"/>
    <w:rsid w:val="0020681D"/>
    <w:rsid w:val="00210D0B"/>
    <w:rsid w:val="0021263D"/>
    <w:rsid w:val="00213F0C"/>
    <w:rsid w:val="00214094"/>
    <w:rsid w:val="00214805"/>
    <w:rsid w:val="0021592D"/>
    <w:rsid w:val="00215A98"/>
    <w:rsid w:val="00222D76"/>
    <w:rsid w:val="00223D38"/>
    <w:rsid w:val="00223EB1"/>
    <w:rsid w:val="002257D7"/>
    <w:rsid w:val="002259E6"/>
    <w:rsid w:val="00231344"/>
    <w:rsid w:val="00233198"/>
    <w:rsid w:val="0023436E"/>
    <w:rsid w:val="002347C0"/>
    <w:rsid w:val="00237A3D"/>
    <w:rsid w:val="00237A72"/>
    <w:rsid w:val="00241A6C"/>
    <w:rsid w:val="0024252D"/>
    <w:rsid w:val="00242D2B"/>
    <w:rsid w:val="00242DBB"/>
    <w:rsid w:val="00247D3C"/>
    <w:rsid w:val="00250B39"/>
    <w:rsid w:val="00251ADB"/>
    <w:rsid w:val="00252AAD"/>
    <w:rsid w:val="00262E2B"/>
    <w:rsid w:val="002640EA"/>
    <w:rsid w:val="00270429"/>
    <w:rsid w:val="002723E9"/>
    <w:rsid w:val="00277929"/>
    <w:rsid w:val="002818DF"/>
    <w:rsid w:val="002820A2"/>
    <w:rsid w:val="002824DE"/>
    <w:rsid w:val="00282AAE"/>
    <w:rsid w:val="00283255"/>
    <w:rsid w:val="00283B82"/>
    <w:rsid w:val="00283E08"/>
    <w:rsid w:val="002846E9"/>
    <w:rsid w:val="00284C34"/>
    <w:rsid w:val="0029066C"/>
    <w:rsid w:val="00294B19"/>
    <w:rsid w:val="00297969"/>
    <w:rsid w:val="002A18FA"/>
    <w:rsid w:val="002A3E3E"/>
    <w:rsid w:val="002A50A8"/>
    <w:rsid w:val="002B04AE"/>
    <w:rsid w:val="002B0982"/>
    <w:rsid w:val="002B10D4"/>
    <w:rsid w:val="002B50DB"/>
    <w:rsid w:val="002C10A7"/>
    <w:rsid w:val="002C12AB"/>
    <w:rsid w:val="002C2873"/>
    <w:rsid w:val="002C2A23"/>
    <w:rsid w:val="002C5C60"/>
    <w:rsid w:val="002C69D8"/>
    <w:rsid w:val="002C7CAC"/>
    <w:rsid w:val="002D3306"/>
    <w:rsid w:val="002D4244"/>
    <w:rsid w:val="002D48AA"/>
    <w:rsid w:val="002D7875"/>
    <w:rsid w:val="002D7BAA"/>
    <w:rsid w:val="002D7DC7"/>
    <w:rsid w:val="002D7F54"/>
    <w:rsid w:val="002E3FF4"/>
    <w:rsid w:val="002E4126"/>
    <w:rsid w:val="002F4412"/>
    <w:rsid w:val="002F4C3F"/>
    <w:rsid w:val="002F5FDC"/>
    <w:rsid w:val="002F7420"/>
    <w:rsid w:val="002F759C"/>
    <w:rsid w:val="002F78C8"/>
    <w:rsid w:val="003006CA"/>
    <w:rsid w:val="00301CF3"/>
    <w:rsid w:val="003032C1"/>
    <w:rsid w:val="003040EA"/>
    <w:rsid w:val="00306656"/>
    <w:rsid w:val="003113FA"/>
    <w:rsid w:val="00312058"/>
    <w:rsid w:val="00315829"/>
    <w:rsid w:val="003209D9"/>
    <w:rsid w:val="00321247"/>
    <w:rsid w:val="0032715C"/>
    <w:rsid w:val="003320B2"/>
    <w:rsid w:val="00336B3B"/>
    <w:rsid w:val="00337CA5"/>
    <w:rsid w:val="0034270B"/>
    <w:rsid w:val="00343832"/>
    <w:rsid w:val="00346BA7"/>
    <w:rsid w:val="003514C9"/>
    <w:rsid w:val="00353171"/>
    <w:rsid w:val="00362478"/>
    <w:rsid w:val="00362801"/>
    <w:rsid w:val="00363C0C"/>
    <w:rsid w:val="00374E43"/>
    <w:rsid w:val="00375B25"/>
    <w:rsid w:val="003807FF"/>
    <w:rsid w:val="0038132C"/>
    <w:rsid w:val="003870E0"/>
    <w:rsid w:val="00390D8B"/>
    <w:rsid w:val="00396542"/>
    <w:rsid w:val="0039685B"/>
    <w:rsid w:val="003A31A6"/>
    <w:rsid w:val="003A3C61"/>
    <w:rsid w:val="003A6A3C"/>
    <w:rsid w:val="003A7F0C"/>
    <w:rsid w:val="003A7F79"/>
    <w:rsid w:val="003B426E"/>
    <w:rsid w:val="003B6404"/>
    <w:rsid w:val="003B67A2"/>
    <w:rsid w:val="003B6A19"/>
    <w:rsid w:val="003C0346"/>
    <w:rsid w:val="003C35C6"/>
    <w:rsid w:val="003C449B"/>
    <w:rsid w:val="003C6409"/>
    <w:rsid w:val="003D131C"/>
    <w:rsid w:val="003D214C"/>
    <w:rsid w:val="003D21FF"/>
    <w:rsid w:val="003D698A"/>
    <w:rsid w:val="003E0513"/>
    <w:rsid w:val="003E3F83"/>
    <w:rsid w:val="003F0112"/>
    <w:rsid w:val="003F071A"/>
    <w:rsid w:val="003F160B"/>
    <w:rsid w:val="003F4D77"/>
    <w:rsid w:val="003F54E1"/>
    <w:rsid w:val="003F7754"/>
    <w:rsid w:val="00400032"/>
    <w:rsid w:val="00400B5B"/>
    <w:rsid w:val="00402C46"/>
    <w:rsid w:val="004056ED"/>
    <w:rsid w:val="00405A00"/>
    <w:rsid w:val="004065C4"/>
    <w:rsid w:val="00410246"/>
    <w:rsid w:val="00411382"/>
    <w:rsid w:val="004126BF"/>
    <w:rsid w:val="00413396"/>
    <w:rsid w:val="004179DE"/>
    <w:rsid w:val="00420870"/>
    <w:rsid w:val="00421742"/>
    <w:rsid w:val="004240C9"/>
    <w:rsid w:val="004268F6"/>
    <w:rsid w:val="00427C10"/>
    <w:rsid w:val="00432422"/>
    <w:rsid w:val="00432D0C"/>
    <w:rsid w:val="0043791B"/>
    <w:rsid w:val="00437AC1"/>
    <w:rsid w:val="00440FC7"/>
    <w:rsid w:val="00441187"/>
    <w:rsid w:val="00441483"/>
    <w:rsid w:val="00441BCB"/>
    <w:rsid w:val="0045176A"/>
    <w:rsid w:val="0045202F"/>
    <w:rsid w:val="004526A6"/>
    <w:rsid w:val="00452C25"/>
    <w:rsid w:val="00456332"/>
    <w:rsid w:val="00456663"/>
    <w:rsid w:val="00456A48"/>
    <w:rsid w:val="00461826"/>
    <w:rsid w:val="00467DD9"/>
    <w:rsid w:val="004704CE"/>
    <w:rsid w:val="00472348"/>
    <w:rsid w:val="0047358D"/>
    <w:rsid w:val="00475AF2"/>
    <w:rsid w:val="004800F9"/>
    <w:rsid w:val="00483F14"/>
    <w:rsid w:val="0049134A"/>
    <w:rsid w:val="00491694"/>
    <w:rsid w:val="0049181E"/>
    <w:rsid w:val="004918A5"/>
    <w:rsid w:val="004A58CB"/>
    <w:rsid w:val="004A721A"/>
    <w:rsid w:val="004B1795"/>
    <w:rsid w:val="004B256B"/>
    <w:rsid w:val="004B56DD"/>
    <w:rsid w:val="004B5B0C"/>
    <w:rsid w:val="004B6E4F"/>
    <w:rsid w:val="004C020F"/>
    <w:rsid w:val="004C1AFD"/>
    <w:rsid w:val="004C49D2"/>
    <w:rsid w:val="004C558B"/>
    <w:rsid w:val="004C7A0E"/>
    <w:rsid w:val="004D02CC"/>
    <w:rsid w:val="004D3050"/>
    <w:rsid w:val="004D492F"/>
    <w:rsid w:val="004D526B"/>
    <w:rsid w:val="004D564C"/>
    <w:rsid w:val="004D5C7F"/>
    <w:rsid w:val="004E2398"/>
    <w:rsid w:val="004E2E8D"/>
    <w:rsid w:val="004F1F88"/>
    <w:rsid w:val="004F304C"/>
    <w:rsid w:val="004F5F1B"/>
    <w:rsid w:val="0050102B"/>
    <w:rsid w:val="00502374"/>
    <w:rsid w:val="005026E7"/>
    <w:rsid w:val="005037C5"/>
    <w:rsid w:val="00505154"/>
    <w:rsid w:val="005060A1"/>
    <w:rsid w:val="00506F1D"/>
    <w:rsid w:val="0051005B"/>
    <w:rsid w:val="005156F3"/>
    <w:rsid w:val="00516072"/>
    <w:rsid w:val="00520EE2"/>
    <w:rsid w:val="00524188"/>
    <w:rsid w:val="00524A03"/>
    <w:rsid w:val="00525EB6"/>
    <w:rsid w:val="00527506"/>
    <w:rsid w:val="00530649"/>
    <w:rsid w:val="0053070D"/>
    <w:rsid w:val="00531404"/>
    <w:rsid w:val="005332EC"/>
    <w:rsid w:val="00534418"/>
    <w:rsid w:val="005353AB"/>
    <w:rsid w:val="00535E98"/>
    <w:rsid w:val="0054485A"/>
    <w:rsid w:val="005471AF"/>
    <w:rsid w:val="005542A6"/>
    <w:rsid w:val="00554F08"/>
    <w:rsid w:val="00555391"/>
    <w:rsid w:val="005560BC"/>
    <w:rsid w:val="005573BE"/>
    <w:rsid w:val="00562633"/>
    <w:rsid w:val="00572700"/>
    <w:rsid w:val="005739B0"/>
    <w:rsid w:val="005770E6"/>
    <w:rsid w:val="00580468"/>
    <w:rsid w:val="00581959"/>
    <w:rsid w:val="00582231"/>
    <w:rsid w:val="00583F9F"/>
    <w:rsid w:val="0058603B"/>
    <w:rsid w:val="005942D7"/>
    <w:rsid w:val="0059431B"/>
    <w:rsid w:val="005A0371"/>
    <w:rsid w:val="005A39CC"/>
    <w:rsid w:val="005A44ED"/>
    <w:rsid w:val="005A6055"/>
    <w:rsid w:val="005B0D8F"/>
    <w:rsid w:val="005B4730"/>
    <w:rsid w:val="005B4B48"/>
    <w:rsid w:val="005B4DFD"/>
    <w:rsid w:val="005C0006"/>
    <w:rsid w:val="005C2224"/>
    <w:rsid w:val="005C24B0"/>
    <w:rsid w:val="005C5B07"/>
    <w:rsid w:val="005D3117"/>
    <w:rsid w:val="005D75FA"/>
    <w:rsid w:val="005E05D7"/>
    <w:rsid w:val="005E1B14"/>
    <w:rsid w:val="005E22D6"/>
    <w:rsid w:val="005E41E7"/>
    <w:rsid w:val="005E450F"/>
    <w:rsid w:val="005E4D98"/>
    <w:rsid w:val="005F0C0D"/>
    <w:rsid w:val="005F126D"/>
    <w:rsid w:val="005F3D9B"/>
    <w:rsid w:val="006040A5"/>
    <w:rsid w:val="006135BC"/>
    <w:rsid w:val="00613E6F"/>
    <w:rsid w:val="006161B7"/>
    <w:rsid w:val="00616269"/>
    <w:rsid w:val="0062298A"/>
    <w:rsid w:val="00622BB8"/>
    <w:rsid w:val="00625C4A"/>
    <w:rsid w:val="00626514"/>
    <w:rsid w:val="00626589"/>
    <w:rsid w:val="00627C9A"/>
    <w:rsid w:val="00630F37"/>
    <w:rsid w:val="006317DD"/>
    <w:rsid w:val="00632064"/>
    <w:rsid w:val="006339A0"/>
    <w:rsid w:val="00640460"/>
    <w:rsid w:val="006408AC"/>
    <w:rsid w:val="006413A8"/>
    <w:rsid w:val="00641ECC"/>
    <w:rsid w:val="00642E56"/>
    <w:rsid w:val="0064319D"/>
    <w:rsid w:val="00644238"/>
    <w:rsid w:val="006447FA"/>
    <w:rsid w:val="00645E1F"/>
    <w:rsid w:val="00646E2E"/>
    <w:rsid w:val="00651E00"/>
    <w:rsid w:val="00653683"/>
    <w:rsid w:val="006538D4"/>
    <w:rsid w:val="00655110"/>
    <w:rsid w:val="0066093B"/>
    <w:rsid w:val="00661D25"/>
    <w:rsid w:val="00662167"/>
    <w:rsid w:val="00663D43"/>
    <w:rsid w:val="00664480"/>
    <w:rsid w:val="00666426"/>
    <w:rsid w:val="00674572"/>
    <w:rsid w:val="00680250"/>
    <w:rsid w:val="00687763"/>
    <w:rsid w:val="00687DDD"/>
    <w:rsid w:val="00692B0D"/>
    <w:rsid w:val="00693C78"/>
    <w:rsid w:val="00693E0E"/>
    <w:rsid w:val="00695BB7"/>
    <w:rsid w:val="00696C0B"/>
    <w:rsid w:val="006A1AE3"/>
    <w:rsid w:val="006A366C"/>
    <w:rsid w:val="006A3AC7"/>
    <w:rsid w:val="006A73C1"/>
    <w:rsid w:val="006B042F"/>
    <w:rsid w:val="006B09FD"/>
    <w:rsid w:val="006B2D03"/>
    <w:rsid w:val="006B5390"/>
    <w:rsid w:val="006B6062"/>
    <w:rsid w:val="006C2065"/>
    <w:rsid w:val="006C2B5B"/>
    <w:rsid w:val="006C30E1"/>
    <w:rsid w:val="006C3DE1"/>
    <w:rsid w:val="006C4607"/>
    <w:rsid w:val="006C4847"/>
    <w:rsid w:val="006C6A53"/>
    <w:rsid w:val="006D0440"/>
    <w:rsid w:val="006D0922"/>
    <w:rsid w:val="006D13C2"/>
    <w:rsid w:val="006D45B8"/>
    <w:rsid w:val="006D48F1"/>
    <w:rsid w:val="006D7E24"/>
    <w:rsid w:val="006E5AF5"/>
    <w:rsid w:val="006E6FAF"/>
    <w:rsid w:val="006F0F87"/>
    <w:rsid w:val="006F2FA8"/>
    <w:rsid w:val="006F45BE"/>
    <w:rsid w:val="007004FC"/>
    <w:rsid w:val="00701265"/>
    <w:rsid w:val="00703387"/>
    <w:rsid w:val="007061D4"/>
    <w:rsid w:val="00706670"/>
    <w:rsid w:val="00707718"/>
    <w:rsid w:val="00710D2A"/>
    <w:rsid w:val="00711109"/>
    <w:rsid w:val="00711F59"/>
    <w:rsid w:val="00716F9C"/>
    <w:rsid w:val="0072417C"/>
    <w:rsid w:val="00724B8F"/>
    <w:rsid w:val="007319F1"/>
    <w:rsid w:val="00734450"/>
    <w:rsid w:val="00741006"/>
    <w:rsid w:val="00741512"/>
    <w:rsid w:val="00745F67"/>
    <w:rsid w:val="00746C1A"/>
    <w:rsid w:val="0075039E"/>
    <w:rsid w:val="00752D9D"/>
    <w:rsid w:val="00754784"/>
    <w:rsid w:val="00757C6E"/>
    <w:rsid w:val="00762BDA"/>
    <w:rsid w:val="00765346"/>
    <w:rsid w:val="007736F1"/>
    <w:rsid w:val="00774AE2"/>
    <w:rsid w:val="007805FD"/>
    <w:rsid w:val="00781F10"/>
    <w:rsid w:val="00781FC4"/>
    <w:rsid w:val="00783474"/>
    <w:rsid w:val="007839BC"/>
    <w:rsid w:val="00784422"/>
    <w:rsid w:val="0079000A"/>
    <w:rsid w:val="00793C37"/>
    <w:rsid w:val="007964D6"/>
    <w:rsid w:val="00796DA2"/>
    <w:rsid w:val="007A2008"/>
    <w:rsid w:val="007A28B9"/>
    <w:rsid w:val="007A3846"/>
    <w:rsid w:val="007A3BCF"/>
    <w:rsid w:val="007A4E59"/>
    <w:rsid w:val="007A5B7B"/>
    <w:rsid w:val="007B3B54"/>
    <w:rsid w:val="007B3FA0"/>
    <w:rsid w:val="007B4BC6"/>
    <w:rsid w:val="007C0F2C"/>
    <w:rsid w:val="007C177C"/>
    <w:rsid w:val="007C2BCC"/>
    <w:rsid w:val="007C35B2"/>
    <w:rsid w:val="007C4EF0"/>
    <w:rsid w:val="007C6192"/>
    <w:rsid w:val="007C73FF"/>
    <w:rsid w:val="007D099D"/>
    <w:rsid w:val="007D170D"/>
    <w:rsid w:val="007D6032"/>
    <w:rsid w:val="007D7BA1"/>
    <w:rsid w:val="007D7D60"/>
    <w:rsid w:val="007E2664"/>
    <w:rsid w:val="007E3ABF"/>
    <w:rsid w:val="007E44C5"/>
    <w:rsid w:val="007E5BFA"/>
    <w:rsid w:val="007E6689"/>
    <w:rsid w:val="007E731C"/>
    <w:rsid w:val="007F0A03"/>
    <w:rsid w:val="007F2F05"/>
    <w:rsid w:val="007F5FA5"/>
    <w:rsid w:val="007F66C0"/>
    <w:rsid w:val="007F7EAD"/>
    <w:rsid w:val="0080495D"/>
    <w:rsid w:val="00810040"/>
    <w:rsid w:val="0081326D"/>
    <w:rsid w:val="008201D2"/>
    <w:rsid w:val="0082023A"/>
    <w:rsid w:val="0082183F"/>
    <w:rsid w:val="00821A7A"/>
    <w:rsid w:val="008253F8"/>
    <w:rsid w:val="00826B74"/>
    <w:rsid w:val="00826C67"/>
    <w:rsid w:val="00826F98"/>
    <w:rsid w:val="008325E4"/>
    <w:rsid w:val="00832A2B"/>
    <w:rsid w:val="0083777F"/>
    <w:rsid w:val="00842B02"/>
    <w:rsid w:val="008433E8"/>
    <w:rsid w:val="00843A2D"/>
    <w:rsid w:val="00845811"/>
    <w:rsid w:val="00846994"/>
    <w:rsid w:val="00847023"/>
    <w:rsid w:val="00850451"/>
    <w:rsid w:val="00852042"/>
    <w:rsid w:val="00852988"/>
    <w:rsid w:val="00852AB1"/>
    <w:rsid w:val="008534C9"/>
    <w:rsid w:val="0085599D"/>
    <w:rsid w:val="00855FF4"/>
    <w:rsid w:val="00856305"/>
    <w:rsid w:val="00867C30"/>
    <w:rsid w:val="00871AAC"/>
    <w:rsid w:val="00873CFE"/>
    <w:rsid w:val="0087510C"/>
    <w:rsid w:val="00876E6D"/>
    <w:rsid w:val="0088116D"/>
    <w:rsid w:val="00881B32"/>
    <w:rsid w:val="00882BE6"/>
    <w:rsid w:val="00890442"/>
    <w:rsid w:val="00893E73"/>
    <w:rsid w:val="008968D2"/>
    <w:rsid w:val="00896AB5"/>
    <w:rsid w:val="0089738E"/>
    <w:rsid w:val="008A229F"/>
    <w:rsid w:val="008B4465"/>
    <w:rsid w:val="008B5FDB"/>
    <w:rsid w:val="008B6B16"/>
    <w:rsid w:val="008C1EA8"/>
    <w:rsid w:val="008C2F07"/>
    <w:rsid w:val="008C4A3B"/>
    <w:rsid w:val="008C50F4"/>
    <w:rsid w:val="008C5649"/>
    <w:rsid w:val="008C7FE1"/>
    <w:rsid w:val="008D3102"/>
    <w:rsid w:val="008D3F73"/>
    <w:rsid w:val="008E275D"/>
    <w:rsid w:val="008E44A2"/>
    <w:rsid w:val="008E697D"/>
    <w:rsid w:val="008F1A6E"/>
    <w:rsid w:val="008F6857"/>
    <w:rsid w:val="0090267E"/>
    <w:rsid w:val="00903263"/>
    <w:rsid w:val="009032AB"/>
    <w:rsid w:val="00906A21"/>
    <w:rsid w:val="009079C3"/>
    <w:rsid w:val="00907CA1"/>
    <w:rsid w:val="00910462"/>
    <w:rsid w:val="009127C6"/>
    <w:rsid w:val="00915AB1"/>
    <w:rsid w:val="00917202"/>
    <w:rsid w:val="00917532"/>
    <w:rsid w:val="00917600"/>
    <w:rsid w:val="009202D1"/>
    <w:rsid w:val="00920E7B"/>
    <w:rsid w:val="009235BA"/>
    <w:rsid w:val="00924023"/>
    <w:rsid w:val="00924CE2"/>
    <w:rsid w:val="00925B9F"/>
    <w:rsid w:val="009309EB"/>
    <w:rsid w:val="00931AED"/>
    <w:rsid w:val="0094233F"/>
    <w:rsid w:val="009446DE"/>
    <w:rsid w:val="00945766"/>
    <w:rsid w:val="009476A3"/>
    <w:rsid w:val="0095334F"/>
    <w:rsid w:val="00953CF7"/>
    <w:rsid w:val="0095636C"/>
    <w:rsid w:val="009635F6"/>
    <w:rsid w:val="009656DE"/>
    <w:rsid w:val="00965897"/>
    <w:rsid w:val="00966FB7"/>
    <w:rsid w:val="0096765C"/>
    <w:rsid w:val="00967848"/>
    <w:rsid w:val="009714D2"/>
    <w:rsid w:val="009727E4"/>
    <w:rsid w:val="009747C0"/>
    <w:rsid w:val="00976B6A"/>
    <w:rsid w:val="009804CE"/>
    <w:rsid w:val="009829CC"/>
    <w:rsid w:val="00983EF2"/>
    <w:rsid w:val="009864BB"/>
    <w:rsid w:val="00987754"/>
    <w:rsid w:val="00987B16"/>
    <w:rsid w:val="009907DE"/>
    <w:rsid w:val="00992E99"/>
    <w:rsid w:val="009934C5"/>
    <w:rsid w:val="00994C0F"/>
    <w:rsid w:val="009A0027"/>
    <w:rsid w:val="009A33ED"/>
    <w:rsid w:val="009A54DA"/>
    <w:rsid w:val="009B118C"/>
    <w:rsid w:val="009B22D7"/>
    <w:rsid w:val="009B2A92"/>
    <w:rsid w:val="009B4270"/>
    <w:rsid w:val="009B72ED"/>
    <w:rsid w:val="009C30E0"/>
    <w:rsid w:val="009C4310"/>
    <w:rsid w:val="009C46BB"/>
    <w:rsid w:val="009C50B2"/>
    <w:rsid w:val="009C5659"/>
    <w:rsid w:val="009C6DEB"/>
    <w:rsid w:val="009D27A6"/>
    <w:rsid w:val="009D4EF6"/>
    <w:rsid w:val="009D6202"/>
    <w:rsid w:val="009D6504"/>
    <w:rsid w:val="009E12D7"/>
    <w:rsid w:val="009E159A"/>
    <w:rsid w:val="009E2638"/>
    <w:rsid w:val="009E4BD1"/>
    <w:rsid w:val="009E661A"/>
    <w:rsid w:val="009E6C0C"/>
    <w:rsid w:val="009F1276"/>
    <w:rsid w:val="009F5710"/>
    <w:rsid w:val="009F7D7D"/>
    <w:rsid w:val="00A01B80"/>
    <w:rsid w:val="00A05E77"/>
    <w:rsid w:val="00A06077"/>
    <w:rsid w:val="00A06781"/>
    <w:rsid w:val="00A074C3"/>
    <w:rsid w:val="00A100ED"/>
    <w:rsid w:val="00A102CE"/>
    <w:rsid w:val="00A1367E"/>
    <w:rsid w:val="00A1509C"/>
    <w:rsid w:val="00A22C9F"/>
    <w:rsid w:val="00A238AE"/>
    <w:rsid w:val="00A249B9"/>
    <w:rsid w:val="00A26187"/>
    <w:rsid w:val="00A31F77"/>
    <w:rsid w:val="00A34260"/>
    <w:rsid w:val="00A37A68"/>
    <w:rsid w:val="00A43390"/>
    <w:rsid w:val="00A513CA"/>
    <w:rsid w:val="00A523F9"/>
    <w:rsid w:val="00A562D0"/>
    <w:rsid w:val="00A6048E"/>
    <w:rsid w:val="00A648A4"/>
    <w:rsid w:val="00A65338"/>
    <w:rsid w:val="00A70CFD"/>
    <w:rsid w:val="00A72A0B"/>
    <w:rsid w:val="00A72CAB"/>
    <w:rsid w:val="00A77110"/>
    <w:rsid w:val="00A77DBB"/>
    <w:rsid w:val="00A77F80"/>
    <w:rsid w:val="00A81E42"/>
    <w:rsid w:val="00A82F8D"/>
    <w:rsid w:val="00A8438A"/>
    <w:rsid w:val="00A8455E"/>
    <w:rsid w:val="00A84596"/>
    <w:rsid w:val="00A864FE"/>
    <w:rsid w:val="00A86542"/>
    <w:rsid w:val="00A86F41"/>
    <w:rsid w:val="00A8776B"/>
    <w:rsid w:val="00A87D04"/>
    <w:rsid w:val="00A9203A"/>
    <w:rsid w:val="00A950C5"/>
    <w:rsid w:val="00A95777"/>
    <w:rsid w:val="00AA16DE"/>
    <w:rsid w:val="00AA1BF0"/>
    <w:rsid w:val="00AA1D25"/>
    <w:rsid w:val="00AA3451"/>
    <w:rsid w:val="00AB2B1A"/>
    <w:rsid w:val="00AB397F"/>
    <w:rsid w:val="00AB498A"/>
    <w:rsid w:val="00AB5832"/>
    <w:rsid w:val="00AC19C6"/>
    <w:rsid w:val="00AC51F2"/>
    <w:rsid w:val="00AC5EF5"/>
    <w:rsid w:val="00AD104F"/>
    <w:rsid w:val="00AD176F"/>
    <w:rsid w:val="00AD3269"/>
    <w:rsid w:val="00AD3936"/>
    <w:rsid w:val="00AD64BC"/>
    <w:rsid w:val="00AE0B4B"/>
    <w:rsid w:val="00AE5066"/>
    <w:rsid w:val="00AE58CA"/>
    <w:rsid w:val="00AE5E24"/>
    <w:rsid w:val="00AE61B7"/>
    <w:rsid w:val="00AE6CBA"/>
    <w:rsid w:val="00AE79AD"/>
    <w:rsid w:val="00AF2549"/>
    <w:rsid w:val="00AF35E4"/>
    <w:rsid w:val="00AF3C1D"/>
    <w:rsid w:val="00AF5CDE"/>
    <w:rsid w:val="00AF6A09"/>
    <w:rsid w:val="00B032F8"/>
    <w:rsid w:val="00B06EFA"/>
    <w:rsid w:val="00B07D0A"/>
    <w:rsid w:val="00B11A57"/>
    <w:rsid w:val="00B211C3"/>
    <w:rsid w:val="00B25597"/>
    <w:rsid w:val="00B25658"/>
    <w:rsid w:val="00B267B9"/>
    <w:rsid w:val="00B303D8"/>
    <w:rsid w:val="00B331EF"/>
    <w:rsid w:val="00B33E09"/>
    <w:rsid w:val="00B3715E"/>
    <w:rsid w:val="00B40D37"/>
    <w:rsid w:val="00B4248B"/>
    <w:rsid w:val="00B45488"/>
    <w:rsid w:val="00B46646"/>
    <w:rsid w:val="00B50708"/>
    <w:rsid w:val="00B50C68"/>
    <w:rsid w:val="00B51293"/>
    <w:rsid w:val="00B52B1E"/>
    <w:rsid w:val="00B55481"/>
    <w:rsid w:val="00B56C32"/>
    <w:rsid w:val="00B56D61"/>
    <w:rsid w:val="00B57ACF"/>
    <w:rsid w:val="00B61E4D"/>
    <w:rsid w:val="00B64BB1"/>
    <w:rsid w:val="00B6574C"/>
    <w:rsid w:val="00B7276F"/>
    <w:rsid w:val="00B73166"/>
    <w:rsid w:val="00B73D56"/>
    <w:rsid w:val="00B8426C"/>
    <w:rsid w:val="00B84642"/>
    <w:rsid w:val="00B85104"/>
    <w:rsid w:val="00B86462"/>
    <w:rsid w:val="00B9193F"/>
    <w:rsid w:val="00B91B8D"/>
    <w:rsid w:val="00B94E90"/>
    <w:rsid w:val="00BA64D3"/>
    <w:rsid w:val="00BA7CAD"/>
    <w:rsid w:val="00BB0A82"/>
    <w:rsid w:val="00BB6B88"/>
    <w:rsid w:val="00BB7C94"/>
    <w:rsid w:val="00BC0A9D"/>
    <w:rsid w:val="00BC714E"/>
    <w:rsid w:val="00BD02BB"/>
    <w:rsid w:val="00BD07CF"/>
    <w:rsid w:val="00BD0F53"/>
    <w:rsid w:val="00BD3D8C"/>
    <w:rsid w:val="00BD494D"/>
    <w:rsid w:val="00BD4D26"/>
    <w:rsid w:val="00BD5A4C"/>
    <w:rsid w:val="00BD7A1F"/>
    <w:rsid w:val="00BE1763"/>
    <w:rsid w:val="00BE4C4F"/>
    <w:rsid w:val="00BF137D"/>
    <w:rsid w:val="00BF40ED"/>
    <w:rsid w:val="00BF5BBB"/>
    <w:rsid w:val="00BF5BC2"/>
    <w:rsid w:val="00BF75BE"/>
    <w:rsid w:val="00C10939"/>
    <w:rsid w:val="00C109F4"/>
    <w:rsid w:val="00C10EA6"/>
    <w:rsid w:val="00C1133D"/>
    <w:rsid w:val="00C16414"/>
    <w:rsid w:val="00C27A08"/>
    <w:rsid w:val="00C31312"/>
    <w:rsid w:val="00C31E36"/>
    <w:rsid w:val="00C326C6"/>
    <w:rsid w:val="00C35295"/>
    <w:rsid w:val="00C368D6"/>
    <w:rsid w:val="00C36ADD"/>
    <w:rsid w:val="00C36E74"/>
    <w:rsid w:val="00C40595"/>
    <w:rsid w:val="00C41621"/>
    <w:rsid w:val="00C41B7C"/>
    <w:rsid w:val="00C43540"/>
    <w:rsid w:val="00C449FA"/>
    <w:rsid w:val="00C462AC"/>
    <w:rsid w:val="00C50907"/>
    <w:rsid w:val="00C5384F"/>
    <w:rsid w:val="00C53D75"/>
    <w:rsid w:val="00C56964"/>
    <w:rsid w:val="00C6033C"/>
    <w:rsid w:val="00C656D5"/>
    <w:rsid w:val="00C66FF1"/>
    <w:rsid w:val="00C67103"/>
    <w:rsid w:val="00C71BB9"/>
    <w:rsid w:val="00C736FB"/>
    <w:rsid w:val="00C74DEE"/>
    <w:rsid w:val="00C82A12"/>
    <w:rsid w:val="00C83AE3"/>
    <w:rsid w:val="00C945FA"/>
    <w:rsid w:val="00C94C28"/>
    <w:rsid w:val="00C9567A"/>
    <w:rsid w:val="00C95F30"/>
    <w:rsid w:val="00CA15AA"/>
    <w:rsid w:val="00CA451B"/>
    <w:rsid w:val="00CB0247"/>
    <w:rsid w:val="00CB0A64"/>
    <w:rsid w:val="00CB3440"/>
    <w:rsid w:val="00CB3C49"/>
    <w:rsid w:val="00CB3FC2"/>
    <w:rsid w:val="00CB4084"/>
    <w:rsid w:val="00CB616A"/>
    <w:rsid w:val="00CB69E8"/>
    <w:rsid w:val="00CC1692"/>
    <w:rsid w:val="00CC7AC4"/>
    <w:rsid w:val="00CD138B"/>
    <w:rsid w:val="00CD23F7"/>
    <w:rsid w:val="00CD3E31"/>
    <w:rsid w:val="00CD617D"/>
    <w:rsid w:val="00CD7117"/>
    <w:rsid w:val="00CD74A3"/>
    <w:rsid w:val="00CE0527"/>
    <w:rsid w:val="00CE1DEE"/>
    <w:rsid w:val="00CE27C5"/>
    <w:rsid w:val="00CE30D0"/>
    <w:rsid w:val="00CE47D6"/>
    <w:rsid w:val="00CE5B23"/>
    <w:rsid w:val="00CF573B"/>
    <w:rsid w:val="00CF70AD"/>
    <w:rsid w:val="00CF7729"/>
    <w:rsid w:val="00D00059"/>
    <w:rsid w:val="00D009CE"/>
    <w:rsid w:val="00D00B93"/>
    <w:rsid w:val="00D02F34"/>
    <w:rsid w:val="00D04072"/>
    <w:rsid w:val="00D0487F"/>
    <w:rsid w:val="00D05CE2"/>
    <w:rsid w:val="00D069BB"/>
    <w:rsid w:val="00D107FA"/>
    <w:rsid w:val="00D11555"/>
    <w:rsid w:val="00D12275"/>
    <w:rsid w:val="00D12766"/>
    <w:rsid w:val="00D13C6C"/>
    <w:rsid w:val="00D20E4E"/>
    <w:rsid w:val="00D20FF4"/>
    <w:rsid w:val="00D212D8"/>
    <w:rsid w:val="00D2256D"/>
    <w:rsid w:val="00D22B0E"/>
    <w:rsid w:val="00D24D2C"/>
    <w:rsid w:val="00D316B3"/>
    <w:rsid w:val="00D35881"/>
    <w:rsid w:val="00D36916"/>
    <w:rsid w:val="00D3753F"/>
    <w:rsid w:val="00D442BD"/>
    <w:rsid w:val="00D44A23"/>
    <w:rsid w:val="00D46682"/>
    <w:rsid w:val="00D479AF"/>
    <w:rsid w:val="00D52A72"/>
    <w:rsid w:val="00D55399"/>
    <w:rsid w:val="00D55859"/>
    <w:rsid w:val="00D62E87"/>
    <w:rsid w:val="00D6564B"/>
    <w:rsid w:val="00D71E21"/>
    <w:rsid w:val="00D80D3F"/>
    <w:rsid w:val="00D83214"/>
    <w:rsid w:val="00D83336"/>
    <w:rsid w:val="00D83E21"/>
    <w:rsid w:val="00D920E7"/>
    <w:rsid w:val="00D97AF1"/>
    <w:rsid w:val="00DA664C"/>
    <w:rsid w:val="00DA780D"/>
    <w:rsid w:val="00DA78A7"/>
    <w:rsid w:val="00DA7DA5"/>
    <w:rsid w:val="00DB0440"/>
    <w:rsid w:val="00DB073B"/>
    <w:rsid w:val="00DB264F"/>
    <w:rsid w:val="00DB7308"/>
    <w:rsid w:val="00DB78F0"/>
    <w:rsid w:val="00DC0CEA"/>
    <w:rsid w:val="00DC2E43"/>
    <w:rsid w:val="00DC34AC"/>
    <w:rsid w:val="00DC3B90"/>
    <w:rsid w:val="00DC63A1"/>
    <w:rsid w:val="00DD095C"/>
    <w:rsid w:val="00DD0A7A"/>
    <w:rsid w:val="00DD1020"/>
    <w:rsid w:val="00DD1330"/>
    <w:rsid w:val="00DD28E0"/>
    <w:rsid w:val="00DD3231"/>
    <w:rsid w:val="00DD789F"/>
    <w:rsid w:val="00DE0B83"/>
    <w:rsid w:val="00DE0D0F"/>
    <w:rsid w:val="00DE1A81"/>
    <w:rsid w:val="00DE1C13"/>
    <w:rsid w:val="00DE2677"/>
    <w:rsid w:val="00DE4D02"/>
    <w:rsid w:val="00DE4E10"/>
    <w:rsid w:val="00DE55DF"/>
    <w:rsid w:val="00DE5CAC"/>
    <w:rsid w:val="00DE65B7"/>
    <w:rsid w:val="00DE7083"/>
    <w:rsid w:val="00DF14EF"/>
    <w:rsid w:val="00DF4177"/>
    <w:rsid w:val="00DF42DF"/>
    <w:rsid w:val="00DF45F3"/>
    <w:rsid w:val="00DF4689"/>
    <w:rsid w:val="00DF6797"/>
    <w:rsid w:val="00DF6A1A"/>
    <w:rsid w:val="00DF7061"/>
    <w:rsid w:val="00E01AD0"/>
    <w:rsid w:val="00E02ABF"/>
    <w:rsid w:val="00E0557E"/>
    <w:rsid w:val="00E1043D"/>
    <w:rsid w:val="00E106EB"/>
    <w:rsid w:val="00E14995"/>
    <w:rsid w:val="00E166B0"/>
    <w:rsid w:val="00E179CD"/>
    <w:rsid w:val="00E17F85"/>
    <w:rsid w:val="00E23250"/>
    <w:rsid w:val="00E23E8D"/>
    <w:rsid w:val="00E23FB0"/>
    <w:rsid w:val="00E246E3"/>
    <w:rsid w:val="00E253EB"/>
    <w:rsid w:val="00E27804"/>
    <w:rsid w:val="00E27A62"/>
    <w:rsid w:val="00E30E9F"/>
    <w:rsid w:val="00E311A3"/>
    <w:rsid w:val="00E36D32"/>
    <w:rsid w:val="00E37F98"/>
    <w:rsid w:val="00E4340E"/>
    <w:rsid w:val="00E46559"/>
    <w:rsid w:val="00E57040"/>
    <w:rsid w:val="00E62175"/>
    <w:rsid w:val="00E6670C"/>
    <w:rsid w:val="00E71064"/>
    <w:rsid w:val="00E73BC0"/>
    <w:rsid w:val="00E776E8"/>
    <w:rsid w:val="00E83AD7"/>
    <w:rsid w:val="00E86E00"/>
    <w:rsid w:val="00E92C1F"/>
    <w:rsid w:val="00E94458"/>
    <w:rsid w:val="00E95D4B"/>
    <w:rsid w:val="00E95FF0"/>
    <w:rsid w:val="00EA0F60"/>
    <w:rsid w:val="00EA20DE"/>
    <w:rsid w:val="00EA2EB4"/>
    <w:rsid w:val="00EA30FE"/>
    <w:rsid w:val="00EA5176"/>
    <w:rsid w:val="00EA6728"/>
    <w:rsid w:val="00EA76B8"/>
    <w:rsid w:val="00EB0D3C"/>
    <w:rsid w:val="00EB199F"/>
    <w:rsid w:val="00EB20E4"/>
    <w:rsid w:val="00EC00CA"/>
    <w:rsid w:val="00EC0403"/>
    <w:rsid w:val="00EC23F7"/>
    <w:rsid w:val="00EC4BD8"/>
    <w:rsid w:val="00EC63EB"/>
    <w:rsid w:val="00EC67A0"/>
    <w:rsid w:val="00ED23A9"/>
    <w:rsid w:val="00ED3684"/>
    <w:rsid w:val="00ED412F"/>
    <w:rsid w:val="00EE1D9E"/>
    <w:rsid w:val="00EE20B3"/>
    <w:rsid w:val="00EE44C6"/>
    <w:rsid w:val="00EE4F9A"/>
    <w:rsid w:val="00EF0186"/>
    <w:rsid w:val="00EF36B2"/>
    <w:rsid w:val="00EF5800"/>
    <w:rsid w:val="00EF77F9"/>
    <w:rsid w:val="00F068C5"/>
    <w:rsid w:val="00F11EFA"/>
    <w:rsid w:val="00F1231C"/>
    <w:rsid w:val="00F1246B"/>
    <w:rsid w:val="00F158A1"/>
    <w:rsid w:val="00F162E7"/>
    <w:rsid w:val="00F16CC4"/>
    <w:rsid w:val="00F17B35"/>
    <w:rsid w:val="00F201EC"/>
    <w:rsid w:val="00F208A9"/>
    <w:rsid w:val="00F2102F"/>
    <w:rsid w:val="00F22CAF"/>
    <w:rsid w:val="00F23DB4"/>
    <w:rsid w:val="00F27BFB"/>
    <w:rsid w:val="00F362C6"/>
    <w:rsid w:val="00F41D75"/>
    <w:rsid w:val="00F43D64"/>
    <w:rsid w:val="00F508C7"/>
    <w:rsid w:val="00F5139D"/>
    <w:rsid w:val="00F5498A"/>
    <w:rsid w:val="00F55314"/>
    <w:rsid w:val="00F604F1"/>
    <w:rsid w:val="00F62F43"/>
    <w:rsid w:val="00F63DAC"/>
    <w:rsid w:val="00F64A42"/>
    <w:rsid w:val="00F66DA3"/>
    <w:rsid w:val="00F71B07"/>
    <w:rsid w:val="00F7454F"/>
    <w:rsid w:val="00F745ED"/>
    <w:rsid w:val="00F74C18"/>
    <w:rsid w:val="00F77511"/>
    <w:rsid w:val="00F77988"/>
    <w:rsid w:val="00F77F48"/>
    <w:rsid w:val="00F82FD3"/>
    <w:rsid w:val="00F836E3"/>
    <w:rsid w:val="00F90038"/>
    <w:rsid w:val="00F95719"/>
    <w:rsid w:val="00F96858"/>
    <w:rsid w:val="00FA0FD5"/>
    <w:rsid w:val="00FA6DD0"/>
    <w:rsid w:val="00FB2B33"/>
    <w:rsid w:val="00FB30F1"/>
    <w:rsid w:val="00FB331B"/>
    <w:rsid w:val="00FB37FF"/>
    <w:rsid w:val="00FB3AD8"/>
    <w:rsid w:val="00FB5108"/>
    <w:rsid w:val="00FB53E7"/>
    <w:rsid w:val="00FB5BAF"/>
    <w:rsid w:val="00FB69DD"/>
    <w:rsid w:val="00FD2A8A"/>
    <w:rsid w:val="00FD5301"/>
    <w:rsid w:val="00FD6EF2"/>
    <w:rsid w:val="00FE2265"/>
    <w:rsid w:val="00FE4973"/>
    <w:rsid w:val="00FE5A2C"/>
    <w:rsid w:val="00FF216D"/>
    <w:rsid w:val="00FF4B97"/>
    <w:rsid w:val="00FF5C64"/>
    <w:rsid w:val="00FF5C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rsid w:val="00DF6A1A"/>
    <w:pPr>
      <w:spacing w:before="100" w:beforeAutospacing="1" w:after="100" w:afterAutospacing="1"/>
    </w:pPr>
  </w:style>
  <w:style w:type="paragraph" w:styleId="NormalWeb">
    <w:name w:val="Normal (Web)"/>
    <w:basedOn w:val="Normal"/>
    <w:link w:val="NormalWebChar"/>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99"/>
    <w:qFormat/>
    <w:rsid w:val="00630F37"/>
    <w:rPr>
      <w:rFonts w:cs="Times New Roman"/>
      <w:b/>
    </w:rPr>
  </w:style>
  <w:style w:type="character" w:customStyle="1" w:styleId="HeaderChar">
    <w:name w:val="Header Char"/>
    <w:basedOn w:val="DefaultParagraphFont"/>
    <w:link w:val="Header"/>
    <w:uiPriority w:val="99"/>
    <w:rsid w:val="00983EF2"/>
    <w:rPr>
      <w:sz w:val="24"/>
      <w:szCs w:val="24"/>
    </w:rPr>
  </w:style>
  <w:style w:type="paragraph" w:styleId="NoSpacing">
    <w:name w:val="No Spacing"/>
    <w:uiPriority w:val="1"/>
    <w:qFormat/>
    <w:rsid w:val="00983EF2"/>
    <w:rPr>
      <w:rFonts w:ascii="Calibri" w:eastAsia="Calibri" w:hAnsi="Calibri"/>
      <w:sz w:val="22"/>
      <w:szCs w:val="22"/>
      <w:lang w:eastAsia="en-US"/>
    </w:rPr>
  </w:style>
  <w:style w:type="paragraph" w:styleId="BodyTextIndent">
    <w:name w:val="Body Text Indent"/>
    <w:basedOn w:val="Normal"/>
    <w:link w:val="BodyTextIndentChar"/>
    <w:rsid w:val="00983EF2"/>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983EF2"/>
    <w:rPr>
      <w:rFonts w:ascii="Calibri" w:eastAsia="Calibri" w:hAnsi="Calibri"/>
      <w:sz w:val="22"/>
      <w:szCs w:val="22"/>
      <w:lang w:eastAsia="en-US"/>
    </w:rPr>
  </w:style>
  <w:style w:type="character" w:customStyle="1" w:styleId="BalloonTextChar">
    <w:name w:val="Balloon Text Char"/>
    <w:basedOn w:val="DefaultParagraphFont"/>
    <w:link w:val="BalloonText"/>
    <w:uiPriority w:val="99"/>
    <w:semiHidden/>
    <w:rsid w:val="00983EF2"/>
    <w:rPr>
      <w:rFonts w:ascii="Tahoma" w:hAnsi="Tahoma" w:cs="Tahoma"/>
      <w:sz w:val="16"/>
      <w:szCs w:val="16"/>
    </w:rPr>
  </w:style>
  <w:style w:type="character" w:customStyle="1" w:styleId="CommentSubjectChar">
    <w:name w:val="Comment Subject Char"/>
    <w:basedOn w:val="CommentTextChar"/>
    <w:link w:val="CommentSubject"/>
    <w:uiPriority w:val="99"/>
    <w:semiHidden/>
    <w:rsid w:val="00983EF2"/>
    <w:rPr>
      <w:b/>
      <w:bCs/>
    </w:rPr>
  </w:style>
  <w:style w:type="paragraph" w:styleId="BodyText3">
    <w:name w:val="Body Text 3"/>
    <w:basedOn w:val="Normal"/>
    <w:link w:val="BodyText3Char"/>
    <w:rsid w:val="00983EF2"/>
    <w:pPr>
      <w:spacing w:after="120"/>
    </w:pPr>
    <w:rPr>
      <w:sz w:val="16"/>
      <w:szCs w:val="16"/>
    </w:rPr>
  </w:style>
  <w:style w:type="character" w:customStyle="1" w:styleId="BodyText3Char">
    <w:name w:val="Body Text 3 Char"/>
    <w:basedOn w:val="DefaultParagraphFont"/>
    <w:link w:val="BodyText3"/>
    <w:rsid w:val="00983EF2"/>
    <w:rPr>
      <w:sz w:val="16"/>
      <w:szCs w:val="16"/>
    </w:rPr>
  </w:style>
  <w:style w:type="paragraph" w:customStyle="1" w:styleId="tvhtmlmktable">
    <w:name w:val="tv_html mk_table"/>
    <w:basedOn w:val="Normal"/>
    <w:rsid w:val="00983EF2"/>
    <w:pPr>
      <w:spacing w:before="100" w:beforeAutospacing="1" w:after="100" w:afterAutospacing="1"/>
    </w:pPr>
    <w:rPr>
      <w:rFonts w:ascii="Verdana" w:hAnsi="Verdana"/>
      <w:sz w:val="18"/>
      <w:szCs w:val="18"/>
    </w:rPr>
  </w:style>
  <w:style w:type="character" w:customStyle="1" w:styleId="FootnoteTextChar">
    <w:name w:val="Footnote Text Char"/>
    <w:basedOn w:val="DefaultParagraphFont"/>
    <w:link w:val="FootnoteText"/>
    <w:rsid w:val="00983EF2"/>
  </w:style>
  <w:style w:type="character" w:customStyle="1" w:styleId="NormalWebChar">
    <w:name w:val="Normal (Web) Char"/>
    <w:basedOn w:val="DefaultParagraphFont"/>
    <w:link w:val="NormalWeb"/>
    <w:locked/>
    <w:rsid w:val="00983EF2"/>
    <w:rPr>
      <w:rFonts w:ascii="Arial Unicode MS" w:eastAsia="Arial Unicode MS" w:hAnsi="Arial Unicode MS" w:cs="Arial Unicode MS"/>
      <w:sz w:val="24"/>
      <w:szCs w:val="24"/>
      <w:lang w:val="en-GB" w:eastAsia="en-US"/>
    </w:rPr>
  </w:style>
  <w:style w:type="paragraph" w:styleId="BodyText2">
    <w:name w:val="Body Text 2"/>
    <w:basedOn w:val="Normal"/>
    <w:link w:val="BodyText2Char"/>
    <w:uiPriority w:val="99"/>
    <w:unhideWhenUsed/>
    <w:rsid w:val="00983EF2"/>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983EF2"/>
    <w:rPr>
      <w:rFonts w:ascii="Calibri" w:eastAsia="Calibri" w:hAnsi="Calibri"/>
      <w:sz w:val="22"/>
      <w:szCs w:val="22"/>
      <w:lang w:eastAsia="en-US"/>
    </w:rPr>
  </w:style>
  <w:style w:type="paragraph" w:customStyle="1" w:styleId="RakstzChar">
    <w:name w:val="Rakstz. Char"/>
    <w:basedOn w:val="Normal"/>
    <w:rsid w:val="00983EF2"/>
    <w:rPr>
      <w:lang w:val="pl-PL" w:eastAsia="pl-PL"/>
    </w:rPr>
  </w:style>
  <w:style w:type="paragraph" w:customStyle="1" w:styleId="tvhtml1">
    <w:name w:val="tv_html1"/>
    <w:basedOn w:val="Normal"/>
    <w:rsid w:val="00983EF2"/>
    <w:pPr>
      <w:spacing w:before="100" w:beforeAutospacing="1" w:line="360" w:lineRule="auto"/>
    </w:pPr>
    <w:rPr>
      <w:rFonts w:ascii="Verdana" w:hAnsi="Verdana"/>
      <w:sz w:val="18"/>
      <w:szCs w:val="18"/>
      <w:lang w:val="en-US" w:eastAsia="en-US"/>
    </w:rPr>
  </w:style>
  <w:style w:type="character" w:customStyle="1" w:styleId="fontsize21">
    <w:name w:val="fontsize21"/>
    <w:basedOn w:val="DefaultParagraphFont"/>
    <w:rsid w:val="00983EF2"/>
    <w:rPr>
      <w:b w:val="0"/>
      <w:bCs w:val="0"/>
      <w:i/>
      <w:iCs/>
    </w:rPr>
  </w:style>
  <w:style w:type="paragraph" w:customStyle="1" w:styleId="labojumupamats1">
    <w:name w:val="labojumu_pamats1"/>
    <w:basedOn w:val="Normal"/>
    <w:rsid w:val="00983EF2"/>
    <w:pPr>
      <w:spacing w:before="45" w:line="360" w:lineRule="auto"/>
      <w:ind w:firstLine="300"/>
    </w:pPr>
    <w:rPr>
      <w:i/>
      <w:iCs/>
      <w:color w:val="414142"/>
      <w:sz w:val="20"/>
      <w:szCs w:val="20"/>
    </w:rPr>
  </w:style>
  <w:style w:type="paragraph" w:customStyle="1" w:styleId="h1">
    <w:name w:val="h1"/>
    <w:basedOn w:val="Normal"/>
    <w:rsid w:val="00983EF2"/>
    <w:pPr>
      <w:spacing w:after="150"/>
    </w:pPr>
    <w:rPr>
      <w:color w:val="306060"/>
      <w:sz w:val="31"/>
      <w:szCs w:val="31"/>
    </w:rPr>
  </w:style>
  <w:style w:type="paragraph" w:customStyle="1" w:styleId="h2">
    <w:name w:val="h2"/>
    <w:basedOn w:val="Normal"/>
    <w:rsid w:val="00983EF2"/>
    <w:pPr>
      <w:spacing w:before="75" w:after="75"/>
    </w:pPr>
    <w:rPr>
      <w:color w:val="306060"/>
    </w:rPr>
  </w:style>
  <w:style w:type="paragraph" w:customStyle="1" w:styleId="a">
    <w:name w:val="a"/>
    <w:basedOn w:val="Normal"/>
    <w:rsid w:val="00983EF2"/>
    <w:pPr>
      <w:spacing w:before="75" w:after="75"/>
    </w:pPr>
    <w:rPr>
      <w:color w:val="306060"/>
    </w:rPr>
  </w:style>
  <w:style w:type="paragraph" w:customStyle="1" w:styleId="b">
    <w:name w:val="b"/>
    <w:basedOn w:val="Normal"/>
    <w:rsid w:val="00983EF2"/>
    <w:pPr>
      <w:spacing w:before="75" w:after="75"/>
    </w:pPr>
    <w:rPr>
      <w:color w:val="306060"/>
    </w:rPr>
  </w:style>
  <w:style w:type="paragraph" w:customStyle="1" w:styleId="body">
    <w:name w:val="body"/>
    <w:basedOn w:val="Normal"/>
    <w:rsid w:val="00983EF2"/>
    <w:pPr>
      <w:shd w:val="clear" w:color="auto" w:fill="C9E1DF"/>
      <w:spacing w:before="75" w:after="75"/>
    </w:pPr>
    <w:rPr>
      <w:rFonts w:ascii="Arial" w:hAnsi="Arial" w:cs="Arial"/>
      <w:color w:val="333333"/>
    </w:rPr>
  </w:style>
  <w:style w:type="paragraph" w:customStyle="1" w:styleId="bodyfont">
    <w:name w:val="bodyfont"/>
    <w:basedOn w:val="Normal"/>
    <w:rsid w:val="00983EF2"/>
    <w:pPr>
      <w:spacing w:before="75" w:after="75"/>
    </w:pPr>
    <w:rPr>
      <w:rFonts w:ascii="Arial" w:hAnsi="Arial" w:cs="Arial"/>
    </w:rPr>
  </w:style>
  <w:style w:type="paragraph" w:customStyle="1" w:styleId="button">
    <w:name w:val="button"/>
    <w:basedOn w:val="Normal"/>
    <w:rsid w:val="00983EF2"/>
    <w:pPr>
      <w:spacing w:before="75" w:after="75"/>
    </w:pPr>
    <w:rPr>
      <w:color w:val="F0F8F8"/>
    </w:rPr>
  </w:style>
  <w:style w:type="paragraph" w:customStyle="1" w:styleId="radio">
    <w:name w:val="radio"/>
    <w:basedOn w:val="Normal"/>
    <w:rsid w:val="00983EF2"/>
    <w:pPr>
      <w:spacing w:before="75" w:after="75"/>
    </w:pPr>
  </w:style>
  <w:style w:type="paragraph" w:customStyle="1" w:styleId="headcol">
    <w:name w:val="headcol"/>
    <w:basedOn w:val="Normal"/>
    <w:rsid w:val="00983EF2"/>
    <w:pPr>
      <w:spacing w:before="75" w:after="75"/>
    </w:pPr>
    <w:rPr>
      <w:color w:val="F0F8F8"/>
    </w:rPr>
  </w:style>
  <w:style w:type="paragraph" w:customStyle="1" w:styleId="titlecol">
    <w:name w:val="titlecol"/>
    <w:basedOn w:val="Normal"/>
    <w:rsid w:val="00983EF2"/>
    <w:pPr>
      <w:spacing w:before="75" w:after="75"/>
      <w:jc w:val="right"/>
    </w:pPr>
    <w:rPr>
      <w:b/>
      <w:bCs/>
    </w:rPr>
  </w:style>
  <w:style w:type="paragraph" w:customStyle="1" w:styleId="th">
    <w:name w:val="th"/>
    <w:basedOn w:val="Normal"/>
    <w:rsid w:val="00983EF2"/>
    <w:pPr>
      <w:spacing w:before="75" w:after="75"/>
    </w:pPr>
    <w:rPr>
      <w:b/>
      <w:bCs/>
      <w:color w:val="333333"/>
    </w:rPr>
  </w:style>
  <w:style w:type="paragraph" w:customStyle="1" w:styleId="thr">
    <w:name w:val="thr"/>
    <w:basedOn w:val="Normal"/>
    <w:rsid w:val="00983EF2"/>
    <w:pPr>
      <w:spacing w:before="75" w:after="75"/>
      <w:jc w:val="right"/>
    </w:pPr>
  </w:style>
  <w:style w:type="paragraph" w:customStyle="1" w:styleId="bdc">
    <w:name w:val="bdc"/>
    <w:basedOn w:val="Normal"/>
    <w:rsid w:val="00983EF2"/>
    <w:pPr>
      <w:spacing w:before="75" w:after="75"/>
    </w:pPr>
    <w:rPr>
      <w:b/>
      <w:bCs/>
    </w:rPr>
  </w:style>
  <w:style w:type="paragraph" w:customStyle="1" w:styleId="input">
    <w:name w:val="input"/>
    <w:basedOn w:val="Normal"/>
    <w:rsid w:val="00983EF2"/>
    <w:pPr>
      <w:shd w:val="clear" w:color="auto" w:fill="F0F8F8"/>
      <w:spacing w:before="75" w:after="75"/>
    </w:pPr>
    <w:rPr>
      <w:rFonts w:ascii="Arial" w:hAnsi="Arial" w:cs="Arial"/>
      <w:color w:val="333333"/>
    </w:rPr>
  </w:style>
  <w:style w:type="paragraph" w:customStyle="1" w:styleId="select">
    <w:name w:val="select"/>
    <w:basedOn w:val="Normal"/>
    <w:rsid w:val="00983EF2"/>
    <w:pPr>
      <w:shd w:val="clear" w:color="auto" w:fill="F0F8F8"/>
      <w:spacing w:before="75" w:after="75"/>
    </w:pPr>
    <w:rPr>
      <w:color w:val="333333"/>
    </w:rPr>
  </w:style>
  <w:style w:type="paragraph" w:customStyle="1" w:styleId="top1">
    <w:name w:val="top1"/>
    <w:basedOn w:val="Normal"/>
    <w:rsid w:val="00983EF2"/>
    <w:pPr>
      <w:spacing w:before="75" w:after="75"/>
    </w:pPr>
  </w:style>
  <w:style w:type="paragraph" w:customStyle="1" w:styleId="logo">
    <w:name w:val="logo"/>
    <w:basedOn w:val="Normal"/>
    <w:rsid w:val="00983EF2"/>
    <w:pPr>
      <w:spacing w:before="75" w:after="75"/>
    </w:pPr>
  </w:style>
  <w:style w:type="paragraph" w:customStyle="1" w:styleId="top2">
    <w:name w:val="top2"/>
    <w:basedOn w:val="Normal"/>
    <w:rsid w:val="00983EF2"/>
    <w:pPr>
      <w:spacing w:before="75" w:after="75"/>
    </w:pPr>
  </w:style>
  <w:style w:type="paragraph" w:customStyle="1" w:styleId="hline">
    <w:name w:val="hline"/>
    <w:basedOn w:val="Normal"/>
    <w:rsid w:val="00983EF2"/>
    <w:pPr>
      <w:spacing w:before="75" w:after="75"/>
    </w:pPr>
  </w:style>
  <w:style w:type="paragraph" w:customStyle="1" w:styleId="vline">
    <w:name w:val="vline"/>
    <w:basedOn w:val="Normal"/>
    <w:rsid w:val="00983EF2"/>
    <w:pPr>
      <w:spacing w:before="75" w:after="75"/>
    </w:pPr>
  </w:style>
  <w:style w:type="paragraph" w:customStyle="1" w:styleId="zvabri">
    <w:name w:val="zvabri"/>
    <w:basedOn w:val="Normal"/>
    <w:rsid w:val="00983EF2"/>
    <w:pPr>
      <w:spacing w:before="75" w:after="75"/>
    </w:pPr>
    <w:rPr>
      <w:color w:val="FF0000"/>
    </w:rPr>
  </w:style>
  <w:style w:type="paragraph" w:customStyle="1" w:styleId="mktable">
    <w:name w:val="mk_table"/>
    <w:basedOn w:val="Normal"/>
    <w:rsid w:val="00983EF2"/>
    <w:pPr>
      <w:spacing w:before="75" w:after="75"/>
    </w:pPr>
  </w:style>
  <w:style w:type="paragraph" w:customStyle="1" w:styleId="regfields">
    <w:name w:val="regfields"/>
    <w:basedOn w:val="Normal"/>
    <w:rsid w:val="00983EF2"/>
    <w:pPr>
      <w:spacing w:before="75" w:after="75"/>
      <w:jc w:val="center"/>
    </w:pPr>
  </w:style>
  <w:style w:type="paragraph" w:customStyle="1" w:styleId="nais1">
    <w:name w:val="nais1"/>
    <w:basedOn w:val="Normal"/>
    <w:rsid w:val="00983EF2"/>
    <w:pPr>
      <w:spacing w:before="75" w:after="75"/>
      <w:ind w:left="450" w:firstLine="375"/>
      <w:jc w:val="both"/>
    </w:pPr>
  </w:style>
  <w:style w:type="paragraph" w:customStyle="1" w:styleId="nais2">
    <w:name w:val="nais2"/>
    <w:basedOn w:val="Normal"/>
    <w:rsid w:val="00983EF2"/>
    <w:pPr>
      <w:spacing w:before="75" w:after="75"/>
      <w:ind w:left="900" w:firstLine="375"/>
      <w:jc w:val="both"/>
    </w:pPr>
  </w:style>
  <w:style w:type="paragraph" w:customStyle="1" w:styleId="naisvisr">
    <w:name w:val="naisvisr"/>
    <w:basedOn w:val="Normal"/>
    <w:rsid w:val="00983EF2"/>
    <w:pPr>
      <w:spacing w:before="150" w:after="150"/>
      <w:jc w:val="center"/>
    </w:pPr>
    <w:rPr>
      <w:b/>
      <w:bCs/>
      <w:sz w:val="28"/>
      <w:szCs w:val="28"/>
    </w:rPr>
  </w:style>
  <w:style w:type="paragraph" w:customStyle="1" w:styleId="naispie">
    <w:name w:val="naispie"/>
    <w:basedOn w:val="Normal"/>
    <w:rsid w:val="00983EF2"/>
    <w:pPr>
      <w:spacing w:before="75" w:after="75"/>
      <w:ind w:firstLine="375"/>
    </w:pPr>
    <w:rPr>
      <w:i/>
      <w:iCs/>
      <w:sz w:val="20"/>
      <w:szCs w:val="20"/>
    </w:rPr>
  </w:style>
  <w:style w:type="character" w:customStyle="1" w:styleId="apple-style-span">
    <w:name w:val="apple-style-span"/>
    <w:basedOn w:val="DefaultParagraphFont"/>
    <w:rsid w:val="00983EF2"/>
  </w:style>
  <w:style w:type="paragraph" w:styleId="List2">
    <w:name w:val="List 2"/>
    <w:basedOn w:val="Normal"/>
    <w:rsid w:val="00983EF2"/>
    <w:pPr>
      <w:ind w:left="566" w:hanging="283"/>
    </w:pPr>
    <w:rPr>
      <w:sz w:val="20"/>
      <w:szCs w:val="20"/>
      <w:lang w:val="en-US" w:eastAsia="en-US"/>
    </w:rPr>
  </w:style>
  <w:style w:type="paragraph" w:styleId="BodyText">
    <w:name w:val="Body Text"/>
    <w:basedOn w:val="Normal"/>
    <w:link w:val="BodyTextChar"/>
    <w:rsid w:val="00983EF2"/>
    <w:pPr>
      <w:jc w:val="center"/>
    </w:pPr>
    <w:rPr>
      <w:b/>
      <w:bCs/>
      <w:sz w:val="28"/>
      <w:lang w:eastAsia="en-US"/>
    </w:rPr>
  </w:style>
  <w:style w:type="character" w:customStyle="1" w:styleId="BodyTextChar">
    <w:name w:val="Body Text Char"/>
    <w:basedOn w:val="DefaultParagraphFont"/>
    <w:link w:val="BodyText"/>
    <w:rsid w:val="00983EF2"/>
    <w:rPr>
      <w:b/>
      <w:bCs/>
      <w:sz w:val="28"/>
      <w:szCs w:val="24"/>
      <w:lang w:eastAsia="en-US"/>
    </w:rPr>
  </w:style>
  <w:style w:type="paragraph" w:customStyle="1" w:styleId="mt-translation1">
    <w:name w:val="mt-translation1"/>
    <w:basedOn w:val="Normal"/>
    <w:rsid w:val="00983EF2"/>
    <w:rPr>
      <w:rFonts w:ascii="Segoe UI" w:hAnsi="Segoe UI" w:cs="Segoe UI"/>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0639056">
      <w:bodyDiv w:val="1"/>
      <w:marLeft w:val="0"/>
      <w:marRight w:val="0"/>
      <w:marTop w:val="0"/>
      <w:marBottom w:val="0"/>
      <w:divBdr>
        <w:top w:val="none" w:sz="0" w:space="0" w:color="auto"/>
        <w:left w:val="none" w:sz="0" w:space="0" w:color="auto"/>
        <w:bottom w:val="none" w:sz="0" w:space="0" w:color="auto"/>
        <w:right w:val="none" w:sz="0" w:space="0" w:color="auto"/>
      </w:divBdr>
      <w:divsChild>
        <w:div w:id="240871428">
          <w:marLeft w:val="0"/>
          <w:marRight w:val="0"/>
          <w:marTop w:val="0"/>
          <w:marBottom w:val="0"/>
          <w:divBdr>
            <w:top w:val="none" w:sz="0" w:space="0" w:color="auto"/>
            <w:left w:val="none" w:sz="0" w:space="0" w:color="auto"/>
            <w:bottom w:val="none" w:sz="0" w:space="0" w:color="auto"/>
            <w:right w:val="none" w:sz="0" w:space="0" w:color="auto"/>
          </w:divBdr>
          <w:divsChild>
            <w:div w:id="1613635720">
              <w:marLeft w:val="0"/>
              <w:marRight w:val="0"/>
              <w:marTop w:val="0"/>
              <w:marBottom w:val="0"/>
              <w:divBdr>
                <w:top w:val="none" w:sz="0" w:space="0" w:color="auto"/>
                <w:left w:val="none" w:sz="0" w:space="0" w:color="auto"/>
                <w:bottom w:val="none" w:sz="0" w:space="0" w:color="auto"/>
                <w:right w:val="none" w:sz="0" w:space="0" w:color="auto"/>
              </w:divBdr>
              <w:divsChild>
                <w:div w:id="1424257491">
                  <w:marLeft w:val="0"/>
                  <w:marRight w:val="0"/>
                  <w:marTop w:val="0"/>
                  <w:marBottom w:val="0"/>
                  <w:divBdr>
                    <w:top w:val="none" w:sz="0" w:space="0" w:color="auto"/>
                    <w:left w:val="none" w:sz="0" w:space="0" w:color="auto"/>
                    <w:bottom w:val="none" w:sz="0" w:space="0" w:color="auto"/>
                    <w:right w:val="none" w:sz="0" w:space="0" w:color="auto"/>
                  </w:divBdr>
                  <w:divsChild>
                    <w:div w:id="1234200302">
                      <w:marLeft w:val="0"/>
                      <w:marRight w:val="0"/>
                      <w:marTop w:val="0"/>
                      <w:marBottom w:val="0"/>
                      <w:divBdr>
                        <w:top w:val="none" w:sz="0" w:space="0" w:color="auto"/>
                        <w:left w:val="none" w:sz="0" w:space="0" w:color="auto"/>
                        <w:bottom w:val="none" w:sz="0" w:space="0" w:color="auto"/>
                        <w:right w:val="none" w:sz="0" w:space="0" w:color="auto"/>
                      </w:divBdr>
                      <w:divsChild>
                        <w:div w:id="1672021912">
                          <w:marLeft w:val="0"/>
                          <w:marRight w:val="0"/>
                          <w:marTop w:val="300"/>
                          <w:marBottom w:val="0"/>
                          <w:divBdr>
                            <w:top w:val="none" w:sz="0" w:space="0" w:color="auto"/>
                            <w:left w:val="none" w:sz="0" w:space="0" w:color="auto"/>
                            <w:bottom w:val="none" w:sz="0" w:space="0" w:color="auto"/>
                            <w:right w:val="none" w:sz="0" w:space="0" w:color="auto"/>
                          </w:divBdr>
                          <w:divsChild>
                            <w:div w:id="11820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5347">
      <w:bodyDiv w:val="1"/>
      <w:marLeft w:val="0"/>
      <w:marRight w:val="0"/>
      <w:marTop w:val="0"/>
      <w:marBottom w:val="0"/>
      <w:divBdr>
        <w:top w:val="none" w:sz="0" w:space="0" w:color="auto"/>
        <w:left w:val="none" w:sz="0" w:space="0" w:color="auto"/>
        <w:bottom w:val="none" w:sz="0" w:space="0" w:color="auto"/>
        <w:right w:val="none" w:sz="0" w:space="0" w:color="auto"/>
      </w:divBdr>
      <w:divsChild>
        <w:div w:id="359822104">
          <w:marLeft w:val="0"/>
          <w:marRight w:val="0"/>
          <w:marTop w:val="0"/>
          <w:marBottom w:val="0"/>
          <w:divBdr>
            <w:top w:val="none" w:sz="0" w:space="0" w:color="auto"/>
            <w:left w:val="none" w:sz="0" w:space="0" w:color="auto"/>
            <w:bottom w:val="none" w:sz="0" w:space="0" w:color="auto"/>
            <w:right w:val="none" w:sz="0" w:space="0" w:color="auto"/>
          </w:divBdr>
          <w:divsChild>
            <w:div w:id="10432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2868">
      <w:bodyDiv w:val="1"/>
      <w:marLeft w:val="0"/>
      <w:marRight w:val="0"/>
      <w:marTop w:val="0"/>
      <w:marBottom w:val="0"/>
      <w:divBdr>
        <w:top w:val="none" w:sz="0" w:space="0" w:color="auto"/>
        <w:left w:val="none" w:sz="0" w:space="0" w:color="auto"/>
        <w:bottom w:val="none" w:sz="0" w:space="0" w:color="auto"/>
        <w:right w:val="none" w:sz="0" w:space="0" w:color="auto"/>
      </w:divBdr>
      <w:divsChild>
        <w:div w:id="2114784678">
          <w:marLeft w:val="0"/>
          <w:marRight w:val="0"/>
          <w:marTop w:val="0"/>
          <w:marBottom w:val="0"/>
          <w:divBdr>
            <w:top w:val="none" w:sz="0" w:space="0" w:color="auto"/>
            <w:left w:val="none" w:sz="0" w:space="0" w:color="auto"/>
            <w:bottom w:val="none" w:sz="0" w:space="0" w:color="auto"/>
            <w:right w:val="none" w:sz="0" w:space="0" w:color="auto"/>
          </w:divBdr>
          <w:divsChild>
            <w:div w:id="1820223789">
              <w:marLeft w:val="0"/>
              <w:marRight w:val="0"/>
              <w:marTop w:val="0"/>
              <w:marBottom w:val="0"/>
              <w:divBdr>
                <w:top w:val="none" w:sz="0" w:space="0" w:color="auto"/>
                <w:left w:val="none" w:sz="0" w:space="0" w:color="auto"/>
                <w:bottom w:val="none" w:sz="0" w:space="0" w:color="auto"/>
                <w:right w:val="none" w:sz="0" w:space="0" w:color="auto"/>
              </w:divBdr>
              <w:divsChild>
                <w:div w:id="1216695718">
                  <w:marLeft w:val="0"/>
                  <w:marRight w:val="0"/>
                  <w:marTop w:val="0"/>
                  <w:marBottom w:val="0"/>
                  <w:divBdr>
                    <w:top w:val="none" w:sz="0" w:space="0" w:color="auto"/>
                    <w:left w:val="none" w:sz="0" w:space="0" w:color="auto"/>
                    <w:bottom w:val="none" w:sz="0" w:space="0" w:color="auto"/>
                    <w:right w:val="none" w:sz="0" w:space="0" w:color="auto"/>
                  </w:divBdr>
                  <w:divsChild>
                    <w:div w:id="403722611">
                      <w:marLeft w:val="0"/>
                      <w:marRight w:val="0"/>
                      <w:marTop w:val="0"/>
                      <w:marBottom w:val="0"/>
                      <w:divBdr>
                        <w:top w:val="none" w:sz="0" w:space="0" w:color="auto"/>
                        <w:left w:val="none" w:sz="0" w:space="0" w:color="auto"/>
                        <w:bottom w:val="none" w:sz="0" w:space="0" w:color="auto"/>
                        <w:right w:val="none" w:sz="0" w:space="0" w:color="auto"/>
                      </w:divBdr>
                      <w:divsChild>
                        <w:div w:id="1538348449">
                          <w:marLeft w:val="0"/>
                          <w:marRight w:val="0"/>
                          <w:marTop w:val="0"/>
                          <w:marBottom w:val="0"/>
                          <w:divBdr>
                            <w:top w:val="none" w:sz="0" w:space="0" w:color="auto"/>
                            <w:left w:val="none" w:sz="0" w:space="0" w:color="auto"/>
                            <w:bottom w:val="none" w:sz="0" w:space="0" w:color="auto"/>
                            <w:right w:val="none" w:sz="0" w:space="0" w:color="auto"/>
                          </w:divBdr>
                          <w:divsChild>
                            <w:div w:id="819928572">
                              <w:marLeft w:val="0"/>
                              <w:marRight w:val="0"/>
                              <w:marTop w:val="480"/>
                              <w:marBottom w:val="240"/>
                              <w:divBdr>
                                <w:top w:val="none" w:sz="0" w:space="0" w:color="auto"/>
                                <w:left w:val="none" w:sz="0" w:space="0" w:color="auto"/>
                                <w:bottom w:val="none" w:sz="0" w:space="0" w:color="auto"/>
                                <w:right w:val="none" w:sz="0" w:space="0" w:color="auto"/>
                              </w:divBdr>
                            </w:div>
                            <w:div w:id="152686525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5462">
      <w:bodyDiv w:val="1"/>
      <w:marLeft w:val="0"/>
      <w:marRight w:val="0"/>
      <w:marTop w:val="0"/>
      <w:marBottom w:val="0"/>
      <w:divBdr>
        <w:top w:val="none" w:sz="0" w:space="0" w:color="auto"/>
        <w:left w:val="none" w:sz="0" w:space="0" w:color="auto"/>
        <w:bottom w:val="none" w:sz="0" w:space="0" w:color="auto"/>
        <w:right w:val="none" w:sz="0" w:space="0" w:color="auto"/>
      </w:divBdr>
      <w:divsChild>
        <w:div w:id="176506142">
          <w:marLeft w:val="0"/>
          <w:marRight w:val="0"/>
          <w:marTop w:val="0"/>
          <w:marBottom w:val="0"/>
          <w:divBdr>
            <w:top w:val="none" w:sz="0" w:space="0" w:color="auto"/>
            <w:left w:val="none" w:sz="0" w:space="0" w:color="auto"/>
            <w:bottom w:val="none" w:sz="0" w:space="0" w:color="auto"/>
            <w:right w:val="none" w:sz="0" w:space="0" w:color="auto"/>
          </w:divBdr>
          <w:divsChild>
            <w:div w:id="2044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2699">
      <w:bodyDiv w:val="1"/>
      <w:marLeft w:val="0"/>
      <w:marRight w:val="0"/>
      <w:marTop w:val="0"/>
      <w:marBottom w:val="0"/>
      <w:divBdr>
        <w:top w:val="none" w:sz="0" w:space="0" w:color="auto"/>
        <w:left w:val="none" w:sz="0" w:space="0" w:color="auto"/>
        <w:bottom w:val="none" w:sz="0" w:space="0" w:color="auto"/>
        <w:right w:val="none" w:sz="0" w:space="0" w:color="auto"/>
      </w:divBdr>
      <w:divsChild>
        <w:div w:id="1184779278">
          <w:marLeft w:val="0"/>
          <w:marRight w:val="0"/>
          <w:marTop w:val="0"/>
          <w:marBottom w:val="0"/>
          <w:divBdr>
            <w:top w:val="none" w:sz="0" w:space="0" w:color="auto"/>
            <w:left w:val="none" w:sz="0" w:space="0" w:color="auto"/>
            <w:bottom w:val="none" w:sz="0" w:space="0" w:color="auto"/>
            <w:right w:val="none" w:sz="0" w:space="0" w:color="auto"/>
          </w:divBdr>
          <w:divsChild>
            <w:div w:id="494955776">
              <w:marLeft w:val="0"/>
              <w:marRight w:val="0"/>
              <w:marTop w:val="0"/>
              <w:marBottom w:val="0"/>
              <w:divBdr>
                <w:top w:val="none" w:sz="0" w:space="0" w:color="auto"/>
                <w:left w:val="none" w:sz="0" w:space="0" w:color="auto"/>
                <w:bottom w:val="none" w:sz="0" w:space="0" w:color="auto"/>
                <w:right w:val="none" w:sz="0" w:space="0" w:color="auto"/>
              </w:divBdr>
              <w:divsChild>
                <w:div w:id="513375041">
                  <w:marLeft w:val="0"/>
                  <w:marRight w:val="0"/>
                  <w:marTop w:val="0"/>
                  <w:marBottom w:val="0"/>
                  <w:divBdr>
                    <w:top w:val="none" w:sz="0" w:space="0" w:color="auto"/>
                    <w:left w:val="none" w:sz="0" w:space="0" w:color="auto"/>
                    <w:bottom w:val="none" w:sz="0" w:space="0" w:color="auto"/>
                    <w:right w:val="none" w:sz="0" w:space="0" w:color="auto"/>
                  </w:divBdr>
                  <w:divsChild>
                    <w:div w:id="80445146">
                      <w:marLeft w:val="0"/>
                      <w:marRight w:val="0"/>
                      <w:marTop w:val="0"/>
                      <w:marBottom w:val="0"/>
                      <w:divBdr>
                        <w:top w:val="none" w:sz="0" w:space="0" w:color="auto"/>
                        <w:left w:val="none" w:sz="0" w:space="0" w:color="auto"/>
                        <w:bottom w:val="none" w:sz="0" w:space="0" w:color="auto"/>
                        <w:right w:val="none" w:sz="0" w:space="0" w:color="auto"/>
                      </w:divBdr>
                      <w:divsChild>
                        <w:div w:id="1999724824">
                          <w:marLeft w:val="0"/>
                          <w:marRight w:val="0"/>
                          <w:marTop w:val="300"/>
                          <w:marBottom w:val="0"/>
                          <w:divBdr>
                            <w:top w:val="none" w:sz="0" w:space="0" w:color="auto"/>
                            <w:left w:val="none" w:sz="0" w:space="0" w:color="auto"/>
                            <w:bottom w:val="none" w:sz="0" w:space="0" w:color="auto"/>
                            <w:right w:val="none" w:sz="0" w:space="0" w:color="auto"/>
                          </w:divBdr>
                          <w:divsChild>
                            <w:div w:id="16906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05545">
      <w:bodyDiv w:val="1"/>
      <w:marLeft w:val="0"/>
      <w:marRight w:val="0"/>
      <w:marTop w:val="0"/>
      <w:marBottom w:val="0"/>
      <w:divBdr>
        <w:top w:val="none" w:sz="0" w:space="0" w:color="auto"/>
        <w:left w:val="none" w:sz="0" w:space="0" w:color="auto"/>
        <w:bottom w:val="none" w:sz="0" w:space="0" w:color="auto"/>
        <w:right w:val="none" w:sz="0" w:space="0" w:color="auto"/>
      </w:divBdr>
      <w:divsChild>
        <w:div w:id="1708527579">
          <w:marLeft w:val="0"/>
          <w:marRight w:val="0"/>
          <w:marTop w:val="0"/>
          <w:marBottom w:val="0"/>
          <w:divBdr>
            <w:top w:val="none" w:sz="0" w:space="0" w:color="auto"/>
            <w:left w:val="none" w:sz="0" w:space="0" w:color="auto"/>
            <w:bottom w:val="none" w:sz="0" w:space="0" w:color="auto"/>
            <w:right w:val="none" w:sz="0" w:space="0" w:color="auto"/>
          </w:divBdr>
          <w:divsChild>
            <w:div w:id="828251110">
              <w:marLeft w:val="0"/>
              <w:marRight w:val="0"/>
              <w:marTop w:val="0"/>
              <w:marBottom w:val="0"/>
              <w:divBdr>
                <w:top w:val="none" w:sz="0" w:space="0" w:color="auto"/>
                <w:left w:val="none" w:sz="0" w:space="0" w:color="auto"/>
                <w:bottom w:val="none" w:sz="0" w:space="0" w:color="auto"/>
                <w:right w:val="none" w:sz="0" w:space="0" w:color="auto"/>
              </w:divBdr>
              <w:divsChild>
                <w:div w:id="1965771015">
                  <w:marLeft w:val="0"/>
                  <w:marRight w:val="0"/>
                  <w:marTop w:val="0"/>
                  <w:marBottom w:val="0"/>
                  <w:divBdr>
                    <w:top w:val="none" w:sz="0" w:space="0" w:color="auto"/>
                    <w:left w:val="none" w:sz="0" w:space="0" w:color="auto"/>
                    <w:bottom w:val="none" w:sz="0" w:space="0" w:color="auto"/>
                    <w:right w:val="none" w:sz="0" w:space="0" w:color="auto"/>
                  </w:divBdr>
                  <w:divsChild>
                    <w:div w:id="1301299491">
                      <w:marLeft w:val="0"/>
                      <w:marRight w:val="0"/>
                      <w:marTop w:val="0"/>
                      <w:marBottom w:val="0"/>
                      <w:divBdr>
                        <w:top w:val="none" w:sz="0" w:space="0" w:color="auto"/>
                        <w:left w:val="none" w:sz="0" w:space="0" w:color="auto"/>
                        <w:bottom w:val="none" w:sz="0" w:space="0" w:color="auto"/>
                        <w:right w:val="none" w:sz="0" w:space="0" w:color="auto"/>
                      </w:divBdr>
                      <w:divsChild>
                        <w:div w:id="572590192">
                          <w:marLeft w:val="0"/>
                          <w:marRight w:val="0"/>
                          <w:marTop w:val="300"/>
                          <w:marBottom w:val="0"/>
                          <w:divBdr>
                            <w:top w:val="none" w:sz="0" w:space="0" w:color="auto"/>
                            <w:left w:val="none" w:sz="0" w:space="0" w:color="auto"/>
                            <w:bottom w:val="none" w:sz="0" w:space="0" w:color="auto"/>
                            <w:right w:val="none" w:sz="0" w:space="0" w:color="auto"/>
                          </w:divBdr>
                          <w:divsChild>
                            <w:div w:id="1798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239300">
      <w:bodyDiv w:val="1"/>
      <w:marLeft w:val="0"/>
      <w:marRight w:val="0"/>
      <w:marTop w:val="0"/>
      <w:marBottom w:val="0"/>
      <w:divBdr>
        <w:top w:val="none" w:sz="0" w:space="0" w:color="auto"/>
        <w:left w:val="none" w:sz="0" w:space="0" w:color="auto"/>
        <w:bottom w:val="none" w:sz="0" w:space="0" w:color="auto"/>
        <w:right w:val="none" w:sz="0" w:space="0" w:color="auto"/>
      </w:divBdr>
      <w:divsChild>
        <w:div w:id="1474329728">
          <w:marLeft w:val="0"/>
          <w:marRight w:val="0"/>
          <w:marTop w:val="0"/>
          <w:marBottom w:val="0"/>
          <w:divBdr>
            <w:top w:val="none" w:sz="0" w:space="0" w:color="auto"/>
            <w:left w:val="none" w:sz="0" w:space="0" w:color="auto"/>
            <w:bottom w:val="none" w:sz="0" w:space="0" w:color="auto"/>
            <w:right w:val="none" w:sz="0" w:space="0" w:color="auto"/>
          </w:divBdr>
          <w:divsChild>
            <w:div w:id="1769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796">
      <w:bodyDiv w:val="1"/>
      <w:marLeft w:val="0"/>
      <w:marRight w:val="0"/>
      <w:marTop w:val="0"/>
      <w:marBottom w:val="0"/>
      <w:divBdr>
        <w:top w:val="none" w:sz="0" w:space="0" w:color="auto"/>
        <w:left w:val="none" w:sz="0" w:space="0" w:color="auto"/>
        <w:bottom w:val="none" w:sz="0" w:space="0" w:color="auto"/>
        <w:right w:val="none" w:sz="0" w:space="0" w:color="auto"/>
      </w:divBdr>
      <w:divsChild>
        <w:div w:id="259795297">
          <w:marLeft w:val="0"/>
          <w:marRight w:val="0"/>
          <w:marTop w:val="0"/>
          <w:marBottom w:val="0"/>
          <w:divBdr>
            <w:top w:val="none" w:sz="0" w:space="0" w:color="auto"/>
            <w:left w:val="none" w:sz="0" w:space="0" w:color="auto"/>
            <w:bottom w:val="none" w:sz="0" w:space="0" w:color="auto"/>
            <w:right w:val="none" w:sz="0" w:space="0" w:color="auto"/>
          </w:divBdr>
          <w:divsChild>
            <w:div w:id="1884057184">
              <w:marLeft w:val="0"/>
              <w:marRight w:val="0"/>
              <w:marTop w:val="0"/>
              <w:marBottom w:val="0"/>
              <w:divBdr>
                <w:top w:val="none" w:sz="0" w:space="0" w:color="auto"/>
                <w:left w:val="none" w:sz="0" w:space="0" w:color="auto"/>
                <w:bottom w:val="none" w:sz="0" w:space="0" w:color="auto"/>
                <w:right w:val="none" w:sz="0" w:space="0" w:color="auto"/>
              </w:divBdr>
              <w:divsChild>
                <w:div w:id="293759930">
                  <w:marLeft w:val="0"/>
                  <w:marRight w:val="0"/>
                  <w:marTop w:val="0"/>
                  <w:marBottom w:val="0"/>
                  <w:divBdr>
                    <w:top w:val="none" w:sz="0" w:space="0" w:color="auto"/>
                    <w:left w:val="none" w:sz="0" w:space="0" w:color="auto"/>
                    <w:bottom w:val="none" w:sz="0" w:space="0" w:color="auto"/>
                    <w:right w:val="none" w:sz="0" w:space="0" w:color="auto"/>
                  </w:divBdr>
                  <w:divsChild>
                    <w:div w:id="30305441">
                      <w:marLeft w:val="0"/>
                      <w:marRight w:val="0"/>
                      <w:marTop w:val="0"/>
                      <w:marBottom w:val="0"/>
                      <w:divBdr>
                        <w:top w:val="none" w:sz="0" w:space="0" w:color="auto"/>
                        <w:left w:val="none" w:sz="0" w:space="0" w:color="auto"/>
                        <w:bottom w:val="none" w:sz="0" w:space="0" w:color="auto"/>
                        <w:right w:val="none" w:sz="0" w:space="0" w:color="auto"/>
                      </w:divBdr>
                      <w:divsChild>
                        <w:div w:id="1053233293">
                          <w:marLeft w:val="0"/>
                          <w:marRight w:val="0"/>
                          <w:marTop w:val="0"/>
                          <w:marBottom w:val="0"/>
                          <w:divBdr>
                            <w:top w:val="none" w:sz="0" w:space="0" w:color="auto"/>
                            <w:left w:val="none" w:sz="0" w:space="0" w:color="auto"/>
                            <w:bottom w:val="none" w:sz="0" w:space="0" w:color="auto"/>
                            <w:right w:val="none" w:sz="0" w:space="0" w:color="auto"/>
                          </w:divBdr>
                          <w:divsChild>
                            <w:div w:id="13790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nais.lv/naiser/text.cfm?Ref=0327021984120732769&amp;Req=0327021984120732769&amp;Key=0103011999031832772&amp;Hash=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likumi.lv/doc.php?id=89648" TargetMode="External"/><Relationship Id="rId17" Type="http://schemas.openxmlformats.org/officeDocument/2006/relationships/hyperlink" Target="mailto:Maris.mudelis@vi.gov.lv" TargetMode="External"/><Relationship Id="rId2" Type="http://schemas.openxmlformats.org/officeDocument/2006/relationships/customXml" Target="../customXml/item2.xml"/><Relationship Id="rId16" Type="http://schemas.openxmlformats.org/officeDocument/2006/relationships/hyperlink" Target="mailto:Vesma.Skudra@v.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eva.Bruvere@vm.gov.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nais.lv/naiser/esdoc.cfm?esid=32004L00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B1CB5388-DC7E-4518-B589-601EAA2A40E6}">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3F4125AC-7E85-46B2-8685-5486217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6948</Words>
  <Characters>49796</Characters>
  <Application>Microsoft Office Word</Application>
  <DocSecurity>0</DocSecurity>
  <Lines>1778</Lines>
  <Paragraphs>610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Publiskas personas mantas atsavināšanas likumā” sākotnējās ietekmes novērtējuma ziņojums (anotācija)</vt:lpstr>
    </vt:vector>
  </TitlesOfParts>
  <Company>Veselības ministrija</Company>
  <LinksUpToDate>false</LinksUpToDate>
  <CharactersWithSpaces>56134</CharactersWithSpaces>
  <SharedDoc>false</SharedDoc>
  <HLinks>
    <vt:vector size="30" baseType="variant">
      <vt:variant>
        <vt:i4>7667776</vt:i4>
      </vt:variant>
      <vt:variant>
        <vt:i4>12</vt:i4>
      </vt:variant>
      <vt:variant>
        <vt:i4>0</vt:i4>
      </vt:variant>
      <vt:variant>
        <vt:i4>5</vt:i4>
      </vt:variant>
      <vt:variant>
        <vt:lpwstr>mailto:Ieva.Bruvere@vm.gov.lv</vt:lpwstr>
      </vt:variant>
      <vt:variant>
        <vt:lpwstr/>
      </vt:variant>
      <vt:variant>
        <vt:i4>1376356</vt:i4>
      </vt:variant>
      <vt:variant>
        <vt:i4>9</vt:i4>
      </vt:variant>
      <vt:variant>
        <vt:i4>0</vt:i4>
      </vt:variant>
      <vt:variant>
        <vt:i4>5</vt:i4>
      </vt:variant>
      <vt:variant>
        <vt:lpwstr>http://pro.nais.lv/naiser/text.cfm?Ref=0327021984120732769&amp;Req=0327021984120732769&amp;Key=0103011999031832772&amp;Hash=1</vt:lpwstr>
      </vt:variant>
      <vt:variant>
        <vt:lpwstr>1</vt:lpwstr>
      </vt:variant>
      <vt:variant>
        <vt:i4>7405611</vt:i4>
      </vt:variant>
      <vt:variant>
        <vt:i4>6</vt:i4>
      </vt:variant>
      <vt:variant>
        <vt:i4>0</vt:i4>
      </vt:variant>
      <vt:variant>
        <vt:i4>5</vt:i4>
      </vt:variant>
      <vt:variant>
        <vt:lpwstr>http://likumi.lv/doc.php?id=89648</vt:lpwstr>
      </vt:variant>
      <vt:variant>
        <vt:lpwstr>p166.15</vt:lpwstr>
      </vt:variant>
      <vt:variant>
        <vt:i4>1376356</vt:i4>
      </vt:variant>
      <vt:variant>
        <vt:i4>3</vt:i4>
      </vt:variant>
      <vt:variant>
        <vt:i4>0</vt:i4>
      </vt:variant>
      <vt:variant>
        <vt:i4>5</vt:i4>
      </vt:variant>
      <vt:variant>
        <vt:lpwstr>http://pro.nais.lv/naiser/text.cfm?Ref=0327021984120732769&amp;Req=0327021984120732769&amp;Key=0103011999031832772&amp;Hash=1</vt:lpwstr>
      </vt:variant>
      <vt:variant>
        <vt:lpwstr>1</vt:lpwstr>
      </vt:variant>
      <vt:variant>
        <vt:i4>7405611</vt:i4>
      </vt:variant>
      <vt:variant>
        <vt:i4>0</vt:i4>
      </vt:variant>
      <vt:variant>
        <vt:i4>0</vt:i4>
      </vt:variant>
      <vt:variant>
        <vt:i4>5</vt:i4>
      </vt:variant>
      <vt:variant>
        <vt:lpwstr>http://likumi.lv/doc.php?id=89648</vt:lpwstr>
      </vt:variant>
      <vt:variant>
        <vt:lpwstr>p166.15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I.Brūvere</dc:creator>
  <dc:description>Ieva.Bruvere@vm.gov.lv_x000d_
67876061, fakss67876002</dc:description>
  <cp:lastModifiedBy>ibruvere</cp:lastModifiedBy>
  <cp:revision>8</cp:revision>
  <cp:lastPrinted>2014-02-12T13:24:00Z</cp:lastPrinted>
  <dcterms:created xsi:type="dcterms:W3CDTF">2015-02-23T10:05:00Z</dcterms:created>
  <dcterms:modified xsi:type="dcterms:W3CDTF">2015-02-24T10:13:00Z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