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55" w:rsidRPr="007B03DE" w:rsidRDefault="00A95855" w:rsidP="00A95855">
      <w:pPr>
        <w:pStyle w:val="NoSpacing"/>
        <w:jc w:val="center"/>
        <w:rPr>
          <w:b/>
          <w:sz w:val="28"/>
          <w:szCs w:val="28"/>
        </w:rPr>
      </w:pPr>
      <w:bookmarkStart w:id="0" w:name="OLE_LINK2"/>
      <w:bookmarkStart w:id="1" w:name="OLE_LINK5"/>
      <w:bookmarkStart w:id="2" w:name="OLE_LINK3"/>
      <w:bookmarkStart w:id="3" w:name="OLE_LINK4"/>
      <w:bookmarkStart w:id="4" w:name="OLE_LINK1"/>
      <w:bookmarkStart w:id="5" w:name="OLE_LINK6"/>
      <w:r w:rsidRPr="007B03DE">
        <w:rPr>
          <w:b/>
          <w:sz w:val="28"/>
          <w:szCs w:val="28"/>
        </w:rPr>
        <w:t xml:space="preserve">Ministru kabineta noteikumu projekta </w:t>
      </w:r>
    </w:p>
    <w:p w:rsidR="00A95855" w:rsidRPr="007B03DE" w:rsidRDefault="00A95855" w:rsidP="00A95855">
      <w:pPr>
        <w:pStyle w:val="NoSpacing"/>
        <w:jc w:val="center"/>
        <w:rPr>
          <w:b/>
          <w:bCs/>
          <w:sz w:val="28"/>
          <w:szCs w:val="28"/>
        </w:rPr>
      </w:pPr>
      <w:r w:rsidRPr="007B03DE">
        <w:rPr>
          <w:b/>
          <w:sz w:val="28"/>
          <w:szCs w:val="28"/>
        </w:rPr>
        <w:t>„</w:t>
      </w:r>
      <w:r w:rsidR="00AD2AEF" w:rsidRPr="00164678">
        <w:rPr>
          <w:rStyle w:val="Strong"/>
          <w:sz w:val="28"/>
          <w:szCs w:val="28"/>
        </w:rPr>
        <w:t>Grozījum</w:t>
      </w:r>
      <w:r w:rsidR="00F66D22">
        <w:rPr>
          <w:rStyle w:val="Strong"/>
          <w:sz w:val="28"/>
          <w:szCs w:val="28"/>
        </w:rPr>
        <w:t>i</w:t>
      </w:r>
      <w:r w:rsidR="00AD2AEF" w:rsidRPr="00164678">
        <w:rPr>
          <w:rStyle w:val="Strong"/>
          <w:sz w:val="28"/>
          <w:szCs w:val="28"/>
        </w:rPr>
        <w:t xml:space="preserve"> Ministru kabineta </w:t>
      </w:r>
      <w:r w:rsidR="00AD2AEF" w:rsidRPr="00164678">
        <w:rPr>
          <w:b/>
          <w:sz w:val="28"/>
          <w:szCs w:val="28"/>
        </w:rPr>
        <w:t>2011.</w:t>
      </w:r>
      <w:r w:rsidR="00AD2AEF">
        <w:rPr>
          <w:b/>
          <w:sz w:val="28"/>
          <w:szCs w:val="28"/>
        </w:rPr>
        <w:t xml:space="preserve"> </w:t>
      </w:r>
      <w:r w:rsidR="00AD2AEF" w:rsidRPr="00164678">
        <w:rPr>
          <w:b/>
          <w:sz w:val="28"/>
          <w:szCs w:val="28"/>
        </w:rPr>
        <w:t>gada 19.</w:t>
      </w:r>
      <w:r w:rsidR="00AD2AEF">
        <w:rPr>
          <w:b/>
          <w:sz w:val="28"/>
          <w:szCs w:val="28"/>
        </w:rPr>
        <w:t xml:space="preserve"> </w:t>
      </w:r>
      <w:r w:rsidR="00AD2AEF" w:rsidRPr="00164678">
        <w:rPr>
          <w:b/>
          <w:sz w:val="28"/>
          <w:szCs w:val="28"/>
        </w:rPr>
        <w:t>oktobra</w:t>
      </w:r>
      <w:r w:rsidR="00AD2AEF" w:rsidRPr="00164678">
        <w:rPr>
          <w:sz w:val="28"/>
          <w:szCs w:val="28"/>
        </w:rPr>
        <w:t xml:space="preserve"> </w:t>
      </w:r>
      <w:r w:rsidR="00AD2AEF" w:rsidRPr="00164678">
        <w:rPr>
          <w:rStyle w:val="Strong"/>
          <w:sz w:val="28"/>
          <w:szCs w:val="28"/>
        </w:rPr>
        <w:t>noteikumos Nr.</w:t>
      </w:r>
      <w:r w:rsidR="00AD2AEF">
        <w:rPr>
          <w:rStyle w:val="Strong"/>
          <w:sz w:val="28"/>
          <w:szCs w:val="28"/>
        </w:rPr>
        <w:t xml:space="preserve"> </w:t>
      </w:r>
      <w:r w:rsidR="00AD2AEF" w:rsidRPr="00164678">
        <w:rPr>
          <w:rStyle w:val="Strong"/>
          <w:sz w:val="28"/>
          <w:szCs w:val="28"/>
        </w:rPr>
        <w:t xml:space="preserve">820 </w:t>
      </w:r>
      <w:r w:rsidR="00AD2AEF" w:rsidRPr="00164678">
        <w:rPr>
          <w:b/>
          <w:sz w:val="28"/>
          <w:szCs w:val="28"/>
        </w:rPr>
        <w:t>„Dopinga kontroles kārtība”</w:t>
      </w:r>
      <w:r w:rsidRPr="007B03DE">
        <w:rPr>
          <w:b/>
          <w:bCs/>
          <w:sz w:val="28"/>
          <w:szCs w:val="28"/>
        </w:rPr>
        <w:t xml:space="preserve">” </w:t>
      </w:r>
    </w:p>
    <w:p w:rsidR="00A95855" w:rsidRPr="007B03DE" w:rsidRDefault="00A95855" w:rsidP="00A95855">
      <w:pPr>
        <w:pStyle w:val="NoSpacing"/>
        <w:jc w:val="center"/>
        <w:rPr>
          <w:b/>
          <w:sz w:val="28"/>
          <w:szCs w:val="28"/>
        </w:rPr>
      </w:pPr>
      <w:r w:rsidRPr="007B03DE">
        <w:rPr>
          <w:b/>
          <w:sz w:val="28"/>
          <w:szCs w:val="28"/>
        </w:rPr>
        <w:t>sākotnējās ietekmes novērtējuma ziņojums (anotācija)</w:t>
      </w:r>
      <w:bookmarkEnd w:id="0"/>
      <w:bookmarkEnd w:id="1"/>
    </w:p>
    <w:bookmarkEnd w:id="2"/>
    <w:bookmarkEnd w:id="3"/>
    <w:bookmarkEnd w:id="4"/>
    <w:bookmarkEnd w:id="5"/>
    <w:p w:rsidR="00A95855" w:rsidRPr="007B03DE" w:rsidRDefault="00A95855" w:rsidP="00A95855">
      <w:pPr>
        <w:pStyle w:val="NoSpacing"/>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A95855" w:rsidRPr="007B03DE" w:rsidTr="001A2287">
        <w:trPr>
          <w:trHeight w:val="405"/>
        </w:trPr>
        <w:tc>
          <w:tcPr>
            <w:tcW w:w="0" w:type="auto"/>
            <w:gridSpan w:val="3"/>
            <w:tcBorders>
              <w:top w:val="outset" w:sz="6" w:space="0" w:color="414142"/>
              <w:bottom w:val="outset" w:sz="6" w:space="0" w:color="414142"/>
            </w:tcBorders>
            <w:shd w:val="clear" w:color="auto" w:fill="FFFFFF"/>
            <w:vAlign w:val="center"/>
          </w:tcPr>
          <w:p w:rsidR="00A95855" w:rsidRPr="00F94F04" w:rsidRDefault="00A95855" w:rsidP="00F94F04">
            <w:pPr>
              <w:pStyle w:val="NoSpacing"/>
              <w:jc w:val="center"/>
              <w:rPr>
                <w:b/>
                <w:sz w:val="28"/>
                <w:szCs w:val="28"/>
              </w:rPr>
            </w:pPr>
            <w:r w:rsidRPr="00F94F04">
              <w:rPr>
                <w:b/>
                <w:sz w:val="28"/>
                <w:szCs w:val="28"/>
              </w:rPr>
              <w:t>I. Tiesību akta projekta izstrādes nepieciešamība</w:t>
            </w:r>
          </w:p>
        </w:tc>
      </w:tr>
      <w:tr w:rsidR="00A95855" w:rsidRPr="007B03DE" w:rsidTr="00D21D4A">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Pamatojums</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0179D2" w:rsidP="000179D2">
            <w:pPr>
              <w:pStyle w:val="NoSpacing"/>
              <w:jc w:val="both"/>
              <w:rPr>
                <w:sz w:val="28"/>
                <w:szCs w:val="28"/>
              </w:rPr>
            </w:pPr>
            <w:r w:rsidRPr="000604BE">
              <w:rPr>
                <w:sz w:val="28"/>
                <w:szCs w:val="28"/>
              </w:rPr>
              <w:t>Noteikumu projekts izstrādāts atbilstoši</w:t>
            </w:r>
            <w:r>
              <w:rPr>
                <w:sz w:val="28"/>
                <w:szCs w:val="28"/>
              </w:rPr>
              <w:t xml:space="preserve"> Sporta likuma 6. panta piektās daļas 4. punktam</w:t>
            </w:r>
            <w:r w:rsidRPr="000604BE">
              <w:rPr>
                <w:sz w:val="28"/>
                <w:szCs w:val="28"/>
              </w:rPr>
              <w:t>.</w:t>
            </w:r>
          </w:p>
        </w:tc>
      </w:tr>
      <w:tr w:rsidR="000179D2" w:rsidRPr="007B03DE" w:rsidTr="00D21D4A">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tcBorders>
            <w:shd w:val="clear" w:color="auto" w:fill="FFFFFF"/>
          </w:tcPr>
          <w:p w:rsidR="00FE387A" w:rsidRPr="001D3312" w:rsidRDefault="00EC6ECA" w:rsidP="000179D2">
            <w:pPr>
              <w:pStyle w:val="NoSpacing"/>
              <w:jc w:val="both"/>
              <w:rPr>
                <w:sz w:val="28"/>
                <w:szCs w:val="28"/>
              </w:rPr>
            </w:pPr>
            <w:r w:rsidRPr="001D3312">
              <w:rPr>
                <w:sz w:val="28"/>
                <w:szCs w:val="28"/>
              </w:rPr>
              <w:t xml:space="preserve">Sportā aizliegtās vielas un metodes ir noteiktas </w:t>
            </w:r>
            <w:r w:rsidR="001D3312" w:rsidRPr="001D3312">
              <w:rPr>
                <w:sz w:val="28"/>
                <w:szCs w:val="28"/>
              </w:rPr>
              <w:t xml:space="preserve">2005. gada 19. oktobra Starptautiskās konvencijas pret dopingu sportā (turpmāk – Konvencija) 1. </w:t>
            </w:r>
            <w:r w:rsidR="001D3312">
              <w:rPr>
                <w:sz w:val="28"/>
                <w:szCs w:val="28"/>
              </w:rPr>
              <w:t xml:space="preserve">pielikumā – </w:t>
            </w:r>
            <w:r w:rsidRPr="001D3312">
              <w:rPr>
                <w:sz w:val="28"/>
                <w:szCs w:val="28"/>
              </w:rPr>
              <w:t>Starptautiskajā standartā „Aizliegtais saraksts”</w:t>
            </w:r>
            <w:r w:rsidR="000A3F99" w:rsidRPr="001D3312">
              <w:rPr>
                <w:sz w:val="28"/>
                <w:szCs w:val="28"/>
              </w:rPr>
              <w:t xml:space="preserve"> (turpmāk – aizliegtais saraksts)</w:t>
            </w:r>
            <w:r w:rsidR="00FE387A" w:rsidRPr="001D3312">
              <w:rPr>
                <w:sz w:val="28"/>
                <w:szCs w:val="28"/>
              </w:rPr>
              <w:t xml:space="preserve">. </w:t>
            </w:r>
            <w:r w:rsidR="00233478">
              <w:rPr>
                <w:sz w:val="28"/>
                <w:szCs w:val="28"/>
              </w:rPr>
              <w:t>Savukārt Konvencijas 2. pielikumā definēti Terapeitiskās lietošanas izņēmumu noteikšanas standarti</w:t>
            </w:r>
            <w:r w:rsidR="006A037E">
              <w:rPr>
                <w:sz w:val="28"/>
                <w:szCs w:val="28"/>
              </w:rPr>
              <w:t xml:space="preserve"> (turpmāk – TUE standarts)</w:t>
            </w:r>
            <w:r w:rsidR="00233478">
              <w:rPr>
                <w:sz w:val="28"/>
                <w:szCs w:val="28"/>
              </w:rPr>
              <w:t xml:space="preserve">. </w:t>
            </w:r>
            <w:r w:rsidR="000A3F99" w:rsidRPr="001D3312">
              <w:rPr>
                <w:sz w:val="28"/>
                <w:szCs w:val="28"/>
              </w:rPr>
              <w:t>Latvij</w:t>
            </w:r>
            <w:r w:rsidR="00FE387A" w:rsidRPr="001D3312">
              <w:rPr>
                <w:sz w:val="28"/>
                <w:szCs w:val="28"/>
              </w:rPr>
              <w:t>ā Konvencija pieņemta un apstiprināta ar likumu „Par Starptautisko</w:t>
            </w:r>
            <w:r w:rsidR="001D3312" w:rsidRPr="001D3312">
              <w:rPr>
                <w:sz w:val="28"/>
                <w:szCs w:val="28"/>
              </w:rPr>
              <w:t xml:space="preserve"> konvenciju pret dopingu sportā”</w:t>
            </w:r>
            <w:r w:rsidR="00FE387A" w:rsidRPr="001D3312">
              <w:rPr>
                <w:sz w:val="28"/>
                <w:szCs w:val="28"/>
              </w:rPr>
              <w:t xml:space="preserve">. </w:t>
            </w:r>
            <w:r w:rsidR="000A3F99" w:rsidRPr="001D3312">
              <w:rPr>
                <w:sz w:val="28"/>
                <w:szCs w:val="28"/>
              </w:rPr>
              <w:t xml:space="preserve"> </w:t>
            </w:r>
          </w:p>
          <w:p w:rsidR="00F138A5" w:rsidRDefault="00F138A5" w:rsidP="00FF735F">
            <w:pPr>
              <w:pStyle w:val="NoSpacing"/>
              <w:jc w:val="both"/>
              <w:rPr>
                <w:sz w:val="28"/>
                <w:szCs w:val="28"/>
              </w:rPr>
            </w:pPr>
          </w:p>
          <w:p w:rsidR="00CD23B3" w:rsidRDefault="00FC0D85" w:rsidP="00FF735F">
            <w:pPr>
              <w:pStyle w:val="NoSpacing"/>
              <w:jc w:val="both"/>
              <w:rPr>
                <w:sz w:val="28"/>
                <w:szCs w:val="28"/>
              </w:rPr>
            </w:pPr>
            <w:r>
              <w:rPr>
                <w:sz w:val="28"/>
                <w:szCs w:val="28"/>
              </w:rPr>
              <w:t xml:space="preserve">Atbilstoši Konvencijas 34. pantam </w:t>
            </w:r>
            <w:r w:rsidR="00EC6ECA" w:rsidRPr="001D3312">
              <w:rPr>
                <w:sz w:val="28"/>
                <w:szCs w:val="28"/>
              </w:rPr>
              <w:t xml:space="preserve">Pasaules Antidopinga </w:t>
            </w:r>
            <w:r w:rsidR="00EC6ECA" w:rsidRPr="00FC0D85">
              <w:rPr>
                <w:sz w:val="28"/>
                <w:szCs w:val="28"/>
              </w:rPr>
              <w:t>aģentūra (turpmāk – WADA)</w:t>
            </w:r>
            <w:r w:rsidR="00F138A5" w:rsidRPr="00FC0D85">
              <w:rPr>
                <w:sz w:val="28"/>
                <w:szCs w:val="28"/>
              </w:rPr>
              <w:t>, veicot grozījumus</w:t>
            </w:r>
            <w:r w:rsidR="008015DB">
              <w:rPr>
                <w:sz w:val="28"/>
                <w:szCs w:val="28"/>
              </w:rPr>
              <w:t xml:space="preserve"> </w:t>
            </w:r>
            <w:r>
              <w:rPr>
                <w:sz w:val="28"/>
                <w:szCs w:val="28"/>
              </w:rPr>
              <w:t>aizliegtajā sarakstā vai TUE standartā</w:t>
            </w:r>
            <w:r w:rsidR="008015DB">
              <w:rPr>
                <w:sz w:val="28"/>
                <w:szCs w:val="28"/>
              </w:rPr>
              <w:t xml:space="preserve">, </w:t>
            </w:r>
            <w:r w:rsidR="00FE387A">
              <w:rPr>
                <w:sz w:val="28"/>
                <w:szCs w:val="28"/>
              </w:rPr>
              <w:t xml:space="preserve">par piedāvātajām izmaiņām </w:t>
            </w:r>
            <w:r w:rsidR="0060470E">
              <w:rPr>
                <w:sz w:val="28"/>
                <w:szCs w:val="28"/>
              </w:rPr>
              <w:t xml:space="preserve">informē </w:t>
            </w:r>
            <w:r w:rsidR="0060470E" w:rsidRPr="0064184D">
              <w:rPr>
                <w:sz w:val="28"/>
                <w:szCs w:val="28"/>
              </w:rPr>
              <w:t>UNESCO Ģenerāldirektor</w:t>
            </w:r>
            <w:r w:rsidR="00EC6ECA" w:rsidRPr="0064184D">
              <w:rPr>
                <w:sz w:val="28"/>
                <w:szCs w:val="28"/>
              </w:rPr>
              <w:t>u, kurš</w:t>
            </w:r>
            <w:r w:rsidR="00EC6ECA" w:rsidRPr="000179D2">
              <w:rPr>
                <w:sz w:val="28"/>
                <w:szCs w:val="28"/>
              </w:rPr>
              <w:t xml:space="preserve"> paziņo par to visām Konvencijas dal</w:t>
            </w:r>
            <w:r w:rsidR="007A569A">
              <w:rPr>
                <w:sz w:val="28"/>
                <w:szCs w:val="28"/>
              </w:rPr>
              <w:t>ībvalstīm, tajā skaitā Latvijai</w:t>
            </w:r>
            <w:r w:rsidR="00EC6ECA" w:rsidRPr="000179D2">
              <w:rPr>
                <w:sz w:val="28"/>
                <w:szCs w:val="28"/>
              </w:rPr>
              <w:t xml:space="preserve">. Ja netiek saņemti iebildumi no dalībvalstīm, tad minētie </w:t>
            </w:r>
            <w:r w:rsidR="00EC6ECA" w:rsidRPr="00865D94">
              <w:rPr>
                <w:sz w:val="28"/>
                <w:szCs w:val="28"/>
              </w:rPr>
              <w:t>grozījumi stājas spēkā.</w:t>
            </w:r>
            <w:r w:rsidR="00BD160A" w:rsidRPr="00865D94">
              <w:rPr>
                <w:sz w:val="28"/>
                <w:szCs w:val="28"/>
              </w:rPr>
              <w:t xml:space="preserve"> </w:t>
            </w:r>
          </w:p>
          <w:p w:rsidR="00FC0D85" w:rsidRDefault="00FC0D85" w:rsidP="000179D2">
            <w:pPr>
              <w:pStyle w:val="NoSpacing"/>
              <w:jc w:val="both"/>
              <w:rPr>
                <w:sz w:val="28"/>
                <w:szCs w:val="28"/>
              </w:rPr>
            </w:pPr>
          </w:p>
          <w:p w:rsidR="00FF735F" w:rsidRDefault="00F138A5" w:rsidP="000179D2">
            <w:pPr>
              <w:pStyle w:val="NoSpacing"/>
              <w:jc w:val="both"/>
              <w:rPr>
                <w:sz w:val="28"/>
                <w:szCs w:val="28"/>
              </w:rPr>
            </w:pPr>
            <w:r>
              <w:rPr>
                <w:sz w:val="28"/>
                <w:szCs w:val="28"/>
              </w:rPr>
              <w:t xml:space="preserve">WADA katru gadu veic grozījumus aizliegtajā sarakstā, jo apritē ienāk aizvien jaunas dopinga vielas un metodes. </w:t>
            </w:r>
            <w:r w:rsidR="00BD160A" w:rsidRPr="00865D94">
              <w:rPr>
                <w:sz w:val="28"/>
                <w:szCs w:val="28"/>
              </w:rPr>
              <w:t xml:space="preserve">2014. gada 20. </w:t>
            </w:r>
            <w:r w:rsidR="00865D94" w:rsidRPr="00865D94">
              <w:rPr>
                <w:sz w:val="28"/>
                <w:szCs w:val="28"/>
              </w:rPr>
              <w:t>s</w:t>
            </w:r>
            <w:r w:rsidR="00BD160A" w:rsidRPr="00865D94">
              <w:rPr>
                <w:sz w:val="28"/>
                <w:szCs w:val="28"/>
              </w:rPr>
              <w:t xml:space="preserve">eptembrī WADA valde </w:t>
            </w:r>
            <w:r w:rsidR="009202B5">
              <w:rPr>
                <w:sz w:val="28"/>
                <w:szCs w:val="28"/>
              </w:rPr>
              <w:t>izsludināja</w:t>
            </w:r>
            <w:r w:rsidR="00FF735F">
              <w:rPr>
                <w:sz w:val="28"/>
                <w:szCs w:val="28"/>
              </w:rPr>
              <w:t xml:space="preserve"> 2015. gada aizliegto sarakstu</w:t>
            </w:r>
            <w:r w:rsidR="00CD23B3">
              <w:rPr>
                <w:sz w:val="28"/>
                <w:szCs w:val="28"/>
              </w:rPr>
              <w:t>,</w:t>
            </w:r>
            <w:r w:rsidR="00FF735F">
              <w:rPr>
                <w:sz w:val="28"/>
                <w:szCs w:val="28"/>
              </w:rPr>
              <w:t xml:space="preserve"> un </w:t>
            </w:r>
            <w:r w:rsidR="0064184D">
              <w:rPr>
                <w:sz w:val="28"/>
                <w:szCs w:val="28"/>
              </w:rPr>
              <w:t xml:space="preserve">2014. gada </w:t>
            </w:r>
            <w:r w:rsidR="009202B5">
              <w:rPr>
                <w:sz w:val="28"/>
                <w:szCs w:val="28"/>
              </w:rPr>
              <w:t>17</w:t>
            </w:r>
            <w:r w:rsidR="0064184D">
              <w:rPr>
                <w:sz w:val="28"/>
                <w:szCs w:val="28"/>
              </w:rPr>
              <w:t xml:space="preserve">. </w:t>
            </w:r>
            <w:r w:rsidR="009202B5">
              <w:rPr>
                <w:sz w:val="28"/>
                <w:szCs w:val="28"/>
              </w:rPr>
              <w:t>novembrī</w:t>
            </w:r>
            <w:r w:rsidR="00865D94" w:rsidRPr="00865D94">
              <w:rPr>
                <w:sz w:val="28"/>
                <w:szCs w:val="28"/>
              </w:rPr>
              <w:t xml:space="preserve"> </w:t>
            </w:r>
            <w:r w:rsidR="00BD160A" w:rsidRPr="00865D94">
              <w:rPr>
                <w:sz w:val="28"/>
                <w:szCs w:val="28"/>
              </w:rPr>
              <w:t xml:space="preserve">UNESCO </w:t>
            </w:r>
            <w:r w:rsidR="00BD160A" w:rsidRPr="00FF735F">
              <w:rPr>
                <w:sz w:val="28"/>
                <w:szCs w:val="28"/>
              </w:rPr>
              <w:t>Ģenerāl</w:t>
            </w:r>
            <w:r w:rsidR="009B341B" w:rsidRPr="00FF735F">
              <w:rPr>
                <w:sz w:val="28"/>
                <w:szCs w:val="28"/>
              </w:rPr>
              <w:t>direktors</w:t>
            </w:r>
            <w:r w:rsidR="00BD160A" w:rsidRPr="00FF735F">
              <w:rPr>
                <w:sz w:val="28"/>
                <w:szCs w:val="28"/>
              </w:rPr>
              <w:t xml:space="preserve"> Konvencijas dalībvalstīm nosūtīja vēstuli Nr. </w:t>
            </w:r>
            <w:r w:rsidR="00FF735F">
              <w:rPr>
                <w:sz w:val="28"/>
                <w:szCs w:val="28"/>
              </w:rPr>
              <w:t>DG/3/14</w:t>
            </w:r>
            <w:r w:rsidR="00BD160A" w:rsidRPr="00FF735F">
              <w:rPr>
                <w:sz w:val="28"/>
                <w:szCs w:val="28"/>
              </w:rPr>
              <w:t>/</w:t>
            </w:r>
            <w:r w:rsidR="00FF735F">
              <w:rPr>
                <w:sz w:val="28"/>
                <w:szCs w:val="28"/>
              </w:rPr>
              <w:t>7163</w:t>
            </w:r>
            <w:r w:rsidR="009202B5">
              <w:rPr>
                <w:sz w:val="28"/>
                <w:szCs w:val="28"/>
              </w:rPr>
              <w:t xml:space="preserve">-2, </w:t>
            </w:r>
            <w:r w:rsidR="001347BB">
              <w:rPr>
                <w:sz w:val="28"/>
                <w:szCs w:val="28"/>
              </w:rPr>
              <w:t xml:space="preserve">informējot, ka noteiktajā laika periodā </w:t>
            </w:r>
            <w:r w:rsidR="00BA2993">
              <w:rPr>
                <w:sz w:val="28"/>
                <w:szCs w:val="28"/>
              </w:rPr>
              <w:t>nav</w:t>
            </w:r>
            <w:r w:rsidR="001347BB">
              <w:rPr>
                <w:sz w:val="28"/>
                <w:szCs w:val="28"/>
              </w:rPr>
              <w:t xml:space="preserve"> saņemti iebildumi no Konvencijas dalībvalstīm un vienlaikus </w:t>
            </w:r>
            <w:r w:rsidR="00EB5669">
              <w:rPr>
                <w:sz w:val="28"/>
                <w:szCs w:val="28"/>
              </w:rPr>
              <w:t xml:space="preserve">informējot </w:t>
            </w:r>
            <w:r w:rsidR="009202B5">
              <w:rPr>
                <w:sz w:val="28"/>
                <w:szCs w:val="28"/>
              </w:rPr>
              <w:t>par 2015. gada aizliegtā</w:t>
            </w:r>
            <w:r w:rsidR="00CD23B3">
              <w:rPr>
                <w:sz w:val="28"/>
                <w:szCs w:val="28"/>
              </w:rPr>
              <w:t xml:space="preserve"> sarakst</w:t>
            </w:r>
            <w:r w:rsidR="009202B5">
              <w:rPr>
                <w:sz w:val="28"/>
                <w:szCs w:val="28"/>
              </w:rPr>
              <w:t>a apstiprināšanu</w:t>
            </w:r>
            <w:r w:rsidR="00CD23B3">
              <w:rPr>
                <w:sz w:val="28"/>
                <w:szCs w:val="28"/>
              </w:rPr>
              <w:t xml:space="preserve">. </w:t>
            </w:r>
          </w:p>
          <w:p w:rsidR="00233478" w:rsidRDefault="00233478" w:rsidP="001D3312">
            <w:pPr>
              <w:pStyle w:val="NoSpacing"/>
              <w:jc w:val="both"/>
              <w:rPr>
                <w:sz w:val="28"/>
                <w:szCs w:val="28"/>
              </w:rPr>
            </w:pPr>
            <w:r>
              <w:rPr>
                <w:sz w:val="28"/>
                <w:szCs w:val="28"/>
              </w:rPr>
              <w:t xml:space="preserve">Savukārt 2014. gada 29. septembrī WADA valde apstiprināja izmaiņas </w:t>
            </w:r>
            <w:r w:rsidR="006A037E">
              <w:rPr>
                <w:sz w:val="28"/>
                <w:szCs w:val="28"/>
              </w:rPr>
              <w:t xml:space="preserve">TUE standartā – tajā skaitā, Terapeitiskās lietošanas izņēmumu (TUE) pieteikuma anketā –, un 2014. gada </w:t>
            </w:r>
            <w:r>
              <w:rPr>
                <w:sz w:val="28"/>
                <w:szCs w:val="28"/>
              </w:rPr>
              <w:t xml:space="preserve">13. novembrī UNESCO Ģenerāldirektors Konvencijas dalībvalstīm nosūtīja vēstuli Nr. DG/3/14/6907-2, </w:t>
            </w:r>
            <w:r w:rsidR="001347BB">
              <w:rPr>
                <w:sz w:val="28"/>
                <w:szCs w:val="28"/>
              </w:rPr>
              <w:t xml:space="preserve">informējot, ka noteiktajā laika periodā </w:t>
            </w:r>
            <w:r w:rsidR="00BA2993">
              <w:rPr>
                <w:sz w:val="28"/>
                <w:szCs w:val="28"/>
              </w:rPr>
              <w:t>nav</w:t>
            </w:r>
            <w:r w:rsidR="001347BB">
              <w:rPr>
                <w:sz w:val="28"/>
                <w:szCs w:val="28"/>
              </w:rPr>
              <w:t xml:space="preserve"> saņemti iebildumi no Konvencijas </w:t>
            </w:r>
            <w:r w:rsidR="001347BB">
              <w:rPr>
                <w:sz w:val="28"/>
                <w:szCs w:val="28"/>
              </w:rPr>
              <w:lastRenderedPageBreak/>
              <w:t xml:space="preserve">dalībvalstīm un vienlaikus </w:t>
            </w:r>
            <w:r>
              <w:rPr>
                <w:sz w:val="28"/>
                <w:szCs w:val="28"/>
              </w:rPr>
              <w:t xml:space="preserve">informējot par </w:t>
            </w:r>
            <w:r w:rsidR="006A037E">
              <w:rPr>
                <w:sz w:val="28"/>
                <w:szCs w:val="28"/>
              </w:rPr>
              <w:t xml:space="preserve">jaunā TUE standarta apstiprināšanu. </w:t>
            </w:r>
          </w:p>
          <w:p w:rsidR="00FC0D85" w:rsidRDefault="00FC0D85" w:rsidP="001D3312">
            <w:pPr>
              <w:pStyle w:val="NoSpacing"/>
              <w:jc w:val="both"/>
              <w:rPr>
                <w:sz w:val="28"/>
                <w:szCs w:val="28"/>
              </w:rPr>
            </w:pPr>
          </w:p>
          <w:p w:rsidR="001D3312" w:rsidRPr="00F94F04" w:rsidRDefault="001D3312" w:rsidP="001D3312">
            <w:pPr>
              <w:pStyle w:val="NoSpacing"/>
              <w:jc w:val="both"/>
              <w:rPr>
                <w:sz w:val="28"/>
                <w:szCs w:val="28"/>
              </w:rPr>
            </w:pPr>
            <w:r w:rsidRPr="00F94F04">
              <w:rPr>
                <w:sz w:val="28"/>
                <w:szCs w:val="28"/>
              </w:rPr>
              <w:t xml:space="preserve">Ministru kabineta </w:t>
            </w:r>
            <w:r w:rsidR="002C377A" w:rsidRPr="000179D2">
              <w:rPr>
                <w:sz w:val="28"/>
                <w:szCs w:val="28"/>
              </w:rPr>
              <w:t>2011.</w:t>
            </w:r>
            <w:r w:rsidR="00F2778C">
              <w:rPr>
                <w:sz w:val="28"/>
                <w:szCs w:val="28"/>
              </w:rPr>
              <w:t xml:space="preserve"> </w:t>
            </w:r>
            <w:r w:rsidR="002C377A" w:rsidRPr="000179D2">
              <w:rPr>
                <w:sz w:val="28"/>
                <w:szCs w:val="28"/>
              </w:rPr>
              <w:t>gada 19.</w:t>
            </w:r>
            <w:r w:rsidR="00F2778C">
              <w:rPr>
                <w:sz w:val="28"/>
                <w:szCs w:val="28"/>
              </w:rPr>
              <w:t xml:space="preserve"> </w:t>
            </w:r>
            <w:r w:rsidR="002C377A" w:rsidRPr="000179D2">
              <w:rPr>
                <w:sz w:val="28"/>
                <w:szCs w:val="28"/>
              </w:rPr>
              <w:t>oktobra noteikumu Nr. 820 „Dopinga kontroles kārtība” (turpmāk – MK noteikumi Nr.</w:t>
            </w:r>
            <w:r w:rsidR="002C377A">
              <w:rPr>
                <w:sz w:val="28"/>
                <w:szCs w:val="28"/>
              </w:rPr>
              <w:t xml:space="preserve"> </w:t>
            </w:r>
            <w:r w:rsidR="002C377A" w:rsidRPr="000179D2">
              <w:rPr>
                <w:sz w:val="28"/>
                <w:szCs w:val="28"/>
              </w:rPr>
              <w:t xml:space="preserve">820) </w:t>
            </w:r>
            <w:r w:rsidRPr="00F94F04">
              <w:rPr>
                <w:sz w:val="28"/>
                <w:szCs w:val="28"/>
              </w:rPr>
              <w:t xml:space="preserve">mērķis ir </w:t>
            </w:r>
            <w:r w:rsidR="00DE35ED">
              <w:rPr>
                <w:sz w:val="28"/>
                <w:szCs w:val="28"/>
              </w:rPr>
              <w:t xml:space="preserve">noteikt dopinga kontroles kārtību un antidopinga pasākumus atbilstoši starptautiskajām prasībām. </w:t>
            </w:r>
          </w:p>
          <w:p w:rsidR="00952F9C" w:rsidRDefault="008D0C6C" w:rsidP="009A2526">
            <w:pPr>
              <w:pStyle w:val="NoSpacing"/>
              <w:jc w:val="both"/>
              <w:rPr>
                <w:sz w:val="28"/>
                <w:szCs w:val="28"/>
              </w:rPr>
            </w:pPr>
            <w:r w:rsidRPr="008D0C6C">
              <w:rPr>
                <w:sz w:val="28"/>
                <w:szCs w:val="28"/>
              </w:rPr>
              <w:t>Ņemot</w:t>
            </w:r>
            <w:r>
              <w:rPr>
                <w:sz w:val="28"/>
                <w:szCs w:val="28"/>
              </w:rPr>
              <w:t xml:space="preserve"> vērā, ka</w:t>
            </w:r>
            <w:r w:rsidR="002C377A">
              <w:rPr>
                <w:sz w:val="28"/>
                <w:szCs w:val="28"/>
              </w:rPr>
              <w:t xml:space="preserve"> MK noteikumu Nr. 820</w:t>
            </w:r>
            <w:r w:rsidR="000179D2" w:rsidRPr="000179D2">
              <w:rPr>
                <w:sz w:val="28"/>
                <w:szCs w:val="28"/>
              </w:rPr>
              <w:t xml:space="preserve"> 1. pielikumā ir minētas aizliegtās dopinga vielas </w:t>
            </w:r>
            <w:r w:rsidR="000179D2">
              <w:rPr>
                <w:sz w:val="28"/>
                <w:szCs w:val="28"/>
              </w:rPr>
              <w:t>un dopinga metodes</w:t>
            </w:r>
            <w:r>
              <w:rPr>
                <w:sz w:val="28"/>
                <w:szCs w:val="28"/>
              </w:rPr>
              <w:t xml:space="preserve"> un </w:t>
            </w:r>
            <w:r w:rsidR="00FC0D85">
              <w:rPr>
                <w:sz w:val="28"/>
                <w:szCs w:val="28"/>
              </w:rPr>
              <w:t xml:space="preserve">2. </w:t>
            </w:r>
            <w:r w:rsidR="007A569A">
              <w:rPr>
                <w:sz w:val="28"/>
                <w:szCs w:val="28"/>
              </w:rPr>
              <w:t>p</w:t>
            </w:r>
            <w:r w:rsidR="00FC0D85">
              <w:rPr>
                <w:sz w:val="28"/>
                <w:szCs w:val="28"/>
              </w:rPr>
              <w:t>ielikum</w:t>
            </w:r>
            <w:r>
              <w:rPr>
                <w:sz w:val="28"/>
                <w:szCs w:val="28"/>
              </w:rPr>
              <w:t>ā</w:t>
            </w:r>
            <w:r w:rsidR="007A569A">
              <w:rPr>
                <w:sz w:val="28"/>
                <w:szCs w:val="28"/>
              </w:rPr>
              <w:t xml:space="preserve"> </w:t>
            </w:r>
            <w:r>
              <w:rPr>
                <w:sz w:val="28"/>
                <w:szCs w:val="28"/>
              </w:rPr>
              <w:t xml:space="preserve">iekļauta </w:t>
            </w:r>
            <w:r w:rsidR="00FC0D85">
              <w:rPr>
                <w:sz w:val="28"/>
                <w:szCs w:val="28"/>
              </w:rPr>
              <w:t>Terapeitiskās lietošanas izņēmumu (TUE) pieteikuma anket</w:t>
            </w:r>
            <w:r>
              <w:rPr>
                <w:sz w:val="28"/>
                <w:szCs w:val="28"/>
              </w:rPr>
              <w:t>a</w:t>
            </w:r>
            <w:r w:rsidR="00FC0D85">
              <w:rPr>
                <w:sz w:val="28"/>
                <w:szCs w:val="28"/>
              </w:rPr>
              <w:t xml:space="preserve">, </w:t>
            </w:r>
            <w:r w:rsidR="000179D2">
              <w:rPr>
                <w:sz w:val="28"/>
                <w:szCs w:val="28"/>
              </w:rPr>
              <w:t>nepieciešam</w:t>
            </w:r>
            <w:r w:rsidR="000179D2" w:rsidRPr="000179D2">
              <w:rPr>
                <w:sz w:val="28"/>
                <w:szCs w:val="28"/>
              </w:rPr>
              <w:t>s aktualizēt šo</w:t>
            </w:r>
            <w:r w:rsidR="00FC0D85">
              <w:rPr>
                <w:sz w:val="28"/>
                <w:szCs w:val="28"/>
              </w:rPr>
              <w:t>s abus</w:t>
            </w:r>
            <w:r w:rsidR="000179D2" w:rsidRPr="000179D2">
              <w:rPr>
                <w:sz w:val="28"/>
                <w:szCs w:val="28"/>
              </w:rPr>
              <w:t xml:space="preserve"> pielikumu</w:t>
            </w:r>
            <w:r w:rsidR="00FC0D85">
              <w:rPr>
                <w:sz w:val="28"/>
                <w:szCs w:val="28"/>
              </w:rPr>
              <w:t>s</w:t>
            </w:r>
            <w:r w:rsidR="000179D2" w:rsidRPr="000179D2">
              <w:rPr>
                <w:sz w:val="28"/>
                <w:szCs w:val="28"/>
              </w:rPr>
              <w:t xml:space="preserve"> atbilstoši jaunajām starptautiskajām prasībām. </w:t>
            </w:r>
            <w:r w:rsidR="001D3312" w:rsidRPr="00F94F04">
              <w:rPr>
                <w:sz w:val="28"/>
                <w:szCs w:val="28"/>
              </w:rPr>
              <w:t xml:space="preserve"> </w:t>
            </w:r>
            <w:r w:rsidR="00865D94">
              <w:rPr>
                <w:sz w:val="28"/>
                <w:szCs w:val="28"/>
              </w:rPr>
              <w:t xml:space="preserve">Ņemot vērā nepieciešamo grozījumu apjomu, MK noteikumu Nr. 820 1. </w:t>
            </w:r>
            <w:r w:rsidR="00952F9C">
              <w:rPr>
                <w:sz w:val="28"/>
                <w:szCs w:val="28"/>
              </w:rPr>
              <w:t xml:space="preserve">un 2. </w:t>
            </w:r>
            <w:r w:rsidR="00865D94">
              <w:rPr>
                <w:sz w:val="28"/>
                <w:szCs w:val="28"/>
              </w:rPr>
              <w:t xml:space="preserve">pielikumu nepieciešams izteikt jaunā redakcijā. </w:t>
            </w:r>
          </w:p>
          <w:p w:rsidR="00952F9C" w:rsidRDefault="00952F9C" w:rsidP="009A2526">
            <w:pPr>
              <w:pStyle w:val="NoSpacing"/>
              <w:jc w:val="both"/>
              <w:rPr>
                <w:sz w:val="28"/>
                <w:szCs w:val="28"/>
              </w:rPr>
            </w:pPr>
          </w:p>
          <w:p w:rsidR="00865D94" w:rsidRDefault="00865D94" w:rsidP="009A2526">
            <w:pPr>
              <w:pStyle w:val="NoSpacing"/>
              <w:jc w:val="both"/>
              <w:rPr>
                <w:sz w:val="28"/>
                <w:szCs w:val="28"/>
              </w:rPr>
            </w:pPr>
            <w:r>
              <w:rPr>
                <w:sz w:val="28"/>
                <w:szCs w:val="28"/>
              </w:rPr>
              <w:t>Būtiskākās i</w:t>
            </w:r>
            <w:r w:rsidR="000179D2" w:rsidRPr="00F94F04">
              <w:rPr>
                <w:sz w:val="28"/>
                <w:szCs w:val="28"/>
              </w:rPr>
              <w:t>zmaiņas</w:t>
            </w:r>
            <w:r>
              <w:rPr>
                <w:sz w:val="28"/>
                <w:szCs w:val="28"/>
              </w:rPr>
              <w:t xml:space="preserve"> aizliegtajā sarakstā</w:t>
            </w:r>
            <w:r w:rsidR="000179D2" w:rsidRPr="00F94F04">
              <w:rPr>
                <w:sz w:val="28"/>
                <w:szCs w:val="28"/>
              </w:rPr>
              <w:t>, salīdzinot ar patlaban spēkā esošo, ir šādas</w:t>
            </w:r>
            <w:r w:rsidR="00F94F04">
              <w:rPr>
                <w:sz w:val="28"/>
                <w:szCs w:val="28"/>
              </w:rPr>
              <w:t xml:space="preserve">: </w:t>
            </w:r>
          </w:p>
          <w:p w:rsidR="001F72E7" w:rsidRDefault="001F72E7" w:rsidP="00780B90">
            <w:pPr>
              <w:pStyle w:val="NoSpacing"/>
              <w:numPr>
                <w:ilvl w:val="0"/>
                <w:numId w:val="9"/>
              </w:numPr>
              <w:ind w:left="226" w:hanging="142"/>
              <w:jc w:val="both"/>
              <w:rPr>
                <w:sz w:val="28"/>
                <w:szCs w:val="28"/>
              </w:rPr>
            </w:pPr>
            <w:r w:rsidRPr="001F72E7">
              <w:rPr>
                <w:sz w:val="28"/>
                <w:szCs w:val="28"/>
              </w:rPr>
              <w:t xml:space="preserve">Sadaļā „Anaboliskie līdzekļi” pie testosterona matabolītu </w:t>
            </w:r>
            <w:r>
              <w:rPr>
                <w:sz w:val="28"/>
                <w:szCs w:val="28"/>
              </w:rPr>
              <w:t>p</w:t>
            </w:r>
            <w:r w:rsidRPr="001F72E7">
              <w:rPr>
                <w:sz w:val="28"/>
                <w:szCs w:val="28"/>
              </w:rPr>
              <w:t xml:space="preserve">iemēriem pievienots </w:t>
            </w:r>
            <w:r w:rsidRPr="001F72E7">
              <w:rPr>
                <w:i/>
                <w:sz w:val="28"/>
                <w:szCs w:val="28"/>
              </w:rPr>
              <w:t>5β-androstane-3α,17β-diol</w:t>
            </w:r>
            <w:r>
              <w:rPr>
                <w:sz w:val="28"/>
                <w:szCs w:val="28"/>
              </w:rPr>
              <w:t xml:space="preserve">, </w:t>
            </w:r>
            <w:r w:rsidR="00FE0B62">
              <w:rPr>
                <w:sz w:val="28"/>
                <w:szCs w:val="28"/>
              </w:rPr>
              <w:t xml:space="preserve">pie selektīvo androgēnu receptoru modulatoriem pievienoti piemēri, </w:t>
            </w:r>
            <w:r>
              <w:rPr>
                <w:sz w:val="28"/>
                <w:szCs w:val="28"/>
              </w:rPr>
              <w:t xml:space="preserve">kā arī mainīti </w:t>
            </w:r>
            <w:r w:rsidR="00780B90">
              <w:rPr>
                <w:sz w:val="28"/>
                <w:szCs w:val="28"/>
              </w:rPr>
              <w:t xml:space="preserve">atsevišķu </w:t>
            </w:r>
            <w:r>
              <w:rPr>
                <w:sz w:val="28"/>
                <w:szCs w:val="28"/>
              </w:rPr>
              <w:t xml:space="preserve">līdz šim sarakstā iekļauto vielu nosaukumi atbilstoši patlaban spēkā esošajai zinātniskajai nomenklatūrai; </w:t>
            </w:r>
          </w:p>
          <w:p w:rsidR="004D5F3C" w:rsidRDefault="00FE0B62" w:rsidP="00780B90">
            <w:pPr>
              <w:pStyle w:val="NoSpacing"/>
              <w:numPr>
                <w:ilvl w:val="0"/>
                <w:numId w:val="9"/>
              </w:numPr>
              <w:ind w:left="226" w:hanging="142"/>
              <w:jc w:val="both"/>
              <w:rPr>
                <w:sz w:val="28"/>
                <w:szCs w:val="28"/>
              </w:rPr>
            </w:pPr>
            <w:r>
              <w:rPr>
                <w:sz w:val="28"/>
                <w:szCs w:val="28"/>
              </w:rPr>
              <w:t>Sadaļai „Peptīdu hormoni, augšanas faktori, līdzīgas vielas un mimētiķi” precizēts virsraksts – pievienoti mimētiķi, lai uzsvērtu, ka šajā sadaļā aizliegumam pakļauti arī vielu sintētiskie analogi –, aizliegumam pievienoti ne-eritropoēti</w:t>
            </w:r>
            <w:r w:rsidR="004D5F3C">
              <w:rPr>
                <w:sz w:val="28"/>
                <w:szCs w:val="28"/>
              </w:rPr>
              <w:t xml:space="preserve">skie EPO-receptoru agonisti, kā arī pievienota virkne aizliegto vielu piemēru; </w:t>
            </w:r>
          </w:p>
          <w:p w:rsidR="004D5F3C" w:rsidRDefault="004D5F3C" w:rsidP="00780B90">
            <w:pPr>
              <w:pStyle w:val="NoSpacing"/>
              <w:numPr>
                <w:ilvl w:val="0"/>
                <w:numId w:val="9"/>
              </w:numPr>
              <w:ind w:left="226" w:hanging="142"/>
              <w:jc w:val="both"/>
              <w:rPr>
                <w:sz w:val="28"/>
                <w:szCs w:val="28"/>
              </w:rPr>
            </w:pPr>
            <w:r>
              <w:rPr>
                <w:sz w:val="28"/>
                <w:szCs w:val="28"/>
              </w:rPr>
              <w:t xml:space="preserve">No sadaļas „Stimulatori” uz sadaļu „Hormonu antagonisti un modulatori” pārcelts trimetazidīns, jo farmakoloģiski </w:t>
            </w:r>
            <w:r w:rsidR="00780B90">
              <w:rPr>
                <w:sz w:val="28"/>
                <w:szCs w:val="28"/>
              </w:rPr>
              <w:t>šī viela</w:t>
            </w:r>
            <w:r>
              <w:rPr>
                <w:sz w:val="28"/>
                <w:szCs w:val="28"/>
              </w:rPr>
              <w:t xml:space="preserve"> ir klasificēt</w:t>
            </w:r>
            <w:r w:rsidR="00780B90">
              <w:rPr>
                <w:sz w:val="28"/>
                <w:szCs w:val="28"/>
              </w:rPr>
              <w:t>a</w:t>
            </w:r>
            <w:r>
              <w:rPr>
                <w:sz w:val="28"/>
                <w:szCs w:val="28"/>
              </w:rPr>
              <w:t xml:space="preserve"> kā sirds vielmaiņas modulators, kā arī minētajā sadaļā pievienoti vairāki aizliegto vielu piemēri;</w:t>
            </w:r>
          </w:p>
          <w:p w:rsidR="001F72E7" w:rsidRDefault="004D5F3C" w:rsidP="00780B90">
            <w:pPr>
              <w:pStyle w:val="NoSpacing"/>
              <w:numPr>
                <w:ilvl w:val="0"/>
                <w:numId w:val="9"/>
              </w:numPr>
              <w:ind w:left="226" w:hanging="142"/>
              <w:jc w:val="both"/>
              <w:rPr>
                <w:sz w:val="28"/>
                <w:szCs w:val="28"/>
              </w:rPr>
            </w:pPr>
            <w:r>
              <w:rPr>
                <w:sz w:val="28"/>
                <w:szCs w:val="28"/>
              </w:rPr>
              <w:t>Sadaļai „Diurētiskie un maskējošie līdzekļi” precizēts virsraksts</w:t>
            </w:r>
            <w:r w:rsidR="00A72D06">
              <w:rPr>
                <w:sz w:val="28"/>
                <w:szCs w:val="28"/>
              </w:rPr>
              <w:t xml:space="preserve">, lai uzsvērtu, ka diurētiskie līdzekļi nav tikai maskējošie līdzekļi, bet var tikt izmantoti arī, piemēram, ātrai svara samazināšanai; </w:t>
            </w:r>
          </w:p>
          <w:p w:rsidR="00A72D06" w:rsidRDefault="00A72D06" w:rsidP="00780B90">
            <w:pPr>
              <w:pStyle w:val="NoSpacing"/>
              <w:numPr>
                <w:ilvl w:val="0"/>
                <w:numId w:val="9"/>
              </w:numPr>
              <w:ind w:left="226" w:hanging="142"/>
              <w:jc w:val="both"/>
              <w:rPr>
                <w:sz w:val="28"/>
                <w:szCs w:val="28"/>
              </w:rPr>
            </w:pPr>
            <w:r>
              <w:rPr>
                <w:sz w:val="28"/>
                <w:szCs w:val="28"/>
              </w:rPr>
              <w:t>Sadaļā „Dopinga metodes”</w:t>
            </w:r>
            <w:r w:rsidR="00E41115">
              <w:rPr>
                <w:sz w:val="28"/>
                <w:szCs w:val="28"/>
              </w:rPr>
              <w:t xml:space="preserve"> pie </w:t>
            </w:r>
            <w:r w:rsidR="00301EA4">
              <w:rPr>
                <w:sz w:val="28"/>
                <w:szCs w:val="28"/>
              </w:rPr>
              <w:t>situācijām, kad</w:t>
            </w:r>
            <w:r w:rsidR="00E41115">
              <w:rPr>
                <w:sz w:val="28"/>
                <w:szCs w:val="28"/>
              </w:rPr>
              <w:t xml:space="preserve"> </w:t>
            </w:r>
            <w:r w:rsidR="00301EA4">
              <w:rPr>
                <w:sz w:val="28"/>
                <w:szCs w:val="28"/>
              </w:rPr>
              <w:t xml:space="preserve">ir </w:t>
            </w:r>
            <w:r w:rsidR="00301EA4">
              <w:rPr>
                <w:sz w:val="28"/>
                <w:szCs w:val="28"/>
              </w:rPr>
              <w:lastRenderedPageBreak/>
              <w:t>pieļaujama</w:t>
            </w:r>
            <w:r w:rsidR="00E41115">
              <w:rPr>
                <w:sz w:val="28"/>
                <w:szCs w:val="28"/>
              </w:rPr>
              <w:t xml:space="preserve"> intravenozo infūziju un (vai) injekciju, kuru tilpums pārsniedz 50 mL sešu stundu laikā, </w:t>
            </w:r>
            <w:r w:rsidR="00301EA4">
              <w:rPr>
                <w:sz w:val="28"/>
                <w:szCs w:val="28"/>
              </w:rPr>
              <w:t xml:space="preserve">lietošana, </w:t>
            </w:r>
            <w:r w:rsidR="00E41115">
              <w:rPr>
                <w:sz w:val="28"/>
                <w:szCs w:val="28"/>
              </w:rPr>
              <w:t>pievienotas ķirurģiskās procedūras</w:t>
            </w:r>
            <w:r w:rsidR="00301EA4">
              <w:rPr>
                <w:sz w:val="28"/>
                <w:szCs w:val="28"/>
              </w:rPr>
              <w:t xml:space="preserve">; </w:t>
            </w:r>
          </w:p>
          <w:p w:rsidR="00301EA4" w:rsidRDefault="00301EA4" w:rsidP="00780B90">
            <w:pPr>
              <w:pStyle w:val="NoSpacing"/>
              <w:numPr>
                <w:ilvl w:val="0"/>
                <w:numId w:val="9"/>
              </w:numPr>
              <w:ind w:left="226" w:hanging="142"/>
              <w:jc w:val="both"/>
              <w:rPr>
                <w:sz w:val="28"/>
                <w:szCs w:val="28"/>
              </w:rPr>
            </w:pPr>
            <w:r>
              <w:rPr>
                <w:sz w:val="28"/>
                <w:szCs w:val="28"/>
              </w:rPr>
              <w:t xml:space="preserve">Sadaļā „Stimulanti” iekļauts fenetilamīns un tā atvasinājumi, kā arī fenmetrazīns pārcelts no nespecifisko stimulatoru piemēru saraksta uz specifisko stimulatoru piemēru sarakstu; </w:t>
            </w:r>
          </w:p>
          <w:p w:rsidR="00301EA4" w:rsidRDefault="00301EA4" w:rsidP="00780B90">
            <w:pPr>
              <w:pStyle w:val="NoSpacing"/>
              <w:numPr>
                <w:ilvl w:val="0"/>
                <w:numId w:val="9"/>
              </w:numPr>
              <w:ind w:left="226" w:hanging="142"/>
              <w:jc w:val="both"/>
              <w:rPr>
                <w:sz w:val="28"/>
                <w:szCs w:val="28"/>
              </w:rPr>
            </w:pPr>
            <w:r>
              <w:rPr>
                <w:sz w:val="28"/>
                <w:szCs w:val="28"/>
              </w:rPr>
              <w:t xml:space="preserve">Sadaļai „Glikokortikoīdi” precizēts nosaukums – saskaņā ar patlaban spēkā esošo zinātnisko nomenklatūru; </w:t>
            </w:r>
          </w:p>
          <w:p w:rsidR="00301EA4" w:rsidRDefault="00301EA4" w:rsidP="00780B90">
            <w:pPr>
              <w:pStyle w:val="NoSpacing"/>
              <w:numPr>
                <w:ilvl w:val="0"/>
                <w:numId w:val="9"/>
              </w:numPr>
              <w:ind w:left="226" w:hanging="142"/>
              <w:jc w:val="both"/>
              <w:rPr>
                <w:sz w:val="28"/>
                <w:szCs w:val="28"/>
              </w:rPr>
            </w:pPr>
            <w:r>
              <w:rPr>
                <w:sz w:val="28"/>
                <w:szCs w:val="28"/>
              </w:rPr>
              <w:t>No sadaļas „Alkohols” svītrots karatē (</w:t>
            </w:r>
            <w:r w:rsidRPr="00301EA4">
              <w:rPr>
                <w:i/>
                <w:sz w:val="28"/>
                <w:szCs w:val="28"/>
              </w:rPr>
              <w:t>World Karate Federation</w:t>
            </w:r>
            <w:r w:rsidR="00E3553F">
              <w:rPr>
                <w:i/>
                <w:sz w:val="28"/>
                <w:szCs w:val="28"/>
              </w:rPr>
              <w:t xml:space="preserve"> – WKF</w:t>
            </w:r>
            <w:r>
              <w:rPr>
                <w:sz w:val="28"/>
                <w:szCs w:val="28"/>
              </w:rPr>
              <w:t>)</w:t>
            </w:r>
            <w:r w:rsidR="00E3553F">
              <w:rPr>
                <w:sz w:val="28"/>
                <w:szCs w:val="28"/>
              </w:rPr>
              <w:t xml:space="preserve">; </w:t>
            </w:r>
          </w:p>
          <w:p w:rsidR="000179D2" w:rsidRPr="006A037E" w:rsidRDefault="00E3553F" w:rsidP="00780B90">
            <w:pPr>
              <w:pStyle w:val="NoSpacing"/>
              <w:numPr>
                <w:ilvl w:val="0"/>
                <w:numId w:val="9"/>
              </w:numPr>
              <w:ind w:left="226" w:hanging="142"/>
              <w:jc w:val="both"/>
            </w:pPr>
            <w:r>
              <w:rPr>
                <w:sz w:val="28"/>
                <w:szCs w:val="28"/>
              </w:rPr>
              <w:t>Sadaļā „Beta-blokatori” pievienots zemūdens sports (</w:t>
            </w:r>
            <w:r w:rsidRPr="00E3553F">
              <w:rPr>
                <w:i/>
                <w:sz w:val="28"/>
                <w:szCs w:val="28"/>
              </w:rPr>
              <w:t>World Underwater Federation – CMAS</w:t>
            </w:r>
            <w:r>
              <w:rPr>
                <w:sz w:val="28"/>
                <w:szCs w:val="28"/>
              </w:rPr>
              <w:t>)</w:t>
            </w:r>
            <w:r w:rsidR="00F2778C">
              <w:rPr>
                <w:sz w:val="28"/>
                <w:szCs w:val="28"/>
              </w:rPr>
              <w:t xml:space="preserve">. </w:t>
            </w:r>
          </w:p>
          <w:p w:rsidR="00952F9C" w:rsidRDefault="00952F9C" w:rsidP="00ED6D58">
            <w:pPr>
              <w:pStyle w:val="NoSpacing"/>
              <w:jc w:val="both"/>
              <w:rPr>
                <w:sz w:val="28"/>
                <w:szCs w:val="28"/>
              </w:rPr>
            </w:pPr>
          </w:p>
          <w:p w:rsidR="00120216" w:rsidRPr="006A037E" w:rsidRDefault="00120216" w:rsidP="002D27BA">
            <w:pPr>
              <w:pStyle w:val="NoSpacing"/>
              <w:jc w:val="both"/>
              <w:rPr>
                <w:sz w:val="28"/>
                <w:szCs w:val="28"/>
              </w:rPr>
            </w:pPr>
            <w:r>
              <w:rPr>
                <w:sz w:val="28"/>
                <w:szCs w:val="28"/>
              </w:rPr>
              <w:t xml:space="preserve">Savukārt Terapeitiskās lietošanas izņēmumu (TUE) pieteikuma anketā būtiskākais papildinājums ir </w:t>
            </w:r>
            <w:r w:rsidR="00ED6D58">
              <w:rPr>
                <w:sz w:val="28"/>
                <w:szCs w:val="28"/>
              </w:rPr>
              <w:t xml:space="preserve">5. </w:t>
            </w:r>
            <w:r w:rsidR="00F46325">
              <w:rPr>
                <w:sz w:val="28"/>
                <w:szCs w:val="28"/>
              </w:rPr>
              <w:t xml:space="preserve">sadaļa </w:t>
            </w:r>
            <w:r w:rsidR="00EC6355">
              <w:rPr>
                <w:sz w:val="28"/>
                <w:szCs w:val="28"/>
              </w:rPr>
              <w:t>„Pieteikumi ar atpakaļejošu datumu”, kas satur jautājumus attiecībā uz pieteikuma datumu (vai pieteikums ir iesniegts ar atpakaļejošu datumu), kā arī jautājumu par iemesliem, kāpēc pieteikums tiek iesniegts ar atpakaļejošu datumu</w:t>
            </w:r>
            <w:r w:rsidR="00F46325">
              <w:rPr>
                <w:sz w:val="28"/>
                <w:szCs w:val="28"/>
              </w:rPr>
              <w:t xml:space="preserve">. </w:t>
            </w:r>
            <w:r w:rsidR="00F17F3E">
              <w:rPr>
                <w:sz w:val="28"/>
                <w:szCs w:val="28"/>
              </w:rPr>
              <w:t xml:space="preserve">Kritēriji </w:t>
            </w:r>
            <w:r w:rsidR="00A07713">
              <w:rPr>
                <w:sz w:val="28"/>
                <w:szCs w:val="28"/>
              </w:rPr>
              <w:t>Terapeitiskās lietošanas izņēmumu</w:t>
            </w:r>
            <w:r w:rsidR="00F17F3E">
              <w:rPr>
                <w:sz w:val="28"/>
                <w:szCs w:val="28"/>
              </w:rPr>
              <w:t xml:space="preserve"> </w:t>
            </w:r>
            <w:r w:rsidR="003D3428">
              <w:rPr>
                <w:sz w:val="28"/>
                <w:szCs w:val="28"/>
              </w:rPr>
              <w:t xml:space="preserve">(TUE) </w:t>
            </w:r>
            <w:r w:rsidR="002251DB">
              <w:rPr>
                <w:sz w:val="28"/>
                <w:szCs w:val="28"/>
              </w:rPr>
              <w:t xml:space="preserve">atļaujas </w:t>
            </w:r>
            <w:r w:rsidR="00F17F3E">
              <w:rPr>
                <w:sz w:val="28"/>
                <w:szCs w:val="28"/>
              </w:rPr>
              <w:t xml:space="preserve">piešķiršanai ar atpakaļejošu datumu </w:t>
            </w:r>
            <w:r w:rsidR="00317611">
              <w:rPr>
                <w:sz w:val="28"/>
                <w:szCs w:val="28"/>
              </w:rPr>
              <w:t xml:space="preserve">(t.i., </w:t>
            </w:r>
            <w:r w:rsidR="00A81220">
              <w:rPr>
                <w:sz w:val="28"/>
                <w:szCs w:val="28"/>
              </w:rPr>
              <w:t>Terapeitiskās lietošanas izņēmumu (</w:t>
            </w:r>
            <w:r w:rsidR="00317611">
              <w:rPr>
                <w:sz w:val="28"/>
                <w:szCs w:val="28"/>
              </w:rPr>
              <w:t>TUE</w:t>
            </w:r>
            <w:r w:rsidR="00A81220">
              <w:rPr>
                <w:sz w:val="28"/>
                <w:szCs w:val="28"/>
              </w:rPr>
              <w:t>)</w:t>
            </w:r>
            <w:r w:rsidR="00317611">
              <w:rPr>
                <w:sz w:val="28"/>
                <w:szCs w:val="28"/>
              </w:rPr>
              <w:t xml:space="preserve"> atļaujas piešķiršanai attiecībā uz aizliegtajā sarakstā iekļautās vielas vai metodes lietošanu pirms atļaujas saņemšanas) </w:t>
            </w:r>
            <w:r w:rsidR="00F17F3E">
              <w:rPr>
                <w:sz w:val="28"/>
                <w:szCs w:val="28"/>
              </w:rPr>
              <w:t>noteikti TUE standarta otrā</w:t>
            </w:r>
            <w:r w:rsidR="00317611">
              <w:rPr>
                <w:sz w:val="28"/>
                <w:szCs w:val="28"/>
              </w:rPr>
              <w:t>s</w:t>
            </w:r>
            <w:r w:rsidR="00F17F3E">
              <w:rPr>
                <w:sz w:val="28"/>
                <w:szCs w:val="28"/>
              </w:rPr>
              <w:t xml:space="preserve"> sadaļ</w:t>
            </w:r>
            <w:r w:rsidR="00317611">
              <w:rPr>
                <w:sz w:val="28"/>
                <w:szCs w:val="28"/>
              </w:rPr>
              <w:t>as</w:t>
            </w:r>
            <w:r w:rsidR="00F17F3E">
              <w:rPr>
                <w:sz w:val="28"/>
                <w:szCs w:val="28"/>
              </w:rPr>
              <w:t xml:space="preserve"> „</w:t>
            </w:r>
            <w:r w:rsidR="002D27BA">
              <w:rPr>
                <w:sz w:val="28"/>
                <w:szCs w:val="28"/>
              </w:rPr>
              <w:t>Standarti un procedūra Terapeitiskās lietošanas atļaujas saņemšanai</w:t>
            </w:r>
            <w:r w:rsidR="00F17F3E">
              <w:rPr>
                <w:sz w:val="28"/>
                <w:szCs w:val="28"/>
              </w:rPr>
              <w:t>”</w:t>
            </w:r>
            <w:r w:rsidR="001347BB">
              <w:rPr>
                <w:sz w:val="28"/>
                <w:szCs w:val="28"/>
              </w:rPr>
              <w:t xml:space="preserve"> (</w:t>
            </w:r>
            <w:r w:rsidR="001347BB" w:rsidRPr="000F3511">
              <w:rPr>
                <w:i/>
                <w:sz w:val="28"/>
                <w:szCs w:val="28"/>
                <w:lang w:val="en-GB"/>
              </w:rPr>
              <w:t xml:space="preserve">Part two: Standards and process for granting </w:t>
            </w:r>
            <w:r w:rsidR="001347BB" w:rsidRPr="000F3511">
              <w:rPr>
                <w:i/>
                <w:sz w:val="28"/>
                <w:szCs w:val="28"/>
              </w:rPr>
              <w:t>TUES</w:t>
            </w:r>
            <w:r w:rsidR="001347BB">
              <w:rPr>
                <w:sz w:val="28"/>
                <w:szCs w:val="28"/>
              </w:rPr>
              <w:t>)</w:t>
            </w:r>
            <w:r w:rsidR="001347BB">
              <w:rPr>
                <w:rStyle w:val="FootnoteReference"/>
                <w:sz w:val="28"/>
                <w:szCs w:val="28"/>
              </w:rPr>
              <w:footnoteReference w:id="1"/>
            </w:r>
            <w:r w:rsidR="00317611">
              <w:rPr>
                <w:sz w:val="28"/>
                <w:szCs w:val="28"/>
              </w:rPr>
              <w:t xml:space="preserve"> 4.3. punktā</w:t>
            </w:r>
            <w:r w:rsidR="00F17F3E">
              <w:rPr>
                <w:sz w:val="28"/>
                <w:szCs w:val="28"/>
              </w:rPr>
              <w:t xml:space="preserve">. </w:t>
            </w:r>
            <w:r w:rsidR="00E81C89">
              <w:rPr>
                <w:sz w:val="28"/>
                <w:szCs w:val="28"/>
              </w:rPr>
              <w:t xml:space="preserve">Pieteikumu </w:t>
            </w:r>
            <w:r w:rsidR="00A81220">
              <w:rPr>
                <w:sz w:val="28"/>
                <w:szCs w:val="28"/>
              </w:rPr>
              <w:t xml:space="preserve">Terapeitiskās lietošanas izņēmumu </w:t>
            </w:r>
            <w:r w:rsidR="009B5CA6">
              <w:rPr>
                <w:sz w:val="28"/>
                <w:szCs w:val="28"/>
              </w:rPr>
              <w:t>(</w:t>
            </w:r>
            <w:r w:rsidR="00E81C89">
              <w:rPr>
                <w:sz w:val="28"/>
                <w:szCs w:val="28"/>
              </w:rPr>
              <w:t>TUE</w:t>
            </w:r>
            <w:r w:rsidR="009B5CA6">
              <w:rPr>
                <w:sz w:val="28"/>
                <w:szCs w:val="28"/>
              </w:rPr>
              <w:t>)</w:t>
            </w:r>
            <w:r w:rsidR="00E81C89">
              <w:rPr>
                <w:sz w:val="28"/>
                <w:szCs w:val="28"/>
              </w:rPr>
              <w:t xml:space="preserve"> </w:t>
            </w:r>
            <w:r w:rsidR="00A81220">
              <w:rPr>
                <w:sz w:val="28"/>
                <w:szCs w:val="28"/>
              </w:rPr>
              <w:t xml:space="preserve">atļaujas </w:t>
            </w:r>
            <w:r w:rsidR="00E81C89">
              <w:rPr>
                <w:sz w:val="28"/>
                <w:szCs w:val="28"/>
              </w:rPr>
              <w:t>saņemšanai izskata Terapeitiskās lietošanas izņēmumu komisija</w:t>
            </w:r>
            <w:r w:rsidR="00E81C89">
              <w:rPr>
                <w:rStyle w:val="FootnoteReference"/>
                <w:sz w:val="28"/>
                <w:szCs w:val="28"/>
              </w:rPr>
              <w:footnoteReference w:id="2"/>
            </w:r>
            <w:r w:rsidR="00E81C89">
              <w:rPr>
                <w:sz w:val="28"/>
                <w:szCs w:val="28"/>
              </w:rPr>
              <w:t>.</w:t>
            </w:r>
            <w:r w:rsidR="00F17F3E">
              <w:rPr>
                <w:sz w:val="28"/>
                <w:szCs w:val="28"/>
              </w:rPr>
              <w:t xml:space="preserve"> </w:t>
            </w:r>
          </w:p>
        </w:tc>
      </w:tr>
      <w:tr w:rsidR="000179D2" w:rsidRPr="007B03DE" w:rsidTr="00D21D4A">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lastRenderedPageBreak/>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Projekta izstrādē iesaistītās institūcijas</w:t>
            </w:r>
          </w:p>
        </w:tc>
        <w:tc>
          <w:tcPr>
            <w:tcW w:w="3586" w:type="pct"/>
            <w:tcBorders>
              <w:top w:val="outset" w:sz="6" w:space="0" w:color="414142"/>
              <w:left w:val="outset" w:sz="6" w:space="0" w:color="414142"/>
              <w:bottom w:val="outset" w:sz="6" w:space="0" w:color="414142"/>
            </w:tcBorders>
            <w:shd w:val="clear" w:color="auto" w:fill="FFFFFF"/>
          </w:tcPr>
          <w:p w:rsidR="000179D2" w:rsidRPr="007B03DE" w:rsidRDefault="000179D2" w:rsidP="003D3428">
            <w:pPr>
              <w:pStyle w:val="NoSpacing"/>
              <w:jc w:val="both"/>
              <w:rPr>
                <w:sz w:val="28"/>
                <w:szCs w:val="28"/>
              </w:rPr>
            </w:pPr>
            <w:r w:rsidRPr="000604BE">
              <w:rPr>
                <w:sz w:val="28"/>
                <w:szCs w:val="28"/>
              </w:rPr>
              <w:t>Veselības ministrija, Valsts sporta medicīnas centrs</w:t>
            </w:r>
          </w:p>
        </w:tc>
      </w:tr>
      <w:tr w:rsidR="000179D2" w:rsidRPr="007B03DE" w:rsidTr="00D21D4A">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Cita informācija</w:t>
            </w:r>
          </w:p>
        </w:tc>
        <w:tc>
          <w:tcPr>
            <w:tcW w:w="3586" w:type="pct"/>
            <w:tcBorders>
              <w:top w:val="outset" w:sz="6" w:space="0" w:color="414142"/>
              <w:left w:val="outset" w:sz="6" w:space="0" w:color="414142"/>
              <w:bottom w:val="outset" w:sz="6" w:space="0" w:color="414142"/>
            </w:tcBorders>
            <w:shd w:val="clear" w:color="auto" w:fill="FFFFFF"/>
          </w:tcPr>
          <w:p w:rsidR="000179D2" w:rsidRPr="007B03DE" w:rsidRDefault="000179D2" w:rsidP="00E11845">
            <w:pPr>
              <w:pStyle w:val="NoSpacing"/>
              <w:jc w:val="both"/>
              <w:rPr>
                <w:sz w:val="28"/>
                <w:szCs w:val="28"/>
              </w:rPr>
            </w:pPr>
            <w:r>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977"/>
        <w:gridCol w:w="5698"/>
      </w:tblGrid>
      <w:tr w:rsidR="00A95855" w:rsidRPr="007B03DE" w:rsidTr="001A2287">
        <w:trPr>
          <w:trHeight w:val="55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II. Tiesību akta projekta ietekme uz sabiedrību, tautsaimniecības attīstību un administratīvo slogu</w:t>
            </w:r>
          </w:p>
        </w:tc>
      </w:tr>
      <w:tr w:rsidR="00A95855" w:rsidRPr="007B03DE" w:rsidTr="00D21D4A">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mērķgrupas, kuras tiesiskais regulējums ietekmē vai varētu ietekmēt</w:t>
            </w:r>
          </w:p>
        </w:tc>
        <w:tc>
          <w:tcPr>
            <w:tcW w:w="3121" w:type="pct"/>
            <w:tcBorders>
              <w:top w:val="outset" w:sz="6" w:space="0" w:color="414142"/>
              <w:left w:val="outset" w:sz="6" w:space="0" w:color="414142"/>
              <w:bottom w:val="outset" w:sz="6" w:space="0" w:color="414142"/>
            </w:tcBorders>
            <w:shd w:val="clear" w:color="auto" w:fill="FFFFFF"/>
          </w:tcPr>
          <w:p w:rsidR="00E11845" w:rsidRPr="007B03DE" w:rsidRDefault="000179D2" w:rsidP="00E11845">
            <w:pPr>
              <w:pStyle w:val="NoSpacing"/>
              <w:jc w:val="both"/>
            </w:pPr>
            <w:r w:rsidRPr="000604BE">
              <w:rPr>
                <w:sz w:val="28"/>
                <w:szCs w:val="28"/>
              </w:rPr>
              <w:t>Sporta ārsti, sportisti un sporta darbinieki</w:t>
            </w:r>
          </w:p>
        </w:tc>
      </w:tr>
      <w:tr w:rsidR="00A95855" w:rsidRPr="007B03DE" w:rsidTr="00D21D4A">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Tiesiskā regulējuma ietekme uz tautsaimniecību un administratīvo slogu</w:t>
            </w:r>
          </w:p>
        </w:tc>
        <w:tc>
          <w:tcPr>
            <w:tcW w:w="3121" w:type="pct"/>
            <w:tcBorders>
              <w:top w:val="outset" w:sz="6" w:space="0" w:color="414142"/>
              <w:left w:val="outset" w:sz="6" w:space="0" w:color="414142"/>
              <w:bottom w:val="outset" w:sz="6" w:space="0" w:color="414142"/>
            </w:tcBorders>
            <w:shd w:val="clear" w:color="auto" w:fill="FFFFFF"/>
          </w:tcPr>
          <w:p w:rsidR="00E11845" w:rsidRPr="007B03DE" w:rsidRDefault="00DE35ED" w:rsidP="00DE35ED">
            <w:pPr>
              <w:pStyle w:val="NoSpacing"/>
              <w:jc w:val="both"/>
              <w:rPr>
                <w:sz w:val="28"/>
                <w:szCs w:val="28"/>
              </w:rPr>
            </w:pPr>
            <w:r>
              <w:rPr>
                <w:sz w:val="28"/>
                <w:szCs w:val="28"/>
              </w:rPr>
              <w:t>Nav</w:t>
            </w:r>
          </w:p>
        </w:tc>
      </w:tr>
      <w:tr w:rsidR="00A95855" w:rsidRPr="007B03DE" w:rsidTr="00D21D4A">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Administratīvo izmaksu monetārs novērtējums</w:t>
            </w:r>
          </w:p>
        </w:tc>
        <w:tc>
          <w:tcPr>
            <w:tcW w:w="3121"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D21D4A">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121"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983"/>
        <w:gridCol w:w="6691"/>
      </w:tblGrid>
      <w:tr w:rsidR="00A95855" w:rsidRPr="007B03DE" w:rsidTr="001A2287">
        <w:tc>
          <w:tcPr>
            <w:tcW w:w="5000" w:type="pct"/>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 Tiesību akta projekta atbilstība Latvijas Republikas starptautiskajām saistībām</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Saistības pret Eiropas Savienību</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Citas starptautiskās saistības</w:t>
            </w:r>
          </w:p>
        </w:tc>
        <w:tc>
          <w:tcPr>
            <w:tcW w:w="3664" w:type="pct"/>
            <w:tcBorders>
              <w:top w:val="outset" w:sz="6" w:space="0" w:color="414142"/>
              <w:left w:val="outset" w:sz="6" w:space="0" w:color="414142"/>
              <w:bottom w:val="outset" w:sz="6" w:space="0" w:color="414142"/>
            </w:tcBorders>
            <w:shd w:val="clear" w:color="auto" w:fill="FFFFFF"/>
          </w:tcPr>
          <w:p w:rsidR="000179D2" w:rsidRPr="000403FF" w:rsidRDefault="000179D2" w:rsidP="000403FF">
            <w:pPr>
              <w:pStyle w:val="NoSpacing"/>
              <w:jc w:val="both"/>
              <w:rPr>
                <w:sz w:val="28"/>
                <w:szCs w:val="28"/>
              </w:rPr>
            </w:pPr>
            <w:r w:rsidRPr="000403FF">
              <w:rPr>
                <w:sz w:val="28"/>
                <w:szCs w:val="28"/>
              </w:rPr>
              <w:t>Noteikumu projektā ietverto tiesību normu izpilde notiek saskaņā ar starptautiskajām saistībām, kas izriet no:</w:t>
            </w:r>
          </w:p>
          <w:p w:rsidR="00B426B9" w:rsidRDefault="000179D2" w:rsidP="00B426B9">
            <w:pPr>
              <w:pStyle w:val="NoSpacing"/>
              <w:jc w:val="both"/>
              <w:rPr>
                <w:sz w:val="28"/>
                <w:szCs w:val="28"/>
              </w:rPr>
            </w:pPr>
            <w:r w:rsidRPr="000403FF">
              <w:rPr>
                <w:sz w:val="28"/>
                <w:szCs w:val="28"/>
              </w:rPr>
              <w:t xml:space="preserve">1. </w:t>
            </w:r>
            <w:r w:rsidR="00B426B9" w:rsidRPr="000403FF">
              <w:rPr>
                <w:sz w:val="28"/>
                <w:szCs w:val="28"/>
              </w:rPr>
              <w:t>2005.</w:t>
            </w:r>
            <w:r w:rsidR="00B426B9">
              <w:rPr>
                <w:sz w:val="28"/>
                <w:szCs w:val="28"/>
              </w:rPr>
              <w:t xml:space="preserve"> </w:t>
            </w:r>
            <w:r w:rsidR="00B426B9" w:rsidRPr="000403FF">
              <w:rPr>
                <w:sz w:val="28"/>
                <w:szCs w:val="28"/>
              </w:rPr>
              <w:t>gada 19.</w:t>
            </w:r>
            <w:r w:rsidR="00B426B9">
              <w:rPr>
                <w:sz w:val="28"/>
                <w:szCs w:val="28"/>
              </w:rPr>
              <w:t xml:space="preserve"> </w:t>
            </w:r>
            <w:r w:rsidR="00B426B9" w:rsidRPr="000403FF">
              <w:rPr>
                <w:sz w:val="28"/>
                <w:szCs w:val="28"/>
              </w:rPr>
              <w:t xml:space="preserve">oktobra Starptautiskās </w:t>
            </w:r>
            <w:r w:rsidR="00B426B9">
              <w:rPr>
                <w:sz w:val="28"/>
                <w:szCs w:val="28"/>
              </w:rPr>
              <w:t>konvencijas pret dopingu sportā;</w:t>
            </w:r>
          </w:p>
          <w:p w:rsidR="00A95855" w:rsidRPr="00B426B9" w:rsidRDefault="000179D2" w:rsidP="00B426B9">
            <w:pPr>
              <w:pStyle w:val="NoSpacing"/>
              <w:jc w:val="both"/>
              <w:rPr>
                <w:sz w:val="28"/>
                <w:szCs w:val="28"/>
              </w:rPr>
            </w:pPr>
            <w:r w:rsidRPr="000403FF">
              <w:rPr>
                <w:sz w:val="28"/>
                <w:szCs w:val="28"/>
              </w:rPr>
              <w:t xml:space="preserve">2. </w:t>
            </w:r>
            <w:r w:rsidR="00B426B9" w:rsidRPr="000403FF">
              <w:rPr>
                <w:sz w:val="28"/>
                <w:szCs w:val="28"/>
              </w:rPr>
              <w:t xml:space="preserve">Eiropas Padomes </w:t>
            </w:r>
            <w:r w:rsidR="00A64B4D">
              <w:rPr>
                <w:sz w:val="28"/>
                <w:szCs w:val="28"/>
              </w:rPr>
              <w:t>1989.</w:t>
            </w:r>
            <w:r w:rsidR="0086720B">
              <w:rPr>
                <w:sz w:val="28"/>
                <w:szCs w:val="28"/>
              </w:rPr>
              <w:t xml:space="preserve"> </w:t>
            </w:r>
            <w:r w:rsidR="00A64B4D">
              <w:rPr>
                <w:sz w:val="28"/>
                <w:szCs w:val="28"/>
              </w:rPr>
              <w:t>gada 16.</w:t>
            </w:r>
            <w:r w:rsidR="0086720B">
              <w:rPr>
                <w:sz w:val="28"/>
                <w:szCs w:val="28"/>
              </w:rPr>
              <w:t xml:space="preserve"> </w:t>
            </w:r>
            <w:r w:rsidR="00A64B4D">
              <w:rPr>
                <w:sz w:val="28"/>
                <w:szCs w:val="28"/>
              </w:rPr>
              <w:t xml:space="preserve">novembra </w:t>
            </w:r>
            <w:r w:rsidR="00B426B9" w:rsidRPr="000403FF">
              <w:rPr>
                <w:sz w:val="28"/>
                <w:szCs w:val="28"/>
              </w:rPr>
              <w:t>Antidopinga konvencijas Nr.</w:t>
            </w:r>
            <w:r w:rsidR="00B426B9">
              <w:rPr>
                <w:sz w:val="28"/>
                <w:szCs w:val="28"/>
              </w:rPr>
              <w:t xml:space="preserve"> 135.</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0179D2" w:rsidP="005F5BCB">
            <w:pPr>
              <w:pStyle w:val="NoSpacing"/>
              <w:jc w:val="both"/>
              <w:rPr>
                <w:sz w:val="28"/>
                <w:szCs w:val="28"/>
              </w:rPr>
            </w:pPr>
            <w:r w:rsidRPr="00E01819">
              <w:rPr>
                <w:sz w:val="28"/>
                <w:szCs w:val="28"/>
              </w:rPr>
              <w:t xml:space="preserve">Eiropas Padomes </w:t>
            </w:r>
            <w:r w:rsidR="0086720B">
              <w:rPr>
                <w:sz w:val="28"/>
                <w:szCs w:val="28"/>
              </w:rPr>
              <w:t xml:space="preserve">1989. gada 16. novembra </w:t>
            </w:r>
            <w:r w:rsidRPr="00E01819">
              <w:rPr>
                <w:sz w:val="28"/>
                <w:szCs w:val="28"/>
              </w:rPr>
              <w:t>Antidopinga konvencijas Nr.</w:t>
            </w:r>
            <w:r w:rsidR="00185D63">
              <w:rPr>
                <w:sz w:val="28"/>
                <w:szCs w:val="28"/>
              </w:rPr>
              <w:t xml:space="preserve"> </w:t>
            </w:r>
            <w:r w:rsidRPr="00E01819">
              <w:rPr>
                <w:sz w:val="28"/>
                <w:szCs w:val="28"/>
              </w:rPr>
              <w:t>135 pielikums atbilst 2005.</w:t>
            </w:r>
            <w:r w:rsidR="00185D63">
              <w:rPr>
                <w:sz w:val="28"/>
                <w:szCs w:val="28"/>
              </w:rPr>
              <w:t xml:space="preserve"> </w:t>
            </w:r>
            <w:r w:rsidRPr="00E01819">
              <w:rPr>
                <w:sz w:val="28"/>
                <w:szCs w:val="28"/>
              </w:rPr>
              <w:t>gada 19.</w:t>
            </w:r>
            <w:r w:rsidR="00185D63">
              <w:rPr>
                <w:sz w:val="28"/>
                <w:szCs w:val="28"/>
              </w:rPr>
              <w:t xml:space="preserve"> </w:t>
            </w:r>
            <w:r w:rsidRPr="00E01819">
              <w:rPr>
                <w:sz w:val="28"/>
                <w:szCs w:val="28"/>
              </w:rPr>
              <w:t xml:space="preserve">oktobra Starptautiskās konvencijas pret dopingu sportā 1. pielikumam, kas nosaka aizliegtās dopinga vielas un aizliegtās dopinga metodes. </w:t>
            </w:r>
            <w:r w:rsidR="00DA6462">
              <w:rPr>
                <w:sz w:val="28"/>
                <w:szCs w:val="28"/>
              </w:rPr>
              <w:t xml:space="preserve">Saskaņā ar </w:t>
            </w:r>
            <w:r w:rsidR="00DA6462" w:rsidRPr="00E01819">
              <w:rPr>
                <w:sz w:val="28"/>
                <w:szCs w:val="28"/>
              </w:rPr>
              <w:t xml:space="preserve">Eiropas Padomes </w:t>
            </w:r>
            <w:r w:rsidR="00DA6462">
              <w:rPr>
                <w:sz w:val="28"/>
                <w:szCs w:val="28"/>
              </w:rPr>
              <w:t xml:space="preserve">1989. gada 16. novembra </w:t>
            </w:r>
            <w:r w:rsidR="00DA6462" w:rsidRPr="00E01819">
              <w:rPr>
                <w:sz w:val="28"/>
                <w:szCs w:val="28"/>
              </w:rPr>
              <w:t>Antidopinga konvencijas Nr.</w:t>
            </w:r>
            <w:r w:rsidR="00DA6462">
              <w:rPr>
                <w:sz w:val="28"/>
                <w:szCs w:val="28"/>
              </w:rPr>
              <w:t xml:space="preserve"> </w:t>
            </w:r>
            <w:r w:rsidR="00DA6462" w:rsidRPr="00E01819">
              <w:rPr>
                <w:sz w:val="28"/>
                <w:szCs w:val="28"/>
              </w:rPr>
              <w:t>135</w:t>
            </w:r>
            <w:r w:rsidR="00DA6462">
              <w:rPr>
                <w:sz w:val="28"/>
                <w:szCs w:val="28"/>
              </w:rPr>
              <w:t xml:space="preserve"> 10. un 11. pantu </w:t>
            </w:r>
            <w:r w:rsidR="00DA6462" w:rsidRPr="00BE5FBC">
              <w:rPr>
                <w:sz w:val="28"/>
                <w:szCs w:val="28"/>
              </w:rPr>
              <w:t xml:space="preserve">grozījumus minētās konvencijas pielikumā pieņem Kontroles grupa. </w:t>
            </w:r>
            <w:r w:rsidR="00BE5FBC" w:rsidRPr="00BE5FBC">
              <w:rPr>
                <w:sz w:val="28"/>
                <w:szCs w:val="28"/>
              </w:rPr>
              <w:t>2014. gada 5. novembrī Strasbūrā 41. sanāksmē (</w:t>
            </w:r>
            <w:r w:rsidR="00BE5FBC" w:rsidRPr="00BE5FBC">
              <w:rPr>
                <w:i/>
                <w:sz w:val="28"/>
                <w:szCs w:val="28"/>
                <w:lang w:val="en-US"/>
              </w:rPr>
              <w:t>T-DO – 41</w:t>
            </w:r>
            <w:r w:rsidR="00BE5FBC" w:rsidRPr="00BE5FBC">
              <w:rPr>
                <w:i/>
                <w:sz w:val="28"/>
                <w:szCs w:val="28"/>
                <w:vertAlign w:val="superscript"/>
                <w:lang w:val="en-US"/>
              </w:rPr>
              <w:t>st</w:t>
            </w:r>
            <w:r w:rsidR="00BE5FBC" w:rsidRPr="00BE5FBC">
              <w:rPr>
                <w:i/>
                <w:sz w:val="28"/>
                <w:szCs w:val="28"/>
                <w:lang w:val="en-US"/>
              </w:rPr>
              <w:t xml:space="preserve"> meeting of the Monitoring Group of the Anti-Doping Convention</w:t>
            </w:r>
            <w:r w:rsidR="00BE5FBC" w:rsidRPr="00BE5FBC">
              <w:rPr>
                <w:b/>
                <w:sz w:val="28"/>
                <w:szCs w:val="28"/>
              </w:rPr>
              <w:t>)</w:t>
            </w:r>
            <w:r w:rsidR="00BE5FBC">
              <w:rPr>
                <w:b/>
                <w:sz w:val="28"/>
                <w:szCs w:val="28"/>
              </w:rPr>
              <w:t xml:space="preserve"> </w:t>
            </w:r>
            <w:r w:rsidR="00BE5FBC" w:rsidRPr="00BE5FBC">
              <w:rPr>
                <w:sz w:val="28"/>
                <w:szCs w:val="28"/>
              </w:rPr>
              <w:t xml:space="preserve">Kontroles grupa pieņēma grozījumus 2015. gada Aizliegto </w:t>
            </w:r>
            <w:r w:rsidR="00BE5FBC" w:rsidRPr="00BE5FBC">
              <w:rPr>
                <w:sz w:val="28"/>
                <w:szCs w:val="28"/>
              </w:rPr>
              <w:lastRenderedPageBreak/>
              <w:t>vielu sarakstā</w:t>
            </w:r>
            <w:r w:rsidR="00BA2993">
              <w:rPr>
                <w:sz w:val="28"/>
                <w:szCs w:val="28"/>
              </w:rPr>
              <w:t>,</w:t>
            </w:r>
            <w:r w:rsidR="005F5BCB">
              <w:rPr>
                <w:sz w:val="28"/>
                <w:szCs w:val="28"/>
              </w:rPr>
              <w:t xml:space="preserve"> un Eiropas Padome to oficiāli publicējusi vietnē conventions.coe.int</w:t>
            </w:r>
            <w:r w:rsidR="005F5BCB">
              <w:rPr>
                <w:rStyle w:val="FootnoteReference"/>
                <w:sz w:val="28"/>
                <w:szCs w:val="28"/>
              </w:rPr>
              <w:footnoteReference w:id="3"/>
            </w:r>
            <w:r w:rsidR="005F5BCB" w:rsidRPr="00BE5FBC">
              <w:rPr>
                <w:sz w:val="28"/>
                <w:szCs w:val="28"/>
              </w:rPr>
              <w:t>.</w:t>
            </w:r>
          </w:p>
        </w:tc>
      </w:tr>
    </w:tbl>
    <w:p w:rsidR="00A95855" w:rsidRPr="007B03DE" w:rsidRDefault="00A95855" w:rsidP="00A95855">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864"/>
        <w:gridCol w:w="284"/>
        <w:gridCol w:w="1091"/>
        <w:gridCol w:w="1260"/>
        <w:gridCol w:w="1262"/>
        <w:gridCol w:w="2450"/>
      </w:tblGrid>
      <w:tr w:rsidR="00A95855" w:rsidRPr="007B03DE" w:rsidTr="001A2287">
        <w:tc>
          <w:tcPr>
            <w:tcW w:w="5000" w:type="pct"/>
            <w:gridSpan w:val="6"/>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1.tabula</w:t>
            </w:r>
            <w:r w:rsidRPr="007B03DE">
              <w:rPr>
                <w:sz w:val="28"/>
                <w:szCs w:val="28"/>
              </w:rPr>
              <w:br/>
              <w:t>Tiesību akta projekta atbilstība ES tiesību aktiem</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datums, numurs un nosaukums</w:t>
            </w:r>
          </w:p>
        </w:tc>
        <w:tc>
          <w:tcPr>
            <w:tcW w:w="3445" w:type="pct"/>
            <w:gridSpan w:val="5"/>
            <w:tcBorders>
              <w:top w:val="outset" w:sz="6" w:space="0" w:color="414142"/>
              <w:left w:val="outset" w:sz="6" w:space="0" w:color="414142"/>
              <w:bottom w:val="outset" w:sz="6" w:space="0" w:color="414142"/>
            </w:tcBorders>
            <w:shd w:val="clear" w:color="auto" w:fill="FFFFFF"/>
          </w:tcPr>
          <w:p w:rsidR="00A95855" w:rsidRPr="007B03DE" w:rsidRDefault="00185D63" w:rsidP="001A2287">
            <w:pPr>
              <w:pStyle w:val="NoSpacing"/>
              <w:jc w:val="both"/>
              <w:rPr>
                <w:sz w:val="28"/>
                <w:szCs w:val="28"/>
              </w:rPr>
            </w:pPr>
            <w:r>
              <w:rPr>
                <w:sz w:val="28"/>
                <w:szCs w:val="28"/>
              </w:rPr>
              <w:t>Nav attiecināms</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w:t>
            </w:r>
          </w:p>
        </w:tc>
        <w:tc>
          <w:tcPr>
            <w:tcW w:w="7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c>
          <w:tcPr>
            <w:tcW w:w="1330" w:type="pct"/>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D</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panta numurs (uzskaitot katru tiesību akta vienību - pantu, daļu, punktu, apakšpunktu)</w:t>
            </w:r>
          </w:p>
        </w:tc>
        <w:tc>
          <w:tcPr>
            <w:tcW w:w="74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vienība, kas pārņem vai ievieš katru šīs tabulas A ailē minēto ES tiesību akta vienību, vai tiesību akts, kur attiecīgā ES tiesību akta vienība pārņemta vai ieviesta</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šīs tabulas A ailē minētās ES tiesību akta vienības tiek pārņemtas vai ieviestas pilnībā vai daļēji.</w:t>
            </w:r>
          </w:p>
          <w:p w:rsidR="00A95855" w:rsidRPr="007B03DE" w:rsidRDefault="00A95855" w:rsidP="001A2287">
            <w:pPr>
              <w:pStyle w:val="NoSpacing"/>
              <w:jc w:val="both"/>
              <w:rPr>
                <w:sz w:val="28"/>
                <w:szCs w:val="28"/>
              </w:rPr>
            </w:pPr>
            <w:r w:rsidRPr="007B03DE">
              <w:rPr>
                <w:sz w:val="28"/>
                <w:szCs w:val="28"/>
              </w:rPr>
              <w:t>Ja attiecīgā ES tiesību akta vienība tiek pārņemta vai ieviesta daļēji, sniedz attiecīgu skaidrojumu, kā arī precīzi norāda, kad un kādā veidā ES tiesību akta vienība tiks pārņemta vai ieviesta pilnībā.</w:t>
            </w:r>
          </w:p>
          <w:p w:rsidR="00A95855" w:rsidRPr="007B03DE" w:rsidRDefault="00A95855" w:rsidP="001A2287">
            <w:pPr>
              <w:pStyle w:val="NoSpacing"/>
              <w:jc w:val="both"/>
              <w:rPr>
                <w:sz w:val="28"/>
                <w:szCs w:val="28"/>
              </w:rPr>
            </w:pPr>
            <w:r w:rsidRPr="007B03DE">
              <w:rPr>
                <w:sz w:val="28"/>
                <w:szCs w:val="28"/>
              </w:rPr>
              <w:t>Norāda institūciju, kas ir atbildīga par šo saistību izpildi pilnībā</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šīs tabulas B ailē minētās projekta vienības paredz stingrākas prasības nekā šīs tabulas A ailē minētās ES tiesību akta vienības.</w:t>
            </w:r>
          </w:p>
          <w:p w:rsidR="00A95855" w:rsidRPr="007B03DE" w:rsidRDefault="00A95855" w:rsidP="001A2287">
            <w:pPr>
              <w:pStyle w:val="NoSpacing"/>
              <w:jc w:val="both"/>
              <w:rPr>
                <w:sz w:val="28"/>
                <w:szCs w:val="28"/>
              </w:rPr>
            </w:pPr>
            <w:r w:rsidRPr="007B03DE">
              <w:rPr>
                <w:sz w:val="28"/>
                <w:szCs w:val="28"/>
              </w:rPr>
              <w:t>Ja projekts satur stingrākas prasības nekā attiecīgais ES tiesību akts, norāda pamatojumu un samērīgumu.</w:t>
            </w:r>
          </w:p>
          <w:p w:rsidR="00A95855" w:rsidRPr="007B03DE" w:rsidRDefault="00A95855" w:rsidP="001A2287">
            <w:pPr>
              <w:pStyle w:val="NoSpacing"/>
              <w:jc w:val="both"/>
              <w:rPr>
                <w:sz w:val="28"/>
                <w:szCs w:val="28"/>
              </w:rPr>
            </w:pPr>
            <w:r w:rsidRPr="007B03DE">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c>
          <w:tcPr>
            <w:tcW w:w="74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Kā ir izmantota ES </w:t>
            </w:r>
            <w:r w:rsidRPr="007B03DE">
              <w:rPr>
                <w:sz w:val="28"/>
                <w:szCs w:val="28"/>
              </w:rPr>
              <w:lastRenderedPageBreak/>
              <w:t>tiesību aktā paredzētā rīcības brīvība dalībvalstij pārņemt vai ieviest noteiktas ES tiesību akta normas?</w:t>
            </w:r>
            <w:r w:rsidRPr="007B03DE">
              <w:rPr>
                <w:sz w:val="28"/>
                <w:szCs w:val="28"/>
              </w:rPr>
              <w:br/>
              <w:t>Kādēļ?</w:t>
            </w:r>
          </w:p>
        </w:tc>
        <w:tc>
          <w:tcPr>
            <w:tcW w:w="3445"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Nav attiecināms</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45"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 attiecināms</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445"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1A2287">
        <w:tc>
          <w:tcPr>
            <w:tcW w:w="5000" w:type="pct"/>
            <w:gridSpan w:val="6"/>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2.tabula</w:t>
            </w:r>
            <w:r w:rsidRPr="007B03DE">
              <w:rPr>
                <w:sz w:val="28"/>
                <w:szCs w:val="28"/>
              </w:rPr>
              <w:br/>
              <w:t>Ar tiesību akta projektu izpildītās vai uzņemtās saistības, kas izriet no starptautiskajiem tiesību aktiem vai starptautiskas institūcijas vai organizācijas dokumentiem.</w:t>
            </w:r>
            <w:r w:rsidRPr="007B03DE">
              <w:rPr>
                <w:sz w:val="28"/>
                <w:szCs w:val="28"/>
              </w:rPr>
              <w:br/>
              <w:t>Pasākumi šo saistību izpildei</w:t>
            </w:r>
          </w:p>
        </w:tc>
      </w:tr>
      <w:tr w:rsidR="00A95855" w:rsidRPr="007B03DE" w:rsidTr="001A2287">
        <w:tc>
          <w:tcPr>
            <w:tcW w:w="1709"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Attiecīgā starptautiskā tiesību akta vai starptautiskas institūcijas vai organizācijas dokumenta (turpmāk - starptautiskais dokuments) datums, numurs un nosaukums</w:t>
            </w:r>
          </w:p>
        </w:tc>
        <w:tc>
          <w:tcPr>
            <w:tcW w:w="3291" w:type="pct"/>
            <w:gridSpan w:val="4"/>
            <w:tcBorders>
              <w:top w:val="outset" w:sz="6" w:space="0" w:color="414142"/>
              <w:left w:val="outset" w:sz="6" w:space="0" w:color="414142"/>
              <w:bottom w:val="outset" w:sz="6" w:space="0" w:color="414142"/>
            </w:tcBorders>
            <w:shd w:val="clear" w:color="auto" w:fill="FFFFFF"/>
          </w:tcPr>
          <w:p w:rsidR="00B426B9" w:rsidRDefault="000179D2" w:rsidP="00B426B9">
            <w:pPr>
              <w:pStyle w:val="NoSpacing"/>
              <w:jc w:val="both"/>
              <w:rPr>
                <w:sz w:val="28"/>
                <w:szCs w:val="28"/>
              </w:rPr>
            </w:pPr>
            <w:r w:rsidRPr="00185D63">
              <w:rPr>
                <w:sz w:val="28"/>
                <w:szCs w:val="28"/>
              </w:rPr>
              <w:t xml:space="preserve">1. </w:t>
            </w:r>
            <w:r w:rsidR="00B426B9" w:rsidRPr="00185D63">
              <w:rPr>
                <w:sz w:val="28"/>
                <w:szCs w:val="28"/>
              </w:rPr>
              <w:t>2005.</w:t>
            </w:r>
            <w:r w:rsidR="00B426B9">
              <w:rPr>
                <w:sz w:val="28"/>
                <w:szCs w:val="28"/>
              </w:rPr>
              <w:t xml:space="preserve"> </w:t>
            </w:r>
            <w:r w:rsidR="00B426B9" w:rsidRPr="00185D63">
              <w:rPr>
                <w:sz w:val="28"/>
                <w:szCs w:val="28"/>
              </w:rPr>
              <w:t>gada 19.</w:t>
            </w:r>
            <w:r w:rsidR="00B426B9">
              <w:rPr>
                <w:sz w:val="28"/>
                <w:szCs w:val="28"/>
              </w:rPr>
              <w:t xml:space="preserve"> </w:t>
            </w:r>
            <w:r w:rsidR="00B426B9" w:rsidRPr="00185D63">
              <w:rPr>
                <w:sz w:val="28"/>
                <w:szCs w:val="28"/>
              </w:rPr>
              <w:t>oktobra Starptautiskā</w:t>
            </w:r>
            <w:r w:rsidR="00B426B9">
              <w:rPr>
                <w:sz w:val="28"/>
                <w:szCs w:val="28"/>
              </w:rPr>
              <w:t xml:space="preserve"> konvencija pret dopingu sportā</w:t>
            </w:r>
            <w:r w:rsidR="003643AA">
              <w:rPr>
                <w:sz w:val="28"/>
                <w:szCs w:val="28"/>
              </w:rPr>
              <w:t xml:space="preserve"> (1. pielikums un 2. pielikuma 2. pielikums)</w:t>
            </w:r>
            <w:r w:rsidR="00B426B9">
              <w:rPr>
                <w:sz w:val="28"/>
                <w:szCs w:val="28"/>
              </w:rPr>
              <w:t>;</w:t>
            </w:r>
          </w:p>
          <w:p w:rsidR="00B426B9" w:rsidRPr="00185D63" w:rsidRDefault="000179D2" w:rsidP="00185D63">
            <w:pPr>
              <w:pStyle w:val="NoSpacing"/>
              <w:jc w:val="both"/>
              <w:rPr>
                <w:sz w:val="28"/>
                <w:szCs w:val="28"/>
              </w:rPr>
            </w:pPr>
            <w:r w:rsidRPr="00185D63">
              <w:rPr>
                <w:sz w:val="28"/>
                <w:szCs w:val="28"/>
              </w:rPr>
              <w:t xml:space="preserve">2. </w:t>
            </w:r>
            <w:r w:rsidR="00B426B9" w:rsidRPr="00185D63">
              <w:rPr>
                <w:sz w:val="28"/>
                <w:szCs w:val="28"/>
              </w:rPr>
              <w:t xml:space="preserve">Eiropas Padomes </w:t>
            </w:r>
            <w:r w:rsidR="00A64B4D">
              <w:rPr>
                <w:sz w:val="28"/>
                <w:szCs w:val="28"/>
              </w:rPr>
              <w:t>1989.</w:t>
            </w:r>
            <w:r w:rsidR="0086720B">
              <w:rPr>
                <w:sz w:val="28"/>
                <w:szCs w:val="28"/>
              </w:rPr>
              <w:t xml:space="preserve"> </w:t>
            </w:r>
            <w:r w:rsidR="00A64B4D">
              <w:rPr>
                <w:sz w:val="28"/>
                <w:szCs w:val="28"/>
              </w:rPr>
              <w:t>gada 16.</w:t>
            </w:r>
            <w:r w:rsidR="0086720B">
              <w:rPr>
                <w:sz w:val="28"/>
                <w:szCs w:val="28"/>
              </w:rPr>
              <w:t xml:space="preserve"> </w:t>
            </w:r>
            <w:r w:rsidR="00A64B4D">
              <w:rPr>
                <w:sz w:val="28"/>
                <w:szCs w:val="28"/>
              </w:rPr>
              <w:t xml:space="preserve">novembra </w:t>
            </w:r>
            <w:r w:rsidR="00B426B9" w:rsidRPr="00185D63">
              <w:rPr>
                <w:sz w:val="28"/>
                <w:szCs w:val="28"/>
              </w:rPr>
              <w:t>Antidopinga konvencija Nr.</w:t>
            </w:r>
            <w:r w:rsidR="00B426B9">
              <w:rPr>
                <w:sz w:val="28"/>
                <w:szCs w:val="28"/>
              </w:rPr>
              <w:t xml:space="preserve"> </w:t>
            </w:r>
            <w:r w:rsidR="00B426B9" w:rsidRPr="00185D63">
              <w:rPr>
                <w:sz w:val="28"/>
                <w:szCs w:val="28"/>
              </w:rPr>
              <w:t>135</w:t>
            </w:r>
            <w:r w:rsidR="00B12E99">
              <w:rPr>
                <w:sz w:val="28"/>
                <w:szCs w:val="28"/>
              </w:rPr>
              <w:t xml:space="preserve"> (pielikums)</w:t>
            </w:r>
            <w:r w:rsidR="00B426B9">
              <w:rPr>
                <w:sz w:val="28"/>
                <w:szCs w:val="28"/>
              </w:rPr>
              <w:t>.</w:t>
            </w:r>
          </w:p>
          <w:p w:rsidR="00A95855" w:rsidRPr="007B03DE" w:rsidRDefault="00A95855" w:rsidP="001A2287">
            <w:pPr>
              <w:pStyle w:val="NoSpacing"/>
              <w:jc w:val="both"/>
              <w:rPr>
                <w:sz w:val="28"/>
                <w:szCs w:val="28"/>
              </w:rPr>
            </w:pPr>
          </w:p>
        </w:tc>
      </w:tr>
      <w:tr w:rsidR="00A95855" w:rsidRPr="007B03DE" w:rsidTr="001A2287">
        <w:tc>
          <w:tcPr>
            <w:tcW w:w="1709"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2015" w:type="pct"/>
            <w:gridSpan w:val="2"/>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r>
      <w:tr w:rsidR="00A95855" w:rsidRPr="007B03DE" w:rsidTr="001A2287">
        <w:tc>
          <w:tcPr>
            <w:tcW w:w="1709"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Starptautiskās saistības (pēc būtības), kas izriet no norādītā starptautiskā dokumenta.</w:t>
            </w:r>
          </w:p>
          <w:p w:rsidR="00A95855" w:rsidRPr="007B03DE" w:rsidRDefault="00A95855" w:rsidP="001A2287">
            <w:pPr>
              <w:pStyle w:val="NoSpacing"/>
              <w:jc w:val="both"/>
              <w:rPr>
                <w:sz w:val="28"/>
                <w:szCs w:val="28"/>
              </w:rPr>
            </w:pPr>
            <w:r w:rsidRPr="007B03DE">
              <w:rPr>
                <w:sz w:val="28"/>
                <w:szCs w:val="28"/>
              </w:rPr>
              <w:t xml:space="preserve">Konkrēti veicamie pasākumi vai uzdevumi, kas nepieciešami šo starptautisko saistību </w:t>
            </w:r>
            <w:r w:rsidRPr="007B03DE">
              <w:rPr>
                <w:sz w:val="28"/>
                <w:szCs w:val="28"/>
              </w:rPr>
              <w:lastRenderedPageBreak/>
              <w:t>izpildei</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 xml:space="preserve">Ja pasākumi vai uzdevumi, ar ko tiks izpildītas starptautiskās saistības, tiek noteikti projektā, norāda attiecīgo projekta vienību vai </w:t>
            </w:r>
            <w:r w:rsidRPr="007B03DE">
              <w:rPr>
                <w:sz w:val="28"/>
                <w:szCs w:val="28"/>
              </w:rPr>
              <w:lastRenderedPageBreak/>
              <w:t>dokumentu, kurā sniegts izvērsts skaidrojums, kādā veidā tiks nodrošināta starptautisko saistību izpilde</w:t>
            </w:r>
          </w:p>
        </w:tc>
        <w:tc>
          <w:tcPr>
            <w:tcW w:w="2015" w:type="pct"/>
            <w:gridSpan w:val="2"/>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Informācija par to, vai starptautiskās saistības, kas minētas šīs tabulas A ailē, tiek izpildītas pilnībā vai daļēji.</w:t>
            </w:r>
          </w:p>
          <w:p w:rsidR="00A95855" w:rsidRPr="007B03DE" w:rsidRDefault="00A95855" w:rsidP="001A2287">
            <w:pPr>
              <w:pStyle w:val="NoSpacing"/>
              <w:jc w:val="both"/>
              <w:rPr>
                <w:sz w:val="28"/>
                <w:szCs w:val="28"/>
              </w:rPr>
            </w:pPr>
            <w:r w:rsidRPr="007B03DE">
              <w:rPr>
                <w:sz w:val="28"/>
                <w:szCs w:val="28"/>
              </w:rPr>
              <w:t xml:space="preserve">Ja attiecīgās starptautiskās saistības tiek izpildītas daļēji, sniedz skaidrojumu, kā arī precīzi norāda, kad un kādā </w:t>
            </w:r>
            <w:r w:rsidRPr="007B03DE">
              <w:rPr>
                <w:sz w:val="28"/>
                <w:szCs w:val="28"/>
              </w:rPr>
              <w:lastRenderedPageBreak/>
              <w:t>veidā starptautiskās saistības tiks izpildītas pilnībā.</w:t>
            </w:r>
          </w:p>
          <w:p w:rsidR="00A95855" w:rsidRPr="007B03DE" w:rsidRDefault="00A95855" w:rsidP="001A2287">
            <w:pPr>
              <w:pStyle w:val="NoSpacing"/>
              <w:jc w:val="both"/>
              <w:rPr>
                <w:sz w:val="28"/>
                <w:szCs w:val="28"/>
              </w:rPr>
            </w:pPr>
            <w:r w:rsidRPr="007B03DE">
              <w:rPr>
                <w:sz w:val="28"/>
                <w:szCs w:val="28"/>
              </w:rPr>
              <w:t>Norāda institūciju, kas ir atbildīga par šo saistību izpildi pilnībā</w:t>
            </w:r>
          </w:p>
        </w:tc>
      </w:tr>
      <w:tr w:rsidR="00A95855" w:rsidRPr="007B03DE" w:rsidTr="001A2287">
        <w:tc>
          <w:tcPr>
            <w:tcW w:w="1709" w:type="pct"/>
            <w:gridSpan w:val="2"/>
            <w:tcBorders>
              <w:top w:val="outset" w:sz="6" w:space="0" w:color="414142"/>
              <w:bottom w:val="outset" w:sz="6" w:space="0" w:color="414142"/>
              <w:right w:val="outset" w:sz="6" w:space="0" w:color="414142"/>
            </w:tcBorders>
            <w:shd w:val="clear" w:color="auto" w:fill="FFFFFF"/>
          </w:tcPr>
          <w:p w:rsidR="00A95855" w:rsidRPr="007B03DE" w:rsidRDefault="00B426B9" w:rsidP="003643AA">
            <w:pPr>
              <w:pStyle w:val="NoSpacing"/>
              <w:jc w:val="both"/>
              <w:rPr>
                <w:sz w:val="28"/>
                <w:szCs w:val="28"/>
              </w:rPr>
            </w:pPr>
            <w:r w:rsidRPr="00185D63">
              <w:rPr>
                <w:sz w:val="28"/>
                <w:szCs w:val="28"/>
              </w:rPr>
              <w:lastRenderedPageBreak/>
              <w:t>2005.</w:t>
            </w:r>
            <w:r>
              <w:rPr>
                <w:sz w:val="28"/>
                <w:szCs w:val="28"/>
              </w:rPr>
              <w:t xml:space="preserve"> </w:t>
            </w:r>
            <w:r w:rsidRPr="00185D63">
              <w:rPr>
                <w:sz w:val="28"/>
                <w:szCs w:val="28"/>
              </w:rPr>
              <w:t>gada 19.</w:t>
            </w:r>
            <w:r>
              <w:rPr>
                <w:sz w:val="28"/>
                <w:szCs w:val="28"/>
              </w:rPr>
              <w:t xml:space="preserve"> </w:t>
            </w:r>
            <w:r w:rsidRPr="00185D63">
              <w:rPr>
                <w:sz w:val="28"/>
                <w:szCs w:val="28"/>
              </w:rPr>
              <w:t>oktobra Starptautiskās konvencijas pret dopingu sportā 1.</w:t>
            </w:r>
            <w:r>
              <w:rPr>
                <w:sz w:val="28"/>
                <w:szCs w:val="28"/>
              </w:rPr>
              <w:t xml:space="preserve"> </w:t>
            </w:r>
            <w:r w:rsidR="003643AA">
              <w:rPr>
                <w:sz w:val="28"/>
                <w:szCs w:val="28"/>
              </w:rPr>
              <w:t xml:space="preserve">pielikums </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9A2526">
            <w:pPr>
              <w:pStyle w:val="NoSpacing"/>
              <w:jc w:val="both"/>
              <w:rPr>
                <w:b/>
                <w:sz w:val="28"/>
                <w:szCs w:val="28"/>
              </w:rPr>
            </w:pPr>
            <w:r w:rsidRPr="007B03DE">
              <w:rPr>
                <w:sz w:val="28"/>
                <w:szCs w:val="28"/>
              </w:rPr>
              <w:t>Noteikumu p</w:t>
            </w:r>
            <w:r w:rsidR="007B03DE">
              <w:rPr>
                <w:sz w:val="28"/>
                <w:szCs w:val="28"/>
              </w:rPr>
              <w:t>rojekt</w:t>
            </w:r>
            <w:r w:rsidR="009A2526">
              <w:rPr>
                <w:sz w:val="28"/>
                <w:szCs w:val="28"/>
              </w:rPr>
              <w:t>s</w:t>
            </w:r>
            <w:r w:rsidR="003643AA">
              <w:rPr>
                <w:sz w:val="28"/>
                <w:szCs w:val="28"/>
              </w:rPr>
              <w:t xml:space="preserve"> attiecībā uz MK noteikumu Nr. 820 1. pielikumu</w:t>
            </w:r>
          </w:p>
        </w:tc>
        <w:tc>
          <w:tcPr>
            <w:tcW w:w="2015" w:type="pct"/>
            <w:gridSpan w:val="2"/>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b/>
                <w:sz w:val="28"/>
                <w:szCs w:val="28"/>
              </w:rPr>
            </w:pPr>
            <w:r w:rsidRPr="000604BE">
              <w:rPr>
                <w:sz w:val="28"/>
                <w:szCs w:val="28"/>
              </w:rPr>
              <w:t>Starptautiskās saistības tiek izpildītas pilnībā.</w:t>
            </w:r>
          </w:p>
        </w:tc>
      </w:tr>
      <w:tr w:rsidR="003643AA" w:rsidRPr="007B03DE" w:rsidTr="001A2287">
        <w:tc>
          <w:tcPr>
            <w:tcW w:w="1709" w:type="pct"/>
            <w:gridSpan w:val="2"/>
            <w:tcBorders>
              <w:top w:val="outset" w:sz="6" w:space="0" w:color="414142"/>
              <w:bottom w:val="outset" w:sz="6" w:space="0" w:color="414142"/>
              <w:right w:val="outset" w:sz="6" w:space="0" w:color="414142"/>
            </w:tcBorders>
            <w:shd w:val="clear" w:color="auto" w:fill="FFFFFF"/>
          </w:tcPr>
          <w:p w:rsidR="003643AA" w:rsidRPr="00185D63" w:rsidRDefault="003643AA" w:rsidP="003643AA">
            <w:pPr>
              <w:pStyle w:val="NoSpacing"/>
              <w:jc w:val="both"/>
              <w:rPr>
                <w:sz w:val="28"/>
                <w:szCs w:val="28"/>
              </w:rPr>
            </w:pPr>
            <w:r w:rsidRPr="00185D63">
              <w:rPr>
                <w:sz w:val="28"/>
                <w:szCs w:val="28"/>
              </w:rPr>
              <w:t>2005.</w:t>
            </w:r>
            <w:r>
              <w:rPr>
                <w:sz w:val="28"/>
                <w:szCs w:val="28"/>
              </w:rPr>
              <w:t xml:space="preserve"> </w:t>
            </w:r>
            <w:r w:rsidRPr="00185D63">
              <w:rPr>
                <w:sz w:val="28"/>
                <w:szCs w:val="28"/>
              </w:rPr>
              <w:t>gada 19.</w:t>
            </w:r>
            <w:r>
              <w:rPr>
                <w:sz w:val="28"/>
                <w:szCs w:val="28"/>
              </w:rPr>
              <w:t xml:space="preserve"> </w:t>
            </w:r>
            <w:r w:rsidRPr="00185D63">
              <w:rPr>
                <w:sz w:val="28"/>
                <w:szCs w:val="28"/>
              </w:rPr>
              <w:t xml:space="preserve">oktobra Starptautiskās konvencijas pret dopingu sportā </w:t>
            </w:r>
            <w:r>
              <w:rPr>
                <w:sz w:val="28"/>
                <w:szCs w:val="28"/>
              </w:rPr>
              <w:t>2. pielikuma 2. p</w:t>
            </w:r>
            <w:r w:rsidRPr="00185D63">
              <w:rPr>
                <w:sz w:val="28"/>
                <w:szCs w:val="28"/>
              </w:rPr>
              <w:t>ielikums</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3643AA" w:rsidRPr="007B03DE" w:rsidRDefault="003643AA" w:rsidP="009A2526">
            <w:pPr>
              <w:pStyle w:val="NoSpacing"/>
              <w:jc w:val="both"/>
              <w:rPr>
                <w:sz w:val="28"/>
                <w:szCs w:val="28"/>
              </w:rPr>
            </w:pPr>
            <w:r>
              <w:rPr>
                <w:sz w:val="28"/>
                <w:szCs w:val="28"/>
              </w:rPr>
              <w:t>Noteikumu projekts attiecībā uz MK noteikumu Nr. 820 2. pielikumu</w:t>
            </w:r>
          </w:p>
        </w:tc>
        <w:tc>
          <w:tcPr>
            <w:tcW w:w="2015" w:type="pct"/>
            <w:gridSpan w:val="2"/>
            <w:tcBorders>
              <w:top w:val="outset" w:sz="6" w:space="0" w:color="414142"/>
              <w:left w:val="outset" w:sz="6" w:space="0" w:color="414142"/>
              <w:bottom w:val="outset" w:sz="6" w:space="0" w:color="414142"/>
            </w:tcBorders>
            <w:shd w:val="clear" w:color="auto" w:fill="FFFFFF"/>
          </w:tcPr>
          <w:p w:rsidR="003643AA" w:rsidRPr="000604BE" w:rsidRDefault="003643AA" w:rsidP="001A2287">
            <w:pPr>
              <w:pStyle w:val="NoSpacing"/>
              <w:jc w:val="both"/>
              <w:rPr>
                <w:sz w:val="28"/>
                <w:szCs w:val="28"/>
              </w:rPr>
            </w:pPr>
            <w:r w:rsidRPr="000604BE">
              <w:rPr>
                <w:sz w:val="28"/>
                <w:szCs w:val="28"/>
              </w:rPr>
              <w:t>Starptautiskās saistības tiek izpildītas pilnībā.</w:t>
            </w:r>
          </w:p>
        </w:tc>
      </w:tr>
      <w:tr w:rsidR="000179D2" w:rsidRPr="007B03DE" w:rsidTr="001A2287">
        <w:tc>
          <w:tcPr>
            <w:tcW w:w="1709" w:type="pct"/>
            <w:gridSpan w:val="2"/>
            <w:tcBorders>
              <w:top w:val="outset" w:sz="6" w:space="0" w:color="414142"/>
              <w:bottom w:val="outset" w:sz="6" w:space="0" w:color="414142"/>
              <w:right w:val="outset" w:sz="6" w:space="0" w:color="414142"/>
            </w:tcBorders>
            <w:shd w:val="clear" w:color="auto" w:fill="FFFFFF"/>
          </w:tcPr>
          <w:p w:rsidR="00B426B9" w:rsidRPr="00185D63" w:rsidRDefault="00B426B9" w:rsidP="00185D63">
            <w:pPr>
              <w:pStyle w:val="NoSpacing"/>
              <w:jc w:val="both"/>
              <w:rPr>
                <w:sz w:val="28"/>
                <w:szCs w:val="28"/>
              </w:rPr>
            </w:pPr>
            <w:r w:rsidRPr="000604BE">
              <w:rPr>
                <w:sz w:val="28"/>
                <w:szCs w:val="28"/>
              </w:rPr>
              <w:t>Eiropas Padomes</w:t>
            </w:r>
            <w:r w:rsidR="00A64B4D">
              <w:rPr>
                <w:sz w:val="28"/>
                <w:szCs w:val="28"/>
              </w:rPr>
              <w:t xml:space="preserve"> 1989.</w:t>
            </w:r>
            <w:r w:rsidR="0086720B">
              <w:rPr>
                <w:sz w:val="28"/>
                <w:szCs w:val="28"/>
              </w:rPr>
              <w:t xml:space="preserve"> </w:t>
            </w:r>
            <w:r w:rsidR="00A64B4D">
              <w:rPr>
                <w:sz w:val="28"/>
                <w:szCs w:val="28"/>
              </w:rPr>
              <w:t>gada 16.</w:t>
            </w:r>
            <w:r w:rsidR="0086720B">
              <w:rPr>
                <w:sz w:val="28"/>
                <w:szCs w:val="28"/>
              </w:rPr>
              <w:t xml:space="preserve"> </w:t>
            </w:r>
            <w:r w:rsidR="00A64B4D">
              <w:rPr>
                <w:sz w:val="28"/>
                <w:szCs w:val="28"/>
              </w:rPr>
              <w:t>novembra</w:t>
            </w:r>
            <w:r w:rsidRPr="000604BE">
              <w:rPr>
                <w:sz w:val="28"/>
                <w:szCs w:val="28"/>
              </w:rPr>
              <w:t xml:space="preserve"> Antidopinga konvencijas Nr.</w:t>
            </w:r>
            <w:r>
              <w:rPr>
                <w:sz w:val="28"/>
                <w:szCs w:val="28"/>
              </w:rPr>
              <w:t xml:space="preserve"> </w:t>
            </w:r>
            <w:r w:rsidRPr="000604BE">
              <w:rPr>
                <w:sz w:val="28"/>
                <w:szCs w:val="28"/>
              </w:rPr>
              <w:t>135 pielikums</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0179D2" w:rsidRPr="00185D63" w:rsidRDefault="009A2526" w:rsidP="00185D63">
            <w:pPr>
              <w:pStyle w:val="NoSpacing"/>
              <w:jc w:val="both"/>
              <w:rPr>
                <w:sz w:val="28"/>
                <w:szCs w:val="28"/>
              </w:rPr>
            </w:pPr>
            <w:r>
              <w:rPr>
                <w:sz w:val="28"/>
                <w:szCs w:val="28"/>
              </w:rPr>
              <w:t>Noteikumu projekts</w:t>
            </w:r>
            <w:r w:rsidR="00510D8A">
              <w:rPr>
                <w:sz w:val="28"/>
                <w:szCs w:val="28"/>
              </w:rPr>
              <w:t xml:space="preserve"> attiecībā uz MK noteikumu Nr. 820 1. pielikumu</w:t>
            </w:r>
          </w:p>
        </w:tc>
        <w:tc>
          <w:tcPr>
            <w:tcW w:w="2015" w:type="pct"/>
            <w:gridSpan w:val="2"/>
            <w:tcBorders>
              <w:top w:val="outset" w:sz="6" w:space="0" w:color="414142"/>
              <w:left w:val="outset" w:sz="6" w:space="0" w:color="414142"/>
              <w:bottom w:val="outset" w:sz="6" w:space="0" w:color="414142"/>
            </w:tcBorders>
            <w:shd w:val="clear" w:color="auto" w:fill="FFFFFF"/>
          </w:tcPr>
          <w:p w:rsidR="000179D2" w:rsidRPr="00185D63" w:rsidRDefault="000179D2" w:rsidP="00185D63">
            <w:pPr>
              <w:pStyle w:val="NoSpacing"/>
              <w:jc w:val="both"/>
              <w:rPr>
                <w:sz w:val="28"/>
                <w:szCs w:val="28"/>
              </w:rPr>
            </w:pPr>
            <w:r w:rsidRPr="00185D63">
              <w:rPr>
                <w:sz w:val="28"/>
                <w:szCs w:val="28"/>
              </w:rPr>
              <w:t>Starptautiskās saistības tiek izpildītas pilnībā.</w:t>
            </w:r>
          </w:p>
        </w:tc>
      </w:tr>
      <w:tr w:rsidR="000179D2" w:rsidRPr="007B03DE" w:rsidTr="001A2287">
        <w:tc>
          <w:tcPr>
            <w:tcW w:w="1709" w:type="pct"/>
            <w:gridSpan w:val="2"/>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Vai starptautiskajā dokumentā paredzētās saistības nav pretrunā ar jau esošajām Latvijas Republikas starptautiskajām saistībām</w:t>
            </w:r>
          </w:p>
        </w:tc>
        <w:tc>
          <w:tcPr>
            <w:tcW w:w="3291" w:type="pct"/>
            <w:gridSpan w:val="4"/>
            <w:tcBorders>
              <w:top w:val="outset" w:sz="6" w:space="0" w:color="414142"/>
              <w:left w:val="outset" w:sz="6" w:space="0" w:color="414142"/>
              <w:bottom w:val="outset" w:sz="6" w:space="0" w:color="414142"/>
            </w:tcBorders>
            <w:shd w:val="clear" w:color="auto" w:fill="FFFFFF"/>
          </w:tcPr>
          <w:p w:rsidR="000179D2" w:rsidRPr="007B03DE" w:rsidRDefault="000179D2" w:rsidP="001A2287">
            <w:pPr>
              <w:pStyle w:val="NoSpacing"/>
              <w:jc w:val="both"/>
              <w:rPr>
                <w:b/>
                <w:sz w:val="28"/>
                <w:szCs w:val="28"/>
              </w:rPr>
            </w:pPr>
            <w:r>
              <w:rPr>
                <w:sz w:val="28"/>
                <w:szCs w:val="28"/>
              </w:rPr>
              <w:t>Nav attiecināms</w:t>
            </w:r>
          </w:p>
        </w:tc>
      </w:tr>
      <w:tr w:rsidR="000179D2" w:rsidRPr="007B03DE" w:rsidTr="001A2287">
        <w:tc>
          <w:tcPr>
            <w:tcW w:w="1709" w:type="pct"/>
            <w:gridSpan w:val="2"/>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Cita informācija</w:t>
            </w:r>
          </w:p>
        </w:tc>
        <w:tc>
          <w:tcPr>
            <w:tcW w:w="3291" w:type="pct"/>
            <w:gridSpan w:val="4"/>
            <w:tcBorders>
              <w:top w:val="outset" w:sz="6" w:space="0" w:color="414142"/>
              <w:left w:val="outset" w:sz="6" w:space="0" w:color="414142"/>
              <w:bottom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694"/>
        <w:gridCol w:w="5981"/>
      </w:tblGrid>
      <w:tr w:rsidR="00A95855" w:rsidRPr="007B03DE" w:rsidTr="001A2287">
        <w:trPr>
          <w:trHeight w:val="420"/>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 Sabiedrības līdzdalība un komunikācijas aktivitātes</w:t>
            </w:r>
          </w:p>
        </w:tc>
      </w:tr>
      <w:tr w:rsidR="00A95855" w:rsidRPr="007B03DE" w:rsidTr="001A2287">
        <w:trPr>
          <w:trHeight w:val="54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Plānotās sabiedrības līdzdalības un komunikācijas aktivitātes saistībā ar projektu</w:t>
            </w:r>
          </w:p>
        </w:tc>
        <w:tc>
          <w:tcPr>
            <w:tcW w:w="3276"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1A2287">
        <w:trPr>
          <w:trHeight w:val="33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 projekta izstrādē</w:t>
            </w:r>
          </w:p>
        </w:tc>
        <w:tc>
          <w:tcPr>
            <w:tcW w:w="3276"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1A2287">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līdzdalības rezultāti</w:t>
            </w:r>
          </w:p>
        </w:tc>
        <w:tc>
          <w:tcPr>
            <w:tcW w:w="3276"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1A2287">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276" w:type="pct"/>
            <w:tcBorders>
              <w:top w:val="outset" w:sz="6" w:space="0" w:color="414142"/>
              <w:left w:val="outset" w:sz="6" w:space="0" w:color="414142"/>
              <w:bottom w:val="outset" w:sz="6" w:space="0" w:color="414142"/>
            </w:tcBorders>
            <w:shd w:val="clear" w:color="auto" w:fill="FFFFFF"/>
          </w:tcPr>
          <w:p w:rsidR="00A95855" w:rsidRDefault="00A95855" w:rsidP="00185D63">
            <w:pPr>
              <w:pStyle w:val="NoSpacing"/>
              <w:jc w:val="both"/>
              <w:rPr>
                <w:sz w:val="28"/>
                <w:szCs w:val="28"/>
              </w:rPr>
            </w:pPr>
            <w:r w:rsidRPr="007B03DE">
              <w:rPr>
                <w:sz w:val="28"/>
                <w:szCs w:val="28"/>
              </w:rPr>
              <w:t xml:space="preserve">Sabiedrības līdzdalība noteikumu projekta izstrādē netika nodrošināta, jo </w:t>
            </w:r>
            <w:r w:rsidR="000179D2" w:rsidRPr="00177459">
              <w:rPr>
                <w:sz w:val="28"/>
                <w:szCs w:val="28"/>
              </w:rPr>
              <w:t>izmaiņas  Starptautiskajā</w:t>
            </w:r>
            <w:r w:rsidR="000179D2" w:rsidRPr="000604BE">
              <w:rPr>
                <w:sz w:val="28"/>
                <w:szCs w:val="28"/>
              </w:rPr>
              <w:t xml:space="preserve"> standart</w:t>
            </w:r>
            <w:r w:rsidR="000179D2">
              <w:rPr>
                <w:sz w:val="28"/>
                <w:szCs w:val="28"/>
              </w:rPr>
              <w:t>ā</w:t>
            </w:r>
            <w:r w:rsidR="000179D2" w:rsidRPr="000604BE">
              <w:rPr>
                <w:sz w:val="28"/>
                <w:szCs w:val="28"/>
              </w:rPr>
              <w:t xml:space="preserve"> „Aiz</w:t>
            </w:r>
            <w:r w:rsidR="000179D2">
              <w:rPr>
                <w:sz w:val="28"/>
                <w:szCs w:val="28"/>
              </w:rPr>
              <w:t>liegtais saraksts”</w:t>
            </w:r>
            <w:r w:rsidR="004B69E7">
              <w:rPr>
                <w:sz w:val="28"/>
                <w:szCs w:val="28"/>
              </w:rPr>
              <w:t>, kā arī</w:t>
            </w:r>
            <w:r w:rsidR="000179D2">
              <w:rPr>
                <w:sz w:val="28"/>
                <w:szCs w:val="28"/>
              </w:rPr>
              <w:t xml:space="preserve"> </w:t>
            </w:r>
            <w:r w:rsidR="004B69E7">
              <w:rPr>
                <w:sz w:val="28"/>
                <w:szCs w:val="28"/>
              </w:rPr>
              <w:t xml:space="preserve">Terapeitiskās </w:t>
            </w:r>
            <w:r w:rsidR="004B69E7">
              <w:rPr>
                <w:sz w:val="28"/>
                <w:szCs w:val="28"/>
              </w:rPr>
              <w:lastRenderedPageBreak/>
              <w:t xml:space="preserve">lietošanas izņēmumu noteikšanas standartos </w:t>
            </w:r>
            <w:r w:rsidR="000179D2">
              <w:rPr>
                <w:sz w:val="28"/>
                <w:szCs w:val="28"/>
              </w:rPr>
              <w:t>Konvencijas dalībvalstīm</w:t>
            </w:r>
            <w:r w:rsidR="000179D2" w:rsidRPr="007B03DE">
              <w:rPr>
                <w:sz w:val="28"/>
                <w:szCs w:val="28"/>
              </w:rPr>
              <w:t xml:space="preserve">, tajā skaitā Latvijai, </w:t>
            </w:r>
            <w:r w:rsidR="000179D2">
              <w:rPr>
                <w:sz w:val="28"/>
                <w:szCs w:val="28"/>
              </w:rPr>
              <w:t xml:space="preserve">ir </w:t>
            </w:r>
            <w:r w:rsidR="000179D2" w:rsidRPr="007B03DE">
              <w:rPr>
                <w:sz w:val="28"/>
                <w:szCs w:val="28"/>
              </w:rPr>
              <w:t>saistoš</w:t>
            </w:r>
            <w:r w:rsidR="00185D63">
              <w:rPr>
                <w:sz w:val="28"/>
                <w:szCs w:val="28"/>
              </w:rPr>
              <w:t>as</w:t>
            </w:r>
            <w:r w:rsidR="000179D2" w:rsidRPr="007B03DE">
              <w:rPr>
                <w:sz w:val="28"/>
                <w:szCs w:val="28"/>
              </w:rPr>
              <w:t>, tāpēc pārņ</w:t>
            </w:r>
            <w:r w:rsidR="00185D63">
              <w:rPr>
                <w:sz w:val="28"/>
                <w:szCs w:val="28"/>
              </w:rPr>
              <w:t>emamas</w:t>
            </w:r>
            <w:r w:rsidR="000179D2" w:rsidRPr="007B03DE">
              <w:rPr>
                <w:sz w:val="28"/>
                <w:szCs w:val="28"/>
              </w:rPr>
              <w:t xml:space="preserve"> obligāti</w:t>
            </w:r>
            <w:r w:rsidR="000179D2">
              <w:rPr>
                <w:sz w:val="28"/>
                <w:szCs w:val="28"/>
              </w:rPr>
              <w:t xml:space="preserve">. </w:t>
            </w:r>
          </w:p>
          <w:p w:rsidR="00B8646A" w:rsidRPr="00B8646A" w:rsidRDefault="00B8646A" w:rsidP="00185D63">
            <w:pPr>
              <w:pStyle w:val="NoSpacing"/>
              <w:jc w:val="both"/>
              <w:rPr>
                <w:sz w:val="28"/>
                <w:szCs w:val="28"/>
              </w:rPr>
            </w:pPr>
          </w:p>
          <w:p w:rsidR="00B8646A" w:rsidRPr="00B8646A" w:rsidRDefault="00B8646A" w:rsidP="00B8646A">
            <w:pPr>
              <w:pStyle w:val="NoSpacing"/>
              <w:jc w:val="both"/>
              <w:rPr>
                <w:sz w:val="28"/>
                <w:szCs w:val="28"/>
              </w:rPr>
            </w:pPr>
            <w:r w:rsidRPr="00B8646A">
              <w:rPr>
                <w:sz w:val="28"/>
                <w:szCs w:val="28"/>
              </w:rPr>
              <w:t>Kārtība, kādā sportisti var apstrīdēt lēmumus par ar dopinga lietošanu saistītiem pārkāpumiem</w:t>
            </w:r>
            <w:r w:rsidR="00BA2993">
              <w:rPr>
                <w:sz w:val="28"/>
                <w:szCs w:val="28"/>
              </w:rPr>
              <w:t>,</w:t>
            </w:r>
            <w:r w:rsidRPr="00B8646A">
              <w:rPr>
                <w:sz w:val="28"/>
                <w:szCs w:val="28"/>
              </w:rPr>
              <w:t xml:space="preserve"> noteikta </w:t>
            </w:r>
            <w:r w:rsidR="002D27BA">
              <w:rPr>
                <w:sz w:val="28"/>
                <w:szCs w:val="28"/>
              </w:rPr>
              <w:t xml:space="preserve">Valsts sporta medicīnas centra </w:t>
            </w:r>
            <w:r w:rsidRPr="00B8646A">
              <w:rPr>
                <w:sz w:val="28"/>
                <w:szCs w:val="28"/>
              </w:rPr>
              <w:t>2011. gada 27. decembra Antidopinga pasākumu metodisko norādījumu Nr. 1-5/4</w:t>
            </w:r>
            <w:r w:rsidRPr="00BA2993">
              <w:rPr>
                <w:sz w:val="28"/>
                <w:szCs w:val="28"/>
                <w:vertAlign w:val="superscript"/>
              </w:rPr>
              <w:footnoteReference w:id="4"/>
            </w:r>
            <w:r w:rsidRPr="00B8646A">
              <w:rPr>
                <w:sz w:val="28"/>
                <w:szCs w:val="28"/>
              </w:rPr>
              <w:t xml:space="preserve"> (turpmāk – metodiskie norādījumi) 13. pantā „Apelācijas”. </w:t>
            </w:r>
          </w:p>
          <w:p w:rsidR="00B8646A" w:rsidRPr="007B03DE" w:rsidRDefault="00B8646A" w:rsidP="00B8646A">
            <w:pPr>
              <w:pStyle w:val="NoSpacing"/>
              <w:jc w:val="both"/>
              <w:rPr>
                <w:sz w:val="28"/>
                <w:szCs w:val="28"/>
              </w:rPr>
            </w:pPr>
            <w:r w:rsidRPr="00B8646A">
              <w:rPr>
                <w:sz w:val="28"/>
                <w:szCs w:val="28"/>
              </w:rPr>
              <w:t xml:space="preserve">Saskaņā ar metodisko norādījumu 13.2.1. punktu apelācijas saistībā ar starptautiska līmeņa sportistiem var pārsūdzēt tikai Sporta arbitrāžas tiesā </w:t>
            </w:r>
            <w:r w:rsidR="005F5BCB">
              <w:rPr>
                <w:sz w:val="28"/>
                <w:szCs w:val="28"/>
              </w:rPr>
              <w:t xml:space="preserve">(Lozannā, Šveicē) </w:t>
            </w:r>
            <w:r w:rsidRPr="00B8646A">
              <w:rPr>
                <w:sz w:val="28"/>
                <w:szCs w:val="28"/>
              </w:rPr>
              <w:t xml:space="preserve">saskaņā ar šādas tiesas noteikumiem. Savukārt saskaņā ar metodisko norādījumu 13.2.2. punktu apelācijas saistībā ar valsts līmeņa sportistiem var pārsūdzēt </w:t>
            </w:r>
            <w:r>
              <w:rPr>
                <w:sz w:val="28"/>
                <w:szCs w:val="28"/>
              </w:rPr>
              <w:t>B</w:t>
            </w:r>
            <w:r w:rsidRPr="00B8646A">
              <w:rPr>
                <w:sz w:val="28"/>
                <w:szCs w:val="28"/>
              </w:rPr>
              <w:t>iedrības „Latvijas Sporta federāciju padome”</w:t>
            </w:r>
            <w:r>
              <w:rPr>
                <w:sz w:val="28"/>
                <w:szCs w:val="28"/>
              </w:rPr>
              <w:t xml:space="preserve"> </w:t>
            </w:r>
            <w:r w:rsidRPr="00B8646A">
              <w:rPr>
                <w:sz w:val="28"/>
                <w:szCs w:val="28"/>
              </w:rPr>
              <w:t xml:space="preserve">(turpmāk – Latvijas Sporta federāciju padome), kas saskaņā ar Sporta likuma 10.panta 6. punktā noteikto koordinē Latvijā atzīto sporta federāciju darbību, pārstāv un īsteno to kopīgās intereses, izveidotajā Apelācijas komisijā. </w:t>
            </w:r>
            <w:r>
              <w:rPr>
                <w:sz w:val="28"/>
                <w:szCs w:val="28"/>
              </w:rPr>
              <w:t>Attiecīgo Apelācijas komisiju</w:t>
            </w:r>
            <w:r w:rsidRPr="00B8646A">
              <w:rPr>
                <w:rStyle w:val="FootnoteReference"/>
                <w:sz w:val="28"/>
                <w:szCs w:val="28"/>
              </w:rPr>
              <w:footnoteReference w:id="5"/>
            </w:r>
            <w:r>
              <w:rPr>
                <w:sz w:val="28"/>
                <w:szCs w:val="28"/>
              </w:rPr>
              <w:t xml:space="preserve"> </w:t>
            </w:r>
            <w:r w:rsidRPr="00B8646A">
              <w:rPr>
                <w:sz w:val="28"/>
                <w:szCs w:val="28"/>
              </w:rPr>
              <w:t xml:space="preserve">Latvijas Sporta federāciju padome </w:t>
            </w:r>
            <w:r>
              <w:rPr>
                <w:sz w:val="28"/>
                <w:szCs w:val="28"/>
              </w:rPr>
              <w:t xml:space="preserve">izveidojusi </w:t>
            </w:r>
            <w:r w:rsidRPr="00B8646A">
              <w:rPr>
                <w:sz w:val="28"/>
                <w:szCs w:val="28"/>
              </w:rPr>
              <w:t>atbilstoši Biedrības „Lat</w:t>
            </w:r>
            <w:r>
              <w:rPr>
                <w:sz w:val="28"/>
                <w:szCs w:val="28"/>
              </w:rPr>
              <w:t>vijas Sporta  federāciju padome</w:t>
            </w:r>
            <w:r w:rsidRPr="00B8646A">
              <w:rPr>
                <w:sz w:val="28"/>
                <w:szCs w:val="28"/>
              </w:rPr>
              <w:t>” 2014. gada 17. aprīļa statūtu</w:t>
            </w:r>
            <w:r w:rsidRPr="00B8646A">
              <w:rPr>
                <w:rStyle w:val="FootnoteReference"/>
                <w:sz w:val="28"/>
                <w:szCs w:val="28"/>
              </w:rPr>
              <w:footnoteReference w:id="6"/>
            </w:r>
            <w:r w:rsidRPr="00B8646A">
              <w:rPr>
                <w:sz w:val="28"/>
                <w:szCs w:val="28"/>
              </w:rPr>
              <w:t xml:space="preserve"> 8.4.6. punktam.</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3470"/>
        <w:gridCol w:w="5205"/>
      </w:tblGrid>
      <w:tr w:rsidR="00A95855" w:rsidRPr="007B03DE" w:rsidTr="001A2287">
        <w:trPr>
          <w:trHeight w:val="37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VII. Tiesību akta projekta izpildes nodrošināšana un tās ietekme uz institūcijām</w:t>
            </w:r>
          </w:p>
        </w:tc>
      </w:tr>
      <w:tr w:rsidR="00A95855" w:rsidRPr="007B03DE" w:rsidTr="001A2287">
        <w:trPr>
          <w:trHeight w:val="42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sidRPr="000604BE">
              <w:rPr>
                <w:sz w:val="28"/>
                <w:szCs w:val="28"/>
              </w:rPr>
              <w:t xml:space="preserve">Veselības ministrija, </w:t>
            </w:r>
            <w:r w:rsidR="00CD23B3">
              <w:rPr>
                <w:sz w:val="28"/>
                <w:szCs w:val="28"/>
              </w:rPr>
              <w:t xml:space="preserve">Izglītības un zinātnes ministrija, </w:t>
            </w:r>
            <w:r w:rsidRPr="000604BE">
              <w:rPr>
                <w:sz w:val="28"/>
                <w:szCs w:val="28"/>
              </w:rPr>
              <w:t>Valsts sporta medicīnas centrs, Latvijas Olimpiskā komiteja, Latvijas Sporta federāciju padome</w:t>
            </w:r>
          </w:p>
        </w:tc>
      </w:tr>
      <w:tr w:rsidR="00A95855" w:rsidRPr="007B03DE" w:rsidTr="001A2287">
        <w:trPr>
          <w:trHeight w:val="45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izpildes ietekme uz pārvaldes funkcijām un institucionālo struktūru.</w:t>
            </w:r>
          </w:p>
          <w:p w:rsidR="00A95855" w:rsidRPr="007B03DE" w:rsidRDefault="00A95855" w:rsidP="001A2287">
            <w:pPr>
              <w:pStyle w:val="NoSpacing"/>
              <w:jc w:val="both"/>
              <w:rPr>
                <w:sz w:val="28"/>
                <w:szCs w:val="28"/>
              </w:rPr>
            </w:pPr>
            <w:r w:rsidRPr="007B03DE">
              <w:rPr>
                <w:sz w:val="28"/>
                <w:szCs w:val="28"/>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 xml:space="preserve">Nav </w:t>
            </w:r>
          </w:p>
        </w:tc>
      </w:tr>
      <w:tr w:rsidR="00A95855" w:rsidRPr="007B03DE" w:rsidTr="001A2287">
        <w:trPr>
          <w:trHeight w:val="39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285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0179D2" w:rsidRDefault="000179D2" w:rsidP="00A95855">
      <w:pPr>
        <w:pStyle w:val="ListParagraph"/>
        <w:tabs>
          <w:tab w:val="left" w:pos="6804"/>
        </w:tabs>
        <w:ind w:left="0"/>
        <w:jc w:val="both"/>
        <w:rPr>
          <w:bCs/>
          <w:sz w:val="28"/>
          <w:szCs w:val="28"/>
        </w:rPr>
      </w:pPr>
    </w:p>
    <w:p w:rsidR="00A95855" w:rsidRPr="007B03DE" w:rsidRDefault="00A95855" w:rsidP="00A95855">
      <w:pPr>
        <w:pStyle w:val="ListParagraph"/>
        <w:tabs>
          <w:tab w:val="left" w:pos="6804"/>
        </w:tabs>
        <w:ind w:left="0"/>
        <w:jc w:val="both"/>
        <w:rPr>
          <w:bCs/>
          <w:sz w:val="28"/>
          <w:szCs w:val="28"/>
        </w:rPr>
      </w:pPr>
      <w:r w:rsidRPr="007B03DE">
        <w:rPr>
          <w:bCs/>
          <w:sz w:val="28"/>
          <w:szCs w:val="28"/>
        </w:rPr>
        <w:t>III</w:t>
      </w:r>
      <w:r w:rsidR="000179D2">
        <w:rPr>
          <w:bCs/>
          <w:sz w:val="28"/>
          <w:szCs w:val="28"/>
        </w:rPr>
        <w:t>, IV</w:t>
      </w:r>
      <w:r w:rsidRPr="007B03DE">
        <w:rPr>
          <w:bCs/>
          <w:sz w:val="28"/>
          <w:szCs w:val="28"/>
        </w:rPr>
        <w:t xml:space="preserve"> sadaļa – projekts šo jomu neskar.</w:t>
      </w:r>
    </w:p>
    <w:p w:rsidR="00A95855" w:rsidRPr="007B03DE" w:rsidRDefault="00A95855" w:rsidP="00A95855">
      <w:pPr>
        <w:pStyle w:val="ListParagraph"/>
        <w:tabs>
          <w:tab w:val="left" w:pos="6804"/>
        </w:tabs>
        <w:ind w:left="0"/>
        <w:jc w:val="both"/>
        <w:rPr>
          <w:bCs/>
          <w:sz w:val="28"/>
          <w:szCs w:val="28"/>
        </w:rPr>
      </w:pPr>
    </w:p>
    <w:p w:rsidR="00A95855" w:rsidRPr="007B03DE" w:rsidRDefault="00A95855" w:rsidP="00A95855">
      <w:pPr>
        <w:pStyle w:val="ListParagraph"/>
        <w:tabs>
          <w:tab w:val="left" w:pos="6804"/>
        </w:tabs>
        <w:ind w:left="0"/>
        <w:jc w:val="both"/>
        <w:rPr>
          <w:bCs/>
          <w:sz w:val="28"/>
          <w:szCs w:val="28"/>
        </w:rPr>
      </w:pPr>
    </w:p>
    <w:p w:rsidR="00A95855" w:rsidRPr="007B03DE" w:rsidRDefault="007B03DE" w:rsidP="00CD23B3">
      <w:pPr>
        <w:pStyle w:val="ListParagraph"/>
        <w:tabs>
          <w:tab w:val="left" w:pos="6804"/>
        </w:tabs>
        <w:ind w:left="0"/>
        <w:jc w:val="both"/>
        <w:rPr>
          <w:sz w:val="28"/>
          <w:szCs w:val="28"/>
        </w:rPr>
      </w:pPr>
      <w:r w:rsidRPr="007B03DE">
        <w:rPr>
          <w:bCs/>
          <w:sz w:val="28"/>
          <w:szCs w:val="28"/>
        </w:rPr>
        <w:t>Veselības ministr</w:t>
      </w:r>
      <w:r w:rsidR="00CD23B3">
        <w:rPr>
          <w:bCs/>
          <w:sz w:val="28"/>
          <w:szCs w:val="28"/>
        </w:rPr>
        <w:t>s</w:t>
      </w:r>
      <w:r w:rsidR="00CD23B3">
        <w:rPr>
          <w:bCs/>
          <w:sz w:val="28"/>
          <w:szCs w:val="28"/>
        </w:rPr>
        <w:tab/>
      </w:r>
      <w:r w:rsidR="00CD23B3">
        <w:rPr>
          <w:bCs/>
          <w:sz w:val="28"/>
          <w:szCs w:val="28"/>
        </w:rPr>
        <w:tab/>
        <w:t xml:space="preserve">     G</w:t>
      </w:r>
      <w:r w:rsidR="00A95855" w:rsidRPr="007B03DE">
        <w:rPr>
          <w:bCs/>
          <w:sz w:val="28"/>
          <w:szCs w:val="28"/>
        </w:rPr>
        <w:t xml:space="preserve">. </w:t>
      </w:r>
      <w:r w:rsidR="00CD23B3">
        <w:rPr>
          <w:bCs/>
          <w:sz w:val="28"/>
          <w:szCs w:val="28"/>
        </w:rPr>
        <w:t>Belēvičs</w:t>
      </w:r>
    </w:p>
    <w:p w:rsidR="00A95855" w:rsidRDefault="00A95855"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Default="007242C6" w:rsidP="00A95855">
      <w:pPr>
        <w:pStyle w:val="ListParagraph"/>
        <w:tabs>
          <w:tab w:val="left" w:pos="3735"/>
        </w:tabs>
        <w:ind w:left="0"/>
        <w:jc w:val="both"/>
      </w:pPr>
    </w:p>
    <w:p w:rsidR="007242C6" w:rsidRPr="007B03DE" w:rsidRDefault="007242C6" w:rsidP="00A95855">
      <w:pPr>
        <w:pStyle w:val="ListParagraph"/>
        <w:tabs>
          <w:tab w:val="left" w:pos="3735"/>
        </w:tabs>
        <w:ind w:left="0"/>
        <w:jc w:val="both"/>
      </w:pPr>
    </w:p>
    <w:p w:rsidR="00A95855" w:rsidRPr="007B03DE" w:rsidRDefault="00A95855" w:rsidP="00A95855">
      <w:pPr>
        <w:pStyle w:val="ListParagraph"/>
        <w:tabs>
          <w:tab w:val="left" w:pos="3735"/>
        </w:tabs>
        <w:ind w:left="0"/>
        <w:jc w:val="both"/>
        <w:rPr>
          <w:sz w:val="20"/>
          <w:szCs w:val="20"/>
        </w:rPr>
      </w:pPr>
    </w:p>
    <w:p w:rsidR="00A95855" w:rsidRPr="007B03DE" w:rsidRDefault="00AA03D0" w:rsidP="00A95855">
      <w:pPr>
        <w:pStyle w:val="ListParagraph"/>
        <w:tabs>
          <w:tab w:val="left" w:pos="3735"/>
        </w:tabs>
        <w:ind w:left="0"/>
        <w:jc w:val="both"/>
        <w:rPr>
          <w:sz w:val="20"/>
          <w:szCs w:val="20"/>
        </w:rPr>
      </w:pPr>
      <w:r>
        <w:rPr>
          <w:sz w:val="20"/>
          <w:szCs w:val="20"/>
        </w:rPr>
        <w:t>23</w:t>
      </w:r>
      <w:r w:rsidR="00F4216A">
        <w:rPr>
          <w:sz w:val="20"/>
          <w:szCs w:val="20"/>
        </w:rPr>
        <w:t>.0</w:t>
      </w:r>
      <w:r w:rsidR="00F66D22">
        <w:rPr>
          <w:sz w:val="20"/>
          <w:szCs w:val="20"/>
        </w:rPr>
        <w:t>3</w:t>
      </w:r>
      <w:r w:rsidR="00F4216A">
        <w:rPr>
          <w:sz w:val="20"/>
          <w:szCs w:val="20"/>
        </w:rPr>
        <w:t>.2015. 1</w:t>
      </w:r>
      <w:r>
        <w:rPr>
          <w:sz w:val="20"/>
          <w:szCs w:val="20"/>
        </w:rPr>
        <w:t>1</w:t>
      </w:r>
      <w:r w:rsidR="00D21D4A">
        <w:rPr>
          <w:sz w:val="20"/>
          <w:szCs w:val="20"/>
        </w:rPr>
        <w:t>:</w:t>
      </w:r>
      <w:r>
        <w:rPr>
          <w:sz w:val="20"/>
          <w:szCs w:val="20"/>
        </w:rPr>
        <w:t>12</w:t>
      </w:r>
    </w:p>
    <w:p w:rsidR="00A95855" w:rsidRPr="007B03DE" w:rsidRDefault="00AA03D0" w:rsidP="00A95855">
      <w:pPr>
        <w:pStyle w:val="ListParagraph"/>
        <w:ind w:left="0"/>
        <w:jc w:val="both"/>
        <w:rPr>
          <w:sz w:val="20"/>
          <w:szCs w:val="20"/>
        </w:rPr>
      </w:pPr>
      <w:r>
        <w:rPr>
          <w:sz w:val="20"/>
          <w:szCs w:val="20"/>
        </w:rPr>
        <w:t>1768</w:t>
      </w:r>
    </w:p>
    <w:p w:rsidR="007B03DE" w:rsidRPr="007B03DE" w:rsidRDefault="007B03DE" w:rsidP="007B03DE">
      <w:pPr>
        <w:pStyle w:val="ListParagraph"/>
        <w:ind w:left="0"/>
        <w:jc w:val="both"/>
        <w:rPr>
          <w:sz w:val="20"/>
          <w:szCs w:val="20"/>
        </w:rPr>
      </w:pPr>
      <w:r w:rsidRPr="007B03DE">
        <w:rPr>
          <w:sz w:val="20"/>
          <w:szCs w:val="20"/>
        </w:rPr>
        <w:t>V. Lūsa</w:t>
      </w:r>
    </w:p>
    <w:p w:rsidR="007B03DE" w:rsidRPr="007B03DE" w:rsidRDefault="007B03DE" w:rsidP="007B03DE">
      <w:pPr>
        <w:pStyle w:val="ListParagraph"/>
        <w:ind w:left="0"/>
      </w:pPr>
      <w:r w:rsidRPr="007B03DE">
        <w:rPr>
          <w:sz w:val="20"/>
          <w:szCs w:val="20"/>
        </w:rPr>
        <w:t>67876099; vieda.lusa@vm.gov.lv</w:t>
      </w:r>
    </w:p>
    <w:sectPr w:rsidR="007B03DE" w:rsidRPr="007B03DE" w:rsidSect="001A2287">
      <w:headerReference w:type="default" r:id="rId8"/>
      <w:footerReference w:type="default" r:id="rId9"/>
      <w:headerReference w:type="first" r:id="rId10"/>
      <w:footerReference w:type="first" r:id="rId11"/>
      <w:pgSz w:w="11906" w:h="16838" w:code="9"/>
      <w:pgMar w:top="1418" w:right="1134" w:bottom="141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6D" w:rsidRDefault="008E516D" w:rsidP="00A95855">
      <w:pPr>
        <w:spacing w:after="0" w:line="240" w:lineRule="auto"/>
      </w:pPr>
      <w:r>
        <w:separator/>
      </w:r>
    </w:p>
  </w:endnote>
  <w:endnote w:type="continuationSeparator" w:id="0">
    <w:p w:rsidR="008E516D" w:rsidRDefault="008E516D" w:rsidP="00A95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6D" w:rsidRDefault="001D74E3" w:rsidP="001A2287">
    <w:pPr>
      <w:pStyle w:val="NoSpacing"/>
      <w:jc w:val="both"/>
    </w:pPr>
    <w:r>
      <w:t>VManot_23</w:t>
    </w:r>
    <w:r w:rsidR="008E516D">
      <w:t>0315_dop</w:t>
    </w:r>
    <w:r w:rsidR="008E516D" w:rsidRPr="006E333A">
      <w:t xml:space="preserve">;  </w:t>
    </w:r>
    <w:r w:rsidR="008E516D" w:rsidRPr="000F69D2">
      <w:t>Ministru kabineta noteikumu projekta „Grozījum</w:t>
    </w:r>
    <w:r w:rsidR="008E516D">
      <w:t>i</w:t>
    </w:r>
    <w:r w:rsidR="008E516D" w:rsidRPr="000F69D2">
      <w:t xml:space="preserve"> 2011.</w:t>
    </w:r>
    <w:r w:rsidR="008E516D">
      <w:t xml:space="preserve"> </w:t>
    </w:r>
    <w:r w:rsidR="008E516D" w:rsidRPr="000F69D2">
      <w:t>gada 19.</w:t>
    </w:r>
    <w:r w:rsidR="008E516D">
      <w:t xml:space="preserve"> </w:t>
    </w:r>
    <w:r w:rsidR="008E516D" w:rsidRPr="000F69D2">
      <w:t>oktobra Ministru kabineta noteikumos Nr. 820 „Dopinga kontroles kārtība”</w:t>
    </w:r>
    <w:r w:rsidR="008E516D" w:rsidRPr="000F69D2">
      <w:rPr>
        <w:bCs/>
      </w:rPr>
      <w:t xml:space="preserve">” sākotnējās ietekmes novērtējuma </w:t>
    </w:r>
    <w:smartTag w:uri="schemas-tilde-lv/tildestengine" w:element="currency2">
      <w:smartTagPr>
        <w:attr w:name="id" w:val="-1"/>
        <w:attr w:name="baseform" w:val="ziņojums"/>
        <w:attr w:name="text" w:val="ziņojums"/>
      </w:smartTagPr>
      <w:r w:rsidR="008E516D" w:rsidRPr="000F69D2">
        <w:rPr>
          <w:bCs/>
        </w:rPr>
        <w:t>ziņojums</w:t>
      </w:r>
    </w:smartTag>
    <w:r w:rsidR="008E516D" w:rsidRPr="000F69D2">
      <w:rPr>
        <w:bCs/>
      </w:rPr>
      <w:t xml:space="preserve"> (</w:t>
    </w:r>
    <w:r w:rsidR="008E516D" w:rsidRPr="000F69D2">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6D" w:rsidRDefault="008E516D" w:rsidP="000179D2">
    <w:pPr>
      <w:pStyle w:val="NoSpacing"/>
      <w:jc w:val="both"/>
    </w:pPr>
    <w:r>
      <w:t>VManot_</w:t>
    </w:r>
    <w:r w:rsidR="001D74E3">
      <w:t>23</w:t>
    </w:r>
    <w:r>
      <w:t>0315_dop</w:t>
    </w:r>
    <w:r w:rsidRPr="006E333A">
      <w:t xml:space="preserve">;  </w:t>
    </w:r>
    <w:r w:rsidRPr="000F69D2">
      <w:t>Ministru kabineta noteikumu projekta „Grozījum</w:t>
    </w:r>
    <w:r>
      <w:t>i</w:t>
    </w:r>
    <w:r w:rsidRPr="000F69D2">
      <w:t xml:space="preserve"> 2011.</w:t>
    </w:r>
    <w:r>
      <w:t xml:space="preserve"> </w:t>
    </w:r>
    <w:r w:rsidRPr="000F69D2">
      <w:t>gada 19.</w:t>
    </w:r>
    <w:r>
      <w:t xml:space="preserve"> </w:t>
    </w:r>
    <w:r w:rsidRPr="000F69D2">
      <w:t>oktobra Ministru kabineta noteikumos Nr. 820 „Dopinga kontroles kārtība”</w:t>
    </w:r>
    <w:r w:rsidRPr="000F69D2">
      <w:rPr>
        <w:bCs/>
      </w:rPr>
      <w:t xml:space="preserve">” sākotnējās ietekmes novērtējuma </w:t>
    </w:r>
    <w:smartTag w:uri="schemas-tilde-lv/tildestengine" w:element="currency2">
      <w:smartTagPr>
        <w:attr w:name="id" w:val="-1"/>
        <w:attr w:name="baseform" w:val="ziņojums"/>
        <w:attr w:name="text" w:val="ziņojums"/>
      </w:smartTagPr>
      <w:r w:rsidRPr="000F69D2">
        <w:rPr>
          <w:bCs/>
        </w:rPr>
        <w:t>ziņojums</w:t>
      </w:r>
    </w:smartTag>
    <w:r w:rsidRPr="000F69D2">
      <w:rPr>
        <w:bCs/>
      </w:rPr>
      <w:t xml:space="preserve"> (</w:t>
    </w:r>
    <w:r w:rsidRPr="000F69D2">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6D" w:rsidRDefault="008E516D" w:rsidP="00A95855">
      <w:pPr>
        <w:spacing w:after="0" w:line="240" w:lineRule="auto"/>
      </w:pPr>
      <w:r>
        <w:separator/>
      </w:r>
    </w:p>
  </w:footnote>
  <w:footnote w:type="continuationSeparator" w:id="0">
    <w:p w:rsidR="008E516D" w:rsidRDefault="008E516D" w:rsidP="00A95855">
      <w:pPr>
        <w:spacing w:after="0" w:line="240" w:lineRule="auto"/>
      </w:pPr>
      <w:r>
        <w:continuationSeparator/>
      </w:r>
    </w:p>
  </w:footnote>
  <w:footnote w:id="1">
    <w:p w:rsidR="008E516D" w:rsidRDefault="008E516D" w:rsidP="001347BB">
      <w:pPr>
        <w:pStyle w:val="FootnoteText"/>
        <w:jc w:val="both"/>
        <w:rPr>
          <w:rFonts w:ascii="Times New Roman" w:hAnsi="Times New Roman"/>
        </w:rPr>
      </w:pPr>
      <w:r w:rsidRPr="00F17F3E">
        <w:rPr>
          <w:rStyle w:val="FootnoteReference"/>
          <w:rFonts w:ascii="Times New Roman" w:hAnsi="Times New Roman"/>
        </w:rPr>
        <w:footnoteRef/>
      </w:r>
      <w:r w:rsidRPr="00F17F3E">
        <w:rPr>
          <w:rFonts w:ascii="Times New Roman" w:hAnsi="Times New Roman"/>
        </w:rPr>
        <w:t xml:space="preserve"> </w:t>
      </w:r>
      <w:r>
        <w:rPr>
          <w:rFonts w:ascii="Times New Roman" w:hAnsi="Times New Roman"/>
        </w:rPr>
        <w:t xml:space="preserve">TUE standarts latviešu valodā („Terapeitiskās lietošanas atļaujas starptautiskais standarts”, 2015); </w:t>
      </w:r>
    </w:p>
    <w:p w:rsidR="008E516D" w:rsidRDefault="008E516D" w:rsidP="001347BB">
      <w:pPr>
        <w:pStyle w:val="FootnoteText"/>
        <w:jc w:val="both"/>
        <w:rPr>
          <w:rFonts w:ascii="Times New Roman" w:hAnsi="Times New Roman"/>
        </w:rPr>
      </w:pPr>
      <w:r w:rsidRPr="002D27BA">
        <w:rPr>
          <w:rFonts w:ascii="Times New Roman" w:hAnsi="Times New Roman"/>
        </w:rPr>
        <w:t>http://www.antidopings.lv/uploads/Noteikumi/WADC_ISTUE_2015_LV.pdf</w:t>
      </w:r>
    </w:p>
    <w:p w:rsidR="008E516D" w:rsidRPr="00984802" w:rsidRDefault="008E516D" w:rsidP="001347BB">
      <w:pPr>
        <w:pStyle w:val="FootnoteText"/>
        <w:jc w:val="both"/>
        <w:rPr>
          <w:rFonts w:ascii="Times New Roman" w:hAnsi="Times New Roman"/>
        </w:rPr>
      </w:pPr>
      <w:r>
        <w:rPr>
          <w:rFonts w:ascii="Times New Roman" w:hAnsi="Times New Roman"/>
        </w:rPr>
        <w:t xml:space="preserve">TUE standarts angļu valodā </w:t>
      </w:r>
      <w:r w:rsidRPr="00984802">
        <w:rPr>
          <w:rFonts w:ascii="Times New Roman" w:hAnsi="Times New Roman"/>
        </w:rPr>
        <w:t>(</w:t>
      </w:r>
      <w:r w:rsidRPr="000F3511">
        <w:rPr>
          <w:rFonts w:ascii="Times New Roman" w:hAnsi="Times New Roman"/>
          <w:i/>
          <w:lang w:val="en-GB"/>
        </w:rPr>
        <w:t>World Anti-doping code International Standard „Therapeutic Use Exemptions”</w:t>
      </w:r>
      <w:r w:rsidRPr="00984802">
        <w:rPr>
          <w:rFonts w:ascii="Times New Roman" w:hAnsi="Times New Roman"/>
        </w:rPr>
        <w:t>, 2015)</w:t>
      </w:r>
      <w:r>
        <w:rPr>
          <w:rFonts w:ascii="Times New Roman" w:hAnsi="Times New Roman"/>
        </w:rPr>
        <w:t>;</w:t>
      </w:r>
    </w:p>
    <w:p w:rsidR="008E516D" w:rsidRPr="00F17F3E" w:rsidRDefault="008E516D" w:rsidP="001347BB">
      <w:pPr>
        <w:pStyle w:val="FootnoteText"/>
        <w:jc w:val="both"/>
        <w:rPr>
          <w:rFonts w:ascii="Times New Roman" w:hAnsi="Times New Roman"/>
        </w:rPr>
      </w:pPr>
      <w:r w:rsidRPr="00984802">
        <w:rPr>
          <w:rFonts w:ascii="Times New Roman" w:hAnsi="Times New Roman"/>
        </w:rPr>
        <w:t>https://wada-main-prod.s3.amazonaws.com/resources/files/WADA-2015-ISTUE-Final-EN.pdf</w:t>
      </w:r>
    </w:p>
  </w:footnote>
  <w:footnote w:id="2">
    <w:p w:rsidR="008E516D" w:rsidRPr="00BE5FBC" w:rsidRDefault="008E516D">
      <w:pPr>
        <w:pStyle w:val="FootnoteText"/>
        <w:rPr>
          <w:rFonts w:ascii="Times New Roman" w:hAnsi="Times New Roman"/>
        </w:rPr>
      </w:pPr>
      <w:r w:rsidRPr="00BE5FBC">
        <w:rPr>
          <w:rStyle w:val="FootnoteReference"/>
          <w:rFonts w:ascii="Times New Roman" w:hAnsi="Times New Roman"/>
        </w:rPr>
        <w:footnoteRef/>
      </w:r>
      <w:r w:rsidRPr="00BE5FBC">
        <w:rPr>
          <w:rFonts w:ascii="Times New Roman" w:hAnsi="Times New Roman"/>
        </w:rPr>
        <w:t xml:space="preserve"> T</w:t>
      </w:r>
      <w:r>
        <w:rPr>
          <w:rFonts w:ascii="Times New Roman" w:hAnsi="Times New Roman"/>
        </w:rPr>
        <w:t>erapeitiskās lietošanas izņēmumu piešķiršanas (TUE) k</w:t>
      </w:r>
      <w:r w:rsidRPr="00BE5FBC">
        <w:rPr>
          <w:rFonts w:ascii="Times New Roman" w:hAnsi="Times New Roman"/>
        </w:rPr>
        <w:t>omisijas nolikums</w:t>
      </w:r>
      <w:r>
        <w:rPr>
          <w:rFonts w:ascii="Times New Roman" w:hAnsi="Times New Roman"/>
        </w:rPr>
        <w:t>;</w:t>
      </w:r>
      <w:r w:rsidRPr="00BE5FBC">
        <w:rPr>
          <w:rFonts w:ascii="Times New Roman" w:hAnsi="Times New Roman"/>
        </w:rPr>
        <w:t xml:space="preserve"> http://www.antidopings.lv/tue/tuenolikums/</w:t>
      </w:r>
    </w:p>
  </w:footnote>
  <w:footnote w:id="3">
    <w:p w:rsidR="008E516D" w:rsidRPr="00CB35F6" w:rsidRDefault="008E516D" w:rsidP="005F5BCB">
      <w:pPr>
        <w:pStyle w:val="FootnoteText"/>
        <w:rPr>
          <w:rFonts w:ascii="Times New Roman" w:hAnsi="Times New Roman"/>
        </w:rPr>
      </w:pPr>
      <w:r w:rsidRPr="00CB35F6">
        <w:rPr>
          <w:rStyle w:val="FootnoteReference"/>
          <w:rFonts w:ascii="Times New Roman" w:hAnsi="Times New Roman"/>
        </w:rPr>
        <w:footnoteRef/>
      </w:r>
      <w:r w:rsidRPr="00CB35F6">
        <w:rPr>
          <w:rFonts w:ascii="Times New Roman" w:hAnsi="Times New Roman"/>
        </w:rPr>
        <w:t xml:space="preserve"> Eiropas Padomes 1989. gada 16. novembra Antidopinga konvencijas </w:t>
      </w:r>
      <w:r>
        <w:rPr>
          <w:rFonts w:ascii="Times New Roman" w:hAnsi="Times New Roman"/>
        </w:rPr>
        <w:t xml:space="preserve">Nr. 135 </w:t>
      </w:r>
      <w:r w:rsidRPr="00CB35F6">
        <w:rPr>
          <w:rFonts w:ascii="Times New Roman" w:hAnsi="Times New Roman"/>
        </w:rPr>
        <w:t>pielikums – 2015. gada Aizliegtais saraksts</w:t>
      </w:r>
      <w:r>
        <w:rPr>
          <w:rFonts w:ascii="Times New Roman" w:hAnsi="Times New Roman"/>
        </w:rPr>
        <w:t>;</w:t>
      </w:r>
      <w:r w:rsidRPr="00CB35F6">
        <w:rPr>
          <w:rFonts w:ascii="Times New Roman" w:hAnsi="Times New Roman"/>
        </w:rPr>
        <w:t xml:space="preserve"> http://conventions.coe.int/Treaty/en/Treaties/Html/135-2015.htm</w:t>
      </w:r>
    </w:p>
  </w:footnote>
  <w:footnote w:id="4">
    <w:p w:rsidR="008E516D" w:rsidRPr="00A73D61" w:rsidRDefault="008E516D" w:rsidP="005F5BCB">
      <w:pPr>
        <w:pStyle w:val="NoSpacing"/>
        <w:jc w:val="both"/>
        <w:rPr>
          <w:sz w:val="20"/>
          <w:szCs w:val="20"/>
        </w:rPr>
      </w:pPr>
      <w:r w:rsidRPr="00A73D61">
        <w:rPr>
          <w:sz w:val="20"/>
          <w:szCs w:val="20"/>
          <w:vertAlign w:val="superscript"/>
        </w:rPr>
        <w:footnoteRef/>
      </w:r>
      <w:r w:rsidRPr="00A73D61">
        <w:rPr>
          <w:sz w:val="20"/>
          <w:szCs w:val="20"/>
        </w:rPr>
        <w:t xml:space="preserve"> 2011. gada 27. decembra Antidopinga pasākumu metodiskie norādījumi Nr. 1-5/4</w:t>
      </w:r>
      <w:r>
        <w:rPr>
          <w:sz w:val="20"/>
          <w:szCs w:val="20"/>
        </w:rPr>
        <w:t>;</w:t>
      </w:r>
      <w:r w:rsidRPr="00A73D61">
        <w:rPr>
          <w:sz w:val="20"/>
          <w:szCs w:val="20"/>
        </w:rPr>
        <w:t xml:space="preserve"> http://antidopings.lv/uploads/2012/SMVA_Antidopinga_noradijumi/SMVA_Antidoping_LAT_met_noradijumi.pdf</w:t>
      </w:r>
    </w:p>
  </w:footnote>
  <w:footnote w:id="5">
    <w:p w:rsidR="008E516D" w:rsidRPr="00B8646A" w:rsidRDefault="008E516D" w:rsidP="005F5BCB">
      <w:pPr>
        <w:pStyle w:val="FootnoteText"/>
        <w:jc w:val="both"/>
        <w:rPr>
          <w:rFonts w:ascii="Times New Roman" w:hAnsi="Times New Roman"/>
        </w:rPr>
      </w:pPr>
      <w:r w:rsidRPr="00B8646A">
        <w:rPr>
          <w:rStyle w:val="FootnoteReference"/>
          <w:rFonts w:ascii="Times New Roman" w:hAnsi="Times New Roman"/>
        </w:rPr>
        <w:footnoteRef/>
      </w:r>
      <w:r w:rsidRPr="00B8646A">
        <w:rPr>
          <w:rFonts w:ascii="Times New Roman" w:hAnsi="Times New Roman"/>
        </w:rPr>
        <w:t xml:space="preserve"> Latvijas Sporta federāciju padomes Komisijas (t.sk. LSFP Strīdu izskatīšanas (Apelācijas) komisija)</w:t>
      </w:r>
      <w:r>
        <w:rPr>
          <w:rFonts w:ascii="Times New Roman" w:hAnsi="Times New Roman"/>
        </w:rPr>
        <w:t>;</w:t>
      </w:r>
      <w:r w:rsidRPr="00B8646A">
        <w:rPr>
          <w:rFonts w:ascii="Times New Roman" w:hAnsi="Times New Roman"/>
        </w:rPr>
        <w:t xml:space="preserve"> http://www.lsfp.lv/lsfp/komisijas</w:t>
      </w:r>
    </w:p>
  </w:footnote>
  <w:footnote w:id="6">
    <w:p w:rsidR="008E516D" w:rsidRDefault="008E516D" w:rsidP="005F5BCB">
      <w:pPr>
        <w:pStyle w:val="FootnoteText"/>
        <w:jc w:val="both"/>
      </w:pPr>
      <w:r w:rsidRPr="00B8646A">
        <w:rPr>
          <w:rStyle w:val="FootnoteReference"/>
          <w:rFonts w:ascii="Times New Roman" w:hAnsi="Times New Roman"/>
        </w:rPr>
        <w:footnoteRef/>
      </w:r>
      <w:r w:rsidRPr="00B8646A">
        <w:rPr>
          <w:rFonts w:ascii="Times New Roman" w:hAnsi="Times New Roman"/>
        </w:rPr>
        <w:t xml:space="preserve"> Latvijas Sporta federāciju padomes statūti</w:t>
      </w:r>
      <w:r>
        <w:rPr>
          <w:rFonts w:ascii="Times New Roman" w:hAnsi="Times New Roman"/>
        </w:rPr>
        <w:t>;</w:t>
      </w:r>
      <w:r w:rsidRPr="00B8646A">
        <w:rPr>
          <w:rFonts w:ascii="Times New Roman" w:hAnsi="Times New Roman"/>
        </w:rPr>
        <w:t xml:space="preserve"> http://www.lsfp.lv/lsfp/statuti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6D" w:rsidRPr="00291CDE" w:rsidRDefault="008E516D">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AA03D0">
      <w:rPr>
        <w:rFonts w:ascii="Times New Roman" w:hAnsi="Times New Roman"/>
        <w:noProof/>
        <w:sz w:val="24"/>
        <w:szCs w:val="24"/>
      </w:rPr>
      <w:t>9</w:t>
    </w:r>
    <w:r w:rsidRPr="00291CDE">
      <w:rPr>
        <w:rFonts w:ascii="Times New Roman" w:hAnsi="Times New Roman"/>
        <w:sz w:val="24"/>
        <w:szCs w:val="24"/>
      </w:rPr>
      <w:fldChar w:fldCharType="end"/>
    </w:r>
  </w:p>
  <w:p w:rsidR="008E516D" w:rsidRDefault="008E51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6D" w:rsidRDefault="008E516D">
    <w:pPr>
      <w:pStyle w:val="Header"/>
      <w:jc w:val="center"/>
    </w:pPr>
  </w:p>
  <w:p w:rsidR="008E516D" w:rsidRDefault="008E5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nsid w:val="14204234"/>
    <w:multiLevelType w:val="hybridMultilevel"/>
    <w:tmpl w:val="C0BC6E5E"/>
    <w:lvl w:ilvl="0" w:tplc="828E14BA">
      <w:start w:val="2"/>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5">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748449A8"/>
    <w:multiLevelType w:val="hybridMultilevel"/>
    <w:tmpl w:val="E80E06A4"/>
    <w:lvl w:ilvl="0" w:tplc="17D6B868">
      <w:start w:val="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5"/>
  </w:num>
  <w:num w:numId="6">
    <w:abstractNumId w:val="0"/>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5855"/>
    <w:rsid w:val="000179D2"/>
    <w:rsid w:val="00034914"/>
    <w:rsid w:val="000403FF"/>
    <w:rsid w:val="000709AB"/>
    <w:rsid w:val="00073871"/>
    <w:rsid w:val="00092E0B"/>
    <w:rsid w:val="000A3F99"/>
    <w:rsid w:val="000A4BD2"/>
    <w:rsid w:val="000C0840"/>
    <w:rsid w:val="000C745D"/>
    <w:rsid w:val="000E1880"/>
    <w:rsid w:val="000F3511"/>
    <w:rsid w:val="00120216"/>
    <w:rsid w:val="001220F4"/>
    <w:rsid w:val="001347BB"/>
    <w:rsid w:val="00161723"/>
    <w:rsid w:val="00185D63"/>
    <w:rsid w:val="001A2287"/>
    <w:rsid w:val="001D3312"/>
    <w:rsid w:val="001D74E3"/>
    <w:rsid w:val="001E739D"/>
    <w:rsid w:val="001F72E7"/>
    <w:rsid w:val="0020541F"/>
    <w:rsid w:val="002251DB"/>
    <w:rsid w:val="00233478"/>
    <w:rsid w:val="0024406B"/>
    <w:rsid w:val="00266227"/>
    <w:rsid w:val="00272DCC"/>
    <w:rsid w:val="00284FC5"/>
    <w:rsid w:val="002A21C9"/>
    <w:rsid w:val="002A3537"/>
    <w:rsid w:val="002A3A80"/>
    <w:rsid w:val="002C377A"/>
    <w:rsid w:val="002D27BA"/>
    <w:rsid w:val="002D4768"/>
    <w:rsid w:val="002F6609"/>
    <w:rsid w:val="00301EA4"/>
    <w:rsid w:val="00307790"/>
    <w:rsid w:val="00317611"/>
    <w:rsid w:val="00337905"/>
    <w:rsid w:val="003643AA"/>
    <w:rsid w:val="0038483D"/>
    <w:rsid w:val="003878D5"/>
    <w:rsid w:val="00395624"/>
    <w:rsid w:val="003C16CE"/>
    <w:rsid w:val="003D3428"/>
    <w:rsid w:val="003F0AB5"/>
    <w:rsid w:val="003F47E6"/>
    <w:rsid w:val="00413F83"/>
    <w:rsid w:val="00436914"/>
    <w:rsid w:val="00452BB6"/>
    <w:rsid w:val="00472A3F"/>
    <w:rsid w:val="0047329B"/>
    <w:rsid w:val="004B67BD"/>
    <w:rsid w:val="004B69E7"/>
    <w:rsid w:val="004D5F3C"/>
    <w:rsid w:val="004E46A8"/>
    <w:rsid w:val="004E7455"/>
    <w:rsid w:val="00510D8A"/>
    <w:rsid w:val="00514D19"/>
    <w:rsid w:val="00534BEC"/>
    <w:rsid w:val="00566234"/>
    <w:rsid w:val="005C2FC0"/>
    <w:rsid w:val="005D31A1"/>
    <w:rsid w:val="005F5BCB"/>
    <w:rsid w:val="0060470E"/>
    <w:rsid w:val="006116C8"/>
    <w:rsid w:val="0063257B"/>
    <w:rsid w:val="00633BC2"/>
    <w:rsid w:val="00637D57"/>
    <w:rsid w:val="0064184D"/>
    <w:rsid w:val="0064218F"/>
    <w:rsid w:val="00643E75"/>
    <w:rsid w:val="0065385A"/>
    <w:rsid w:val="006701EA"/>
    <w:rsid w:val="00677C80"/>
    <w:rsid w:val="00683303"/>
    <w:rsid w:val="00691860"/>
    <w:rsid w:val="006A037E"/>
    <w:rsid w:val="006B1566"/>
    <w:rsid w:val="006D5F28"/>
    <w:rsid w:val="007242C6"/>
    <w:rsid w:val="00747D07"/>
    <w:rsid w:val="00780B90"/>
    <w:rsid w:val="00787ACE"/>
    <w:rsid w:val="00790234"/>
    <w:rsid w:val="007A569A"/>
    <w:rsid w:val="007B03DE"/>
    <w:rsid w:val="007C13CA"/>
    <w:rsid w:val="008015DB"/>
    <w:rsid w:val="00840D44"/>
    <w:rsid w:val="00865D94"/>
    <w:rsid w:val="0086720B"/>
    <w:rsid w:val="00872151"/>
    <w:rsid w:val="008815C1"/>
    <w:rsid w:val="008C0060"/>
    <w:rsid w:val="008D0C6C"/>
    <w:rsid w:val="008E516D"/>
    <w:rsid w:val="00905B24"/>
    <w:rsid w:val="009202B5"/>
    <w:rsid w:val="00924972"/>
    <w:rsid w:val="00934AD8"/>
    <w:rsid w:val="00935BAF"/>
    <w:rsid w:val="009452B5"/>
    <w:rsid w:val="009464BE"/>
    <w:rsid w:val="00952F9C"/>
    <w:rsid w:val="00956886"/>
    <w:rsid w:val="009605EE"/>
    <w:rsid w:val="0096442B"/>
    <w:rsid w:val="00966B49"/>
    <w:rsid w:val="009850BC"/>
    <w:rsid w:val="0099235F"/>
    <w:rsid w:val="00996F2C"/>
    <w:rsid w:val="009A2526"/>
    <w:rsid w:val="009B341B"/>
    <w:rsid w:val="009B487A"/>
    <w:rsid w:val="009B5CA6"/>
    <w:rsid w:val="009F647A"/>
    <w:rsid w:val="00A07713"/>
    <w:rsid w:val="00A10E38"/>
    <w:rsid w:val="00A528B7"/>
    <w:rsid w:val="00A63A53"/>
    <w:rsid w:val="00A64B4D"/>
    <w:rsid w:val="00A72D06"/>
    <w:rsid w:val="00A72E7F"/>
    <w:rsid w:val="00A778E9"/>
    <w:rsid w:val="00A81220"/>
    <w:rsid w:val="00A95855"/>
    <w:rsid w:val="00A95B32"/>
    <w:rsid w:val="00A97B20"/>
    <w:rsid w:val="00AA03D0"/>
    <w:rsid w:val="00AA2854"/>
    <w:rsid w:val="00AA68C3"/>
    <w:rsid w:val="00AB4595"/>
    <w:rsid w:val="00AD2AEF"/>
    <w:rsid w:val="00B01408"/>
    <w:rsid w:val="00B067A8"/>
    <w:rsid w:val="00B12E99"/>
    <w:rsid w:val="00B426B9"/>
    <w:rsid w:val="00B52387"/>
    <w:rsid w:val="00B85D61"/>
    <w:rsid w:val="00B8646A"/>
    <w:rsid w:val="00BA2993"/>
    <w:rsid w:val="00BC72A2"/>
    <w:rsid w:val="00BD160A"/>
    <w:rsid w:val="00BD1AD3"/>
    <w:rsid w:val="00BD5DE7"/>
    <w:rsid w:val="00BE420B"/>
    <w:rsid w:val="00BE5FBC"/>
    <w:rsid w:val="00C44523"/>
    <w:rsid w:val="00C5115B"/>
    <w:rsid w:val="00C67E79"/>
    <w:rsid w:val="00CB639B"/>
    <w:rsid w:val="00CD23B3"/>
    <w:rsid w:val="00CE5202"/>
    <w:rsid w:val="00CF4828"/>
    <w:rsid w:val="00D128FD"/>
    <w:rsid w:val="00D17F74"/>
    <w:rsid w:val="00D20C2F"/>
    <w:rsid w:val="00D21D4A"/>
    <w:rsid w:val="00D2442D"/>
    <w:rsid w:val="00D33061"/>
    <w:rsid w:val="00D50E36"/>
    <w:rsid w:val="00D56CDD"/>
    <w:rsid w:val="00D73A67"/>
    <w:rsid w:val="00DA6462"/>
    <w:rsid w:val="00DB0A3D"/>
    <w:rsid w:val="00DD38C8"/>
    <w:rsid w:val="00DE35ED"/>
    <w:rsid w:val="00DE66EF"/>
    <w:rsid w:val="00E0197B"/>
    <w:rsid w:val="00E11845"/>
    <w:rsid w:val="00E21ED0"/>
    <w:rsid w:val="00E2251A"/>
    <w:rsid w:val="00E25FAB"/>
    <w:rsid w:val="00E3553F"/>
    <w:rsid w:val="00E41115"/>
    <w:rsid w:val="00E462D4"/>
    <w:rsid w:val="00E81C89"/>
    <w:rsid w:val="00E9245D"/>
    <w:rsid w:val="00EB5669"/>
    <w:rsid w:val="00EC11B2"/>
    <w:rsid w:val="00EC2BD2"/>
    <w:rsid w:val="00EC6355"/>
    <w:rsid w:val="00EC6ECA"/>
    <w:rsid w:val="00ED6D58"/>
    <w:rsid w:val="00EF0AB2"/>
    <w:rsid w:val="00F138A5"/>
    <w:rsid w:val="00F17F3E"/>
    <w:rsid w:val="00F2778C"/>
    <w:rsid w:val="00F414CA"/>
    <w:rsid w:val="00F4216A"/>
    <w:rsid w:val="00F46325"/>
    <w:rsid w:val="00F5616C"/>
    <w:rsid w:val="00F66D22"/>
    <w:rsid w:val="00F7387E"/>
    <w:rsid w:val="00F94F04"/>
    <w:rsid w:val="00FC0D85"/>
    <w:rsid w:val="00FC37A4"/>
    <w:rsid w:val="00FE0B62"/>
    <w:rsid w:val="00FE387A"/>
    <w:rsid w:val="00FF735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55"/>
    <w:rPr>
      <w:rFonts w:ascii="Calibri" w:eastAsia="Calibri" w:hAnsi="Calibri"/>
      <w:sz w:val="22"/>
      <w:szCs w:val="22"/>
      <w:vertAlign w:val="baseline"/>
    </w:rPr>
  </w:style>
  <w:style w:type="paragraph" w:styleId="Heading1">
    <w:name w:val="heading 1"/>
    <w:basedOn w:val="Normal"/>
    <w:link w:val="Heading1Char"/>
    <w:uiPriority w:val="99"/>
    <w:qFormat/>
    <w:rsid w:val="00B8646A"/>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Footnote Reference Number,ftref"/>
    <w:basedOn w:val="DefaultParagraphFont"/>
    <w:uiPriority w:val="99"/>
    <w:rsid w:val="00A95855"/>
    <w:rPr>
      <w:rFonts w:cs="Times New Roman"/>
      <w:b/>
      <w:vertAlign w:val="superscript"/>
    </w:rPr>
  </w:style>
  <w:style w:type="paragraph" w:styleId="FootnoteText">
    <w:name w:val="footnote text"/>
    <w:aliases w:val="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Fußnote Char1,Footnote Char Char,Fußnote Char Char,Vēres teksts Char Char Char Char Char Char,Char Char Char Char Char Char Char Char Char Char Char Char Char,Reference Rakstz. Char Char Char Char Char Char Char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uiPriority w:val="99"/>
    <w:semiHidden/>
    <w:unhideWhenUsed/>
    <w:rsid w:val="00185D63"/>
    <w:rPr>
      <w:sz w:val="16"/>
      <w:szCs w:val="16"/>
    </w:rPr>
  </w:style>
  <w:style w:type="paragraph" w:styleId="CommentText">
    <w:name w:val="annotation text"/>
    <w:basedOn w:val="Normal"/>
    <w:link w:val="CommentTextChar"/>
    <w:uiPriority w:val="99"/>
    <w:semiHidden/>
    <w:unhideWhenUsed/>
    <w:rsid w:val="00185D63"/>
    <w:pPr>
      <w:spacing w:line="240" w:lineRule="auto"/>
    </w:pPr>
    <w:rPr>
      <w:sz w:val="20"/>
      <w:szCs w:val="20"/>
    </w:rPr>
  </w:style>
  <w:style w:type="character" w:customStyle="1" w:styleId="CommentTextChar">
    <w:name w:val="Comment Text Char"/>
    <w:basedOn w:val="DefaultParagraphFont"/>
    <w:link w:val="CommentText"/>
    <w:uiPriority w:val="99"/>
    <w:semiHidden/>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b/>
      <w:bCs/>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qFormat/>
    <w:rsid w:val="00AD2AEF"/>
    <w:rPr>
      <w:rFonts w:cs="Times New Roman"/>
      <w:b/>
      <w:bCs/>
    </w:rPr>
  </w:style>
  <w:style w:type="character" w:customStyle="1" w:styleId="Heading1Char">
    <w:name w:val="Heading 1 Char"/>
    <w:basedOn w:val="DefaultParagraphFont"/>
    <w:link w:val="Heading1"/>
    <w:uiPriority w:val="99"/>
    <w:rsid w:val="00B8646A"/>
    <w:rPr>
      <w:rFonts w:eastAsia="Times New Roman"/>
      <w:b/>
      <w:bCs/>
      <w:kern w:val="36"/>
      <w:sz w:val="48"/>
      <w:szCs w:val="48"/>
      <w:vertAlign w:val="baseline"/>
      <w:lang w:eastAsia="lv-LV"/>
    </w:rPr>
  </w:style>
  <w:style w:type="character" w:customStyle="1" w:styleId="NoSpacingChar">
    <w:name w:val="No Spacing Char"/>
    <w:link w:val="NoSpacing"/>
    <w:uiPriority w:val="99"/>
    <w:rsid w:val="00B8646A"/>
    <w:rPr>
      <w:rFonts w:eastAsia="Times New Roman"/>
      <w:sz w:val="24"/>
      <w:szCs w:val="24"/>
      <w:vertAlign w:val="baseline"/>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E7E35-C6FE-4AB4-ABB1-5A538148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8577</Words>
  <Characters>4890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 gada 19. oktobra noteikumos Nr. 820 „Dopinga kontroles kārtība”” sākotnējās ietekmes novērtējuma ziņojums (anotācija)</vt:lpstr>
    </vt:vector>
  </TitlesOfParts>
  <Company>Veselības ministrija</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19. oktobra noteikumos Nr. 820 „Dopinga kontroles kārtība”” sākotnējās ietekmes novērtējuma ziņojums (anotācija)</dc:title>
  <dc:subject>anotācija</dc:subject>
  <dc:creator>Vieda Lūsa</dc:creator>
  <dc:description>vieda.lusa@vm.gov.lv, tālr. 67876099</dc:description>
  <cp:lastModifiedBy>vlusa</cp:lastModifiedBy>
  <cp:revision>23</cp:revision>
  <cp:lastPrinted>2015-03-12T10:31:00Z</cp:lastPrinted>
  <dcterms:created xsi:type="dcterms:W3CDTF">2015-02-12T14:00:00Z</dcterms:created>
  <dcterms:modified xsi:type="dcterms:W3CDTF">2015-03-23T09:12:00Z</dcterms:modified>
</cp:coreProperties>
</file>