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953" w:rsidRDefault="00DC19FF" w:rsidP="009668E4">
      <w:pPr>
        <w:pStyle w:val="a"/>
        <w:spacing w:before="0" w:beforeAutospacing="0" w:after="0" w:afterAutospacing="0"/>
        <w:jc w:val="center"/>
        <w:rPr>
          <w:b/>
          <w:bCs/>
          <w:sz w:val="28"/>
          <w:szCs w:val="28"/>
        </w:rPr>
      </w:pPr>
      <w:r w:rsidRPr="00DC19FF">
        <w:rPr>
          <w:b/>
          <w:bCs/>
          <w:sz w:val="28"/>
          <w:szCs w:val="28"/>
        </w:rPr>
        <w:t xml:space="preserve">Ministru kabineta rīkojuma projekta </w:t>
      </w:r>
    </w:p>
    <w:p w:rsidR="00CC0953" w:rsidRDefault="00CC0953" w:rsidP="009668E4">
      <w:pPr>
        <w:pStyle w:val="a"/>
        <w:spacing w:before="0" w:beforeAutospacing="0" w:after="0" w:afterAutospacing="0"/>
        <w:jc w:val="center"/>
        <w:rPr>
          <w:b/>
          <w:bCs/>
          <w:sz w:val="28"/>
          <w:szCs w:val="28"/>
        </w:rPr>
      </w:pPr>
      <w:r>
        <w:rPr>
          <w:b/>
          <w:bCs/>
          <w:sz w:val="28"/>
          <w:szCs w:val="28"/>
        </w:rPr>
        <w:t>„</w:t>
      </w:r>
      <w:r w:rsidR="00DC19FF" w:rsidRPr="00DC19FF">
        <w:rPr>
          <w:b/>
          <w:bCs/>
          <w:sz w:val="28"/>
          <w:szCs w:val="28"/>
        </w:rPr>
        <w:t xml:space="preserve">Par finanšu līdzekļu piešķiršanu no valsts budžeta programmas </w:t>
      </w:r>
    </w:p>
    <w:p w:rsidR="009668E4" w:rsidRDefault="00CC0953" w:rsidP="00CC0953">
      <w:pPr>
        <w:pStyle w:val="a"/>
        <w:spacing w:before="0" w:beforeAutospacing="0" w:after="0" w:afterAutospacing="0"/>
        <w:jc w:val="center"/>
        <w:rPr>
          <w:b/>
          <w:bCs/>
          <w:sz w:val="28"/>
          <w:szCs w:val="28"/>
        </w:rPr>
      </w:pPr>
      <w:r>
        <w:rPr>
          <w:b/>
          <w:bCs/>
          <w:sz w:val="28"/>
          <w:szCs w:val="28"/>
        </w:rPr>
        <w:t>„</w:t>
      </w:r>
      <w:r w:rsidR="00DC19FF" w:rsidRPr="00DC19FF">
        <w:rPr>
          <w:b/>
          <w:bCs/>
          <w:sz w:val="28"/>
          <w:szCs w:val="28"/>
        </w:rPr>
        <w:t xml:space="preserve">Līdzekļi neparedzētiem gadījumiem”” sākotnējās ietekmes novērtējuma </w:t>
      </w:r>
      <w:smartTag w:uri="schemas-tilde-lv/tildestengine" w:element="veidnes">
        <w:smartTagPr>
          <w:attr w:name="text" w:val="ziņojums"/>
          <w:attr w:name="baseform" w:val="ziņojums"/>
          <w:attr w:name="id" w:val="-1"/>
        </w:smartTagPr>
        <w:r w:rsidR="00DC19FF" w:rsidRPr="00DC19FF">
          <w:rPr>
            <w:b/>
            <w:bCs/>
            <w:sz w:val="28"/>
            <w:szCs w:val="28"/>
          </w:rPr>
          <w:t>ziņojums</w:t>
        </w:r>
      </w:smartTag>
      <w:r w:rsidR="00DC19FF" w:rsidRPr="00DC19FF">
        <w:rPr>
          <w:b/>
          <w:bCs/>
          <w:sz w:val="28"/>
          <w:szCs w:val="28"/>
        </w:rPr>
        <w:t xml:space="preserve"> (anotācija)</w:t>
      </w:r>
    </w:p>
    <w:p w:rsidR="007C17A9" w:rsidRDefault="007C17A9">
      <w:pPr>
        <w:pStyle w:val="NormalWeb"/>
        <w:spacing w:after="0" w:line="240" w:lineRule="auto"/>
      </w:pPr>
    </w:p>
    <w:tbl>
      <w:tblPr>
        <w:tblStyle w:val="TableGrid"/>
        <w:tblW w:w="5000" w:type="pct"/>
        <w:tblLook w:val="04A0" w:firstRow="1" w:lastRow="0" w:firstColumn="1" w:lastColumn="0" w:noHBand="0" w:noVBand="1"/>
      </w:tblPr>
      <w:tblGrid>
        <w:gridCol w:w="463"/>
        <w:gridCol w:w="3473"/>
        <w:gridCol w:w="5351"/>
      </w:tblGrid>
      <w:tr w:rsidR="005E6E19" w:rsidRPr="00CC0953" w:rsidTr="00CC0953">
        <w:trPr>
          <w:trHeight w:val="403"/>
        </w:trPr>
        <w:tc>
          <w:tcPr>
            <w:tcW w:w="5000" w:type="pct"/>
            <w:gridSpan w:val="3"/>
            <w:vAlign w:val="center"/>
          </w:tcPr>
          <w:p w:rsidR="007C17A9" w:rsidRDefault="00DC19FF">
            <w:pPr>
              <w:pStyle w:val="ListParagraph"/>
              <w:ind w:left="0"/>
              <w:jc w:val="center"/>
              <w:rPr>
                <w:rFonts w:ascii="Times New Roman" w:hAnsi="Times New Roman" w:cs="Times New Roman"/>
                <w:b/>
                <w:sz w:val="28"/>
                <w:szCs w:val="28"/>
              </w:rPr>
            </w:pPr>
            <w:r w:rsidRPr="00DC19FF">
              <w:rPr>
                <w:rFonts w:ascii="Times New Roman" w:hAnsi="Times New Roman" w:cs="Times New Roman"/>
                <w:b/>
                <w:sz w:val="28"/>
                <w:szCs w:val="28"/>
              </w:rPr>
              <w:t>I.Tiesību akta projekta izstrādes nepieciešamība</w:t>
            </w:r>
          </w:p>
        </w:tc>
      </w:tr>
      <w:tr w:rsidR="005E6E19" w:rsidRPr="00CC0953" w:rsidTr="00CD0DBA">
        <w:tc>
          <w:tcPr>
            <w:tcW w:w="249" w:type="pct"/>
          </w:tcPr>
          <w:p w:rsidR="007C17A9" w:rsidRDefault="00DC19FF">
            <w:pPr>
              <w:jc w:val="center"/>
              <w:rPr>
                <w:rFonts w:ascii="Times New Roman" w:hAnsi="Times New Roman" w:cs="Times New Roman"/>
                <w:sz w:val="28"/>
                <w:szCs w:val="28"/>
              </w:rPr>
            </w:pPr>
            <w:r w:rsidRPr="00DC19FF">
              <w:rPr>
                <w:rFonts w:ascii="Times New Roman" w:hAnsi="Times New Roman" w:cs="Times New Roman"/>
                <w:sz w:val="28"/>
                <w:szCs w:val="28"/>
              </w:rPr>
              <w:t>1.</w:t>
            </w:r>
          </w:p>
        </w:tc>
        <w:tc>
          <w:tcPr>
            <w:tcW w:w="1870" w:type="pct"/>
          </w:tcPr>
          <w:p w:rsidR="005E6E19" w:rsidRPr="00CC0953" w:rsidRDefault="00DC19FF" w:rsidP="005E6E19">
            <w:pPr>
              <w:spacing w:after="200" w:line="276" w:lineRule="auto"/>
              <w:jc w:val="both"/>
              <w:rPr>
                <w:rFonts w:ascii="Times New Roman" w:hAnsi="Times New Roman" w:cs="Times New Roman"/>
                <w:sz w:val="28"/>
                <w:szCs w:val="28"/>
              </w:rPr>
            </w:pPr>
            <w:r w:rsidRPr="00DC19FF">
              <w:rPr>
                <w:rFonts w:ascii="Times New Roman" w:hAnsi="Times New Roman" w:cs="Times New Roman"/>
                <w:sz w:val="28"/>
                <w:szCs w:val="28"/>
              </w:rPr>
              <w:t>Pamatojums</w:t>
            </w:r>
          </w:p>
        </w:tc>
        <w:tc>
          <w:tcPr>
            <w:tcW w:w="2881" w:type="pct"/>
          </w:tcPr>
          <w:p w:rsidR="007C17A9" w:rsidRDefault="00DC19FF" w:rsidP="008C0D51">
            <w:pPr>
              <w:jc w:val="both"/>
            </w:pPr>
            <w:r w:rsidRPr="00DC19FF">
              <w:rPr>
                <w:rFonts w:ascii="Times New Roman" w:eastAsia="Calibri" w:hAnsi="Times New Roman" w:cs="Times New Roman"/>
                <w:sz w:val="28"/>
                <w:szCs w:val="28"/>
              </w:rPr>
              <w:t xml:space="preserve">Ministru kabineta rīkojuma projekts „Par finanšu līdzekļu piešķiršanu no valsts budžeta programmas „Līdzekļi neparedzētiem gadījumiem”” (turpmāk – rīkojuma projekts) izstrādāts saskaņā ar Ministru kabineta </w:t>
            </w:r>
            <w:proofErr w:type="gramStart"/>
            <w:r w:rsidRPr="00DC19FF">
              <w:rPr>
                <w:rFonts w:ascii="Times New Roman" w:eastAsia="Calibri" w:hAnsi="Times New Roman" w:cs="Times New Roman"/>
                <w:sz w:val="28"/>
                <w:szCs w:val="28"/>
              </w:rPr>
              <w:t>2009.gada</w:t>
            </w:r>
            <w:proofErr w:type="gramEnd"/>
            <w:r w:rsidRPr="00DC19FF">
              <w:rPr>
                <w:rFonts w:ascii="Times New Roman" w:eastAsia="Calibri" w:hAnsi="Times New Roman" w:cs="Times New Roman"/>
                <w:sz w:val="28"/>
                <w:szCs w:val="28"/>
              </w:rPr>
              <w:t xml:space="preserve"> 22.decembra noteikumu Nr.1644 „</w:t>
            </w:r>
            <w:r w:rsidRPr="00DC19FF">
              <w:rPr>
                <w:rFonts w:ascii="Times New Roman" w:eastAsia="Calibri" w:hAnsi="Times New Roman" w:cs="Times New Roman"/>
                <w:bCs/>
                <w:sz w:val="28"/>
                <w:szCs w:val="28"/>
              </w:rPr>
              <w:t>Kārtība, kādā pieprasa un izlieto budžeta programmas „Līdzekļi neparedzētiem gadījumiem</w:t>
            </w:r>
            <w:r w:rsidR="00524A25">
              <w:rPr>
                <w:rFonts w:ascii="Times New Roman" w:eastAsia="Calibri" w:hAnsi="Times New Roman" w:cs="Times New Roman"/>
                <w:bCs/>
                <w:sz w:val="28"/>
                <w:szCs w:val="28"/>
              </w:rPr>
              <w:t>”</w:t>
            </w:r>
            <w:r w:rsidRPr="00DC19FF">
              <w:rPr>
                <w:rFonts w:ascii="Times New Roman" w:eastAsia="Calibri" w:hAnsi="Times New Roman" w:cs="Times New Roman"/>
                <w:bCs/>
                <w:sz w:val="28"/>
                <w:szCs w:val="28"/>
              </w:rPr>
              <w:t xml:space="preserve"> līdzekļus</w:t>
            </w:r>
            <w:r w:rsidRPr="00DC19FF">
              <w:rPr>
                <w:rFonts w:ascii="Times New Roman" w:eastAsia="Calibri" w:hAnsi="Times New Roman" w:cs="Times New Roman"/>
                <w:sz w:val="28"/>
                <w:szCs w:val="28"/>
              </w:rPr>
              <w:t>” 3.punktu.</w:t>
            </w:r>
          </w:p>
        </w:tc>
      </w:tr>
      <w:tr w:rsidR="005E6E19" w:rsidRPr="00CC0953" w:rsidTr="00CD0DBA">
        <w:tc>
          <w:tcPr>
            <w:tcW w:w="249" w:type="pct"/>
          </w:tcPr>
          <w:p w:rsidR="007C17A9" w:rsidRDefault="00DC19FF">
            <w:pPr>
              <w:jc w:val="center"/>
              <w:rPr>
                <w:rFonts w:ascii="Times New Roman" w:hAnsi="Times New Roman" w:cs="Times New Roman"/>
                <w:sz w:val="28"/>
                <w:szCs w:val="28"/>
              </w:rPr>
            </w:pPr>
            <w:r w:rsidRPr="00DC19FF">
              <w:rPr>
                <w:rFonts w:ascii="Times New Roman" w:hAnsi="Times New Roman" w:cs="Times New Roman"/>
                <w:sz w:val="28"/>
                <w:szCs w:val="28"/>
              </w:rPr>
              <w:t>2.</w:t>
            </w:r>
          </w:p>
        </w:tc>
        <w:tc>
          <w:tcPr>
            <w:tcW w:w="1870" w:type="pct"/>
          </w:tcPr>
          <w:p w:rsidR="005E6E19" w:rsidRPr="00CC0953" w:rsidRDefault="00DC19FF" w:rsidP="005E6E19">
            <w:pPr>
              <w:pStyle w:val="naiskr"/>
              <w:tabs>
                <w:tab w:val="left" w:pos="170"/>
              </w:tabs>
              <w:spacing w:before="0" w:beforeAutospacing="0" w:after="0" w:afterAutospacing="0"/>
              <w:ind w:left="57" w:right="57"/>
              <w:rPr>
                <w:sz w:val="28"/>
                <w:szCs w:val="28"/>
              </w:rPr>
            </w:pPr>
            <w:r w:rsidRPr="00DC19FF">
              <w:rPr>
                <w:sz w:val="28"/>
                <w:szCs w:val="28"/>
              </w:rPr>
              <w:t>Pašreizējā situācija un problēmas, kuru risināšanai tiesību akta projekts izstrādāts, tiesiskā regulējuma mērķis un būtība</w:t>
            </w:r>
          </w:p>
        </w:tc>
        <w:tc>
          <w:tcPr>
            <w:tcW w:w="2881" w:type="pct"/>
          </w:tcPr>
          <w:p w:rsidR="00C34CCE" w:rsidRDefault="00BE724E" w:rsidP="005C1914">
            <w:pPr>
              <w:pStyle w:val="Default"/>
              <w:jc w:val="both"/>
              <w:rPr>
                <w:bCs/>
                <w:sz w:val="28"/>
                <w:szCs w:val="28"/>
              </w:rPr>
            </w:pPr>
            <w:r w:rsidRPr="00F71318">
              <w:rPr>
                <w:sz w:val="28"/>
                <w:szCs w:val="28"/>
              </w:rPr>
              <w:t xml:space="preserve">Atsaucoties uz Laimdotas </w:t>
            </w:r>
            <w:proofErr w:type="spellStart"/>
            <w:r w:rsidRPr="00F71318">
              <w:rPr>
                <w:sz w:val="28"/>
                <w:szCs w:val="28"/>
              </w:rPr>
              <w:t>Straujumas</w:t>
            </w:r>
            <w:proofErr w:type="spellEnd"/>
            <w:r w:rsidRPr="00F71318">
              <w:rPr>
                <w:sz w:val="28"/>
                <w:szCs w:val="28"/>
              </w:rPr>
              <w:t xml:space="preserve"> vadītās valdības deklarācijas</w:t>
            </w:r>
            <w:r w:rsidR="000543EA">
              <w:rPr>
                <w:sz w:val="28"/>
                <w:szCs w:val="28"/>
              </w:rPr>
              <w:t xml:space="preserve"> (turpmāk</w:t>
            </w:r>
            <w:r w:rsidR="0033306E">
              <w:rPr>
                <w:sz w:val="28"/>
                <w:szCs w:val="28"/>
              </w:rPr>
              <w:t xml:space="preserve"> –</w:t>
            </w:r>
            <w:r w:rsidR="000543EA">
              <w:rPr>
                <w:sz w:val="28"/>
                <w:szCs w:val="28"/>
              </w:rPr>
              <w:t xml:space="preserve"> Deklarācija)</w:t>
            </w:r>
            <w:r w:rsidRPr="00F71318">
              <w:rPr>
                <w:sz w:val="28"/>
                <w:szCs w:val="28"/>
              </w:rPr>
              <w:t xml:space="preserve"> 137. un 173.punktu, kā arī </w:t>
            </w:r>
            <w:r>
              <w:rPr>
                <w:bCs/>
                <w:sz w:val="28"/>
                <w:szCs w:val="28"/>
              </w:rPr>
              <w:t>l</w:t>
            </w:r>
            <w:r w:rsidR="00B77745" w:rsidRPr="00BE724E">
              <w:rPr>
                <w:bCs/>
                <w:sz w:val="28"/>
                <w:szCs w:val="28"/>
              </w:rPr>
              <w:t>ai v</w:t>
            </w:r>
            <w:r w:rsidR="00DC19FF" w:rsidRPr="004B16B7">
              <w:rPr>
                <w:bCs/>
                <w:sz w:val="28"/>
                <w:szCs w:val="28"/>
              </w:rPr>
              <w:t>eicināt</w:t>
            </w:r>
            <w:r w:rsidR="00B77745" w:rsidRPr="004B16B7">
              <w:rPr>
                <w:bCs/>
                <w:sz w:val="28"/>
                <w:szCs w:val="28"/>
              </w:rPr>
              <w:t>u</w:t>
            </w:r>
            <w:r w:rsidR="00DC19FF" w:rsidRPr="004B16B7">
              <w:rPr>
                <w:bCs/>
                <w:sz w:val="28"/>
                <w:szCs w:val="28"/>
              </w:rPr>
              <w:t xml:space="preserve"> Latvijas lokālās un eiropeiskās</w:t>
            </w:r>
            <w:r w:rsidR="00DC19FF" w:rsidRPr="000543EA">
              <w:rPr>
                <w:bCs/>
                <w:sz w:val="28"/>
                <w:szCs w:val="28"/>
              </w:rPr>
              <w:t xml:space="preserve"> vēstures</w:t>
            </w:r>
            <w:r w:rsidR="00DC19FF" w:rsidRPr="00DC19FF">
              <w:rPr>
                <w:bCs/>
                <w:sz w:val="28"/>
                <w:szCs w:val="28"/>
              </w:rPr>
              <w:t xml:space="preserve"> apzināšanu, izpēti un izpratni</w:t>
            </w:r>
            <w:r w:rsidR="00B77745">
              <w:rPr>
                <w:bCs/>
                <w:sz w:val="28"/>
                <w:szCs w:val="28"/>
              </w:rPr>
              <w:t>,</w:t>
            </w:r>
            <w:r w:rsidR="00B77745">
              <w:rPr>
                <w:b/>
                <w:bCs/>
                <w:sz w:val="28"/>
                <w:szCs w:val="28"/>
              </w:rPr>
              <w:t xml:space="preserve"> </w:t>
            </w:r>
            <w:r w:rsidR="00CD0DBA" w:rsidRPr="00270DC2">
              <w:rPr>
                <w:sz w:val="28"/>
                <w:szCs w:val="28"/>
              </w:rPr>
              <w:t>Nacionālās identitātes, pilsoniskās sabiedrības un integrācijas politikas pamatnostādņu 2012.</w:t>
            </w:r>
            <w:r w:rsidR="00F307DB">
              <w:rPr>
                <w:sz w:val="28"/>
                <w:szCs w:val="28"/>
              </w:rPr>
              <w:t>-</w:t>
            </w:r>
            <w:proofErr w:type="gramStart"/>
            <w:r w:rsidR="00CD0DBA" w:rsidRPr="00270DC2">
              <w:rPr>
                <w:sz w:val="28"/>
                <w:szCs w:val="28"/>
              </w:rPr>
              <w:t>2018.gadam</w:t>
            </w:r>
            <w:proofErr w:type="gramEnd"/>
            <w:r w:rsidR="00CD0DBA" w:rsidRPr="00270DC2">
              <w:rPr>
                <w:sz w:val="28"/>
                <w:szCs w:val="28"/>
              </w:rPr>
              <w:t xml:space="preserve"> īstenošanas plāna laikposmā līdz 2016.gadam (apstiprināts ar Ministru kabineta 2015.gada 25.februāra rīkojumu Nr.102)</w:t>
            </w:r>
            <w:r w:rsidR="004760E0">
              <w:rPr>
                <w:sz w:val="28"/>
                <w:szCs w:val="28"/>
              </w:rPr>
              <w:t xml:space="preserve"> p</w:t>
            </w:r>
            <w:r w:rsidR="00524A25">
              <w:rPr>
                <w:sz w:val="28"/>
                <w:szCs w:val="28"/>
              </w:rPr>
              <w:t>lānoto pasākumu</w:t>
            </w:r>
            <w:r w:rsidR="00C34CCE">
              <w:rPr>
                <w:sz w:val="28"/>
                <w:szCs w:val="28"/>
              </w:rPr>
              <w:t xml:space="preserve"> </w:t>
            </w:r>
            <w:r w:rsidR="00C34CCE" w:rsidRPr="00C34CCE">
              <w:rPr>
                <w:sz w:val="28"/>
                <w:szCs w:val="28"/>
              </w:rPr>
              <w:t>2.4.sadaļa paredz n</w:t>
            </w:r>
            <w:r w:rsidR="00C34CCE" w:rsidRPr="00C34CCE">
              <w:rPr>
                <w:bCs/>
                <w:sz w:val="28"/>
                <w:szCs w:val="28"/>
              </w:rPr>
              <w:t>ostiprināt ārzemēs dzīvojošo latviešu latvisko identitāti un piederību Latvijai</w:t>
            </w:r>
            <w:r w:rsidR="00524A25">
              <w:rPr>
                <w:bCs/>
                <w:sz w:val="28"/>
                <w:szCs w:val="28"/>
              </w:rPr>
              <w:t xml:space="preserve"> un</w:t>
            </w:r>
            <w:r w:rsidR="00C34CCE">
              <w:rPr>
                <w:bCs/>
                <w:sz w:val="28"/>
                <w:szCs w:val="28"/>
              </w:rPr>
              <w:t xml:space="preserve"> </w:t>
            </w:r>
            <w:r w:rsidR="00524A25">
              <w:rPr>
                <w:bCs/>
                <w:sz w:val="28"/>
                <w:szCs w:val="28"/>
              </w:rPr>
              <w:t>3.1.</w:t>
            </w:r>
            <w:r w:rsidR="00C34CCE">
              <w:rPr>
                <w:bCs/>
                <w:sz w:val="28"/>
                <w:szCs w:val="28"/>
              </w:rPr>
              <w:t xml:space="preserve">sadaļa  paredz  nostiprināt uz faktiem balstītu un demokrātiskām vērtībām atbilstošu izpratni par Otro pasaules karu, kā arī padomju un nacistu okupāciju Latvijā. </w:t>
            </w:r>
          </w:p>
          <w:p w:rsidR="00A57684" w:rsidRDefault="00A57684" w:rsidP="00A57684">
            <w:pPr>
              <w:pStyle w:val="Default"/>
              <w:jc w:val="both"/>
              <w:rPr>
                <w:bCs/>
                <w:sz w:val="28"/>
                <w:szCs w:val="28"/>
              </w:rPr>
            </w:pPr>
            <w:r>
              <w:rPr>
                <w:sz w:val="28"/>
                <w:szCs w:val="28"/>
              </w:rPr>
              <w:t>St</w:t>
            </w:r>
            <w:r w:rsidRPr="00DC19FF">
              <w:rPr>
                <w:bCs/>
                <w:sz w:val="28"/>
                <w:szCs w:val="28"/>
              </w:rPr>
              <w:t xml:space="preserve">atistikas dati liecina, ka </w:t>
            </w:r>
            <w:r>
              <w:rPr>
                <w:bCs/>
                <w:sz w:val="28"/>
                <w:szCs w:val="28"/>
              </w:rPr>
              <w:t>Latvijas iedzīvotāju vidū pastāv</w:t>
            </w:r>
            <w:r w:rsidRPr="00DC19FF">
              <w:rPr>
                <w:bCs/>
                <w:sz w:val="28"/>
                <w:szCs w:val="28"/>
              </w:rPr>
              <w:t xml:space="preserve"> atšķirīg</w:t>
            </w:r>
            <w:r>
              <w:rPr>
                <w:bCs/>
                <w:sz w:val="28"/>
                <w:szCs w:val="28"/>
              </w:rPr>
              <w:t>a</w:t>
            </w:r>
            <w:r w:rsidRPr="00DC19FF">
              <w:rPr>
                <w:bCs/>
                <w:sz w:val="28"/>
                <w:szCs w:val="28"/>
              </w:rPr>
              <w:t xml:space="preserve"> izpratne par padomju okupāciju un no tās izrietošajām sekām. Ievērojamas sabiedrības daļas atšķirīga izpratne par Otrā pasaules kara notikumiem apdraud ne tikai Latvijas nacionālo identitāti, bet arī ģeopolitisko identitāti jeb piederību Rietumu pasaulei. Līdz ar to ir svarīgi, lai Latvijas vēsture </w:t>
            </w:r>
            <w:r w:rsidRPr="00DC19FF">
              <w:rPr>
                <w:bCs/>
                <w:sz w:val="28"/>
                <w:szCs w:val="28"/>
              </w:rPr>
              <w:lastRenderedPageBreak/>
              <w:t>dažādām mērķa grupām tiek mācīta no Latvijā, nevis Krievijā izdotām grāmatām un materiāliem. Papildus iepriekš minētajam, arvien biežāk vēsturiskiem faktiem neatbilstoš</w:t>
            </w:r>
            <w:r>
              <w:rPr>
                <w:bCs/>
                <w:sz w:val="28"/>
                <w:szCs w:val="28"/>
              </w:rPr>
              <w:t>a</w:t>
            </w:r>
            <w:r w:rsidRPr="00B77745">
              <w:rPr>
                <w:b/>
                <w:bCs/>
                <w:sz w:val="28"/>
                <w:szCs w:val="28"/>
              </w:rPr>
              <w:t xml:space="preserve"> </w:t>
            </w:r>
            <w:r w:rsidRPr="00DC19FF">
              <w:rPr>
                <w:bCs/>
                <w:sz w:val="28"/>
                <w:szCs w:val="28"/>
              </w:rPr>
              <w:t>informācija par Latviju tiek sniegta ārvalstu auditorijai ar mediju starpniecību, līdz ar to patiesu faktu atspoguļošanai nepieciešams informācijas nodrošinājums arī angļu valodā.</w:t>
            </w:r>
          </w:p>
          <w:p w:rsidR="007C17A9" w:rsidRDefault="00DC19FF" w:rsidP="005C1914">
            <w:pPr>
              <w:pStyle w:val="Default"/>
              <w:jc w:val="both"/>
              <w:rPr>
                <w:bCs/>
                <w:sz w:val="28"/>
                <w:szCs w:val="28"/>
              </w:rPr>
            </w:pPr>
            <w:r w:rsidRPr="00DC19FF">
              <w:rPr>
                <w:bCs/>
                <w:sz w:val="28"/>
                <w:szCs w:val="28"/>
              </w:rPr>
              <w:t xml:space="preserve">Izvērtējot situāciju un pagātnes notikumu ietekmi uz Latvijas sabiedrības veidošanās procesiem, </w:t>
            </w:r>
            <w:r w:rsidR="004F700A">
              <w:rPr>
                <w:bCs/>
                <w:sz w:val="28"/>
                <w:szCs w:val="28"/>
              </w:rPr>
              <w:t>Ārlietu</w:t>
            </w:r>
            <w:r w:rsidRPr="00DC19FF">
              <w:rPr>
                <w:bCs/>
                <w:sz w:val="28"/>
                <w:szCs w:val="28"/>
              </w:rPr>
              <w:t xml:space="preserve"> ministrija </w:t>
            </w:r>
            <w:r w:rsidR="00B77745">
              <w:rPr>
                <w:bCs/>
                <w:sz w:val="28"/>
                <w:szCs w:val="28"/>
              </w:rPr>
              <w:t xml:space="preserve">ir identificējusi nepieciešamību </w:t>
            </w:r>
            <w:r w:rsidRPr="00DC19FF">
              <w:rPr>
                <w:bCs/>
                <w:sz w:val="28"/>
                <w:szCs w:val="28"/>
              </w:rPr>
              <w:t xml:space="preserve">aktualizēt </w:t>
            </w:r>
            <w:proofErr w:type="gramStart"/>
            <w:r w:rsidRPr="00DC19FF">
              <w:rPr>
                <w:bCs/>
                <w:sz w:val="28"/>
                <w:szCs w:val="28"/>
              </w:rPr>
              <w:t>14.jūniju</w:t>
            </w:r>
            <w:proofErr w:type="gramEnd"/>
            <w:r w:rsidRPr="00DC19FF">
              <w:rPr>
                <w:bCs/>
                <w:sz w:val="28"/>
                <w:szCs w:val="28"/>
              </w:rPr>
              <w:t xml:space="preserve"> kā nozīmīgu vēsturisku jautājumu krustpunktu un pievērst sabiedrības uzmanību totalitārisma seku ietekmei uz valsti un sabiedrību vairāku paaudžu garumā. Šāds risinājuma traktējums ļaus pievērst plašas sabiedrības uzmanību sekām, ko rada demokrātiju apdraudošas darbības aicinot izvērtēt ikviena rīcību šobrīd.</w:t>
            </w:r>
          </w:p>
          <w:p w:rsidR="00F71318" w:rsidRDefault="00DC19FF" w:rsidP="005C1914">
            <w:pPr>
              <w:pStyle w:val="Default"/>
              <w:jc w:val="both"/>
              <w:rPr>
                <w:bCs/>
                <w:sz w:val="28"/>
                <w:szCs w:val="28"/>
              </w:rPr>
            </w:pPr>
            <w:r w:rsidRPr="00DC19FF">
              <w:rPr>
                <w:bCs/>
                <w:sz w:val="28"/>
                <w:szCs w:val="28"/>
              </w:rPr>
              <w:t xml:space="preserve">Lai maksimāli plaši atspoguļotu šos jautājumus un veidotu dialogu sabiedrībā, </w:t>
            </w:r>
            <w:r w:rsidR="0011512A">
              <w:rPr>
                <w:bCs/>
                <w:sz w:val="28"/>
                <w:szCs w:val="28"/>
              </w:rPr>
              <w:t xml:space="preserve">nepieciešams īstenot </w:t>
            </w:r>
            <w:r w:rsidR="0011512A">
              <w:rPr>
                <w:sz w:val="28"/>
                <w:szCs w:val="28"/>
              </w:rPr>
              <w:t xml:space="preserve">sociālās atmiņas stiprināšanas pasākumus par </w:t>
            </w:r>
            <w:r w:rsidR="004B16B7">
              <w:rPr>
                <w:sz w:val="28"/>
                <w:szCs w:val="28"/>
              </w:rPr>
              <w:t>padomju okupācijas</w:t>
            </w:r>
            <w:r w:rsidR="0011512A">
              <w:rPr>
                <w:sz w:val="28"/>
                <w:szCs w:val="28"/>
              </w:rPr>
              <w:t xml:space="preserve"> </w:t>
            </w:r>
            <w:proofErr w:type="gramStart"/>
            <w:r w:rsidR="0011512A">
              <w:rPr>
                <w:sz w:val="28"/>
                <w:szCs w:val="28"/>
              </w:rPr>
              <w:t>1941.gada</w:t>
            </w:r>
            <w:proofErr w:type="gramEnd"/>
            <w:r w:rsidR="0011512A">
              <w:rPr>
                <w:sz w:val="28"/>
                <w:szCs w:val="28"/>
              </w:rPr>
              <w:t xml:space="preserve"> 14.jūnija deportācijās izsūtīto latviešu likteņgaitām Sibīrijā.</w:t>
            </w:r>
            <w:r w:rsidR="0011512A" w:rsidRPr="00CC0953">
              <w:rPr>
                <w:bCs/>
                <w:sz w:val="28"/>
                <w:szCs w:val="28"/>
              </w:rPr>
              <w:t xml:space="preserve"> </w:t>
            </w:r>
            <w:r w:rsidR="00F71318">
              <w:rPr>
                <w:bCs/>
                <w:sz w:val="28"/>
                <w:szCs w:val="28"/>
              </w:rPr>
              <w:t>N</w:t>
            </w:r>
            <w:r w:rsidR="00F71318" w:rsidRPr="003724A3">
              <w:rPr>
                <w:sz w:val="28"/>
                <w:szCs w:val="28"/>
              </w:rPr>
              <w:t>odibinājumam „Komunistiskā terora upuru atbalsta un palīdzības fond</w:t>
            </w:r>
            <w:r w:rsidR="00F71318">
              <w:rPr>
                <w:sz w:val="28"/>
                <w:szCs w:val="28"/>
              </w:rPr>
              <w:t>am</w:t>
            </w:r>
            <w:r w:rsidR="00F71318" w:rsidRPr="003724A3">
              <w:rPr>
                <w:sz w:val="28"/>
                <w:szCs w:val="28"/>
              </w:rPr>
              <w:t xml:space="preserve"> „Sibīrijas bērni””</w:t>
            </w:r>
            <w:r w:rsidR="00F71318">
              <w:rPr>
                <w:sz w:val="28"/>
                <w:szCs w:val="28"/>
              </w:rPr>
              <w:t xml:space="preserve"> ir pieredze, rīkojot dažāda veida pasākumus jau kopš </w:t>
            </w:r>
            <w:proofErr w:type="gramStart"/>
            <w:r w:rsidR="00F71318">
              <w:rPr>
                <w:sz w:val="28"/>
                <w:szCs w:val="28"/>
              </w:rPr>
              <w:t>2001.gada</w:t>
            </w:r>
            <w:proofErr w:type="gramEnd"/>
            <w:r w:rsidR="00F71318">
              <w:rPr>
                <w:sz w:val="28"/>
                <w:szCs w:val="28"/>
              </w:rPr>
              <w:t xml:space="preserve">. Nodibinājuma pasākumi ir plaši apmeklēti un atpazīstami. </w:t>
            </w:r>
          </w:p>
          <w:p w:rsidR="007C17A9" w:rsidRPr="008E181F" w:rsidRDefault="004B16B7" w:rsidP="005C1914">
            <w:pPr>
              <w:pStyle w:val="Default"/>
              <w:jc w:val="both"/>
              <w:rPr>
                <w:bCs/>
                <w:sz w:val="28"/>
                <w:szCs w:val="28"/>
              </w:rPr>
            </w:pPr>
            <w:r>
              <w:rPr>
                <w:bCs/>
                <w:sz w:val="28"/>
                <w:szCs w:val="28"/>
              </w:rPr>
              <w:t xml:space="preserve">Ņemot vērā </w:t>
            </w:r>
            <w:r w:rsidR="000543EA">
              <w:rPr>
                <w:bCs/>
                <w:sz w:val="28"/>
                <w:szCs w:val="28"/>
              </w:rPr>
              <w:t>D</w:t>
            </w:r>
            <w:r w:rsidRPr="006929B9">
              <w:rPr>
                <w:sz w:val="28"/>
                <w:szCs w:val="28"/>
              </w:rPr>
              <w:t>eklarācijas 173.</w:t>
            </w:r>
            <w:r>
              <w:rPr>
                <w:sz w:val="28"/>
                <w:szCs w:val="28"/>
              </w:rPr>
              <w:t xml:space="preserve">punktu, kurā pausta apņemšanās </w:t>
            </w:r>
            <w:r w:rsidRPr="004B16B7">
              <w:rPr>
                <w:sz w:val="28"/>
                <w:szCs w:val="28"/>
              </w:rPr>
              <w:t>st</w:t>
            </w:r>
            <w:r w:rsidRPr="00F71318">
              <w:rPr>
                <w:sz w:val="28"/>
                <w:szCs w:val="28"/>
              </w:rPr>
              <w:t xml:space="preserve">arptautiski skaidrot Latvijas </w:t>
            </w:r>
            <w:proofErr w:type="gramStart"/>
            <w:r w:rsidRPr="00F71318">
              <w:rPr>
                <w:sz w:val="28"/>
                <w:szCs w:val="28"/>
              </w:rPr>
              <w:t>20.gadsimta</w:t>
            </w:r>
            <w:proofErr w:type="gramEnd"/>
            <w:r w:rsidRPr="00F71318">
              <w:rPr>
                <w:sz w:val="28"/>
                <w:szCs w:val="28"/>
              </w:rPr>
              <w:t xml:space="preserve"> vēsturi, veicinot izpratni par Padomju Sociālistisko Republiku Savienības un nacistiskās Vācijas okupācijām un to režīmu pastrādātajiem noziegumiem</w:t>
            </w:r>
            <w:r w:rsidR="0022622D">
              <w:rPr>
                <w:sz w:val="28"/>
                <w:szCs w:val="28"/>
              </w:rPr>
              <w:t xml:space="preserve"> </w:t>
            </w:r>
            <w:r w:rsidR="0022622D">
              <w:rPr>
                <w:bCs/>
                <w:sz w:val="28"/>
                <w:szCs w:val="28"/>
              </w:rPr>
              <w:t xml:space="preserve">tiktu veikta virkne pasākumu, </w:t>
            </w:r>
            <w:r w:rsidR="0022622D" w:rsidRPr="0022622D">
              <w:rPr>
                <w:bCs/>
                <w:sz w:val="28"/>
                <w:szCs w:val="28"/>
              </w:rPr>
              <w:t xml:space="preserve">tai skaitā, </w:t>
            </w:r>
            <w:r w:rsidR="0022622D" w:rsidRPr="0022622D">
              <w:rPr>
                <w:sz w:val="28"/>
                <w:szCs w:val="28"/>
              </w:rPr>
              <w:t xml:space="preserve">dokumentālas </w:t>
            </w:r>
            <w:r>
              <w:rPr>
                <w:sz w:val="28"/>
                <w:szCs w:val="28"/>
              </w:rPr>
              <w:t>video</w:t>
            </w:r>
            <w:r w:rsidR="0022622D" w:rsidRPr="0022622D">
              <w:rPr>
                <w:sz w:val="28"/>
                <w:szCs w:val="28"/>
              </w:rPr>
              <w:t>filmas „Tēvi tur”</w:t>
            </w:r>
            <w:r w:rsidR="008C0D51">
              <w:rPr>
                <w:sz w:val="28"/>
                <w:szCs w:val="28"/>
              </w:rPr>
              <w:t xml:space="preserve"> (22 300 </w:t>
            </w:r>
            <w:proofErr w:type="spellStart"/>
            <w:r w:rsidR="008C0D51">
              <w:rPr>
                <w:i/>
                <w:sz w:val="28"/>
                <w:szCs w:val="28"/>
              </w:rPr>
              <w:t>euro</w:t>
            </w:r>
            <w:proofErr w:type="spellEnd"/>
            <w:r w:rsidR="008C0D51">
              <w:rPr>
                <w:sz w:val="28"/>
                <w:szCs w:val="28"/>
              </w:rPr>
              <w:t>)</w:t>
            </w:r>
            <w:r w:rsidR="0022622D" w:rsidRPr="0022622D">
              <w:rPr>
                <w:sz w:val="28"/>
                <w:szCs w:val="28"/>
              </w:rPr>
              <w:t xml:space="preserve"> ražošana un pabeigšana, ceļojošās izstādes „Sibīrijas bērni” </w:t>
            </w:r>
            <w:r w:rsidR="008C0D51">
              <w:rPr>
                <w:sz w:val="28"/>
                <w:szCs w:val="28"/>
              </w:rPr>
              <w:t xml:space="preserve">(6 000 </w:t>
            </w:r>
            <w:proofErr w:type="spellStart"/>
            <w:r w:rsidR="008C0D51">
              <w:rPr>
                <w:i/>
                <w:sz w:val="28"/>
                <w:szCs w:val="28"/>
              </w:rPr>
              <w:t>euro</w:t>
            </w:r>
            <w:proofErr w:type="spellEnd"/>
            <w:r w:rsidR="008C0D51">
              <w:rPr>
                <w:sz w:val="28"/>
                <w:szCs w:val="28"/>
              </w:rPr>
              <w:t>)</w:t>
            </w:r>
            <w:r w:rsidR="008C0D51" w:rsidRPr="0022622D">
              <w:rPr>
                <w:sz w:val="28"/>
                <w:szCs w:val="28"/>
              </w:rPr>
              <w:t xml:space="preserve"> </w:t>
            </w:r>
            <w:r w:rsidR="0022622D" w:rsidRPr="0022622D">
              <w:rPr>
                <w:sz w:val="28"/>
                <w:szCs w:val="28"/>
              </w:rPr>
              <w:t xml:space="preserve">viena </w:t>
            </w:r>
            <w:r w:rsidR="0022622D" w:rsidRPr="0022622D">
              <w:rPr>
                <w:sz w:val="28"/>
                <w:szCs w:val="28"/>
              </w:rPr>
              <w:lastRenderedPageBreak/>
              <w:t>kompleksa izgatavošana</w:t>
            </w:r>
            <w:r>
              <w:rPr>
                <w:sz w:val="28"/>
                <w:szCs w:val="28"/>
              </w:rPr>
              <w:t xml:space="preserve"> (veltīta 1941.gada 14.jūnija deportācijai)</w:t>
            </w:r>
            <w:r w:rsidR="0022622D" w:rsidRPr="0022622D">
              <w:rPr>
                <w:sz w:val="28"/>
                <w:szCs w:val="28"/>
              </w:rPr>
              <w:t xml:space="preserve">, </w:t>
            </w:r>
            <w:r>
              <w:rPr>
                <w:sz w:val="28"/>
                <w:szCs w:val="28"/>
              </w:rPr>
              <w:t xml:space="preserve">ceļojošās izstādes </w:t>
            </w:r>
            <w:r w:rsidR="0022622D" w:rsidRPr="0022622D">
              <w:rPr>
                <w:sz w:val="28"/>
                <w:szCs w:val="28"/>
              </w:rPr>
              <w:t>„Runājošā grāmata „Sibīrijas bērni””</w:t>
            </w:r>
            <w:r w:rsidR="008C0D51">
              <w:rPr>
                <w:sz w:val="28"/>
                <w:szCs w:val="28"/>
              </w:rPr>
              <w:t xml:space="preserve"> (4 000 </w:t>
            </w:r>
            <w:proofErr w:type="spellStart"/>
            <w:r w:rsidR="008C0D51">
              <w:rPr>
                <w:i/>
                <w:sz w:val="28"/>
                <w:szCs w:val="28"/>
              </w:rPr>
              <w:t>euro</w:t>
            </w:r>
            <w:proofErr w:type="spellEnd"/>
            <w:r w:rsidR="008C0D51">
              <w:rPr>
                <w:sz w:val="28"/>
                <w:szCs w:val="28"/>
              </w:rPr>
              <w:t>)</w:t>
            </w:r>
            <w:r w:rsidR="008C0D51" w:rsidRPr="0022622D">
              <w:rPr>
                <w:sz w:val="28"/>
                <w:szCs w:val="28"/>
              </w:rPr>
              <w:t xml:space="preserve"> </w:t>
            </w:r>
            <w:r w:rsidR="0022622D" w:rsidRPr="0022622D">
              <w:rPr>
                <w:sz w:val="28"/>
                <w:szCs w:val="28"/>
              </w:rPr>
              <w:t xml:space="preserve"> sagatavošana un uzturēšana</w:t>
            </w:r>
            <w:r w:rsidR="000543EA">
              <w:rPr>
                <w:sz w:val="28"/>
                <w:szCs w:val="28"/>
              </w:rPr>
              <w:t>. Tāpat plānots organizēt</w:t>
            </w:r>
            <w:r w:rsidR="0022622D" w:rsidRPr="0022622D">
              <w:rPr>
                <w:sz w:val="28"/>
                <w:szCs w:val="28"/>
              </w:rPr>
              <w:t xml:space="preserve"> </w:t>
            </w:r>
            <w:r w:rsidR="000543EA">
              <w:rPr>
                <w:sz w:val="28"/>
                <w:szCs w:val="28"/>
              </w:rPr>
              <w:t xml:space="preserve">konferenci </w:t>
            </w:r>
            <w:r w:rsidR="0022622D" w:rsidRPr="0022622D">
              <w:rPr>
                <w:bCs/>
                <w:sz w:val="28"/>
                <w:szCs w:val="28"/>
              </w:rPr>
              <w:t>„1941.</w:t>
            </w:r>
            <w:r w:rsidR="00A57684">
              <w:rPr>
                <w:bCs/>
                <w:sz w:val="28"/>
                <w:szCs w:val="28"/>
              </w:rPr>
              <w:t xml:space="preserve"> </w:t>
            </w:r>
            <w:r w:rsidR="0022622D" w:rsidRPr="0022622D">
              <w:rPr>
                <w:bCs/>
                <w:sz w:val="28"/>
                <w:szCs w:val="28"/>
              </w:rPr>
              <w:t>gada 14.</w:t>
            </w:r>
            <w:r w:rsidR="00A57684">
              <w:rPr>
                <w:bCs/>
                <w:sz w:val="28"/>
                <w:szCs w:val="28"/>
              </w:rPr>
              <w:t xml:space="preserve"> </w:t>
            </w:r>
            <w:r w:rsidR="0022622D" w:rsidRPr="0022622D">
              <w:rPr>
                <w:bCs/>
                <w:sz w:val="28"/>
                <w:szCs w:val="28"/>
              </w:rPr>
              <w:t>jūnija piemiņai”</w:t>
            </w:r>
            <w:r w:rsidR="000543EA">
              <w:rPr>
                <w:bCs/>
                <w:sz w:val="28"/>
                <w:szCs w:val="28"/>
              </w:rPr>
              <w:t xml:space="preserve"> Rīgā, Melngalvju namā, kura būtu veltīta </w:t>
            </w:r>
            <w:proofErr w:type="gramStart"/>
            <w:r w:rsidR="000543EA">
              <w:rPr>
                <w:bCs/>
                <w:sz w:val="28"/>
                <w:szCs w:val="28"/>
              </w:rPr>
              <w:t>1941.gada</w:t>
            </w:r>
            <w:proofErr w:type="gramEnd"/>
            <w:r w:rsidR="000543EA">
              <w:rPr>
                <w:bCs/>
                <w:sz w:val="28"/>
                <w:szCs w:val="28"/>
              </w:rPr>
              <w:t xml:space="preserve"> 14.jūnijā uz Sibīriju aizvestajiem Latvijas bērniem</w:t>
            </w:r>
            <w:r w:rsidR="008C0D51">
              <w:rPr>
                <w:bCs/>
                <w:sz w:val="28"/>
                <w:szCs w:val="28"/>
              </w:rPr>
              <w:t xml:space="preserve"> (3 280 </w:t>
            </w:r>
            <w:proofErr w:type="spellStart"/>
            <w:r w:rsidR="008C0D51">
              <w:rPr>
                <w:bCs/>
                <w:i/>
                <w:sz w:val="28"/>
                <w:szCs w:val="28"/>
              </w:rPr>
              <w:t>euro</w:t>
            </w:r>
            <w:proofErr w:type="spellEnd"/>
            <w:r w:rsidR="008C0D51">
              <w:rPr>
                <w:sz w:val="28"/>
                <w:szCs w:val="28"/>
              </w:rPr>
              <w:t>)</w:t>
            </w:r>
            <w:r w:rsidR="000543EA">
              <w:rPr>
                <w:bCs/>
                <w:sz w:val="28"/>
                <w:szCs w:val="28"/>
              </w:rPr>
              <w:t>. Saistībā ar konferenci</w:t>
            </w:r>
            <w:r w:rsidR="0022622D" w:rsidRPr="0022622D">
              <w:rPr>
                <w:bCs/>
                <w:sz w:val="28"/>
                <w:szCs w:val="28"/>
              </w:rPr>
              <w:t xml:space="preserve"> </w:t>
            </w:r>
            <w:r w:rsidR="000543EA">
              <w:rPr>
                <w:bCs/>
                <w:sz w:val="28"/>
                <w:szCs w:val="28"/>
              </w:rPr>
              <w:t>tiks nodrošināts koncerts</w:t>
            </w:r>
            <w:proofErr w:type="gramStart"/>
            <w:r w:rsidR="000543EA">
              <w:rPr>
                <w:bCs/>
                <w:sz w:val="28"/>
                <w:szCs w:val="28"/>
              </w:rPr>
              <w:t xml:space="preserve"> </w:t>
            </w:r>
            <w:r w:rsidR="0022622D" w:rsidRPr="0022622D">
              <w:rPr>
                <w:bCs/>
                <w:sz w:val="28"/>
                <w:szCs w:val="28"/>
              </w:rPr>
              <w:t xml:space="preserve"> </w:t>
            </w:r>
            <w:proofErr w:type="gramEnd"/>
            <w:r w:rsidR="0022622D" w:rsidRPr="0022622D">
              <w:rPr>
                <w:bCs/>
                <w:sz w:val="28"/>
                <w:szCs w:val="28"/>
              </w:rPr>
              <w:t>„Aizvestajiem”</w:t>
            </w:r>
            <w:r w:rsidR="008C0D51">
              <w:rPr>
                <w:bCs/>
                <w:sz w:val="28"/>
                <w:szCs w:val="28"/>
              </w:rPr>
              <w:t xml:space="preserve"> (4 490 </w:t>
            </w:r>
            <w:proofErr w:type="spellStart"/>
            <w:r w:rsidR="008C0D51">
              <w:rPr>
                <w:bCs/>
                <w:i/>
                <w:sz w:val="28"/>
                <w:szCs w:val="28"/>
              </w:rPr>
              <w:t>euro</w:t>
            </w:r>
            <w:proofErr w:type="spellEnd"/>
            <w:r w:rsidR="008C0D51">
              <w:rPr>
                <w:bCs/>
                <w:sz w:val="28"/>
                <w:szCs w:val="28"/>
              </w:rPr>
              <w:t>)</w:t>
            </w:r>
            <w:r w:rsidR="000543EA">
              <w:rPr>
                <w:bCs/>
                <w:sz w:val="28"/>
                <w:szCs w:val="28"/>
              </w:rPr>
              <w:t>.</w:t>
            </w:r>
          </w:p>
          <w:p w:rsidR="007C17A9" w:rsidRDefault="000543EA" w:rsidP="00A57684">
            <w:pPr>
              <w:pStyle w:val="Default"/>
              <w:jc w:val="both"/>
              <w:rPr>
                <w:bCs/>
                <w:sz w:val="28"/>
                <w:szCs w:val="28"/>
              </w:rPr>
            </w:pPr>
            <w:r w:rsidRPr="002D784C">
              <w:rPr>
                <w:sz w:val="28"/>
                <w:szCs w:val="28"/>
              </w:rPr>
              <w:t>Ņemot vērā Deklarācijā pausto apņemšanos s</w:t>
            </w:r>
            <w:r w:rsidRPr="00F71318">
              <w:rPr>
                <w:sz w:val="28"/>
                <w:szCs w:val="28"/>
              </w:rPr>
              <w:t>tiprināt piederības izjūtu Latvijai un latviskajai kultūrtelpai, atbalstīt pasākumus ārvalstīs dzīvojošo tautiešu politiskai un pilsoniskai līdzdalībai un iesaistei Latvijas ekonomiskajā un kultūras dzīvē, izglītībā un zinātnē</w:t>
            </w:r>
            <w:r w:rsidR="002D784C">
              <w:rPr>
                <w:sz w:val="23"/>
                <w:szCs w:val="23"/>
              </w:rPr>
              <w:t xml:space="preserve">, </w:t>
            </w:r>
            <w:r w:rsidR="004F700A">
              <w:rPr>
                <w:sz w:val="28"/>
                <w:szCs w:val="28"/>
              </w:rPr>
              <w:t xml:space="preserve">Ārlietu </w:t>
            </w:r>
            <w:r w:rsidR="00F61E21">
              <w:rPr>
                <w:sz w:val="28"/>
                <w:szCs w:val="28"/>
              </w:rPr>
              <w:t xml:space="preserve">ministrija </w:t>
            </w:r>
            <w:r w:rsidR="00F61E21" w:rsidRPr="00A56C50">
              <w:rPr>
                <w:sz w:val="28"/>
                <w:szCs w:val="28"/>
              </w:rPr>
              <w:t xml:space="preserve">ir izvērtējusi iespējas finansēt </w:t>
            </w:r>
            <w:r w:rsidR="00F61E21">
              <w:rPr>
                <w:sz w:val="28"/>
                <w:szCs w:val="28"/>
              </w:rPr>
              <w:t xml:space="preserve">sociālās atmiņas stiprināšanas pasākumus </w:t>
            </w:r>
            <w:proofErr w:type="gramStart"/>
            <w:r w:rsidR="00F61E21" w:rsidRPr="00A56C50">
              <w:rPr>
                <w:sz w:val="28"/>
                <w:szCs w:val="28"/>
              </w:rPr>
              <w:t>2015.gadā</w:t>
            </w:r>
            <w:proofErr w:type="gramEnd"/>
            <w:r w:rsidR="00F61E21" w:rsidRPr="00A56C50">
              <w:rPr>
                <w:sz w:val="28"/>
                <w:szCs w:val="28"/>
              </w:rPr>
              <w:t xml:space="preserve"> apstiprinātā budžeta ietvaros, un secinājusi, ka </w:t>
            </w:r>
            <w:r w:rsidR="00F61E21">
              <w:rPr>
                <w:sz w:val="28"/>
                <w:szCs w:val="28"/>
              </w:rPr>
              <w:t>segt minētos</w:t>
            </w:r>
            <w:r w:rsidR="00F61E21" w:rsidRPr="00A56C50">
              <w:rPr>
                <w:sz w:val="28"/>
                <w:szCs w:val="28"/>
              </w:rPr>
              <w:t xml:space="preserve"> </w:t>
            </w:r>
            <w:r w:rsidR="00F61E21">
              <w:rPr>
                <w:sz w:val="28"/>
                <w:szCs w:val="28"/>
              </w:rPr>
              <w:t>pasākumus</w:t>
            </w:r>
            <w:r w:rsidR="00F61E21" w:rsidRPr="00A56C50">
              <w:rPr>
                <w:sz w:val="28"/>
                <w:szCs w:val="28"/>
              </w:rPr>
              <w:t xml:space="preserve"> esošā budžeta ietvaros</w:t>
            </w:r>
            <w:r w:rsidR="00F61E21">
              <w:rPr>
                <w:sz w:val="28"/>
                <w:szCs w:val="28"/>
              </w:rPr>
              <w:t xml:space="preserve"> nav iespējams. </w:t>
            </w:r>
            <w:r w:rsidR="004F700A">
              <w:rPr>
                <w:sz w:val="28"/>
                <w:szCs w:val="28"/>
              </w:rPr>
              <w:t>Ārlietu</w:t>
            </w:r>
            <w:r w:rsidR="00D05BB1" w:rsidRPr="00A56C50">
              <w:rPr>
                <w:sz w:val="28"/>
                <w:szCs w:val="28"/>
              </w:rPr>
              <w:t xml:space="preserve"> ministrija, pamatojoties uz Ministru kabineta 2009.gada 22.</w:t>
            </w:r>
            <w:r w:rsidR="00A57684">
              <w:rPr>
                <w:sz w:val="28"/>
                <w:szCs w:val="28"/>
              </w:rPr>
              <w:t>d</w:t>
            </w:r>
            <w:r w:rsidR="00D05BB1" w:rsidRPr="00A56C50">
              <w:rPr>
                <w:sz w:val="28"/>
                <w:szCs w:val="28"/>
              </w:rPr>
              <w:t>ecembra noteikumu Nr.1644 „Kārtība, kādā pieprasa un izlieto budžeta programmas „Līdzekļi neparedzētiem gadījumiem” līdzekļus” 3.punktu, kas nosaka, ka līdzekļus piešķir valsts pamatbudžeta apropriācijās neparedzētiem izdevumiem katastrofu un dabas stihiju seku novēršanai, to radīto zaudējumu kompensēšanai, valsts pārvaldes uzdevumu nodrošināšanai gadījumos, ja netiek izpildītas līgumsaistības un no sadarbības partnera tiek iekasēts vai ieturēts līgumsods vai procentu maksājums par saistību neizpildi, citiem neparedzētiem gadījumiem un valstiski īpaši nozīmīgiem pasākumiem, ir izstrādājusi rīkojuma projektu</w:t>
            </w:r>
            <w:r w:rsidR="00D05BB1">
              <w:rPr>
                <w:sz w:val="28"/>
                <w:szCs w:val="28"/>
              </w:rPr>
              <w:t>, kas paredz finanšu līdzekļu</w:t>
            </w:r>
            <w:r w:rsidR="00F61E21">
              <w:rPr>
                <w:sz w:val="28"/>
                <w:szCs w:val="28"/>
              </w:rPr>
              <w:t xml:space="preserve"> </w:t>
            </w:r>
            <w:r w:rsidR="00F61E21">
              <w:rPr>
                <w:bCs/>
                <w:sz w:val="28"/>
                <w:szCs w:val="28"/>
              </w:rPr>
              <w:t>40 </w:t>
            </w:r>
            <w:r w:rsidR="00F61E21" w:rsidRPr="00270DC2">
              <w:rPr>
                <w:bCs/>
                <w:sz w:val="28"/>
                <w:szCs w:val="28"/>
              </w:rPr>
              <w:t>000</w:t>
            </w:r>
            <w:r w:rsidR="00F61E21">
              <w:rPr>
                <w:bCs/>
                <w:sz w:val="28"/>
                <w:szCs w:val="28"/>
              </w:rPr>
              <w:t> </w:t>
            </w:r>
            <w:proofErr w:type="spellStart"/>
            <w:r w:rsidR="00F61E21" w:rsidRPr="00217D6B">
              <w:rPr>
                <w:bCs/>
                <w:i/>
                <w:sz w:val="28"/>
                <w:szCs w:val="28"/>
              </w:rPr>
              <w:t>euro</w:t>
            </w:r>
            <w:proofErr w:type="spellEnd"/>
            <w:r w:rsidR="00F61E21">
              <w:rPr>
                <w:bCs/>
                <w:i/>
                <w:sz w:val="28"/>
                <w:szCs w:val="28"/>
              </w:rPr>
              <w:t xml:space="preserve"> </w:t>
            </w:r>
            <w:r w:rsidR="00DC19FF" w:rsidRPr="00DC19FF">
              <w:rPr>
                <w:bCs/>
                <w:sz w:val="28"/>
                <w:szCs w:val="28"/>
              </w:rPr>
              <w:t>apmērā</w:t>
            </w:r>
            <w:r w:rsidR="00D05BB1" w:rsidRPr="00F61E21">
              <w:rPr>
                <w:sz w:val="28"/>
                <w:szCs w:val="28"/>
              </w:rPr>
              <w:t xml:space="preserve"> </w:t>
            </w:r>
            <w:r w:rsidR="00D05BB1">
              <w:rPr>
                <w:sz w:val="28"/>
                <w:szCs w:val="28"/>
              </w:rPr>
              <w:t>piešķiršanu sociālās atmiņas stiprināšanas nodrošināšanai</w:t>
            </w:r>
            <w:r w:rsidR="005C1914">
              <w:rPr>
                <w:sz w:val="28"/>
                <w:szCs w:val="28"/>
              </w:rPr>
              <w:t xml:space="preserve"> nodibinājumam „Komunistiskā terora upuru atbalsta un palīdzības fonds „Sibīrijas </w:t>
            </w:r>
            <w:r w:rsidR="005C1914">
              <w:rPr>
                <w:sz w:val="28"/>
                <w:szCs w:val="28"/>
              </w:rPr>
              <w:lastRenderedPageBreak/>
              <w:t>bērni””.</w:t>
            </w:r>
          </w:p>
        </w:tc>
      </w:tr>
      <w:tr w:rsidR="005E6E19" w:rsidRPr="00CC0953" w:rsidTr="00CD0DBA">
        <w:tc>
          <w:tcPr>
            <w:tcW w:w="249" w:type="pct"/>
          </w:tcPr>
          <w:p w:rsidR="007C17A9" w:rsidRDefault="00DC19FF">
            <w:pPr>
              <w:jc w:val="center"/>
              <w:rPr>
                <w:rFonts w:ascii="Times New Roman" w:hAnsi="Times New Roman" w:cs="Times New Roman"/>
                <w:sz w:val="28"/>
                <w:szCs w:val="28"/>
              </w:rPr>
            </w:pPr>
            <w:r w:rsidRPr="00DC19FF">
              <w:rPr>
                <w:rFonts w:ascii="Times New Roman" w:hAnsi="Times New Roman" w:cs="Times New Roman"/>
                <w:sz w:val="28"/>
                <w:szCs w:val="28"/>
              </w:rPr>
              <w:lastRenderedPageBreak/>
              <w:t>3.</w:t>
            </w:r>
          </w:p>
        </w:tc>
        <w:tc>
          <w:tcPr>
            <w:tcW w:w="1870" w:type="pct"/>
          </w:tcPr>
          <w:p w:rsidR="005E6E19" w:rsidRPr="00CC0953" w:rsidRDefault="00DC19FF" w:rsidP="005E6E19">
            <w:pPr>
              <w:spacing w:after="200" w:line="276" w:lineRule="auto"/>
              <w:rPr>
                <w:rFonts w:ascii="Times New Roman" w:hAnsi="Times New Roman" w:cs="Times New Roman"/>
                <w:sz w:val="28"/>
                <w:szCs w:val="28"/>
              </w:rPr>
            </w:pPr>
            <w:r w:rsidRPr="00DC19FF">
              <w:rPr>
                <w:rFonts w:ascii="Times New Roman" w:eastAsia="Calibri" w:hAnsi="Times New Roman" w:cs="Times New Roman"/>
                <w:sz w:val="28"/>
                <w:szCs w:val="28"/>
              </w:rPr>
              <w:t>Projekta izstrādē iesaistītās institūcijas</w:t>
            </w:r>
          </w:p>
        </w:tc>
        <w:tc>
          <w:tcPr>
            <w:tcW w:w="2881" w:type="pct"/>
          </w:tcPr>
          <w:p w:rsidR="005E6E19" w:rsidRPr="00CC0953" w:rsidRDefault="004F700A" w:rsidP="004F700A">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Ārlietu</w:t>
            </w:r>
            <w:r w:rsidR="00DC19FF" w:rsidRPr="00DC19FF">
              <w:rPr>
                <w:rFonts w:ascii="Times New Roman" w:hAnsi="Times New Roman" w:cs="Times New Roman"/>
                <w:sz w:val="28"/>
                <w:szCs w:val="28"/>
              </w:rPr>
              <w:t xml:space="preserve"> ministrija</w:t>
            </w:r>
            <w:r w:rsidR="008770FC">
              <w:rPr>
                <w:rFonts w:ascii="Times New Roman" w:hAnsi="Times New Roman" w:cs="Times New Roman"/>
                <w:sz w:val="28"/>
                <w:szCs w:val="28"/>
              </w:rPr>
              <w:t>.</w:t>
            </w:r>
          </w:p>
        </w:tc>
      </w:tr>
      <w:tr w:rsidR="005E6E19" w:rsidRPr="00CC0953" w:rsidTr="00CD0DBA">
        <w:trPr>
          <w:trHeight w:val="471"/>
        </w:trPr>
        <w:tc>
          <w:tcPr>
            <w:tcW w:w="249" w:type="pct"/>
          </w:tcPr>
          <w:p w:rsidR="007C17A9" w:rsidRDefault="00DC19FF">
            <w:pPr>
              <w:jc w:val="center"/>
              <w:rPr>
                <w:rFonts w:ascii="Times New Roman" w:hAnsi="Times New Roman" w:cs="Times New Roman"/>
                <w:sz w:val="28"/>
                <w:szCs w:val="28"/>
              </w:rPr>
            </w:pPr>
            <w:r w:rsidRPr="00DC19FF">
              <w:rPr>
                <w:rFonts w:ascii="Times New Roman" w:hAnsi="Times New Roman" w:cs="Times New Roman"/>
                <w:sz w:val="28"/>
                <w:szCs w:val="28"/>
              </w:rPr>
              <w:t>4.</w:t>
            </w:r>
          </w:p>
        </w:tc>
        <w:tc>
          <w:tcPr>
            <w:tcW w:w="1870" w:type="pct"/>
          </w:tcPr>
          <w:p w:rsidR="005E6E19" w:rsidRPr="00CC0953" w:rsidRDefault="00DC19FF" w:rsidP="005E6E19">
            <w:pPr>
              <w:spacing w:after="200" w:line="276" w:lineRule="auto"/>
              <w:rPr>
                <w:rFonts w:ascii="Times New Roman" w:hAnsi="Times New Roman" w:cs="Times New Roman"/>
                <w:sz w:val="28"/>
                <w:szCs w:val="28"/>
              </w:rPr>
            </w:pPr>
            <w:r w:rsidRPr="00DC19FF">
              <w:rPr>
                <w:rFonts w:ascii="Times New Roman" w:hAnsi="Times New Roman" w:cs="Times New Roman"/>
                <w:sz w:val="28"/>
                <w:szCs w:val="28"/>
              </w:rPr>
              <w:t>Cita informācija</w:t>
            </w:r>
          </w:p>
        </w:tc>
        <w:tc>
          <w:tcPr>
            <w:tcW w:w="2881" w:type="pct"/>
          </w:tcPr>
          <w:p w:rsidR="005E6E19" w:rsidRPr="00CC0953" w:rsidRDefault="00DC19FF" w:rsidP="005E6E19">
            <w:pPr>
              <w:spacing w:after="200" w:line="276" w:lineRule="auto"/>
              <w:jc w:val="both"/>
              <w:rPr>
                <w:rFonts w:ascii="Times New Roman" w:hAnsi="Times New Roman" w:cs="Times New Roman"/>
                <w:sz w:val="28"/>
                <w:szCs w:val="28"/>
              </w:rPr>
            </w:pPr>
            <w:r w:rsidRPr="00DC19FF">
              <w:rPr>
                <w:rFonts w:ascii="Times New Roman" w:hAnsi="Times New Roman" w:cs="Times New Roman"/>
                <w:sz w:val="28"/>
                <w:szCs w:val="28"/>
              </w:rPr>
              <w:t>Nav</w:t>
            </w:r>
          </w:p>
        </w:tc>
      </w:tr>
    </w:tbl>
    <w:p w:rsidR="007C17A9" w:rsidRPr="00D828F6" w:rsidRDefault="007C17A9">
      <w:pPr>
        <w:spacing w:after="0" w:line="240" w:lineRule="auto"/>
        <w:outlineLvl w:val="0"/>
        <w:rPr>
          <w:rFonts w:ascii="Times New Roman" w:eastAsia="Times New Roman" w:hAnsi="Times New Roman" w:cs="Times New Roman"/>
          <w:i/>
          <w:iCs/>
          <w:sz w:val="12"/>
          <w:szCs w:val="12"/>
        </w:rPr>
      </w:pPr>
    </w:p>
    <w:p w:rsidR="007C17A9" w:rsidRDefault="00CC0953">
      <w:pPr>
        <w:spacing w:after="0" w:line="240" w:lineRule="auto"/>
        <w:outlineLvl w:val="0"/>
        <w:rPr>
          <w:rFonts w:ascii="Times New Roman" w:eastAsia="Times New Roman" w:hAnsi="Times New Roman" w:cs="Times New Roman"/>
          <w:i/>
          <w:iCs/>
          <w:sz w:val="28"/>
          <w:szCs w:val="28"/>
        </w:rPr>
      </w:pPr>
      <w:r w:rsidRPr="00CC0953">
        <w:rPr>
          <w:rFonts w:ascii="Times New Roman" w:eastAsia="Times New Roman" w:hAnsi="Times New Roman" w:cs="Times New Roman"/>
          <w:i/>
          <w:iCs/>
          <w:sz w:val="28"/>
          <w:szCs w:val="28"/>
        </w:rPr>
        <w:t>Anotācijas II, IV, V un VI sadaļa –</w:t>
      </w:r>
      <w:r>
        <w:rPr>
          <w:rFonts w:ascii="Times New Roman" w:eastAsia="Times New Roman" w:hAnsi="Times New Roman" w:cs="Times New Roman"/>
          <w:i/>
          <w:iCs/>
          <w:sz w:val="28"/>
          <w:szCs w:val="28"/>
        </w:rPr>
        <w:t xml:space="preserve"> </w:t>
      </w:r>
      <w:r w:rsidR="00CD0DBA">
        <w:rPr>
          <w:rFonts w:ascii="Times New Roman" w:eastAsia="Times New Roman" w:hAnsi="Times New Roman" w:cs="Times New Roman"/>
          <w:i/>
          <w:iCs/>
          <w:sz w:val="28"/>
          <w:szCs w:val="28"/>
        </w:rPr>
        <w:t xml:space="preserve">rīkojuma </w:t>
      </w:r>
      <w:r w:rsidRPr="00CC0953">
        <w:rPr>
          <w:rFonts w:ascii="Times New Roman" w:eastAsia="Times New Roman" w:hAnsi="Times New Roman" w:cs="Times New Roman"/>
          <w:i/>
          <w:iCs/>
          <w:sz w:val="28"/>
          <w:szCs w:val="28"/>
        </w:rPr>
        <w:t xml:space="preserve">projekts šīs jomas neskar. </w:t>
      </w:r>
    </w:p>
    <w:p w:rsidR="00CC0953" w:rsidRPr="00D828F6" w:rsidRDefault="00CC0953">
      <w:pPr>
        <w:rPr>
          <w:rFonts w:ascii="Times New Roman" w:hAnsi="Times New Roman" w:cs="Times New Roman"/>
          <w:sz w:val="12"/>
          <w:szCs w:val="12"/>
        </w:rPr>
      </w:pPr>
    </w:p>
    <w:tbl>
      <w:tblPr>
        <w:tblStyle w:val="TableGrid"/>
        <w:tblW w:w="0" w:type="auto"/>
        <w:tblLayout w:type="fixed"/>
        <w:tblLook w:val="04A0" w:firstRow="1" w:lastRow="0" w:firstColumn="1" w:lastColumn="0" w:noHBand="0" w:noVBand="1"/>
      </w:tblPr>
      <w:tblGrid>
        <w:gridCol w:w="581"/>
        <w:gridCol w:w="1824"/>
        <w:gridCol w:w="1165"/>
        <w:gridCol w:w="1181"/>
        <w:gridCol w:w="177"/>
        <w:gridCol w:w="1417"/>
        <w:gridCol w:w="1418"/>
        <w:gridCol w:w="1524"/>
      </w:tblGrid>
      <w:tr w:rsidR="0048754D" w:rsidRPr="00B8509F" w:rsidTr="00A57684">
        <w:tc>
          <w:tcPr>
            <w:tcW w:w="9287" w:type="dxa"/>
            <w:gridSpan w:val="8"/>
          </w:tcPr>
          <w:p w:rsidR="007C17A9" w:rsidRPr="00B8509F" w:rsidRDefault="00DC19FF" w:rsidP="00B8509F">
            <w:pPr>
              <w:pStyle w:val="ListParagraph"/>
              <w:ind w:left="0"/>
              <w:jc w:val="center"/>
              <w:rPr>
                <w:rFonts w:ascii="Times New Roman" w:hAnsi="Times New Roman" w:cs="Times New Roman"/>
                <w:sz w:val="28"/>
                <w:szCs w:val="28"/>
              </w:rPr>
            </w:pPr>
            <w:r w:rsidRPr="00B8509F">
              <w:rPr>
                <w:rFonts w:ascii="Times New Roman" w:hAnsi="Times New Roman" w:cs="Times New Roman"/>
                <w:b/>
                <w:sz w:val="28"/>
                <w:szCs w:val="28"/>
              </w:rPr>
              <w:t>III.</w:t>
            </w:r>
            <w:r w:rsidR="00CC0953" w:rsidRPr="00B8509F">
              <w:rPr>
                <w:rFonts w:ascii="Times New Roman" w:hAnsi="Times New Roman" w:cs="Times New Roman"/>
                <w:b/>
                <w:sz w:val="28"/>
                <w:szCs w:val="28"/>
              </w:rPr>
              <w:t xml:space="preserve"> </w:t>
            </w:r>
            <w:r w:rsidRPr="00B8509F">
              <w:rPr>
                <w:rFonts w:ascii="Times New Roman" w:hAnsi="Times New Roman" w:cs="Times New Roman"/>
                <w:b/>
                <w:sz w:val="28"/>
                <w:szCs w:val="28"/>
              </w:rPr>
              <w:t>Tiesību akta projekta ietekme uz valsts budžetu un pašvaldību budžetiem</w:t>
            </w:r>
          </w:p>
        </w:tc>
      </w:tr>
      <w:tr w:rsidR="0048754D" w:rsidRPr="00B8509F" w:rsidTr="00A57684">
        <w:trPr>
          <w:trHeight w:val="453"/>
        </w:trPr>
        <w:tc>
          <w:tcPr>
            <w:tcW w:w="2405" w:type="dxa"/>
            <w:gridSpan w:val="2"/>
            <w:vMerge w:val="restart"/>
            <w:vAlign w:val="center"/>
          </w:tcPr>
          <w:p w:rsidR="0048754D" w:rsidRPr="00B8509F" w:rsidRDefault="00DC19FF" w:rsidP="00B8509F">
            <w:pPr>
              <w:ind w:left="720"/>
              <w:contextualSpacing/>
              <w:jc w:val="center"/>
              <w:rPr>
                <w:rFonts w:ascii="Times New Roman" w:hAnsi="Times New Roman" w:cs="Times New Roman"/>
                <w:b/>
                <w:sz w:val="28"/>
                <w:szCs w:val="28"/>
              </w:rPr>
            </w:pPr>
            <w:r w:rsidRPr="00B8509F">
              <w:rPr>
                <w:rFonts w:ascii="Times New Roman" w:hAnsi="Times New Roman" w:cs="Times New Roman"/>
                <w:b/>
                <w:sz w:val="28"/>
                <w:szCs w:val="28"/>
              </w:rPr>
              <w:t>Rādītāji</w:t>
            </w:r>
          </w:p>
        </w:tc>
        <w:tc>
          <w:tcPr>
            <w:tcW w:w="2523" w:type="dxa"/>
            <w:gridSpan w:val="3"/>
            <w:vMerge w:val="restart"/>
            <w:vAlign w:val="center"/>
          </w:tcPr>
          <w:p w:rsidR="0048754D" w:rsidRPr="00B8509F" w:rsidRDefault="00DC19FF" w:rsidP="00B8509F">
            <w:pPr>
              <w:ind w:left="720"/>
              <w:contextualSpacing/>
              <w:jc w:val="center"/>
              <w:rPr>
                <w:rFonts w:ascii="Times New Roman" w:hAnsi="Times New Roman" w:cs="Times New Roman"/>
                <w:b/>
                <w:sz w:val="28"/>
                <w:szCs w:val="28"/>
              </w:rPr>
            </w:pPr>
            <w:r w:rsidRPr="00B8509F">
              <w:rPr>
                <w:rFonts w:ascii="Times New Roman" w:hAnsi="Times New Roman" w:cs="Times New Roman"/>
                <w:b/>
                <w:sz w:val="28"/>
                <w:szCs w:val="28"/>
              </w:rPr>
              <w:t>2015</w:t>
            </w:r>
            <w:r w:rsidR="00CC0953" w:rsidRPr="00B8509F">
              <w:rPr>
                <w:rFonts w:ascii="Times New Roman" w:hAnsi="Times New Roman" w:cs="Times New Roman"/>
                <w:b/>
                <w:sz w:val="28"/>
                <w:szCs w:val="28"/>
              </w:rPr>
              <w:t>.gads</w:t>
            </w:r>
          </w:p>
        </w:tc>
        <w:tc>
          <w:tcPr>
            <w:tcW w:w="4359" w:type="dxa"/>
            <w:gridSpan w:val="3"/>
            <w:vAlign w:val="center"/>
          </w:tcPr>
          <w:p w:rsidR="0048754D" w:rsidRPr="00B8509F" w:rsidRDefault="00DC19FF" w:rsidP="00B8509F">
            <w:pPr>
              <w:ind w:left="720"/>
              <w:contextualSpacing/>
              <w:jc w:val="center"/>
              <w:rPr>
                <w:rFonts w:ascii="Times New Roman" w:hAnsi="Times New Roman" w:cs="Times New Roman"/>
                <w:sz w:val="28"/>
                <w:szCs w:val="28"/>
              </w:rPr>
            </w:pPr>
            <w:r w:rsidRPr="00B8509F">
              <w:rPr>
                <w:rFonts w:ascii="Times New Roman" w:hAnsi="Times New Roman" w:cs="Times New Roman"/>
                <w:sz w:val="28"/>
                <w:szCs w:val="28"/>
              </w:rPr>
              <w:t>Turpmākie trīs gadi (</w:t>
            </w:r>
            <w:proofErr w:type="spellStart"/>
            <w:r w:rsidRPr="00B8509F">
              <w:rPr>
                <w:rFonts w:ascii="Times New Roman" w:hAnsi="Times New Roman" w:cs="Times New Roman"/>
                <w:i/>
                <w:sz w:val="28"/>
                <w:szCs w:val="28"/>
              </w:rPr>
              <w:t>euro</w:t>
            </w:r>
            <w:proofErr w:type="spellEnd"/>
            <w:r w:rsidRPr="00B8509F">
              <w:rPr>
                <w:rFonts w:ascii="Times New Roman" w:hAnsi="Times New Roman" w:cs="Times New Roman"/>
                <w:sz w:val="28"/>
                <w:szCs w:val="28"/>
              </w:rPr>
              <w:t>)</w:t>
            </w:r>
          </w:p>
        </w:tc>
      </w:tr>
      <w:tr w:rsidR="00B8509F" w:rsidRPr="00B8509F" w:rsidTr="00A57684">
        <w:trPr>
          <w:trHeight w:val="530"/>
        </w:trPr>
        <w:tc>
          <w:tcPr>
            <w:tcW w:w="2405" w:type="dxa"/>
            <w:gridSpan w:val="2"/>
            <w:vMerge/>
          </w:tcPr>
          <w:p w:rsidR="0048754D" w:rsidRPr="00B8509F" w:rsidRDefault="0048754D" w:rsidP="00B8509F">
            <w:pPr>
              <w:rPr>
                <w:rFonts w:ascii="Times New Roman" w:hAnsi="Times New Roman" w:cs="Times New Roman"/>
                <w:sz w:val="28"/>
                <w:szCs w:val="28"/>
              </w:rPr>
            </w:pPr>
          </w:p>
        </w:tc>
        <w:tc>
          <w:tcPr>
            <w:tcW w:w="2523" w:type="dxa"/>
            <w:gridSpan w:val="3"/>
            <w:vMerge/>
          </w:tcPr>
          <w:p w:rsidR="0048754D" w:rsidRPr="00B8509F" w:rsidRDefault="0048754D" w:rsidP="00B8509F">
            <w:pPr>
              <w:rPr>
                <w:rFonts w:ascii="Times New Roman" w:hAnsi="Times New Roman" w:cs="Times New Roman"/>
                <w:sz w:val="28"/>
                <w:szCs w:val="28"/>
              </w:rPr>
            </w:pPr>
          </w:p>
        </w:tc>
        <w:tc>
          <w:tcPr>
            <w:tcW w:w="1417" w:type="dxa"/>
            <w:vAlign w:val="center"/>
          </w:tcPr>
          <w:p w:rsidR="0048754D" w:rsidRPr="00B8509F" w:rsidRDefault="00DC19FF" w:rsidP="00B8509F">
            <w:pPr>
              <w:jc w:val="center"/>
              <w:rPr>
                <w:rFonts w:ascii="Times New Roman" w:hAnsi="Times New Roman" w:cs="Times New Roman"/>
                <w:b/>
                <w:sz w:val="28"/>
                <w:szCs w:val="28"/>
              </w:rPr>
            </w:pPr>
            <w:r w:rsidRPr="00B8509F">
              <w:rPr>
                <w:rFonts w:ascii="Times New Roman" w:hAnsi="Times New Roman" w:cs="Times New Roman"/>
                <w:b/>
                <w:sz w:val="28"/>
                <w:szCs w:val="28"/>
              </w:rPr>
              <w:t>2016</w:t>
            </w:r>
            <w:r w:rsidR="00CC0953" w:rsidRPr="00B8509F">
              <w:rPr>
                <w:rFonts w:ascii="Times New Roman" w:hAnsi="Times New Roman" w:cs="Times New Roman"/>
                <w:b/>
                <w:sz w:val="28"/>
                <w:szCs w:val="28"/>
              </w:rPr>
              <w:t>.gads</w:t>
            </w:r>
          </w:p>
        </w:tc>
        <w:tc>
          <w:tcPr>
            <w:tcW w:w="1418" w:type="dxa"/>
            <w:vAlign w:val="center"/>
          </w:tcPr>
          <w:p w:rsidR="0048754D" w:rsidRPr="00B8509F" w:rsidRDefault="00DC19FF" w:rsidP="00B8509F">
            <w:pPr>
              <w:jc w:val="center"/>
              <w:rPr>
                <w:rFonts w:ascii="Times New Roman" w:hAnsi="Times New Roman" w:cs="Times New Roman"/>
                <w:b/>
                <w:sz w:val="28"/>
                <w:szCs w:val="28"/>
              </w:rPr>
            </w:pPr>
            <w:r w:rsidRPr="00B8509F">
              <w:rPr>
                <w:rFonts w:ascii="Times New Roman" w:hAnsi="Times New Roman" w:cs="Times New Roman"/>
                <w:b/>
                <w:sz w:val="28"/>
                <w:szCs w:val="28"/>
              </w:rPr>
              <w:t>2017</w:t>
            </w:r>
            <w:r w:rsidR="00CC0953" w:rsidRPr="00B8509F">
              <w:rPr>
                <w:rFonts w:ascii="Times New Roman" w:hAnsi="Times New Roman" w:cs="Times New Roman"/>
                <w:b/>
                <w:sz w:val="28"/>
                <w:szCs w:val="28"/>
              </w:rPr>
              <w:t>.gads</w:t>
            </w:r>
          </w:p>
        </w:tc>
        <w:tc>
          <w:tcPr>
            <w:tcW w:w="1524" w:type="dxa"/>
            <w:vAlign w:val="center"/>
          </w:tcPr>
          <w:p w:rsidR="0048754D" w:rsidRPr="00B8509F" w:rsidRDefault="00DC19FF" w:rsidP="00B8509F">
            <w:pPr>
              <w:jc w:val="center"/>
              <w:rPr>
                <w:rFonts w:ascii="Times New Roman" w:hAnsi="Times New Roman" w:cs="Times New Roman"/>
                <w:b/>
                <w:sz w:val="28"/>
                <w:szCs w:val="28"/>
              </w:rPr>
            </w:pPr>
            <w:r w:rsidRPr="00B8509F">
              <w:rPr>
                <w:rFonts w:ascii="Times New Roman" w:hAnsi="Times New Roman" w:cs="Times New Roman"/>
                <w:b/>
                <w:sz w:val="28"/>
                <w:szCs w:val="28"/>
              </w:rPr>
              <w:t>2018</w:t>
            </w:r>
            <w:r w:rsidR="00CC0953" w:rsidRPr="00B8509F">
              <w:rPr>
                <w:rFonts w:ascii="Times New Roman" w:hAnsi="Times New Roman" w:cs="Times New Roman"/>
                <w:b/>
                <w:sz w:val="28"/>
                <w:szCs w:val="28"/>
              </w:rPr>
              <w:t>.gads</w:t>
            </w:r>
          </w:p>
        </w:tc>
      </w:tr>
      <w:tr w:rsidR="00B8509F" w:rsidRPr="00B8509F" w:rsidTr="00A57684">
        <w:tc>
          <w:tcPr>
            <w:tcW w:w="2405" w:type="dxa"/>
            <w:gridSpan w:val="2"/>
            <w:vMerge/>
          </w:tcPr>
          <w:p w:rsidR="0048754D" w:rsidRPr="00B8509F" w:rsidRDefault="0048754D" w:rsidP="00B8509F">
            <w:pPr>
              <w:rPr>
                <w:rFonts w:ascii="Times New Roman" w:hAnsi="Times New Roman" w:cs="Times New Roman"/>
                <w:sz w:val="28"/>
                <w:szCs w:val="28"/>
              </w:rPr>
            </w:pPr>
          </w:p>
        </w:tc>
        <w:tc>
          <w:tcPr>
            <w:tcW w:w="1165" w:type="dxa"/>
            <w:vAlign w:val="center"/>
          </w:tcPr>
          <w:p w:rsidR="0048754D" w:rsidRPr="00B8509F" w:rsidRDefault="00CC0953" w:rsidP="00B8509F">
            <w:pPr>
              <w:jc w:val="center"/>
              <w:rPr>
                <w:rFonts w:ascii="Times New Roman" w:hAnsi="Times New Roman" w:cs="Times New Roman"/>
                <w:sz w:val="28"/>
                <w:szCs w:val="28"/>
              </w:rPr>
            </w:pPr>
            <w:r w:rsidRPr="00B8509F">
              <w:rPr>
                <w:rFonts w:ascii="Times New Roman" w:eastAsia="Calibri" w:hAnsi="Times New Roman" w:cs="Times New Roman"/>
                <w:sz w:val="28"/>
                <w:szCs w:val="28"/>
              </w:rPr>
              <w:t>S</w:t>
            </w:r>
            <w:r w:rsidR="00DC19FF" w:rsidRPr="00B8509F">
              <w:rPr>
                <w:rFonts w:ascii="Times New Roman" w:eastAsia="Calibri" w:hAnsi="Times New Roman" w:cs="Times New Roman"/>
                <w:sz w:val="28"/>
                <w:szCs w:val="28"/>
              </w:rPr>
              <w:t>askaņā ar valsts budžetu kārtējam gadam</w:t>
            </w:r>
          </w:p>
        </w:tc>
        <w:tc>
          <w:tcPr>
            <w:tcW w:w="1358" w:type="dxa"/>
            <w:gridSpan w:val="2"/>
            <w:vAlign w:val="center"/>
          </w:tcPr>
          <w:p w:rsidR="0048754D" w:rsidRPr="00B8509F" w:rsidRDefault="00CC0953" w:rsidP="00B8509F">
            <w:pPr>
              <w:jc w:val="center"/>
              <w:rPr>
                <w:rFonts w:ascii="Times New Roman" w:hAnsi="Times New Roman" w:cs="Times New Roman"/>
                <w:sz w:val="28"/>
                <w:szCs w:val="28"/>
              </w:rPr>
            </w:pPr>
            <w:r w:rsidRPr="00B8509F">
              <w:rPr>
                <w:rFonts w:ascii="Times New Roman" w:eastAsia="Calibri" w:hAnsi="Times New Roman" w:cs="Times New Roman"/>
                <w:sz w:val="28"/>
                <w:szCs w:val="28"/>
              </w:rPr>
              <w:t>I</w:t>
            </w:r>
            <w:r w:rsidR="00DC19FF" w:rsidRPr="00B8509F">
              <w:rPr>
                <w:rFonts w:ascii="Times New Roman" w:eastAsia="Calibri" w:hAnsi="Times New Roman" w:cs="Times New Roman"/>
                <w:sz w:val="28"/>
                <w:szCs w:val="28"/>
              </w:rPr>
              <w:t>zmaiņas kārtējā gadā, salīdzinot ar budžetu kārtējam gadam</w:t>
            </w:r>
          </w:p>
        </w:tc>
        <w:tc>
          <w:tcPr>
            <w:tcW w:w="1417" w:type="dxa"/>
            <w:vAlign w:val="center"/>
          </w:tcPr>
          <w:p w:rsidR="0048754D" w:rsidRPr="00B8509F" w:rsidRDefault="00CC0953" w:rsidP="00B8509F">
            <w:pPr>
              <w:jc w:val="center"/>
              <w:rPr>
                <w:rFonts w:ascii="Times New Roman" w:hAnsi="Times New Roman" w:cs="Times New Roman"/>
                <w:sz w:val="28"/>
                <w:szCs w:val="28"/>
              </w:rPr>
            </w:pPr>
            <w:r w:rsidRPr="00B8509F">
              <w:rPr>
                <w:rFonts w:ascii="Times New Roman" w:eastAsia="Calibri" w:hAnsi="Times New Roman" w:cs="Times New Roman"/>
                <w:sz w:val="28"/>
                <w:szCs w:val="28"/>
              </w:rPr>
              <w:t>I</w:t>
            </w:r>
            <w:r w:rsidR="00DC19FF" w:rsidRPr="00B8509F">
              <w:rPr>
                <w:rFonts w:ascii="Times New Roman" w:eastAsia="Calibri" w:hAnsi="Times New Roman" w:cs="Times New Roman"/>
                <w:sz w:val="28"/>
                <w:szCs w:val="28"/>
              </w:rPr>
              <w:t xml:space="preserve">zmaiņas, salīdzinot ar kārtējo </w:t>
            </w:r>
            <w:r w:rsidRPr="00B8509F">
              <w:rPr>
                <w:rFonts w:ascii="Times New Roman" w:eastAsia="Calibri" w:hAnsi="Times New Roman" w:cs="Times New Roman"/>
                <w:sz w:val="28"/>
                <w:szCs w:val="28"/>
              </w:rPr>
              <w:t>(</w:t>
            </w:r>
            <w:r w:rsidR="00DC19FF" w:rsidRPr="00B8509F">
              <w:rPr>
                <w:rFonts w:ascii="Times New Roman" w:hAnsi="Times New Roman" w:cs="Times New Roman"/>
                <w:sz w:val="28"/>
                <w:szCs w:val="28"/>
              </w:rPr>
              <w:t>2015</w:t>
            </w:r>
            <w:r w:rsidRPr="00B8509F">
              <w:rPr>
                <w:rFonts w:ascii="Times New Roman" w:eastAsia="Calibri" w:hAnsi="Times New Roman" w:cs="Times New Roman"/>
                <w:sz w:val="28"/>
                <w:szCs w:val="28"/>
              </w:rPr>
              <w:t xml:space="preserve">) </w:t>
            </w:r>
            <w:r w:rsidR="00DC19FF" w:rsidRPr="00B8509F">
              <w:rPr>
                <w:rFonts w:ascii="Times New Roman" w:eastAsia="Calibri" w:hAnsi="Times New Roman" w:cs="Times New Roman"/>
                <w:sz w:val="28"/>
                <w:szCs w:val="28"/>
              </w:rPr>
              <w:t>gadu</w:t>
            </w:r>
          </w:p>
        </w:tc>
        <w:tc>
          <w:tcPr>
            <w:tcW w:w="1418" w:type="dxa"/>
            <w:vAlign w:val="center"/>
          </w:tcPr>
          <w:p w:rsidR="00CC0953" w:rsidRPr="00B8509F" w:rsidRDefault="00CC0953" w:rsidP="00B8509F">
            <w:pPr>
              <w:jc w:val="center"/>
              <w:rPr>
                <w:rFonts w:ascii="Times New Roman" w:eastAsia="Calibri" w:hAnsi="Times New Roman" w:cs="Times New Roman"/>
                <w:sz w:val="28"/>
                <w:szCs w:val="28"/>
              </w:rPr>
            </w:pPr>
            <w:r w:rsidRPr="00B8509F">
              <w:rPr>
                <w:rFonts w:ascii="Times New Roman" w:eastAsia="Calibri" w:hAnsi="Times New Roman" w:cs="Times New Roman"/>
                <w:sz w:val="28"/>
                <w:szCs w:val="28"/>
              </w:rPr>
              <w:t>I</w:t>
            </w:r>
            <w:r w:rsidR="00DC19FF" w:rsidRPr="00B8509F">
              <w:rPr>
                <w:rFonts w:ascii="Times New Roman" w:eastAsia="Calibri" w:hAnsi="Times New Roman" w:cs="Times New Roman"/>
                <w:sz w:val="28"/>
                <w:szCs w:val="28"/>
              </w:rPr>
              <w:t xml:space="preserve">zmaiņas, salīdzinot ar kārtējo </w:t>
            </w:r>
            <w:r w:rsidRPr="00B8509F">
              <w:rPr>
                <w:rFonts w:ascii="Times New Roman" w:eastAsia="Calibri" w:hAnsi="Times New Roman" w:cs="Times New Roman"/>
                <w:sz w:val="28"/>
                <w:szCs w:val="28"/>
              </w:rPr>
              <w:t>(</w:t>
            </w:r>
            <w:r w:rsidR="00DC19FF" w:rsidRPr="00B8509F">
              <w:rPr>
                <w:rFonts w:ascii="Times New Roman" w:hAnsi="Times New Roman" w:cs="Times New Roman"/>
                <w:sz w:val="28"/>
                <w:szCs w:val="28"/>
              </w:rPr>
              <w:t>2015</w:t>
            </w:r>
            <w:r w:rsidRPr="00B8509F">
              <w:rPr>
                <w:rFonts w:ascii="Times New Roman" w:eastAsia="Calibri" w:hAnsi="Times New Roman" w:cs="Times New Roman"/>
                <w:sz w:val="28"/>
                <w:szCs w:val="28"/>
              </w:rPr>
              <w:t>)</w:t>
            </w:r>
          </w:p>
          <w:p w:rsidR="0048754D" w:rsidRPr="00B8509F" w:rsidRDefault="00DC19FF" w:rsidP="00B8509F">
            <w:pPr>
              <w:jc w:val="center"/>
              <w:rPr>
                <w:rFonts w:ascii="Times New Roman" w:hAnsi="Times New Roman" w:cs="Times New Roman"/>
                <w:sz w:val="28"/>
                <w:szCs w:val="28"/>
              </w:rPr>
            </w:pPr>
            <w:r w:rsidRPr="00B8509F">
              <w:rPr>
                <w:rFonts w:ascii="Times New Roman" w:eastAsia="Calibri" w:hAnsi="Times New Roman" w:cs="Times New Roman"/>
                <w:sz w:val="28"/>
                <w:szCs w:val="28"/>
              </w:rPr>
              <w:t>gadu</w:t>
            </w:r>
          </w:p>
        </w:tc>
        <w:tc>
          <w:tcPr>
            <w:tcW w:w="1524" w:type="dxa"/>
            <w:vAlign w:val="center"/>
          </w:tcPr>
          <w:p w:rsidR="00CC0953" w:rsidRPr="00B8509F" w:rsidRDefault="00CC0953" w:rsidP="00B8509F">
            <w:pPr>
              <w:jc w:val="center"/>
              <w:rPr>
                <w:rFonts w:ascii="Times New Roman" w:eastAsia="Calibri" w:hAnsi="Times New Roman" w:cs="Times New Roman"/>
                <w:sz w:val="28"/>
                <w:szCs w:val="28"/>
              </w:rPr>
            </w:pPr>
            <w:r w:rsidRPr="00B8509F">
              <w:rPr>
                <w:rFonts w:ascii="Times New Roman" w:eastAsia="Calibri" w:hAnsi="Times New Roman" w:cs="Times New Roman"/>
                <w:sz w:val="28"/>
                <w:szCs w:val="28"/>
              </w:rPr>
              <w:t>I</w:t>
            </w:r>
            <w:r w:rsidR="00DC19FF" w:rsidRPr="00B8509F">
              <w:rPr>
                <w:rFonts w:ascii="Times New Roman" w:eastAsia="Calibri" w:hAnsi="Times New Roman" w:cs="Times New Roman"/>
                <w:sz w:val="28"/>
                <w:szCs w:val="28"/>
              </w:rPr>
              <w:t xml:space="preserve">zmaiņas, salīdzinot ar kārtējo </w:t>
            </w:r>
            <w:r w:rsidRPr="00B8509F">
              <w:rPr>
                <w:rFonts w:ascii="Times New Roman" w:eastAsia="Calibri" w:hAnsi="Times New Roman" w:cs="Times New Roman"/>
                <w:sz w:val="28"/>
                <w:szCs w:val="28"/>
              </w:rPr>
              <w:t>(</w:t>
            </w:r>
            <w:r w:rsidR="00DC19FF" w:rsidRPr="00B8509F">
              <w:rPr>
                <w:rFonts w:ascii="Times New Roman" w:hAnsi="Times New Roman" w:cs="Times New Roman"/>
                <w:sz w:val="28"/>
                <w:szCs w:val="28"/>
              </w:rPr>
              <w:t>2015</w:t>
            </w:r>
            <w:r w:rsidRPr="00B8509F">
              <w:rPr>
                <w:rFonts w:ascii="Times New Roman" w:eastAsia="Calibri" w:hAnsi="Times New Roman" w:cs="Times New Roman"/>
                <w:sz w:val="28"/>
                <w:szCs w:val="28"/>
              </w:rPr>
              <w:t>)</w:t>
            </w:r>
          </w:p>
          <w:p w:rsidR="0048754D" w:rsidRPr="00B8509F" w:rsidRDefault="00DC19FF" w:rsidP="00B8509F">
            <w:pPr>
              <w:jc w:val="center"/>
              <w:rPr>
                <w:rFonts w:ascii="Times New Roman" w:eastAsia="Calibri" w:hAnsi="Times New Roman" w:cs="Times New Roman"/>
                <w:sz w:val="28"/>
                <w:szCs w:val="28"/>
              </w:rPr>
            </w:pPr>
            <w:r w:rsidRPr="00B8509F">
              <w:rPr>
                <w:rFonts w:ascii="Times New Roman" w:eastAsia="Calibri" w:hAnsi="Times New Roman" w:cs="Times New Roman"/>
                <w:sz w:val="28"/>
                <w:szCs w:val="28"/>
              </w:rPr>
              <w:t>gadu</w:t>
            </w:r>
          </w:p>
        </w:tc>
      </w:tr>
      <w:tr w:rsidR="00B8509F" w:rsidRPr="00B8509F" w:rsidTr="00A57684">
        <w:tc>
          <w:tcPr>
            <w:tcW w:w="2405" w:type="dxa"/>
            <w:gridSpan w:val="2"/>
            <w:vAlign w:val="center"/>
          </w:tcPr>
          <w:p w:rsidR="0048754D" w:rsidRPr="00B8509F" w:rsidRDefault="00DC19FF" w:rsidP="00B8509F">
            <w:pPr>
              <w:jc w:val="both"/>
              <w:rPr>
                <w:rFonts w:ascii="Times New Roman" w:hAnsi="Times New Roman" w:cs="Times New Roman"/>
                <w:sz w:val="28"/>
                <w:szCs w:val="28"/>
              </w:rPr>
            </w:pPr>
            <w:r w:rsidRPr="00B8509F">
              <w:rPr>
                <w:rFonts w:ascii="Times New Roman" w:hAnsi="Times New Roman" w:cs="Times New Roman"/>
                <w:sz w:val="28"/>
                <w:szCs w:val="28"/>
              </w:rPr>
              <w:t>1</w:t>
            </w:r>
          </w:p>
        </w:tc>
        <w:tc>
          <w:tcPr>
            <w:tcW w:w="1165" w:type="dxa"/>
            <w:vAlign w:val="center"/>
          </w:tcPr>
          <w:p w:rsidR="0048754D"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2</w:t>
            </w:r>
          </w:p>
        </w:tc>
        <w:tc>
          <w:tcPr>
            <w:tcW w:w="1358" w:type="dxa"/>
            <w:gridSpan w:val="2"/>
            <w:vAlign w:val="center"/>
          </w:tcPr>
          <w:p w:rsidR="0048754D"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3</w:t>
            </w:r>
          </w:p>
        </w:tc>
        <w:tc>
          <w:tcPr>
            <w:tcW w:w="1417" w:type="dxa"/>
            <w:vAlign w:val="center"/>
          </w:tcPr>
          <w:p w:rsidR="0048754D"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4</w:t>
            </w:r>
          </w:p>
        </w:tc>
        <w:tc>
          <w:tcPr>
            <w:tcW w:w="1418" w:type="dxa"/>
            <w:vAlign w:val="center"/>
          </w:tcPr>
          <w:p w:rsidR="0048754D"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5</w:t>
            </w:r>
          </w:p>
        </w:tc>
        <w:tc>
          <w:tcPr>
            <w:tcW w:w="1524" w:type="dxa"/>
            <w:vAlign w:val="center"/>
          </w:tcPr>
          <w:p w:rsidR="0048754D"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6</w:t>
            </w:r>
          </w:p>
        </w:tc>
      </w:tr>
      <w:tr w:rsidR="00B8509F" w:rsidRPr="00B8509F" w:rsidTr="00A57684">
        <w:tc>
          <w:tcPr>
            <w:tcW w:w="2405" w:type="dxa"/>
            <w:gridSpan w:val="2"/>
          </w:tcPr>
          <w:p w:rsidR="0048754D" w:rsidRPr="00B8509F" w:rsidRDefault="00DC19FF" w:rsidP="00B8509F">
            <w:pPr>
              <w:rPr>
                <w:rFonts w:ascii="Times New Roman" w:hAnsi="Times New Roman" w:cs="Times New Roman"/>
                <w:sz w:val="28"/>
                <w:szCs w:val="28"/>
              </w:rPr>
            </w:pPr>
            <w:r w:rsidRPr="00B8509F">
              <w:rPr>
                <w:rFonts w:ascii="Times New Roman" w:eastAsia="Calibri" w:hAnsi="Times New Roman" w:cs="Times New Roman"/>
                <w:sz w:val="28"/>
                <w:szCs w:val="28"/>
              </w:rPr>
              <w:t>1. Budžeta ieņēmumi:</w:t>
            </w:r>
          </w:p>
        </w:tc>
        <w:tc>
          <w:tcPr>
            <w:tcW w:w="1165" w:type="dxa"/>
            <w:vAlign w:val="center"/>
          </w:tcPr>
          <w:p w:rsidR="0048754D"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c>
          <w:tcPr>
            <w:tcW w:w="1358" w:type="dxa"/>
            <w:gridSpan w:val="2"/>
            <w:vAlign w:val="center"/>
          </w:tcPr>
          <w:p w:rsidR="0048754D"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c>
          <w:tcPr>
            <w:tcW w:w="1417" w:type="dxa"/>
            <w:vAlign w:val="center"/>
          </w:tcPr>
          <w:p w:rsidR="0048754D"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c>
          <w:tcPr>
            <w:tcW w:w="1418" w:type="dxa"/>
            <w:vAlign w:val="center"/>
          </w:tcPr>
          <w:p w:rsidR="0048754D"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c>
          <w:tcPr>
            <w:tcW w:w="1524" w:type="dxa"/>
            <w:vAlign w:val="center"/>
          </w:tcPr>
          <w:p w:rsidR="0048754D"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r>
      <w:tr w:rsidR="00B8509F" w:rsidRPr="00B8509F" w:rsidTr="00A57684">
        <w:tc>
          <w:tcPr>
            <w:tcW w:w="2405" w:type="dxa"/>
            <w:gridSpan w:val="2"/>
          </w:tcPr>
          <w:p w:rsidR="0048754D" w:rsidRPr="00B8509F" w:rsidRDefault="00DC19FF" w:rsidP="00B8509F">
            <w:pPr>
              <w:rPr>
                <w:rFonts w:ascii="Times New Roman" w:hAnsi="Times New Roman" w:cs="Times New Roman"/>
                <w:sz w:val="28"/>
                <w:szCs w:val="28"/>
              </w:rPr>
            </w:pPr>
            <w:r w:rsidRPr="00B8509F">
              <w:rPr>
                <w:rFonts w:ascii="Times New Roman" w:eastAsia="Calibri" w:hAnsi="Times New Roman" w:cs="Times New Roman"/>
                <w:sz w:val="28"/>
                <w:szCs w:val="28"/>
              </w:rPr>
              <w:t>1.1. valsts pamatbudžets, tai skaitā ieņēmumi no maksas pakalpojumiem un citi pašu ieņēmumi</w:t>
            </w:r>
          </w:p>
        </w:tc>
        <w:tc>
          <w:tcPr>
            <w:tcW w:w="1165" w:type="dxa"/>
            <w:vAlign w:val="center"/>
          </w:tcPr>
          <w:p w:rsidR="0048754D"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c>
          <w:tcPr>
            <w:tcW w:w="1358" w:type="dxa"/>
            <w:gridSpan w:val="2"/>
            <w:vAlign w:val="center"/>
          </w:tcPr>
          <w:p w:rsidR="0048754D"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c>
          <w:tcPr>
            <w:tcW w:w="1417" w:type="dxa"/>
            <w:vAlign w:val="center"/>
          </w:tcPr>
          <w:p w:rsidR="0048754D"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c>
          <w:tcPr>
            <w:tcW w:w="1418" w:type="dxa"/>
            <w:vAlign w:val="center"/>
          </w:tcPr>
          <w:p w:rsidR="0048754D"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c>
          <w:tcPr>
            <w:tcW w:w="1524" w:type="dxa"/>
            <w:vAlign w:val="center"/>
          </w:tcPr>
          <w:p w:rsidR="0048754D"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r>
      <w:tr w:rsidR="00B8509F" w:rsidRPr="00B8509F" w:rsidTr="00A57684">
        <w:tc>
          <w:tcPr>
            <w:tcW w:w="2405" w:type="dxa"/>
            <w:gridSpan w:val="2"/>
          </w:tcPr>
          <w:p w:rsidR="0048754D" w:rsidRPr="00B8509F" w:rsidRDefault="00DC19FF" w:rsidP="00B8509F">
            <w:pPr>
              <w:rPr>
                <w:rFonts w:ascii="Times New Roman" w:hAnsi="Times New Roman" w:cs="Times New Roman"/>
                <w:sz w:val="28"/>
                <w:szCs w:val="28"/>
              </w:rPr>
            </w:pPr>
            <w:r w:rsidRPr="00B8509F">
              <w:rPr>
                <w:rFonts w:ascii="Times New Roman" w:eastAsia="Calibri" w:hAnsi="Times New Roman" w:cs="Times New Roman"/>
                <w:sz w:val="28"/>
                <w:szCs w:val="28"/>
              </w:rPr>
              <w:t>1.2. valsts speciālais budžets</w:t>
            </w:r>
          </w:p>
        </w:tc>
        <w:tc>
          <w:tcPr>
            <w:tcW w:w="1165" w:type="dxa"/>
            <w:vAlign w:val="center"/>
          </w:tcPr>
          <w:p w:rsidR="0048754D"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c>
          <w:tcPr>
            <w:tcW w:w="1358" w:type="dxa"/>
            <w:gridSpan w:val="2"/>
            <w:vAlign w:val="center"/>
          </w:tcPr>
          <w:p w:rsidR="0048754D"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c>
          <w:tcPr>
            <w:tcW w:w="1417" w:type="dxa"/>
            <w:vAlign w:val="center"/>
          </w:tcPr>
          <w:p w:rsidR="0048754D"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c>
          <w:tcPr>
            <w:tcW w:w="1418" w:type="dxa"/>
            <w:vAlign w:val="center"/>
          </w:tcPr>
          <w:p w:rsidR="0048754D"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c>
          <w:tcPr>
            <w:tcW w:w="1524" w:type="dxa"/>
            <w:vAlign w:val="center"/>
          </w:tcPr>
          <w:p w:rsidR="0048754D"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r>
      <w:tr w:rsidR="00B8509F" w:rsidRPr="00B8509F" w:rsidTr="00A57684">
        <w:tc>
          <w:tcPr>
            <w:tcW w:w="2405" w:type="dxa"/>
            <w:gridSpan w:val="2"/>
          </w:tcPr>
          <w:p w:rsidR="0003528C" w:rsidRPr="00B8509F" w:rsidRDefault="00DC19FF" w:rsidP="00B8509F">
            <w:pPr>
              <w:rPr>
                <w:rFonts w:ascii="Times New Roman" w:hAnsi="Times New Roman" w:cs="Times New Roman"/>
                <w:sz w:val="28"/>
                <w:szCs w:val="28"/>
              </w:rPr>
            </w:pPr>
            <w:r w:rsidRPr="00B8509F">
              <w:rPr>
                <w:rFonts w:ascii="Times New Roman" w:eastAsia="Calibri" w:hAnsi="Times New Roman" w:cs="Times New Roman"/>
                <w:sz w:val="28"/>
                <w:szCs w:val="28"/>
              </w:rPr>
              <w:t>1.3. pašvaldību budžets</w:t>
            </w:r>
          </w:p>
        </w:tc>
        <w:tc>
          <w:tcPr>
            <w:tcW w:w="1165" w:type="dxa"/>
            <w:vAlign w:val="center"/>
          </w:tcPr>
          <w:p w:rsidR="0003528C"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c>
          <w:tcPr>
            <w:tcW w:w="1358" w:type="dxa"/>
            <w:gridSpan w:val="2"/>
            <w:vAlign w:val="center"/>
          </w:tcPr>
          <w:p w:rsidR="0003528C"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c>
          <w:tcPr>
            <w:tcW w:w="1417" w:type="dxa"/>
            <w:vAlign w:val="center"/>
          </w:tcPr>
          <w:p w:rsidR="0003528C"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c>
          <w:tcPr>
            <w:tcW w:w="1418" w:type="dxa"/>
            <w:vAlign w:val="center"/>
          </w:tcPr>
          <w:p w:rsidR="0003528C"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c>
          <w:tcPr>
            <w:tcW w:w="1524" w:type="dxa"/>
            <w:vAlign w:val="center"/>
          </w:tcPr>
          <w:p w:rsidR="0003528C"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r>
      <w:tr w:rsidR="00B8509F" w:rsidRPr="00B8509F" w:rsidTr="00A57684">
        <w:tc>
          <w:tcPr>
            <w:tcW w:w="2405" w:type="dxa"/>
            <w:gridSpan w:val="2"/>
          </w:tcPr>
          <w:p w:rsidR="0003528C" w:rsidRPr="00B8509F" w:rsidRDefault="00DC19FF" w:rsidP="00B8509F">
            <w:pPr>
              <w:rPr>
                <w:rFonts w:ascii="Times New Roman" w:hAnsi="Times New Roman" w:cs="Times New Roman"/>
                <w:sz w:val="28"/>
                <w:szCs w:val="28"/>
              </w:rPr>
            </w:pPr>
            <w:r w:rsidRPr="00B8509F">
              <w:rPr>
                <w:rFonts w:ascii="Times New Roman" w:eastAsia="Calibri" w:hAnsi="Times New Roman" w:cs="Times New Roman"/>
                <w:sz w:val="28"/>
                <w:szCs w:val="28"/>
              </w:rPr>
              <w:t>2. Budžeta izdevumi:</w:t>
            </w:r>
          </w:p>
        </w:tc>
        <w:tc>
          <w:tcPr>
            <w:tcW w:w="1165" w:type="dxa"/>
            <w:vAlign w:val="center"/>
          </w:tcPr>
          <w:p w:rsidR="0003528C"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c>
          <w:tcPr>
            <w:tcW w:w="1358" w:type="dxa"/>
            <w:gridSpan w:val="2"/>
            <w:vAlign w:val="center"/>
          </w:tcPr>
          <w:p w:rsidR="0003528C" w:rsidRPr="00B8509F" w:rsidRDefault="00DC19FF" w:rsidP="00B8509F">
            <w:pPr>
              <w:contextualSpacing/>
              <w:jc w:val="center"/>
              <w:rPr>
                <w:rFonts w:ascii="Times New Roman" w:hAnsi="Times New Roman" w:cs="Times New Roman"/>
                <w:sz w:val="28"/>
                <w:szCs w:val="28"/>
              </w:rPr>
            </w:pPr>
            <w:r w:rsidRPr="00B8509F">
              <w:rPr>
                <w:rFonts w:ascii="Times New Roman" w:hAnsi="Times New Roman" w:cs="Times New Roman"/>
                <w:sz w:val="28"/>
                <w:szCs w:val="28"/>
              </w:rPr>
              <w:t>40 000</w:t>
            </w:r>
          </w:p>
        </w:tc>
        <w:tc>
          <w:tcPr>
            <w:tcW w:w="1417" w:type="dxa"/>
            <w:vAlign w:val="center"/>
          </w:tcPr>
          <w:p w:rsidR="0003528C" w:rsidRPr="00B8509F" w:rsidRDefault="00DC19FF" w:rsidP="00B8509F">
            <w:pPr>
              <w:ind w:left="720"/>
              <w:contextualSpacing/>
              <w:jc w:val="center"/>
              <w:rPr>
                <w:rFonts w:ascii="Times New Roman" w:hAnsi="Times New Roman" w:cs="Times New Roman"/>
                <w:sz w:val="28"/>
                <w:szCs w:val="28"/>
              </w:rPr>
            </w:pPr>
            <w:r w:rsidRPr="00B8509F">
              <w:rPr>
                <w:rFonts w:ascii="Times New Roman" w:hAnsi="Times New Roman" w:cs="Times New Roman"/>
                <w:sz w:val="28"/>
                <w:szCs w:val="28"/>
              </w:rPr>
              <w:t>0</w:t>
            </w:r>
          </w:p>
        </w:tc>
        <w:tc>
          <w:tcPr>
            <w:tcW w:w="1418" w:type="dxa"/>
            <w:vAlign w:val="center"/>
          </w:tcPr>
          <w:p w:rsidR="0003528C" w:rsidRPr="00B8509F" w:rsidRDefault="00DC19FF" w:rsidP="00B8509F">
            <w:pPr>
              <w:ind w:left="720"/>
              <w:contextualSpacing/>
              <w:jc w:val="center"/>
              <w:rPr>
                <w:rFonts w:ascii="Times New Roman" w:hAnsi="Times New Roman" w:cs="Times New Roman"/>
                <w:sz w:val="28"/>
                <w:szCs w:val="28"/>
              </w:rPr>
            </w:pPr>
            <w:r w:rsidRPr="00B8509F">
              <w:rPr>
                <w:rFonts w:ascii="Times New Roman" w:hAnsi="Times New Roman" w:cs="Times New Roman"/>
                <w:sz w:val="28"/>
                <w:szCs w:val="28"/>
              </w:rPr>
              <w:t>0</w:t>
            </w:r>
          </w:p>
        </w:tc>
        <w:tc>
          <w:tcPr>
            <w:tcW w:w="1524" w:type="dxa"/>
            <w:vAlign w:val="center"/>
          </w:tcPr>
          <w:p w:rsidR="0003528C" w:rsidRPr="00B8509F" w:rsidRDefault="00DC19FF" w:rsidP="00B8509F">
            <w:pPr>
              <w:ind w:left="720"/>
              <w:contextualSpacing/>
              <w:jc w:val="center"/>
              <w:rPr>
                <w:rFonts w:ascii="Times New Roman" w:hAnsi="Times New Roman" w:cs="Times New Roman"/>
                <w:sz w:val="28"/>
                <w:szCs w:val="28"/>
              </w:rPr>
            </w:pPr>
            <w:r w:rsidRPr="00B8509F">
              <w:rPr>
                <w:rFonts w:ascii="Times New Roman" w:hAnsi="Times New Roman" w:cs="Times New Roman"/>
                <w:sz w:val="28"/>
                <w:szCs w:val="28"/>
              </w:rPr>
              <w:t>0</w:t>
            </w:r>
          </w:p>
        </w:tc>
      </w:tr>
      <w:tr w:rsidR="00B8509F" w:rsidRPr="00B8509F" w:rsidTr="00A57684">
        <w:tc>
          <w:tcPr>
            <w:tcW w:w="2405" w:type="dxa"/>
            <w:gridSpan w:val="2"/>
          </w:tcPr>
          <w:p w:rsidR="0003528C" w:rsidRPr="00B8509F" w:rsidRDefault="00DC19FF" w:rsidP="00B8509F">
            <w:pPr>
              <w:contextualSpacing/>
              <w:rPr>
                <w:rFonts w:ascii="Times New Roman" w:hAnsi="Times New Roman" w:cs="Times New Roman"/>
                <w:sz w:val="28"/>
                <w:szCs w:val="28"/>
              </w:rPr>
            </w:pPr>
            <w:r w:rsidRPr="00B8509F">
              <w:rPr>
                <w:rFonts w:ascii="Times New Roman" w:eastAsia="Calibri" w:hAnsi="Times New Roman" w:cs="Times New Roman"/>
                <w:sz w:val="28"/>
                <w:szCs w:val="28"/>
              </w:rPr>
              <w:t>2.1. valsts pamatbudžets</w:t>
            </w:r>
          </w:p>
        </w:tc>
        <w:tc>
          <w:tcPr>
            <w:tcW w:w="1165" w:type="dxa"/>
            <w:vAlign w:val="center"/>
          </w:tcPr>
          <w:p w:rsidR="0003528C" w:rsidRPr="00B8509F" w:rsidRDefault="00DC19FF" w:rsidP="00B8509F">
            <w:pPr>
              <w:ind w:left="720"/>
              <w:contextualSpacing/>
              <w:jc w:val="center"/>
              <w:rPr>
                <w:rFonts w:ascii="Times New Roman" w:hAnsi="Times New Roman" w:cs="Times New Roman"/>
                <w:sz w:val="28"/>
                <w:szCs w:val="28"/>
              </w:rPr>
            </w:pPr>
            <w:r w:rsidRPr="00B8509F">
              <w:rPr>
                <w:rFonts w:ascii="Times New Roman" w:hAnsi="Times New Roman" w:cs="Times New Roman"/>
                <w:sz w:val="28"/>
                <w:szCs w:val="28"/>
              </w:rPr>
              <w:t>0</w:t>
            </w:r>
          </w:p>
        </w:tc>
        <w:tc>
          <w:tcPr>
            <w:tcW w:w="1358" w:type="dxa"/>
            <w:gridSpan w:val="2"/>
            <w:vAlign w:val="center"/>
          </w:tcPr>
          <w:p w:rsidR="0003528C" w:rsidRPr="00B8509F" w:rsidRDefault="00DC19FF" w:rsidP="00B8509F">
            <w:pPr>
              <w:contextualSpacing/>
              <w:jc w:val="center"/>
              <w:rPr>
                <w:rFonts w:ascii="Times New Roman" w:hAnsi="Times New Roman" w:cs="Times New Roman"/>
                <w:sz w:val="28"/>
                <w:szCs w:val="28"/>
              </w:rPr>
            </w:pPr>
            <w:r w:rsidRPr="00B8509F">
              <w:rPr>
                <w:rFonts w:ascii="Times New Roman" w:hAnsi="Times New Roman" w:cs="Times New Roman"/>
                <w:sz w:val="28"/>
                <w:szCs w:val="28"/>
              </w:rPr>
              <w:t>40 000</w:t>
            </w:r>
          </w:p>
        </w:tc>
        <w:tc>
          <w:tcPr>
            <w:tcW w:w="1417" w:type="dxa"/>
            <w:vAlign w:val="center"/>
          </w:tcPr>
          <w:p w:rsidR="0003528C" w:rsidRPr="00B8509F" w:rsidRDefault="00DC19FF" w:rsidP="00B8509F">
            <w:pPr>
              <w:ind w:left="720"/>
              <w:contextualSpacing/>
              <w:jc w:val="center"/>
              <w:rPr>
                <w:rFonts w:ascii="Times New Roman" w:hAnsi="Times New Roman" w:cs="Times New Roman"/>
                <w:sz w:val="28"/>
                <w:szCs w:val="28"/>
              </w:rPr>
            </w:pPr>
            <w:r w:rsidRPr="00B8509F">
              <w:rPr>
                <w:rFonts w:ascii="Times New Roman" w:hAnsi="Times New Roman" w:cs="Times New Roman"/>
                <w:sz w:val="28"/>
                <w:szCs w:val="28"/>
              </w:rPr>
              <w:t>0</w:t>
            </w:r>
          </w:p>
        </w:tc>
        <w:tc>
          <w:tcPr>
            <w:tcW w:w="1418" w:type="dxa"/>
            <w:vAlign w:val="center"/>
          </w:tcPr>
          <w:p w:rsidR="0003528C" w:rsidRPr="00B8509F" w:rsidRDefault="00DC19FF" w:rsidP="00B8509F">
            <w:pPr>
              <w:ind w:left="720"/>
              <w:contextualSpacing/>
              <w:jc w:val="center"/>
              <w:rPr>
                <w:rFonts w:ascii="Times New Roman" w:hAnsi="Times New Roman" w:cs="Times New Roman"/>
                <w:sz w:val="28"/>
                <w:szCs w:val="28"/>
              </w:rPr>
            </w:pPr>
            <w:r w:rsidRPr="00B8509F">
              <w:rPr>
                <w:rFonts w:ascii="Times New Roman" w:hAnsi="Times New Roman" w:cs="Times New Roman"/>
                <w:sz w:val="28"/>
                <w:szCs w:val="28"/>
              </w:rPr>
              <w:t>0</w:t>
            </w:r>
          </w:p>
        </w:tc>
        <w:tc>
          <w:tcPr>
            <w:tcW w:w="1524" w:type="dxa"/>
            <w:vAlign w:val="center"/>
          </w:tcPr>
          <w:p w:rsidR="0003528C" w:rsidRPr="00B8509F" w:rsidRDefault="00DC19FF" w:rsidP="00B8509F">
            <w:pPr>
              <w:ind w:left="720"/>
              <w:contextualSpacing/>
              <w:jc w:val="center"/>
              <w:rPr>
                <w:rFonts w:ascii="Times New Roman" w:hAnsi="Times New Roman" w:cs="Times New Roman"/>
                <w:sz w:val="28"/>
                <w:szCs w:val="28"/>
              </w:rPr>
            </w:pPr>
            <w:r w:rsidRPr="00B8509F">
              <w:rPr>
                <w:rFonts w:ascii="Times New Roman" w:hAnsi="Times New Roman" w:cs="Times New Roman"/>
                <w:sz w:val="28"/>
                <w:szCs w:val="28"/>
              </w:rPr>
              <w:t>0</w:t>
            </w:r>
          </w:p>
        </w:tc>
      </w:tr>
      <w:tr w:rsidR="00B8509F" w:rsidRPr="00B8509F" w:rsidTr="00A57684">
        <w:tc>
          <w:tcPr>
            <w:tcW w:w="2405" w:type="dxa"/>
            <w:gridSpan w:val="2"/>
          </w:tcPr>
          <w:p w:rsidR="0003528C" w:rsidRPr="00B8509F" w:rsidRDefault="00DC19FF" w:rsidP="00B8509F">
            <w:pPr>
              <w:contextualSpacing/>
              <w:rPr>
                <w:rFonts w:ascii="Times New Roman" w:hAnsi="Times New Roman" w:cs="Times New Roman"/>
                <w:sz w:val="28"/>
                <w:szCs w:val="28"/>
              </w:rPr>
            </w:pPr>
            <w:r w:rsidRPr="00B8509F">
              <w:rPr>
                <w:rFonts w:ascii="Times New Roman" w:eastAsia="Calibri" w:hAnsi="Times New Roman" w:cs="Times New Roman"/>
                <w:sz w:val="28"/>
                <w:szCs w:val="28"/>
              </w:rPr>
              <w:t>2.2. valsts speciālais budžets</w:t>
            </w:r>
          </w:p>
        </w:tc>
        <w:tc>
          <w:tcPr>
            <w:tcW w:w="1165" w:type="dxa"/>
            <w:vAlign w:val="center"/>
          </w:tcPr>
          <w:p w:rsidR="0003528C" w:rsidRPr="00B8509F" w:rsidRDefault="00DC19FF" w:rsidP="00B8509F">
            <w:pPr>
              <w:ind w:left="720"/>
              <w:contextualSpacing/>
              <w:jc w:val="center"/>
              <w:rPr>
                <w:rFonts w:ascii="Times New Roman" w:hAnsi="Times New Roman" w:cs="Times New Roman"/>
                <w:sz w:val="28"/>
                <w:szCs w:val="28"/>
              </w:rPr>
            </w:pPr>
            <w:r w:rsidRPr="00B8509F">
              <w:rPr>
                <w:rFonts w:ascii="Times New Roman" w:hAnsi="Times New Roman" w:cs="Times New Roman"/>
                <w:sz w:val="28"/>
                <w:szCs w:val="28"/>
              </w:rPr>
              <w:t>0</w:t>
            </w:r>
          </w:p>
        </w:tc>
        <w:tc>
          <w:tcPr>
            <w:tcW w:w="1358" w:type="dxa"/>
            <w:gridSpan w:val="2"/>
            <w:vAlign w:val="center"/>
          </w:tcPr>
          <w:p w:rsidR="0003528C" w:rsidRPr="00B8509F" w:rsidRDefault="00DC19FF" w:rsidP="00B8509F">
            <w:pPr>
              <w:ind w:left="720"/>
              <w:contextualSpacing/>
              <w:jc w:val="center"/>
              <w:rPr>
                <w:rFonts w:ascii="Times New Roman" w:hAnsi="Times New Roman" w:cs="Times New Roman"/>
                <w:sz w:val="28"/>
                <w:szCs w:val="28"/>
              </w:rPr>
            </w:pPr>
            <w:r w:rsidRPr="00B8509F">
              <w:rPr>
                <w:rFonts w:ascii="Times New Roman" w:hAnsi="Times New Roman" w:cs="Times New Roman"/>
                <w:sz w:val="28"/>
                <w:szCs w:val="28"/>
              </w:rPr>
              <w:t>0</w:t>
            </w:r>
          </w:p>
        </w:tc>
        <w:tc>
          <w:tcPr>
            <w:tcW w:w="1417" w:type="dxa"/>
            <w:vAlign w:val="center"/>
          </w:tcPr>
          <w:p w:rsidR="0003528C" w:rsidRPr="00B8509F" w:rsidRDefault="00DC19FF" w:rsidP="00B8509F">
            <w:pPr>
              <w:ind w:left="720"/>
              <w:contextualSpacing/>
              <w:jc w:val="center"/>
              <w:rPr>
                <w:rFonts w:ascii="Times New Roman" w:hAnsi="Times New Roman" w:cs="Times New Roman"/>
                <w:sz w:val="28"/>
                <w:szCs w:val="28"/>
              </w:rPr>
            </w:pPr>
            <w:r w:rsidRPr="00B8509F">
              <w:rPr>
                <w:rFonts w:ascii="Times New Roman" w:hAnsi="Times New Roman" w:cs="Times New Roman"/>
                <w:sz w:val="28"/>
                <w:szCs w:val="28"/>
              </w:rPr>
              <w:t>0</w:t>
            </w:r>
          </w:p>
        </w:tc>
        <w:tc>
          <w:tcPr>
            <w:tcW w:w="1418" w:type="dxa"/>
            <w:vAlign w:val="center"/>
          </w:tcPr>
          <w:p w:rsidR="0003528C" w:rsidRPr="00B8509F" w:rsidRDefault="00DC19FF" w:rsidP="00B8509F">
            <w:pPr>
              <w:ind w:left="720"/>
              <w:contextualSpacing/>
              <w:jc w:val="center"/>
              <w:rPr>
                <w:rFonts w:ascii="Times New Roman" w:hAnsi="Times New Roman" w:cs="Times New Roman"/>
                <w:sz w:val="28"/>
                <w:szCs w:val="28"/>
              </w:rPr>
            </w:pPr>
            <w:r w:rsidRPr="00B8509F">
              <w:rPr>
                <w:rFonts w:ascii="Times New Roman" w:hAnsi="Times New Roman" w:cs="Times New Roman"/>
                <w:sz w:val="28"/>
                <w:szCs w:val="28"/>
              </w:rPr>
              <w:t>0</w:t>
            </w:r>
          </w:p>
        </w:tc>
        <w:tc>
          <w:tcPr>
            <w:tcW w:w="1524" w:type="dxa"/>
            <w:vAlign w:val="center"/>
          </w:tcPr>
          <w:p w:rsidR="0003528C" w:rsidRPr="00B8509F" w:rsidRDefault="00DC19FF" w:rsidP="00B8509F">
            <w:pPr>
              <w:ind w:left="720"/>
              <w:contextualSpacing/>
              <w:jc w:val="center"/>
              <w:rPr>
                <w:rFonts w:ascii="Times New Roman" w:hAnsi="Times New Roman" w:cs="Times New Roman"/>
                <w:sz w:val="28"/>
                <w:szCs w:val="28"/>
              </w:rPr>
            </w:pPr>
            <w:r w:rsidRPr="00B8509F">
              <w:rPr>
                <w:rFonts w:ascii="Times New Roman" w:hAnsi="Times New Roman" w:cs="Times New Roman"/>
                <w:sz w:val="28"/>
                <w:szCs w:val="28"/>
              </w:rPr>
              <w:t>0</w:t>
            </w:r>
          </w:p>
        </w:tc>
      </w:tr>
      <w:tr w:rsidR="00B8509F" w:rsidRPr="00B8509F" w:rsidTr="00A57684">
        <w:tc>
          <w:tcPr>
            <w:tcW w:w="2405" w:type="dxa"/>
            <w:gridSpan w:val="2"/>
          </w:tcPr>
          <w:p w:rsidR="0003528C" w:rsidRPr="00B8509F" w:rsidRDefault="00DC19FF" w:rsidP="00B8509F">
            <w:pPr>
              <w:tabs>
                <w:tab w:val="left" w:pos="503"/>
              </w:tabs>
              <w:rPr>
                <w:rFonts w:ascii="Times New Roman" w:hAnsi="Times New Roman" w:cs="Times New Roman"/>
                <w:sz w:val="28"/>
                <w:szCs w:val="28"/>
              </w:rPr>
            </w:pPr>
            <w:r w:rsidRPr="00B8509F">
              <w:rPr>
                <w:rFonts w:ascii="Times New Roman" w:eastAsia="Calibri" w:hAnsi="Times New Roman" w:cs="Times New Roman"/>
                <w:sz w:val="28"/>
                <w:szCs w:val="28"/>
              </w:rPr>
              <w:t>2.3. pašvaldību budžets</w:t>
            </w:r>
          </w:p>
        </w:tc>
        <w:tc>
          <w:tcPr>
            <w:tcW w:w="1165" w:type="dxa"/>
            <w:vAlign w:val="center"/>
          </w:tcPr>
          <w:p w:rsidR="0003528C"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c>
          <w:tcPr>
            <w:tcW w:w="1358" w:type="dxa"/>
            <w:gridSpan w:val="2"/>
            <w:vAlign w:val="center"/>
          </w:tcPr>
          <w:p w:rsidR="0003528C"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c>
          <w:tcPr>
            <w:tcW w:w="1417" w:type="dxa"/>
            <w:vAlign w:val="center"/>
          </w:tcPr>
          <w:p w:rsidR="0003528C"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c>
          <w:tcPr>
            <w:tcW w:w="1418" w:type="dxa"/>
            <w:vAlign w:val="center"/>
          </w:tcPr>
          <w:p w:rsidR="0003528C"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c>
          <w:tcPr>
            <w:tcW w:w="1524" w:type="dxa"/>
            <w:vAlign w:val="center"/>
          </w:tcPr>
          <w:p w:rsidR="0003528C"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r>
      <w:tr w:rsidR="00B8509F" w:rsidRPr="00B8509F" w:rsidTr="00A57684">
        <w:tc>
          <w:tcPr>
            <w:tcW w:w="2405" w:type="dxa"/>
            <w:gridSpan w:val="2"/>
          </w:tcPr>
          <w:p w:rsidR="0003528C" w:rsidRPr="00B8509F" w:rsidRDefault="00DC19FF" w:rsidP="00B8509F">
            <w:pPr>
              <w:rPr>
                <w:rFonts w:ascii="Times New Roman" w:hAnsi="Times New Roman" w:cs="Times New Roman"/>
                <w:sz w:val="28"/>
                <w:szCs w:val="28"/>
              </w:rPr>
            </w:pPr>
            <w:r w:rsidRPr="00B8509F">
              <w:rPr>
                <w:rFonts w:ascii="Times New Roman" w:eastAsia="Calibri" w:hAnsi="Times New Roman" w:cs="Times New Roman"/>
                <w:sz w:val="28"/>
                <w:szCs w:val="28"/>
              </w:rPr>
              <w:t xml:space="preserve">3. Finansiālā </w:t>
            </w:r>
            <w:r w:rsidRPr="00B8509F">
              <w:rPr>
                <w:rFonts w:ascii="Times New Roman" w:eastAsia="Calibri" w:hAnsi="Times New Roman" w:cs="Times New Roman"/>
                <w:sz w:val="28"/>
                <w:szCs w:val="28"/>
              </w:rPr>
              <w:lastRenderedPageBreak/>
              <w:t>ietekme:</w:t>
            </w:r>
          </w:p>
        </w:tc>
        <w:tc>
          <w:tcPr>
            <w:tcW w:w="1165" w:type="dxa"/>
            <w:vAlign w:val="center"/>
          </w:tcPr>
          <w:p w:rsidR="0003528C"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lastRenderedPageBreak/>
              <w:t>0</w:t>
            </w:r>
          </w:p>
        </w:tc>
        <w:tc>
          <w:tcPr>
            <w:tcW w:w="1358" w:type="dxa"/>
            <w:gridSpan w:val="2"/>
            <w:vAlign w:val="center"/>
          </w:tcPr>
          <w:p w:rsidR="0003528C"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- 40 000</w:t>
            </w:r>
          </w:p>
        </w:tc>
        <w:tc>
          <w:tcPr>
            <w:tcW w:w="1417" w:type="dxa"/>
            <w:vAlign w:val="center"/>
          </w:tcPr>
          <w:p w:rsidR="0003528C"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c>
          <w:tcPr>
            <w:tcW w:w="1418" w:type="dxa"/>
            <w:vAlign w:val="center"/>
          </w:tcPr>
          <w:p w:rsidR="0003528C"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c>
          <w:tcPr>
            <w:tcW w:w="1524" w:type="dxa"/>
            <w:vAlign w:val="center"/>
          </w:tcPr>
          <w:p w:rsidR="0003528C"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r>
      <w:tr w:rsidR="00B8509F" w:rsidRPr="00B8509F" w:rsidTr="00A57684">
        <w:tc>
          <w:tcPr>
            <w:tcW w:w="2405" w:type="dxa"/>
            <w:gridSpan w:val="2"/>
          </w:tcPr>
          <w:p w:rsidR="0003528C" w:rsidRPr="00B8509F" w:rsidRDefault="00DC19FF" w:rsidP="00B8509F">
            <w:pPr>
              <w:tabs>
                <w:tab w:val="left" w:pos="204"/>
              </w:tabs>
              <w:rPr>
                <w:rFonts w:ascii="Times New Roman" w:hAnsi="Times New Roman" w:cs="Times New Roman"/>
                <w:sz w:val="28"/>
                <w:szCs w:val="28"/>
              </w:rPr>
            </w:pPr>
            <w:r w:rsidRPr="00B8509F">
              <w:rPr>
                <w:rFonts w:ascii="Times New Roman" w:eastAsia="Calibri" w:hAnsi="Times New Roman" w:cs="Times New Roman"/>
                <w:sz w:val="28"/>
                <w:szCs w:val="28"/>
              </w:rPr>
              <w:lastRenderedPageBreak/>
              <w:t>3.1. valsts pamatbudžets</w:t>
            </w:r>
          </w:p>
        </w:tc>
        <w:tc>
          <w:tcPr>
            <w:tcW w:w="1165" w:type="dxa"/>
            <w:vAlign w:val="center"/>
          </w:tcPr>
          <w:p w:rsidR="0003528C"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c>
          <w:tcPr>
            <w:tcW w:w="1358" w:type="dxa"/>
            <w:gridSpan w:val="2"/>
            <w:vAlign w:val="center"/>
          </w:tcPr>
          <w:p w:rsidR="0003528C"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- 40 000</w:t>
            </w:r>
          </w:p>
        </w:tc>
        <w:tc>
          <w:tcPr>
            <w:tcW w:w="1417" w:type="dxa"/>
            <w:vAlign w:val="center"/>
          </w:tcPr>
          <w:p w:rsidR="0003528C"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c>
          <w:tcPr>
            <w:tcW w:w="1418" w:type="dxa"/>
            <w:vAlign w:val="center"/>
          </w:tcPr>
          <w:p w:rsidR="0003528C"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c>
          <w:tcPr>
            <w:tcW w:w="1524" w:type="dxa"/>
            <w:vAlign w:val="center"/>
          </w:tcPr>
          <w:p w:rsidR="0003528C"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r>
      <w:tr w:rsidR="00B8509F" w:rsidRPr="00B8509F" w:rsidTr="00A57684">
        <w:tc>
          <w:tcPr>
            <w:tcW w:w="2405" w:type="dxa"/>
            <w:gridSpan w:val="2"/>
          </w:tcPr>
          <w:p w:rsidR="0003528C" w:rsidRPr="00B8509F" w:rsidRDefault="00DC19FF" w:rsidP="00B8509F">
            <w:pPr>
              <w:tabs>
                <w:tab w:val="left" w:pos="571"/>
              </w:tabs>
              <w:rPr>
                <w:rFonts w:ascii="Times New Roman" w:hAnsi="Times New Roman" w:cs="Times New Roman"/>
                <w:sz w:val="28"/>
                <w:szCs w:val="28"/>
              </w:rPr>
            </w:pPr>
            <w:r w:rsidRPr="00B8509F">
              <w:rPr>
                <w:rFonts w:ascii="Times New Roman" w:eastAsia="Calibri" w:hAnsi="Times New Roman" w:cs="Times New Roman"/>
                <w:sz w:val="28"/>
                <w:szCs w:val="28"/>
              </w:rPr>
              <w:t>3.2. speciālais budžets</w:t>
            </w:r>
          </w:p>
        </w:tc>
        <w:tc>
          <w:tcPr>
            <w:tcW w:w="1165" w:type="dxa"/>
            <w:vAlign w:val="center"/>
          </w:tcPr>
          <w:p w:rsidR="0003528C"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c>
          <w:tcPr>
            <w:tcW w:w="1358" w:type="dxa"/>
            <w:gridSpan w:val="2"/>
            <w:vAlign w:val="center"/>
          </w:tcPr>
          <w:p w:rsidR="0003528C"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c>
          <w:tcPr>
            <w:tcW w:w="1417" w:type="dxa"/>
            <w:vAlign w:val="center"/>
          </w:tcPr>
          <w:p w:rsidR="0003528C"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c>
          <w:tcPr>
            <w:tcW w:w="1418" w:type="dxa"/>
            <w:vAlign w:val="center"/>
          </w:tcPr>
          <w:p w:rsidR="0003528C"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c>
          <w:tcPr>
            <w:tcW w:w="1524" w:type="dxa"/>
            <w:vAlign w:val="center"/>
          </w:tcPr>
          <w:p w:rsidR="0003528C"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r>
      <w:tr w:rsidR="00B8509F" w:rsidRPr="00B8509F" w:rsidTr="00A57684">
        <w:tc>
          <w:tcPr>
            <w:tcW w:w="2405" w:type="dxa"/>
            <w:gridSpan w:val="2"/>
          </w:tcPr>
          <w:p w:rsidR="0003528C" w:rsidRPr="00B8509F" w:rsidRDefault="00DC19FF" w:rsidP="00B8509F">
            <w:pPr>
              <w:tabs>
                <w:tab w:val="left" w:pos="571"/>
              </w:tabs>
              <w:rPr>
                <w:rFonts w:ascii="Times New Roman" w:hAnsi="Times New Roman" w:cs="Times New Roman"/>
                <w:sz w:val="28"/>
                <w:szCs w:val="28"/>
              </w:rPr>
            </w:pPr>
            <w:r w:rsidRPr="00B8509F">
              <w:rPr>
                <w:rFonts w:ascii="Times New Roman" w:eastAsia="Calibri" w:hAnsi="Times New Roman" w:cs="Times New Roman"/>
                <w:sz w:val="28"/>
                <w:szCs w:val="28"/>
              </w:rPr>
              <w:t>3.3. pašvaldību budžets</w:t>
            </w:r>
          </w:p>
        </w:tc>
        <w:tc>
          <w:tcPr>
            <w:tcW w:w="1165" w:type="dxa"/>
            <w:vAlign w:val="center"/>
          </w:tcPr>
          <w:p w:rsidR="0003528C"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c>
          <w:tcPr>
            <w:tcW w:w="1358" w:type="dxa"/>
            <w:gridSpan w:val="2"/>
            <w:vAlign w:val="center"/>
          </w:tcPr>
          <w:p w:rsidR="0003528C"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c>
          <w:tcPr>
            <w:tcW w:w="1417" w:type="dxa"/>
            <w:vAlign w:val="center"/>
          </w:tcPr>
          <w:p w:rsidR="0003528C"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c>
          <w:tcPr>
            <w:tcW w:w="1418" w:type="dxa"/>
            <w:vAlign w:val="center"/>
          </w:tcPr>
          <w:p w:rsidR="0003528C"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c>
          <w:tcPr>
            <w:tcW w:w="1524" w:type="dxa"/>
            <w:vAlign w:val="center"/>
          </w:tcPr>
          <w:p w:rsidR="0003528C"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r>
      <w:tr w:rsidR="00B8509F" w:rsidRPr="00B8509F" w:rsidTr="00A57684">
        <w:tc>
          <w:tcPr>
            <w:tcW w:w="2405" w:type="dxa"/>
            <w:gridSpan w:val="2"/>
            <w:vMerge w:val="restart"/>
          </w:tcPr>
          <w:p w:rsidR="0003528C" w:rsidRPr="00B8509F" w:rsidRDefault="00DC19FF" w:rsidP="00B8509F">
            <w:pPr>
              <w:tabs>
                <w:tab w:val="left" w:pos="571"/>
              </w:tabs>
              <w:rPr>
                <w:rFonts w:ascii="Times New Roman" w:hAnsi="Times New Roman" w:cs="Times New Roman"/>
                <w:sz w:val="28"/>
                <w:szCs w:val="28"/>
              </w:rPr>
            </w:pPr>
            <w:r w:rsidRPr="00B8509F">
              <w:rPr>
                <w:rFonts w:ascii="Times New Roman" w:eastAsia="Calibri" w:hAnsi="Times New Roman" w:cs="Times New Roman"/>
                <w:sz w:val="28"/>
                <w:szCs w:val="28"/>
              </w:rPr>
              <w:t>4. Finanšu līdzekļi papildu izdevumu finansēšanai (kompensējošu izdevumu samazinājumu norāda ar "+" zīmi)</w:t>
            </w:r>
          </w:p>
        </w:tc>
        <w:tc>
          <w:tcPr>
            <w:tcW w:w="1165" w:type="dxa"/>
            <w:vMerge w:val="restart"/>
            <w:vAlign w:val="center"/>
          </w:tcPr>
          <w:p w:rsidR="0003528C"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X</w:t>
            </w:r>
          </w:p>
        </w:tc>
        <w:tc>
          <w:tcPr>
            <w:tcW w:w="1358" w:type="dxa"/>
            <w:gridSpan w:val="2"/>
            <w:vMerge w:val="restart"/>
            <w:vAlign w:val="center"/>
          </w:tcPr>
          <w:p w:rsidR="0003528C"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40 000</w:t>
            </w:r>
          </w:p>
        </w:tc>
        <w:tc>
          <w:tcPr>
            <w:tcW w:w="1417" w:type="dxa"/>
            <w:vAlign w:val="center"/>
          </w:tcPr>
          <w:p w:rsidR="0003528C"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c>
          <w:tcPr>
            <w:tcW w:w="1418" w:type="dxa"/>
            <w:vAlign w:val="center"/>
          </w:tcPr>
          <w:p w:rsidR="0003528C"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c>
          <w:tcPr>
            <w:tcW w:w="1524" w:type="dxa"/>
            <w:vAlign w:val="center"/>
          </w:tcPr>
          <w:p w:rsidR="0003528C"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r>
      <w:tr w:rsidR="00B8509F" w:rsidRPr="00B8509F" w:rsidTr="00A57684">
        <w:tc>
          <w:tcPr>
            <w:tcW w:w="2405" w:type="dxa"/>
            <w:gridSpan w:val="2"/>
            <w:vMerge/>
          </w:tcPr>
          <w:p w:rsidR="0003528C" w:rsidRPr="00B8509F" w:rsidRDefault="0003528C" w:rsidP="00B8509F">
            <w:pPr>
              <w:tabs>
                <w:tab w:val="left" w:pos="571"/>
              </w:tabs>
              <w:rPr>
                <w:rFonts w:ascii="Times New Roman" w:hAnsi="Times New Roman" w:cs="Times New Roman"/>
                <w:sz w:val="28"/>
                <w:szCs w:val="28"/>
              </w:rPr>
            </w:pPr>
          </w:p>
        </w:tc>
        <w:tc>
          <w:tcPr>
            <w:tcW w:w="1165" w:type="dxa"/>
            <w:vMerge/>
            <w:vAlign w:val="center"/>
          </w:tcPr>
          <w:p w:rsidR="0003528C" w:rsidRPr="00B8509F" w:rsidRDefault="0003528C" w:rsidP="00B8509F">
            <w:pPr>
              <w:jc w:val="center"/>
              <w:rPr>
                <w:rFonts w:ascii="Times New Roman" w:hAnsi="Times New Roman" w:cs="Times New Roman"/>
                <w:sz w:val="28"/>
                <w:szCs w:val="28"/>
              </w:rPr>
            </w:pPr>
          </w:p>
        </w:tc>
        <w:tc>
          <w:tcPr>
            <w:tcW w:w="1358" w:type="dxa"/>
            <w:gridSpan w:val="2"/>
            <w:vMerge/>
            <w:vAlign w:val="center"/>
          </w:tcPr>
          <w:p w:rsidR="0003528C" w:rsidRPr="00B8509F" w:rsidRDefault="0003528C" w:rsidP="00B8509F">
            <w:pPr>
              <w:jc w:val="center"/>
              <w:rPr>
                <w:rFonts w:ascii="Times New Roman" w:hAnsi="Times New Roman" w:cs="Times New Roman"/>
                <w:sz w:val="28"/>
                <w:szCs w:val="28"/>
              </w:rPr>
            </w:pPr>
          </w:p>
        </w:tc>
        <w:tc>
          <w:tcPr>
            <w:tcW w:w="1417" w:type="dxa"/>
            <w:vAlign w:val="center"/>
          </w:tcPr>
          <w:p w:rsidR="0003528C"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c>
          <w:tcPr>
            <w:tcW w:w="1418" w:type="dxa"/>
            <w:vAlign w:val="center"/>
          </w:tcPr>
          <w:p w:rsidR="0003528C"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c>
          <w:tcPr>
            <w:tcW w:w="1524" w:type="dxa"/>
            <w:vAlign w:val="center"/>
          </w:tcPr>
          <w:p w:rsidR="0003528C"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r>
      <w:tr w:rsidR="00B8509F" w:rsidRPr="00B8509F" w:rsidTr="00A57684">
        <w:tc>
          <w:tcPr>
            <w:tcW w:w="2405" w:type="dxa"/>
            <w:gridSpan w:val="2"/>
            <w:vMerge/>
          </w:tcPr>
          <w:p w:rsidR="0003528C" w:rsidRPr="00B8509F" w:rsidRDefault="0003528C" w:rsidP="00B8509F">
            <w:pPr>
              <w:tabs>
                <w:tab w:val="left" w:pos="571"/>
              </w:tabs>
              <w:rPr>
                <w:rFonts w:ascii="Times New Roman" w:hAnsi="Times New Roman" w:cs="Times New Roman"/>
                <w:sz w:val="28"/>
                <w:szCs w:val="28"/>
              </w:rPr>
            </w:pPr>
          </w:p>
        </w:tc>
        <w:tc>
          <w:tcPr>
            <w:tcW w:w="1165" w:type="dxa"/>
            <w:vMerge/>
            <w:vAlign w:val="center"/>
          </w:tcPr>
          <w:p w:rsidR="0003528C" w:rsidRPr="00B8509F" w:rsidRDefault="0003528C" w:rsidP="00B8509F">
            <w:pPr>
              <w:jc w:val="center"/>
              <w:rPr>
                <w:rFonts w:ascii="Times New Roman" w:hAnsi="Times New Roman" w:cs="Times New Roman"/>
                <w:sz w:val="28"/>
                <w:szCs w:val="28"/>
              </w:rPr>
            </w:pPr>
          </w:p>
        </w:tc>
        <w:tc>
          <w:tcPr>
            <w:tcW w:w="1358" w:type="dxa"/>
            <w:gridSpan w:val="2"/>
            <w:vMerge/>
            <w:vAlign w:val="center"/>
          </w:tcPr>
          <w:p w:rsidR="0003528C" w:rsidRPr="00B8509F" w:rsidRDefault="0003528C" w:rsidP="00B8509F">
            <w:pPr>
              <w:jc w:val="center"/>
              <w:rPr>
                <w:rFonts w:ascii="Times New Roman" w:hAnsi="Times New Roman" w:cs="Times New Roman"/>
                <w:sz w:val="28"/>
                <w:szCs w:val="28"/>
              </w:rPr>
            </w:pPr>
          </w:p>
        </w:tc>
        <w:tc>
          <w:tcPr>
            <w:tcW w:w="1417" w:type="dxa"/>
            <w:vAlign w:val="center"/>
          </w:tcPr>
          <w:p w:rsidR="0003528C"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c>
          <w:tcPr>
            <w:tcW w:w="1418" w:type="dxa"/>
            <w:vAlign w:val="center"/>
          </w:tcPr>
          <w:p w:rsidR="0003528C"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c>
          <w:tcPr>
            <w:tcW w:w="1524" w:type="dxa"/>
            <w:vAlign w:val="center"/>
          </w:tcPr>
          <w:p w:rsidR="0003528C"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r>
      <w:tr w:rsidR="00B8509F" w:rsidRPr="00B8509F" w:rsidTr="00A57684">
        <w:tc>
          <w:tcPr>
            <w:tcW w:w="2405" w:type="dxa"/>
            <w:gridSpan w:val="2"/>
          </w:tcPr>
          <w:p w:rsidR="0003528C" w:rsidRPr="00B8509F" w:rsidRDefault="00DC19FF" w:rsidP="00B8509F">
            <w:pPr>
              <w:tabs>
                <w:tab w:val="left" w:pos="571"/>
              </w:tabs>
              <w:rPr>
                <w:rFonts w:ascii="Times New Roman" w:hAnsi="Times New Roman" w:cs="Times New Roman"/>
                <w:sz w:val="28"/>
                <w:szCs w:val="28"/>
              </w:rPr>
            </w:pPr>
            <w:r w:rsidRPr="00B8509F">
              <w:rPr>
                <w:rFonts w:ascii="Times New Roman" w:eastAsia="Calibri" w:hAnsi="Times New Roman" w:cs="Times New Roman"/>
                <w:sz w:val="28"/>
                <w:szCs w:val="28"/>
              </w:rPr>
              <w:t>5. Precizēta finansiālā ietekme:</w:t>
            </w:r>
          </w:p>
        </w:tc>
        <w:tc>
          <w:tcPr>
            <w:tcW w:w="1165" w:type="dxa"/>
            <w:vMerge w:val="restart"/>
            <w:vAlign w:val="center"/>
          </w:tcPr>
          <w:p w:rsidR="0003528C"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X</w:t>
            </w:r>
          </w:p>
        </w:tc>
        <w:tc>
          <w:tcPr>
            <w:tcW w:w="1358" w:type="dxa"/>
            <w:gridSpan w:val="2"/>
            <w:vAlign w:val="center"/>
          </w:tcPr>
          <w:p w:rsidR="0003528C"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c>
          <w:tcPr>
            <w:tcW w:w="1417" w:type="dxa"/>
            <w:vAlign w:val="center"/>
          </w:tcPr>
          <w:p w:rsidR="0003528C"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c>
          <w:tcPr>
            <w:tcW w:w="1418" w:type="dxa"/>
            <w:vAlign w:val="center"/>
          </w:tcPr>
          <w:p w:rsidR="0003528C"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c>
          <w:tcPr>
            <w:tcW w:w="1524" w:type="dxa"/>
            <w:vAlign w:val="center"/>
          </w:tcPr>
          <w:p w:rsidR="0003528C"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r>
      <w:tr w:rsidR="00B8509F" w:rsidRPr="00B8509F" w:rsidTr="00A57684">
        <w:tc>
          <w:tcPr>
            <w:tcW w:w="2405" w:type="dxa"/>
            <w:gridSpan w:val="2"/>
          </w:tcPr>
          <w:p w:rsidR="0003528C" w:rsidRPr="00B8509F" w:rsidRDefault="00DC19FF" w:rsidP="00B8509F">
            <w:pPr>
              <w:tabs>
                <w:tab w:val="left" w:pos="571"/>
              </w:tabs>
              <w:rPr>
                <w:rFonts w:ascii="Times New Roman" w:hAnsi="Times New Roman" w:cs="Times New Roman"/>
                <w:sz w:val="28"/>
                <w:szCs w:val="28"/>
              </w:rPr>
            </w:pPr>
            <w:r w:rsidRPr="00B8509F">
              <w:rPr>
                <w:rFonts w:ascii="Times New Roman" w:eastAsia="Calibri" w:hAnsi="Times New Roman" w:cs="Times New Roman"/>
                <w:sz w:val="28"/>
                <w:szCs w:val="28"/>
              </w:rPr>
              <w:t>5.1. valsts pamatbudžets</w:t>
            </w:r>
          </w:p>
        </w:tc>
        <w:tc>
          <w:tcPr>
            <w:tcW w:w="1165" w:type="dxa"/>
            <w:vMerge/>
            <w:vAlign w:val="center"/>
          </w:tcPr>
          <w:p w:rsidR="0003528C" w:rsidRPr="00B8509F" w:rsidRDefault="0003528C" w:rsidP="00B8509F">
            <w:pPr>
              <w:jc w:val="center"/>
              <w:rPr>
                <w:rFonts w:ascii="Times New Roman" w:hAnsi="Times New Roman" w:cs="Times New Roman"/>
                <w:sz w:val="28"/>
                <w:szCs w:val="28"/>
              </w:rPr>
            </w:pPr>
          </w:p>
        </w:tc>
        <w:tc>
          <w:tcPr>
            <w:tcW w:w="1358" w:type="dxa"/>
            <w:gridSpan w:val="2"/>
            <w:vAlign w:val="center"/>
          </w:tcPr>
          <w:p w:rsidR="0003528C"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c>
          <w:tcPr>
            <w:tcW w:w="1417" w:type="dxa"/>
            <w:vAlign w:val="center"/>
          </w:tcPr>
          <w:p w:rsidR="0003528C"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c>
          <w:tcPr>
            <w:tcW w:w="1418" w:type="dxa"/>
            <w:vAlign w:val="center"/>
          </w:tcPr>
          <w:p w:rsidR="0003528C"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c>
          <w:tcPr>
            <w:tcW w:w="1524" w:type="dxa"/>
            <w:vAlign w:val="center"/>
          </w:tcPr>
          <w:p w:rsidR="0003528C" w:rsidRPr="00B8509F" w:rsidRDefault="00DC19FF" w:rsidP="00B8509F">
            <w:pPr>
              <w:ind w:left="720"/>
              <w:contextualSpacing/>
              <w:jc w:val="center"/>
              <w:rPr>
                <w:rFonts w:ascii="Times New Roman" w:hAnsi="Times New Roman" w:cs="Times New Roman"/>
                <w:sz w:val="28"/>
                <w:szCs w:val="28"/>
              </w:rPr>
            </w:pPr>
            <w:r w:rsidRPr="00B8509F">
              <w:rPr>
                <w:rFonts w:ascii="Times New Roman" w:hAnsi="Times New Roman" w:cs="Times New Roman"/>
                <w:sz w:val="28"/>
                <w:szCs w:val="28"/>
              </w:rPr>
              <w:t>0</w:t>
            </w:r>
          </w:p>
        </w:tc>
      </w:tr>
      <w:tr w:rsidR="00B8509F" w:rsidRPr="00B8509F" w:rsidTr="00A57684">
        <w:tc>
          <w:tcPr>
            <w:tcW w:w="2405" w:type="dxa"/>
            <w:gridSpan w:val="2"/>
          </w:tcPr>
          <w:p w:rsidR="0003528C" w:rsidRPr="00B8509F" w:rsidRDefault="00DC19FF" w:rsidP="00B8509F">
            <w:pPr>
              <w:tabs>
                <w:tab w:val="left" w:pos="571"/>
              </w:tabs>
              <w:ind w:left="720"/>
              <w:contextualSpacing/>
              <w:rPr>
                <w:rFonts w:ascii="Times New Roman" w:hAnsi="Times New Roman" w:cs="Times New Roman"/>
                <w:sz w:val="28"/>
                <w:szCs w:val="28"/>
              </w:rPr>
            </w:pPr>
            <w:r w:rsidRPr="00B8509F">
              <w:rPr>
                <w:rFonts w:ascii="Times New Roman" w:eastAsia="Calibri" w:hAnsi="Times New Roman" w:cs="Times New Roman"/>
                <w:sz w:val="28"/>
                <w:szCs w:val="28"/>
              </w:rPr>
              <w:t>5.2. speciālais budžets</w:t>
            </w:r>
          </w:p>
        </w:tc>
        <w:tc>
          <w:tcPr>
            <w:tcW w:w="1165" w:type="dxa"/>
            <w:vMerge/>
            <w:vAlign w:val="center"/>
          </w:tcPr>
          <w:p w:rsidR="0003528C" w:rsidRPr="00B8509F" w:rsidRDefault="0003528C" w:rsidP="00B8509F">
            <w:pPr>
              <w:jc w:val="center"/>
              <w:rPr>
                <w:rFonts w:ascii="Times New Roman" w:hAnsi="Times New Roman" w:cs="Times New Roman"/>
                <w:sz w:val="28"/>
                <w:szCs w:val="28"/>
              </w:rPr>
            </w:pPr>
          </w:p>
        </w:tc>
        <w:tc>
          <w:tcPr>
            <w:tcW w:w="1358" w:type="dxa"/>
            <w:gridSpan w:val="2"/>
            <w:vAlign w:val="center"/>
          </w:tcPr>
          <w:p w:rsidR="0003528C"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c>
          <w:tcPr>
            <w:tcW w:w="1417" w:type="dxa"/>
            <w:vAlign w:val="center"/>
          </w:tcPr>
          <w:p w:rsidR="0003528C"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c>
          <w:tcPr>
            <w:tcW w:w="1418" w:type="dxa"/>
            <w:vAlign w:val="center"/>
          </w:tcPr>
          <w:p w:rsidR="0003528C"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c>
          <w:tcPr>
            <w:tcW w:w="1524" w:type="dxa"/>
            <w:vAlign w:val="center"/>
          </w:tcPr>
          <w:p w:rsidR="0003528C"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r>
      <w:tr w:rsidR="00B8509F" w:rsidRPr="00B8509F" w:rsidTr="00A57684">
        <w:tc>
          <w:tcPr>
            <w:tcW w:w="2405" w:type="dxa"/>
            <w:gridSpan w:val="2"/>
          </w:tcPr>
          <w:p w:rsidR="0003528C" w:rsidRPr="00B8509F" w:rsidRDefault="00DC19FF" w:rsidP="00B8509F">
            <w:pPr>
              <w:tabs>
                <w:tab w:val="left" w:pos="571"/>
              </w:tabs>
              <w:rPr>
                <w:rFonts w:ascii="Times New Roman" w:hAnsi="Times New Roman" w:cs="Times New Roman"/>
                <w:sz w:val="28"/>
                <w:szCs w:val="28"/>
              </w:rPr>
            </w:pPr>
            <w:r w:rsidRPr="00B8509F">
              <w:rPr>
                <w:rFonts w:ascii="Times New Roman" w:eastAsia="Calibri" w:hAnsi="Times New Roman" w:cs="Times New Roman"/>
                <w:sz w:val="28"/>
                <w:szCs w:val="28"/>
              </w:rPr>
              <w:t>5.3. pašvaldību budžets</w:t>
            </w:r>
          </w:p>
        </w:tc>
        <w:tc>
          <w:tcPr>
            <w:tcW w:w="1165" w:type="dxa"/>
            <w:vMerge/>
            <w:vAlign w:val="center"/>
          </w:tcPr>
          <w:p w:rsidR="0003528C" w:rsidRPr="00B8509F" w:rsidRDefault="0003528C" w:rsidP="00B8509F">
            <w:pPr>
              <w:jc w:val="center"/>
              <w:rPr>
                <w:rFonts w:ascii="Times New Roman" w:hAnsi="Times New Roman" w:cs="Times New Roman"/>
                <w:sz w:val="28"/>
                <w:szCs w:val="28"/>
              </w:rPr>
            </w:pPr>
          </w:p>
        </w:tc>
        <w:tc>
          <w:tcPr>
            <w:tcW w:w="1358" w:type="dxa"/>
            <w:gridSpan w:val="2"/>
            <w:vAlign w:val="center"/>
          </w:tcPr>
          <w:p w:rsidR="0003528C"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c>
          <w:tcPr>
            <w:tcW w:w="1417" w:type="dxa"/>
            <w:vAlign w:val="center"/>
          </w:tcPr>
          <w:p w:rsidR="0003528C"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c>
          <w:tcPr>
            <w:tcW w:w="1418" w:type="dxa"/>
            <w:vAlign w:val="center"/>
          </w:tcPr>
          <w:p w:rsidR="0003528C"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c>
          <w:tcPr>
            <w:tcW w:w="1524" w:type="dxa"/>
            <w:vAlign w:val="center"/>
          </w:tcPr>
          <w:p w:rsidR="0003528C" w:rsidRPr="00B8509F" w:rsidRDefault="00DC19FF" w:rsidP="00B8509F">
            <w:pPr>
              <w:jc w:val="center"/>
              <w:rPr>
                <w:rFonts w:ascii="Times New Roman" w:hAnsi="Times New Roman" w:cs="Times New Roman"/>
                <w:sz w:val="28"/>
                <w:szCs w:val="28"/>
              </w:rPr>
            </w:pPr>
            <w:r w:rsidRPr="00B8509F">
              <w:rPr>
                <w:rFonts w:ascii="Times New Roman" w:hAnsi="Times New Roman" w:cs="Times New Roman"/>
                <w:sz w:val="28"/>
                <w:szCs w:val="28"/>
              </w:rPr>
              <w:t>0</w:t>
            </w:r>
          </w:p>
        </w:tc>
      </w:tr>
      <w:tr w:rsidR="0003528C" w:rsidRPr="00B8509F" w:rsidTr="00A57684">
        <w:tc>
          <w:tcPr>
            <w:tcW w:w="2405" w:type="dxa"/>
            <w:gridSpan w:val="2"/>
          </w:tcPr>
          <w:p w:rsidR="007C17A9" w:rsidRPr="00B8509F" w:rsidRDefault="00DC19FF" w:rsidP="00B8509F">
            <w:pPr>
              <w:tabs>
                <w:tab w:val="left" w:pos="571"/>
              </w:tabs>
              <w:rPr>
                <w:rFonts w:ascii="Times New Roman" w:hAnsi="Times New Roman" w:cs="Times New Roman"/>
                <w:sz w:val="28"/>
                <w:szCs w:val="28"/>
              </w:rPr>
            </w:pPr>
            <w:r w:rsidRPr="00B8509F">
              <w:rPr>
                <w:rFonts w:ascii="Times New Roman" w:eastAsia="Calibri" w:hAnsi="Times New Roman" w:cs="Times New Roman"/>
                <w:sz w:val="28"/>
                <w:szCs w:val="28"/>
              </w:rPr>
              <w:t>6. Detalizēts ieņēmumu un izdevumu aprēķins (ja nepie</w:t>
            </w:r>
            <w:r w:rsidRPr="00B8509F">
              <w:rPr>
                <w:rFonts w:ascii="Times New Roman" w:eastAsia="Calibri" w:hAnsi="Times New Roman" w:cs="Times New Roman"/>
                <w:sz w:val="28"/>
                <w:szCs w:val="28"/>
              </w:rPr>
              <w:softHyphen/>
              <w:t>ciešams, detalizētu ieņēmumu un izdevumu aprēķinu var pie</w:t>
            </w:r>
            <w:r w:rsidRPr="00B8509F">
              <w:rPr>
                <w:rFonts w:ascii="Times New Roman" w:eastAsia="Calibri" w:hAnsi="Times New Roman" w:cs="Times New Roman"/>
                <w:sz w:val="28"/>
                <w:szCs w:val="28"/>
              </w:rPr>
              <w:softHyphen/>
              <w:t>vienot anotācijas pielikumā):</w:t>
            </w:r>
          </w:p>
        </w:tc>
        <w:tc>
          <w:tcPr>
            <w:tcW w:w="6882" w:type="dxa"/>
            <w:gridSpan w:val="6"/>
            <w:vMerge w:val="restart"/>
          </w:tcPr>
          <w:p w:rsidR="00345BC0" w:rsidRDefault="008C0D51" w:rsidP="00345BC0">
            <w:pPr>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Videofilma „Tēvi tur” 22 230 </w:t>
            </w:r>
            <w:proofErr w:type="spellStart"/>
            <w:r>
              <w:rPr>
                <w:rFonts w:ascii="Times New Roman" w:hAnsi="Times New Roman" w:cs="Times New Roman"/>
                <w:i/>
                <w:color w:val="000000"/>
                <w:sz w:val="28"/>
                <w:szCs w:val="28"/>
              </w:rPr>
              <w:t>euro</w:t>
            </w:r>
            <w:proofErr w:type="spellEnd"/>
          </w:p>
          <w:p w:rsidR="008C0D51" w:rsidRDefault="008C0D51" w:rsidP="008C0D51">
            <w:pPr>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Ceļojošā izstāde „Runājošā grāmata „Sibīrijas bērni”” 4 000 </w:t>
            </w:r>
            <w:proofErr w:type="spellStart"/>
            <w:r>
              <w:rPr>
                <w:rFonts w:ascii="Times New Roman" w:hAnsi="Times New Roman" w:cs="Times New Roman"/>
                <w:i/>
                <w:color w:val="000000"/>
                <w:sz w:val="28"/>
                <w:szCs w:val="28"/>
              </w:rPr>
              <w:t>euro</w:t>
            </w:r>
            <w:proofErr w:type="spellEnd"/>
          </w:p>
          <w:p w:rsidR="008C0D51" w:rsidRDefault="008C0D51" w:rsidP="008C0D51">
            <w:pPr>
              <w:jc w:val="both"/>
              <w:rPr>
                <w:rFonts w:ascii="Times New Roman" w:hAnsi="Times New Roman" w:cs="Times New Roman"/>
                <w:i/>
                <w:color w:val="000000"/>
                <w:sz w:val="28"/>
                <w:szCs w:val="28"/>
              </w:rPr>
            </w:pPr>
            <w:r>
              <w:rPr>
                <w:rFonts w:ascii="Times New Roman" w:hAnsi="Times New Roman" w:cs="Times New Roman"/>
                <w:color w:val="000000"/>
                <w:sz w:val="28"/>
                <w:szCs w:val="28"/>
              </w:rPr>
              <w:t>Ceļojošā izstāde „Sibīrija</w:t>
            </w:r>
            <w:r w:rsidR="0033306E">
              <w:rPr>
                <w:rFonts w:ascii="Times New Roman" w:hAnsi="Times New Roman" w:cs="Times New Roman"/>
                <w:color w:val="000000"/>
                <w:sz w:val="28"/>
                <w:szCs w:val="28"/>
              </w:rPr>
              <w:t>s bērni” veltīta 1941. gada 14. </w:t>
            </w:r>
            <w:r>
              <w:rPr>
                <w:rFonts w:ascii="Times New Roman" w:hAnsi="Times New Roman" w:cs="Times New Roman"/>
                <w:color w:val="000000"/>
                <w:sz w:val="28"/>
                <w:szCs w:val="28"/>
              </w:rPr>
              <w:t xml:space="preserve">jūnija deportācijai 6 000 </w:t>
            </w:r>
            <w:proofErr w:type="spellStart"/>
            <w:r>
              <w:rPr>
                <w:rFonts w:ascii="Times New Roman" w:hAnsi="Times New Roman" w:cs="Times New Roman"/>
                <w:i/>
                <w:color w:val="000000"/>
                <w:sz w:val="28"/>
                <w:szCs w:val="28"/>
              </w:rPr>
              <w:t>euro</w:t>
            </w:r>
            <w:proofErr w:type="spellEnd"/>
          </w:p>
          <w:p w:rsidR="008C0D51" w:rsidRDefault="008C0D51" w:rsidP="008C0D51">
            <w:pPr>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Koncerts „Aizvestie” 4 490 </w:t>
            </w:r>
            <w:proofErr w:type="spellStart"/>
            <w:r>
              <w:rPr>
                <w:rFonts w:ascii="Times New Roman" w:hAnsi="Times New Roman" w:cs="Times New Roman"/>
                <w:i/>
                <w:color w:val="000000"/>
                <w:sz w:val="28"/>
                <w:szCs w:val="28"/>
              </w:rPr>
              <w:t>euro</w:t>
            </w:r>
            <w:proofErr w:type="spellEnd"/>
          </w:p>
          <w:p w:rsidR="008C0D51" w:rsidRPr="008C0D51" w:rsidRDefault="008C0D51" w:rsidP="008C0D51">
            <w:pPr>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Projekts „Konference „1941. gada 14. jūnija piemiņai”” 3 280 </w:t>
            </w:r>
            <w:proofErr w:type="spellStart"/>
            <w:r>
              <w:rPr>
                <w:rFonts w:ascii="Times New Roman" w:hAnsi="Times New Roman" w:cs="Times New Roman"/>
                <w:i/>
                <w:color w:val="000000"/>
                <w:sz w:val="28"/>
                <w:szCs w:val="28"/>
              </w:rPr>
              <w:t>euro</w:t>
            </w:r>
            <w:proofErr w:type="spellEnd"/>
          </w:p>
        </w:tc>
      </w:tr>
      <w:tr w:rsidR="0003528C" w:rsidRPr="00B8509F" w:rsidTr="00A57684">
        <w:tc>
          <w:tcPr>
            <w:tcW w:w="2405" w:type="dxa"/>
            <w:gridSpan w:val="2"/>
          </w:tcPr>
          <w:p w:rsidR="0003528C" w:rsidRPr="00B8509F" w:rsidRDefault="00DC19FF" w:rsidP="00B8509F">
            <w:pPr>
              <w:tabs>
                <w:tab w:val="left" w:pos="571"/>
              </w:tabs>
              <w:rPr>
                <w:rFonts w:ascii="Times New Roman" w:hAnsi="Times New Roman" w:cs="Times New Roman"/>
                <w:sz w:val="28"/>
                <w:szCs w:val="28"/>
              </w:rPr>
            </w:pPr>
            <w:r w:rsidRPr="00B8509F">
              <w:rPr>
                <w:rFonts w:ascii="Times New Roman" w:eastAsia="Calibri" w:hAnsi="Times New Roman" w:cs="Times New Roman"/>
                <w:sz w:val="28"/>
                <w:szCs w:val="28"/>
              </w:rPr>
              <w:t>6.1. detalizēts ieņēmumu aprēķins</w:t>
            </w:r>
          </w:p>
        </w:tc>
        <w:tc>
          <w:tcPr>
            <w:tcW w:w="6882" w:type="dxa"/>
            <w:gridSpan w:val="6"/>
            <w:vMerge/>
          </w:tcPr>
          <w:p w:rsidR="0003528C" w:rsidRPr="00B8509F" w:rsidRDefault="0003528C" w:rsidP="00B8509F">
            <w:pPr>
              <w:jc w:val="both"/>
              <w:rPr>
                <w:rFonts w:ascii="Times New Roman" w:hAnsi="Times New Roman" w:cs="Times New Roman"/>
                <w:sz w:val="28"/>
                <w:szCs w:val="28"/>
              </w:rPr>
            </w:pPr>
          </w:p>
        </w:tc>
      </w:tr>
      <w:tr w:rsidR="0003528C" w:rsidRPr="00B8509F" w:rsidTr="00A57684">
        <w:tc>
          <w:tcPr>
            <w:tcW w:w="2405" w:type="dxa"/>
            <w:gridSpan w:val="2"/>
          </w:tcPr>
          <w:p w:rsidR="0003528C" w:rsidRPr="00B8509F" w:rsidRDefault="00DC19FF" w:rsidP="00B8509F">
            <w:pPr>
              <w:tabs>
                <w:tab w:val="left" w:pos="571"/>
              </w:tabs>
              <w:rPr>
                <w:rFonts w:ascii="Times New Roman" w:hAnsi="Times New Roman" w:cs="Times New Roman"/>
                <w:sz w:val="28"/>
                <w:szCs w:val="28"/>
              </w:rPr>
            </w:pPr>
            <w:r w:rsidRPr="00B8509F">
              <w:rPr>
                <w:rFonts w:ascii="Times New Roman" w:eastAsia="Calibri" w:hAnsi="Times New Roman" w:cs="Times New Roman"/>
                <w:sz w:val="28"/>
                <w:szCs w:val="28"/>
              </w:rPr>
              <w:t>6.2. detalizēts izdevumu aprēķins</w:t>
            </w:r>
          </w:p>
        </w:tc>
        <w:tc>
          <w:tcPr>
            <w:tcW w:w="6882" w:type="dxa"/>
            <w:gridSpan w:val="6"/>
            <w:vMerge/>
          </w:tcPr>
          <w:p w:rsidR="0003528C" w:rsidRPr="00B8509F" w:rsidRDefault="0003528C" w:rsidP="00B8509F">
            <w:pPr>
              <w:jc w:val="both"/>
              <w:rPr>
                <w:rFonts w:ascii="Times New Roman" w:hAnsi="Times New Roman" w:cs="Times New Roman"/>
                <w:sz w:val="28"/>
                <w:szCs w:val="28"/>
              </w:rPr>
            </w:pPr>
          </w:p>
        </w:tc>
      </w:tr>
      <w:tr w:rsidR="0003528C" w:rsidRPr="00B8509F" w:rsidTr="00A57684">
        <w:trPr>
          <w:trHeight w:val="407"/>
        </w:trPr>
        <w:tc>
          <w:tcPr>
            <w:tcW w:w="2405" w:type="dxa"/>
            <w:gridSpan w:val="2"/>
          </w:tcPr>
          <w:p w:rsidR="0003528C" w:rsidRPr="00B8509F" w:rsidRDefault="00DC19FF" w:rsidP="00B8509F">
            <w:pPr>
              <w:tabs>
                <w:tab w:val="left" w:pos="571"/>
              </w:tabs>
              <w:rPr>
                <w:rFonts w:ascii="Times New Roman" w:hAnsi="Times New Roman" w:cs="Times New Roman"/>
                <w:sz w:val="28"/>
                <w:szCs w:val="28"/>
              </w:rPr>
            </w:pPr>
            <w:r w:rsidRPr="00B8509F">
              <w:rPr>
                <w:rFonts w:ascii="Times New Roman" w:eastAsia="Calibri" w:hAnsi="Times New Roman" w:cs="Times New Roman"/>
                <w:sz w:val="28"/>
                <w:szCs w:val="28"/>
              </w:rPr>
              <w:t>7. Cita informācija</w:t>
            </w:r>
          </w:p>
        </w:tc>
        <w:tc>
          <w:tcPr>
            <w:tcW w:w="6882" w:type="dxa"/>
            <w:gridSpan w:val="6"/>
          </w:tcPr>
          <w:p w:rsidR="0003528C" w:rsidRPr="00B8509F" w:rsidRDefault="00D05BB1" w:rsidP="00A57684">
            <w:pPr>
              <w:jc w:val="both"/>
              <w:rPr>
                <w:rFonts w:ascii="Times New Roman" w:hAnsi="Times New Roman" w:cs="Times New Roman"/>
                <w:sz w:val="28"/>
                <w:szCs w:val="28"/>
              </w:rPr>
            </w:pPr>
            <w:r w:rsidRPr="00B8509F">
              <w:rPr>
                <w:rFonts w:ascii="Times New Roman" w:hAnsi="Times New Roman" w:cs="Times New Roman"/>
                <w:sz w:val="28"/>
                <w:szCs w:val="28"/>
              </w:rPr>
              <w:t xml:space="preserve">Izdevumus sedz no valsts budžeta programmas 02.00.00 „Līdzekļi neparedzētiem gadījumiem” atbilstoši Ministru kabineta </w:t>
            </w:r>
            <w:proofErr w:type="gramStart"/>
            <w:r w:rsidRPr="00B8509F">
              <w:rPr>
                <w:rFonts w:ascii="Times New Roman" w:hAnsi="Times New Roman" w:cs="Times New Roman"/>
                <w:sz w:val="28"/>
                <w:szCs w:val="28"/>
              </w:rPr>
              <w:t>2009.gada</w:t>
            </w:r>
            <w:proofErr w:type="gramEnd"/>
            <w:r w:rsidRPr="00B8509F">
              <w:rPr>
                <w:rFonts w:ascii="Times New Roman" w:hAnsi="Times New Roman" w:cs="Times New Roman"/>
                <w:sz w:val="28"/>
                <w:szCs w:val="28"/>
              </w:rPr>
              <w:t xml:space="preserve"> 22.</w:t>
            </w:r>
            <w:r w:rsidR="00A57684">
              <w:rPr>
                <w:rFonts w:ascii="Times New Roman" w:hAnsi="Times New Roman" w:cs="Times New Roman"/>
                <w:sz w:val="28"/>
                <w:szCs w:val="28"/>
              </w:rPr>
              <w:t>de</w:t>
            </w:r>
            <w:r w:rsidRPr="00B8509F">
              <w:rPr>
                <w:rFonts w:ascii="Times New Roman" w:hAnsi="Times New Roman" w:cs="Times New Roman"/>
                <w:sz w:val="28"/>
                <w:szCs w:val="28"/>
              </w:rPr>
              <w:t>cembra noteikumiem Nr.1644 „Kārtība, kādā pieprasa un izlieto budžeta programmas „Līdzekļi neparedzētiem gadījumiem” līdzekļus”.</w:t>
            </w:r>
          </w:p>
        </w:tc>
      </w:tr>
      <w:tr w:rsidR="0036385E" w:rsidRPr="00CC0953" w:rsidTr="00A57684">
        <w:tc>
          <w:tcPr>
            <w:tcW w:w="9287" w:type="dxa"/>
            <w:gridSpan w:val="8"/>
          </w:tcPr>
          <w:p w:rsidR="0036385E" w:rsidRPr="00CC0953" w:rsidRDefault="00DC19FF" w:rsidP="00B8509F">
            <w:pPr>
              <w:tabs>
                <w:tab w:val="left" w:pos="4863"/>
              </w:tabs>
              <w:jc w:val="center"/>
              <w:rPr>
                <w:rFonts w:ascii="Times New Roman" w:hAnsi="Times New Roman" w:cs="Times New Roman"/>
                <w:sz w:val="28"/>
                <w:szCs w:val="28"/>
              </w:rPr>
            </w:pPr>
            <w:r w:rsidRPr="00DC19FF">
              <w:rPr>
                <w:rFonts w:ascii="Times New Roman" w:eastAsia="Calibri" w:hAnsi="Times New Roman" w:cs="Times New Roman"/>
                <w:b/>
                <w:sz w:val="28"/>
                <w:szCs w:val="28"/>
              </w:rPr>
              <w:lastRenderedPageBreak/>
              <w:t xml:space="preserve"> VII.</w:t>
            </w:r>
            <w:r w:rsidR="00CC0953">
              <w:rPr>
                <w:rFonts w:ascii="Times New Roman" w:eastAsia="Calibri" w:hAnsi="Times New Roman" w:cs="Times New Roman"/>
                <w:b/>
                <w:sz w:val="28"/>
                <w:szCs w:val="28"/>
              </w:rPr>
              <w:t xml:space="preserve"> </w:t>
            </w:r>
            <w:r w:rsidRPr="00DC19FF">
              <w:rPr>
                <w:rFonts w:ascii="Times New Roman" w:eastAsia="Calibri" w:hAnsi="Times New Roman" w:cs="Times New Roman"/>
                <w:b/>
                <w:sz w:val="28"/>
                <w:szCs w:val="28"/>
              </w:rPr>
              <w:t>Tiesību akta projekta izpildes nodrošināšana un tās ietekme uz institūcijām</w:t>
            </w:r>
          </w:p>
        </w:tc>
      </w:tr>
      <w:tr w:rsidR="0036385E" w:rsidRPr="00CC0953" w:rsidTr="00A57684">
        <w:tc>
          <w:tcPr>
            <w:tcW w:w="581" w:type="dxa"/>
          </w:tcPr>
          <w:p w:rsidR="007C17A9" w:rsidRDefault="00DC19FF" w:rsidP="00B8509F">
            <w:pPr>
              <w:tabs>
                <w:tab w:val="left" w:pos="4863"/>
              </w:tabs>
              <w:jc w:val="center"/>
              <w:rPr>
                <w:rFonts w:ascii="Times New Roman" w:hAnsi="Times New Roman" w:cs="Times New Roman"/>
                <w:sz w:val="28"/>
                <w:szCs w:val="28"/>
              </w:rPr>
            </w:pPr>
            <w:r w:rsidRPr="00DC19FF">
              <w:rPr>
                <w:rFonts w:ascii="Times New Roman" w:hAnsi="Times New Roman" w:cs="Times New Roman"/>
                <w:sz w:val="28"/>
                <w:szCs w:val="28"/>
              </w:rPr>
              <w:t>1.</w:t>
            </w:r>
          </w:p>
        </w:tc>
        <w:tc>
          <w:tcPr>
            <w:tcW w:w="4170" w:type="dxa"/>
            <w:gridSpan w:val="3"/>
          </w:tcPr>
          <w:p w:rsidR="0036385E" w:rsidRPr="00CC0953" w:rsidRDefault="00DC19FF" w:rsidP="00B8509F">
            <w:pPr>
              <w:tabs>
                <w:tab w:val="left" w:pos="4863"/>
              </w:tabs>
              <w:jc w:val="both"/>
              <w:rPr>
                <w:rFonts w:ascii="Times New Roman" w:hAnsi="Times New Roman" w:cs="Times New Roman"/>
                <w:sz w:val="28"/>
                <w:szCs w:val="28"/>
              </w:rPr>
            </w:pPr>
            <w:r w:rsidRPr="00DC19FF">
              <w:rPr>
                <w:rFonts w:ascii="Times New Roman" w:eastAsia="Calibri" w:hAnsi="Times New Roman" w:cs="Times New Roman"/>
                <w:sz w:val="28"/>
                <w:szCs w:val="28"/>
              </w:rPr>
              <w:t>Projekta izpildē iesaistītās institūcijas</w:t>
            </w:r>
          </w:p>
        </w:tc>
        <w:tc>
          <w:tcPr>
            <w:tcW w:w="4536" w:type="dxa"/>
            <w:gridSpan w:val="4"/>
          </w:tcPr>
          <w:p w:rsidR="0036385E" w:rsidRPr="00CC0953" w:rsidRDefault="004F700A" w:rsidP="004F700A">
            <w:pPr>
              <w:tabs>
                <w:tab w:val="left" w:pos="4863"/>
              </w:tabs>
              <w:jc w:val="both"/>
              <w:rPr>
                <w:rFonts w:ascii="Times New Roman" w:hAnsi="Times New Roman" w:cs="Times New Roman"/>
                <w:sz w:val="28"/>
                <w:szCs w:val="28"/>
              </w:rPr>
            </w:pPr>
            <w:r>
              <w:rPr>
                <w:rFonts w:ascii="Times New Roman" w:hAnsi="Times New Roman" w:cs="Times New Roman"/>
                <w:sz w:val="28"/>
                <w:szCs w:val="28"/>
              </w:rPr>
              <w:t>Ārlietu</w:t>
            </w:r>
            <w:r w:rsidR="00CC0953" w:rsidRPr="00CC0953">
              <w:rPr>
                <w:rFonts w:ascii="Times New Roman" w:hAnsi="Times New Roman" w:cs="Times New Roman"/>
                <w:sz w:val="28"/>
                <w:szCs w:val="28"/>
              </w:rPr>
              <w:t xml:space="preserve"> ministrija, </w:t>
            </w:r>
            <w:r w:rsidR="00CC0953">
              <w:rPr>
                <w:rFonts w:ascii="Times New Roman" w:hAnsi="Times New Roman" w:cs="Times New Roman"/>
                <w:sz w:val="28"/>
                <w:szCs w:val="28"/>
              </w:rPr>
              <w:t xml:space="preserve">Finanšu </w:t>
            </w:r>
            <w:r w:rsidR="00CC0953" w:rsidRPr="00CC0953">
              <w:rPr>
                <w:rFonts w:ascii="Times New Roman" w:hAnsi="Times New Roman" w:cs="Times New Roman"/>
                <w:sz w:val="28"/>
                <w:szCs w:val="28"/>
              </w:rPr>
              <w:t>ministrija.</w:t>
            </w:r>
          </w:p>
        </w:tc>
      </w:tr>
      <w:tr w:rsidR="0036385E" w:rsidRPr="00CC0953" w:rsidTr="00A57684">
        <w:tc>
          <w:tcPr>
            <w:tcW w:w="581" w:type="dxa"/>
          </w:tcPr>
          <w:p w:rsidR="007C17A9" w:rsidRDefault="00DC19FF" w:rsidP="00B8509F">
            <w:pPr>
              <w:tabs>
                <w:tab w:val="left" w:pos="4863"/>
              </w:tabs>
              <w:jc w:val="center"/>
              <w:rPr>
                <w:rFonts w:ascii="Times New Roman" w:hAnsi="Times New Roman" w:cs="Times New Roman"/>
                <w:sz w:val="28"/>
                <w:szCs w:val="28"/>
              </w:rPr>
            </w:pPr>
            <w:r w:rsidRPr="00DC19FF">
              <w:rPr>
                <w:rFonts w:ascii="Times New Roman" w:hAnsi="Times New Roman" w:cs="Times New Roman"/>
                <w:sz w:val="28"/>
                <w:szCs w:val="28"/>
              </w:rPr>
              <w:t>2.</w:t>
            </w:r>
          </w:p>
        </w:tc>
        <w:tc>
          <w:tcPr>
            <w:tcW w:w="4170" w:type="dxa"/>
            <w:gridSpan w:val="3"/>
          </w:tcPr>
          <w:p w:rsidR="0036385E" w:rsidRDefault="00DC19FF" w:rsidP="00B8509F">
            <w:pPr>
              <w:pStyle w:val="naisf"/>
              <w:spacing w:before="0" w:beforeAutospacing="0" w:after="0" w:afterAutospacing="0"/>
              <w:ind w:left="-14" w:right="57"/>
              <w:jc w:val="both"/>
              <w:rPr>
                <w:sz w:val="28"/>
                <w:szCs w:val="28"/>
              </w:rPr>
            </w:pPr>
            <w:r w:rsidRPr="00DC19FF">
              <w:rPr>
                <w:sz w:val="28"/>
                <w:szCs w:val="28"/>
              </w:rPr>
              <w:t>Projekta izpildes ietekme uz pārvaldes funkcijām un institucionālo struktūru.</w:t>
            </w:r>
          </w:p>
          <w:p w:rsidR="00CC0953" w:rsidRPr="00CC0953" w:rsidRDefault="00CC0953" w:rsidP="00B8509F">
            <w:pPr>
              <w:pStyle w:val="naisf"/>
              <w:spacing w:before="0" w:beforeAutospacing="0" w:after="0" w:afterAutospacing="0"/>
              <w:ind w:left="57" w:right="57"/>
              <w:jc w:val="both"/>
              <w:rPr>
                <w:sz w:val="28"/>
                <w:szCs w:val="28"/>
              </w:rPr>
            </w:pPr>
          </w:p>
          <w:p w:rsidR="0036385E" w:rsidRPr="00CC0953" w:rsidRDefault="00DC19FF" w:rsidP="00B8509F">
            <w:pPr>
              <w:tabs>
                <w:tab w:val="left" w:pos="4863"/>
              </w:tabs>
              <w:jc w:val="both"/>
              <w:rPr>
                <w:rFonts w:ascii="Times New Roman" w:hAnsi="Times New Roman" w:cs="Times New Roman"/>
                <w:sz w:val="28"/>
                <w:szCs w:val="28"/>
              </w:rPr>
            </w:pPr>
            <w:r w:rsidRPr="00DC19FF">
              <w:rPr>
                <w:rFonts w:ascii="Times New Roman" w:eastAsia="Calibri" w:hAnsi="Times New Roman" w:cs="Times New Roman"/>
                <w:sz w:val="28"/>
                <w:szCs w:val="28"/>
              </w:rPr>
              <w:t>Jaunu institūciju izveide, esošu institūciju likvidācija vai reorganizācija, to ietekme uz institūcijas cilvēkresursiem.</w:t>
            </w:r>
          </w:p>
        </w:tc>
        <w:tc>
          <w:tcPr>
            <w:tcW w:w="4536" w:type="dxa"/>
            <w:gridSpan w:val="4"/>
          </w:tcPr>
          <w:p w:rsidR="0036385E" w:rsidRPr="00CC0953" w:rsidRDefault="00CD0DBA" w:rsidP="00B8509F">
            <w:pPr>
              <w:tabs>
                <w:tab w:val="left" w:pos="4863"/>
              </w:tabs>
              <w:jc w:val="both"/>
              <w:rPr>
                <w:rFonts w:ascii="Times New Roman" w:hAnsi="Times New Roman" w:cs="Times New Roman"/>
                <w:sz w:val="28"/>
                <w:szCs w:val="28"/>
              </w:rPr>
            </w:pPr>
            <w:r>
              <w:rPr>
                <w:rFonts w:ascii="Times New Roman" w:eastAsia="Calibri" w:hAnsi="Times New Roman" w:cs="Times New Roman"/>
                <w:iCs/>
                <w:sz w:val="28"/>
                <w:szCs w:val="28"/>
              </w:rPr>
              <w:t>Rīkojuma p</w:t>
            </w:r>
            <w:r w:rsidR="00CC0953" w:rsidRPr="00CC0953">
              <w:rPr>
                <w:rFonts w:ascii="Times New Roman" w:eastAsia="Calibri" w:hAnsi="Times New Roman" w:cs="Times New Roman"/>
                <w:iCs/>
                <w:sz w:val="28"/>
                <w:szCs w:val="28"/>
              </w:rPr>
              <w:t>rojekts šo jomu neskar.</w:t>
            </w:r>
          </w:p>
        </w:tc>
      </w:tr>
      <w:tr w:rsidR="0036385E" w:rsidRPr="00CC0953" w:rsidTr="00A57684">
        <w:trPr>
          <w:trHeight w:val="410"/>
        </w:trPr>
        <w:tc>
          <w:tcPr>
            <w:tcW w:w="581" w:type="dxa"/>
          </w:tcPr>
          <w:p w:rsidR="007C17A9" w:rsidRDefault="00DC19FF" w:rsidP="00B8509F">
            <w:pPr>
              <w:tabs>
                <w:tab w:val="left" w:pos="4863"/>
              </w:tabs>
              <w:jc w:val="center"/>
              <w:rPr>
                <w:rFonts w:ascii="Times New Roman" w:hAnsi="Times New Roman" w:cs="Times New Roman"/>
                <w:sz w:val="28"/>
                <w:szCs w:val="28"/>
              </w:rPr>
            </w:pPr>
            <w:r w:rsidRPr="00DC19FF">
              <w:rPr>
                <w:rFonts w:ascii="Times New Roman" w:hAnsi="Times New Roman" w:cs="Times New Roman"/>
                <w:sz w:val="28"/>
                <w:szCs w:val="28"/>
              </w:rPr>
              <w:t>3.</w:t>
            </w:r>
          </w:p>
        </w:tc>
        <w:tc>
          <w:tcPr>
            <w:tcW w:w="4170" w:type="dxa"/>
            <w:gridSpan w:val="3"/>
          </w:tcPr>
          <w:p w:rsidR="0036385E" w:rsidRPr="00CC0953" w:rsidRDefault="00DC19FF" w:rsidP="00B8509F">
            <w:pPr>
              <w:tabs>
                <w:tab w:val="left" w:pos="4863"/>
              </w:tabs>
              <w:jc w:val="both"/>
              <w:rPr>
                <w:rFonts w:ascii="Times New Roman" w:hAnsi="Times New Roman" w:cs="Times New Roman"/>
                <w:sz w:val="28"/>
                <w:szCs w:val="28"/>
              </w:rPr>
            </w:pPr>
            <w:r w:rsidRPr="00DC19FF">
              <w:rPr>
                <w:rFonts w:ascii="Times New Roman" w:hAnsi="Times New Roman" w:cs="Times New Roman"/>
                <w:sz w:val="28"/>
                <w:szCs w:val="28"/>
              </w:rPr>
              <w:t xml:space="preserve">Cita </w:t>
            </w:r>
            <w:r w:rsidR="00CC0953">
              <w:rPr>
                <w:rFonts w:ascii="Times New Roman" w:hAnsi="Times New Roman" w:cs="Times New Roman"/>
                <w:sz w:val="28"/>
                <w:szCs w:val="28"/>
              </w:rPr>
              <w:t>i</w:t>
            </w:r>
            <w:r w:rsidRPr="00DC19FF">
              <w:rPr>
                <w:rFonts w:ascii="Times New Roman" w:hAnsi="Times New Roman" w:cs="Times New Roman"/>
                <w:sz w:val="28"/>
                <w:szCs w:val="28"/>
              </w:rPr>
              <w:t>nformācija</w:t>
            </w:r>
          </w:p>
        </w:tc>
        <w:tc>
          <w:tcPr>
            <w:tcW w:w="4536" w:type="dxa"/>
            <w:gridSpan w:val="4"/>
          </w:tcPr>
          <w:p w:rsidR="0036385E" w:rsidRPr="00CC0953" w:rsidRDefault="00DC19FF" w:rsidP="00B8509F">
            <w:pPr>
              <w:tabs>
                <w:tab w:val="left" w:pos="4863"/>
              </w:tabs>
              <w:jc w:val="both"/>
              <w:rPr>
                <w:rFonts w:ascii="Times New Roman" w:hAnsi="Times New Roman" w:cs="Times New Roman"/>
                <w:sz w:val="28"/>
                <w:szCs w:val="28"/>
              </w:rPr>
            </w:pPr>
            <w:r w:rsidRPr="00DC19FF">
              <w:rPr>
                <w:rFonts w:ascii="Times New Roman" w:hAnsi="Times New Roman" w:cs="Times New Roman"/>
                <w:sz w:val="28"/>
                <w:szCs w:val="28"/>
              </w:rPr>
              <w:t>Nav</w:t>
            </w:r>
          </w:p>
        </w:tc>
      </w:tr>
    </w:tbl>
    <w:p w:rsidR="00B8509F" w:rsidRDefault="00B8509F">
      <w:pPr>
        <w:tabs>
          <w:tab w:val="left" w:pos="4863"/>
        </w:tabs>
        <w:spacing w:after="0" w:line="240" w:lineRule="auto"/>
        <w:ind w:left="142"/>
        <w:rPr>
          <w:rFonts w:ascii="Times New Roman" w:hAnsi="Times New Roman" w:cs="Times New Roman"/>
          <w:sz w:val="28"/>
          <w:szCs w:val="28"/>
        </w:rPr>
      </w:pPr>
    </w:p>
    <w:p w:rsidR="00B8509F" w:rsidRDefault="00B8509F">
      <w:pPr>
        <w:tabs>
          <w:tab w:val="left" w:pos="4863"/>
        </w:tabs>
        <w:spacing w:after="0" w:line="240" w:lineRule="auto"/>
        <w:ind w:left="142"/>
        <w:rPr>
          <w:rFonts w:ascii="Times New Roman" w:hAnsi="Times New Roman" w:cs="Times New Roman"/>
          <w:sz w:val="28"/>
          <w:szCs w:val="28"/>
        </w:rPr>
      </w:pPr>
    </w:p>
    <w:p w:rsidR="00960DB6" w:rsidRDefault="00960DB6">
      <w:pPr>
        <w:tabs>
          <w:tab w:val="left" w:pos="4863"/>
        </w:tabs>
        <w:spacing w:after="0" w:line="240" w:lineRule="auto"/>
        <w:ind w:left="142"/>
        <w:rPr>
          <w:rFonts w:ascii="Times New Roman" w:hAnsi="Times New Roman" w:cs="Times New Roman"/>
          <w:sz w:val="28"/>
          <w:szCs w:val="28"/>
        </w:rPr>
      </w:pPr>
    </w:p>
    <w:p w:rsidR="007C17A9" w:rsidRDefault="004F700A">
      <w:pPr>
        <w:tabs>
          <w:tab w:val="left" w:pos="4863"/>
        </w:tabs>
        <w:spacing w:after="0" w:line="240" w:lineRule="auto"/>
        <w:ind w:left="142"/>
        <w:rPr>
          <w:rFonts w:ascii="Times New Roman" w:hAnsi="Times New Roman" w:cs="Times New Roman"/>
          <w:sz w:val="28"/>
          <w:szCs w:val="28"/>
        </w:rPr>
      </w:pPr>
      <w:r>
        <w:rPr>
          <w:rFonts w:ascii="Times New Roman" w:hAnsi="Times New Roman" w:cs="Times New Roman"/>
          <w:sz w:val="28"/>
          <w:szCs w:val="28"/>
        </w:rPr>
        <w:t>Ārlietu</w:t>
      </w:r>
      <w:r w:rsidR="00DC19FF" w:rsidRPr="00DC19FF">
        <w:rPr>
          <w:rFonts w:ascii="Times New Roman" w:hAnsi="Times New Roman" w:cs="Times New Roman"/>
          <w:sz w:val="28"/>
          <w:szCs w:val="28"/>
        </w:rPr>
        <w:t xml:space="preserve"> ministr</w:t>
      </w:r>
      <w:r>
        <w:rPr>
          <w:rFonts w:ascii="Times New Roman" w:hAnsi="Times New Roman" w:cs="Times New Roman"/>
          <w:sz w:val="28"/>
          <w:szCs w:val="28"/>
        </w:rPr>
        <w:t>s</w:t>
      </w:r>
      <w:r w:rsidR="00DC19FF" w:rsidRPr="00DC19FF">
        <w:rPr>
          <w:rFonts w:ascii="Times New Roman" w:hAnsi="Times New Roman" w:cs="Times New Roman"/>
          <w:sz w:val="28"/>
          <w:szCs w:val="28"/>
        </w:rPr>
        <w:tab/>
      </w:r>
      <w:r w:rsidR="00DC19FF" w:rsidRPr="00DC19FF">
        <w:rPr>
          <w:rFonts w:ascii="Times New Roman" w:hAnsi="Times New Roman" w:cs="Times New Roman"/>
          <w:sz w:val="28"/>
          <w:szCs w:val="28"/>
        </w:rPr>
        <w:tab/>
      </w:r>
      <w:r w:rsidR="00DC19FF" w:rsidRPr="00DC19FF">
        <w:rPr>
          <w:rFonts w:ascii="Times New Roman" w:hAnsi="Times New Roman" w:cs="Times New Roman"/>
          <w:sz w:val="28"/>
          <w:szCs w:val="28"/>
        </w:rPr>
        <w:tab/>
      </w:r>
      <w:r w:rsidR="00DC19FF" w:rsidRPr="00DC19FF">
        <w:rPr>
          <w:rFonts w:ascii="Times New Roman" w:hAnsi="Times New Roman" w:cs="Times New Roman"/>
          <w:sz w:val="28"/>
          <w:szCs w:val="28"/>
        </w:rPr>
        <w:tab/>
      </w:r>
      <w:r>
        <w:rPr>
          <w:rFonts w:ascii="Times New Roman" w:hAnsi="Times New Roman" w:cs="Times New Roman"/>
          <w:sz w:val="28"/>
          <w:szCs w:val="28"/>
        </w:rPr>
        <w:t xml:space="preserve">E. </w:t>
      </w:r>
      <w:proofErr w:type="spellStart"/>
      <w:r>
        <w:rPr>
          <w:rFonts w:ascii="Times New Roman" w:hAnsi="Times New Roman" w:cs="Times New Roman"/>
          <w:sz w:val="28"/>
          <w:szCs w:val="28"/>
        </w:rPr>
        <w:t>Rinkēvičs</w:t>
      </w:r>
      <w:proofErr w:type="spellEnd"/>
    </w:p>
    <w:p w:rsidR="004F700A" w:rsidRDefault="004F700A">
      <w:pPr>
        <w:tabs>
          <w:tab w:val="left" w:pos="4863"/>
        </w:tabs>
        <w:spacing w:after="0" w:line="240" w:lineRule="auto"/>
        <w:ind w:left="142"/>
        <w:rPr>
          <w:rFonts w:ascii="Times New Roman" w:hAnsi="Times New Roman" w:cs="Times New Roman"/>
          <w:sz w:val="28"/>
          <w:szCs w:val="28"/>
        </w:rPr>
      </w:pPr>
    </w:p>
    <w:p w:rsidR="00960DB6" w:rsidRDefault="00960DB6">
      <w:pPr>
        <w:tabs>
          <w:tab w:val="left" w:pos="4863"/>
        </w:tabs>
        <w:spacing w:after="0" w:line="240" w:lineRule="auto"/>
        <w:ind w:left="142"/>
        <w:rPr>
          <w:rFonts w:ascii="Times New Roman" w:hAnsi="Times New Roman" w:cs="Times New Roman"/>
          <w:sz w:val="28"/>
          <w:szCs w:val="28"/>
        </w:rPr>
      </w:pPr>
    </w:p>
    <w:p w:rsidR="00960DB6" w:rsidRDefault="00960DB6">
      <w:pPr>
        <w:tabs>
          <w:tab w:val="left" w:pos="4863"/>
        </w:tabs>
        <w:spacing w:after="0" w:line="240" w:lineRule="auto"/>
        <w:ind w:left="142"/>
        <w:rPr>
          <w:rFonts w:ascii="Times New Roman" w:hAnsi="Times New Roman" w:cs="Times New Roman"/>
          <w:sz w:val="28"/>
          <w:szCs w:val="28"/>
        </w:rPr>
      </w:pPr>
    </w:p>
    <w:p w:rsidR="00960DB6" w:rsidRDefault="00960DB6">
      <w:pPr>
        <w:tabs>
          <w:tab w:val="left" w:pos="4863"/>
        </w:tabs>
        <w:spacing w:after="0" w:line="240" w:lineRule="auto"/>
        <w:ind w:left="142"/>
        <w:rPr>
          <w:rFonts w:ascii="Times New Roman" w:hAnsi="Times New Roman" w:cs="Times New Roman"/>
          <w:sz w:val="28"/>
          <w:szCs w:val="28"/>
        </w:rPr>
      </w:pPr>
    </w:p>
    <w:p w:rsidR="007C17A9" w:rsidRDefault="00716C3F">
      <w:pPr>
        <w:tabs>
          <w:tab w:val="left" w:pos="4863"/>
        </w:tabs>
        <w:spacing w:after="0" w:line="240" w:lineRule="auto"/>
        <w:ind w:left="142"/>
        <w:rPr>
          <w:rFonts w:ascii="Times New Roman" w:hAnsi="Times New Roman" w:cs="Times New Roman"/>
          <w:sz w:val="28"/>
          <w:szCs w:val="28"/>
        </w:rPr>
      </w:pPr>
      <w:r>
        <w:rPr>
          <w:rFonts w:ascii="Times New Roman" w:hAnsi="Times New Roman" w:cs="Times New Roman"/>
          <w:sz w:val="28"/>
          <w:szCs w:val="28"/>
        </w:rPr>
        <w:t>Vīza: valsts sekretārs</w:t>
      </w:r>
      <w:r w:rsidR="00DC19FF" w:rsidRPr="00DC19FF">
        <w:rPr>
          <w:rFonts w:ascii="Times New Roman" w:hAnsi="Times New Roman" w:cs="Times New Roman"/>
          <w:sz w:val="28"/>
          <w:szCs w:val="28"/>
        </w:rPr>
        <w:tab/>
      </w:r>
      <w:r w:rsidR="00DC19FF" w:rsidRPr="00DC19FF">
        <w:rPr>
          <w:rFonts w:ascii="Times New Roman" w:hAnsi="Times New Roman" w:cs="Times New Roman"/>
          <w:sz w:val="28"/>
          <w:szCs w:val="28"/>
        </w:rPr>
        <w:tab/>
      </w:r>
      <w:r w:rsidR="00DC19FF" w:rsidRPr="00DC19FF">
        <w:rPr>
          <w:rFonts w:ascii="Times New Roman" w:hAnsi="Times New Roman" w:cs="Times New Roman"/>
          <w:sz w:val="28"/>
          <w:szCs w:val="28"/>
        </w:rPr>
        <w:tab/>
      </w:r>
      <w:r w:rsidR="00DC19FF" w:rsidRPr="00DC19FF">
        <w:rPr>
          <w:rFonts w:ascii="Times New Roman" w:hAnsi="Times New Roman" w:cs="Times New Roman"/>
          <w:sz w:val="28"/>
          <w:szCs w:val="28"/>
        </w:rPr>
        <w:tab/>
      </w:r>
      <w:r w:rsidR="004F700A">
        <w:rPr>
          <w:rFonts w:ascii="Times New Roman" w:hAnsi="Times New Roman" w:cs="Times New Roman"/>
          <w:sz w:val="28"/>
          <w:szCs w:val="28"/>
        </w:rPr>
        <w:t>A. Pildegovičs</w:t>
      </w:r>
    </w:p>
    <w:p w:rsidR="007C17A9" w:rsidRDefault="007C17A9">
      <w:pPr>
        <w:tabs>
          <w:tab w:val="left" w:pos="4863"/>
        </w:tabs>
        <w:spacing w:after="0" w:line="240" w:lineRule="auto"/>
        <w:rPr>
          <w:rFonts w:ascii="Times New Roman" w:hAnsi="Times New Roman" w:cs="Times New Roman"/>
          <w:sz w:val="28"/>
          <w:szCs w:val="28"/>
        </w:rPr>
      </w:pPr>
    </w:p>
    <w:p w:rsidR="007C17A9" w:rsidRDefault="007C17A9">
      <w:pPr>
        <w:tabs>
          <w:tab w:val="left" w:pos="4863"/>
        </w:tabs>
        <w:spacing w:after="0" w:line="240" w:lineRule="auto"/>
        <w:rPr>
          <w:rFonts w:ascii="Times New Roman" w:hAnsi="Times New Roman" w:cs="Times New Roman"/>
          <w:sz w:val="28"/>
          <w:szCs w:val="28"/>
        </w:rPr>
      </w:pPr>
    </w:p>
    <w:p w:rsidR="00B8509F" w:rsidRDefault="00B8509F">
      <w:pPr>
        <w:tabs>
          <w:tab w:val="left" w:pos="4863"/>
        </w:tabs>
        <w:spacing w:after="0" w:line="240" w:lineRule="auto"/>
        <w:rPr>
          <w:rFonts w:ascii="Times New Roman" w:hAnsi="Times New Roman" w:cs="Times New Roman"/>
          <w:sz w:val="28"/>
          <w:szCs w:val="28"/>
        </w:rPr>
      </w:pPr>
    </w:p>
    <w:p w:rsidR="00F71318" w:rsidRDefault="00F71318" w:rsidP="00CD0DBA">
      <w:pPr>
        <w:widowControl w:val="0"/>
        <w:tabs>
          <w:tab w:val="left" w:pos="720"/>
          <w:tab w:val="center" w:pos="4153"/>
          <w:tab w:val="right" w:pos="8306"/>
        </w:tabs>
        <w:spacing w:after="0" w:line="240" w:lineRule="auto"/>
        <w:rPr>
          <w:rFonts w:ascii="Times New Roman" w:eastAsia="Times New Roman" w:hAnsi="Times New Roman" w:cs="Times New Roman"/>
        </w:rPr>
      </w:pPr>
    </w:p>
    <w:p w:rsidR="00F71318" w:rsidRDefault="00F71318" w:rsidP="00CD0DBA">
      <w:pPr>
        <w:widowControl w:val="0"/>
        <w:tabs>
          <w:tab w:val="left" w:pos="720"/>
          <w:tab w:val="center" w:pos="4153"/>
          <w:tab w:val="right" w:pos="8306"/>
        </w:tabs>
        <w:spacing w:after="0" w:line="240" w:lineRule="auto"/>
        <w:rPr>
          <w:rFonts w:ascii="Times New Roman" w:eastAsia="Times New Roman" w:hAnsi="Times New Roman" w:cs="Times New Roman"/>
        </w:rPr>
      </w:pPr>
    </w:p>
    <w:p w:rsidR="00F71318" w:rsidRDefault="00F71318" w:rsidP="00CD0DBA">
      <w:pPr>
        <w:widowControl w:val="0"/>
        <w:tabs>
          <w:tab w:val="left" w:pos="720"/>
          <w:tab w:val="center" w:pos="4153"/>
          <w:tab w:val="right" w:pos="8306"/>
        </w:tabs>
        <w:spacing w:after="0" w:line="240" w:lineRule="auto"/>
        <w:rPr>
          <w:rFonts w:ascii="Times New Roman" w:eastAsia="Times New Roman" w:hAnsi="Times New Roman" w:cs="Times New Roman"/>
        </w:rPr>
      </w:pPr>
    </w:p>
    <w:p w:rsidR="00F71318" w:rsidRDefault="00F71318" w:rsidP="00CD0DBA">
      <w:pPr>
        <w:widowControl w:val="0"/>
        <w:tabs>
          <w:tab w:val="left" w:pos="720"/>
          <w:tab w:val="center" w:pos="4153"/>
          <w:tab w:val="right" w:pos="8306"/>
        </w:tabs>
        <w:spacing w:after="0" w:line="240" w:lineRule="auto"/>
        <w:rPr>
          <w:rFonts w:ascii="Times New Roman" w:eastAsia="Times New Roman" w:hAnsi="Times New Roman" w:cs="Times New Roman"/>
        </w:rPr>
      </w:pPr>
    </w:p>
    <w:p w:rsidR="00F71318" w:rsidRDefault="00F71318" w:rsidP="00CD0DBA">
      <w:pPr>
        <w:widowControl w:val="0"/>
        <w:tabs>
          <w:tab w:val="left" w:pos="720"/>
          <w:tab w:val="center" w:pos="4153"/>
          <w:tab w:val="right" w:pos="8306"/>
        </w:tabs>
        <w:spacing w:after="0" w:line="240" w:lineRule="auto"/>
        <w:rPr>
          <w:rFonts w:ascii="Times New Roman" w:eastAsia="Times New Roman" w:hAnsi="Times New Roman" w:cs="Times New Roman"/>
        </w:rPr>
      </w:pPr>
    </w:p>
    <w:p w:rsidR="00960DB6" w:rsidRDefault="00960DB6" w:rsidP="00CD0DBA">
      <w:pPr>
        <w:widowControl w:val="0"/>
        <w:tabs>
          <w:tab w:val="left" w:pos="720"/>
          <w:tab w:val="center" w:pos="4153"/>
          <w:tab w:val="right" w:pos="8306"/>
        </w:tabs>
        <w:spacing w:after="0" w:line="240" w:lineRule="auto"/>
        <w:rPr>
          <w:rFonts w:ascii="Times New Roman" w:eastAsia="Times New Roman" w:hAnsi="Times New Roman" w:cs="Times New Roman"/>
        </w:rPr>
      </w:pPr>
    </w:p>
    <w:p w:rsidR="00960DB6" w:rsidRDefault="00960DB6" w:rsidP="00CD0DBA">
      <w:pPr>
        <w:widowControl w:val="0"/>
        <w:tabs>
          <w:tab w:val="left" w:pos="720"/>
          <w:tab w:val="center" w:pos="4153"/>
          <w:tab w:val="right" w:pos="8306"/>
        </w:tabs>
        <w:spacing w:after="0" w:line="240" w:lineRule="auto"/>
        <w:rPr>
          <w:rFonts w:ascii="Times New Roman" w:eastAsia="Times New Roman" w:hAnsi="Times New Roman" w:cs="Times New Roman"/>
        </w:rPr>
      </w:pPr>
    </w:p>
    <w:p w:rsidR="00960DB6" w:rsidRDefault="00960DB6" w:rsidP="00CD0DBA">
      <w:pPr>
        <w:widowControl w:val="0"/>
        <w:tabs>
          <w:tab w:val="left" w:pos="720"/>
          <w:tab w:val="center" w:pos="4153"/>
          <w:tab w:val="right" w:pos="8306"/>
        </w:tabs>
        <w:spacing w:after="0" w:line="240" w:lineRule="auto"/>
        <w:rPr>
          <w:rFonts w:ascii="Times New Roman" w:eastAsia="Times New Roman" w:hAnsi="Times New Roman" w:cs="Times New Roman"/>
        </w:rPr>
      </w:pPr>
    </w:p>
    <w:p w:rsidR="00960DB6" w:rsidRDefault="00960DB6" w:rsidP="00CD0DBA">
      <w:pPr>
        <w:widowControl w:val="0"/>
        <w:tabs>
          <w:tab w:val="left" w:pos="720"/>
          <w:tab w:val="center" w:pos="4153"/>
          <w:tab w:val="right" w:pos="8306"/>
        </w:tabs>
        <w:spacing w:after="0" w:line="240" w:lineRule="auto"/>
        <w:rPr>
          <w:rFonts w:ascii="Times New Roman" w:eastAsia="Times New Roman" w:hAnsi="Times New Roman" w:cs="Times New Roman"/>
        </w:rPr>
      </w:pPr>
      <w:bookmarkStart w:id="0" w:name="_GoBack"/>
      <w:bookmarkEnd w:id="0"/>
    </w:p>
    <w:p w:rsidR="00960DB6" w:rsidRDefault="00960DB6" w:rsidP="00CD0DBA">
      <w:pPr>
        <w:widowControl w:val="0"/>
        <w:tabs>
          <w:tab w:val="left" w:pos="720"/>
          <w:tab w:val="center" w:pos="4153"/>
          <w:tab w:val="right" w:pos="8306"/>
        </w:tabs>
        <w:spacing w:after="0" w:line="240" w:lineRule="auto"/>
        <w:rPr>
          <w:rFonts w:ascii="Times New Roman" w:eastAsia="Times New Roman" w:hAnsi="Times New Roman" w:cs="Times New Roman"/>
        </w:rPr>
      </w:pPr>
    </w:p>
    <w:p w:rsidR="00CD0DBA" w:rsidRPr="00133460" w:rsidRDefault="00960DB6" w:rsidP="00CD0DBA">
      <w:pPr>
        <w:widowControl w:val="0"/>
        <w:tabs>
          <w:tab w:val="left" w:pos="720"/>
          <w:tab w:val="center" w:pos="4153"/>
          <w:tab w:val="right" w:pos="8306"/>
        </w:tabs>
        <w:spacing w:after="0" w:line="240" w:lineRule="auto"/>
        <w:rPr>
          <w:rFonts w:ascii="Times New Roman" w:eastAsia="Times New Roman" w:hAnsi="Times New Roman" w:cs="Times New Roman"/>
          <w:sz w:val="20"/>
          <w:szCs w:val="20"/>
        </w:rPr>
      </w:pPr>
      <w:r w:rsidRPr="00133460">
        <w:rPr>
          <w:rFonts w:ascii="Times New Roman" w:eastAsia="Times New Roman" w:hAnsi="Times New Roman" w:cs="Times New Roman"/>
          <w:sz w:val="20"/>
          <w:szCs w:val="20"/>
        </w:rPr>
        <w:t>2</w:t>
      </w:r>
      <w:r w:rsidR="00133460">
        <w:rPr>
          <w:rFonts w:ascii="Times New Roman" w:eastAsia="Times New Roman" w:hAnsi="Times New Roman" w:cs="Times New Roman"/>
          <w:sz w:val="20"/>
          <w:szCs w:val="20"/>
        </w:rPr>
        <w:t>0</w:t>
      </w:r>
      <w:r w:rsidR="00F71318" w:rsidRPr="00133460">
        <w:rPr>
          <w:rFonts w:ascii="Times New Roman" w:eastAsia="Times New Roman" w:hAnsi="Times New Roman" w:cs="Times New Roman"/>
          <w:sz w:val="20"/>
          <w:szCs w:val="20"/>
        </w:rPr>
        <w:t xml:space="preserve">.05.2015 </w:t>
      </w:r>
      <w:r w:rsidR="008C0D51" w:rsidRPr="00133460">
        <w:rPr>
          <w:rFonts w:ascii="Times New Roman" w:eastAsia="Times New Roman" w:hAnsi="Times New Roman" w:cs="Times New Roman"/>
          <w:sz w:val="20"/>
          <w:szCs w:val="20"/>
        </w:rPr>
        <w:t>1</w:t>
      </w:r>
      <w:r w:rsidR="00133460">
        <w:rPr>
          <w:rFonts w:ascii="Times New Roman" w:eastAsia="Times New Roman" w:hAnsi="Times New Roman" w:cs="Times New Roman"/>
          <w:sz w:val="20"/>
          <w:szCs w:val="20"/>
        </w:rPr>
        <w:t>3</w:t>
      </w:r>
      <w:r w:rsidR="008C0D51" w:rsidRPr="00133460">
        <w:rPr>
          <w:rFonts w:ascii="Times New Roman" w:eastAsia="Times New Roman" w:hAnsi="Times New Roman" w:cs="Times New Roman"/>
          <w:sz w:val="20"/>
          <w:szCs w:val="20"/>
        </w:rPr>
        <w:t>:</w:t>
      </w:r>
      <w:r w:rsidR="00133460">
        <w:rPr>
          <w:rFonts w:ascii="Times New Roman" w:eastAsia="Times New Roman" w:hAnsi="Times New Roman" w:cs="Times New Roman"/>
          <w:sz w:val="20"/>
          <w:szCs w:val="20"/>
        </w:rPr>
        <w:t>44</w:t>
      </w:r>
    </w:p>
    <w:p w:rsidR="00CD0DBA" w:rsidRPr="00133460" w:rsidRDefault="00F71318" w:rsidP="00CD0DBA">
      <w:pPr>
        <w:spacing w:after="0" w:line="240" w:lineRule="auto"/>
        <w:rPr>
          <w:rFonts w:ascii="Times New Roman" w:eastAsia="Times New Roman" w:hAnsi="Times New Roman" w:cs="Times New Roman"/>
          <w:sz w:val="20"/>
          <w:szCs w:val="20"/>
        </w:rPr>
      </w:pPr>
      <w:r w:rsidRPr="00133460">
        <w:rPr>
          <w:rFonts w:ascii="Times New Roman" w:hAnsi="Times New Roman" w:cs="Times New Roman"/>
          <w:sz w:val="20"/>
          <w:szCs w:val="20"/>
        </w:rPr>
        <w:t>10</w:t>
      </w:r>
      <w:r w:rsidR="008C0D51" w:rsidRPr="00133460">
        <w:rPr>
          <w:rFonts w:ascii="Times New Roman" w:hAnsi="Times New Roman" w:cs="Times New Roman"/>
          <w:sz w:val="20"/>
          <w:szCs w:val="20"/>
        </w:rPr>
        <w:t>4</w:t>
      </w:r>
      <w:r w:rsidRPr="00133460">
        <w:rPr>
          <w:rFonts w:ascii="Times New Roman" w:hAnsi="Times New Roman" w:cs="Times New Roman"/>
          <w:sz w:val="20"/>
          <w:szCs w:val="20"/>
        </w:rPr>
        <w:t>8</w:t>
      </w:r>
    </w:p>
    <w:p w:rsidR="00CD0DBA" w:rsidRPr="00133460" w:rsidRDefault="004F700A" w:rsidP="00CD0DBA">
      <w:pPr>
        <w:spacing w:after="0" w:line="240" w:lineRule="auto"/>
        <w:rPr>
          <w:rFonts w:ascii="Times New Roman" w:eastAsia="Calibri" w:hAnsi="Times New Roman" w:cs="Times New Roman"/>
          <w:sz w:val="20"/>
          <w:szCs w:val="20"/>
        </w:rPr>
      </w:pPr>
      <w:r w:rsidRPr="00133460">
        <w:rPr>
          <w:rFonts w:ascii="Times New Roman" w:eastAsia="Calibri" w:hAnsi="Times New Roman" w:cs="Times New Roman"/>
          <w:sz w:val="20"/>
          <w:szCs w:val="20"/>
        </w:rPr>
        <w:t>S. Jansone</w:t>
      </w:r>
    </w:p>
    <w:p w:rsidR="00CD0DBA" w:rsidRPr="00133460" w:rsidRDefault="00CD0DBA" w:rsidP="00CD0DBA">
      <w:pPr>
        <w:spacing w:after="0" w:line="240" w:lineRule="auto"/>
        <w:rPr>
          <w:rFonts w:ascii="Times New Roman" w:eastAsia="Calibri" w:hAnsi="Times New Roman" w:cs="Times New Roman"/>
          <w:sz w:val="20"/>
          <w:szCs w:val="20"/>
        </w:rPr>
      </w:pPr>
      <w:bookmarkStart w:id="1" w:name="OLE_LINK1"/>
      <w:bookmarkStart w:id="2" w:name="OLE_LINK2"/>
      <w:r w:rsidRPr="00133460">
        <w:rPr>
          <w:rFonts w:ascii="Times New Roman" w:eastAsia="Calibri" w:hAnsi="Times New Roman" w:cs="Times New Roman"/>
          <w:sz w:val="20"/>
          <w:szCs w:val="20"/>
        </w:rPr>
        <w:t>Tālr. 67</w:t>
      </w:r>
      <w:r w:rsidR="004F700A" w:rsidRPr="00133460">
        <w:rPr>
          <w:rFonts w:ascii="Times New Roman" w:eastAsia="Calibri" w:hAnsi="Times New Roman" w:cs="Times New Roman"/>
          <w:sz w:val="20"/>
          <w:szCs w:val="20"/>
        </w:rPr>
        <w:t>016333</w:t>
      </w:r>
      <w:r w:rsidRPr="00133460">
        <w:rPr>
          <w:rFonts w:ascii="Times New Roman" w:eastAsia="Calibri" w:hAnsi="Times New Roman" w:cs="Times New Roman"/>
          <w:sz w:val="20"/>
          <w:szCs w:val="20"/>
        </w:rPr>
        <w:t>; fakss 67</w:t>
      </w:r>
      <w:r w:rsidR="00F4376A" w:rsidRPr="00133460">
        <w:rPr>
          <w:rFonts w:ascii="Times New Roman" w:eastAsia="Calibri" w:hAnsi="Times New Roman" w:cs="Times New Roman"/>
          <w:sz w:val="20"/>
          <w:szCs w:val="20"/>
        </w:rPr>
        <w:t>8</w:t>
      </w:r>
      <w:r w:rsidR="004F700A" w:rsidRPr="00133460">
        <w:rPr>
          <w:rFonts w:ascii="Times New Roman" w:eastAsia="Calibri" w:hAnsi="Times New Roman" w:cs="Times New Roman"/>
          <w:sz w:val="20"/>
          <w:szCs w:val="20"/>
        </w:rPr>
        <w:t>28121</w:t>
      </w:r>
    </w:p>
    <w:p w:rsidR="004F700A" w:rsidRPr="00133460" w:rsidRDefault="00133460" w:rsidP="004F700A">
      <w:pPr>
        <w:spacing w:after="0" w:line="240" w:lineRule="auto"/>
        <w:rPr>
          <w:rFonts w:ascii="Times New Roman" w:eastAsia="Calibri" w:hAnsi="Times New Roman" w:cs="Times New Roman"/>
          <w:sz w:val="20"/>
          <w:szCs w:val="20"/>
        </w:rPr>
      </w:pPr>
      <w:hyperlink r:id="rId9" w:history="1">
        <w:r w:rsidR="004F700A" w:rsidRPr="00133460">
          <w:rPr>
            <w:rStyle w:val="Hyperlink"/>
            <w:rFonts w:ascii="Times New Roman" w:eastAsia="Calibri" w:hAnsi="Times New Roman" w:cs="Times New Roman"/>
            <w:sz w:val="20"/>
            <w:szCs w:val="20"/>
          </w:rPr>
          <w:t>Signe.Jansone@mfa.gov.lv</w:t>
        </w:r>
      </w:hyperlink>
    </w:p>
    <w:p w:rsidR="00CD0DBA" w:rsidRPr="00133460" w:rsidRDefault="00CD0DBA" w:rsidP="004F700A">
      <w:pPr>
        <w:spacing w:after="0" w:line="240" w:lineRule="auto"/>
        <w:rPr>
          <w:rFonts w:ascii="Times New Roman" w:eastAsia="Calibri" w:hAnsi="Times New Roman" w:cs="Times New Roman"/>
          <w:sz w:val="20"/>
          <w:szCs w:val="20"/>
        </w:rPr>
      </w:pPr>
      <w:r w:rsidRPr="00133460">
        <w:rPr>
          <w:rFonts w:ascii="Times New Roman" w:eastAsia="Calibri" w:hAnsi="Times New Roman" w:cs="Times New Roman"/>
          <w:sz w:val="20"/>
          <w:szCs w:val="20"/>
        </w:rPr>
        <w:t xml:space="preserve"> </w:t>
      </w:r>
      <w:bookmarkEnd w:id="1"/>
      <w:bookmarkEnd w:id="2"/>
    </w:p>
    <w:p w:rsidR="007C17A9" w:rsidRDefault="007C17A9">
      <w:pPr>
        <w:tabs>
          <w:tab w:val="left" w:pos="4863"/>
        </w:tabs>
        <w:spacing w:after="0" w:line="240" w:lineRule="auto"/>
        <w:rPr>
          <w:rFonts w:ascii="Times New Roman" w:hAnsi="Times New Roman" w:cs="Times New Roman"/>
          <w:sz w:val="28"/>
          <w:szCs w:val="28"/>
        </w:rPr>
      </w:pPr>
    </w:p>
    <w:sectPr w:rsidR="007C17A9" w:rsidSect="00B8509F">
      <w:headerReference w:type="default" r:id="rId10"/>
      <w:footerReference w:type="default" r:id="rId11"/>
      <w:footerReference w:type="first" r:id="rId12"/>
      <w:pgSz w:w="11906" w:h="16838"/>
      <w:pgMar w:top="1418" w:right="1134" w:bottom="1134" w:left="1701" w:header="708" w:footer="4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E7F" w:rsidRDefault="001C1E7F" w:rsidP="00AE5F78">
      <w:pPr>
        <w:spacing w:after="0" w:line="240" w:lineRule="auto"/>
      </w:pPr>
      <w:r>
        <w:separator/>
      </w:r>
    </w:p>
  </w:endnote>
  <w:endnote w:type="continuationSeparator" w:id="0">
    <w:p w:rsidR="001C1E7F" w:rsidRDefault="001C1E7F" w:rsidP="00AE5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7A9" w:rsidRDefault="004F700A">
    <w:pPr>
      <w:pStyle w:val="a0"/>
      <w:spacing w:before="0" w:beforeAutospacing="0" w:after="0" w:afterAutospacing="0"/>
      <w:jc w:val="both"/>
    </w:pPr>
    <w:r>
      <w:rPr>
        <w:sz w:val="22"/>
        <w:szCs w:val="22"/>
      </w:rPr>
      <w:t>A</w:t>
    </w:r>
    <w:r w:rsidR="008E3DB3">
      <w:rPr>
        <w:sz w:val="22"/>
        <w:szCs w:val="22"/>
      </w:rPr>
      <w:t>MAnot_</w:t>
    </w:r>
    <w:r w:rsidR="00960DB6">
      <w:rPr>
        <w:sz w:val="22"/>
        <w:szCs w:val="22"/>
      </w:rPr>
      <w:t>2</w:t>
    </w:r>
    <w:r w:rsidR="008E3DB3">
      <w:rPr>
        <w:sz w:val="22"/>
        <w:szCs w:val="22"/>
      </w:rPr>
      <w:t>1</w:t>
    </w:r>
    <w:r w:rsidR="00716C3F">
      <w:rPr>
        <w:sz w:val="22"/>
        <w:szCs w:val="22"/>
      </w:rPr>
      <w:t>0</w:t>
    </w:r>
    <w:r>
      <w:rPr>
        <w:sz w:val="22"/>
        <w:szCs w:val="22"/>
      </w:rPr>
      <w:t>5</w:t>
    </w:r>
    <w:r w:rsidR="00DC19FF" w:rsidRPr="00DC19FF">
      <w:rPr>
        <w:sz w:val="22"/>
        <w:szCs w:val="22"/>
      </w:rPr>
      <w:t xml:space="preserve">15; </w:t>
    </w:r>
    <w:r w:rsidR="00DC19FF" w:rsidRPr="00DC19FF">
      <w:rPr>
        <w:bCs/>
        <w:sz w:val="22"/>
        <w:szCs w:val="22"/>
      </w:rPr>
      <w:t xml:space="preserve">Ministru kabineta rīkojuma projekta </w:t>
    </w:r>
    <w:r w:rsidR="006A30DD">
      <w:rPr>
        <w:bCs/>
        <w:sz w:val="22"/>
        <w:szCs w:val="22"/>
      </w:rPr>
      <w:t>„</w:t>
    </w:r>
    <w:r w:rsidR="00DC19FF" w:rsidRPr="00DC19FF">
      <w:rPr>
        <w:bCs/>
        <w:sz w:val="22"/>
        <w:szCs w:val="22"/>
      </w:rPr>
      <w:t xml:space="preserve">Par finanšu līdzekļu piešķiršanu no valsts budžeta programmas </w:t>
    </w:r>
    <w:r w:rsidR="006A30DD">
      <w:rPr>
        <w:bCs/>
        <w:sz w:val="22"/>
        <w:szCs w:val="22"/>
      </w:rPr>
      <w:t>„</w:t>
    </w:r>
    <w:r w:rsidR="00DC19FF" w:rsidRPr="00DC19FF">
      <w:rPr>
        <w:bCs/>
        <w:sz w:val="22"/>
        <w:szCs w:val="22"/>
      </w:rPr>
      <w:t>Līdzekļi neparedzētiem gadījumiem””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76A" w:rsidRDefault="00F4376A" w:rsidP="00F4376A">
    <w:pPr>
      <w:pStyle w:val="a0"/>
      <w:spacing w:before="0" w:beforeAutospacing="0" w:after="0" w:afterAutospacing="0"/>
      <w:jc w:val="both"/>
    </w:pPr>
    <w:r>
      <w:rPr>
        <w:sz w:val="22"/>
        <w:szCs w:val="22"/>
      </w:rPr>
      <w:t>AMAnot_</w:t>
    </w:r>
    <w:r w:rsidR="00960DB6">
      <w:rPr>
        <w:sz w:val="22"/>
        <w:szCs w:val="22"/>
      </w:rPr>
      <w:t>2</w:t>
    </w:r>
    <w:r>
      <w:rPr>
        <w:sz w:val="22"/>
        <w:szCs w:val="22"/>
      </w:rPr>
      <w:t>105</w:t>
    </w:r>
    <w:r w:rsidRPr="00DC19FF">
      <w:rPr>
        <w:sz w:val="22"/>
        <w:szCs w:val="22"/>
      </w:rPr>
      <w:t xml:space="preserve">15; </w:t>
    </w:r>
    <w:r w:rsidRPr="00DC19FF">
      <w:rPr>
        <w:bCs/>
        <w:sz w:val="22"/>
        <w:szCs w:val="22"/>
      </w:rPr>
      <w:t xml:space="preserve">Ministru kabineta rīkojuma projekta </w:t>
    </w:r>
    <w:r>
      <w:rPr>
        <w:bCs/>
        <w:sz w:val="22"/>
        <w:szCs w:val="22"/>
      </w:rPr>
      <w:t>„</w:t>
    </w:r>
    <w:r w:rsidRPr="00DC19FF">
      <w:rPr>
        <w:bCs/>
        <w:sz w:val="22"/>
        <w:szCs w:val="22"/>
      </w:rPr>
      <w:t xml:space="preserve">Par finanšu līdzekļu piešķiršanu no valsts budžeta programmas </w:t>
    </w:r>
    <w:r>
      <w:rPr>
        <w:bCs/>
        <w:sz w:val="22"/>
        <w:szCs w:val="22"/>
      </w:rPr>
      <w:t>„</w:t>
    </w:r>
    <w:r w:rsidRPr="00DC19FF">
      <w:rPr>
        <w:bCs/>
        <w:sz w:val="22"/>
        <w:szCs w:val="22"/>
      </w:rPr>
      <w:t>Līdzekļi neparedzētiem gadījumiem”” sākotnējās ietekmes novērtējuma ziņojums (anotācija)</w:t>
    </w:r>
  </w:p>
  <w:p w:rsidR="006A30DD" w:rsidRPr="00F4376A" w:rsidRDefault="006A30DD" w:rsidP="00F43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E7F" w:rsidRDefault="001C1E7F" w:rsidP="00AE5F78">
      <w:pPr>
        <w:spacing w:after="0" w:line="240" w:lineRule="auto"/>
      </w:pPr>
      <w:r>
        <w:separator/>
      </w:r>
    </w:p>
  </w:footnote>
  <w:footnote w:type="continuationSeparator" w:id="0">
    <w:p w:rsidR="001C1E7F" w:rsidRDefault="001C1E7F" w:rsidP="00AE5F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35572"/>
      <w:docPartObj>
        <w:docPartGallery w:val="Page Numbers (Top of Page)"/>
        <w:docPartUnique/>
      </w:docPartObj>
    </w:sdtPr>
    <w:sdtEndPr>
      <w:rPr>
        <w:rFonts w:ascii="Times New Roman" w:hAnsi="Times New Roman" w:cs="Times New Roman"/>
      </w:rPr>
    </w:sdtEndPr>
    <w:sdtContent>
      <w:p w:rsidR="006A30DD" w:rsidRDefault="0066634B">
        <w:pPr>
          <w:pStyle w:val="Header"/>
          <w:jc w:val="center"/>
        </w:pPr>
        <w:r w:rsidRPr="00DC19FF">
          <w:rPr>
            <w:rFonts w:ascii="Times New Roman" w:hAnsi="Times New Roman" w:cs="Times New Roman"/>
          </w:rPr>
          <w:fldChar w:fldCharType="begin"/>
        </w:r>
        <w:r w:rsidR="00DC19FF" w:rsidRPr="00DC19FF">
          <w:rPr>
            <w:rFonts w:ascii="Times New Roman" w:hAnsi="Times New Roman" w:cs="Times New Roman"/>
          </w:rPr>
          <w:instrText xml:space="preserve"> PAGE   \* MERGEFORMAT </w:instrText>
        </w:r>
        <w:r w:rsidRPr="00DC19FF">
          <w:rPr>
            <w:rFonts w:ascii="Times New Roman" w:hAnsi="Times New Roman" w:cs="Times New Roman"/>
          </w:rPr>
          <w:fldChar w:fldCharType="separate"/>
        </w:r>
        <w:r w:rsidR="00133460">
          <w:rPr>
            <w:rFonts w:ascii="Times New Roman" w:hAnsi="Times New Roman" w:cs="Times New Roman"/>
            <w:noProof/>
          </w:rPr>
          <w:t>6</w:t>
        </w:r>
        <w:r w:rsidRPr="00DC19FF">
          <w:rPr>
            <w:rFonts w:ascii="Times New Roman" w:hAnsi="Times New Roman" w:cs="Times New Roman"/>
          </w:rPr>
          <w:fldChar w:fldCharType="end"/>
        </w:r>
      </w:p>
    </w:sdtContent>
  </w:sdt>
  <w:p w:rsidR="006A30DD" w:rsidRDefault="006A30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007AC"/>
    <w:multiLevelType w:val="hybridMultilevel"/>
    <w:tmpl w:val="348A24B4"/>
    <w:lvl w:ilvl="0" w:tplc="C1A0BA8C">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58844EB"/>
    <w:multiLevelType w:val="hybridMultilevel"/>
    <w:tmpl w:val="45DEA75A"/>
    <w:lvl w:ilvl="0" w:tplc="5B32E044">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3AF20A5"/>
    <w:multiLevelType w:val="hybridMultilevel"/>
    <w:tmpl w:val="0DC810A4"/>
    <w:lvl w:ilvl="0" w:tplc="C36242E8">
      <w:start w:val="1"/>
      <w:numFmt w:val="bullet"/>
      <w:lvlText w:val=""/>
      <w:lvlJc w:val="left"/>
      <w:pPr>
        <w:ind w:left="1179" w:hanging="360"/>
      </w:pPr>
      <w:rPr>
        <w:rFonts w:ascii="Symbol" w:hAnsi="Symbol" w:hint="default"/>
      </w:rPr>
    </w:lvl>
    <w:lvl w:ilvl="1" w:tplc="04260003" w:tentative="1">
      <w:start w:val="1"/>
      <w:numFmt w:val="bullet"/>
      <w:lvlText w:val="o"/>
      <w:lvlJc w:val="left"/>
      <w:pPr>
        <w:ind w:left="1899" w:hanging="360"/>
      </w:pPr>
      <w:rPr>
        <w:rFonts w:ascii="Courier New" w:hAnsi="Courier New" w:cs="Courier New" w:hint="default"/>
      </w:rPr>
    </w:lvl>
    <w:lvl w:ilvl="2" w:tplc="04260005" w:tentative="1">
      <w:start w:val="1"/>
      <w:numFmt w:val="bullet"/>
      <w:lvlText w:val=""/>
      <w:lvlJc w:val="left"/>
      <w:pPr>
        <w:ind w:left="2619" w:hanging="360"/>
      </w:pPr>
      <w:rPr>
        <w:rFonts w:ascii="Wingdings" w:hAnsi="Wingdings" w:hint="default"/>
      </w:rPr>
    </w:lvl>
    <w:lvl w:ilvl="3" w:tplc="04260001" w:tentative="1">
      <w:start w:val="1"/>
      <w:numFmt w:val="bullet"/>
      <w:lvlText w:val=""/>
      <w:lvlJc w:val="left"/>
      <w:pPr>
        <w:ind w:left="3339" w:hanging="360"/>
      </w:pPr>
      <w:rPr>
        <w:rFonts w:ascii="Symbol" w:hAnsi="Symbol" w:hint="default"/>
      </w:rPr>
    </w:lvl>
    <w:lvl w:ilvl="4" w:tplc="04260003" w:tentative="1">
      <w:start w:val="1"/>
      <w:numFmt w:val="bullet"/>
      <w:lvlText w:val="o"/>
      <w:lvlJc w:val="left"/>
      <w:pPr>
        <w:ind w:left="4059" w:hanging="360"/>
      </w:pPr>
      <w:rPr>
        <w:rFonts w:ascii="Courier New" w:hAnsi="Courier New" w:cs="Courier New" w:hint="default"/>
      </w:rPr>
    </w:lvl>
    <w:lvl w:ilvl="5" w:tplc="04260005" w:tentative="1">
      <w:start w:val="1"/>
      <w:numFmt w:val="bullet"/>
      <w:lvlText w:val=""/>
      <w:lvlJc w:val="left"/>
      <w:pPr>
        <w:ind w:left="4779" w:hanging="360"/>
      </w:pPr>
      <w:rPr>
        <w:rFonts w:ascii="Wingdings" w:hAnsi="Wingdings" w:hint="default"/>
      </w:rPr>
    </w:lvl>
    <w:lvl w:ilvl="6" w:tplc="04260001" w:tentative="1">
      <w:start w:val="1"/>
      <w:numFmt w:val="bullet"/>
      <w:lvlText w:val=""/>
      <w:lvlJc w:val="left"/>
      <w:pPr>
        <w:ind w:left="5499" w:hanging="360"/>
      </w:pPr>
      <w:rPr>
        <w:rFonts w:ascii="Symbol" w:hAnsi="Symbol" w:hint="default"/>
      </w:rPr>
    </w:lvl>
    <w:lvl w:ilvl="7" w:tplc="04260003" w:tentative="1">
      <w:start w:val="1"/>
      <w:numFmt w:val="bullet"/>
      <w:lvlText w:val="o"/>
      <w:lvlJc w:val="left"/>
      <w:pPr>
        <w:ind w:left="6219" w:hanging="360"/>
      </w:pPr>
      <w:rPr>
        <w:rFonts w:ascii="Courier New" w:hAnsi="Courier New" w:cs="Courier New" w:hint="default"/>
      </w:rPr>
    </w:lvl>
    <w:lvl w:ilvl="8" w:tplc="04260005" w:tentative="1">
      <w:start w:val="1"/>
      <w:numFmt w:val="bullet"/>
      <w:lvlText w:val=""/>
      <w:lvlJc w:val="left"/>
      <w:pPr>
        <w:ind w:left="6939" w:hanging="360"/>
      </w:pPr>
      <w:rPr>
        <w:rFonts w:ascii="Wingdings" w:hAnsi="Wingdings" w:hint="default"/>
      </w:rPr>
    </w:lvl>
  </w:abstractNum>
  <w:abstractNum w:abstractNumId="3">
    <w:nsid w:val="31A54253"/>
    <w:multiLevelType w:val="hybridMultilevel"/>
    <w:tmpl w:val="6F6AAB38"/>
    <w:lvl w:ilvl="0" w:tplc="B54A1DB2">
      <w:start w:val="5"/>
      <w:numFmt w:val="bullet"/>
      <w:lvlText w:val="-"/>
      <w:lvlJc w:val="left"/>
      <w:pPr>
        <w:tabs>
          <w:tab w:val="num" w:pos="360"/>
        </w:tabs>
        <w:ind w:left="360" w:hanging="360"/>
      </w:pPr>
      <w:rPr>
        <w:rFonts w:ascii="Times New Roman" w:eastAsia="Times New Roman" w:hAnsi="Times New Roman" w:cs="Times New Roman" w:hint="default"/>
      </w:rPr>
    </w:lvl>
    <w:lvl w:ilvl="1" w:tplc="00030426">
      <w:start w:val="1"/>
      <w:numFmt w:val="decimal"/>
      <w:lvlText w:val="%2."/>
      <w:lvlJc w:val="left"/>
      <w:pPr>
        <w:tabs>
          <w:tab w:val="num" w:pos="1440"/>
        </w:tabs>
        <w:ind w:left="1440" w:hanging="360"/>
      </w:pPr>
    </w:lvl>
    <w:lvl w:ilvl="2" w:tplc="00050426">
      <w:start w:val="1"/>
      <w:numFmt w:val="decimal"/>
      <w:lvlText w:val="%3."/>
      <w:lvlJc w:val="left"/>
      <w:pPr>
        <w:tabs>
          <w:tab w:val="num" w:pos="2160"/>
        </w:tabs>
        <w:ind w:left="2160" w:hanging="360"/>
      </w:pPr>
    </w:lvl>
    <w:lvl w:ilvl="3" w:tplc="00010426">
      <w:start w:val="1"/>
      <w:numFmt w:val="decimal"/>
      <w:lvlText w:val="%4."/>
      <w:lvlJc w:val="left"/>
      <w:pPr>
        <w:tabs>
          <w:tab w:val="num" w:pos="2880"/>
        </w:tabs>
        <w:ind w:left="2880" w:hanging="360"/>
      </w:pPr>
    </w:lvl>
    <w:lvl w:ilvl="4" w:tplc="00030426">
      <w:start w:val="1"/>
      <w:numFmt w:val="decimal"/>
      <w:lvlText w:val="%5."/>
      <w:lvlJc w:val="left"/>
      <w:pPr>
        <w:tabs>
          <w:tab w:val="num" w:pos="3600"/>
        </w:tabs>
        <w:ind w:left="3600" w:hanging="360"/>
      </w:pPr>
    </w:lvl>
    <w:lvl w:ilvl="5" w:tplc="00050426">
      <w:start w:val="1"/>
      <w:numFmt w:val="decimal"/>
      <w:lvlText w:val="%6."/>
      <w:lvlJc w:val="left"/>
      <w:pPr>
        <w:tabs>
          <w:tab w:val="num" w:pos="4320"/>
        </w:tabs>
        <w:ind w:left="4320" w:hanging="360"/>
      </w:pPr>
    </w:lvl>
    <w:lvl w:ilvl="6" w:tplc="00010426">
      <w:start w:val="1"/>
      <w:numFmt w:val="decimal"/>
      <w:lvlText w:val="%7."/>
      <w:lvlJc w:val="left"/>
      <w:pPr>
        <w:tabs>
          <w:tab w:val="num" w:pos="5040"/>
        </w:tabs>
        <w:ind w:left="5040" w:hanging="360"/>
      </w:pPr>
    </w:lvl>
    <w:lvl w:ilvl="7" w:tplc="00030426">
      <w:start w:val="1"/>
      <w:numFmt w:val="decimal"/>
      <w:lvlText w:val="%8."/>
      <w:lvlJc w:val="left"/>
      <w:pPr>
        <w:tabs>
          <w:tab w:val="num" w:pos="5760"/>
        </w:tabs>
        <w:ind w:left="5760" w:hanging="360"/>
      </w:pPr>
    </w:lvl>
    <w:lvl w:ilvl="8" w:tplc="00050426">
      <w:start w:val="1"/>
      <w:numFmt w:val="decimal"/>
      <w:lvlText w:val="%9."/>
      <w:lvlJc w:val="left"/>
      <w:pPr>
        <w:tabs>
          <w:tab w:val="num" w:pos="6480"/>
        </w:tabs>
        <w:ind w:left="6480" w:hanging="360"/>
      </w:pPr>
    </w:lvl>
  </w:abstractNum>
  <w:abstractNum w:abstractNumId="4">
    <w:nsid w:val="3C3F0B93"/>
    <w:multiLevelType w:val="hybridMultilevel"/>
    <w:tmpl w:val="99F0F530"/>
    <w:lvl w:ilvl="0" w:tplc="DE2E12C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2FD269E"/>
    <w:multiLevelType w:val="hybridMultilevel"/>
    <w:tmpl w:val="AABED8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5C26494"/>
    <w:multiLevelType w:val="hybridMultilevel"/>
    <w:tmpl w:val="D6784B6C"/>
    <w:lvl w:ilvl="0" w:tplc="D8806158">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8E4"/>
    <w:rsid w:val="00004D4D"/>
    <w:rsid w:val="00006FD8"/>
    <w:rsid w:val="00011136"/>
    <w:rsid w:val="00020DAB"/>
    <w:rsid w:val="00024C83"/>
    <w:rsid w:val="0003528C"/>
    <w:rsid w:val="000543EA"/>
    <w:rsid w:val="000630CD"/>
    <w:rsid w:val="00065081"/>
    <w:rsid w:val="00071CC0"/>
    <w:rsid w:val="00074596"/>
    <w:rsid w:val="00087A81"/>
    <w:rsid w:val="00096FD8"/>
    <w:rsid w:val="000A0EF7"/>
    <w:rsid w:val="000A4AA0"/>
    <w:rsid w:val="000B38CA"/>
    <w:rsid w:val="000E31AB"/>
    <w:rsid w:val="000E7D5D"/>
    <w:rsid w:val="001052D7"/>
    <w:rsid w:val="0011512A"/>
    <w:rsid w:val="001238D0"/>
    <w:rsid w:val="00131880"/>
    <w:rsid w:val="00133460"/>
    <w:rsid w:val="00137115"/>
    <w:rsid w:val="00140F99"/>
    <w:rsid w:val="001737D1"/>
    <w:rsid w:val="001756F8"/>
    <w:rsid w:val="00180B21"/>
    <w:rsid w:val="00186E44"/>
    <w:rsid w:val="00191CA2"/>
    <w:rsid w:val="00192917"/>
    <w:rsid w:val="00197D51"/>
    <w:rsid w:val="001A2D8D"/>
    <w:rsid w:val="001B1D9E"/>
    <w:rsid w:val="001C1E7F"/>
    <w:rsid w:val="001E0780"/>
    <w:rsid w:val="001E5E55"/>
    <w:rsid w:val="001F7A0C"/>
    <w:rsid w:val="001F7DA6"/>
    <w:rsid w:val="00203206"/>
    <w:rsid w:val="0020751C"/>
    <w:rsid w:val="00224ED7"/>
    <w:rsid w:val="0022622D"/>
    <w:rsid w:val="00227791"/>
    <w:rsid w:val="00240DA7"/>
    <w:rsid w:val="002669E9"/>
    <w:rsid w:val="00266F87"/>
    <w:rsid w:val="0028172D"/>
    <w:rsid w:val="0029705D"/>
    <w:rsid w:val="002975D3"/>
    <w:rsid w:val="002C5C60"/>
    <w:rsid w:val="002C6B18"/>
    <w:rsid w:val="002C6B51"/>
    <w:rsid w:val="002D784C"/>
    <w:rsid w:val="002F62F6"/>
    <w:rsid w:val="00305E59"/>
    <w:rsid w:val="00306696"/>
    <w:rsid w:val="003071A1"/>
    <w:rsid w:val="00310168"/>
    <w:rsid w:val="003110FD"/>
    <w:rsid w:val="0033306E"/>
    <w:rsid w:val="003349D7"/>
    <w:rsid w:val="00341B77"/>
    <w:rsid w:val="00345BC0"/>
    <w:rsid w:val="0036385E"/>
    <w:rsid w:val="00366664"/>
    <w:rsid w:val="003715F7"/>
    <w:rsid w:val="00380FED"/>
    <w:rsid w:val="00397DD8"/>
    <w:rsid w:val="003B33C0"/>
    <w:rsid w:val="003B7706"/>
    <w:rsid w:val="003C01EB"/>
    <w:rsid w:val="003D46AA"/>
    <w:rsid w:val="003F23B0"/>
    <w:rsid w:val="00412C9C"/>
    <w:rsid w:val="004135AB"/>
    <w:rsid w:val="004260E4"/>
    <w:rsid w:val="0043153D"/>
    <w:rsid w:val="00435594"/>
    <w:rsid w:val="00450877"/>
    <w:rsid w:val="00456FAA"/>
    <w:rsid w:val="0046729C"/>
    <w:rsid w:val="004760E0"/>
    <w:rsid w:val="00484C72"/>
    <w:rsid w:val="0048754D"/>
    <w:rsid w:val="004920FF"/>
    <w:rsid w:val="004B16B7"/>
    <w:rsid w:val="004B2108"/>
    <w:rsid w:val="004C35C0"/>
    <w:rsid w:val="004E5597"/>
    <w:rsid w:val="004F6407"/>
    <w:rsid w:val="004F700A"/>
    <w:rsid w:val="00514D16"/>
    <w:rsid w:val="00515F68"/>
    <w:rsid w:val="00520AA8"/>
    <w:rsid w:val="00524A25"/>
    <w:rsid w:val="005353A3"/>
    <w:rsid w:val="00541156"/>
    <w:rsid w:val="00556972"/>
    <w:rsid w:val="00573921"/>
    <w:rsid w:val="00580757"/>
    <w:rsid w:val="00582909"/>
    <w:rsid w:val="00593647"/>
    <w:rsid w:val="00596995"/>
    <w:rsid w:val="005A73FF"/>
    <w:rsid w:val="005C0572"/>
    <w:rsid w:val="005C1914"/>
    <w:rsid w:val="005C7EB3"/>
    <w:rsid w:val="005D4883"/>
    <w:rsid w:val="005D5805"/>
    <w:rsid w:val="005E2847"/>
    <w:rsid w:val="005E6E19"/>
    <w:rsid w:val="005E6E4E"/>
    <w:rsid w:val="005F1B76"/>
    <w:rsid w:val="005F2BAE"/>
    <w:rsid w:val="005F443C"/>
    <w:rsid w:val="005F7AFD"/>
    <w:rsid w:val="00624157"/>
    <w:rsid w:val="00651B61"/>
    <w:rsid w:val="006525F7"/>
    <w:rsid w:val="00653780"/>
    <w:rsid w:val="0066634B"/>
    <w:rsid w:val="00674490"/>
    <w:rsid w:val="006763FA"/>
    <w:rsid w:val="00686C0F"/>
    <w:rsid w:val="00690840"/>
    <w:rsid w:val="0069657B"/>
    <w:rsid w:val="00697BB0"/>
    <w:rsid w:val="006A30DD"/>
    <w:rsid w:val="006B10FE"/>
    <w:rsid w:val="006B3C3A"/>
    <w:rsid w:val="006C6430"/>
    <w:rsid w:val="006D6EA5"/>
    <w:rsid w:val="006E4E55"/>
    <w:rsid w:val="006F7413"/>
    <w:rsid w:val="00703B04"/>
    <w:rsid w:val="0070671B"/>
    <w:rsid w:val="00713282"/>
    <w:rsid w:val="00716C3F"/>
    <w:rsid w:val="00733BA5"/>
    <w:rsid w:val="00740927"/>
    <w:rsid w:val="007507D1"/>
    <w:rsid w:val="00760991"/>
    <w:rsid w:val="0076488C"/>
    <w:rsid w:val="007654BC"/>
    <w:rsid w:val="007667D1"/>
    <w:rsid w:val="007712C1"/>
    <w:rsid w:val="00797C5D"/>
    <w:rsid w:val="007A51C5"/>
    <w:rsid w:val="007B2B71"/>
    <w:rsid w:val="007B3791"/>
    <w:rsid w:val="007B58C9"/>
    <w:rsid w:val="007C17A9"/>
    <w:rsid w:val="007D152F"/>
    <w:rsid w:val="007E63A1"/>
    <w:rsid w:val="007F7E86"/>
    <w:rsid w:val="0080322C"/>
    <w:rsid w:val="00817CA5"/>
    <w:rsid w:val="00826522"/>
    <w:rsid w:val="00826E99"/>
    <w:rsid w:val="0084688D"/>
    <w:rsid w:val="00853B9D"/>
    <w:rsid w:val="008626A6"/>
    <w:rsid w:val="00871572"/>
    <w:rsid w:val="008770FC"/>
    <w:rsid w:val="008858B2"/>
    <w:rsid w:val="00896C29"/>
    <w:rsid w:val="008B21EB"/>
    <w:rsid w:val="008C0D51"/>
    <w:rsid w:val="008C21AA"/>
    <w:rsid w:val="008C3BEB"/>
    <w:rsid w:val="008D1B04"/>
    <w:rsid w:val="008E060B"/>
    <w:rsid w:val="008E181F"/>
    <w:rsid w:val="008E3DB3"/>
    <w:rsid w:val="009255B3"/>
    <w:rsid w:val="0093577A"/>
    <w:rsid w:val="00946BCE"/>
    <w:rsid w:val="009540B8"/>
    <w:rsid w:val="00960DB6"/>
    <w:rsid w:val="009668E4"/>
    <w:rsid w:val="0096738D"/>
    <w:rsid w:val="009A0586"/>
    <w:rsid w:val="009A5249"/>
    <w:rsid w:val="009D437D"/>
    <w:rsid w:val="009D6D6C"/>
    <w:rsid w:val="009E0585"/>
    <w:rsid w:val="009E4F19"/>
    <w:rsid w:val="009F7FDC"/>
    <w:rsid w:val="00A07EA2"/>
    <w:rsid w:val="00A13FD4"/>
    <w:rsid w:val="00A21026"/>
    <w:rsid w:val="00A26D26"/>
    <w:rsid w:val="00A30C26"/>
    <w:rsid w:val="00A32249"/>
    <w:rsid w:val="00A360A1"/>
    <w:rsid w:val="00A36369"/>
    <w:rsid w:val="00A47839"/>
    <w:rsid w:val="00A57684"/>
    <w:rsid w:val="00A65B77"/>
    <w:rsid w:val="00A7431D"/>
    <w:rsid w:val="00AB34C5"/>
    <w:rsid w:val="00AC1706"/>
    <w:rsid w:val="00AC54E4"/>
    <w:rsid w:val="00AD35EE"/>
    <w:rsid w:val="00AE386B"/>
    <w:rsid w:val="00AE4DC4"/>
    <w:rsid w:val="00AE5F78"/>
    <w:rsid w:val="00AE66D5"/>
    <w:rsid w:val="00AF57A2"/>
    <w:rsid w:val="00B03BDD"/>
    <w:rsid w:val="00B04CF2"/>
    <w:rsid w:val="00B11C20"/>
    <w:rsid w:val="00B13471"/>
    <w:rsid w:val="00B27D22"/>
    <w:rsid w:val="00B44DE5"/>
    <w:rsid w:val="00B55395"/>
    <w:rsid w:val="00B56CF4"/>
    <w:rsid w:val="00B62BB8"/>
    <w:rsid w:val="00B65E89"/>
    <w:rsid w:val="00B665B8"/>
    <w:rsid w:val="00B761BB"/>
    <w:rsid w:val="00B77745"/>
    <w:rsid w:val="00B8509F"/>
    <w:rsid w:val="00BE724E"/>
    <w:rsid w:val="00C01BA8"/>
    <w:rsid w:val="00C01DF1"/>
    <w:rsid w:val="00C116E9"/>
    <w:rsid w:val="00C1674D"/>
    <w:rsid w:val="00C24F59"/>
    <w:rsid w:val="00C26206"/>
    <w:rsid w:val="00C2635D"/>
    <w:rsid w:val="00C32C01"/>
    <w:rsid w:val="00C34CCE"/>
    <w:rsid w:val="00C36C36"/>
    <w:rsid w:val="00C61BAF"/>
    <w:rsid w:val="00C702D9"/>
    <w:rsid w:val="00C77494"/>
    <w:rsid w:val="00C87C0B"/>
    <w:rsid w:val="00C94457"/>
    <w:rsid w:val="00C94FC9"/>
    <w:rsid w:val="00CA1C07"/>
    <w:rsid w:val="00CA339D"/>
    <w:rsid w:val="00CA354A"/>
    <w:rsid w:val="00CA39FE"/>
    <w:rsid w:val="00CB5A9B"/>
    <w:rsid w:val="00CB5EF6"/>
    <w:rsid w:val="00CC0953"/>
    <w:rsid w:val="00CD0DBA"/>
    <w:rsid w:val="00CE2E0C"/>
    <w:rsid w:val="00D0178E"/>
    <w:rsid w:val="00D05BB1"/>
    <w:rsid w:val="00D20DC3"/>
    <w:rsid w:val="00D23D2F"/>
    <w:rsid w:val="00D445EF"/>
    <w:rsid w:val="00D47B2F"/>
    <w:rsid w:val="00D51248"/>
    <w:rsid w:val="00D52C20"/>
    <w:rsid w:val="00D64C72"/>
    <w:rsid w:val="00D722A0"/>
    <w:rsid w:val="00D75EA2"/>
    <w:rsid w:val="00D828F6"/>
    <w:rsid w:val="00D83B05"/>
    <w:rsid w:val="00D83DD2"/>
    <w:rsid w:val="00D9299C"/>
    <w:rsid w:val="00DA4EFB"/>
    <w:rsid w:val="00DA5685"/>
    <w:rsid w:val="00DB5C5F"/>
    <w:rsid w:val="00DC19FF"/>
    <w:rsid w:val="00DC24F2"/>
    <w:rsid w:val="00DC3978"/>
    <w:rsid w:val="00DE733E"/>
    <w:rsid w:val="00E012F0"/>
    <w:rsid w:val="00E076DC"/>
    <w:rsid w:val="00E3173C"/>
    <w:rsid w:val="00E42469"/>
    <w:rsid w:val="00E46C58"/>
    <w:rsid w:val="00E550D5"/>
    <w:rsid w:val="00E84295"/>
    <w:rsid w:val="00E93D11"/>
    <w:rsid w:val="00EB1F73"/>
    <w:rsid w:val="00EC16F6"/>
    <w:rsid w:val="00ED04B5"/>
    <w:rsid w:val="00ED1E38"/>
    <w:rsid w:val="00EE5703"/>
    <w:rsid w:val="00EF52B9"/>
    <w:rsid w:val="00F047C3"/>
    <w:rsid w:val="00F060AC"/>
    <w:rsid w:val="00F14C1E"/>
    <w:rsid w:val="00F16027"/>
    <w:rsid w:val="00F23F53"/>
    <w:rsid w:val="00F307DB"/>
    <w:rsid w:val="00F4376A"/>
    <w:rsid w:val="00F45634"/>
    <w:rsid w:val="00F475D8"/>
    <w:rsid w:val="00F513C0"/>
    <w:rsid w:val="00F51C50"/>
    <w:rsid w:val="00F532DC"/>
    <w:rsid w:val="00F61E21"/>
    <w:rsid w:val="00F71318"/>
    <w:rsid w:val="00F7413B"/>
    <w:rsid w:val="00F92A12"/>
    <w:rsid w:val="00FB5896"/>
    <w:rsid w:val="00FD2E2D"/>
    <w:rsid w:val="00FE3D3A"/>
    <w:rsid w:val="00FF4B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360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next w:val="NormalWeb"/>
    <w:rsid w:val="009668E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668E4"/>
    <w:rPr>
      <w:rFonts w:ascii="Times New Roman" w:hAnsi="Times New Roman" w:cs="Times New Roman"/>
      <w:sz w:val="24"/>
      <w:szCs w:val="24"/>
    </w:rPr>
  </w:style>
  <w:style w:type="table" w:styleId="TableGrid">
    <w:name w:val="Table Grid"/>
    <w:basedOn w:val="TableNormal"/>
    <w:uiPriority w:val="59"/>
    <w:rsid w:val="005E6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6E19"/>
    <w:pPr>
      <w:ind w:left="720"/>
      <w:contextualSpacing/>
    </w:pPr>
  </w:style>
  <w:style w:type="paragraph" w:customStyle="1" w:styleId="naiskr">
    <w:name w:val="naiskr"/>
    <w:basedOn w:val="Normal"/>
    <w:rsid w:val="005E6E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rsid w:val="003638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360A1"/>
    <w:rPr>
      <w:rFonts w:ascii="Times New Roman" w:eastAsia="Times New Roman" w:hAnsi="Times New Roman" w:cs="Times New Roman"/>
      <w:b/>
      <w:bCs/>
      <w:sz w:val="27"/>
      <w:szCs w:val="27"/>
      <w:lang w:eastAsia="lv-LV"/>
    </w:rPr>
  </w:style>
  <w:style w:type="paragraph" w:customStyle="1" w:styleId="Default">
    <w:name w:val="Default"/>
    <w:rsid w:val="00D722A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AE5F7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E5F78"/>
  </w:style>
  <w:style w:type="paragraph" w:styleId="Footer">
    <w:name w:val="footer"/>
    <w:basedOn w:val="Normal"/>
    <w:link w:val="FooterChar"/>
    <w:uiPriority w:val="99"/>
    <w:unhideWhenUsed/>
    <w:rsid w:val="00AE5F7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E5F78"/>
  </w:style>
  <w:style w:type="paragraph" w:customStyle="1" w:styleId="a0">
    <w:basedOn w:val="Normal"/>
    <w:next w:val="NormalWeb"/>
    <w:rsid w:val="00AE5F7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0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953"/>
    <w:rPr>
      <w:rFonts w:ascii="Tahoma" w:hAnsi="Tahoma" w:cs="Tahoma"/>
      <w:sz w:val="16"/>
      <w:szCs w:val="16"/>
    </w:rPr>
  </w:style>
  <w:style w:type="character" w:styleId="Hyperlink">
    <w:name w:val="Hyperlink"/>
    <w:basedOn w:val="DefaultParagraphFont"/>
    <w:uiPriority w:val="99"/>
    <w:unhideWhenUsed/>
    <w:rsid w:val="00CD0DBA"/>
    <w:rPr>
      <w:color w:val="0000FF" w:themeColor="hyperlink"/>
      <w:u w:val="single"/>
    </w:rPr>
  </w:style>
  <w:style w:type="character" w:styleId="CommentReference">
    <w:name w:val="annotation reference"/>
    <w:basedOn w:val="DefaultParagraphFont"/>
    <w:uiPriority w:val="99"/>
    <w:semiHidden/>
    <w:unhideWhenUsed/>
    <w:rsid w:val="00F307DB"/>
    <w:rPr>
      <w:sz w:val="16"/>
      <w:szCs w:val="16"/>
    </w:rPr>
  </w:style>
  <w:style w:type="paragraph" w:styleId="CommentText">
    <w:name w:val="annotation text"/>
    <w:basedOn w:val="Normal"/>
    <w:link w:val="CommentTextChar"/>
    <w:uiPriority w:val="99"/>
    <w:semiHidden/>
    <w:unhideWhenUsed/>
    <w:rsid w:val="00F307DB"/>
    <w:pPr>
      <w:spacing w:line="240" w:lineRule="auto"/>
    </w:pPr>
    <w:rPr>
      <w:sz w:val="20"/>
      <w:szCs w:val="20"/>
    </w:rPr>
  </w:style>
  <w:style w:type="character" w:customStyle="1" w:styleId="CommentTextChar">
    <w:name w:val="Comment Text Char"/>
    <w:basedOn w:val="DefaultParagraphFont"/>
    <w:link w:val="CommentText"/>
    <w:uiPriority w:val="99"/>
    <w:semiHidden/>
    <w:rsid w:val="00F307DB"/>
    <w:rPr>
      <w:sz w:val="20"/>
      <w:szCs w:val="20"/>
    </w:rPr>
  </w:style>
  <w:style w:type="paragraph" w:styleId="CommentSubject">
    <w:name w:val="annotation subject"/>
    <w:basedOn w:val="CommentText"/>
    <w:next w:val="CommentText"/>
    <w:link w:val="CommentSubjectChar"/>
    <w:uiPriority w:val="99"/>
    <w:semiHidden/>
    <w:unhideWhenUsed/>
    <w:rsid w:val="00F307DB"/>
    <w:rPr>
      <w:b/>
      <w:bCs/>
    </w:rPr>
  </w:style>
  <w:style w:type="character" w:customStyle="1" w:styleId="CommentSubjectChar">
    <w:name w:val="Comment Subject Char"/>
    <w:basedOn w:val="CommentTextChar"/>
    <w:link w:val="CommentSubject"/>
    <w:uiPriority w:val="99"/>
    <w:semiHidden/>
    <w:rsid w:val="00F307DB"/>
    <w:rPr>
      <w:b/>
      <w:bCs/>
      <w:sz w:val="20"/>
      <w:szCs w:val="20"/>
    </w:rPr>
  </w:style>
  <w:style w:type="paragraph" w:styleId="Revision">
    <w:name w:val="Revision"/>
    <w:hidden/>
    <w:uiPriority w:val="99"/>
    <w:semiHidden/>
    <w:rsid w:val="00F307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360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next w:val="NormalWeb"/>
    <w:rsid w:val="009668E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668E4"/>
    <w:rPr>
      <w:rFonts w:ascii="Times New Roman" w:hAnsi="Times New Roman" w:cs="Times New Roman"/>
      <w:sz w:val="24"/>
      <w:szCs w:val="24"/>
    </w:rPr>
  </w:style>
  <w:style w:type="table" w:styleId="TableGrid">
    <w:name w:val="Table Grid"/>
    <w:basedOn w:val="TableNormal"/>
    <w:uiPriority w:val="59"/>
    <w:rsid w:val="005E6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6E19"/>
    <w:pPr>
      <w:ind w:left="720"/>
      <w:contextualSpacing/>
    </w:pPr>
  </w:style>
  <w:style w:type="paragraph" w:customStyle="1" w:styleId="naiskr">
    <w:name w:val="naiskr"/>
    <w:basedOn w:val="Normal"/>
    <w:rsid w:val="005E6E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rsid w:val="003638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360A1"/>
    <w:rPr>
      <w:rFonts w:ascii="Times New Roman" w:eastAsia="Times New Roman" w:hAnsi="Times New Roman" w:cs="Times New Roman"/>
      <w:b/>
      <w:bCs/>
      <w:sz w:val="27"/>
      <w:szCs w:val="27"/>
      <w:lang w:eastAsia="lv-LV"/>
    </w:rPr>
  </w:style>
  <w:style w:type="paragraph" w:customStyle="1" w:styleId="Default">
    <w:name w:val="Default"/>
    <w:rsid w:val="00D722A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AE5F7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E5F78"/>
  </w:style>
  <w:style w:type="paragraph" w:styleId="Footer">
    <w:name w:val="footer"/>
    <w:basedOn w:val="Normal"/>
    <w:link w:val="FooterChar"/>
    <w:uiPriority w:val="99"/>
    <w:unhideWhenUsed/>
    <w:rsid w:val="00AE5F7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E5F78"/>
  </w:style>
  <w:style w:type="paragraph" w:customStyle="1" w:styleId="a0">
    <w:basedOn w:val="Normal"/>
    <w:next w:val="NormalWeb"/>
    <w:rsid w:val="00AE5F7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0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953"/>
    <w:rPr>
      <w:rFonts w:ascii="Tahoma" w:hAnsi="Tahoma" w:cs="Tahoma"/>
      <w:sz w:val="16"/>
      <w:szCs w:val="16"/>
    </w:rPr>
  </w:style>
  <w:style w:type="character" w:styleId="Hyperlink">
    <w:name w:val="Hyperlink"/>
    <w:basedOn w:val="DefaultParagraphFont"/>
    <w:uiPriority w:val="99"/>
    <w:unhideWhenUsed/>
    <w:rsid w:val="00CD0DBA"/>
    <w:rPr>
      <w:color w:val="0000FF" w:themeColor="hyperlink"/>
      <w:u w:val="single"/>
    </w:rPr>
  </w:style>
  <w:style w:type="character" w:styleId="CommentReference">
    <w:name w:val="annotation reference"/>
    <w:basedOn w:val="DefaultParagraphFont"/>
    <w:uiPriority w:val="99"/>
    <w:semiHidden/>
    <w:unhideWhenUsed/>
    <w:rsid w:val="00F307DB"/>
    <w:rPr>
      <w:sz w:val="16"/>
      <w:szCs w:val="16"/>
    </w:rPr>
  </w:style>
  <w:style w:type="paragraph" w:styleId="CommentText">
    <w:name w:val="annotation text"/>
    <w:basedOn w:val="Normal"/>
    <w:link w:val="CommentTextChar"/>
    <w:uiPriority w:val="99"/>
    <w:semiHidden/>
    <w:unhideWhenUsed/>
    <w:rsid w:val="00F307DB"/>
    <w:pPr>
      <w:spacing w:line="240" w:lineRule="auto"/>
    </w:pPr>
    <w:rPr>
      <w:sz w:val="20"/>
      <w:szCs w:val="20"/>
    </w:rPr>
  </w:style>
  <w:style w:type="character" w:customStyle="1" w:styleId="CommentTextChar">
    <w:name w:val="Comment Text Char"/>
    <w:basedOn w:val="DefaultParagraphFont"/>
    <w:link w:val="CommentText"/>
    <w:uiPriority w:val="99"/>
    <w:semiHidden/>
    <w:rsid w:val="00F307DB"/>
    <w:rPr>
      <w:sz w:val="20"/>
      <w:szCs w:val="20"/>
    </w:rPr>
  </w:style>
  <w:style w:type="paragraph" w:styleId="CommentSubject">
    <w:name w:val="annotation subject"/>
    <w:basedOn w:val="CommentText"/>
    <w:next w:val="CommentText"/>
    <w:link w:val="CommentSubjectChar"/>
    <w:uiPriority w:val="99"/>
    <w:semiHidden/>
    <w:unhideWhenUsed/>
    <w:rsid w:val="00F307DB"/>
    <w:rPr>
      <w:b/>
      <w:bCs/>
    </w:rPr>
  </w:style>
  <w:style w:type="character" w:customStyle="1" w:styleId="CommentSubjectChar">
    <w:name w:val="Comment Subject Char"/>
    <w:basedOn w:val="CommentTextChar"/>
    <w:link w:val="CommentSubject"/>
    <w:uiPriority w:val="99"/>
    <w:semiHidden/>
    <w:rsid w:val="00F307DB"/>
    <w:rPr>
      <w:b/>
      <w:bCs/>
      <w:sz w:val="20"/>
      <w:szCs w:val="20"/>
    </w:rPr>
  </w:style>
  <w:style w:type="paragraph" w:styleId="Revision">
    <w:name w:val="Revision"/>
    <w:hidden/>
    <w:uiPriority w:val="99"/>
    <w:semiHidden/>
    <w:rsid w:val="00F307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00441">
      <w:bodyDiv w:val="1"/>
      <w:marLeft w:val="0"/>
      <w:marRight w:val="0"/>
      <w:marTop w:val="0"/>
      <w:marBottom w:val="0"/>
      <w:divBdr>
        <w:top w:val="none" w:sz="0" w:space="0" w:color="auto"/>
        <w:left w:val="none" w:sz="0" w:space="0" w:color="auto"/>
        <w:bottom w:val="none" w:sz="0" w:space="0" w:color="auto"/>
        <w:right w:val="none" w:sz="0" w:space="0" w:color="auto"/>
      </w:divBdr>
    </w:div>
    <w:div w:id="282005931">
      <w:bodyDiv w:val="1"/>
      <w:marLeft w:val="0"/>
      <w:marRight w:val="0"/>
      <w:marTop w:val="0"/>
      <w:marBottom w:val="0"/>
      <w:divBdr>
        <w:top w:val="none" w:sz="0" w:space="0" w:color="auto"/>
        <w:left w:val="none" w:sz="0" w:space="0" w:color="auto"/>
        <w:bottom w:val="none" w:sz="0" w:space="0" w:color="auto"/>
        <w:right w:val="none" w:sz="0" w:space="0" w:color="auto"/>
      </w:divBdr>
    </w:div>
    <w:div w:id="1274047022">
      <w:bodyDiv w:val="1"/>
      <w:marLeft w:val="0"/>
      <w:marRight w:val="0"/>
      <w:marTop w:val="0"/>
      <w:marBottom w:val="0"/>
      <w:divBdr>
        <w:top w:val="none" w:sz="0" w:space="0" w:color="auto"/>
        <w:left w:val="none" w:sz="0" w:space="0" w:color="auto"/>
        <w:bottom w:val="none" w:sz="0" w:space="0" w:color="auto"/>
        <w:right w:val="none" w:sz="0" w:space="0" w:color="auto"/>
      </w:divBdr>
    </w:div>
    <w:div w:id="1718970615">
      <w:bodyDiv w:val="1"/>
      <w:marLeft w:val="0"/>
      <w:marRight w:val="0"/>
      <w:marTop w:val="0"/>
      <w:marBottom w:val="0"/>
      <w:divBdr>
        <w:top w:val="none" w:sz="0" w:space="0" w:color="auto"/>
        <w:left w:val="none" w:sz="0" w:space="0" w:color="auto"/>
        <w:bottom w:val="none" w:sz="0" w:space="0" w:color="auto"/>
        <w:right w:val="none" w:sz="0" w:space="0" w:color="auto"/>
      </w:divBdr>
      <w:divsChild>
        <w:div w:id="864515133">
          <w:marLeft w:val="0"/>
          <w:marRight w:val="0"/>
          <w:marTop w:val="0"/>
          <w:marBottom w:val="0"/>
          <w:divBdr>
            <w:top w:val="none" w:sz="0" w:space="0" w:color="auto"/>
            <w:left w:val="none" w:sz="0" w:space="0" w:color="auto"/>
            <w:bottom w:val="none" w:sz="0" w:space="0" w:color="auto"/>
            <w:right w:val="none" w:sz="0" w:space="0" w:color="auto"/>
          </w:divBdr>
          <w:divsChild>
            <w:div w:id="1910991707">
              <w:marLeft w:val="0"/>
              <w:marRight w:val="0"/>
              <w:marTop w:val="0"/>
              <w:marBottom w:val="0"/>
              <w:divBdr>
                <w:top w:val="none" w:sz="0" w:space="0" w:color="auto"/>
                <w:left w:val="none" w:sz="0" w:space="0" w:color="auto"/>
                <w:bottom w:val="none" w:sz="0" w:space="0" w:color="auto"/>
                <w:right w:val="none" w:sz="0" w:space="0" w:color="auto"/>
              </w:divBdr>
              <w:divsChild>
                <w:div w:id="936862339">
                  <w:marLeft w:val="0"/>
                  <w:marRight w:val="0"/>
                  <w:marTop w:val="0"/>
                  <w:marBottom w:val="0"/>
                  <w:divBdr>
                    <w:top w:val="none" w:sz="0" w:space="0" w:color="auto"/>
                    <w:left w:val="none" w:sz="0" w:space="0" w:color="auto"/>
                    <w:bottom w:val="none" w:sz="0" w:space="0" w:color="auto"/>
                    <w:right w:val="none" w:sz="0" w:space="0" w:color="auto"/>
                  </w:divBdr>
                  <w:divsChild>
                    <w:div w:id="1597401494">
                      <w:marLeft w:val="0"/>
                      <w:marRight w:val="0"/>
                      <w:marTop w:val="0"/>
                      <w:marBottom w:val="0"/>
                      <w:divBdr>
                        <w:top w:val="none" w:sz="0" w:space="0" w:color="auto"/>
                        <w:left w:val="none" w:sz="0" w:space="0" w:color="auto"/>
                        <w:bottom w:val="none" w:sz="0" w:space="0" w:color="auto"/>
                        <w:right w:val="none" w:sz="0" w:space="0" w:color="auto"/>
                      </w:divBdr>
                      <w:divsChild>
                        <w:div w:id="619918982">
                          <w:marLeft w:val="0"/>
                          <w:marRight w:val="0"/>
                          <w:marTop w:val="0"/>
                          <w:marBottom w:val="0"/>
                          <w:divBdr>
                            <w:top w:val="none" w:sz="0" w:space="0" w:color="auto"/>
                            <w:left w:val="none" w:sz="0" w:space="0" w:color="auto"/>
                            <w:bottom w:val="none" w:sz="0" w:space="0" w:color="auto"/>
                            <w:right w:val="none" w:sz="0" w:space="0" w:color="auto"/>
                          </w:divBdr>
                          <w:divsChild>
                            <w:div w:id="137076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igne.Jansone@mfa.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50D622-23B8-49EE-8802-784C954C4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5192</Words>
  <Characters>2961</Characters>
  <Application>Microsoft Office Word</Application>
  <DocSecurity>4</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Apše</dc:creator>
  <cp:lastModifiedBy>Signe Jansone</cp:lastModifiedBy>
  <cp:revision>2</cp:revision>
  <cp:lastPrinted>2015-05-20T10:44:00Z</cp:lastPrinted>
  <dcterms:created xsi:type="dcterms:W3CDTF">2015-05-20T10:44:00Z</dcterms:created>
  <dcterms:modified xsi:type="dcterms:W3CDTF">2015-05-20T10:44:00Z</dcterms:modified>
</cp:coreProperties>
</file>