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3F5A60" w:rsidP="00EA086E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E1103E">
        <w:rPr>
          <w:rStyle w:val="Strong"/>
        </w:rPr>
        <w:t>ar Latvijas būvnormatīvu LBN 212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r w:rsidR="00E1103E">
        <w:rPr>
          <w:rStyle w:val="Strong"/>
        </w:rPr>
        <w:t>Tērauda un b</w:t>
      </w:r>
      <w:r w:rsidR="00277BD9">
        <w:rPr>
          <w:rStyle w:val="Strong"/>
        </w:rPr>
        <w:t>etona</w:t>
      </w:r>
      <w:r w:rsidR="001B0AE7" w:rsidRPr="00C927DB">
        <w:rPr>
          <w:rStyle w:val="Strong"/>
        </w:rPr>
        <w:t xml:space="preserve"> </w:t>
      </w:r>
      <w:proofErr w:type="spellStart"/>
      <w:r w:rsidR="00E1103E">
        <w:rPr>
          <w:rStyle w:val="Strong"/>
        </w:rPr>
        <w:t>kompozīto</w:t>
      </w:r>
      <w:proofErr w:type="spellEnd"/>
      <w:r w:rsidR="00E1103E">
        <w:rPr>
          <w:rStyle w:val="Strong"/>
        </w:rPr>
        <w:t xml:space="preserve"> </w:t>
      </w:r>
      <w:r w:rsidR="00277BD9">
        <w:rPr>
          <w:rStyle w:val="Strong"/>
        </w:rPr>
        <w:t>būv</w:t>
      </w:r>
      <w:r w:rsidR="001B0AE7" w:rsidRPr="00C927DB">
        <w:rPr>
          <w:rStyle w:val="Strong"/>
        </w:rPr>
        <w:t>konstrukciju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DE06FA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Pr="002A42FF" w:rsidRDefault="000077FD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7F71CA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Būvniecības likuma 5. 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Pr="002A42FF">
              <w:rPr>
                <w:sz w:val="26"/>
                <w:szCs w:val="26"/>
              </w:rPr>
              <w:t>.</w:t>
            </w:r>
            <w:r w:rsidR="003B2C2B" w:rsidRPr="002A42FF">
              <w:rPr>
                <w:sz w:val="26"/>
                <w:szCs w:val="26"/>
              </w:rPr>
              <w:t> 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7F4428" w:rsidRDefault="007F4428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  <w:r w:rsidR="00CF1933" w:rsidRPr="002A42FF">
              <w:rPr>
                <w:sz w:val="26"/>
                <w:szCs w:val="26"/>
              </w:rPr>
              <w:t>tbilstoši Būvniecības liku</w:t>
            </w:r>
            <w:r w:rsidR="009C45DC">
              <w:rPr>
                <w:sz w:val="26"/>
                <w:szCs w:val="26"/>
              </w:rPr>
              <w:t xml:space="preserve">ma Pārejas noteikumu 2.punkta </w:t>
            </w:r>
            <w:r w:rsidR="009C45DC" w:rsidRPr="006B2F7C">
              <w:rPr>
                <w:sz w:val="26"/>
                <w:szCs w:val="26"/>
              </w:rPr>
              <w:t>8</w:t>
            </w:r>
            <w:r w:rsidR="00CF1933" w:rsidRPr="006B2F7C">
              <w:rPr>
                <w:sz w:val="26"/>
                <w:szCs w:val="26"/>
              </w:rPr>
              <w:t>.</w:t>
            </w:r>
            <w:r w:rsidR="00CF1933" w:rsidRPr="002A42FF">
              <w:rPr>
                <w:sz w:val="26"/>
                <w:szCs w:val="26"/>
              </w:rPr>
              <w:t>apakšpunktam līdz attiecīgos Ministru kabineta noteikumus aizvietojošo Ministru kabineta noteikumu spēkā stāšanās dienai, bet ne ilgāk kā līdz 201</w:t>
            </w:r>
            <w:r>
              <w:rPr>
                <w:sz w:val="26"/>
                <w:szCs w:val="26"/>
              </w:rPr>
              <w:t>5.gada 1.jūlijam</w:t>
            </w:r>
            <w:r w:rsidR="00CF1933" w:rsidRPr="002A42FF">
              <w:rPr>
                <w:sz w:val="26"/>
                <w:szCs w:val="26"/>
              </w:rPr>
              <w:t xml:space="preserve"> piemēroja</w:t>
            </w:r>
            <w:r w:rsidR="00A849F6">
              <w:rPr>
                <w:sz w:val="26"/>
                <w:szCs w:val="26"/>
              </w:rPr>
              <w:t>ms Latvijas būvnormatīvs LBN 203-97 "Betona un dzelzsbetona</w:t>
            </w:r>
            <w:r w:rsidR="00CF1933" w:rsidRPr="002A42FF">
              <w:rPr>
                <w:sz w:val="26"/>
                <w:szCs w:val="26"/>
              </w:rPr>
              <w:t xml:space="preserve"> konstrukciju projektēšanas normas".</w:t>
            </w:r>
          </w:p>
          <w:p w:rsidR="00CF1933" w:rsidRPr="002A42FF" w:rsidRDefault="007F4428" w:rsidP="007F4428">
            <w:pPr>
              <w:ind w:left="20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Savukārt a</w:t>
            </w:r>
            <w:r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>
              <w:rPr>
                <w:sz w:val="26"/>
                <w:szCs w:val="26"/>
              </w:rPr>
              <w:t xml:space="preserve">paredzēta </w:t>
            </w:r>
            <w:r w:rsidRPr="002A42FF">
              <w:rPr>
                <w:sz w:val="26"/>
                <w:szCs w:val="26"/>
              </w:rPr>
              <w:t>līdz</w:t>
            </w:r>
            <w:r>
              <w:rPr>
                <w:sz w:val="26"/>
                <w:szCs w:val="26"/>
              </w:rPr>
              <w:t xml:space="preserve"> 2014.gada beigām</w:t>
            </w:r>
            <w:r w:rsidRPr="002A42FF">
              <w:rPr>
                <w:sz w:val="26"/>
                <w:szCs w:val="26"/>
              </w:rPr>
              <w:t>.</w:t>
            </w:r>
          </w:p>
          <w:p w:rsidR="007F71CA" w:rsidRDefault="007F71CA" w:rsidP="00A849F6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r w:rsidR="00E1103E">
              <w:rPr>
                <w:sz w:val="26"/>
                <w:szCs w:val="26"/>
              </w:rPr>
              <w:t xml:space="preserve">tērauda un </w:t>
            </w:r>
            <w:r w:rsidR="00A849F6">
              <w:rPr>
                <w:sz w:val="26"/>
                <w:szCs w:val="26"/>
              </w:rPr>
              <w:t>betona</w:t>
            </w:r>
            <w:r w:rsidR="00E1103E">
              <w:rPr>
                <w:sz w:val="26"/>
                <w:szCs w:val="26"/>
              </w:rPr>
              <w:t xml:space="preserve"> </w:t>
            </w:r>
            <w:proofErr w:type="spellStart"/>
            <w:r w:rsidR="00E1103E">
              <w:rPr>
                <w:sz w:val="26"/>
                <w:szCs w:val="26"/>
              </w:rPr>
              <w:t>kompozīto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</w:t>
            </w:r>
            <w:r w:rsidR="00E1103E">
              <w:rPr>
                <w:sz w:val="26"/>
                <w:szCs w:val="26"/>
              </w:rPr>
              <w:t>būv</w:t>
            </w:r>
            <w:r w:rsidR="00DC7EA7" w:rsidRPr="002A42FF">
              <w:rPr>
                <w:sz w:val="26"/>
                <w:szCs w:val="26"/>
              </w:rPr>
              <w:t>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9C45DC" w:rsidRPr="006B2F7C" w:rsidRDefault="009C45DC" w:rsidP="009C45DC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6B2F7C">
              <w:rPr>
                <w:rFonts w:eastAsia="SimSun"/>
                <w:sz w:val="26"/>
                <w:szCs w:val="26"/>
                <w:lang w:eastAsia="zh-CN"/>
              </w:rPr>
              <w:t xml:space="preserve">Tērauda un betona </w:t>
            </w:r>
            <w:proofErr w:type="spellStart"/>
            <w:r w:rsidRPr="006B2F7C">
              <w:rPr>
                <w:rFonts w:eastAsia="SimSun"/>
                <w:sz w:val="26"/>
                <w:szCs w:val="26"/>
                <w:lang w:eastAsia="zh-CN"/>
              </w:rPr>
              <w:t>kompozīto</w:t>
            </w:r>
            <w:proofErr w:type="spellEnd"/>
            <w:r w:rsidRPr="006B2F7C">
              <w:rPr>
                <w:rFonts w:eastAsia="SimSun"/>
                <w:sz w:val="26"/>
                <w:szCs w:val="26"/>
                <w:lang w:eastAsia="zh-CN"/>
              </w:rPr>
              <w:t xml:space="preserve"> būvkonstrukciju projektēšanā ir pieļaujams izmantot alternatīvus risinājumus, kas atšķiras no </w:t>
            </w:r>
            <w:proofErr w:type="spellStart"/>
            <w:r w:rsidRPr="006B2F7C">
              <w:rPr>
                <w:rFonts w:eastAsia="SimSun"/>
                <w:sz w:val="26"/>
                <w:szCs w:val="26"/>
                <w:lang w:eastAsia="zh-CN"/>
              </w:rPr>
              <w:t>Eirokodeksa</w:t>
            </w:r>
            <w:proofErr w:type="spellEnd"/>
            <w:r w:rsidRPr="006B2F7C">
              <w:rPr>
                <w:rFonts w:eastAsia="SimSun"/>
                <w:sz w:val="26"/>
                <w:szCs w:val="26"/>
                <w:lang w:eastAsia="zh-CN"/>
              </w:rPr>
              <w:t xml:space="preserve"> standartu noteikumiem, ar nosacījumu, ka tiek pamatots, kāpēc nav izmantots paredzētais risinājums un ka izmantotie alternatīvie risinājumi atbilst </w:t>
            </w:r>
            <w:proofErr w:type="spellStart"/>
            <w:r w:rsidRPr="006B2F7C">
              <w:rPr>
                <w:rFonts w:eastAsia="SimSun"/>
                <w:sz w:val="26"/>
                <w:szCs w:val="26"/>
                <w:lang w:eastAsia="zh-CN"/>
              </w:rPr>
              <w:t>Eirokodeksā</w:t>
            </w:r>
            <w:proofErr w:type="spellEnd"/>
            <w:r w:rsidRPr="006B2F7C">
              <w:rPr>
                <w:rFonts w:eastAsia="SimSun"/>
                <w:sz w:val="26"/>
                <w:szCs w:val="26"/>
                <w:lang w:eastAsia="zh-CN"/>
              </w:rPr>
              <w:t xml:space="preserve"> iestrādātajiem principiem un tie garantē būvkonstrukcijām vismaz tādu pašu drošuma, ekspluatējamības un ilgizturības līmeni, kādu varētu sagaidīt, lietojot </w:t>
            </w:r>
            <w:proofErr w:type="spellStart"/>
            <w:r w:rsidRPr="006B2F7C">
              <w:rPr>
                <w:rFonts w:eastAsia="SimSun"/>
                <w:sz w:val="26"/>
                <w:szCs w:val="26"/>
                <w:lang w:eastAsia="zh-CN"/>
              </w:rPr>
              <w:t>Eirokodeksu</w:t>
            </w:r>
            <w:proofErr w:type="spellEnd"/>
            <w:r w:rsidRPr="006B2F7C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izstrādē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B2C2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bCs/>
                <w:iCs/>
                <w:sz w:val="26"/>
                <w:szCs w:val="26"/>
              </w:rPr>
              <w:lastRenderedPageBreak/>
              <w:t>Noteikumu projekt</w:t>
            </w:r>
            <w:r w:rsidR="003D5637">
              <w:rPr>
                <w:bCs/>
                <w:iCs/>
                <w:sz w:val="26"/>
                <w:szCs w:val="26"/>
              </w:rPr>
              <w:t xml:space="preserve">a izstrādē piedalījās Latvijas </w:t>
            </w:r>
            <w:r w:rsidR="003D5637">
              <w:rPr>
                <w:bCs/>
                <w:iCs/>
                <w:sz w:val="26"/>
                <w:szCs w:val="26"/>
              </w:rPr>
              <w:lastRenderedPageBreak/>
              <w:t>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6B2F7C">
              <w:rPr>
                <w:iCs/>
                <w:sz w:val="26"/>
                <w:szCs w:val="26"/>
              </w:rPr>
              <w:t>.</w:t>
            </w:r>
            <w:r w:rsidR="009C45DC" w:rsidRPr="006B2F7C">
              <w:rPr>
                <w:iCs/>
                <w:sz w:val="26"/>
                <w:szCs w:val="26"/>
              </w:rPr>
              <w:t xml:space="preserve"> Būvkonstrukciju projektētāju  un ekspertu </w:t>
            </w:r>
            <w:proofErr w:type="spellStart"/>
            <w:r w:rsidR="009C45DC" w:rsidRPr="006B2F7C">
              <w:rPr>
                <w:iCs/>
                <w:sz w:val="26"/>
                <w:szCs w:val="26"/>
              </w:rPr>
              <w:t>mērķgrupā</w:t>
            </w:r>
            <w:proofErr w:type="spellEnd"/>
            <w:r w:rsidR="009C45DC" w:rsidRPr="006B2F7C">
              <w:rPr>
                <w:iCs/>
                <w:sz w:val="26"/>
                <w:szCs w:val="26"/>
              </w:rPr>
              <w:t xml:space="preserve"> ietilpst 1500 </w:t>
            </w:r>
            <w:proofErr w:type="spellStart"/>
            <w:r w:rsidR="009C45DC" w:rsidRPr="006B2F7C">
              <w:rPr>
                <w:iCs/>
                <w:sz w:val="26"/>
                <w:szCs w:val="26"/>
              </w:rPr>
              <w:t>būvspeciālistu</w:t>
            </w:r>
            <w:proofErr w:type="spellEnd"/>
            <w:r w:rsidR="009C45DC" w:rsidRPr="006B2F7C">
              <w:rPr>
                <w:iCs/>
                <w:sz w:val="26"/>
                <w:szCs w:val="26"/>
              </w:rPr>
              <w:t xml:space="preserve"> un 150 </w:t>
            </w:r>
            <w:proofErr w:type="spellStart"/>
            <w:r w:rsidR="009C45DC" w:rsidRPr="006B2F7C">
              <w:rPr>
                <w:iCs/>
                <w:sz w:val="26"/>
                <w:szCs w:val="26"/>
              </w:rPr>
              <w:t>būvkomersantu</w:t>
            </w:r>
            <w:proofErr w:type="spellEnd"/>
            <w:r w:rsidR="009C45DC" w:rsidRPr="006B2F7C">
              <w:rPr>
                <w:iCs/>
                <w:sz w:val="26"/>
                <w:szCs w:val="26"/>
              </w:rPr>
              <w:t>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DC" w:rsidRPr="006B2F7C" w:rsidRDefault="009C45DC" w:rsidP="009C45D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Ar Noteikumu projektu tiek precizēta būvkonstrukciju projektēšanas kārtība. Atšķirībā no pašlaik esošās „duālās pieejas”, kad katrā konkrētajā gadījumā projektētājs izvēlas, pēc kādas projektēšanas metodes – </w:t>
            </w:r>
            <w:proofErr w:type="spellStart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standartos noteiktās vai spēkā esošajos Latvijas būvnormatīvos  (izstrādāti pēc </w:t>
            </w:r>
            <w:proofErr w:type="spellStart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SNiP</w:t>
            </w:r>
            <w:proofErr w:type="spellEnd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noteikumiem) noteiktās, projektēt būvkonstrukcijas.</w:t>
            </w:r>
          </w:p>
          <w:p w:rsidR="009C45DC" w:rsidRPr="006B2F7C" w:rsidRDefault="009C45DC" w:rsidP="009C45D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Pilnībā pārejot uz būvkonstrukciju projektēšanu atbilstoši </w:t>
            </w:r>
            <w:proofErr w:type="spellStart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standartiem, tiks paaugstināta būvju mehāniskā stiprība un ugunsdrošība (divas no septiņām būtiskām prasībām būvēm, noteiktajām Būvniecības likumā un Būvizstrādājumu regulā 305/2011).</w:t>
            </w:r>
          </w:p>
          <w:p w:rsidR="009C45DC" w:rsidRPr="006B2F7C" w:rsidRDefault="009C45DC" w:rsidP="009C45D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tiesiskais regulējums neietekmē uzņēmējdarbības vidi, jo pašlaik projektētāji un eksperti būvkonstrukciju projektēšanā un ekspertīzē piemēro </w:t>
            </w:r>
            <w:proofErr w:type="spellStart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standartus.</w:t>
            </w:r>
          </w:p>
          <w:p w:rsidR="003F5A60" w:rsidRPr="002A42FF" w:rsidRDefault="009C45DC" w:rsidP="009C45D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6B2F7C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9600D8" w:rsidRPr="002A42FF" w:rsidTr="001A66FC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D8" w:rsidRPr="002A42FF" w:rsidRDefault="009600D8" w:rsidP="001A66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9600D8" w:rsidRPr="002A42FF" w:rsidTr="001A66F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DE2AC0" w:rsidRDefault="009600D8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Atbilstoši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pilnīga adaptācija būvniecību regulējošo normatīvo aktu sistēmā tika paredzēta līdz 2014.gada beigām. </w:t>
            </w:r>
          </w:p>
          <w:p w:rsidR="009600D8" w:rsidRPr="00DE2AC0" w:rsidRDefault="009600D8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Lai nodrošinātu būvkonstrukciju projektēšanas praktiķu informēšanu par 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standartiem atbilstošas projektēšanas īpatnībām, 2013.-2014.gadā Ekonomikas ministrija sadarbībā ar Rīgas Tehnisko universitāti un Latvijas Būvkonstrukciju projektētāju asociāciju organizēja seminārus nozares profesionāļu auditorijai Rīgas Tehniskajā universitātē</w:t>
            </w:r>
          </w:p>
          <w:p w:rsidR="009600D8" w:rsidRPr="00DE2AC0" w:rsidRDefault="009600D8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>Par noteikumu projektiem sabiedrība tika informēta Ekonomikas ministrijas rīkotajos semināros par jauno būvniecības regulējumu.</w:t>
            </w:r>
          </w:p>
          <w:p w:rsidR="009600D8" w:rsidRPr="00DE2AC0" w:rsidRDefault="009600D8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 Noteikumu projekts sabiedrībai publiski ir pieejams Ekonomikas ministrijas mājās lapā internetā, kā arī pēc izsludināšanas Valsts sekretāra sanāksmē būs pieejams Ministru kabineta mājas lapā internetā.</w:t>
            </w:r>
          </w:p>
          <w:p w:rsidR="009600D8" w:rsidRPr="00DE2AC0" w:rsidRDefault="009600D8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9600D8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DE2AC0" w:rsidRDefault="009600D8" w:rsidP="001A66F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izstrādē piedalījās Latvijas Būvkonstrukciju projektētāju asociācija un Standartizācijas tehniskās komitejas LVS/STK 30 </w:t>
            </w:r>
            <w:proofErr w:type="spellStart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Eirokodeksu</w:t>
            </w:r>
            <w:proofErr w:type="spellEnd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apakškomiteja, kā arī šo nevalstisko organizāciju piesaistītie eksperti.</w:t>
            </w:r>
          </w:p>
          <w:p w:rsidR="009600D8" w:rsidRPr="00DE2AC0" w:rsidRDefault="009600D8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9600D8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DE2AC0" w:rsidRDefault="009600D8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priekšlikumi vai iebildumi nav saņemti.</w:t>
            </w:r>
          </w:p>
        </w:tc>
      </w:tr>
      <w:tr w:rsidR="009600D8" w:rsidRPr="002A42FF" w:rsidTr="001A66FC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2A42FF" w:rsidRDefault="009600D8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0D8" w:rsidRPr="00DE2AC0" w:rsidRDefault="009600D8" w:rsidP="001A66FC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9600D8" w:rsidRDefault="009600D8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Jaunu institūciju izveide, esošu institūciju likvidācija vai reorganizācija, to ietekme uz institūcijas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6B2F7C" w:rsidRDefault="009C45DC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6B2F7C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Noteikumu projekts tiks īstenots esošu institūciju un cilvēkresursu ietvaros.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="009600D8">
        <w:rPr>
          <w:bCs/>
          <w:i/>
          <w:szCs w:val="28"/>
        </w:rPr>
        <w:t>IV un V</w:t>
      </w:r>
      <w:r w:rsidRPr="002A42FF">
        <w:rPr>
          <w:bCs/>
          <w:i/>
          <w:szCs w:val="28"/>
        </w:rPr>
        <w:t xml:space="preserve">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45A02" w:rsidRDefault="00200924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</w:t>
      </w:r>
      <w:r w:rsidR="00745A02">
        <w:rPr>
          <w:szCs w:val="28"/>
        </w:rPr>
        <w:t>alsts sekretāra</w:t>
      </w:r>
    </w:p>
    <w:p w:rsidR="00745A02" w:rsidRDefault="00745A0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745A02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9600D8" w:rsidRDefault="009600D8" w:rsidP="00733BFD">
      <w:pPr>
        <w:spacing w:before="600"/>
        <w:rPr>
          <w:sz w:val="20"/>
          <w:szCs w:val="20"/>
        </w:rPr>
      </w:pPr>
    </w:p>
    <w:p w:rsidR="00733BFD" w:rsidRPr="00905C0E" w:rsidRDefault="006B2F7C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13</w:t>
      </w:r>
      <w:r w:rsidR="00733BFD">
        <w:rPr>
          <w:sz w:val="20"/>
          <w:szCs w:val="20"/>
        </w:rPr>
        <w:t>.</w:t>
      </w:r>
      <w:r w:rsidR="00704CE0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16854">
        <w:rPr>
          <w:sz w:val="20"/>
          <w:szCs w:val="20"/>
        </w:rPr>
        <w:t>.2015</w:t>
      </w:r>
      <w:r w:rsidR="00B3296D">
        <w:rPr>
          <w:sz w:val="20"/>
          <w:szCs w:val="20"/>
        </w:rPr>
        <w:t>.</w:t>
      </w:r>
      <w:r>
        <w:rPr>
          <w:sz w:val="20"/>
          <w:szCs w:val="20"/>
        </w:rPr>
        <w:t xml:space="preserve"> 15:24</w:t>
      </w:r>
      <w:bookmarkStart w:id="0" w:name="_GoBack"/>
      <w:bookmarkEnd w:id="0"/>
    </w:p>
    <w:p w:rsidR="00733BFD" w:rsidRDefault="009C45DC" w:rsidP="00733BFD">
      <w:pPr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656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RDefault="003B0AF9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F9" w:rsidRDefault="003B0AF9" w:rsidP="003F5A60">
      <w:r>
        <w:separator/>
      </w:r>
    </w:p>
  </w:endnote>
  <w:endnote w:type="continuationSeparator" w:id="0">
    <w:p w:rsidR="003B0AF9" w:rsidRDefault="003B0AF9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6B2F7C">
      <w:rPr>
        <w:noProof/>
        <w:sz w:val="22"/>
      </w:rPr>
      <w:t>EManot_130515_LBN212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</w:t>
    </w:r>
    <w:r w:rsidR="00E1103E">
      <w:rPr>
        <w:sz w:val="22"/>
      </w:rPr>
      <w:t>ar Latvijas būvnormatīvu LBN 212</w:t>
    </w:r>
    <w:r>
      <w:rPr>
        <w:sz w:val="22"/>
      </w:rPr>
      <w:t>-1</w:t>
    </w:r>
    <w:r w:rsidR="00B16854">
      <w:rPr>
        <w:sz w:val="22"/>
      </w:rPr>
      <w:t>5 „</w:t>
    </w:r>
    <w:r w:rsidR="00E1103E">
      <w:rPr>
        <w:sz w:val="22"/>
      </w:rPr>
      <w:t>Tērauda un b</w:t>
    </w:r>
    <w:r w:rsidR="00B16854">
      <w:rPr>
        <w:sz w:val="22"/>
      </w:rPr>
      <w:t>eton</w:t>
    </w:r>
    <w:r>
      <w:rPr>
        <w:sz w:val="22"/>
      </w:rPr>
      <w:t>a</w:t>
    </w:r>
    <w:r w:rsidR="00E1103E">
      <w:rPr>
        <w:sz w:val="22"/>
      </w:rPr>
      <w:t xml:space="preserve"> </w:t>
    </w:r>
    <w:proofErr w:type="spellStart"/>
    <w:r w:rsidR="00E1103E">
      <w:rPr>
        <w:sz w:val="22"/>
      </w:rPr>
      <w:t>kompozīto</w:t>
    </w:r>
    <w:proofErr w:type="spellEnd"/>
    <w:r>
      <w:rPr>
        <w:sz w:val="22"/>
      </w:rPr>
      <w:t xml:space="preserve"> </w:t>
    </w:r>
    <w:r w:rsidR="00B16854">
      <w:rPr>
        <w:sz w:val="22"/>
      </w:rPr>
      <w:t>būv</w:t>
    </w:r>
    <w:r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6B2F7C">
      <w:rPr>
        <w:noProof/>
        <w:sz w:val="22"/>
      </w:rPr>
      <w:t>EManot_130515_LBN212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E1103E">
      <w:rPr>
        <w:sz w:val="22"/>
      </w:rPr>
      <w:t>ar Latvijas būvnormatīvu LBN 212</w:t>
    </w:r>
    <w:r w:rsidR="007A016B">
      <w:rPr>
        <w:sz w:val="22"/>
      </w:rPr>
      <w:t>-1</w:t>
    </w:r>
    <w:r w:rsidR="00B16854">
      <w:rPr>
        <w:sz w:val="22"/>
      </w:rPr>
      <w:t>5 „</w:t>
    </w:r>
    <w:r w:rsidR="00E1103E">
      <w:rPr>
        <w:sz w:val="22"/>
      </w:rPr>
      <w:t>Tērauda un b</w:t>
    </w:r>
    <w:r w:rsidR="00B16854">
      <w:rPr>
        <w:sz w:val="22"/>
      </w:rPr>
      <w:t>etona</w:t>
    </w:r>
    <w:r w:rsidR="007A016B">
      <w:rPr>
        <w:sz w:val="22"/>
      </w:rPr>
      <w:t xml:space="preserve"> </w:t>
    </w:r>
    <w:proofErr w:type="spellStart"/>
    <w:r w:rsidR="00E1103E">
      <w:rPr>
        <w:sz w:val="22"/>
      </w:rPr>
      <w:t>kompozīto</w:t>
    </w:r>
    <w:proofErr w:type="spellEnd"/>
    <w:r w:rsidR="00E1103E">
      <w:rPr>
        <w:sz w:val="22"/>
      </w:rPr>
      <w:t xml:space="preserve"> </w:t>
    </w:r>
    <w:r w:rsidR="00B16854">
      <w:rPr>
        <w:sz w:val="22"/>
      </w:rPr>
      <w:t>būv</w:t>
    </w:r>
    <w:r w:rsidR="007A016B"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F9" w:rsidRDefault="003B0AF9" w:rsidP="003F5A60">
      <w:r>
        <w:separator/>
      </w:r>
    </w:p>
  </w:footnote>
  <w:footnote w:type="continuationSeparator" w:id="0">
    <w:p w:rsidR="003B0AF9" w:rsidRDefault="003B0AF9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6B2F7C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24DE4"/>
    <w:rsid w:val="000A037D"/>
    <w:rsid w:val="000C06DC"/>
    <w:rsid w:val="000E5C10"/>
    <w:rsid w:val="0013332F"/>
    <w:rsid w:val="001B0AE7"/>
    <w:rsid w:val="00200924"/>
    <w:rsid w:val="002433C5"/>
    <w:rsid w:val="00277BD9"/>
    <w:rsid w:val="002A42FF"/>
    <w:rsid w:val="0031092A"/>
    <w:rsid w:val="003B0AF9"/>
    <w:rsid w:val="003B2C2B"/>
    <w:rsid w:val="003D5637"/>
    <w:rsid w:val="003E6E20"/>
    <w:rsid w:val="003F5A60"/>
    <w:rsid w:val="00466D77"/>
    <w:rsid w:val="004846F5"/>
    <w:rsid w:val="004936B3"/>
    <w:rsid w:val="004C2752"/>
    <w:rsid w:val="00540B02"/>
    <w:rsid w:val="005A2ACB"/>
    <w:rsid w:val="005A555C"/>
    <w:rsid w:val="005B425B"/>
    <w:rsid w:val="00605196"/>
    <w:rsid w:val="006348E2"/>
    <w:rsid w:val="0064540E"/>
    <w:rsid w:val="006927CE"/>
    <w:rsid w:val="006B2F7C"/>
    <w:rsid w:val="00704CE0"/>
    <w:rsid w:val="00733BFD"/>
    <w:rsid w:val="00740A49"/>
    <w:rsid w:val="00745A02"/>
    <w:rsid w:val="007A016B"/>
    <w:rsid w:val="007F4428"/>
    <w:rsid w:val="007F71CA"/>
    <w:rsid w:val="008704BE"/>
    <w:rsid w:val="008B0B06"/>
    <w:rsid w:val="00916ECF"/>
    <w:rsid w:val="009600D8"/>
    <w:rsid w:val="009C45DC"/>
    <w:rsid w:val="009E5083"/>
    <w:rsid w:val="00A849F6"/>
    <w:rsid w:val="00AB5CE5"/>
    <w:rsid w:val="00B04288"/>
    <w:rsid w:val="00B16854"/>
    <w:rsid w:val="00B3296D"/>
    <w:rsid w:val="00B8112D"/>
    <w:rsid w:val="00BA215C"/>
    <w:rsid w:val="00BE24B7"/>
    <w:rsid w:val="00C17105"/>
    <w:rsid w:val="00C2613C"/>
    <w:rsid w:val="00C927DB"/>
    <w:rsid w:val="00CF1933"/>
    <w:rsid w:val="00D74438"/>
    <w:rsid w:val="00DC7EA7"/>
    <w:rsid w:val="00DE06FA"/>
    <w:rsid w:val="00E07E16"/>
    <w:rsid w:val="00E1103E"/>
    <w:rsid w:val="00E20B59"/>
    <w:rsid w:val="00EA086E"/>
    <w:rsid w:val="00EA243F"/>
    <w:rsid w:val="00ED21A7"/>
    <w:rsid w:val="00F2278C"/>
    <w:rsid w:val="00F7538D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5</cp:revision>
  <cp:lastPrinted>2014-03-14T07:10:00Z</cp:lastPrinted>
  <dcterms:created xsi:type="dcterms:W3CDTF">2015-03-27T08:45:00Z</dcterms:created>
  <dcterms:modified xsi:type="dcterms:W3CDTF">2015-05-13T12:24:00Z</dcterms:modified>
</cp:coreProperties>
</file>