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DAF9B" w14:textId="06DCE5D3" w:rsidR="00F907F8" w:rsidRPr="006E5504" w:rsidRDefault="00F907F8" w:rsidP="009475DA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bookmarkStart w:id="0" w:name="178380"/>
      <w:bookmarkStart w:id="1" w:name="223813"/>
      <w:bookmarkStart w:id="2" w:name="264045"/>
      <w:bookmarkEnd w:id="0"/>
      <w:bookmarkEnd w:id="1"/>
      <w:bookmarkEnd w:id="2"/>
      <w:r w:rsidRPr="006E5504">
        <w:rPr>
          <w:rFonts w:eastAsia="Times New Roman" w:cs="Times New Roman"/>
          <w:szCs w:val="28"/>
          <w:lang w:eastAsia="lv-LV"/>
        </w:rPr>
        <w:t>1</w:t>
      </w:r>
      <w:r w:rsidR="009475DA">
        <w:rPr>
          <w:rFonts w:eastAsia="Times New Roman" w:cs="Times New Roman"/>
          <w:szCs w:val="28"/>
          <w:lang w:eastAsia="lv-LV"/>
        </w:rPr>
        <w:t>. p</w:t>
      </w:r>
      <w:r w:rsidRPr="006E5504">
        <w:rPr>
          <w:rFonts w:eastAsia="Times New Roman" w:cs="Times New Roman"/>
          <w:szCs w:val="28"/>
          <w:lang w:eastAsia="lv-LV"/>
        </w:rPr>
        <w:t>ielikums </w:t>
      </w:r>
      <w:r w:rsidRPr="006E5504">
        <w:rPr>
          <w:rFonts w:eastAsia="Times New Roman" w:cs="Times New Roman"/>
          <w:szCs w:val="28"/>
          <w:lang w:eastAsia="lv-LV"/>
        </w:rPr>
        <w:br/>
      </w:r>
      <w:r w:rsidRPr="006E5504">
        <w:rPr>
          <w:rFonts w:eastAsia="Calibri" w:cs="Times New Roman"/>
          <w:szCs w:val="28"/>
        </w:rPr>
        <w:t>Latvijas būvnormatīvam LBN 202-1</w:t>
      </w:r>
      <w:r>
        <w:rPr>
          <w:rFonts w:eastAsia="Calibri" w:cs="Times New Roman"/>
          <w:szCs w:val="28"/>
        </w:rPr>
        <w:t>5</w:t>
      </w:r>
      <w:r w:rsidRPr="006E5504">
        <w:rPr>
          <w:rFonts w:eastAsia="Calibri" w:cs="Times New Roman"/>
          <w:szCs w:val="28"/>
        </w:rPr>
        <w:t xml:space="preserve"> </w:t>
      </w:r>
    </w:p>
    <w:p w14:paraId="776DAF9C" w14:textId="1F6E1580" w:rsidR="00F907F8" w:rsidRPr="006E5504" w:rsidRDefault="009475DA" w:rsidP="009475DA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F907F8" w:rsidRPr="006E5504">
        <w:rPr>
          <w:rFonts w:eastAsia="Times New Roman" w:cs="Times New Roman"/>
          <w:bCs/>
          <w:szCs w:val="28"/>
          <w:lang w:eastAsia="lv-LV"/>
        </w:rPr>
        <w:t>Būvprojekta saturs un noformēšana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776DAF9D" w14:textId="60DA354A" w:rsidR="00F907F8" w:rsidRPr="006E5504" w:rsidRDefault="00F907F8" w:rsidP="009475DA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6E5504">
        <w:rPr>
          <w:rFonts w:eastAsia="Times New Roman" w:cs="Times New Roman"/>
          <w:bCs/>
          <w:szCs w:val="28"/>
        </w:rPr>
        <w:t>(</w:t>
      </w:r>
      <w:r>
        <w:rPr>
          <w:rFonts w:eastAsia="Times New Roman" w:cs="Times New Roman"/>
          <w:bCs/>
          <w:szCs w:val="28"/>
        </w:rPr>
        <w:t>a</w:t>
      </w:r>
      <w:r w:rsidRPr="006E5504">
        <w:rPr>
          <w:rFonts w:eastAsia="Times New Roman" w:cs="Times New Roman"/>
          <w:szCs w:val="28"/>
        </w:rPr>
        <w:t>pstiprināts ar Ministru kabineta</w:t>
      </w:r>
    </w:p>
    <w:p w14:paraId="1E6566F7" w14:textId="7C8CB017" w:rsidR="009475DA" w:rsidRPr="00CD757F" w:rsidRDefault="009475DA" w:rsidP="00CD757F">
      <w:pPr>
        <w:jc w:val="right"/>
      </w:pPr>
      <w:r w:rsidRPr="00CD757F">
        <w:t>2015. gada  </w:t>
      </w:r>
      <w:r w:rsidR="0069697D">
        <w:t>9.</w:t>
      </w:r>
      <w:r w:rsidRPr="00CD757F">
        <w:t> </w:t>
      </w:r>
      <w:r w:rsidR="0069697D">
        <w:t>jūnija</w:t>
      </w:r>
    </w:p>
    <w:p w14:paraId="332BD1CC" w14:textId="4DED7695" w:rsidR="009475DA" w:rsidRPr="00CD757F" w:rsidRDefault="009475DA" w:rsidP="00CD757F">
      <w:pPr>
        <w:jc w:val="right"/>
      </w:pPr>
      <w:r w:rsidRPr="00CD757F">
        <w:t>noteikumiem Nr. </w:t>
      </w:r>
      <w:r w:rsidR="0069697D">
        <w:t>281</w:t>
      </w:r>
      <w:r>
        <w:t>)</w:t>
      </w:r>
    </w:p>
    <w:p w14:paraId="776DAF9F" w14:textId="77777777" w:rsidR="00F907F8" w:rsidRPr="006E5504" w:rsidRDefault="00F907F8" w:rsidP="009475DA">
      <w:pPr>
        <w:jc w:val="right"/>
        <w:rPr>
          <w:rFonts w:eastAsia="Calibri" w:cs="Times New Roman"/>
          <w:szCs w:val="28"/>
        </w:rPr>
      </w:pPr>
    </w:p>
    <w:p w14:paraId="776DAFA0" w14:textId="77777777" w:rsidR="00F907F8" w:rsidRDefault="00F907F8" w:rsidP="009475DA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129E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Būvprojekta rasējumu noformēšanai piemērojamo standartu saraksts</w:t>
      </w:r>
    </w:p>
    <w:p w14:paraId="5D8B021E" w14:textId="77777777" w:rsidR="009475DA" w:rsidRPr="003031B2" w:rsidRDefault="009475DA" w:rsidP="009475DA">
      <w:pPr>
        <w:jc w:val="center"/>
        <w:rPr>
          <w:rFonts w:eastAsia="Times New Roman" w:cs="Times New Roman"/>
          <w:bCs/>
          <w:color w:val="000000" w:themeColor="text1"/>
          <w:szCs w:val="28"/>
          <w:lang w:eastAsia="lv-LV"/>
        </w:rPr>
      </w:pPr>
    </w:p>
    <w:tbl>
      <w:tblPr>
        <w:tblW w:w="507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864"/>
        <w:gridCol w:w="5812"/>
      </w:tblGrid>
      <w:tr w:rsidR="00F907F8" w:rsidRPr="004129E0" w14:paraId="776DAFA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1" w14:textId="38DD1FB3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p.</w:t>
            </w:r>
            <w:r w:rsidR="009475DA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6DAFA2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Standarta šifrs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6DAFA3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Standarta nosaukums</w:t>
            </w:r>
          </w:p>
        </w:tc>
      </w:tr>
      <w:tr w:rsidR="00F907F8" w:rsidRPr="004129E0" w14:paraId="776DAFA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A" w14:textId="21470AA3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128-20:2008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B" w14:textId="00CD77C6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Tehniskie rasējumi. Shēmu vispārīgie principi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20</w:t>
            </w:r>
            <w:r w:rsidR="009475DA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 d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aļa: Pamatnoteikumi līnijām</w:t>
            </w:r>
          </w:p>
        </w:tc>
      </w:tr>
      <w:tr w:rsidR="00F907F8" w:rsidRPr="004129E0" w14:paraId="776DAFB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E" w14:textId="3807E0C7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128-21:2008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AF" w14:textId="5C892677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Tehniskie rasējumi. Shēmu vispārīgie principi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21</w:t>
            </w:r>
            <w:r w:rsidR="009475DA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 d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aļa: Līniju sagatavošana CAD sistēmām</w:t>
            </w:r>
          </w:p>
        </w:tc>
      </w:tr>
      <w:tr w:rsidR="00F907F8" w:rsidRPr="004129E0" w14:paraId="776DAFB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2" w14:textId="7BDB726A" w:rsidR="00F907F8" w:rsidRPr="00DD4939" w:rsidRDefault="00F907F8" w:rsidP="00EA271C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128-22:</w:t>
            </w:r>
            <w:r w:rsidR="002D772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3" w14:textId="577059D0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Attēlojuma vispārīgie principi. 22</w:t>
            </w:r>
            <w:r w:rsidR="009475DA" w:rsidRPr="00DD4939">
              <w:rPr>
                <w:rFonts w:cs="Times New Roman"/>
                <w:sz w:val="24"/>
                <w:szCs w:val="24"/>
              </w:rPr>
              <w:t>. d</w:t>
            </w:r>
            <w:r w:rsidRPr="00DD4939">
              <w:rPr>
                <w:rFonts w:cs="Times New Roman"/>
                <w:sz w:val="24"/>
                <w:szCs w:val="24"/>
              </w:rPr>
              <w:t xml:space="preserve">aļa: </w:t>
            </w:r>
            <w:proofErr w:type="spellStart"/>
            <w:r w:rsidRPr="00DD4939">
              <w:rPr>
                <w:rFonts w:cs="Times New Roman"/>
                <w:sz w:val="24"/>
                <w:szCs w:val="24"/>
              </w:rPr>
              <w:t>Pamatnorunas</w:t>
            </w:r>
            <w:proofErr w:type="spellEnd"/>
            <w:r w:rsidRPr="00DD4939">
              <w:rPr>
                <w:rFonts w:cs="Times New Roman"/>
                <w:sz w:val="24"/>
                <w:szCs w:val="24"/>
              </w:rPr>
              <w:t xml:space="preserve"> par norāžu līnijām un to plauktiņiem, to izmantošana</w:t>
            </w:r>
          </w:p>
        </w:tc>
      </w:tr>
      <w:tr w:rsidR="00F907F8" w:rsidRPr="004129E0" w14:paraId="776DAFB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6" w14:textId="7303B723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3098-0:2008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7" w14:textId="77777777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Ražojumu tehniskā dokumentācija. Raksts. 0. daļa: Vispārīgās prasības (ISO 3098-0:1997)</w:t>
            </w:r>
          </w:p>
        </w:tc>
      </w:tr>
      <w:tr w:rsidR="00F907F8" w:rsidRPr="004129E0" w14:paraId="776DAFB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A" w14:textId="2CC13556" w:rsidR="00F907F8" w:rsidRPr="00DD4939" w:rsidRDefault="00F907F8" w:rsidP="00EA271C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3098-5:</w:t>
            </w:r>
            <w:r w:rsidR="002D772B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997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B" w14:textId="77D1DFBC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Ražošanas tehniskā dokumentācija. Raksts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5</w:t>
            </w:r>
            <w:r w:rsidR="009475DA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 d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aļa: Latīņu alfabēta CAD raksts, skaitļi un zīmes</w:t>
            </w:r>
          </w:p>
        </w:tc>
      </w:tr>
      <w:tr w:rsidR="00F907F8" w:rsidRPr="004129E0" w14:paraId="776DAFC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E" w14:textId="293838F4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3766: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2004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BF" w14:textId="77777777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Būvniecības rasējumi. Betona stiegrojuma vienkāršotais attēlojums</w:t>
            </w:r>
          </w:p>
        </w:tc>
      </w:tr>
      <w:tr w:rsidR="00F907F8" w:rsidRPr="004129E0" w14:paraId="776DAFC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2" w14:textId="19601F47" w:rsidR="00F907F8" w:rsidRPr="00DD4939" w:rsidRDefault="00F907F8" w:rsidP="00EA271C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4157-1:2007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3" w14:textId="59305183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Būvniecības rasējumi. Apzīmējumu sistēmas. 1</w:t>
            </w:r>
            <w:r w:rsidR="009475DA" w:rsidRPr="00DD4939">
              <w:rPr>
                <w:rFonts w:cs="Times New Roman"/>
                <w:sz w:val="24"/>
                <w:szCs w:val="24"/>
              </w:rPr>
              <w:t>. d</w:t>
            </w:r>
            <w:r w:rsidRPr="00DD4939">
              <w:rPr>
                <w:rFonts w:cs="Times New Roman"/>
                <w:sz w:val="24"/>
                <w:szCs w:val="24"/>
              </w:rPr>
              <w:t>aļa: Ēkas un ēku daļas</w:t>
            </w:r>
          </w:p>
        </w:tc>
      </w:tr>
      <w:tr w:rsidR="00F907F8" w:rsidRPr="004129E0" w14:paraId="776DAFC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6" w14:textId="5047B4F7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4157-2: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7" w14:textId="4D781BF2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Būvniecības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Apzīmējumu sistēmas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2</w:t>
            </w:r>
            <w:r w:rsidR="009475DA" w:rsidRPr="00DD4939">
              <w:rPr>
                <w:rFonts w:cs="Times New Roman"/>
                <w:sz w:val="24"/>
                <w:szCs w:val="24"/>
              </w:rPr>
              <w:t>. d</w:t>
            </w:r>
            <w:r w:rsidRPr="00DD4939">
              <w:rPr>
                <w:rFonts w:cs="Times New Roman"/>
                <w:sz w:val="24"/>
                <w:szCs w:val="24"/>
              </w:rPr>
              <w:t>aļa: Telpu nosaukumi un numerācija</w:t>
            </w:r>
          </w:p>
        </w:tc>
      </w:tr>
      <w:tr w:rsidR="00F907F8" w:rsidRPr="004129E0" w14:paraId="776DAFC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A" w14:textId="05710EC0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4157-3: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B" w14:textId="54F40F45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Būvniecības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Apzīmējumu sistēmas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3</w:t>
            </w:r>
            <w:r w:rsidR="009475DA" w:rsidRPr="00DD4939">
              <w:rPr>
                <w:rFonts w:cs="Times New Roman"/>
                <w:sz w:val="24"/>
                <w:szCs w:val="24"/>
              </w:rPr>
              <w:t>. d</w:t>
            </w:r>
            <w:r w:rsidRPr="00DD4939">
              <w:rPr>
                <w:rFonts w:cs="Times New Roman"/>
                <w:sz w:val="24"/>
                <w:szCs w:val="24"/>
              </w:rPr>
              <w:t>aļa: Telpu identifikatori</w:t>
            </w:r>
          </w:p>
        </w:tc>
      </w:tr>
      <w:tr w:rsidR="00F907F8" w:rsidRPr="004129E0" w14:paraId="776DAFD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E" w14:textId="28F4EDC3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4172: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CF" w14:textId="347471BB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Tehniskie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Būvniecības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Saliekamo konstrukciju montāžas rasējumi</w:t>
            </w:r>
          </w:p>
        </w:tc>
      </w:tr>
      <w:tr w:rsidR="00F907F8" w:rsidRPr="004129E0" w14:paraId="776DAFD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2" w14:textId="77BBCCB0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5261: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3" w14:textId="31FAAFE5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Rasējumi. Vienkāršots stieņu un profilu attēlojums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5261:1995)</w:t>
            </w:r>
          </w:p>
        </w:tc>
      </w:tr>
      <w:tr w:rsidR="00F907F8" w:rsidRPr="004129E0" w14:paraId="776DAFD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6" w14:textId="23DC07CF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5456-1: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7" w14:textId="5CBBB489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Projicēšanas metodes. 1.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>daļa: Konspekts</w:t>
            </w:r>
          </w:p>
        </w:tc>
      </w:tr>
      <w:tr w:rsidR="00F907F8" w:rsidRPr="004129E0" w14:paraId="776DAFD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A" w14:textId="4A870709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5456-2: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B" w14:textId="1B6FF204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Projicēšanas metodes. 2.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 xml:space="preserve">daļa: </w:t>
            </w:r>
            <w:proofErr w:type="spellStart"/>
            <w:r w:rsidRPr="00DD4939">
              <w:rPr>
                <w:rFonts w:cs="Times New Roman"/>
                <w:sz w:val="24"/>
                <w:szCs w:val="24"/>
              </w:rPr>
              <w:t>Ortografiskie</w:t>
            </w:r>
            <w:proofErr w:type="spellEnd"/>
            <w:r w:rsidRPr="00DD4939">
              <w:rPr>
                <w:rFonts w:cs="Times New Roman"/>
                <w:sz w:val="24"/>
                <w:szCs w:val="24"/>
              </w:rPr>
              <w:t xml:space="preserve"> attēlojumi (ISO 5456-2:1996)</w:t>
            </w:r>
          </w:p>
        </w:tc>
      </w:tr>
      <w:tr w:rsidR="00F907F8" w:rsidRPr="004129E0" w14:paraId="776DAFE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E" w14:textId="794F8E69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5456-3: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DF" w14:textId="2A45F2D2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Projicēšanas metodes. 3.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 xml:space="preserve">daļa: </w:t>
            </w:r>
            <w:proofErr w:type="spellStart"/>
            <w:r w:rsidRPr="00DD4939">
              <w:rPr>
                <w:rFonts w:cs="Times New Roman"/>
                <w:sz w:val="24"/>
                <w:szCs w:val="24"/>
              </w:rPr>
              <w:t>Aksonometriskie</w:t>
            </w:r>
            <w:proofErr w:type="spellEnd"/>
            <w:r w:rsidRPr="00DD4939">
              <w:rPr>
                <w:rFonts w:cs="Times New Roman"/>
                <w:sz w:val="24"/>
                <w:szCs w:val="24"/>
              </w:rPr>
              <w:t xml:space="preserve"> attēlojumi (ISO 5456-3:1996)</w:t>
            </w:r>
          </w:p>
        </w:tc>
      </w:tr>
      <w:tr w:rsidR="00F907F8" w:rsidRPr="004129E0" w14:paraId="776DAFE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2" w14:textId="5B84C338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5456-4: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3" w14:textId="6D157BE3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Projicēšanas metodes. 4.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>daļa: Centrālā projekcija (ISO 5456-4:1996)</w:t>
            </w:r>
          </w:p>
        </w:tc>
      </w:tr>
      <w:tr w:rsidR="00F907F8" w:rsidRPr="004129E0" w14:paraId="776DAFE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6" w14:textId="31EDB539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5845-1: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7" w14:textId="3AED0AF9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Vienkāršots skrūvējumu, kniedējumu un tamlīdzīgu montāžas stiprinājumu attēlojums. 1.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>daļa: Vispārīgie principi (ISO 5845-1:1995)</w:t>
            </w:r>
          </w:p>
        </w:tc>
      </w:tr>
      <w:tr w:rsidR="00F907F8" w:rsidRPr="004129E0" w14:paraId="776DAFE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A" w14:textId="144A7456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6284: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B" w14:textId="601C337F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Būvniecības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Norādījumi par robežvērtību pielaidēm</w:t>
            </w:r>
          </w:p>
        </w:tc>
      </w:tr>
      <w:tr w:rsidR="00F907F8" w:rsidRPr="004129E0" w14:paraId="776DAFF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18.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E" w14:textId="23306923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6411: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EF" w14:textId="32CAD464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Rasējumi. Vienkāršots centra urbumu attēlojums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6411:1982)</w:t>
            </w:r>
          </w:p>
        </w:tc>
      </w:tr>
      <w:tr w:rsidR="00F907F8" w:rsidRPr="004129E0" w14:paraId="776DAFF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2" w14:textId="133E1864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6412-3:2008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3" w14:textId="1A946EFC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Rasējumi. Vienkāršots cauruļvadu attēlojums. 3.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 xml:space="preserve">daļa: Ventilācijas un kanalizācijas sistēmu armatūra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6412-3:1993)</w:t>
            </w:r>
          </w:p>
        </w:tc>
      </w:tr>
      <w:tr w:rsidR="00F907F8" w:rsidRPr="004129E0" w14:paraId="776DAFF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6" w14:textId="503A8267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6428:2008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7" w14:textId="4B728899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Rasējumi. Prasības </w:t>
            </w:r>
            <w:proofErr w:type="spellStart"/>
            <w:r w:rsidRPr="00DD4939">
              <w:rPr>
                <w:rFonts w:cs="Times New Roman"/>
                <w:sz w:val="24"/>
                <w:szCs w:val="24"/>
              </w:rPr>
              <w:t>mikrokopējamiem</w:t>
            </w:r>
            <w:proofErr w:type="spellEnd"/>
            <w:r w:rsidRPr="00DD4939">
              <w:rPr>
                <w:rFonts w:cs="Times New Roman"/>
                <w:sz w:val="24"/>
                <w:szCs w:val="24"/>
              </w:rPr>
              <w:t xml:space="preserve"> rasējumiem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6428:1982)</w:t>
            </w:r>
          </w:p>
        </w:tc>
      </w:tr>
      <w:tr w:rsidR="00F907F8" w:rsidRPr="004129E0" w14:paraId="776DAFF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A" w14:textId="6FA98D98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7296-2:2008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B" w14:textId="702E6E73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Celtņi. Grafiskie simboli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</w:t>
            </w:r>
            <w:r w:rsidR="009475DA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 d</w:t>
            </w: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aļa: Mobilie celtņi</w:t>
            </w:r>
          </w:p>
        </w:tc>
      </w:tr>
      <w:tr w:rsidR="00F907F8" w:rsidRPr="004129E0" w14:paraId="776DB00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E" w14:textId="56A9FACD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7437:2003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AFFF" w14:textId="5BFCA592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Tehniskie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Būvniecības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Vispārīgie noteikumi saliekamo būvdetaļu </w:t>
            </w:r>
            <w:r w:rsidR="003031B2">
              <w:rPr>
                <w:rFonts w:cs="Times New Roman"/>
                <w:sz w:val="24"/>
                <w:szCs w:val="24"/>
              </w:rPr>
              <w:t>ražošanas rasējumu noformēšanai</w:t>
            </w:r>
          </w:p>
        </w:tc>
      </w:tr>
      <w:tr w:rsidR="00F907F8" w:rsidRPr="004129E0" w14:paraId="776DB00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2" w14:textId="52076A9B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7518:2008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3" w14:textId="0668C907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Rasējumi. Būvniecības rasējumi. Vienkāršots ēku un citu būvju nojaukšanas un pārbūvēšanas attēlojums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7518:1983)</w:t>
            </w:r>
          </w:p>
        </w:tc>
      </w:tr>
      <w:tr w:rsidR="00F907F8" w:rsidRPr="004129E0" w14:paraId="776DB00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6" w14:textId="58812A61" w:rsidR="00F907F8" w:rsidRPr="00DD4939" w:rsidRDefault="003031B2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7519:</w:t>
            </w:r>
            <w:r w:rsidR="00F907F8"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7" w14:textId="7CF4D619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Rasējumi. Būvniecības rasējumi. Vispārīgie attēlojuma principi kopskata un </w:t>
            </w:r>
            <w:proofErr w:type="spellStart"/>
            <w:r w:rsidRPr="00DD4939">
              <w:rPr>
                <w:rFonts w:cs="Times New Roman"/>
                <w:sz w:val="24"/>
                <w:szCs w:val="24"/>
              </w:rPr>
              <w:t>kopsalikuma</w:t>
            </w:r>
            <w:proofErr w:type="spellEnd"/>
            <w:r w:rsidRPr="00DD4939">
              <w:rPr>
                <w:rFonts w:cs="Times New Roman"/>
                <w:sz w:val="24"/>
                <w:szCs w:val="24"/>
              </w:rPr>
              <w:t xml:space="preserve"> rasējumiem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7519:1991)</w:t>
            </w:r>
          </w:p>
        </w:tc>
      </w:tr>
      <w:tr w:rsidR="00F907F8" w:rsidRPr="004129E0" w14:paraId="776DB00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A" w14:textId="6E43A47A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8560:2003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B" w14:textId="49A17F59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Tehniskie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Būvniecības rasējumi </w:t>
            </w:r>
            <w:r w:rsidR="003031B2">
              <w:rPr>
                <w:rFonts w:eastAsia="Times New Roman" w:cs="Times New Roman"/>
                <w:szCs w:val="28"/>
                <w:lang w:eastAsia="lv-LV"/>
              </w:rPr>
              <w:t>–</w:t>
            </w:r>
            <w:r w:rsidRPr="00DD4939">
              <w:rPr>
                <w:rFonts w:cs="Times New Roman"/>
                <w:sz w:val="24"/>
                <w:szCs w:val="24"/>
              </w:rPr>
              <w:t xml:space="preserve"> Moduļa izmēru, līniju un tīklu attēlojums</w:t>
            </w:r>
          </w:p>
        </w:tc>
      </w:tr>
      <w:tr w:rsidR="00F907F8" w:rsidRPr="004129E0" w14:paraId="776DB01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E" w14:textId="3409C2F9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9431:2003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0F" w14:textId="77777777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Būvniecības rasējumi. Rasējuma laukuma, teksta laukuma un </w:t>
            </w:r>
            <w:proofErr w:type="spellStart"/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rakstlaukuma</w:t>
            </w:r>
            <w:proofErr w:type="spellEnd"/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novietojums rasējumos</w:t>
            </w:r>
          </w:p>
        </w:tc>
      </w:tr>
      <w:tr w:rsidR="00F907F8" w:rsidRPr="004129E0" w14:paraId="776DB014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1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2" w14:textId="75899E99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10628:2013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3" w14:textId="7CBDFD72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Diagrammas ķīmijas un naftas ķīmijas ražošanas nozarēm. 2.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>daļa: Grafiskie simboli (ISO 10628-2:2012)</w:t>
            </w:r>
          </w:p>
        </w:tc>
      </w:tr>
      <w:tr w:rsidR="00F907F8" w:rsidRPr="004129E0" w14:paraId="776DB018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5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6" w14:textId="3B96531C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EN ISO 11091:2008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7" w14:textId="57C68500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 xml:space="preserve">Būvniecības rasējumi. Ainavu rasēšanas prakse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11091:1994)</w:t>
            </w:r>
          </w:p>
        </w:tc>
      </w:tr>
      <w:tr w:rsidR="00F907F8" w:rsidRPr="004129E0" w14:paraId="776DB01C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9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A" w14:textId="10FF3902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13567-1:2008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B" w14:textId="0FFD2AAC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Izstrādājumu tehniskā dokumentācija. CAD datu slāņu organizēšana un nosaukšana. 1.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>daļa: Pārskats un principi (ISO 13567-1:1998)</w:t>
            </w:r>
          </w:p>
        </w:tc>
      </w:tr>
      <w:tr w:rsidR="00F907F8" w:rsidRPr="004129E0" w14:paraId="776DB020" w14:textId="77777777" w:rsidTr="00DD4939">
        <w:trPr>
          <w:trHeight w:val="60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D" w14:textId="77777777" w:rsidR="00F907F8" w:rsidRPr="00DD4939" w:rsidRDefault="00F907F8" w:rsidP="009475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E" w14:textId="2A3AC16B" w:rsidR="00F907F8" w:rsidRPr="00DD4939" w:rsidRDefault="00F907F8" w:rsidP="003031B2">
            <w:pPr>
              <w:ind w:left="15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LVS ISO 13567-2:2008</w:t>
            </w:r>
          </w:p>
        </w:tc>
        <w:tc>
          <w:tcPr>
            <w:tcW w:w="3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DB01F" w14:textId="0B27DC38" w:rsidR="00F907F8" w:rsidRPr="00DD4939" w:rsidRDefault="00F907F8" w:rsidP="003031B2">
            <w:pPr>
              <w:ind w:left="128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4939">
              <w:rPr>
                <w:rFonts w:cs="Times New Roman"/>
                <w:sz w:val="24"/>
                <w:szCs w:val="24"/>
              </w:rPr>
              <w:t>Izstrādājumu tehniskā dokumentācija. CAD datu slāņu organizēšana un nosaukšana. 2.</w:t>
            </w:r>
            <w:r w:rsidR="003031B2">
              <w:rPr>
                <w:rFonts w:cs="Times New Roman"/>
                <w:sz w:val="24"/>
                <w:szCs w:val="24"/>
              </w:rPr>
              <w:t> </w:t>
            </w:r>
            <w:r w:rsidRPr="00DD4939">
              <w:rPr>
                <w:rFonts w:cs="Times New Roman"/>
                <w:sz w:val="24"/>
                <w:szCs w:val="24"/>
              </w:rPr>
              <w:t xml:space="preserve">daļa: Būvniecības dokumentācijā lietotie jēdzieni, formāti un kodi </w:t>
            </w:r>
            <w:r w:rsidR="003031B2">
              <w:rPr>
                <w:rFonts w:cs="Times New Roman"/>
                <w:sz w:val="24"/>
                <w:szCs w:val="24"/>
              </w:rPr>
              <w:br/>
            </w:r>
            <w:r w:rsidRPr="00DD4939">
              <w:rPr>
                <w:rFonts w:cs="Times New Roman"/>
                <w:sz w:val="24"/>
                <w:szCs w:val="24"/>
              </w:rPr>
              <w:t>(ISO 13567-2:1998</w:t>
            </w:r>
            <w:r w:rsidR="002D772B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776DB021" w14:textId="77777777" w:rsidR="00F907F8" w:rsidRDefault="00F907F8" w:rsidP="009475DA">
      <w:pPr>
        <w:jc w:val="both"/>
        <w:rPr>
          <w:rFonts w:eastAsia="Times New Roman" w:cs="Times New Roman"/>
          <w:szCs w:val="28"/>
        </w:rPr>
      </w:pPr>
    </w:p>
    <w:p w14:paraId="776DB022" w14:textId="77777777" w:rsidR="00F907F8" w:rsidRDefault="00F907F8" w:rsidP="009475DA">
      <w:pPr>
        <w:tabs>
          <w:tab w:val="right" w:pos="9072"/>
        </w:tabs>
        <w:jc w:val="both"/>
        <w:rPr>
          <w:rFonts w:eastAsia="Times New Roman" w:cs="Times New Roman"/>
          <w:szCs w:val="28"/>
        </w:rPr>
      </w:pPr>
    </w:p>
    <w:p w14:paraId="02B2DA9B" w14:textId="77777777" w:rsidR="009475DA" w:rsidRDefault="009475DA" w:rsidP="009475DA">
      <w:pPr>
        <w:tabs>
          <w:tab w:val="right" w:pos="9072"/>
        </w:tabs>
        <w:jc w:val="both"/>
        <w:rPr>
          <w:rFonts w:eastAsia="Times New Roman" w:cs="Times New Roman"/>
          <w:szCs w:val="28"/>
        </w:rPr>
      </w:pPr>
    </w:p>
    <w:p w14:paraId="2FBC12AA" w14:textId="77777777" w:rsidR="00994B69" w:rsidRPr="00FB7458" w:rsidRDefault="00994B69" w:rsidP="00994B69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 w:rsidRPr="00FB7458">
        <w:rPr>
          <w:rFonts w:cs="Times New Roman"/>
          <w:szCs w:val="28"/>
        </w:rPr>
        <w:tab/>
      </w:r>
      <w:r>
        <w:rPr>
          <w:rFonts w:cs="Times New Roman"/>
          <w:szCs w:val="28"/>
        </w:rPr>
        <w:t>Dana Reizniece-Ozola</w:t>
      </w:r>
    </w:p>
    <w:p w14:paraId="776DB023" w14:textId="133D3F8F" w:rsidR="00F907F8" w:rsidRPr="00FF79C7" w:rsidRDefault="00F907F8" w:rsidP="00994B69">
      <w:pPr>
        <w:tabs>
          <w:tab w:val="left" w:pos="6521"/>
          <w:tab w:val="right" w:pos="9072"/>
        </w:tabs>
        <w:ind w:firstLine="709"/>
        <w:rPr>
          <w:rFonts w:eastAsia="Times New Roman" w:cs="Times New Roman"/>
          <w:szCs w:val="28"/>
        </w:rPr>
      </w:pPr>
      <w:bookmarkStart w:id="3" w:name="_GoBack"/>
      <w:bookmarkEnd w:id="3"/>
    </w:p>
    <w:sectPr w:rsidR="00F907F8" w:rsidRPr="00FF79C7" w:rsidSect="009475D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09864" w14:textId="77777777" w:rsidR="00A71ACF" w:rsidRDefault="00A71ACF" w:rsidP="003D6805">
      <w:r>
        <w:separator/>
      </w:r>
    </w:p>
  </w:endnote>
  <w:endnote w:type="continuationSeparator" w:id="0">
    <w:p w14:paraId="52A46EE8" w14:textId="77777777" w:rsidR="00A71ACF" w:rsidRDefault="00A71ACF" w:rsidP="003D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2DCD" w14:textId="77777777" w:rsidR="009475DA" w:rsidRPr="001B5F87" w:rsidRDefault="009475DA" w:rsidP="009475DA">
    <w:pPr>
      <w:pStyle w:val="Footer"/>
      <w:tabs>
        <w:tab w:val="clear" w:pos="8306"/>
        <w:tab w:val="right" w:pos="9072"/>
      </w:tabs>
      <w:jc w:val="both"/>
      <w:rPr>
        <w:sz w:val="16"/>
        <w:szCs w:val="16"/>
      </w:rPr>
    </w:pPr>
    <w:r w:rsidRPr="001B5F87">
      <w:rPr>
        <w:sz w:val="16"/>
        <w:szCs w:val="16"/>
      </w:rPr>
      <w:t>N1065_5p</w:t>
    </w: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3359" w14:textId="3C9B82F2" w:rsidR="009475DA" w:rsidRPr="001B5F87" w:rsidRDefault="009475DA" w:rsidP="009475DA">
    <w:pPr>
      <w:pStyle w:val="Footer"/>
      <w:tabs>
        <w:tab w:val="clear" w:pos="8306"/>
        <w:tab w:val="right" w:pos="9072"/>
      </w:tabs>
      <w:jc w:val="both"/>
      <w:rPr>
        <w:sz w:val="16"/>
        <w:szCs w:val="16"/>
      </w:rPr>
    </w:pPr>
    <w:r w:rsidRPr="001B5F87">
      <w:rPr>
        <w:sz w:val="16"/>
        <w:szCs w:val="16"/>
      </w:rPr>
      <w:t>N1065_5p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84BD" w14:textId="77777777" w:rsidR="00A71ACF" w:rsidRDefault="00A71ACF" w:rsidP="003D6805">
      <w:r>
        <w:separator/>
      </w:r>
    </w:p>
  </w:footnote>
  <w:footnote w:type="continuationSeparator" w:id="0">
    <w:p w14:paraId="041DF83B" w14:textId="77777777" w:rsidR="00A71ACF" w:rsidRDefault="00A71ACF" w:rsidP="003D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61200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76DB03B" w14:textId="77777777" w:rsidR="004129E0" w:rsidRPr="009475DA" w:rsidRDefault="005F5350" w:rsidP="004129E0">
        <w:pPr>
          <w:pStyle w:val="Header"/>
          <w:jc w:val="center"/>
          <w:rPr>
            <w:sz w:val="24"/>
          </w:rPr>
        </w:pPr>
        <w:r w:rsidRPr="009475DA">
          <w:rPr>
            <w:sz w:val="24"/>
          </w:rPr>
          <w:fldChar w:fldCharType="begin"/>
        </w:r>
        <w:r w:rsidRPr="009475DA">
          <w:rPr>
            <w:sz w:val="24"/>
          </w:rPr>
          <w:instrText xml:space="preserve"> PAGE   \* MERGEFORMAT </w:instrText>
        </w:r>
        <w:r w:rsidRPr="009475DA">
          <w:rPr>
            <w:sz w:val="24"/>
          </w:rPr>
          <w:fldChar w:fldCharType="separate"/>
        </w:r>
        <w:r w:rsidR="00994B69">
          <w:rPr>
            <w:noProof/>
            <w:sz w:val="24"/>
          </w:rPr>
          <w:t>2</w:t>
        </w:r>
        <w:r w:rsidRPr="009475D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8"/>
    <w:rsid w:val="00191464"/>
    <w:rsid w:val="00225543"/>
    <w:rsid w:val="002D772B"/>
    <w:rsid w:val="003031B2"/>
    <w:rsid w:val="003D6805"/>
    <w:rsid w:val="004E7364"/>
    <w:rsid w:val="005F5350"/>
    <w:rsid w:val="0069697D"/>
    <w:rsid w:val="00746BC2"/>
    <w:rsid w:val="007650FA"/>
    <w:rsid w:val="009475DA"/>
    <w:rsid w:val="00994B69"/>
    <w:rsid w:val="00A71ACF"/>
    <w:rsid w:val="00AC38D8"/>
    <w:rsid w:val="00B433F2"/>
    <w:rsid w:val="00C5288A"/>
    <w:rsid w:val="00C852DA"/>
    <w:rsid w:val="00D005F7"/>
    <w:rsid w:val="00DA2312"/>
    <w:rsid w:val="00DD4939"/>
    <w:rsid w:val="00EA271C"/>
    <w:rsid w:val="00F000C9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A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907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F8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F90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F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907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F8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F90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3362</Characters>
  <Application>Microsoft Office Word</Application>
  <DocSecurity>0</DocSecurity>
  <Lines>197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Gita Sniega</cp:lastModifiedBy>
  <cp:revision>2</cp:revision>
  <cp:lastPrinted>2015-06-08T05:25:00Z</cp:lastPrinted>
  <dcterms:created xsi:type="dcterms:W3CDTF">2015-06-10T08:31:00Z</dcterms:created>
  <dcterms:modified xsi:type="dcterms:W3CDTF">2015-06-10T08:31:00Z</dcterms:modified>
</cp:coreProperties>
</file>