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41012" w14:textId="77777777" w:rsidR="00E874E8" w:rsidRDefault="00E874E8" w:rsidP="00E874E8">
      <w:pPr>
        <w:pStyle w:val="naisf"/>
        <w:spacing w:before="120" w:after="0"/>
        <w:ind w:firstLine="0"/>
        <w:rPr>
          <w:sz w:val="26"/>
          <w:szCs w:val="26"/>
        </w:rPr>
      </w:pPr>
    </w:p>
    <w:p w14:paraId="195FA6A2" w14:textId="77777777" w:rsidR="004875CB" w:rsidRPr="00F5458C" w:rsidRDefault="004875CB" w:rsidP="00F5458C">
      <w:pPr>
        <w:tabs>
          <w:tab w:val="left" w:pos="6804"/>
        </w:tabs>
        <w:jc w:val="both"/>
        <w:rPr>
          <w:szCs w:val="28"/>
          <w:lang w:val="de-DE"/>
        </w:rPr>
      </w:pPr>
    </w:p>
    <w:p w14:paraId="05885FB5" w14:textId="77777777" w:rsidR="004875CB" w:rsidRPr="00F5458C" w:rsidRDefault="004875CB" w:rsidP="00F5458C">
      <w:pPr>
        <w:tabs>
          <w:tab w:val="left" w:pos="6663"/>
        </w:tabs>
        <w:rPr>
          <w:szCs w:val="28"/>
        </w:rPr>
      </w:pPr>
    </w:p>
    <w:p w14:paraId="5BCC67D6" w14:textId="77777777" w:rsidR="004875CB" w:rsidRPr="00F5458C" w:rsidRDefault="004875CB" w:rsidP="00F5458C">
      <w:pPr>
        <w:tabs>
          <w:tab w:val="left" w:pos="6663"/>
        </w:tabs>
        <w:rPr>
          <w:szCs w:val="28"/>
        </w:rPr>
      </w:pPr>
    </w:p>
    <w:p w14:paraId="4BB868B7" w14:textId="28F23193" w:rsidR="004875CB" w:rsidRPr="008C4EDF" w:rsidRDefault="004875CB" w:rsidP="00E9501F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AA128C">
        <w:rPr>
          <w:szCs w:val="28"/>
        </w:rPr>
        <w:t>16. jūnijā</w:t>
      </w:r>
      <w:r w:rsidRPr="008C4EDF">
        <w:rPr>
          <w:szCs w:val="28"/>
        </w:rPr>
        <w:tab/>
        <w:t>Noteikumi Nr.</w:t>
      </w:r>
      <w:r w:rsidR="00AA128C">
        <w:rPr>
          <w:szCs w:val="28"/>
        </w:rPr>
        <w:t> 300</w:t>
      </w:r>
    </w:p>
    <w:p w14:paraId="7C960480" w14:textId="23B1BDE9" w:rsidR="004875CB" w:rsidRPr="00E9501F" w:rsidRDefault="004875CB" w:rsidP="00E9501F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AA128C">
        <w:rPr>
          <w:szCs w:val="28"/>
        </w:rPr>
        <w:t>29  8</w:t>
      </w:r>
      <w:bookmarkStart w:id="0" w:name="_GoBack"/>
      <w:bookmarkEnd w:id="0"/>
      <w:r>
        <w:rPr>
          <w:szCs w:val="28"/>
        </w:rPr>
        <w:t> </w:t>
      </w:r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0BFFD247" w14:textId="2F8B9854" w:rsidR="00B71A10" w:rsidRDefault="00B71A10" w:rsidP="006B3CA2">
      <w:pPr>
        <w:jc w:val="center"/>
        <w:rPr>
          <w:b/>
        </w:rPr>
      </w:pPr>
    </w:p>
    <w:p w14:paraId="0BFFD248" w14:textId="19ABD313" w:rsidR="000C62DB" w:rsidRPr="00C113B0" w:rsidRDefault="000C62DB" w:rsidP="000C62DB">
      <w:pPr>
        <w:jc w:val="center"/>
        <w:rPr>
          <w:b/>
          <w:szCs w:val="24"/>
        </w:rPr>
      </w:pPr>
      <w:r w:rsidRPr="00E84F56">
        <w:rPr>
          <w:b/>
          <w:szCs w:val="24"/>
        </w:rPr>
        <w:t xml:space="preserve">Grozījumi Ministru kabineta </w:t>
      </w:r>
      <w:r>
        <w:rPr>
          <w:b/>
          <w:szCs w:val="24"/>
        </w:rPr>
        <w:t>2014</w:t>
      </w:r>
      <w:r w:rsidR="004875CB">
        <w:rPr>
          <w:b/>
          <w:szCs w:val="24"/>
        </w:rPr>
        <w:t>. g</w:t>
      </w:r>
      <w:r w:rsidRPr="00E84F56">
        <w:rPr>
          <w:b/>
          <w:szCs w:val="24"/>
        </w:rPr>
        <w:t xml:space="preserve">ada </w:t>
      </w:r>
      <w:r>
        <w:rPr>
          <w:b/>
          <w:szCs w:val="24"/>
        </w:rPr>
        <w:t>5</w:t>
      </w:r>
      <w:r w:rsidR="004875CB">
        <w:rPr>
          <w:b/>
          <w:szCs w:val="24"/>
        </w:rPr>
        <w:t>. a</w:t>
      </w:r>
      <w:r>
        <w:rPr>
          <w:b/>
          <w:szCs w:val="24"/>
        </w:rPr>
        <w:t>ugusta</w:t>
      </w:r>
      <w:r w:rsidRPr="00E84F56">
        <w:rPr>
          <w:b/>
          <w:szCs w:val="24"/>
        </w:rPr>
        <w:t xml:space="preserve"> noteikumos Nr.</w:t>
      </w:r>
      <w:r w:rsidR="000E16D8">
        <w:rPr>
          <w:b/>
          <w:szCs w:val="24"/>
        </w:rPr>
        <w:t> </w:t>
      </w:r>
      <w:r>
        <w:rPr>
          <w:b/>
          <w:szCs w:val="24"/>
        </w:rPr>
        <w:t xml:space="preserve">445 </w:t>
      </w:r>
      <w:r w:rsidR="004875CB">
        <w:rPr>
          <w:b/>
          <w:szCs w:val="24"/>
        </w:rPr>
        <w:t>"</w:t>
      </w:r>
      <w:r w:rsidRPr="00771573">
        <w:rPr>
          <w:b/>
          <w:szCs w:val="24"/>
        </w:rPr>
        <w:t>Kārtība</w:t>
      </w:r>
      <w:r w:rsidRPr="0037785F">
        <w:rPr>
          <w:b/>
          <w:szCs w:val="24"/>
        </w:rPr>
        <w:t>, kādā veicami maksājumi par dzīvojamo māju privatizācijas objekti</w:t>
      </w:r>
      <w:r>
        <w:rPr>
          <w:b/>
          <w:szCs w:val="24"/>
        </w:rPr>
        <w:t>em</w:t>
      </w:r>
      <w:r w:rsidR="004875CB">
        <w:rPr>
          <w:b/>
          <w:szCs w:val="24"/>
        </w:rPr>
        <w:t>"</w:t>
      </w:r>
    </w:p>
    <w:p w14:paraId="0BFFD249" w14:textId="77777777" w:rsidR="00951B95" w:rsidRDefault="00951B95" w:rsidP="006B3CA2">
      <w:pPr>
        <w:jc w:val="center"/>
      </w:pPr>
    </w:p>
    <w:p w14:paraId="0BFFD24A" w14:textId="15BC7143" w:rsidR="000C62DB" w:rsidRPr="007F3547" w:rsidRDefault="000C62DB" w:rsidP="000C62DB">
      <w:pPr>
        <w:contextualSpacing/>
        <w:jc w:val="right"/>
        <w:rPr>
          <w:szCs w:val="24"/>
        </w:rPr>
      </w:pPr>
      <w:r w:rsidRPr="00C113B0">
        <w:rPr>
          <w:szCs w:val="24"/>
        </w:rPr>
        <w:t xml:space="preserve">Izdoti saskaņā ar </w:t>
      </w:r>
      <w:r w:rsidRPr="007F3547">
        <w:rPr>
          <w:szCs w:val="24"/>
        </w:rPr>
        <w:t xml:space="preserve">likuma </w:t>
      </w:r>
      <w:r w:rsidR="004875CB">
        <w:rPr>
          <w:szCs w:val="24"/>
        </w:rPr>
        <w:t>"</w:t>
      </w:r>
      <w:r w:rsidRPr="007F3547">
        <w:rPr>
          <w:szCs w:val="24"/>
        </w:rPr>
        <w:t xml:space="preserve">Par valsts un pašvaldību </w:t>
      </w:r>
    </w:p>
    <w:p w14:paraId="0BFFD24B" w14:textId="34203FE4" w:rsidR="000C62DB" w:rsidRPr="007F3547" w:rsidRDefault="000C62DB" w:rsidP="000C62DB">
      <w:pPr>
        <w:contextualSpacing/>
        <w:jc w:val="right"/>
        <w:rPr>
          <w:szCs w:val="24"/>
        </w:rPr>
      </w:pPr>
      <w:r w:rsidRPr="007F3547">
        <w:rPr>
          <w:szCs w:val="24"/>
        </w:rPr>
        <w:t>d</w:t>
      </w:r>
      <w:r w:rsidR="00FE06DF">
        <w:rPr>
          <w:szCs w:val="24"/>
        </w:rPr>
        <w:t>zīvojamo māju privatizāciju</w:t>
      </w:r>
      <w:r w:rsidR="004875CB">
        <w:rPr>
          <w:szCs w:val="24"/>
        </w:rPr>
        <w:t>"</w:t>
      </w:r>
      <w:r w:rsidR="00FE06DF">
        <w:rPr>
          <w:szCs w:val="24"/>
        </w:rPr>
        <w:t xml:space="preserve"> 5</w:t>
      </w:r>
      <w:r w:rsidR="004875CB">
        <w:rPr>
          <w:szCs w:val="24"/>
        </w:rPr>
        <w:t>. p</w:t>
      </w:r>
      <w:r w:rsidRPr="007F3547">
        <w:rPr>
          <w:szCs w:val="24"/>
        </w:rPr>
        <w:t>anta otro daļu,</w:t>
      </w:r>
    </w:p>
    <w:p w14:paraId="0BFFD24C" w14:textId="34E6EFC9" w:rsidR="000C62DB" w:rsidRDefault="00FE06DF" w:rsidP="000C62DB">
      <w:pPr>
        <w:contextualSpacing/>
        <w:jc w:val="right"/>
        <w:rPr>
          <w:szCs w:val="24"/>
        </w:rPr>
      </w:pPr>
      <w:r>
        <w:rPr>
          <w:szCs w:val="24"/>
        </w:rPr>
        <w:t>41</w:t>
      </w:r>
      <w:r w:rsidR="004875CB">
        <w:rPr>
          <w:szCs w:val="24"/>
        </w:rPr>
        <w:t>. p</w:t>
      </w:r>
      <w:r>
        <w:rPr>
          <w:szCs w:val="24"/>
        </w:rPr>
        <w:t>anta sesto daļu, 45</w:t>
      </w:r>
      <w:r w:rsidR="004875CB">
        <w:rPr>
          <w:szCs w:val="24"/>
        </w:rPr>
        <w:t>. p</w:t>
      </w:r>
      <w:r w:rsidR="000C62DB">
        <w:rPr>
          <w:szCs w:val="24"/>
        </w:rPr>
        <w:t>anta otro daļu,</w:t>
      </w:r>
    </w:p>
    <w:p w14:paraId="0BFFD24D" w14:textId="6145D05A" w:rsidR="000C62DB" w:rsidRPr="00C113B0" w:rsidRDefault="00FE06DF" w:rsidP="000C62DB">
      <w:pPr>
        <w:contextualSpacing/>
        <w:jc w:val="right"/>
        <w:rPr>
          <w:szCs w:val="24"/>
        </w:rPr>
      </w:pPr>
      <w:r>
        <w:rPr>
          <w:szCs w:val="24"/>
        </w:rPr>
        <w:t>66</w:t>
      </w:r>
      <w:r w:rsidR="004875CB">
        <w:rPr>
          <w:szCs w:val="24"/>
        </w:rPr>
        <w:t>. p</w:t>
      </w:r>
      <w:r>
        <w:rPr>
          <w:szCs w:val="24"/>
        </w:rPr>
        <w:t>anta pirmo daļu un 67</w:t>
      </w:r>
      <w:r w:rsidR="004875CB">
        <w:rPr>
          <w:szCs w:val="24"/>
        </w:rPr>
        <w:t>. p</w:t>
      </w:r>
      <w:r w:rsidR="000C62DB">
        <w:rPr>
          <w:szCs w:val="24"/>
        </w:rPr>
        <w:t>anta otro daļu</w:t>
      </w:r>
    </w:p>
    <w:p w14:paraId="0BFFD24E" w14:textId="77777777" w:rsidR="00951B95" w:rsidRDefault="00951B95" w:rsidP="006B3CA2">
      <w:pPr>
        <w:ind w:left="4395"/>
        <w:jc w:val="right"/>
      </w:pPr>
    </w:p>
    <w:p w14:paraId="0BFFD250" w14:textId="08604119" w:rsidR="003B55A4" w:rsidRPr="009801B6" w:rsidRDefault="003B55A4" w:rsidP="004875CB">
      <w:pPr>
        <w:pStyle w:val="BodyText"/>
        <w:spacing w:after="0"/>
        <w:ind w:firstLine="709"/>
        <w:rPr>
          <w:rFonts w:ascii="Times New Roman" w:eastAsiaTheme="minorHAnsi" w:hAnsi="Times New Roman" w:cstheme="minorBidi"/>
          <w:szCs w:val="28"/>
        </w:rPr>
      </w:pPr>
      <w:r w:rsidRPr="009801B6">
        <w:rPr>
          <w:rFonts w:ascii="Times New Roman" w:eastAsiaTheme="minorHAnsi" w:hAnsi="Times New Roman" w:cstheme="minorBidi"/>
          <w:szCs w:val="28"/>
        </w:rPr>
        <w:t>Izdarīt Ministru kabineta 2014</w:t>
      </w:r>
      <w:r w:rsidR="004875CB">
        <w:rPr>
          <w:rFonts w:ascii="Times New Roman" w:eastAsiaTheme="minorHAnsi" w:hAnsi="Times New Roman" w:cstheme="minorBidi"/>
          <w:szCs w:val="28"/>
        </w:rPr>
        <w:t>. g</w:t>
      </w:r>
      <w:r w:rsidRPr="009801B6">
        <w:rPr>
          <w:rFonts w:ascii="Times New Roman" w:eastAsiaTheme="minorHAnsi" w:hAnsi="Times New Roman" w:cstheme="minorBidi"/>
          <w:szCs w:val="28"/>
        </w:rPr>
        <w:t>ada 5</w:t>
      </w:r>
      <w:r w:rsidR="004875CB">
        <w:rPr>
          <w:rFonts w:ascii="Times New Roman" w:eastAsiaTheme="minorHAnsi" w:hAnsi="Times New Roman" w:cstheme="minorBidi"/>
          <w:szCs w:val="28"/>
        </w:rPr>
        <w:t>. a</w:t>
      </w:r>
      <w:r w:rsidRPr="009801B6">
        <w:rPr>
          <w:rFonts w:ascii="Times New Roman" w:eastAsiaTheme="minorHAnsi" w:hAnsi="Times New Roman" w:cstheme="minorBidi"/>
          <w:szCs w:val="28"/>
        </w:rPr>
        <w:t>ugusta noteikumos Nr.</w:t>
      </w:r>
      <w:r w:rsidR="000E16D8">
        <w:rPr>
          <w:rFonts w:ascii="Times New Roman" w:eastAsiaTheme="minorHAnsi" w:hAnsi="Times New Roman" w:cstheme="minorBidi"/>
          <w:szCs w:val="28"/>
        </w:rPr>
        <w:t> </w:t>
      </w:r>
      <w:r w:rsidRPr="009801B6">
        <w:rPr>
          <w:rFonts w:ascii="Times New Roman" w:eastAsiaTheme="minorHAnsi" w:hAnsi="Times New Roman" w:cstheme="minorBidi"/>
          <w:szCs w:val="28"/>
        </w:rPr>
        <w:t>44</w:t>
      </w:r>
      <w:r w:rsidR="001505C3" w:rsidRPr="009801B6">
        <w:rPr>
          <w:rFonts w:ascii="Times New Roman" w:eastAsiaTheme="minorHAnsi" w:hAnsi="Times New Roman" w:cstheme="minorBidi"/>
          <w:szCs w:val="28"/>
        </w:rPr>
        <w:t>5</w:t>
      </w:r>
      <w:r w:rsidRPr="009801B6">
        <w:rPr>
          <w:rFonts w:ascii="Times New Roman" w:eastAsiaTheme="minorHAnsi" w:hAnsi="Times New Roman" w:cstheme="minorBidi"/>
          <w:szCs w:val="28"/>
        </w:rPr>
        <w:t xml:space="preserve"> </w:t>
      </w:r>
      <w:r w:rsidR="001505C3" w:rsidRPr="009801B6">
        <w:rPr>
          <w:rFonts w:ascii="Times New Roman" w:eastAsiaTheme="minorHAnsi" w:hAnsi="Times New Roman" w:cstheme="minorBidi"/>
          <w:szCs w:val="28"/>
        </w:rPr>
        <w:br/>
      </w:r>
      <w:r w:rsidR="004875CB">
        <w:rPr>
          <w:rFonts w:ascii="Times New Roman" w:eastAsiaTheme="minorHAnsi" w:hAnsi="Times New Roman" w:cstheme="minorBidi"/>
          <w:szCs w:val="28"/>
        </w:rPr>
        <w:t>"</w:t>
      </w:r>
      <w:r w:rsidR="000C62DB" w:rsidRPr="009801B6">
        <w:rPr>
          <w:rFonts w:ascii="Times New Roman" w:eastAsiaTheme="minorHAnsi" w:hAnsi="Times New Roman" w:cstheme="minorBidi"/>
          <w:szCs w:val="28"/>
        </w:rPr>
        <w:t>Kārtība, kādā veicami maksājumi par dzīvojamo māju privatizācijas objektiem</w:t>
      </w:r>
      <w:r w:rsidR="004875CB">
        <w:rPr>
          <w:rFonts w:ascii="Times New Roman" w:eastAsiaTheme="minorHAnsi" w:hAnsi="Times New Roman" w:cstheme="minorBidi"/>
          <w:szCs w:val="28"/>
        </w:rPr>
        <w:t>"</w:t>
      </w:r>
      <w:r w:rsidRPr="009801B6">
        <w:rPr>
          <w:rFonts w:ascii="Times New Roman" w:eastAsiaTheme="minorHAnsi" w:hAnsi="Times New Roman" w:cstheme="minorBidi"/>
          <w:szCs w:val="28"/>
        </w:rPr>
        <w:t xml:space="preserve"> (</w:t>
      </w:r>
      <w:r w:rsidR="003F4BA0" w:rsidRPr="009801B6">
        <w:rPr>
          <w:rFonts w:ascii="Times New Roman" w:eastAsiaTheme="minorHAnsi" w:hAnsi="Times New Roman" w:cstheme="minorBidi"/>
          <w:szCs w:val="28"/>
        </w:rPr>
        <w:t>Latvijas Vēstnesis, 2014, 161. nr.)</w:t>
      </w:r>
      <w:r w:rsidRPr="009801B6">
        <w:rPr>
          <w:rFonts w:ascii="Times New Roman" w:eastAsiaTheme="minorHAnsi" w:hAnsi="Times New Roman" w:cstheme="minorBidi"/>
          <w:szCs w:val="28"/>
        </w:rPr>
        <w:t xml:space="preserve"> šādus grozījumus:</w:t>
      </w:r>
    </w:p>
    <w:p w14:paraId="0BFFD251" w14:textId="77777777" w:rsidR="00771573" w:rsidRPr="009801B6" w:rsidRDefault="00771573" w:rsidP="004875CB">
      <w:pPr>
        <w:pStyle w:val="BodyText"/>
        <w:spacing w:after="0"/>
        <w:ind w:firstLine="709"/>
        <w:rPr>
          <w:rFonts w:ascii="Times New Roman" w:eastAsiaTheme="minorHAnsi" w:hAnsi="Times New Roman" w:cstheme="minorBidi"/>
          <w:szCs w:val="28"/>
        </w:rPr>
      </w:pPr>
    </w:p>
    <w:p w14:paraId="0BFFD252" w14:textId="4FCBF726" w:rsidR="0080288B" w:rsidRPr="004875CB" w:rsidRDefault="004875CB" w:rsidP="004875CB">
      <w:pPr>
        <w:ind w:firstLine="709"/>
        <w:jc w:val="both"/>
        <w:rPr>
          <w:szCs w:val="24"/>
        </w:rPr>
      </w:pPr>
      <w:r>
        <w:rPr>
          <w:szCs w:val="24"/>
        </w:rPr>
        <w:t>1. </w:t>
      </w:r>
      <w:r w:rsidR="00E874E8" w:rsidRPr="004875CB">
        <w:rPr>
          <w:szCs w:val="24"/>
        </w:rPr>
        <w:t>A</w:t>
      </w:r>
      <w:r w:rsidR="00771573" w:rsidRPr="004875CB">
        <w:rPr>
          <w:szCs w:val="24"/>
        </w:rPr>
        <w:t>izstāt 7</w:t>
      </w:r>
      <w:r w:rsidRPr="004875CB">
        <w:rPr>
          <w:szCs w:val="24"/>
        </w:rPr>
        <w:t>. p</w:t>
      </w:r>
      <w:r w:rsidR="00771573" w:rsidRPr="004875CB">
        <w:rPr>
          <w:szCs w:val="24"/>
        </w:rPr>
        <w:t xml:space="preserve">unktā vārdus </w:t>
      </w:r>
      <w:r w:rsidRPr="004875CB">
        <w:rPr>
          <w:szCs w:val="24"/>
        </w:rPr>
        <w:t>"</w:t>
      </w:r>
      <w:r w:rsidR="00771573" w:rsidRPr="004875CB">
        <w:rPr>
          <w:szCs w:val="24"/>
        </w:rPr>
        <w:t xml:space="preserve">valsts akciju sabiedrības </w:t>
      </w:r>
      <w:r w:rsidRPr="004875CB">
        <w:rPr>
          <w:szCs w:val="24"/>
        </w:rPr>
        <w:t>"</w:t>
      </w:r>
      <w:r w:rsidR="00771573" w:rsidRPr="004875CB">
        <w:rPr>
          <w:szCs w:val="24"/>
        </w:rPr>
        <w:t xml:space="preserve">Latvijas Attīstības finanšu institūcija </w:t>
      </w:r>
      <w:proofErr w:type="spellStart"/>
      <w:r w:rsidR="00771573" w:rsidRPr="004875CB">
        <w:rPr>
          <w:szCs w:val="24"/>
        </w:rPr>
        <w:t>Altum</w:t>
      </w:r>
      <w:proofErr w:type="spellEnd"/>
      <w:r w:rsidRPr="004875CB">
        <w:rPr>
          <w:szCs w:val="24"/>
        </w:rPr>
        <w:t>"</w:t>
      </w:r>
      <w:r w:rsidR="00771573" w:rsidRPr="004875CB">
        <w:rPr>
          <w:szCs w:val="24"/>
        </w:rPr>
        <w:t xml:space="preserve"> (vienotais reģistrācijas numurs 40003132437) (turpmāk – sabiedrība </w:t>
      </w:r>
      <w:r w:rsidRPr="004875CB">
        <w:rPr>
          <w:szCs w:val="24"/>
        </w:rPr>
        <w:t>"</w:t>
      </w:r>
      <w:proofErr w:type="spellStart"/>
      <w:r w:rsidR="00771573" w:rsidRPr="004875CB">
        <w:rPr>
          <w:szCs w:val="24"/>
        </w:rPr>
        <w:t>Altum</w:t>
      </w:r>
      <w:proofErr w:type="spellEnd"/>
      <w:r w:rsidRPr="004875CB">
        <w:rPr>
          <w:szCs w:val="24"/>
        </w:rPr>
        <w:t>"</w:t>
      </w:r>
      <w:r w:rsidR="00771573" w:rsidRPr="004875CB">
        <w:rPr>
          <w:szCs w:val="24"/>
        </w:rPr>
        <w:t>)</w:t>
      </w:r>
      <w:r w:rsidRPr="004875CB">
        <w:rPr>
          <w:szCs w:val="24"/>
        </w:rPr>
        <w:t>"</w:t>
      </w:r>
      <w:r w:rsidR="00771573" w:rsidRPr="004875CB">
        <w:rPr>
          <w:szCs w:val="24"/>
        </w:rPr>
        <w:t xml:space="preserve"> ar vārdiem </w:t>
      </w:r>
      <w:r w:rsidRPr="004875CB">
        <w:rPr>
          <w:szCs w:val="24"/>
        </w:rPr>
        <w:t>"</w:t>
      </w:r>
      <w:r w:rsidR="0080288B" w:rsidRPr="004875CB">
        <w:rPr>
          <w:szCs w:val="24"/>
        </w:rPr>
        <w:t xml:space="preserve">akciju sabiedrības </w:t>
      </w:r>
      <w:r w:rsidRPr="004875CB">
        <w:rPr>
          <w:szCs w:val="24"/>
        </w:rPr>
        <w:t>"</w:t>
      </w:r>
      <w:r w:rsidR="0080288B" w:rsidRPr="004875CB">
        <w:rPr>
          <w:szCs w:val="24"/>
        </w:rPr>
        <w:t xml:space="preserve">Attīstības finanšu institūcija </w:t>
      </w:r>
      <w:proofErr w:type="spellStart"/>
      <w:r w:rsidR="0080288B" w:rsidRPr="004875CB">
        <w:rPr>
          <w:szCs w:val="24"/>
        </w:rPr>
        <w:t>Altum</w:t>
      </w:r>
      <w:proofErr w:type="spellEnd"/>
      <w:r w:rsidR="000E16D8">
        <w:rPr>
          <w:szCs w:val="24"/>
        </w:rPr>
        <w:t>""</w:t>
      </w:r>
      <w:r w:rsidR="0080288B" w:rsidRPr="004875CB">
        <w:rPr>
          <w:szCs w:val="24"/>
        </w:rPr>
        <w:t xml:space="preserve"> </w:t>
      </w:r>
      <w:r w:rsidR="00963A32" w:rsidRPr="004C0381">
        <w:rPr>
          <w:rFonts w:eastAsia="Times New Roman" w:cs="Times New Roman"/>
          <w:szCs w:val="28"/>
          <w:lang w:eastAsia="lv-LV"/>
        </w:rPr>
        <w:t>(vienotais reģistrācijas numurs 50103744891)</w:t>
      </w:r>
      <w:r w:rsidR="00963A32" w:rsidRPr="004C0381">
        <w:rPr>
          <w:szCs w:val="24"/>
        </w:rPr>
        <w:t xml:space="preserve"> </w:t>
      </w:r>
      <w:r w:rsidR="0080288B" w:rsidRPr="004875CB">
        <w:rPr>
          <w:szCs w:val="24"/>
        </w:rPr>
        <w:t>(turpmāk – privatizācijas sertifikātu kontu turētājs)</w:t>
      </w:r>
      <w:r w:rsidRPr="004875CB">
        <w:rPr>
          <w:szCs w:val="24"/>
        </w:rPr>
        <w:t>"</w:t>
      </w:r>
      <w:r w:rsidR="004C0381">
        <w:rPr>
          <w:szCs w:val="24"/>
        </w:rPr>
        <w:t>.</w:t>
      </w:r>
    </w:p>
    <w:p w14:paraId="0BFFD253" w14:textId="77777777" w:rsidR="00771573" w:rsidRPr="009801B6" w:rsidRDefault="00771573" w:rsidP="004875CB">
      <w:pPr>
        <w:pStyle w:val="ListParagraph"/>
        <w:ind w:left="0" w:firstLine="709"/>
        <w:jc w:val="both"/>
        <w:rPr>
          <w:szCs w:val="24"/>
        </w:rPr>
      </w:pPr>
    </w:p>
    <w:p w14:paraId="0AD452C2" w14:textId="54DE87CD" w:rsidR="004C0381" w:rsidRPr="004875CB" w:rsidRDefault="004875CB" w:rsidP="004C0381">
      <w:pPr>
        <w:ind w:firstLine="709"/>
        <w:jc w:val="both"/>
        <w:rPr>
          <w:szCs w:val="24"/>
        </w:rPr>
      </w:pPr>
      <w:r>
        <w:rPr>
          <w:szCs w:val="24"/>
        </w:rPr>
        <w:t>2. </w:t>
      </w:r>
      <w:r w:rsidR="00E874E8" w:rsidRPr="004875CB">
        <w:rPr>
          <w:szCs w:val="24"/>
        </w:rPr>
        <w:t>A</w:t>
      </w:r>
      <w:r w:rsidR="00771573" w:rsidRPr="004875CB">
        <w:rPr>
          <w:szCs w:val="24"/>
        </w:rPr>
        <w:t>i</w:t>
      </w:r>
      <w:r w:rsidR="004C0381">
        <w:rPr>
          <w:szCs w:val="24"/>
        </w:rPr>
        <w:t>zstāt 8., 13., 15. un 18. punktā vārdus</w:t>
      </w:r>
      <w:r w:rsidR="00771573" w:rsidRPr="004875CB">
        <w:rPr>
          <w:szCs w:val="24"/>
        </w:rPr>
        <w:t xml:space="preserve"> </w:t>
      </w:r>
      <w:r w:rsidR="004C0381" w:rsidRPr="004875CB">
        <w:rPr>
          <w:szCs w:val="24"/>
        </w:rPr>
        <w:t>"sabiedrība "</w:t>
      </w:r>
      <w:proofErr w:type="spellStart"/>
      <w:r w:rsidR="004C0381" w:rsidRPr="004875CB">
        <w:rPr>
          <w:szCs w:val="24"/>
        </w:rPr>
        <w:t>Altum</w:t>
      </w:r>
      <w:proofErr w:type="spellEnd"/>
      <w:r w:rsidR="004C0381" w:rsidRPr="004875CB">
        <w:rPr>
          <w:szCs w:val="24"/>
        </w:rPr>
        <w:t>"" (attiecīgā locījumā) ar vārdiem "privatizācijas sertifikātu kontu turētājs" (attiecīgā locījumā)</w:t>
      </w:r>
      <w:r w:rsidR="004C0381">
        <w:rPr>
          <w:szCs w:val="24"/>
        </w:rPr>
        <w:t>.</w:t>
      </w:r>
    </w:p>
    <w:p w14:paraId="53697147" w14:textId="77777777" w:rsidR="004C0381" w:rsidRDefault="004C0381" w:rsidP="004875CB">
      <w:pPr>
        <w:ind w:firstLine="709"/>
        <w:jc w:val="both"/>
        <w:rPr>
          <w:szCs w:val="24"/>
        </w:rPr>
      </w:pPr>
    </w:p>
    <w:p w14:paraId="0F2BA070" w14:textId="2119B27D" w:rsidR="004C0381" w:rsidRDefault="004C0381" w:rsidP="004875CB">
      <w:pPr>
        <w:ind w:firstLine="709"/>
        <w:jc w:val="both"/>
        <w:rPr>
          <w:szCs w:val="24"/>
        </w:rPr>
      </w:pPr>
      <w:r>
        <w:rPr>
          <w:szCs w:val="24"/>
        </w:rPr>
        <w:t xml:space="preserve">3. Izteikt </w:t>
      </w:r>
      <w:r w:rsidR="00454366">
        <w:rPr>
          <w:szCs w:val="24"/>
        </w:rPr>
        <w:t>19. punktu šādā redakcijā:</w:t>
      </w:r>
    </w:p>
    <w:p w14:paraId="31624F31" w14:textId="77777777" w:rsidR="00454366" w:rsidRPr="00454366" w:rsidRDefault="00454366" w:rsidP="004875CB">
      <w:pPr>
        <w:ind w:firstLine="709"/>
        <w:jc w:val="both"/>
        <w:rPr>
          <w:shd w:val="clear" w:color="auto" w:fill="FFFFFF"/>
        </w:rPr>
      </w:pPr>
    </w:p>
    <w:p w14:paraId="0CAE9869" w14:textId="71A5CE68" w:rsidR="00454366" w:rsidRPr="00454366" w:rsidRDefault="00454366" w:rsidP="004875CB">
      <w:pPr>
        <w:ind w:firstLine="709"/>
        <w:jc w:val="both"/>
        <w:rPr>
          <w:szCs w:val="24"/>
        </w:rPr>
      </w:pPr>
      <w:r w:rsidRPr="00454366">
        <w:rPr>
          <w:shd w:val="clear" w:color="auto" w:fill="FFFFFF"/>
        </w:rPr>
        <w:t xml:space="preserve">"19. </w:t>
      </w:r>
      <w:r w:rsidRPr="00454366">
        <w:rPr>
          <w:szCs w:val="24"/>
        </w:rPr>
        <w:t>Privatizācijas sertifikātu kontu turētājs</w:t>
      </w:r>
      <w:r w:rsidRPr="00454366">
        <w:rPr>
          <w:shd w:val="clear" w:color="auto" w:fill="FFFFFF"/>
        </w:rPr>
        <w:t xml:space="preserve"> dzēš pārskaitītos privatizācijas sertifikātus pēc tam, kad saņēmis privatizācijas komisijas paziņojumu par pirkuma līguma noslēgšanu ar privatizācijas objekta pircēju.</w:t>
      </w:r>
      <w:r>
        <w:rPr>
          <w:shd w:val="clear" w:color="auto" w:fill="FFFFFF"/>
        </w:rPr>
        <w:t>"</w:t>
      </w:r>
    </w:p>
    <w:p w14:paraId="378525A1" w14:textId="77777777" w:rsidR="00454366" w:rsidRDefault="00454366" w:rsidP="004875CB">
      <w:pPr>
        <w:ind w:firstLine="709"/>
        <w:jc w:val="both"/>
        <w:rPr>
          <w:szCs w:val="24"/>
        </w:rPr>
      </w:pPr>
    </w:p>
    <w:p w14:paraId="0BFFD254" w14:textId="2A1CE1B2" w:rsidR="00771573" w:rsidRPr="004875CB" w:rsidRDefault="00454366" w:rsidP="004875CB">
      <w:pPr>
        <w:ind w:firstLine="709"/>
        <w:jc w:val="both"/>
        <w:rPr>
          <w:szCs w:val="24"/>
        </w:rPr>
      </w:pPr>
      <w:r>
        <w:rPr>
          <w:szCs w:val="24"/>
        </w:rPr>
        <w:t xml:space="preserve">4. </w:t>
      </w:r>
      <w:r w:rsidRPr="004875CB">
        <w:rPr>
          <w:szCs w:val="24"/>
        </w:rPr>
        <w:t>Ai</w:t>
      </w:r>
      <w:r>
        <w:rPr>
          <w:szCs w:val="24"/>
        </w:rPr>
        <w:t>zstāt</w:t>
      </w:r>
      <w:r w:rsidRPr="004875CB">
        <w:rPr>
          <w:szCs w:val="24"/>
        </w:rPr>
        <w:t xml:space="preserve"> </w:t>
      </w:r>
      <w:r w:rsidR="00771573" w:rsidRPr="004875CB">
        <w:rPr>
          <w:szCs w:val="24"/>
        </w:rPr>
        <w:t>21., 24., 25., 26., 32. un 34</w:t>
      </w:r>
      <w:r w:rsidR="004875CB" w:rsidRPr="004875CB">
        <w:rPr>
          <w:szCs w:val="24"/>
        </w:rPr>
        <w:t>. p</w:t>
      </w:r>
      <w:r w:rsidR="00771573" w:rsidRPr="004875CB">
        <w:rPr>
          <w:szCs w:val="24"/>
        </w:rPr>
        <w:t xml:space="preserve">unktā vārdus </w:t>
      </w:r>
      <w:r w:rsidR="004875CB" w:rsidRPr="004875CB">
        <w:rPr>
          <w:szCs w:val="24"/>
        </w:rPr>
        <w:t>"</w:t>
      </w:r>
      <w:r w:rsidR="00771573" w:rsidRPr="004875CB">
        <w:rPr>
          <w:szCs w:val="24"/>
        </w:rPr>
        <w:t xml:space="preserve">sabiedrība </w:t>
      </w:r>
      <w:r w:rsidR="004875CB" w:rsidRPr="004875CB">
        <w:rPr>
          <w:szCs w:val="24"/>
        </w:rPr>
        <w:t>"</w:t>
      </w:r>
      <w:proofErr w:type="spellStart"/>
      <w:r w:rsidR="00771573" w:rsidRPr="004875CB">
        <w:rPr>
          <w:szCs w:val="24"/>
        </w:rPr>
        <w:t>Altum</w:t>
      </w:r>
      <w:proofErr w:type="spellEnd"/>
      <w:r w:rsidR="004875CB" w:rsidRPr="004875CB">
        <w:rPr>
          <w:szCs w:val="24"/>
        </w:rPr>
        <w:t>""</w:t>
      </w:r>
      <w:r w:rsidR="00771573" w:rsidRPr="004875CB">
        <w:rPr>
          <w:szCs w:val="24"/>
        </w:rPr>
        <w:t xml:space="preserve"> </w:t>
      </w:r>
      <w:r w:rsidR="000C3510" w:rsidRPr="004875CB">
        <w:rPr>
          <w:szCs w:val="24"/>
        </w:rPr>
        <w:t xml:space="preserve">(attiecīgā locījumā) </w:t>
      </w:r>
      <w:r w:rsidR="00771573" w:rsidRPr="004875CB">
        <w:rPr>
          <w:szCs w:val="24"/>
        </w:rPr>
        <w:t xml:space="preserve">ar vārdiem </w:t>
      </w:r>
      <w:r w:rsidR="004875CB" w:rsidRPr="004875CB">
        <w:rPr>
          <w:szCs w:val="24"/>
        </w:rPr>
        <w:t>"</w:t>
      </w:r>
      <w:r w:rsidR="00771573" w:rsidRPr="004875CB">
        <w:rPr>
          <w:szCs w:val="24"/>
        </w:rPr>
        <w:t>privatizācijas sertifikātu kontu turētājs</w:t>
      </w:r>
      <w:r w:rsidR="004875CB" w:rsidRPr="004875CB">
        <w:rPr>
          <w:szCs w:val="24"/>
        </w:rPr>
        <w:t>"</w:t>
      </w:r>
      <w:r w:rsidR="00A56C6F" w:rsidRPr="004875CB">
        <w:rPr>
          <w:szCs w:val="24"/>
        </w:rPr>
        <w:t xml:space="preserve"> (</w:t>
      </w:r>
      <w:r w:rsidR="00771573" w:rsidRPr="004875CB">
        <w:rPr>
          <w:szCs w:val="24"/>
        </w:rPr>
        <w:t>attiecīgā locījumā</w:t>
      </w:r>
      <w:r w:rsidR="00A56C6F" w:rsidRPr="004875CB">
        <w:rPr>
          <w:szCs w:val="24"/>
        </w:rPr>
        <w:t>)</w:t>
      </w:r>
      <w:r w:rsidR="000E16D8">
        <w:rPr>
          <w:szCs w:val="24"/>
        </w:rPr>
        <w:t>.</w:t>
      </w:r>
      <w:r>
        <w:rPr>
          <w:szCs w:val="24"/>
        </w:rPr>
        <w:t xml:space="preserve"> </w:t>
      </w:r>
    </w:p>
    <w:p w14:paraId="0BFFD255" w14:textId="77777777" w:rsidR="00014C71" w:rsidRPr="009801B6" w:rsidRDefault="00014C71" w:rsidP="004875CB">
      <w:pPr>
        <w:pStyle w:val="ListParagraph"/>
        <w:ind w:left="0" w:firstLine="709"/>
        <w:rPr>
          <w:szCs w:val="24"/>
        </w:rPr>
      </w:pPr>
    </w:p>
    <w:p w14:paraId="0BFFD256" w14:textId="17A2639E" w:rsidR="00014C71" w:rsidRPr="004875CB" w:rsidRDefault="00454366" w:rsidP="004875CB">
      <w:pPr>
        <w:ind w:firstLine="709"/>
        <w:jc w:val="both"/>
        <w:rPr>
          <w:szCs w:val="24"/>
        </w:rPr>
      </w:pPr>
      <w:r>
        <w:rPr>
          <w:szCs w:val="24"/>
        </w:rPr>
        <w:t>5</w:t>
      </w:r>
      <w:r w:rsidR="004875CB">
        <w:rPr>
          <w:szCs w:val="24"/>
        </w:rPr>
        <w:t>. </w:t>
      </w:r>
      <w:r w:rsidR="00E874E8" w:rsidRPr="004875CB">
        <w:rPr>
          <w:szCs w:val="24"/>
        </w:rPr>
        <w:t>I</w:t>
      </w:r>
      <w:r w:rsidR="00014C71" w:rsidRPr="004875CB">
        <w:rPr>
          <w:szCs w:val="24"/>
        </w:rPr>
        <w:t>zteikt 36</w:t>
      </w:r>
      <w:r w:rsidR="004875CB" w:rsidRPr="004875CB">
        <w:rPr>
          <w:szCs w:val="24"/>
        </w:rPr>
        <w:t>. p</w:t>
      </w:r>
      <w:r w:rsidR="00014C71" w:rsidRPr="004875CB">
        <w:rPr>
          <w:szCs w:val="24"/>
        </w:rPr>
        <w:t>unktu šādā redakcijā:</w:t>
      </w:r>
    </w:p>
    <w:p w14:paraId="03B340DD" w14:textId="77777777" w:rsidR="004875CB" w:rsidRDefault="004875CB" w:rsidP="00507551">
      <w:pPr>
        <w:ind w:firstLine="709"/>
        <w:jc w:val="both"/>
      </w:pPr>
    </w:p>
    <w:p w14:paraId="0BFFD257" w14:textId="4623E666" w:rsidR="00014C71" w:rsidRPr="009801B6" w:rsidRDefault="004875CB" w:rsidP="00507551">
      <w:pPr>
        <w:ind w:firstLine="709"/>
        <w:jc w:val="both"/>
      </w:pPr>
      <w:r>
        <w:t>"</w:t>
      </w:r>
      <w:r w:rsidR="006B0E1C" w:rsidRPr="009801B6">
        <w:t>36.</w:t>
      </w:r>
      <w:r w:rsidR="006216DD">
        <w:t> </w:t>
      </w:r>
      <w:r w:rsidR="00014C71" w:rsidRPr="009801B6">
        <w:t>Privatizācijas sertifikātu kontu turētājs, saņemot privatizācijas komisijas pieprasījumu, kurā norādīts privatizācijas objekta identifikācijas numurs un pircējs, sniedz informāciju par pircēj</w:t>
      </w:r>
      <w:r w:rsidR="00454366">
        <w:t>a</w:t>
      </w:r>
      <w:r w:rsidR="00014C71" w:rsidRPr="009801B6">
        <w:t xml:space="preserve"> veiktajiem maksājumiem par privatizācijas objektiem. Izdevumus, kas privatizācijas sertifikātu kontu turētājam rodas saistībā ar informācijas sniegšanu, sedz privatizācijas komisija, kura informāciju pieprasījusi.</w:t>
      </w:r>
      <w:r>
        <w:t>"</w:t>
      </w:r>
      <w:r w:rsidR="00014C71" w:rsidRPr="009801B6">
        <w:t xml:space="preserve"> </w:t>
      </w:r>
    </w:p>
    <w:p w14:paraId="25676847" w14:textId="77777777" w:rsidR="00507551" w:rsidRDefault="00507551" w:rsidP="00507551">
      <w:pPr>
        <w:ind w:firstLine="426"/>
        <w:jc w:val="both"/>
        <w:rPr>
          <w:szCs w:val="24"/>
        </w:rPr>
      </w:pPr>
    </w:p>
    <w:p w14:paraId="0BFFD259" w14:textId="2C729B97" w:rsidR="0086572B" w:rsidRDefault="00454366" w:rsidP="00507551">
      <w:pPr>
        <w:ind w:firstLine="709"/>
        <w:jc w:val="both"/>
        <w:rPr>
          <w:szCs w:val="24"/>
        </w:rPr>
      </w:pPr>
      <w:r>
        <w:rPr>
          <w:szCs w:val="24"/>
        </w:rPr>
        <w:t>6</w:t>
      </w:r>
      <w:r w:rsidR="004875CB">
        <w:rPr>
          <w:szCs w:val="24"/>
        </w:rPr>
        <w:t>. </w:t>
      </w:r>
      <w:r w:rsidR="00E874E8" w:rsidRPr="004875CB">
        <w:rPr>
          <w:szCs w:val="24"/>
        </w:rPr>
        <w:t>I</w:t>
      </w:r>
      <w:r w:rsidR="0086572B" w:rsidRPr="004875CB">
        <w:rPr>
          <w:szCs w:val="24"/>
        </w:rPr>
        <w:t>zteikt pielikuma 3</w:t>
      </w:r>
      <w:r w:rsidR="004875CB" w:rsidRPr="004875CB">
        <w:rPr>
          <w:szCs w:val="24"/>
        </w:rPr>
        <w:t>. p</w:t>
      </w:r>
      <w:r w:rsidR="0086572B" w:rsidRPr="004875CB">
        <w:rPr>
          <w:szCs w:val="24"/>
        </w:rPr>
        <w:t>unktu šādā redakcijā:</w:t>
      </w:r>
    </w:p>
    <w:p w14:paraId="2F1B1DEF" w14:textId="77777777" w:rsidR="00454366" w:rsidRDefault="00454366" w:rsidP="00507551">
      <w:pPr>
        <w:ind w:firstLine="709"/>
        <w:jc w:val="both"/>
        <w:rPr>
          <w:szCs w:val="24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22"/>
        <w:gridCol w:w="354"/>
        <w:gridCol w:w="1276"/>
        <w:gridCol w:w="283"/>
        <w:gridCol w:w="1701"/>
        <w:gridCol w:w="1134"/>
        <w:gridCol w:w="142"/>
        <w:gridCol w:w="1524"/>
        <w:gridCol w:w="35"/>
      </w:tblGrid>
      <w:tr w:rsidR="00454366" w:rsidRPr="00F2032A" w14:paraId="36A78C75" w14:textId="77777777" w:rsidTr="00907CFB">
        <w:tc>
          <w:tcPr>
            <w:tcW w:w="2873" w:type="dxa"/>
            <w:gridSpan w:val="2"/>
          </w:tcPr>
          <w:p w14:paraId="41C3201D" w14:textId="77777777" w:rsidR="00454366" w:rsidRPr="00F2032A" w:rsidRDefault="00454366" w:rsidP="0045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2A">
              <w:rPr>
                <w:rFonts w:ascii="Times New Roman" w:hAnsi="Times New Roman" w:cs="Times New Roman"/>
                <w:sz w:val="24"/>
                <w:szCs w:val="24"/>
              </w:rPr>
              <w:t xml:space="preserve">"3.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Pircējs</w:t>
            </w:r>
            <w:r w:rsidRPr="00F2032A">
              <w:rPr>
                <w:rFonts w:ascii="Times New Roman" w:hAnsi="Times New Roman" w:cs="Times New Roman"/>
                <w:sz w:val="24"/>
                <w:szCs w:val="24"/>
              </w:rPr>
              <w:t xml:space="preserve"> ir iemaksājis</w:t>
            </w:r>
          </w:p>
        </w:tc>
        <w:tc>
          <w:tcPr>
            <w:tcW w:w="4890" w:type="dxa"/>
            <w:gridSpan w:val="6"/>
            <w:tcBorders>
              <w:bottom w:val="single" w:sz="4" w:space="0" w:color="auto"/>
            </w:tcBorders>
          </w:tcPr>
          <w:p w14:paraId="75B3CB7A" w14:textId="77777777" w:rsidR="00454366" w:rsidRPr="00F2032A" w:rsidRDefault="00454366" w:rsidP="0045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0D920A73" w14:textId="77777777" w:rsidR="00454366" w:rsidRPr="00F2032A" w:rsidRDefault="00454366" w:rsidP="004543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2032A">
              <w:rPr>
                <w:rFonts w:ascii="Times New Roman" w:hAnsi="Times New Roman" w:cs="Times New Roman"/>
                <w:sz w:val="24"/>
                <w:szCs w:val="24"/>
              </w:rPr>
              <w:t>norādītajā</w:t>
            </w:r>
          </w:p>
        </w:tc>
      </w:tr>
      <w:tr w:rsidR="00454366" w:rsidRPr="00F2032A" w14:paraId="62FD3426" w14:textId="77777777" w:rsidTr="00907CFB">
        <w:tc>
          <w:tcPr>
            <w:tcW w:w="2873" w:type="dxa"/>
            <w:gridSpan w:val="2"/>
          </w:tcPr>
          <w:p w14:paraId="54C44490" w14:textId="77777777" w:rsidR="00454366" w:rsidRPr="00F2032A" w:rsidRDefault="00454366" w:rsidP="0045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6"/>
            <w:tcBorders>
              <w:top w:val="single" w:sz="4" w:space="0" w:color="auto"/>
            </w:tcBorders>
          </w:tcPr>
          <w:p w14:paraId="08871CE9" w14:textId="77777777" w:rsidR="00454366" w:rsidRPr="00507551" w:rsidRDefault="00454366" w:rsidP="004541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551">
              <w:rPr>
                <w:rFonts w:ascii="Times New Roman" w:hAnsi="Times New Roman" w:cs="Times New Roman"/>
                <w:sz w:val="20"/>
                <w:szCs w:val="20"/>
              </w:rPr>
              <w:t>(privatizācijas komisijas nosaukums)</w:t>
            </w:r>
          </w:p>
        </w:tc>
        <w:tc>
          <w:tcPr>
            <w:tcW w:w="1559" w:type="dxa"/>
            <w:gridSpan w:val="2"/>
          </w:tcPr>
          <w:p w14:paraId="426CCCE5" w14:textId="77777777" w:rsidR="00454366" w:rsidRPr="00F2032A" w:rsidRDefault="00454366" w:rsidP="004541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CFB" w14:paraId="15CE796F" w14:textId="77777777" w:rsidTr="006216DD">
        <w:tc>
          <w:tcPr>
            <w:tcW w:w="1951" w:type="dxa"/>
          </w:tcPr>
          <w:p w14:paraId="6A4A1C7E" w14:textId="5FD5D422" w:rsidR="00454366" w:rsidRDefault="00907CFB" w:rsidP="00507551">
            <w:pPr>
              <w:jc w:val="both"/>
              <w:rPr>
                <w:szCs w:val="24"/>
              </w:rPr>
            </w:pPr>
            <w:r w:rsidRPr="00F2032A">
              <w:rPr>
                <w:rFonts w:ascii="Times New Roman" w:hAnsi="Times New Roman" w:cs="Times New Roman"/>
                <w:sz w:val="24"/>
                <w:szCs w:val="24"/>
              </w:rPr>
              <w:t>naudas kontā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3833F999" w14:textId="77777777" w:rsidR="00454366" w:rsidRDefault="00454366" w:rsidP="00507551">
            <w:pPr>
              <w:jc w:val="both"/>
              <w:rPr>
                <w:szCs w:val="24"/>
              </w:rPr>
            </w:pPr>
          </w:p>
        </w:tc>
        <w:tc>
          <w:tcPr>
            <w:tcW w:w="283" w:type="dxa"/>
          </w:tcPr>
          <w:p w14:paraId="3CFB24AB" w14:textId="77777777" w:rsidR="00454366" w:rsidRDefault="00454366" w:rsidP="00507551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BA95E8" w14:textId="77777777" w:rsidR="00454366" w:rsidRDefault="00454366" w:rsidP="00507551">
            <w:pPr>
              <w:jc w:val="both"/>
              <w:rPr>
                <w:szCs w:val="24"/>
              </w:rPr>
            </w:pPr>
          </w:p>
        </w:tc>
        <w:tc>
          <w:tcPr>
            <w:tcW w:w="2835" w:type="dxa"/>
            <w:gridSpan w:val="4"/>
          </w:tcPr>
          <w:p w14:paraId="56159A54" w14:textId="17627169" w:rsidR="00454366" w:rsidRDefault="00907CFB" w:rsidP="00907CFB">
            <w:pPr>
              <w:jc w:val="right"/>
              <w:rPr>
                <w:szCs w:val="24"/>
              </w:rPr>
            </w:pPr>
            <w:proofErr w:type="spellStart"/>
            <w:r w:rsidRPr="00F2032A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F2032A">
              <w:rPr>
                <w:rFonts w:ascii="Times New Roman" w:hAnsi="Times New Roman" w:cs="Times New Roman"/>
                <w:sz w:val="24"/>
                <w:szCs w:val="24"/>
              </w:rPr>
              <w:t xml:space="preserve"> un akciju sabiedrības</w:t>
            </w:r>
          </w:p>
        </w:tc>
      </w:tr>
      <w:tr w:rsidR="00907CFB" w:rsidRPr="00907CFB" w14:paraId="2F22C2DB" w14:textId="77777777" w:rsidTr="006216DD">
        <w:tc>
          <w:tcPr>
            <w:tcW w:w="1951" w:type="dxa"/>
          </w:tcPr>
          <w:p w14:paraId="2D1566E6" w14:textId="77777777" w:rsidR="00454366" w:rsidRPr="00907CFB" w:rsidRDefault="00454366" w:rsidP="005075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14:paraId="29195BA6" w14:textId="77777777" w:rsidR="00454366" w:rsidRPr="00907CFB" w:rsidRDefault="00454366" w:rsidP="005075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14:paraId="4CDDBDD4" w14:textId="77777777" w:rsidR="00454366" w:rsidRPr="00907CFB" w:rsidRDefault="00454366" w:rsidP="005075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1C855A4" w14:textId="77777777" w:rsidR="00454366" w:rsidRPr="00907CFB" w:rsidRDefault="00454366" w:rsidP="005075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4"/>
          </w:tcPr>
          <w:p w14:paraId="2D8A5670" w14:textId="77777777" w:rsidR="00454366" w:rsidRPr="00907CFB" w:rsidRDefault="00454366" w:rsidP="00507551">
            <w:pPr>
              <w:jc w:val="both"/>
              <w:rPr>
                <w:sz w:val="16"/>
                <w:szCs w:val="16"/>
              </w:rPr>
            </w:pPr>
          </w:p>
        </w:tc>
      </w:tr>
      <w:tr w:rsidR="00907CFB" w:rsidRPr="00907CFB" w14:paraId="11A399A3" w14:textId="77777777" w:rsidTr="006216DD">
        <w:trPr>
          <w:gridAfter w:val="1"/>
          <w:wAfter w:w="35" w:type="dxa"/>
        </w:trPr>
        <w:tc>
          <w:tcPr>
            <w:tcW w:w="9287" w:type="dxa"/>
            <w:gridSpan w:val="9"/>
          </w:tcPr>
          <w:p w14:paraId="6AAD33A8" w14:textId="5C9251C9" w:rsidR="00907CFB" w:rsidRPr="00907CFB" w:rsidRDefault="00907CFB" w:rsidP="00907CFB">
            <w:pPr>
              <w:jc w:val="both"/>
              <w:rPr>
                <w:sz w:val="24"/>
                <w:szCs w:val="24"/>
              </w:rPr>
            </w:pPr>
            <w:r w:rsidRPr="00F2032A">
              <w:rPr>
                <w:rFonts w:ascii="Times New Roman" w:hAnsi="Times New Roman" w:cs="Times New Roman"/>
                <w:sz w:val="24"/>
                <w:szCs w:val="24"/>
              </w:rPr>
              <w:t xml:space="preserve">"Attīstības finanšu institūcija </w:t>
            </w:r>
            <w:proofErr w:type="spellStart"/>
            <w:r w:rsidRPr="00F2032A">
              <w:rPr>
                <w:rFonts w:ascii="Times New Roman" w:hAnsi="Times New Roman" w:cs="Times New Roman"/>
                <w:sz w:val="24"/>
                <w:szCs w:val="24"/>
              </w:rPr>
              <w:t>Altum</w:t>
            </w:r>
            <w:proofErr w:type="spellEnd"/>
            <w:r w:rsidRPr="00F2032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gramStart"/>
            <w:r w:rsidRPr="004543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proofErr w:type="gramEnd"/>
            <w:r w:rsidRPr="004543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vienotais reģistrācijas numurs 50103744891,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543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</w:t>
            </w:r>
          </w:p>
        </w:tc>
      </w:tr>
      <w:tr w:rsidR="00907CFB" w:rsidRPr="00907CFB" w14:paraId="5DCF68CA" w14:textId="77777777" w:rsidTr="006216DD">
        <w:trPr>
          <w:gridAfter w:val="1"/>
          <w:wAfter w:w="35" w:type="dxa"/>
        </w:trPr>
        <w:tc>
          <w:tcPr>
            <w:tcW w:w="7621" w:type="dxa"/>
            <w:gridSpan w:val="7"/>
          </w:tcPr>
          <w:p w14:paraId="4C49C161" w14:textId="7CE54C27" w:rsidR="00907CFB" w:rsidRPr="00907CFB" w:rsidRDefault="00907CFB" w:rsidP="00507551">
            <w:pPr>
              <w:jc w:val="both"/>
              <w:rPr>
                <w:sz w:val="24"/>
                <w:szCs w:val="24"/>
              </w:rPr>
            </w:pPr>
            <w:r w:rsidRPr="0045436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 – Doma laukums 4, Rīga, LV-1050)</w:t>
            </w:r>
            <w:r w:rsidRPr="0045436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Pr="00F2032A">
              <w:rPr>
                <w:rFonts w:ascii="Times New Roman" w:hAnsi="Times New Roman" w:cs="Times New Roman"/>
                <w:sz w:val="24"/>
                <w:szCs w:val="24"/>
              </w:rPr>
              <w:t>sertifikātu uzkrāšanas kontā Nr.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</w:tcPr>
          <w:p w14:paraId="448C84CC" w14:textId="77777777" w:rsidR="00907CFB" w:rsidRPr="00907CFB" w:rsidRDefault="00907CFB" w:rsidP="00507551">
            <w:pPr>
              <w:jc w:val="both"/>
              <w:rPr>
                <w:sz w:val="24"/>
                <w:szCs w:val="24"/>
              </w:rPr>
            </w:pPr>
          </w:p>
        </w:tc>
      </w:tr>
      <w:tr w:rsidR="00907CFB" w:rsidRPr="00907CFB" w14:paraId="53BAC6C8" w14:textId="77777777" w:rsidTr="006216DD">
        <w:trPr>
          <w:gridAfter w:val="1"/>
          <w:wAfter w:w="35" w:type="dxa"/>
        </w:trPr>
        <w:tc>
          <w:tcPr>
            <w:tcW w:w="7621" w:type="dxa"/>
            <w:gridSpan w:val="7"/>
          </w:tcPr>
          <w:p w14:paraId="0EEC7582" w14:textId="77777777" w:rsidR="00907CFB" w:rsidRPr="00907CFB" w:rsidRDefault="00907CFB" w:rsidP="005075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</w:tcBorders>
          </w:tcPr>
          <w:p w14:paraId="2064BD31" w14:textId="77777777" w:rsidR="00907CFB" w:rsidRPr="00907CFB" w:rsidRDefault="00907CFB" w:rsidP="00507551">
            <w:pPr>
              <w:jc w:val="both"/>
              <w:rPr>
                <w:sz w:val="16"/>
                <w:szCs w:val="16"/>
              </w:rPr>
            </w:pPr>
          </w:p>
        </w:tc>
      </w:tr>
      <w:tr w:rsidR="00F2032A" w:rsidRPr="00F2032A" w14:paraId="5B553DCF" w14:textId="77777777" w:rsidTr="00621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32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99D74" w14:textId="77777777" w:rsidR="00F2032A" w:rsidRPr="00F2032A" w:rsidRDefault="00F2032A" w:rsidP="005566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6A47E6" w14:textId="3EBA5CAE" w:rsidR="00F2032A" w:rsidRPr="00F2032A" w:rsidRDefault="00F2032A" w:rsidP="00F20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32A">
              <w:rPr>
                <w:rFonts w:ascii="Times New Roman" w:hAnsi="Times New Roman" w:cs="Times New Roman"/>
                <w:sz w:val="24"/>
                <w:szCs w:val="24"/>
              </w:rPr>
              <w:t xml:space="preserve">privatizācijas (kompensācijas) sertifikātus,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t</w:t>
            </w:r>
            <w:r w:rsidRPr="00F2032A">
              <w:rPr>
                <w:rFonts w:ascii="Times New Roman" w:hAnsi="Times New Roman" w:cs="Times New Roman"/>
                <w:sz w:val="24"/>
                <w:szCs w:val="24"/>
              </w:rPr>
              <w:t>o apliecina</w:t>
            </w:r>
          </w:p>
        </w:tc>
      </w:tr>
      <w:tr w:rsidR="00F2032A" w:rsidRPr="00507551" w14:paraId="6D7ED5E5" w14:textId="77777777" w:rsidTr="006216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dxa"/>
        </w:trPr>
        <w:tc>
          <w:tcPr>
            <w:tcW w:w="3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126C2" w14:textId="77777777" w:rsidR="00F2032A" w:rsidRPr="00507551" w:rsidRDefault="00F2032A" w:rsidP="005566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A8C448" w14:textId="77777777" w:rsidR="00F2032A" w:rsidRPr="00507551" w:rsidRDefault="00F2032A" w:rsidP="005566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5E0A6EE" w14:textId="761D02C4" w:rsidR="00F2032A" w:rsidRPr="00935949" w:rsidRDefault="00507551" w:rsidP="00F2032A">
      <w:pPr>
        <w:jc w:val="both"/>
        <w:rPr>
          <w:szCs w:val="24"/>
        </w:rPr>
      </w:pPr>
      <w:r w:rsidRPr="00507551">
        <w:rPr>
          <w:sz w:val="24"/>
          <w:szCs w:val="24"/>
        </w:rPr>
        <w:t xml:space="preserve">līgumam pievienotais </w:t>
      </w:r>
      <w:r w:rsidR="00F2032A" w:rsidRPr="00507551">
        <w:rPr>
          <w:sz w:val="24"/>
          <w:szCs w:val="24"/>
        </w:rPr>
        <w:t>akciju sabiedrības "Attīstības finanšu i</w:t>
      </w:r>
      <w:r w:rsidRPr="00507551">
        <w:rPr>
          <w:sz w:val="24"/>
          <w:szCs w:val="24"/>
        </w:rPr>
        <w:t xml:space="preserve">nstitūcija </w:t>
      </w:r>
      <w:proofErr w:type="spellStart"/>
      <w:r w:rsidRPr="00507551">
        <w:rPr>
          <w:sz w:val="24"/>
          <w:szCs w:val="24"/>
        </w:rPr>
        <w:t>Altum</w:t>
      </w:r>
      <w:proofErr w:type="spellEnd"/>
      <w:r w:rsidRPr="00507551">
        <w:rPr>
          <w:sz w:val="24"/>
          <w:szCs w:val="24"/>
        </w:rPr>
        <w:t>" apliecinājums</w:t>
      </w:r>
      <w:r w:rsidR="00F2032A" w:rsidRPr="00507551">
        <w:rPr>
          <w:sz w:val="24"/>
          <w:szCs w:val="24"/>
        </w:rPr>
        <w:t>."</w:t>
      </w:r>
    </w:p>
    <w:p w14:paraId="75CE4291" w14:textId="77777777" w:rsidR="004875CB" w:rsidRDefault="004875CB" w:rsidP="004875CB">
      <w:pPr>
        <w:tabs>
          <w:tab w:val="left" w:pos="6096"/>
        </w:tabs>
        <w:ind w:firstLine="709"/>
        <w:rPr>
          <w:rFonts w:eastAsia="Times New Roman"/>
          <w:szCs w:val="28"/>
          <w:lang w:eastAsia="lv-LV"/>
        </w:rPr>
      </w:pPr>
    </w:p>
    <w:p w14:paraId="04DCB7CE" w14:textId="77777777" w:rsidR="004875CB" w:rsidRDefault="004875CB" w:rsidP="004875CB">
      <w:pPr>
        <w:tabs>
          <w:tab w:val="left" w:pos="6096"/>
        </w:tabs>
        <w:ind w:firstLine="709"/>
        <w:rPr>
          <w:rFonts w:eastAsia="Times New Roman"/>
          <w:szCs w:val="28"/>
          <w:lang w:eastAsia="lv-LV"/>
        </w:rPr>
      </w:pPr>
    </w:p>
    <w:p w14:paraId="33A78F51" w14:textId="77777777" w:rsidR="00507551" w:rsidRDefault="00507551" w:rsidP="004875CB">
      <w:pPr>
        <w:tabs>
          <w:tab w:val="left" w:pos="6096"/>
        </w:tabs>
        <w:ind w:firstLine="709"/>
        <w:rPr>
          <w:rFonts w:eastAsia="Times New Roman"/>
          <w:szCs w:val="28"/>
          <w:lang w:eastAsia="lv-LV"/>
        </w:rPr>
      </w:pPr>
    </w:p>
    <w:p w14:paraId="0BFFD261" w14:textId="669ABE5B" w:rsidR="00914CCF" w:rsidRPr="009801B6" w:rsidRDefault="00914CCF" w:rsidP="004875CB">
      <w:pPr>
        <w:tabs>
          <w:tab w:val="left" w:pos="6096"/>
        </w:tabs>
        <w:ind w:firstLine="709"/>
        <w:rPr>
          <w:rFonts w:eastAsia="Times New Roman"/>
          <w:szCs w:val="28"/>
          <w:lang w:eastAsia="lv-LV"/>
        </w:rPr>
      </w:pPr>
      <w:r w:rsidRPr="009801B6">
        <w:rPr>
          <w:rFonts w:eastAsia="Times New Roman"/>
          <w:szCs w:val="28"/>
          <w:lang w:eastAsia="lv-LV"/>
        </w:rPr>
        <w:t>Ministru prezidente</w:t>
      </w:r>
      <w:r w:rsidRPr="009801B6">
        <w:rPr>
          <w:rFonts w:eastAsia="Times New Roman"/>
          <w:szCs w:val="28"/>
          <w:lang w:eastAsia="lv-LV"/>
        </w:rPr>
        <w:tab/>
        <w:t>L</w:t>
      </w:r>
      <w:r w:rsidR="004875CB">
        <w:rPr>
          <w:rFonts w:eastAsia="Times New Roman"/>
          <w:szCs w:val="28"/>
          <w:lang w:eastAsia="lv-LV"/>
        </w:rPr>
        <w:t>aimdota S</w:t>
      </w:r>
      <w:r w:rsidRPr="009801B6">
        <w:rPr>
          <w:rFonts w:eastAsia="Times New Roman"/>
          <w:szCs w:val="28"/>
          <w:lang w:eastAsia="lv-LV"/>
        </w:rPr>
        <w:t>traujuma</w:t>
      </w:r>
    </w:p>
    <w:p w14:paraId="0BFFD262" w14:textId="77777777" w:rsidR="00EA5625" w:rsidRPr="009801B6" w:rsidRDefault="00EA5625" w:rsidP="004875CB">
      <w:pPr>
        <w:ind w:firstLine="709"/>
        <w:rPr>
          <w:rFonts w:eastAsia="Times New Roman"/>
          <w:szCs w:val="28"/>
          <w:lang w:eastAsia="lv-LV"/>
        </w:rPr>
      </w:pPr>
    </w:p>
    <w:p w14:paraId="0BFFD263" w14:textId="77777777" w:rsidR="00914CCF" w:rsidRDefault="00914CCF" w:rsidP="004875CB">
      <w:pPr>
        <w:ind w:firstLine="709"/>
        <w:rPr>
          <w:rFonts w:eastAsia="Times New Roman"/>
          <w:szCs w:val="28"/>
          <w:lang w:eastAsia="lv-LV"/>
        </w:rPr>
      </w:pPr>
    </w:p>
    <w:p w14:paraId="76D13CF8" w14:textId="77777777" w:rsidR="004875CB" w:rsidRPr="009801B6" w:rsidRDefault="004875CB" w:rsidP="004875CB">
      <w:pPr>
        <w:ind w:firstLine="709"/>
        <w:rPr>
          <w:rFonts w:eastAsia="Times New Roman"/>
          <w:szCs w:val="28"/>
          <w:lang w:eastAsia="lv-LV"/>
        </w:rPr>
      </w:pPr>
    </w:p>
    <w:p w14:paraId="0BFFD264" w14:textId="00848439" w:rsidR="00914CCF" w:rsidRPr="009801B6" w:rsidRDefault="00914CCF" w:rsidP="004875CB">
      <w:pPr>
        <w:tabs>
          <w:tab w:val="left" w:pos="6096"/>
        </w:tabs>
        <w:ind w:firstLine="709"/>
        <w:rPr>
          <w:rFonts w:eastAsia="Times New Roman"/>
          <w:szCs w:val="28"/>
          <w:lang w:eastAsia="lv-LV"/>
        </w:rPr>
      </w:pPr>
      <w:r w:rsidRPr="009801B6">
        <w:rPr>
          <w:rFonts w:eastAsia="Times New Roman"/>
          <w:szCs w:val="28"/>
          <w:lang w:eastAsia="lv-LV"/>
        </w:rPr>
        <w:t>Ekonomikas ministre</w:t>
      </w:r>
      <w:r w:rsidRPr="009801B6">
        <w:rPr>
          <w:rFonts w:eastAsia="Times New Roman"/>
          <w:szCs w:val="28"/>
          <w:lang w:eastAsia="lv-LV"/>
        </w:rPr>
        <w:tab/>
      </w:r>
      <w:r w:rsidR="004875CB">
        <w:rPr>
          <w:rFonts w:eastAsia="Times New Roman"/>
          <w:szCs w:val="28"/>
          <w:lang w:eastAsia="lv-LV"/>
        </w:rPr>
        <w:t>Dana Reizniece-</w:t>
      </w:r>
      <w:r w:rsidRPr="009801B6">
        <w:rPr>
          <w:rFonts w:eastAsia="Times New Roman"/>
          <w:szCs w:val="28"/>
          <w:lang w:eastAsia="lv-LV"/>
        </w:rPr>
        <w:t>Ozola</w:t>
      </w:r>
    </w:p>
    <w:sectPr w:rsidR="00914CCF" w:rsidRPr="009801B6" w:rsidSect="004875C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FD281" w14:textId="77777777" w:rsidR="00C43824" w:rsidRDefault="00C43824" w:rsidP="00E12645">
      <w:r>
        <w:separator/>
      </w:r>
    </w:p>
  </w:endnote>
  <w:endnote w:type="continuationSeparator" w:id="0">
    <w:p w14:paraId="0BFFD282" w14:textId="77777777" w:rsidR="00C43824" w:rsidRDefault="00C43824" w:rsidP="00E12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6874A" w14:textId="77777777" w:rsidR="004875CB" w:rsidRPr="004875CB" w:rsidRDefault="004875CB" w:rsidP="004875CB">
    <w:pPr>
      <w:pStyle w:val="Footer"/>
      <w:rPr>
        <w:sz w:val="16"/>
        <w:szCs w:val="16"/>
      </w:rPr>
    </w:pPr>
    <w:r w:rsidRPr="004875CB">
      <w:rPr>
        <w:sz w:val="16"/>
        <w:szCs w:val="16"/>
      </w:rPr>
      <w:t>N0976_5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86D68" w14:textId="613BBE48" w:rsidR="004875CB" w:rsidRPr="004875CB" w:rsidRDefault="004875CB">
    <w:pPr>
      <w:pStyle w:val="Footer"/>
      <w:rPr>
        <w:sz w:val="16"/>
        <w:szCs w:val="16"/>
      </w:rPr>
    </w:pPr>
    <w:r w:rsidRPr="004875CB">
      <w:rPr>
        <w:sz w:val="16"/>
        <w:szCs w:val="16"/>
      </w:rPr>
      <w:t>N0976_5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FD27F" w14:textId="77777777" w:rsidR="00C43824" w:rsidRDefault="00C43824" w:rsidP="00E12645">
      <w:r>
        <w:separator/>
      </w:r>
    </w:p>
  </w:footnote>
  <w:footnote w:type="continuationSeparator" w:id="0">
    <w:p w14:paraId="0BFFD280" w14:textId="77777777" w:rsidR="00C43824" w:rsidRDefault="00C43824" w:rsidP="00E12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1743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BFFD283" w14:textId="77777777" w:rsidR="008A71BC" w:rsidRDefault="008A71BC">
        <w:pPr>
          <w:pStyle w:val="Header"/>
          <w:jc w:val="center"/>
        </w:pPr>
        <w:r w:rsidRPr="006216DD">
          <w:rPr>
            <w:sz w:val="24"/>
            <w:szCs w:val="24"/>
          </w:rPr>
          <w:fldChar w:fldCharType="begin"/>
        </w:r>
        <w:r w:rsidRPr="006216DD">
          <w:rPr>
            <w:sz w:val="24"/>
            <w:szCs w:val="24"/>
          </w:rPr>
          <w:instrText xml:space="preserve"> PAGE   \* MERGEFORMAT </w:instrText>
        </w:r>
        <w:r w:rsidRPr="006216DD">
          <w:rPr>
            <w:sz w:val="24"/>
            <w:szCs w:val="24"/>
          </w:rPr>
          <w:fldChar w:fldCharType="separate"/>
        </w:r>
        <w:r w:rsidR="00AA128C">
          <w:rPr>
            <w:noProof/>
            <w:sz w:val="24"/>
            <w:szCs w:val="24"/>
          </w:rPr>
          <w:t>2</w:t>
        </w:r>
        <w:r w:rsidRPr="006216DD">
          <w:rPr>
            <w:noProof/>
            <w:sz w:val="24"/>
            <w:szCs w:val="24"/>
          </w:rPr>
          <w:fldChar w:fldCharType="end"/>
        </w:r>
      </w:p>
    </w:sdtContent>
  </w:sdt>
  <w:p w14:paraId="0BFFD284" w14:textId="77777777" w:rsidR="008A71BC" w:rsidRDefault="008A71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3B7F5" w14:textId="66E6CE79" w:rsidR="004875CB" w:rsidRDefault="004875CB" w:rsidP="004875CB">
    <w:pPr>
      <w:pStyle w:val="Header"/>
      <w:rPr>
        <w:rFonts w:cs="Times New Roman"/>
        <w:sz w:val="32"/>
      </w:rPr>
    </w:pPr>
  </w:p>
  <w:p w14:paraId="3F8BD492" w14:textId="6C0659DB" w:rsidR="004875CB" w:rsidRPr="004875CB" w:rsidRDefault="004875CB" w:rsidP="004875CB">
    <w:pPr>
      <w:pStyle w:val="Header"/>
      <w:rPr>
        <w:rFonts w:cs="Times New Roman"/>
        <w:sz w:val="32"/>
      </w:rPr>
    </w:pPr>
    <w:r>
      <w:rPr>
        <w:rFonts w:cs="Times New Roman"/>
        <w:noProof/>
        <w:sz w:val="32"/>
        <w:lang w:eastAsia="lv-LV"/>
      </w:rPr>
      <w:drawing>
        <wp:inline distT="0" distB="0" distL="0" distR="0" wp14:anchorId="1A87C421" wp14:editId="44E04D68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0091B"/>
    <w:multiLevelType w:val="hybridMultilevel"/>
    <w:tmpl w:val="5832DE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717EC"/>
    <w:multiLevelType w:val="multilevel"/>
    <w:tmpl w:val="E7F41B22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15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6" w:hanging="1800"/>
      </w:pPr>
      <w:rPr>
        <w:rFonts w:hint="default"/>
      </w:rPr>
    </w:lvl>
  </w:abstractNum>
  <w:abstractNum w:abstractNumId="2">
    <w:nsid w:val="4E5D0A51"/>
    <w:multiLevelType w:val="multilevel"/>
    <w:tmpl w:val="2B62D9C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A0"/>
    <w:rsid w:val="00014C71"/>
    <w:rsid w:val="000206EC"/>
    <w:rsid w:val="000435C1"/>
    <w:rsid w:val="00051D98"/>
    <w:rsid w:val="00062CD9"/>
    <w:rsid w:val="000800E4"/>
    <w:rsid w:val="0008754B"/>
    <w:rsid w:val="000950EF"/>
    <w:rsid w:val="000C3510"/>
    <w:rsid w:val="000C62DB"/>
    <w:rsid w:val="000E0D1E"/>
    <w:rsid w:val="000E16D8"/>
    <w:rsid w:val="000E5F36"/>
    <w:rsid w:val="000E7545"/>
    <w:rsid w:val="000F0824"/>
    <w:rsid w:val="001019A4"/>
    <w:rsid w:val="00103895"/>
    <w:rsid w:val="00124065"/>
    <w:rsid w:val="00126E04"/>
    <w:rsid w:val="00145350"/>
    <w:rsid w:val="001505C3"/>
    <w:rsid w:val="00174CBC"/>
    <w:rsid w:val="00192AF3"/>
    <w:rsid w:val="001A220F"/>
    <w:rsid w:val="001B2269"/>
    <w:rsid w:val="001C7A4D"/>
    <w:rsid w:val="001D7B0D"/>
    <w:rsid w:val="00206DD8"/>
    <w:rsid w:val="0022716C"/>
    <w:rsid w:val="00241395"/>
    <w:rsid w:val="002440FC"/>
    <w:rsid w:val="00247789"/>
    <w:rsid w:val="0025140F"/>
    <w:rsid w:val="00253E33"/>
    <w:rsid w:val="00254D01"/>
    <w:rsid w:val="00256A0C"/>
    <w:rsid w:val="00274B20"/>
    <w:rsid w:val="00282093"/>
    <w:rsid w:val="00283B2B"/>
    <w:rsid w:val="002A3410"/>
    <w:rsid w:val="002B1C31"/>
    <w:rsid w:val="002B2766"/>
    <w:rsid w:val="002B398C"/>
    <w:rsid w:val="002F22DA"/>
    <w:rsid w:val="00320642"/>
    <w:rsid w:val="0033011D"/>
    <w:rsid w:val="00331656"/>
    <w:rsid w:val="00341EB2"/>
    <w:rsid w:val="003467FF"/>
    <w:rsid w:val="003472BD"/>
    <w:rsid w:val="00370F74"/>
    <w:rsid w:val="003B55A4"/>
    <w:rsid w:val="003D29F7"/>
    <w:rsid w:val="003D3FAE"/>
    <w:rsid w:val="003E4B06"/>
    <w:rsid w:val="003F1633"/>
    <w:rsid w:val="003F4BA0"/>
    <w:rsid w:val="004271AF"/>
    <w:rsid w:val="00442B04"/>
    <w:rsid w:val="00454366"/>
    <w:rsid w:val="00472DA0"/>
    <w:rsid w:val="004875CB"/>
    <w:rsid w:val="004A4ECD"/>
    <w:rsid w:val="004C0381"/>
    <w:rsid w:val="004E0E7D"/>
    <w:rsid w:val="00507551"/>
    <w:rsid w:val="00537EF8"/>
    <w:rsid w:val="00555699"/>
    <w:rsid w:val="00562AE2"/>
    <w:rsid w:val="00582A22"/>
    <w:rsid w:val="00595CFE"/>
    <w:rsid w:val="005C18B2"/>
    <w:rsid w:val="005C1BD0"/>
    <w:rsid w:val="005E0F15"/>
    <w:rsid w:val="006216DD"/>
    <w:rsid w:val="00631FB8"/>
    <w:rsid w:val="00640A3F"/>
    <w:rsid w:val="00646935"/>
    <w:rsid w:val="00647C13"/>
    <w:rsid w:val="006509D7"/>
    <w:rsid w:val="00657368"/>
    <w:rsid w:val="006613FA"/>
    <w:rsid w:val="0066229D"/>
    <w:rsid w:val="00681703"/>
    <w:rsid w:val="006B0E1C"/>
    <w:rsid w:val="006B3CA2"/>
    <w:rsid w:val="006C5477"/>
    <w:rsid w:val="006E253B"/>
    <w:rsid w:val="00702725"/>
    <w:rsid w:val="007407E3"/>
    <w:rsid w:val="00746CF6"/>
    <w:rsid w:val="00771573"/>
    <w:rsid w:val="007802A2"/>
    <w:rsid w:val="00792AD7"/>
    <w:rsid w:val="007A4DF6"/>
    <w:rsid w:val="007C4B14"/>
    <w:rsid w:val="007F3547"/>
    <w:rsid w:val="0080288B"/>
    <w:rsid w:val="00803C30"/>
    <w:rsid w:val="00810FC0"/>
    <w:rsid w:val="0081584E"/>
    <w:rsid w:val="00831F23"/>
    <w:rsid w:val="008467CB"/>
    <w:rsid w:val="008641C2"/>
    <w:rsid w:val="0086572B"/>
    <w:rsid w:val="0087141E"/>
    <w:rsid w:val="00892611"/>
    <w:rsid w:val="008A71BC"/>
    <w:rsid w:val="008D1974"/>
    <w:rsid w:val="00903BCC"/>
    <w:rsid w:val="009050A8"/>
    <w:rsid w:val="00907CFB"/>
    <w:rsid w:val="00913E84"/>
    <w:rsid w:val="00914CCF"/>
    <w:rsid w:val="00930448"/>
    <w:rsid w:val="00951B95"/>
    <w:rsid w:val="0095374F"/>
    <w:rsid w:val="00963A32"/>
    <w:rsid w:val="009801B6"/>
    <w:rsid w:val="00994F41"/>
    <w:rsid w:val="009B0417"/>
    <w:rsid w:val="009C2336"/>
    <w:rsid w:val="009F48FC"/>
    <w:rsid w:val="00A40A8D"/>
    <w:rsid w:val="00A47A38"/>
    <w:rsid w:val="00A56C6F"/>
    <w:rsid w:val="00A74769"/>
    <w:rsid w:val="00A82A3B"/>
    <w:rsid w:val="00A956A2"/>
    <w:rsid w:val="00A971A8"/>
    <w:rsid w:val="00A97825"/>
    <w:rsid w:val="00AA128C"/>
    <w:rsid w:val="00AA44D6"/>
    <w:rsid w:val="00AC0B33"/>
    <w:rsid w:val="00AC7782"/>
    <w:rsid w:val="00AC79D2"/>
    <w:rsid w:val="00AD3F7C"/>
    <w:rsid w:val="00AE1D65"/>
    <w:rsid w:val="00B150F9"/>
    <w:rsid w:val="00B32A43"/>
    <w:rsid w:val="00B34BA8"/>
    <w:rsid w:val="00B44CBE"/>
    <w:rsid w:val="00B56947"/>
    <w:rsid w:val="00B71A10"/>
    <w:rsid w:val="00BE15BF"/>
    <w:rsid w:val="00BF0063"/>
    <w:rsid w:val="00C43824"/>
    <w:rsid w:val="00C550D9"/>
    <w:rsid w:val="00C57AC5"/>
    <w:rsid w:val="00C66ED0"/>
    <w:rsid w:val="00C67897"/>
    <w:rsid w:val="00C81911"/>
    <w:rsid w:val="00C8223C"/>
    <w:rsid w:val="00C82CB8"/>
    <w:rsid w:val="00C87DE0"/>
    <w:rsid w:val="00C93886"/>
    <w:rsid w:val="00CA2DE2"/>
    <w:rsid w:val="00CA491E"/>
    <w:rsid w:val="00CF176A"/>
    <w:rsid w:val="00CF521D"/>
    <w:rsid w:val="00D17130"/>
    <w:rsid w:val="00D17B78"/>
    <w:rsid w:val="00D55F8E"/>
    <w:rsid w:val="00D739A2"/>
    <w:rsid w:val="00D75BF4"/>
    <w:rsid w:val="00D81A66"/>
    <w:rsid w:val="00DB3AFD"/>
    <w:rsid w:val="00DB6454"/>
    <w:rsid w:val="00DE0C6D"/>
    <w:rsid w:val="00DE41EB"/>
    <w:rsid w:val="00DE7F4B"/>
    <w:rsid w:val="00E05571"/>
    <w:rsid w:val="00E12645"/>
    <w:rsid w:val="00E874E8"/>
    <w:rsid w:val="00E956E7"/>
    <w:rsid w:val="00EA30AB"/>
    <w:rsid w:val="00EA5625"/>
    <w:rsid w:val="00EC765C"/>
    <w:rsid w:val="00ED6B2C"/>
    <w:rsid w:val="00EF06B7"/>
    <w:rsid w:val="00F2032A"/>
    <w:rsid w:val="00F27EAE"/>
    <w:rsid w:val="00F33CB9"/>
    <w:rsid w:val="00F7548F"/>
    <w:rsid w:val="00F7572B"/>
    <w:rsid w:val="00F93FAB"/>
    <w:rsid w:val="00F96C92"/>
    <w:rsid w:val="00FB1D39"/>
    <w:rsid w:val="00FE06DF"/>
    <w:rsid w:val="00FE68B2"/>
    <w:rsid w:val="00FE7702"/>
    <w:rsid w:val="00FE7DF0"/>
    <w:rsid w:val="00FF40F3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D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886"/>
    <w:pPr>
      <w:ind w:left="720"/>
      <w:contextualSpacing/>
    </w:pPr>
  </w:style>
  <w:style w:type="paragraph" w:customStyle="1" w:styleId="tv213">
    <w:name w:val="tv213"/>
    <w:basedOn w:val="Normal"/>
    <w:rsid w:val="006817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253E33"/>
    <w:rPr>
      <w:b/>
      <w:bCs/>
    </w:rPr>
  </w:style>
  <w:style w:type="paragraph" w:customStyle="1" w:styleId="naisf">
    <w:name w:val="naisf"/>
    <w:basedOn w:val="Normal"/>
    <w:rsid w:val="00D739A2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978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6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645"/>
  </w:style>
  <w:style w:type="paragraph" w:styleId="Footer">
    <w:name w:val="footer"/>
    <w:basedOn w:val="Normal"/>
    <w:link w:val="FooterChar"/>
    <w:uiPriority w:val="99"/>
    <w:unhideWhenUsed/>
    <w:rsid w:val="00E126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645"/>
  </w:style>
  <w:style w:type="paragraph" w:styleId="BodyText">
    <w:name w:val="Body Text"/>
    <w:basedOn w:val="Normal"/>
    <w:link w:val="BodyTextChar"/>
    <w:uiPriority w:val="99"/>
    <w:unhideWhenUsed/>
    <w:rsid w:val="003B55A4"/>
    <w:pPr>
      <w:spacing w:after="120"/>
      <w:ind w:firstLine="567"/>
      <w:jc w:val="both"/>
    </w:pPr>
    <w:rPr>
      <w:rFonts w:asciiTheme="minorHAnsi" w:eastAsiaTheme="minorEastAsia" w:hAnsiTheme="minorHAnsi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55A4"/>
    <w:rPr>
      <w:rFonts w:asciiTheme="minorHAnsi" w:eastAsiaTheme="minorEastAsia" w:hAnsiTheme="minorHAnsi" w:cs="Times New Roman"/>
      <w:szCs w:val="24"/>
    </w:rPr>
  </w:style>
  <w:style w:type="table" w:styleId="TableGrid">
    <w:name w:val="Table Grid"/>
    <w:basedOn w:val="TableNormal"/>
    <w:uiPriority w:val="59"/>
    <w:rsid w:val="00F2032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886"/>
    <w:pPr>
      <w:ind w:left="720"/>
      <w:contextualSpacing/>
    </w:pPr>
  </w:style>
  <w:style w:type="paragraph" w:customStyle="1" w:styleId="tv213">
    <w:name w:val="tv213"/>
    <w:basedOn w:val="Normal"/>
    <w:rsid w:val="006817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253E33"/>
    <w:rPr>
      <w:b/>
      <w:bCs/>
    </w:rPr>
  </w:style>
  <w:style w:type="paragraph" w:customStyle="1" w:styleId="naisf">
    <w:name w:val="naisf"/>
    <w:basedOn w:val="Normal"/>
    <w:rsid w:val="00D739A2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A978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64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645"/>
  </w:style>
  <w:style w:type="paragraph" w:styleId="Footer">
    <w:name w:val="footer"/>
    <w:basedOn w:val="Normal"/>
    <w:link w:val="FooterChar"/>
    <w:uiPriority w:val="99"/>
    <w:unhideWhenUsed/>
    <w:rsid w:val="00E126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645"/>
  </w:style>
  <w:style w:type="paragraph" w:styleId="BodyText">
    <w:name w:val="Body Text"/>
    <w:basedOn w:val="Normal"/>
    <w:link w:val="BodyTextChar"/>
    <w:uiPriority w:val="99"/>
    <w:unhideWhenUsed/>
    <w:rsid w:val="003B55A4"/>
    <w:pPr>
      <w:spacing w:after="120"/>
      <w:ind w:firstLine="567"/>
      <w:jc w:val="both"/>
    </w:pPr>
    <w:rPr>
      <w:rFonts w:asciiTheme="minorHAnsi" w:eastAsiaTheme="minorEastAsia" w:hAnsiTheme="minorHAnsi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B55A4"/>
    <w:rPr>
      <w:rFonts w:asciiTheme="minorHAnsi" w:eastAsiaTheme="minorEastAsia" w:hAnsiTheme="minorHAnsi" w:cs="Times New Roman"/>
      <w:szCs w:val="24"/>
    </w:rPr>
  </w:style>
  <w:style w:type="table" w:styleId="TableGrid">
    <w:name w:val="Table Grid"/>
    <w:basedOn w:val="TableNormal"/>
    <w:uiPriority w:val="59"/>
    <w:rsid w:val="00F2032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6C94-263B-494A-ACD4-B0949D98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2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Satura prasības rakstveida lēmuma projektam par veidu, kādā tiks veikti turpmākie maksājumi ar pakalpojuma sniedzēju</vt:lpstr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Satura prasības rakstveida lēmuma projektam par veidu, kādā tiks veikti turpmākie maksājumi ar pakalpojuma sniedzēju</dc:title>
  <dc:creator>Mārtiņš Auders;Ilze.Osa@em.gov.lv</dc:creator>
  <dc:description>Martins.Auders@em.gov.lv, 67013078; Ilze.Osa@em.gov.lv, 67013031</dc:description>
  <cp:lastModifiedBy>Iveta Stafecka</cp:lastModifiedBy>
  <cp:revision>157</cp:revision>
  <cp:lastPrinted>2015-05-26T11:42:00Z</cp:lastPrinted>
  <dcterms:created xsi:type="dcterms:W3CDTF">2014-06-11T07:26:00Z</dcterms:created>
  <dcterms:modified xsi:type="dcterms:W3CDTF">2015-06-17T11:45:00Z</dcterms:modified>
</cp:coreProperties>
</file>