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8" w:rsidRDefault="00982AAD" w:rsidP="00712DF6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765FB">
        <w:rPr>
          <w:b/>
          <w:sz w:val="28"/>
          <w:szCs w:val="28"/>
        </w:rPr>
        <w:t>Ministru kabineta noteikumu projekta</w:t>
      </w:r>
      <w:bookmarkStart w:id="1" w:name="OLE_LINK1"/>
      <w:bookmarkStart w:id="2" w:name="OLE_LINK2"/>
    </w:p>
    <w:p w:rsidR="00982AAD" w:rsidRPr="00A765FB" w:rsidRDefault="002F0A57" w:rsidP="002F0A57">
      <w:pPr>
        <w:jc w:val="center"/>
        <w:rPr>
          <w:b/>
          <w:bCs/>
          <w:sz w:val="28"/>
          <w:szCs w:val="28"/>
        </w:rPr>
      </w:pPr>
      <w:r w:rsidRPr="002F0A57">
        <w:rPr>
          <w:b/>
          <w:bCs/>
          <w:sz w:val="28"/>
          <w:szCs w:val="28"/>
        </w:rPr>
        <w:t>Gr</w:t>
      </w:r>
      <w:r w:rsidR="00CD79AB">
        <w:rPr>
          <w:b/>
          <w:bCs/>
          <w:sz w:val="28"/>
          <w:szCs w:val="28"/>
        </w:rPr>
        <w:t>ozījumi Ministru kabineta 2014.gada 11.februāra noteikumos Nr.</w:t>
      </w:r>
      <w:r w:rsidRPr="002F0A57">
        <w:rPr>
          <w:b/>
          <w:bCs/>
          <w:sz w:val="28"/>
          <w:szCs w:val="28"/>
        </w:rPr>
        <w:t>96 "Nodokļu un citu maksājumu reģistrēšanas elektronisko ierīču un iekārtu lietošanas kārtība"</w:t>
      </w:r>
      <w:r>
        <w:rPr>
          <w:b/>
          <w:bCs/>
          <w:sz w:val="28"/>
          <w:szCs w:val="28"/>
        </w:rPr>
        <w:t xml:space="preserve"> </w:t>
      </w:r>
      <w:r w:rsidR="00982AAD" w:rsidRPr="00A765FB">
        <w:rPr>
          <w:b/>
          <w:bCs/>
          <w:sz w:val="28"/>
          <w:szCs w:val="28"/>
        </w:rPr>
        <w:t>sākotnējās ietekmes novērtējuma ziņojums (anotācija</w:t>
      </w:r>
      <w:bookmarkEnd w:id="1"/>
      <w:bookmarkEnd w:id="2"/>
      <w:r w:rsidR="00982AAD" w:rsidRPr="00A765FB">
        <w:rPr>
          <w:b/>
          <w:bCs/>
          <w:sz w:val="28"/>
          <w:szCs w:val="28"/>
        </w:rPr>
        <w:t>)</w:t>
      </w:r>
    </w:p>
    <w:p w:rsidR="009F30B3" w:rsidRPr="009F30B3" w:rsidRDefault="009F30B3" w:rsidP="006D0922">
      <w:pPr>
        <w:pStyle w:val="naislab"/>
        <w:spacing w:before="0"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2641"/>
        <w:gridCol w:w="6237"/>
      </w:tblGrid>
      <w:tr w:rsidR="009A0027" w:rsidRPr="00615EE2" w:rsidTr="00946395">
        <w:tc>
          <w:tcPr>
            <w:tcW w:w="9555" w:type="dxa"/>
            <w:gridSpan w:val="3"/>
            <w:vAlign w:val="center"/>
          </w:tcPr>
          <w:p w:rsidR="00852042" w:rsidRPr="001F7464" w:rsidRDefault="00852042" w:rsidP="00C96B4C">
            <w:pPr>
              <w:pStyle w:val="naisnod"/>
              <w:spacing w:before="0" w:after="6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I</w:t>
            </w:r>
            <w:r w:rsidR="000941C5" w:rsidRPr="001F7464">
              <w:rPr>
                <w:sz w:val="27"/>
                <w:szCs w:val="27"/>
              </w:rPr>
              <w:t>.</w:t>
            </w:r>
            <w:r w:rsidRPr="001F7464">
              <w:rPr>
                <w:sz w:val="27"/>
                <w:szCs w:val="27"/>
              </w:rPr>
              <w:t xml:space="preserve"> Tiesību akta </w:t>
            </w:r>
            <w:r w:rsidR="002E3FF4" w:rsidRPr="001F7464">
              <w:rPr>
                <w:sz w:val="27"/>
                <w:szCs w:val="27"/>
              </w:rPr>
              <w:t xml:space="preserve">projekta </w:t>
            </w:r>
            <w:r w:rsidRPr="001F7464">
              <w:rPr>
                <w:sz w:val="27"/>
                <w:szCs w:val="27"/>
              </w:rPr>
              <w:t>izstrādes nepieciešamība</w:t>
            </w:r>
          </w:p>
        </w:tc>
      </w:tr>
      <w:tr w:rsidR="009A0027" w:rsidRPr="00615EE2" w:rsidTr="00946395">
        <w:trPr>
          <w:trHeight w:val="267"/>
        </w:trPr>
        <w:tc>
          <w:tcPr>
            <w:tcW w:w="677" w:type="dxa"/>
          </w:tcPr>
          <w:p w:rsidR="00262E2B" w:rsidRPr="001F7464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1.</w:t>
            </w:r>
          </w:p>
        </w:tc>
        <w:tc>
          <w:tcPr>
            <w:tcW w:w="2641" w:type="dxa"/>
          </w:tcPr>
          <w:p w:rsidR="00262E2B" w:rsidRPr="001F7464" w:rsidRDefault="002D7F54" w:rsidP="00C96B4C">
            <w:pPr>
              <w:pStyle w:val="naiskr"/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Pamatojums</w:t>
            </w:r>
          </w:p>
        </w:tc>
        <w:tc>
          <w:tcPr>
            <w:tcW w:w="6237" w:type="dxa"/>
          </w:tcPr>
          <w:p w:rsidR="00C65995" w:rsidRPr="001F7464" w:rsidRDefault="004E361C" w:rsidP="001F701C">
            <w:pPr>
              <w:pStyle w:val="naiskr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 xml:space="preserve">Likuma </w:t>
            </w:r>
            <w:r w:rsidR="009B5986" w:rsidRPr="001F7464">
              <w:rPr>
                <w:sz w:val="27"/>
                <w:szCs w:val="27"/>
              </w:rPr>
              <w:t>"</w:t>
            </w:r>
            <w:r w:rsidRPr="001F7464">
              <w:rPr>
                <w:sz w:val="27"/>
                <w:szCs w:val="27"/>
              </w:rPr>
              <w:t>Par nodokļiem un nodevām</w:t>
            </w:r>
            <w:r w:rsidR="009B5986" w:rsidRPr="001F7464">
              <w:rPr>
                <w:sz w:val="27"/>
                <w:szCs w:val="27"/>
              </w:rPr>
              <w:t>"</w:t>
            </w:r>
            <w:r w:rsidRPr="001F7464">
              <w:rPr>
                <w:sz w:val="27"/>
                <w:szCs w:val="27"/>
              </w:rPr>
              <w:t xml:space="preserve"> 28.</w:t>
            </w:r>
            <w:r w:rsidRPr="001F7464">
              <w:rPr>
                <w:sz w:val="27"/>
                <w:szCs w:val="27"/>
                <w:vertAlign w:val="superscript"/>
              </w:rPr>
              <w:t>1</w:t>
            </w:r>
            <w:r w:rsidRPr="001F7464">
              <w:rPr>
                <w:sz w:val="27"/>
                <w:szCs w:val="27"/>
              </w:rPr>
              <w:t xml:space="preserve">panta </w:t>
            </w:r>
            <w:r w:rsidR="009E56AD" w:rsidRPr="001F7464">
              <w:rPr>
                <w:sz w:val="27"/>
                <w:szCs w:val="27"/>
              </w:rPr>
              <w:t>piektā</w:t>
            </w:r>
            <w:r w:rsidR="00FD3DF3" w:rsidRPr="001F7464">
              <w:rPr>
                <w:sz w:val="27"/>
                <w:szCs w:val="27"/>
              </w:rPr>
              <w:t xml:space="preserve"> </w:t>
            </w:r>
            <w:r w:rsidRPr="001F7464">
              <w:rPr>
                <w:sz w:val="27"/>
                <w:szCs w:val="27"/>
              </w:rPr>
              <w:t>daļa</w:t>
            </w:r>
          </w:p>
        </w:tc>
      </w:tr>
      <w:tr w:rsidR="009A0027" w:rsidRPr="00615EE2" w:rsidTr="00946395">
        <w:trPr>
          <w:trHeight w:val="472"/>
        </w:trPr>
        <w:tc>
          <w:tcPr>
            <w:tcW w:w="677" w:type="dxa"/>
          </w:tcPr>
          <w:p w:rsidR="00262E2B" w:rsidRPr="001F7464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2.</w:t>
            </w:r>
          </w:p>
        </w:tc>
        <w:tc>
          <w:tcPr>
            <w:tcW w:w="2641" w:type="dxa"/>
          </w:tcPr>
          <w:p w:rsidR="00262E2B" w:rsidRPr="001F7464" w:rsidRDefault="003A3C61" w:rsidP="00C96B4C">
            <w:pPr>
              <w:pStyle w:val="naiskr"/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:rsidR="001F7DEB" w:rsidRPr="001F7464" w:rsidRDefault="001F7DEB" w:rsidP="00997A5B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2015.gada 1.jūlijā stāsies spēkā Ministru kabineta 2014.gada 11.februāra noteikumi Nr.96 "Nodokļu un citu maksājumu reģistrēšanas elektronisko ierīču un iekārtu lietošanas kārtība" (turpmāk – Min</w:t>
            </w:r>
            <w:r w:rsidR="00014A57" w:rsidRPr="001F7464">
              <w:rPr>
                <w:sz w:val="27"/>
                <w:szCs w:val="27"/>
              </w:rPr>
              <w:t>istru kabineta noteikumi Nr.96)</w:t>
            </w:r>
            <w:r w:rsidRPr="001F7464">
              <w:rPr>
                <w:sz w:val="27"/>
                <w:szCs w:val="27"/>
              </w:rPr>
              <w:t>.</w:t>
            </w:r>
          </w:p>
          <w:p w:rsidR="001F7DEB" w:rsidRPr="001F7464" w:rsidRDefault="00EF1F70" w:rsidP="00997A5B">
            <w:pPr>
              <w:ind w:firstLine="284"/>
              <w:jc w:val="both"/>
              <w:rPr>
                <w:bCs/>
                <w:sz w:val="27"/>
                <w:szCs w:val="27"/>
              </w:rPr>
            </w:pPr>
            <w:r w:rsidRPr="001F7464">
              <w:rPr>
                <w:bCs/>
                <w:sz w:val="27"/>
                <w:szCs w:val="27"/>
              </w:rPr>
              <w:t>Pamatojoties uz Ministru prezidenta 2014.gada 13.marta rezolūciju Nr.90/TA</w:t>
            </w:r>
            <w:r w:rsidR="001F701C">
              <w:rPr>
                <w:bCs/>
                <w:sz w:val="27"/>
                <w:szCs w:val="27"/>
              </w:rPr>
              <w:t> </w:t>
            </w:r>
            <w:r w:rsidRPr="001F7464">
              <w:rPr>
                <w:bCs/>
                <w:sz w:val="27"/>
                <w:szCs w:val="27"/>
              </w:rPr>
              <w:t>TA-2850</w:t>
            </w:r>
            <w:r w:rsidR="001F701C">
              <w:rPr>
                <w:bCs/>
                <w:sz w:val="27"/>
                <w:szCs w:val="27"/>
              </w:rPr>
              <w:t> </w:t>
            </w:r>
            <w:r w:rsidRPr="001F7464">
              <w:rPr>
                <w:bCs/>
                <w:sz w:val="27"/>
                <w:szCs w:val="27"/>
              </w:rPr>
              <w:t xml:space="preserve">(2013.) un ņemot vērā biedrības </w:t>
            </w:r>
            <w:r w:rsidR="005634ED" w:rsidRPr="001F7464">
              <w:rPr>
                <w:bCs/>
                <w:sz w:val="27"/>
                <w:szCs w:val="27"/>
              </w:rPr>
              <w:t>"</w:t>
            </w:r>
            <w:r w:rsidRPr="001F7464">
              <w:rPr>
                <w:bCs/>
                <w:sz w:val="27"/>
                <w:szCs w:val="27"/>
              </w:rPr>
              <w:t>Latvijas Tirgotāju asociācija</w:t>
            </w:r>
            <w:r w:rsidR="005634ED" w:rsidRPr="001F7464">
              <w:rPr>
                <w:bCs/>
                <w:sz w:val="27"/>
                <w:szCs w:val="27"/>
              </w:rPr>
              <w:t>"</w:t>
            </w:r>
            <w:r w:rsidRPr="001F7464">
              <w:rPr>
                <w:bCs/>
                <w:sz w:val="27"/>
                <w:szCs w:val="27"/>
              </w:rPr>
              <w:t xml:space="preserve"> 2014.gada 5.marta vēstulē Nr.</w:t>
            </w:r>
            <w:r w:rsidR="005634ED" w:rsidRPr="001F7464">
              <w:rPr>
                <w:bCs/>
                <w:sz w:val="27"/>
                <w:szCs w:val="27"/>
              </w:rPr>
              <w:t> </w:t>
            </w:r>
            <w:r w:rsidRPr="001F7464">
              <w:rPr>
                <w:bCs/>
                <w:sz w:val="27"/>
                <w:szCs w:val="27"/>
              </w:rPr>
              <w:t xml:space="preserve">Ak-030501, Latvijas Tirdzniecības un rūpniecības kameras 2014.gada 10.marta vēstulē Nr.2014/180 un SIA "Latvijas tirgotāju kooperācija "AIBE"" 2014.gada 10.marta vēstulē Nr.02.2014./24 izteiktos viedokļus, </w:t>
            </w:r>
            <w:r w:rsidR="00B80EE0" w:rsidRPr="001F7464">
              <w:rPr>
                <w:bCs/>
                <w:sz w:val="27"/>
                <w:szCs w:val="27"/>
              </w:rPr>
              <w:t xml:space="preserve">tika </w:t>
            </w:r>
            <w:r w:rsidRPr="001F7464">
              <w:rPr>
                <w:bCs/>
                <w:sz w:val="27"/>
                <w:szCs w:val="27"/>
              </w:rPr>
              <w:t xml:space="preserve">dots uzdevums organizēt starpinstitūciju sanāksmi </w:t>
            </w:r>
            <w:r w:rsidR="00B80EE0" w:rsidRPr="001F7464">
              <w:rPr>
                <w:bCs/>
                <w:sz w:val="27"/>
                <w:szCs w:val="27"/>
              </w:rPr>
              <w:t xml:space="preserve">Ministru kabineta </w:t>
            </w:r>
            <w:r w:rsidRPr="001F7464">
              <w:rPr>
                <w:bCs/>
                <w:sz w:val="27"/>
                <w:szCs w:val="27"/>
              </w:rPr>
              <w:t>noteikum</w:t>
            </w:r>
            <w:r w:rsidR="009E56AD" w:rsidRPr="001F7464">
              <w:rPr>
                <w:bCs/>
                <w:sz w:val="27"/>
                <w:szCs w:val="27"/>
              </w:rPr>
              <w:t>os nepieciešamo grozījumu</w:t>
            </w:r>
            <w:r w:rsidRPr="001F7464">
              <w:rPr>
                <w:bCs/>
                <w:sz w:val="27"/>
                <w:szCs w:val="27"/>
              </w:rPr>
              <w:t xml:space="preserve"> apspriešanai.</w:t>
            </w:r>
          </w:p>
          <w:p w:rsidR="00EF1F70" w:rsidRPr="001F7464" w:rsidRDefault="001F7DEB" w:rsidP="00997A5B">
            <w:pPr>
              <w:ind w:firstLine="284"/>
              <w:jc w:val="both"/>
              <w:rPr>
                <w:bCs/>
                <w:sz w:val="27"/>
                <w:szCs w:val="27"/>
              </w:rPr>
            </w:pPr>
            <w:r w:rsidRPr="001F7464">
              <w:rPr>
                <w:bCs/>
                <w:sz w:val="27"/>
                <w:szCs w:val="27"/>
              </w:rPr>
              <w:t>Minētajā sanāksmē</w:t>
            </w:r>
            <w:r w:rsidR="00EF1F70" w:rsidRPr="001F7464">
              <w:rPr>
                <w:bCs/>
                <w:sz w:val="27"/>
                <w:szCs w:val="27"/>
              </w:rPr>
              <w:t xml:space="preserve"> tika panākta vienošanās par </w:t>
            </w:r>
            <w:r w:rsidR="00B80EE0" w:rsidRPr="001F7464">
              <w:rPr>
                <w:bCs/>
                <w:sz w:val="27"/>
                <w:szCs w:val="27"/>
              </w:rPr>
              <w:t xml:space="preserve"> Ministru </w:t>
            </w:r>
            <w:r w:rsidR="00EA71C5" w:rsidRPr="001F7464">
              <w:rPr>
                <w:bCs/>
                <w:sz w:val="27"/>
                <w:szCs w:val="27"/>
              </w:rPr>
              <w:t>kabineta noteikumu Nr.96 un</w:t>
            </w:r>
            <w:r w:rsidR="00B80EE0" w:rsidRPr="001F7464">
              <w:rPr>
                <w:bCs/>
                <w:sz w:val="27"/>
                <w:szCs w:val="27"/>
              </w:rPr>
              <w:t xml:space="preserve"> </w:t>
            </w:r>
            <w:r w:rsidR="00EF1F70" w:rsidRPr="001F7464">
              <w:rPr>
                <w:bCs/>
                <w:sz w:val="27"/>
                <w:szCs w:val="27"/>
              </w:rPr>
              <w:t>Ministru kabineta 2014.gada 11.februāra noteikumu Nr.95 "Noteikumi par nodokļu un citu maksājumu reģistrēšanas elektronisko ierīču un iekārtu tehniskajām prasībām"</w:t>
            </w:r>
            <w:r w:rsidRPr="001F7464">
              <w:rPr>
                <w:bCs/>
                <w:sz w:val="27"/>
                <w:szCs w:val="27"/>
              </w:rPr>
              <w:t xml:space="preserve"> (turpmāk – Ministru kabineta noteikumi Nr.95) </w:t>
            </w:r>
            <w:r w:rsidR="00EF1F70" w:rsidRPr="001F7464">
              <w:rPr>
                <w:bCs/>
                <w:sz w:val="27"/>
                <w:szCs w:val="27"/>
              </w:rPr>
              <w:t>tiesību normu precizēšanu.</w:t>
            </w:r>
          </w:p>
          <w:p w:rsidR="00EF1F70" w:rsidRPr="001F7464" w:rsidRDefault="00EF1F70" w:rsidP="003A713F">
            <w:pPr>
              <w:ind w:firstLine="226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Tā kā šobrīd turpinās grozījumu Mi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nistru kabineta noteikumos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saskaņošanas process ar nevalstiskajām organizācijām, kā arī </w:t>
            </w:r>
            <w:r w:rsidR="00313B16" w:rsidRPr="001F7464">
              <w:rPr>
                <w:rFonts w:eastAsiaTheme="minorHAnsi"/>
                <w:sz w:val="27"/>
                <w:szCs w:val="27"/>
                <w:lang w:eastAsia="en-US"/>
              </w:rPr>
              <w:t>M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>inistru kabineta noteikum</w:t>
            </w:r>
            <w:r w:rsidR="00313B16" w:rsidRPr="001F7464">
              <w:rPr>
                <w:rFonts w:eastAsiaTheme="minorHAnsi"/>
                <w:sz w:val="27"/>
                <w:szCs w:val="27"/>
                <w:lang w:eastAsia="en-US"/>
              </w:rPr>
              <w:t>u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Nr.95</w:t>
            </w:r>
            <w:r w:rsidR="00313B16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grozījumu projekts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ir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tehnisks projekts, kas saskaņojams ar Eiropas Komisiju un Eiropas </w:t>
            </w:r>
            <w:r w:rsidR="00E65787" w:rsidRPr="001F7464">
              <w:rPr>
                <w:rFonts w:eastAsiaTheme="minorHAnsi"/>
                <w:sz w:val="27"/>
                <w:szCs w:val="27"/>
                <w:lang w:eastAsia="en-US"/>
              </w:rPr>
              <w:t>S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avien</w:t>
            </w:r>
            <w:r w:rsidR="0015631D" w:rsidRPr="001F7464">
              <w:rPr>
                <w:rFonts w:eastAsiaTheme="minorHAnsi"/>
                <w:sz w:val="27"/>
                <w:szCs w:val="27"/>
                <w:lang w:eastAsia="en-US"/>
              </w:rPr>
              <w:t>ības dalībvalstīm atbilstoši</w:t>
            </w:r>
            <w:r w:rsidR="00D625AA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15631D" w:rsidRPr="001F7464">
              <w:rPr>
                <w:rFonts w:eastAsiaTheme="minorHAnsi"/>
                <w:sz w:val="27"/>
                <w:szCs w:val="27"/>
                <w:lang w:eastAsia="en-US"/>
              </w:rPr>
              <w:t>Eiropas Parlamenta un Padomes 1998.gada 22.jūnija Direktīvai 98/34/EK, ar ko nosaka informācijas sniegšanas kārtību tehnisko standartu un noteikumu jomā, un Eiropas Parlamenta un Padomes 1998.gada 20.jūlija Direktīvai 98/48/EK, ar kuru groza Direktīvu 98/34/EK, ar ko nosaka informācijas sniegšanas kārtību tehnisko standartu un noteikumu jomā</w:t>
            </w:r>
            <w:r w:rsidR="00D625AA" w:rsidRPr="001F7464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nepieciešams pagarināt 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jauno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prasību </w:t>
            </w:r>
            <w:r w:rsidR="001F7DEB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kases aparātiem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ieviešanas termiņu.</w:t>
            </w:r>
          </w:p>
          <w:p w:rsidR="00FE5F40" w:rsidRPr="001F7464" w:rsidRDefault="00E65787" w:rsidP="003A713F">
            <w:pPr>
              <w:ind w:firstLine="226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Tādējādi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ir sagatavots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noteikumu projekts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>, kas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paredz</w:t>
            </w:r>
            <w:r w:rsidR="00971C00" w:rsidRPr="001F7464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ka Ministru kabineta noteikumi Nr.96 stājas spēkā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2016.gada 1.janvārī (šobrīd 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Ministru kabineta noteikumu spēkā stāšanās ir noteikta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2015.gada 1.jūlijā).</w:t>
            </w:r>
          </w:p>
          <w:p w:rsidR="003A713F" w:rsidRPr="001F7464" w:rsidRDefault="003A713F" w:rsidP="003A713F">
            <w:pPr>
              <w:ind w:firstLine="226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Noteikumu projekts paredz arī pagarināt termiņu, līdz kuram</w:t>
            </w:r>
            <w:r w:rsidR="005634ED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lietotājam Valsts ieņēmumu dienestā ir jāiesniedz ierīces vai iekārtas tehniskā pase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, lai reģistrētu kases aparātu, hibrīda kases aparātu, kases sistēmu, specializēto ierīci vai iekārtu vai atsāktu tās lietošanu</w:t>
            </w:r>
            <w:r w:rsidR="005634ED" w:rsidRPr="001F7464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Minētais termiņš tiks pagarināts līdz 2016.gada 30.jūnijam (šobrīd noteiktais termiņš ir 2015.gada 31.decembris).</w:t>
            </w:r>
          </w:p>
          <w:p w:rsidR="00443F19" w:rsidRPr="001F7464" w:rsidRDefault="00443F19" w:rsidP="00443F19">
            <w:pPr>
              <w:ind w:firstLine="28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Grozījumiem Ministru kabineta noteikumos Nr.96 ir jāstājas spēkā 2015.gada 1.jūlijā (dienā, kad ir jāstājas 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spēkā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Ministru kabineta noteikumiem Nr.96).</w:t>
            </w:r>
          </w:p>
          <w:p w:rsidR="001F7DEB" w:rsidRPr="001F7464" w:rsidRDefault="001F7DEB" w:rsidP="0057567E">
            <w:pPr>
              <w:ind w:firstLine="28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F7464">
              <w:rPr>
                <w:rFonts w:eastAsiaTheme="minorHAnsi"/>
                <w:sz w:val="27"/>
                <w:szCs w:val="27"/>
                <w:lang w:eastAsia="en-US"/>
              </w:rPr>
              <w:t>Ministru kabineta noteikum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>u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Nr.96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grozījumu projekts 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Ministru kabinetā ir izskatāms vienlaicīgi ar 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>Ministru kabineta noteikumu</w:t>
            </w:r>
            <w:r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Nr.9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EA71C5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grozījumu projektu</w:t>
            </w:r>
            <w:r w:rsidR="00014A57" w:rsidRPr="001F7464">
              <w:rPr>
                <w:rFonts w:eastAsiaTheme="minorHAnsi"/>
                <w:sz w:val="27"/>
                <w:szCs w:val="27"/>
                <w:lang w:eastAsia="en-US"/>
              </w:rPr>
              <w:t>, kas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paredz</w:t>
            </w:r>
            <w:r w:rsidR="00443F19" w:rsidRPr="001F7464">
              <w:rPr>
                <w:sz w:val="27"/>
                <w:szCs w:val="27"/>
              </w:rPr>
              <w:t xml:space="preserve"> 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>hibrīda kases aparātu un ka</w:t>
            </w:r>
            <w:r w:rsidR="00482171" w:rsidRPr="001F7464">
              <w:rPr>
                <w:rFonts w:eastAsiaTheme="minorHAnsi"/>
                <w:sz w:val="27"/>
                <w:szCs w:val="27"/>
                <w:lang w:eastAsia="en-US"/>
              </w:rPr>
              <w:t>ses sistēmu atbilsto</w:t>
            </w:r>
            <w:r w:rsidR="006D2EE2" w:rsidRPr="001F7464">
              <w:rPr>
                <w:rFonts w:eastAsiaTheme="minorHAnsi"/>
                <w:sz w:val="27"/>
                <w:szCs w:val="27"/>
                <w:lang w:eastAsia="en-US"/>
              </w:rPr>
              <w:t>ši Ministru kabineta noteikumu N</w:t>
            </w:r>
            <w:r w:rsidR="00482171" w:rsidRPr="001F7464">
              <w:rPr>
                <w:rFonts w:eastAsiaTheme="minorHAnsi"/>
                <w:sz w:val="27"/>
                <w:szCs w:val="27"/>
                <w:lang w:eastAsia="en-US"/>
              </w:rPr>
              <w:t>r.95 prasībām lietošanas uzsākšan</w:t>
            </w:r>
            <w:r w:rsidR="0057567E">
              <w:rPr>
                <w:rFonts w:eastAsiaTheme="minorHAnsi"/>
                <w:sz w:val="27"/>
                <w:szCs w:val="27"/>
                <w:lang w:eastAsia="en-US"/>
              </w:rPr>
              <w:t>u</w:t>
            </w:r>
            <w:r w:rsidR="00482171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>atlik</w:t>
            </w:r>
            <w:r w:rsidR="0057567E">
              <w:rPr>
                <w:rFonts w:eastAsiaTheme="minorHAnsi"/>
                <w:sz w:val="27"/>
                <w:szCs w:val="27"/>
                <w:lang w:eastAsia="en-US"/>
              </w:rPr>
              <w:t>t</w:t>
            </w:r>
            <w:r w:rsidR="00443F19" w:rsidRPr="001F7464">
              <w:rPr>
                <w:rFonts w:eastAsiaTheme="minorHAnsi"/>
                <w:sz w:val="27"/>
                <w:szCs w:val="27"/>
                <w:lang w:eastAsia="en-US"/>
              </w:rPr>
              <w:t xml:space="preserve"> līdz 2016.gada 1.janvārim</w:t>
            </w:r>
          </w:p>
        </w:tc>
      </w:tr>
      <w:tr w:rsidR="009A0027" w:rsidRPr="00615EE2" w:rsidTr="00946395">
        <w:trPr>
          <w:trHeight w:val="476"/>
        </w:trPr>
        <w:tc>
          <w:tcPr>
            <w:tcW w:w="677" w:type="dxa"/>
          </w:tcPr>
          <w:p w:rsidR="00262E2B" w:rsidRPr="001F7464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lastRenderedPageBreak/>
              <w:t>3</w:t>
            </w:r>
            <w:r w:rsidR="00262E2B" w:rsidRPr="001F7464">
              <w:rPr>
                <w:sz w:val="27"/>
                <w:szCs w:val="27"/>
              </w:rPr>
              <w:t>.</w:t>
            </w:r>
          </w:p>
        </w:tc>
        <w:tc>
          <w:tcPr>
            <w:tcW w:w="2641" w:type="dxa"/>
          </w:tcPr>
          <w:p w:rsidR="00262E2B" w:rsidRPr="001F7464" w:rsidRDefault="001A4066" w:rsidP="00C96B4C">
            <w:pPr>
              <w:pStyle w:val="naiskr"/>
              <w:spacing w:before="0" w:after="6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Projekta i</w:t>
            </w:r>
            <w:r w:rsidR="00262E2B" w:rsidRPr="001F7464">
              <w:rPr>
                <w:sz w:val="27"/>
                <w:szCs w:val="27"/>
              </w:rPr>
              <w:t>zstrād</w:t>
            </w:r>
            <w:r w:rsidR="00420870" w:rsidRPr="001F7464">
              <w:rPr>
                <w:sz w:val="27"/>
                <w:szCs w:val="27"/>
              </w:rPr>
              <w:t xml:space="preserve">ē </w:t>
            </w:r>
            <w:r w:rsidR="00262E2B" w:rsidRPr="001F7464">
              <w:rPr>
                <w:sz w:val="27"/>
                <w:szCs w:val="27"/>
              </w:rPr>
              <w:t>iesaistītās institūcijas</w:t>
            </w:r>
          </w:p>
        </w:tc>
        <w:tc>
          <w:tcPr>
            <w:tcW w:w="6237" w:type="dxa"/>
          </w:tcPr>
          <w:p w:rsidR="009C5659" w:rsidRPr="001F7464" w:rsidRDefault="001C4D38" w:rsidP="001F7464">
            <w:pPr>
              <w:pStyle w:val="naiskr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Valsts ieņēmumu dienests</w:t>
            </w:r>
          </w:p>
        </w:tc>
      </w:tr>
      <w:tr w:rsidR="009A0027" w:rsidRPr="00615EE2" w:rsidTr="00946395">
        <w:tc>
          <w:tcPr>
            <w:tcW w:w="677" w:type="dxa"/>
          </w:tcPr>
          <w:p w:rsidR="00262E2B" w:rsidRPr="001F7464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4</w:t>
            </w:r>
            <w:r w:rsidR="00262E2B" w:rsidRPr="001F7464">
              <w:rPr>
                <w:sz w:val="27"/>
                <w:szCs w:val="27"/>
              </w:rPr>
              <w:t>.</w:t>
            </w:r>
          </w:p>
        </w:tc>
        <w:tc>
          <w:tcPr>
            <w:tcW w:w="2641" w:type="dxa"/>
          </w:tcPr>
          <w:p w:rsidR="00262E2B" w:rsidRPr="001F7464" w:rsidRDefault="00262E2B" w:rsidP="00C96B4C">
            <w:pPr>
              <w:pStyle w:val="naiskr"/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Cita informācija</w:t>
            </w:r>
          </w:p>
        </w:tc>
        <w:tc>
          <w:tcPr>
            <w:tcW w:w="6237" w:type="dxa"/>
          </w:tcPr>
          <w:p w:rsidR="00F00FA3" w:rsidRPr="001F7464" w:rsidRDefault="00257155" w:rsidP="001F7464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</w:t>
            </w:r>
          </w:p>
        </w:tc>
      </w:tr>
    </w:tbl>
    <w:p w:rsidR="009D4EF6" w:rsidRPr="001F7464" w:rsidRDefault="009D4EF6" w:rsidP="00C96B4C">
      <w:pPr>
        <w:pStyle w:val="naisf"/>
        <w:spacing w:before="0" w:after="0"/>
        <w:ind w:right="142" w:firstLine="0"/>
        <w:rPr>
          <w:sz w:val="16"/>
          <w:szCs w:val="1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9A0027" w:rsidRPr="00615EE2" w:rsidTr="00946395">
        <w:trPr>
          <w:jc w:val="center"/>
        </w:trPr>
        <w:tc>
          <w:tcPr>
            <w:tcW w:w="9535" w:type="dxa"/>
            <w:gridSpan w:val="3"/>
          </w:tcPr>
          <w:p w:rsidR="00573099" w:rsidRPr="001F7464" w:rsidRDefault="00FE4973" w:rsidP="00C96B4C">
            <w:pPr>
              <w:pStyle w:val="naisnod"/>
              <w:spacing w:before="0" w:after="60"/>
              <w:ind w:right="142"/>
              <w:rPr>
                <w:bCs w:val="0"/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II.</w:t>
            </w:r>
            <w:r w:rsidRPr="001F7464">
              <w:rPr>
                <w:bCs w:val="0"/>
                <w:sz w:val="27"/>
                <w:szCs w:val="27"/>
              </w:rPr>
              <w:t xml:space="preserve"> Tiesību akta projekta ietekme uz sabiedrību, tautsaimniecības attīstību un </w:t>
            </w:r>
          </w:p>
          <w:p w:rsidR="00FE4973" w:rsidRPr="001F7464" w:rsidRDefault="00FE4973" w:rsidP="00C96B4C">
            <w:pPr>
              <w:pStyle w:val="naisnod"/>
              <w:spacing w:before="0" w:after="60"/>
              <w:ind w:right="142"/>
              <w:rPr>
                <w:sz w:val="27"/>
                <w:szCs w:val="27"/>
              </w:rPr>
            </w:pPr>
            <w:r w:rsidRPr="001F7464">
              <w:rPr>
                <w:bCs w:val="0"/>
                <w:sz w:val="27"/>
                <w:szCs w:val="27"/>
              </w:rPr>
              <w:t>administratīvo slogu</w:t>
            </w:r>
          </w:p>
        </w:tc>
      </w:tr>
      <w:tr w:rsidR="009A0027" w:rsidRPr="00615EE2" w:rsidTr="00946395">
        <w:trPr>
          <w:jc w:val="center"/>
        </w:trPr>
        <w:tc>
          <w:tcPr>
            <w:tcW w:w="621" w:type="dxa"/>
          </w:tcPr>
          <w:p w:rsidR="00FE4973" w:rsidRPr="001F7464" w:rsidRDefault="00FE497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1.</w:t>
            </w:r>
          </w:p>
        </w:tc>
        <w:tc>
          <w:tcPr>
            <w:tcW w:w="3205" w:type="dxa"/>
          </w:tcPr>
          <w:p w:rsidR="00FE4973" w:rsidRPr="001F7464" w:rsidRDefault="00FE4973" w:rsidP="00C96B4C">
            <w:pPr>
              <w:pStyle w:val="naiskr"/>
              <w:spacing w:before="0" w:after="0"/>
              <w:ind w:right="142"/>
              <w:rPr>
                <w:iCs/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Sabiedrības mērķgrupas, kuras tiesiskais regulējums ietekmē vai varētu ietekmēt</w:t>
            </w:r>
          </w:p>
        </w:tc>
        <w:tc>
          <w:tcPr>
            <w:tcW w:w="5709" w:type="dxa"/>
          </w:tcPr>
          <w:p w:rsidR="00466630" w:rsidRPr="001F7464" w:rsidRDefault="00466630" w:rsidP="00113759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Kases aparātu lietotāji un apkalpojošie dienesti.</w:t>
            </w:r>
          </w:p>
          <w:p w:rsidR="00E84DB4" w:rsidRPr="001F7464" w:rsidRDefault="00B51EA9" w:rsidP="00615EE2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Valsts ieņēmumu dienestā reģistrēto apkalpojošo dienestu skaits – 109</w:t>
            </w:r>
            <w:r w:rsidR="00466630" w:rsidRPr="001F7464">
              <w:rPr>
                <w:sz w:val="27"/>
                <w:szCs w:val="27"/>
              </w:rPr>
              <w:t xml:space="preserve"> apkalpojošie dienesti</w:t>
            </w:r>
          </w:p>
        </w:tc>
      </w:tr>
      <w:tr w:rsidR="009A0027" w:rsidRPr="00615EE2" w:rsidTr="00946395">
        <w:trPr>
          <w:jc w:val="center"/>
        </w:trPr>
        <w:tc>
          <w:tcPr>
            <w:tcW w:w="621" w:type="dxa"/>
          </w:tcPr>
          <w:p w:rsidR="00FE4973" w:rsidRPr="001F7464" w:rsidRDefault="00FE497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3205" w:type="dxa"/>
          </w:tcPr>
          <w:p w:rsidR="00FE4973" w:rsidRPr="001F7464" w:rsidRDefault="00FE4973" w:rsidP="00C96B4C">
            <w:pPr>
              <w:pStyle w:val="naiskr"/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Tiesiskā regulējuma ietekme uz tautsaimniecību un administratīvo slogu</w:t>
            </w:r>
          </w:p>
        </w:tc>
        <w:tc>
          <w:tcPr>
            <w:tcW w:w="5709" w:type="dxa"/>
          </w:tcPr>
          <w:p w:rsidR="006B2C20" w:rsidRPr="001F7464" w:rsidRDefault="00917CA0" w:rsidP="00615EE2">
            <w:pPr>
              <w:pStyle w:val="naiskr"/>
              <w:tabs>
                <w:tab w:val="left" w:pos="283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</w:t>
            </w:r>
            <w:r w:rsidR="006B2C20" w:rsidRPr="001F7464">
              <w:rPr>
                <w:sz w:val="27"/>
                <w:szCs w:val="27"/>
              </w:rPr>
              <w:t>oteikumu projekt</w:t>
            </w:r>
            <w:r w:rsidRPr="001F7464">
              <w:rPr>
                <w:sz w:val="27"/>
                <w:szCs w:val="27"/>
              </w:rPr>
              <w:t>s</w:t>
            </w:r>
            <w:r w:rsidR="007B37C5" w:rsidRPr="001F7464">
              <w:rPr>
                <w:sz w:val="27"/>
                <w:szCs w:val="27"/>
              </w:rPr>
              <w:t xml:space="preserve"> nerada </w:t>
            </w:r>
            <w:r w:rsidRPr="001F7464">
              <w:rPr>
                <w:sz w:val="27"/>
                <w:szCs w:val="27"/>
              </w:rPr>
              <w:t xml:space="preserve">tiešu </w:t>
            </w:r>
            <w:r w:rsidR="007B37C5" w:rsidRPr="001F7464">
              <w:rPr>
                <w:sz w:val="27"/>
                <w:szCs w:val="27"/>
              </w:rPr>
              <w:t>ietekmi uz administratīvā sloga palielinājumu vai samazinājumu</w:t>
            </w:r>
          </w:p>
        </w:tc>
      </w:tr>
      <w:tr w:rsidR="009A0027" w:rsidRPr="00615EE2" w:rsidTr="00946395">
        <w:trPr>
          <w:jc w:val="center"/>
        </w:trPr>
        <w:tc>
          <w:tcPr>
            <w:tcW w:w="621" w:type="dxa"/>
          </w:tcPr>
          <w:p w:rsidR="00FE4973" w:rsidRPr="001F7464" w:rsidRDefault="00FE497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3.</w:t>
            </w:r>
          </w:p>
        </w:tc>
        <w:tc>
          <w:tcPr>
            <w:tcW w:w="3205" w:type="dxa"/>
          </w:tcPr>
          <w:p w:rsidR="00FE4973" w:rsidRPr="001F746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iCs/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Administratīvo izmaksu monetārs novērtējums</w:t>
            </w:r>
          </w:p>
        </w:tc>
        <w:tc>
          <w:tcPr>
            <w:tcW w:w="5709" w:type="dxa"/>
          </w:tcPr>
          <w:p w:rsidR="00FE4973" w:rsidRPr="001F7464" w:rsidRDefault="009E56AD" w:rsidP="00615EE2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i/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Projekts šo jomu neskar</w:t>
            </w:r>
          </w:p>
        </w:tc>
      </w:tr>
      <w:tr w:rsidR="009A0027" w:rsidRPr="00615EE2" w:rsidTr="00946395">
        <w:trPr>
          <w:jc w:val="center"/>
        </w:trPr>
        <w:tc>
          <w:tcPr>
            <w:tcW w:w="621" w:type="dxa"/>
          </w:tcPr>
          <w:p w:rsidR="00FE4973" w:rsidRPr="001F7464" w:rsidRDefault="00FE497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4.</w:t>
            </w:r>
          </w:p>
        </w:tc>
        <w:tc>
          <w:tcPr>
            <w:tcW w:w="3205" w:type="dxa"/>
          </w:tcPr>
          <w:p w:rsidR="00FE4973" w:rsidRPr="001F746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Cita informācija</w:t>
            </w:r>
          </w:p>
        </w:tc>
        <w:tc>
          <w:tcPr>
            <w:tcW w:w="5709" w:type="dxa"/>
          </w:tcPr>
          <w:p w:rsidR="00FE4973" w:rsidRPr="001F7464" w:rsidRDefault="00F64A42" w:rsidP="001F7464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</w:t>
            </w:r>
          </w:p>
        </w:tc>
      </w:tr>
    </w:tbl>
    <w:p w:rsidR="009E56AD" w:rsidRPr="001F7464" w:rsidRDefault="009E56AD" w:rsidP="00C96B4C">
      <w:pPr>
        <w:pStyle w:val="naisf"/>
        <w:spacing w:before="0" w:after="0"/>
        <w:ind w:right="142" w:firstLine="0"/>
        <w:rPr>
          <w:sz w:val="16"/>
          <w:szCs w:val="1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FD3DF3" w:rsidRPr="00615EE2" w:rsidTr="00573D84">
        <w:trPr>
          <w:jc w:val="center"/>
        </w:trPr>
        <w:tc>
          <w:tcPr>
            <w:tcW w:w="9535" w:type="dxa"/>
            <w:gridSpan w:val="3"/>
          </w:tcPr>
          <w:p w:rsidR="00FD3DF3" w:rsidRPr="001F7464" w:rsidRDefault="00FD3DF3" w:rsidP="00573D84">
            <w:pPr>
              <w:pStyle w:val="naisnod"/>
              <w:spacing w:before="0" w:after="6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IV. Tiesību akta projekta ietekme uz spēkā esošo tiesību normu sistēmu</w:t>
            </w:r>
          </w:p>
        </w:tc>
      </w:tr>
      <w:tr w:rsidR="00FD3DF3" w:rsidRPr="00615EE2" w:rsidTr="00573D84">
        <w:trPr>
          <w:jc w:val="center"/>
        </w:trPr>
        <w:tc>
          <w:tcPr>
            <w:tcW w:w="621" w:type="dxa"/>
          </w:tcPr>
          <w:p w:rsidR="00FD3DF3" w:rsidRPr="001F7464" w:rsidRDefault="00FD3DF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1.</w:t>
            </w:r>
          </w:p>
        </w:tc>
        <w:tc>
          <w:tcPr>
            <w:tcW w:w="3205" w:type="dxa"/>
          </w:tcPr>
          <w:p w:rsidR="00FD3DF3" w:rsidRPr="001F7464" w:rsidRDefault="00FD3DF3" w:rsidP="00573D84">
            <w:pPr>
              <w:pStyle w:val="naiskr"/>
              <w:spacing w:before="0" w:after="0"/>
              <w:ind w:right="142"/>
              <w:rPr>
                <w:iCs/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Nepieciešamie saistītie tiesību aktu projekti</w:t>
            </w:r>
          </w:p>
        </w:tc>
        <w:tc>
          <w:tcPr>
            <w:tcW w:w="5709" w:type="dxa"/>
          </w:tcPr>
          <w:p w:rsidR="00FD3DF3" w:rsidRPr="001F7464" w:rsidRDefault="00FD3DF3" w:rsidP="00615EE2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bCs/>
                <w:sz w:val="27"/>
                <w:szCs w:val="27"/>
              </w:rPr>
              <w:t xml:space="preserve">Vienlaikus ir izstrādāti grozījumi Ministru kabineta 2014.gada 11.februāra noteikumos Nr.95 "Noteikumi par nodokļu un citu maksājumu reģistrēšanas elektronisko ierīču un iekārtu tehniskajām prasībām", kas paredz hibrīda kases </w:t>
            </w:r>
            <w:r w:rsidRPr="001F7464">
              <w:rPr>
                <w:bCs/>
                <w:sz w:val="27"/>
                <w:szCs w:val="27"/>
              </w:rPr>
              <w:lastRenderedPageBreak/>
              <w:t>aparātu un kases sistēmu lietošanas uzsākšanas atlikšanu līdz 2016.gada 1.janvārim</w:t>
            </w:r>
          </w:p>
        </w:tc>
      </w:tr>
      <w:tr w:rsidR="00FD3DF3" w:rsidRPr="00615EE2" w:rsidTr="00573D84">
        <w:trPr>
          <w:jc w:val="center"/>
        </w:trPr>
        <w:tc>
          <w:tcPr>
            <w:tcW w:w="621" w:type="dxa"/>
          </w:tcPr>
          <w:p w:rsidR="00FD3DF3" w:rsidRPr="001F7464" w:rsidRDefault="00FD3DF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205" w:type="dxa"/>
          </w:tcPr>
          <w:p w:rsidR="00FD3DF3" w:rsidRPr="001F7464" w:rsidRDefault="00FD3DF3" w:rsidP="00573D84">
            <w:pPr>
              <w:pStyle w:val="naiskr"/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Atbildīgā institūcija</w:t>
            </w:r>
          </w:p>
        </w:tc>
        <w:tc>
          <w:tcPr>
            <w:tcW w:w="5709" w:type="dxa"/>
          </w:tcPr>
          <w:p w:rsidR="00FD3DF3" w:rsidRPr="001F7464" w:rsidRDefault="00FD3DF3" w:rsidP="00615EE2">
            <w:pPr>
              <w:pStyle w:val="naiskr"/>
              <w:tabs>
                <w:tab w:val="left" w:pos="283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Valsts ieņēmumu dienests</w:t>
            </w:r>
          </w:p>
        </w:tc>
      </w:tr>
      <w:tr w:rsidR="00FD3DF3" w:rsidRPr="00615EE2" w:rsidTr="00573D84">
        <w:trPr>
          <w:jc w:val="center"/>
        </w:trPr>
        <w:tc>
          <w:tcPr>
            <w:tcW w:w="621" w:type="dxa"/>
          </w:tcPr>
          <w:p w:rsidR="00FD3DF3" w:rsidRPr="001F7464" w:rsidRDefault="00FD3DF3" w:rsidP="001F7464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7"/>
                <w:szCs w:val="27"/>
              </w:rPr>
            </w:pPr>
            <w:r w:rsidRPr="001F7464">
              <w:rPr>
                <w:iCs/>
                <w:sz w:val="27"/>
                <w:szCs w:val="27"/>
              </w:rPr>
              <w:t>3.</w:t>
            </w:r>
          </w:p>
        </w:tc>
        <w:tc>
          <w:tcPr>
            <w:tcW w:w="3205" w:type="dxa"/>
          </w:tcPr>
          <w:p w:rsidR="00FD3DF3" w:rsidRPr="001F7464" w:rsidRDefault="00FD3DF3" w:rsidP="00573D84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Cita informācija</w:t>
            </w:r>
          </w:p>
        </w:tc>
        <w:tc>
          <w:tcPr>
            <w:tcW w:w="5709" w:type="dxa"/>
          </w:tcPr>
          <w:p w:rsidR="00FD3DF3" w:rsidRPr="001F7464" w:rsidRDefault="00FD3DF3" w:rsidP="001F7464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</w:t>
            </w:r>
          </w:p>
        </w:tc>
      </w:tr>
    </w:tbl>
    <w:p w:rsidR="009E56AD" w:rsidRPr="001F7464" w:rsidRDefault="009E56AD" w:rsidP="00C96B4C">
      <w:pPr>
        <w:pStyle w:val="naisf"/>
        <w:spacing w:before="0" w:after="0"/>
        <w:ind w:right="142" w:firstLine="0"/>
        <w:rPr>
          <w:sz w:val="16"/>
          <w:szCs w:val="16"/>
        </w:rPr>
      </w:pPr>
    </w:p>
    <w:tbl>
      <w:tblPr>
        <w:tblW w:w="5118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735"/>
        <w:gridCol w:w="6047"/>
      </w:tblGrid>
      <w:tr w:rsidR="00C411DA" w:rsidRPr="00615EE2" w:rsidTr="00C411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>
            <w:pPr>
              <w:spacing w:before="100" w:beforeAutospacing="1"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1F7464">
              <w:rPr>
                <w:b/>
                <w:bCs/>
                <w:sz w:val="27"/>
                <w:szCs w:val="27"/>
              </w:rPr>
              <w:t xml:space="preserve">VI. Sabiedrības līdzdalība un </w:t>
            </w:r>
            <w:r w:rsidR="00B42B3F" w:rsidRPr="001F7464">
              <w:rPr>
                <w:b/>
                <w:bCs/>
                <w:sz w:val="27"/>
                <w:szCs w:val="27"/>
              </w:rPr>
              <w:t>komunikācijas aktivitātes</w:t>
            </w:r>
          </w:p>
        </w:tc>
      </w:tr>
      <w:tr w:rsidR="00C411DA" w:rsidRPr="00615EE2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 w:rsidP="001F7464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1.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B42B3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Plānotās sabiedrības līdzdalības un komunikācijas aktivitātes saistībā ar projektu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FB5D6D" w:rsidP="001F7464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Izstrādājot noteikumu projektu, ir notikušas diskusijas ar nevalstiskajām organizācijām</w:t>
            </w:r>
          </w:p>
        </w:tc>
      </w:tr>
      <w:tr w:rsidR="00C411DA" w:rsidRPr="00615EE2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 w:rsidP="001F7464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2.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Sabiedrības līdzdalība projekta izstrādē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FB5D6D" w:rsidP="00973E49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 xml:space="preserve">Notikušas diskusijas ar nevalstiskajām organizācijām, tajā skaitā </w:t>
            </w:r>
            <w:r w:rsidR="00F11BB9" w:rsidRPr="001F7464">
              <w:rPr>
                <w:sz w:val="27"/>
                <w:szCs w:val="27"/>
              </w:rPr>
              <w:t xml:space="preserve">Latvijas </w:t>
            </w:r>
            <w:r w:rsidR="00412A03" w:rsidRPr="001F7464">
              <w:rPr>
                <w:sz w:val="27"/>
                <w:szCs w:val="27"/>
              </w:rPr>
              <w:t>K</w:t>
            </w:r>
            <w:r w:rsidR="00F11BB9" w:rsidRPr="001F7464">
              <w:rPr>
                <w:sz w:val="27"/>
                <w:szCs w:val="27"/>
              </w:rPr>
              <w:t xml:space="preserve">ases aparātu un sistēmu apkalpojošo dienestu, </w:t>
            </w:r>
            <w:r w:rsidR="00973E49">
              <w:rPr>
                <w:sz w:val="27"/>
                <w:szCs w:val="27"/>
              </w:rPr>
              <w:t>t</w:t>
            </w:r>
            <w:r w:rsidR="004E5C4C" w:rsidRPr="001F7464">
              <w:rPr>
                <w:sz w:val="27"/>
                <w:szCs w:val="27"/>
              </w:rPr>
              <w:t xml:space="preserve">irgotāju un ražotāju asociāciju, </w:t>
            </w:r>
            <w:r w:rsidR="009E56AD" w:rsidRPr="001F7464">
              <w:rPr>
                <w:sz w:val="27"/>
                <w:szCs w:val="27"/>
              </w:rPr>
              <w:t>kuru</w:t>
            </w:r>
            <w:r w:rsidR="008E778C" w:rsidRPr="001F7464">
              <w:rPr>
                <w:sz w:val="27"/>
                <w:szCs w:val="27"/>
              </w:rPr>
              <w:t xml:space="preserve"> </w:t>
            </w:r>
            <w:r w:rsidR="00F11BB9" w:rsidRPr="001F7464">
              <w:rPr>
                <w:sz w:val="27"/>
                <w:szCs w:val="27"/>
              </w:rPr>
              <w:t>viedoklis</w:t>
            </w:r>
            <w:r w:rsidR="00893847" w:rsidRPr="001F7464">
              <w:rPr>
                <w:sz w:val="27"/>
                <w:szCs w:val="27"/>
              </w:rPr>
              <w:t xml:space="preserve"> ņemts vērā</w:t>
            </w:r>
          </w:p>
        </w:tc>
      </w:tr>
      <w:tr w:rsidR="00C411DA" w:rsidRPr="00615EE2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 w:rsidP="001F7464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3.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Sabiedrības līdzdalības rezultāti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893847" w:rsidP="00615EE2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</w:t>
            </w:r>
            <w:r w:rsidR="00113759" w:rsidRPr="001F7464">
              <w:rPr>
                <w:sz w:val="27"/>
                <w:szCs w:val="27"/>
              </w:rPr>
              <w:t>evalstis</w:t>
            </w:r>
            <w:r w:rsidRPr="001F7464">
              <w:rPr>
                <w:sz w:val="27"/>
                <w:szCs w:val="27"/>
              </w:rPr>
              <w:t xml:space="preserve">kās organizācijas </w:t>
            </w:r>
            <w:r w:rsidR="008E2513" w:rsidRPr="001F7464">
              <w:rPr>
                <w:sz w:val="27"/>
                <w:szCs w:val="27"/>
              </w:rPr>
              <w:t xml:space="preserve">noteikumu </w:t>
            </w:r>
            <w:r w:rsidRPr="001F7464">
              <w:rPr>
                <w:sz w:val="27"/>
                <w:szCs w:val="27"/>
              </w:rPr>
              <w:t>projektu atbalsta</w:t>
            </w:r>
          </w:p>
        </w:tc>
      </w:tr>
      <w:tr w:rsidR="00C411DA" w:rsidRPr="00615EE2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9E56AD" w:rsidP="001F7464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4</w:t>
            </w:r>
            <w:r w:rsidR="00C411DA" w:rsidRPr="001F7464">
              <w:rPr>
                <w:sz w:val="27"/>
                <w:szCs w:val="27"/>
              </w:rPr>
              <w:t>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Cita informācija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1F7464" w:rsidRDefault="00C411DA" w:rsidP="001F7464">
            <w:pPr>
              <w:ind w:firstLine="284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</w:t>
            </w:r>
          </w:p>
        </w:tc>
      </w:tr>
    </w:tbl>
    <w:p w:rsidR="00C411DA" w:rsidRPr="001F7464" w:rsidRDefault="00C411DA" w:rsidP="001F7464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X="-134" w:tblpY="212"/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493"/>
        <w:gridCol w:w="4297"/>
      </w:tblGrid>
      <w:tr w:rsidR="00081E26" w:rsidRPr="00615EE2" w:rsidTr="001F746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E26" w:rsidRPr="001F7464" w:rsidRDefault="00081E26" w:rsidP="00615EE2">
            <w:pPr>
              <w:spacing w:before="100" w:beforeAutospacing="1" w:after="100" w:afterAutospacing="1"/>
              <w:ind w:right="142"/>
              <w:jc w:val="center"/>
              <w:rPr>
                <w:b/>
                <w:bCs/>
                <w:sz w:val="27"/>
                <w:szCs w:val="27"/>
              </w:rPr>
            </w:pPr>
            <w:r w:rsidRPr="001F7464">
              <w:rPr>
                <w:b/>
                <w:bCs/>
                <w:sz w:val="27"/>
                <w:szCs w:val="27"/>
              </w:rPr>
              <w:t>VII. Tiesību akta projekta izpildes nodrošināšana un tās ietekme uz institūcijām</w:t>
            </w:r>
          </w:p>
        </w:tc>
      </w:tr>
      <w:tr w:rsidR="00037AB9" w:rsidRPr="00615EE2" w:rsidTr="001F7464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81E26" w:rsidP="001F7464">
            <w:pPr>
              <w:spacing w:before="100" w:beforeAutospacing="1" w:after="100" w:afterAutospacing="1"/>
              <w:ind w:right="142"/>
              <w:jc w:val="center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1.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37AB9" w:rsidP="001F7464">
            <w:pPr>
              <w:spacing w:before="100" w:beforeAutospacing="1" w:after="100" w:afterAutospacing="1"/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Projekta izpildē iesaistītās institūcijas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114BE0" w:rsidP="001F7464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Valsts ieņēmumu dienests</w:t>
            </w:r>
          </w:p>
        </w:tc>
      </w:tr>
      <w:tr w:rsidR="00037AB9" w:rsidRPr="00615EE2" w:rsidTr="001F7464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81E26" w:rsidP="001F7464">
            <w:pPr>
              <w:spacing w:before="100" w:beforeAutospacing="1" w:after="100" w:afterAutospacing="1"/>
              <w:ind w:right="142"/>
              <w:jc w:val="center"/>
              <w:rPr>
                <w:sz w:val="27"/>
                <w:szCs w:val="27"/>
                <w:lang w:val="en-US"/>
              </w:rPr>
            </w:pPr>
            <w:r w:rsidRPr="001F7464">
              <w:rPr>
                <w:sz w:val="27"/>
                <w:szCs w:val="27"/>
                <w:lang w:val="en-US"/>
              </w:rPr>
              <w:t>2.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64" w:rsidRPr="001F7464" w:rsidRDefault="00037AB9" w:rsidP="00615EE2">
            <w:pPr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Projekta izpildes ietekme uz pārvaldes funkcijām un institucionālo struktūru</w:t>
            </w:r>
            <w:r w:rsidR="00F53F64" w:rsidRPr="001F7464">
              <w:rPr>
                <w:sz w:val="27"/>
                <w:szCs w:val="27"/>
              </w:rPr>
              <w:t>.</w:t>
            </w:r>
          </w:p>
          <w:p w:rsidR="00037AB9" w:rsidRPr="001F7464" w:rsidRDefault="00037AB9" w:rsidP="00615EE2">
            <w:pPr>
              <w:ind w:right="142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4F" w:rsidRPr="001F7464" w:rsidRDefault="00114BE0" w:rsidP="00615EE2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Valsts ieņēmumu dienesta funkcijas netiks mainītas</w:t>
            </w:r>
            <w:r w:rsidR="006D2EE2" w:rsidRPr="001F7464">
              <w:rPr>
                <w:sz w:val="27"/>
                <w:szCs w:val="27"/>
              </w:rPr>
              <w:t>.</w:t>
            </w:r>
          </w:p>
          <w:p w:rsidR="00037AB9" w:rsidRPr="001F7464" w:rsidRDefault="008F444F" w:rsidP="00615EE2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</w:t>
            </w:r>
            <w:r w:rsidR="00037AB9" w:rsidRPr="001F7464">
              <w:rPr>
                <w:sz w:val="27"/>
                <w:szCs w:val="27"/>
              </w:rPr>
              <w:t>av nepieciešams veidot jaunas institūcijas.</w:t>
            </w:r>
          </w:p>
          <w:p w:rsidR="00081E26" w:rsidRPr="001F7464" w:rsidRDefault="00081E26" w:rsidP="00615EE2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 nepieciešama esošu institūciju</w:t>
            </w:r>
            <w:r w:rsidR="00106309" w:rsidRPr="001F7464">
              <w:rPr>
                <w:sz w:val="27"/>
                <w:szCs w:val="27"/>
              </w:rPr>
              <w:t xml:space="preserve"> likvidācija vai reorganizācija</w:t>
            </w:r>
          </w:p>
        </w:tc>
      </w:tr>
      <w:tr w:rsidR="00037AB9" w:rsidRPr="00615EE2" w:rsidTr="001F7464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81E26" w:rsidP="001F7464">
            <w:pPr>
              <w:spacing w:before="100" w:beforeAutospacing="1" w:after="100" w:afterAutospacing="1"/>
              <w:ind w:right="142"/>
              <w:jc w:val="center"/>
              <w:rPr>
                <w:sz w:val="27"/>
                <w:szCs w:val="27"/>
                <w:lang w:val="en-US"/>
              </w:rPr>
            </w:pPr>
            <w:r w:rsidRPr="001F7464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81E26" w:rsidP="00615EE2">
            <w:pPr>
              <w:spacing w:before="100" w:beforeAutospacing="1" w:after="100" w:afterAutospacing="1"/>
              <w:ind w:right="142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Cita informācija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1F7464" w:rsidRDefault="00081E26" w:rsidP="001F7464">
            <w:pPr>
              <w:ind w:firstLine="284"/>
              <w:jc w:val="both"/>
              <w:rPr>
                <w:sz w:val="27"/>
                <w:szCs w:val="27"/>
              </w:rPr>
            </w:pPr>
            <w:r w:rsidRPr="001F7464">
              <w:rPr>
                <w:sz w:val="27"/>
                <w:szCs w:val="27"/>
              </w:rPr>
              <w:t>Nav</w:t>
            </w:r>
          </w:p>
        </w:tc>
      </w:tr>
    </w:tbl>
    <w:p w:rsidR="00080AD1" w:rsidRPr="002B101F" w:rsidRDefault="00080AD1" w:rsidP="006D0922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</w:p>
    <w:p w:rsidR="00CD46A7" w:rsidRPr="00946395" w:rsidRDefault="009E56AD" w:rsidP="0094639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Anotācijas </w:t>
      </w:r>
      <w:r w:rsidR="007A2491" w:rsidRPr="00946395">
        <w:rPr>
          <w:sz w:val="28"/>
          <w:szCs w:val="28"/>
        </w:rPr>
        <w:t>III</w:t>
      </w:r>
      <w:r w:rsidR="00162478" w:rsidRPr="00946395">
        <w:rPr>
          <w:sz w:val="28"/>
          <w:szCs w:val="28"/>
        </w:rPr>
        <w:t xml:space="preserve"> </w:t>
      </w:r>
      <w:r w:rsidR="00C20F81" w:rsidRPr="00946395">
        <w:rPr>
          <w:sz w:val="28"/>
          <w:szCs w:val="28"/>
        </w:rPr>
        <w:t>un</w:t>
      </w:r>
      <w:r w:rsidR="00645940" w:rsidRPr="00946395">
        <w:rPr>
          <w:sz w:val="28"/>
          <w:szCs w:val="28"/>
        </w:rPr>
        <w:t xml:space="preserve"> </w:t>
      </w:r>
      <w:r w:rsidR="00C20F81" w:rsidRPr="00946395">
        <w:rPr>
          <w:sz w:val="28"/>
          <w:szCs w:val="28"/>
        </w:rPr>
        <w:t xml:space="preserve">V </w:t>
      </w:r>
      <w:r w:rsidR="00CD46A7" w:rsidRPr="00946395">
        <w:rPr>
          <w:sz w:val="28"/>
          <w:szCs w:val="28"/>
        </w:rPr>
        <w:t>sadaļa – projekts šīs jomas neskar</w:t>
      </w:r>
      <w:r w:rsidR="00807D76" w:rsidRPr="00946395">
        <w:rPr>
          <w:sz w:val="28"/>
          <w:szCs w:val="28"/>
        </w:rPr>
        <w:t>.</w:t>
      </w:r>
    </w:p>
    <w:p w:rsidR="0003506F" w:rsidRDefault="0003506F" w:rsidP="0003506F">
      <w:pPr>
        <w:jc w:val="both"/>
        <w:rPr>
          <w:sz w:val="28"/>
          <w:szCs w:val="28"/>
          <w:lang w:val="de-DE"/>
        </w:rPr>
      </w:pPr>
    </w:p>
    <w:p w:rsidR="00CD46A7" w:rsidRPr="0003506F" w:rsidRDefault="00CD46A7" w:rsidP="0003506F">
      <w:pPr>
        <w:jc w:val="both"/>
        <w:rPr>
          <w:sz w:val="28"/>
          <w:szCs w:val="28"/>
          <w:lang w:val="de-DE"/>
        </w:rPr>
      </w:pPr>
    </w:p>
    <w:p w:rsidR="0003506F" w:rsidRPr="0003506F" w:rsidRDefault="0003506F" w:rsidP="00B862F6">
      <w:pPr>
        <w:jc w:val="both"/>
        <w:rPr>
          <w:sz w:val="28"/>
          <w:szCs w:val="28"/>
          <w:lang w:val="de-DE"/>
        </w:rPr>
      </w:pPr>
      <w:r w:rsidRPr="0003506F">
        <w:rPr>
          <w:sz w:val="28"/>
          <w:szCs w:val="28"/>
          <w:lang w:val="de-DE"/>
        </w:rPr>
        <w:t>Finanšu ministrs</w:t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="001F701C">
        <w:rPr>
          <w:sz w:val="28"/>
          <w:szCs w:val="28"/>
          <w:lang w:val="de-DE"/>
        </w:rPr>
        <w:tab/>
      </w:r>
      <w:r w:rsidR="009B5986">
        <w:rPr>
          <w:sz w:val="28"/>
          <w:szCs w:val="28"/>
          <w:lang w:val="de-DE"/>
        </w:rPr>
        <w:t>J.Reirs</w:t>
      </w:r>
    </w:p>
    <w:p w:rsidR="007A66D8" w:rsidRPr="00946395" w:rsidRDefault="007A66D8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9B5986" w:rsidRPr="00946395" w:rsidRDefault="009B5986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F701C" w:rsidRDefault="00615EE2" w:rsidP="00F961AE">
      <w:pPr>
        <w:tabs>
          <w:tab w:val="center" w:pos="4153"/>
          <w:tab w:val="right" w:pos="8306"/>
        </w:tabs>
        <w:rPr>
          <w:iCs/>
          <w:lang w:val="en-GB"/>
        </w:rPr>
      </w:pPr>
      <w:r>
        <w:t>2</w:t>
      </w:r>
      <w:r w:rsidR="00814C68">
        <w:t>3</w:t>
      </w:r>
      <w:r w:rsidR="00540E4C" w:rsidRPr="00946395">
        <w:t>.</w:t>
      </w:r>
      <w:r>
        <w:t>04.</w:t>
      </w:r>
      <w:r w:rsidR="00114BE0" w:rsidRPr="00946395">
        <w:t>201</w:t>
      </w:r>
      <w:r w:rsidR="004E5C4C">
        <w:t>5</w:t>
      </w:r>
      <w:r w:rsidR="00433859" w:rsidRPr="00946395">
        <w:t>.</w:t>
      </w:r>
      <w:r w:rsidR="00412A03">
        <w:t xml:space="preserve"> </w:t>
      </w:r>
      <w:r w:rsidR="001F701C">
        <w:t>16.30</w:t>
      </w:r>
    </w:p>
    <w:p w:rsidR="00F961AE" w:rsidRPr="00946395" w:rsidRDefault="008E778C" w:rsidP="00F961AE">
      <w:pPr>
        <w:tabs>
          <w:tab w:val="center" w:pos="4153"/>
          <w:tab w:val="right" w:pos="8306"/>
        </w:tabs>
        <w:rPr>
          <w:iCs/>
        </w:rPr>
      </w:pPr>
      <w:r>
        <w:rPr>
          <w:iCs/>
          <w:lang w:val="en-GB"/>
        </w:rPr>
        <w:t>690</w:t>
      </w:r>
    </w:p>
    <w:p w:rsidR="009B5986" w:rsidRDefault="00FC20E9" w:rsidP="00F961AE">
      <w:pPr>
        <w:tabs>
          <w:tab w:val="center" w:pos="4153"/>
          <w:tab w:val="right" w:pos="8306"/>
        </w:tabs>
      </w:pPr>
      <w:r w:rsidRPr="00946395">
        <w:t>Kalniņa</w:t>
      </w:r>
    </w:p>
    <w:p w:rsidR="00EA4493" w:rsidRPr="00CE5B0B" w:rsidRDefault="00FC20E9" w:rsidP="00F961AE">
      <w:pPr>
        <w:tabs>
          <w:tab w:val="center" w:pos="4153"/>
          <w:tab w:val="right" w:pos="8306"/>
        </w:tabs>
      </w:pPr>
      <w:r w:rsidRPr="00946395">
        <w:t>67122040</w:t>
      </w:r>
      <w:r w:rsidR="009B5986">
        <w:t>,</w:t>
      </w:r>
      <w:r w:rsidR="00F961AE" w:rsidRPr="00946395">
        <w:t xml:space="preserve"> </w:t>
      </w:r>
      <w:hyperlink r:id="rId13" w:history="1">
        <w:r w:rsidR="004A5603" w:rsidRPr="001F7464">
          <w:rPr>
            <w:rStyle w:val="Hyperlink"/>
            <w:color w:val="auto"/>
            <w:u w:val="none"/>
          </w:rPr>
          <w:t>Agate.Kalnina@vid.gov.lv</w:t>
        </w:r>
      </w:hyperlink>
    </w:p>
    <w:p w:rsidR="007A66D8" w:rsidRPr="00946395" w:rsidRDefault="007A66D8" w:rsidP="00F961AE">
      <w:pPr>
        <w:tabs>
          <w:tab w:val="center" w:pos="4153"/>
          <w:tab w:val="right" w:pos="8306"/>
        </w:tabs>
      </w:pPr>
    </w:p>
    <w:sectPr w:rsidR="007A66D8" w:rsidRPr="00946395" w:rsidSect="001F74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33" w:rsidRDefault="005C0F33">
      <w:r>
        <w:separator/>
      </w:r>
    </w:p>
  </w:endnote>
  <w:endnote w:type="continuationSeparator" w:id="0">
    <w:p w:rsidR="005C0F33" w:rsidRDefault="005C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9B" w:rsidRDefault="00C21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D625AA" w:rsidRDefault="00D625AA" w:rsidP="00D625AA">
    <w:pPr>
      <w:pStyle w:val="Footer"/>
      <w:jc w:val="both"/>
    </w:pPr>
    <w:r w:rsidRPr="00D625AA">
      <w:rPr>
        <w:sz w:val="20"/>
        <w:szCs w:val="20"/>
      </w:rPr>
      <w:t>FMAnot_</w:t>
    </w:r>
    <w:r w:rsidR="00615EE2">
      <w:rPr>
        <w:sz w:val="20"/>
        <w:szCs w:val="20"/>
      </w:rPr>
      <w:t>2304</w:t>
    </w:r>
    <w:r w:rsidRPr="00D625AA">
      <w:rPr>
        <w:sz w:val="20"/>
        <w:szCs w:val="20"/>
      </w:rPr>
      <w:t>15_kases_aparatu_lietosanas_kartiba; Mini</w:t>
    </w:r>
    <w:r w:rsidR="003C1DA0">
      <w:rPr>
        <w:sz w:val="20"/>
        <w:szCs w:val="20"/>
      </w:rPr>
      <w:t>stru kabineta noteikumu projekta</w:t>
    </w:r>
    <w:r w:rsidRPr="00D625AA">
      <w:rPr>
        <w:sz w:val="20"/>
        <w:szCs w:val="20"/>
      </w:rPr>
      <w:t xml:space="preserve"> "Grozījumi Ministru kabineta 2014.gada 11.februāra noteikumos Nr.96 "Nodokļu un citu maksājumu reģistrēšanas elektronisko ierīču un iekārtu lietošanas kārtība""</w:t>
    </w:r>
    <w:r w:rsidR="003C1DA0">
      <w:rPr>
        <w:sz w:val="20"/>
        <w:szCs w:val="20"/>
      </w:rPr>
      <w:t xml:space="preserve"> </w:t>
    </w:r>
    <w:r w:rsidR="00C2189B">
      <w:rPr>
        <w:sz w:val="20"/>
        <w:szCs w:val="20"/>
      </w:rPr>
      <w:t>sākotnējās ietekmes novērtējuma ziņojums (</w:t>
    </w:r>
    <w:r w:rsidR="003C1DA0">
      <w:rPr>
        <w:sz w:val="20"/>
        <w:szCs w:val="20"/>
      </w:rPr>
      <w:t>anotācija</w:t>
    </w:r>
    <w:r w:rsidR="00C2189B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BB3910" w:rsidRDefault="00BB3910" w:rsidP="005E11DD">
    <w:pPr>
      <w:pStyle w:val="Footer"/>
      <w:jc w:val="both"/>
    </w:pPr>
    <w:r w:rsidRPr="00BB3910">
      <w:rPr>
        <w:sz w:val="20"/>
        <w:szCs w:val="20"/>
      </w:rPr>
      <w:t>FM</w:t>
    </w:r>
    <w:r>
      <w:rPr>
        <w:sz w:val="20"/>
        <w:szCs w:val="20"/>
      </w:rPr>
      <w:t>Anot</w:t>
    </w:r>
    <w:r w:rsidR="006A257B">
      <w:rPr>
        <w:sz w:val="20"/>
        <w:szCs w:val="20"/>
      </w:rPr>
      <w:t>_</w:t>
    </w:r>
    <w:r w:rsidR="005634ED">
      <w:rPr>
        <w:sz w:val="20"/>
        <w:szCs w:val="20"/>
      </w:rPr>
      <w:t>2304</w:t>
    </w:r>
    <w:r w:rsidR="004E5C4C">
      <w:rPr>
        <w:sz w:val="20"/>
        <w:szCs w:val="20"/>
      </w:rPr>
      <w:t>15</w:t>
    </w:r>
    <w:r w:rsidRPr="00BB3910">
      <w:rPr>
        <w:sz w:val="20"/>
        <w:szCs w:val="20"/>
      </w:rPr>
      <w:t>_kases_ap</w:t>
    </w:r>
    <w:r w:rsidR="00443F19">
      <w:rPr>
        <w:sz w:val="20"/>
        <w:szCs w:val="20"/>
      </w:rPr>
      <w:t>aratu_lietosanas_kartiba</w:t>
    </w:r>
    <w:r w:rsidRPr="00BB3910">
      <w:rPr>
        <w:sz w:val="20"/>
        <w:szCs w:val="20"/>
      </w:rPr>
      <w:t>; Ministru kabine</w:t>
    </w:r>
    <w:r w:rsidR="003C1DA0">
      <w:rPr>
        <w:sz w:val="20"/>
        <w:szCs w:val="20"/>
      </w:rPr>
      <w:t>ta noteikumu projekta</w:t>
    </w:r>
    <w:r w:rsidR="003D5B0A">
      <w:rPr>
        <w:sz w:val="20"/>
        <w:szCs w:val="20"/>
      </w:rPr>
      <w:t xml:space="preserve"> </w:t>
    </w:r>
    <w:r w:rsidR="00443F19" w:rsidRPr="00443F19">
      <w:rPr>
        <w:sz w:val="20"/>
        <w:szCs w:val="20"/>
      </w:rPr>
      <w:t>"Grozījumi Ministru kabineta 2014.g</w:t>
    </w:r>
    <w:r w:rsidR="00D625AA">
      <w:rPr>
        <w:sz w:val="20"/>
        <w:szCs w:val="20"/>
      </w:rPr>
      <w:t>ada 11.februāra noteikumos Nr.</w:t>
    </w:r>
    <w:r w:rsidR="00443F19" w:rsidRPr="00443F19">
      <w:rPr>
        <w:sz w:val="20"/>
        <w:szCs w:val="20"/>
      </w:rPr>
      <w:t>96 "Nodokļu un citu maksājumu reģistrēšanas elektronisko ierīču un iekārtu lietošanas kārtība""</w:t>
    </w:r>
    <w:r w:rsidR="003C1DA0">
      <w:rPr>
        <w:sz w:val="20"/>
        <w:szCs w:val="20"/>
      </w:rPr>
      <w:t xml:space="preserve"> </w:t>
    </w:r>
    <w:r w:rsidR="00C2189B">
      <w:rPr>
        <w:sz w:val="20"/>
        <w:szCs w:val="20"/>
      </w:rPr>
      <w:t>sākotnējās ietekmes novērtējuma ziņojums (</w:t>
    </w:r>
    <w:r w:rsidR="003C1DA0">
      <w:rPr>
        <w:sz w:val="20"/>
        <w:szCs w:val="20"/>
      </w:rPr>
      <w:t>anotācija</w:t>
    </w:r>
    <w:r w:rsidR="00C2189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33" w:rsidRDefault="005C0F33">
      <w:r>
        <w:separator/>
      </w:r>
    </w:p>
  </w:footnote>
  <w:footnote w:type="continuationSeparator" w:id="0">
    <w:p w:rsidR="005C0F33" w:rsidRDefault="005C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E87">
      <w:rPr>
        <w:rStyle w:val="PageNumber"/>
        <w:noProof/>
      </w:rPr>
      <w:t>3</w: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9B" w:rsidRDefault="00C21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977CEA"/>
    <w:multiLevelType w:val="hybridMultilevel"/>
    <w:tmpl w:val="0180CD92"/>
    <w:lvl w:ilvl="0" w:tplc="9DD4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B704EE"/>
    <w:multiLevelType w:val="hybridMultilevel"/>
    <w:tmpl w:val="D36C5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2407"/>
    <w:multiLevelType w:val="hybridMultilevel"/>
    <w:tmpl w:val="774E8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F5848"/>
    <w:multiLevelType w:val="hybridMultilevel"/>
    <w:tmpl w:val="2ED61E2E"/>
    <w:lvl w:ilvl="0" w:tplc="E24C1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36FB4"/>
    <w:multiLevelType w:val="hybridMultilevel"/>
    <w:tmpl w:val="63BEEAC8"/>
    <w:lvl w:ilvl="0" w:tplc="0294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426B0"/>
    <w:multiLevelType w:val="hybridMultilevel"/>
    <w:tmpl w:val="AC723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6"/>
  </w:num>
  <w:num w:numId="7">
    <w:abstractNumId w:val="22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Dreiškena-Lāce">
    <w15:presenceInfo w15:providerId="None" w15:userId="Rita Dreiškena-Lā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537"/>
    <w:rsid w:val="00001F0B"/>
    <w:rsid w:val="0000308F"/>
    <w:rsid w:val="00003517"/>
    <w:rsid w:val="00005687"/>
    <w:rsid w:val="0000641C"/>
    <w:rsid w:val="00007C3C"/>
    <w:rsid w:val="00011C00"/>
    <w:rsid w:val="00011D24"/>
    <w:rsid w:val="00012BEC"/>
    <w:rsid w:val="00013FF4"/>
    <w:rsid w:val="00014A57"/>
    <w:rsid w:val="00015213"/>
    <w:rsid w:val="00017EAF"/>
    <w:rsid w:val="00020FE1"/>
    <w:rsid w:val="00022E13"/>
    <w:rsid w:val="000257A5"/>
    <w:rsid w:val="0002627A"/>
    <w:rsid w:val="00026323"/>
    <w:rsid w:val="00027394"/>
    <w:rsid w:val="00032388"/>
    <w:rsid w:val="000347CE"/>
    <w:rsid w:val="0003506F"/>
    <w:rsid w:val="00035CE2"/>
    <w:rsid w:val="00035DDF"/>
    <w:rsid w:val="00037AB9"/>
    <w:rsid w:val="00037DAC"/>
    <w:rsid w:val="00042CA0"/>
    <w:rsid w:val="00045FA0"/>
    <w:rsid w:val="00053EE5"/>
    <w:rsid w:val="0005553B"/>
    <w:rsid w:val="00060329"/>
    <w:rsid w:val="000604D2"/>
    <w:rsid w:val="00061587"/>
    <w:rsid w:val="00061662"/>
    <w:rsid w:val="00065241"/>
    <w:rsid w:val="00066B2F"/>
    <w:rsid w:val="000675A9"/>
    <w:rsid w:val="00067DDB"/>
    <w:rsid w:val="00070D7A"/>
    <w:rsid w:val="0007288C"/>
    <w:rsid w:val="00074B12"/>
    <w:rsid w:val="00080AD1"/>
    <w:rsid w:val="00081E26"/>
    <w:rsid w:val="000837FB"/>
    <w:rsid w:val="00083B68"/>
    <w:rsid w:val="0009005E"/>
    <w:rsid w:val="00090BFB"/>
    <w:rsid w:val="00090DFB"/>
    <w:rsid w:val="000941C5"/>
    <w:rsid w:val="00095FD8"/>
    <w:rsid w:val="000971F9"/>
    <w:rsid w:val="00097549"/>
    <w:rsid w:val="000A6451"/>
    <w:rsid w:val="000B064E"/>
    <w:rsid w:val="000B0C7C"/>
    <w:rsid w:val="000B69CF"/>
    <w:rsid w:val="000B7357"/>
    <w:rsid w:val="000C1CDF"/>
    <w:rsid w:val="000C1E30"/>
    <w:rsid w:val="000C3B10"/>
    <w:rsid w:val="000C5398"/>
    <w:rsid w:val="000C6DD5"/>
    <w:rsid w:val="000C788D"/>
    <w:rsid w:val="000C790C"/>
    <w:rsid w:val="000D1A1A"/>
    <w:rsid w:val="000D3AED"/>
    <w:rsid w:val="000D452C"/>
    <w:rsid w:val="000D5A7F"/>
    <w:rsid w:val="000E0375"/>
    <w:rsid w:val="000E2DE5"/>
    <w:rsid w:val="000E3723"/>
    <w:rsid w:val="000E6A1E"/>
    <w:rsid w:val="000F061D"/>
    <w:rsid w:val="000F1982"/>
    <w:rsid w:val="000F4713"/>
    <w:rsid w:val="000F4794"/>
    <w:rsid w:val="00100BE0"/>
    <w:rsid w:val="00100EF9"/>
    <w:rsid w:val="001010FC"/>
    <w:rsid w:val="00101149"/>
    <w:rsid w:val="00102C2B"/>
    <w:rsid w:val="00103F5A"/>
    <w:rsid w:val="00105059"/>
    <w:rsid w:val="00106309"/>
    <w:rsid w:val="00112480"/>
    <w:rsid w:val="00113759"/>
    <w:rsid w:val="00114BE0"/>
    <w:rsid w:val="00115838"/>
    <w:rsid w:val="00117E30"/>
    <w:rsid w:val="00122AFE"/>
    <w:rsid w:val="00124F12"/>
    <w:rsid w:val="001347F7"/>
    <w:rsid w:val="001405CC"/>
    <w:rsid w:val="00141024"/>
    <w:rsid w:val="001417B4"/>
    <w:rsid w:val="00141D8A"/>
    <w:rsid w:val="0014222F"/>
    <w:rsid w:val="00142604"/>
    <w:rsid w:val="00144E3A"/>
    <w:rsid w:val="00146F25"/>
    <w:rsid w:val="0015060C"/>
    <w:rsid w:val="00150D9D"/>
    <w:rsid w:val="00151D26"/>
    <w:rsid w:val="0015430A"/>
    <w:rsid w:val="00155FF1"/>
    <w:rsid w:val="0015631D"/>
    <w:rsid w:val="0016018A"/>
    <w:rsid w:val="00161F0E"/>
    <w:rsid w:val="00162478"/>
    <w:rsid w:val="00165B11"/>
    <w:rsid w:val="0016758D"/>
    <w:rsid w:val="001679AF"/>
    <w:rsid w:val="00170E2A"/>
    <w:rsid w:val="001713F3"/>
    <w:rsid w:val="001717AD"/>
    <w:rsid w:val="00177394"/>
    <w:rsid w:val="001810F7"/>
    <w:rsid w:val="00182C18"/>
    <w:rsid w:val="00183CC2"/>
    <w:rsid w:val="001900E4"/>
    <w:rsid w:val="00190F88"/>
    <w:rsid w:val="001917DF"/>
    <w:rsid w:val="00191909"/>
    <w:rsid w:val="001926C8"/>
    <w:rsid w:val="00192DDB"/>
    <w:rsid w:val="00197064"/>
    <w:rsid w:val="001A2E25"/>
    <w:rsid w:val="001A4066"/>
    <w:rsid w:val="001A6AE4"/>
    <w:rsid w:val="001A769D"/>
    <w:rsid w:val="001B01FD"/>
    <w:rsid w:val="001B08B8"/>
    <w:rsid w:val="001B4A71"/>
    <w:rsid w:val="001B6D4E"/>
    <w:rsid w:val="001B7692"/>
    <w:rsid w:val="001C4D38"/>
    <w:rsid w:val="001C612F"/>
    <w:rsid w:val="001D166B"/>
    <w:rsid w:val="001D1780"/>
    <w:rsid w:val="001D2CD8"/>
    <w:rsid w:val="001D390F"/>
    <w:rsid w:val="001D5B54"/>
    <w:rsid w:val="001D79C3"/>
    <w:rsid w:val="001E1DBF"/>
    <w:rsid w:val="001E2687"/>
    <w:rsid w:val="001E3070"/>
    <w:rsid w:val="001E4639"/>
    <w:rsid w:val="001E49FD"/>
    <w:rsid w:val="001E4A7D"/>
    <w:rsid w:val="001F3D9F"/>
    <w:rsid w:val="001F4209"/>
    <w:rsid w:val="001F43A8"/>
    <w:rsid w:val="001F5CD6"/>
    <w:rsid w:val="001F701C"/>
    <w:rsid w:val="001F7464"/>
    <w:rsid w:val="001F7DEB"/>
    <w:rsid w:val="00200CC7"/>
    <w:rsid w:val="00202D9C"/>
    <w:rsid w:val="002033FF"/>
    <w:rsid w:val="00204489"/>
    <w:rsid w:val="00206600"/>
    <w:rsid w:val="0020681D"/>
    <w:rsid w:val="00210101"/>
    <w:rsid w:val="00210D0B"/>
    <w:rsid w:val="0021263D"/>
    <w:rsid w:val="00213F0C"/>
    <w:rsid w:val="00214094"/>
    <w:rsid w:val="0021592D"/>
    <w:rsid w:val="00215A98"/>
    <w:rsid w:val="00216393"/>
    <w:rsid w:val="00222D76"/>
    <w:rsid w:val="00223507"/>
    <w:rsid w:val="00223EB1"/>
    <w:rsid w:val="002257D7"/>
    <w:rsid w:val="002259E6"/>
    <w:rsid w:val="002263D7"/>
    <w:rsid w:val="00231344"/>
    <w:rsid w:val="00233198"/>
    <w:rsid w:val="0023436E"/>
    <w:rsid w:val="002347C0"/>
    <w:rsid w:val="00241A6C"/>
    <w:rsid w:val="0024252D"/>
    <w:rsid w:val="00242D2B"/>
    <w:rsid w:val="00247D3C"/>
    <w:rsid w:val="00250B39"/>
    <w:rsid w:val="00251ADB"/>
    <w:rsid w:val="00252AAD"/>
    <w:rsid w:val="002542DA"/>
    <w:rsid w:val="00257155"/>
    <w:rsid w:val="002571C9"/>
    <w:rsid w:val="00260B74"/>
    <w:rsid w:val="00262E2B"/>
    <w:rsid w:val="002640EA"/>
    <w:rsid w:val="00267D42"/>
    <w:rsid w:val="00270429"/>
    <w:rsid w:val="002723E9"/>
    <w:rsid w:val="00277929"/>
    <w:rsid w:val="002818DF"/>
    <w:rsid w:val="002820A2"/>
    <w:rsid w:val="002824DE"/>
    <w:rsid w:val="00283255"/>
    <w:rsid w:val="00283B53"/>
    <w:rsid w:val="00283B82"/>
    <w:rsid w:val="002846E9"/>
    <w:rsid w:val="00284C34"/>
    <w:rsid w:val="002855B3"/>
    <w:rsid w:val="0029066C"/>
    <w:rsid w:val="00294B19"/>
    <w:rsid w:val="00297969"/>
    <w:rsid w:val="002A3E3E"/>
    <w:rsid w:val="002A50A8"/>
    <w:rsid w:val="002B04AE"/>
    <w:rsid w:val="002B0982"/>
    <w:rsid w:val="002B101F"/>
    <w:rsid w:val="002B10D4"/>
    <w:rsid w:val="002B50DB"/>
    <w:rsid w:val="002C10A7"/>
    <w:rsid w:val="002C12AB"/>
    <w:rsid w:val="002C279D"/>
    <w:rsid w:val="002C5C60"/>
    <w:rsid w:val="002C69D8"/>
    <w:rsid w:val="002C7CAC"/>
    <w:rsid w:val="002D3248"/>
    <w:rsid w:val="002D3306"/>
    <w:rsid w:val="002D3418"/>
    <w:rsid w:val="002D4244"/>
    <w:rsid w:val="002D48AA"/>
    <w:rsid w:val="002D5D6C"/>
    <w:rsid w:val="002D7875"/>
    <w:rsid w:val="002D7BAA"/>
    <w:rsid w:val="002D7DC7"/>
    <w:rsid w:val="002D7F54"/>
    <w:rsid w:val="002E2F1E"/>
    <w:rsid w:val="002E37E7"/>
    <w:rsid w:val="002E3FF4"/>
    <w:rsid w:val="002E4126"/>
    <w:rsid w:val="002F0A57"/>
    <w:rsid w:val="002F3569"/>
    <w:rsid w:val="002F5FDC"/>
    <w:rsid w:val="002F7078"/>
    <w:rsid w:val="002F759C"/>
    <w:rsid w:val="002F78C8"/>
    <w:rsid w:val="003006CA"/>
    <w:rsid w:val="00301CF3"/>
    <w:rsid w:val="003032C1"/>
    <w:rsid w:val="00303AC1"/>
    <w:rsid w:val="00303F8C"/>
    <w:rsid w:val="003040EA"/>
    <w:rsid w:val="00306656"/>
    <w:rsid w:val="00307033"/>
    <w:rsid w:val="00310FF9"/>
    <w:rsid w:val="003133E3"/>
    <w:rsid w:val="00313B16"/>
    <w:rsid w:val="00317344"/>
    <w:rsid w:val="0032118E"/>
    <w:rsid w:val="00321247"/>
    <w:rsid w:val="0032715C"/>
    <w:rsid w:val="00334E28"/>
    <w:rsid w:val="003359A9"/>
    <w:rsid w:val="003369B8"/>
    <w:rsid w:val="00336B3B"/>
    <w:rsid w:val="00337CA5"/>
    <w:rsid w:val="0034270B"/>
    <w:rsid w:val="00347A14"/>
    <w:rsid w:val="00351F16"/>
    <w:rsid w:val="00362478"/>
    <w:rsid w:val="00363EF3"/>
    <w:rsid w:val="003667AD"/>
    <w:rsid w:val="00372EAE"/>
    <w:rsid w:val="003733BA"/>
    <w:rsid w:val="00375B25"/>
    <w:rsid w:val="003807FF"/>
    <w:rsid w:val="0038132C"/>
    <w:rsid w:val="00381D9E"/>
    <w:rsid w:val="003878A9"/>
    <w:rsid w:val="00390D8B"/>
    <w:rsid w:val="00396542"/>
    <w:rsid w:val="0039685B"/>
    <w:rsid w:val="003A31A6"/>
    <w:rsid w:val="003A3C61"/>
    <w:rsid w:val="003A6A3C"/>
    <w:rsid w:val="003A713F"/>
    <w:rsid w:val="003A7F0C"/>
    <w:rsid w:val="003A7F79"/>
    <w:rsid w:val="003B37E9"/>
    <w:rsid w:val="003B426E"/>
    <w:rsid w:val="003B6404"/>
    <w:rsid w:val="003B67A2"/>
    <w:rsid w:val="003B6BD1"/>
    <w:rsid w:val="003B787E"/>
    <w:rsid w:val="003C1635"/>
    <w:rsid w:val="003C1DA0"/>
    <w:rsid w:val="003C2215"/>
    <w:rsid w:val="003C35C6"/>
    <w:rsid w:val="003C449B"/>
    <w:rsid w:val="003C6409"/>
    <w:rsid w:val="003D21FF"/>
    <w:rsid w:val="003D357A"/>
    <w:rsid w:val="003D5B0A"/>
    <w:rsid w:val="003D698A"/>
    <w:rsid w:val="003D6CFA"/>
    <w:rsid w:val="003E35FD"/>
    <w:rsid w:val="003F0112"/>
    <w:rsid w:val="003F071A"/>
    <w:rsid w:val="003F160B"/>
    <w:rsid w:val="003F1E50"/>
    <w:rsid w:val="003F4D77"/>
    <w:rsid w:val="003F7754"/>
    <w:rsid w:val="00400032"/>
    <w:rsid w:val="00400B5B"/>
    <w:rsid w:val="00401621"/>
    <w:rsid w:val="004056ED"/>
    <w:rsid w:val="00405A00"/>
    <w:rsid w:val="00410246"/>
    <w:rsid w:val="00412A03"/>
    <w:rsid w:val="00413396"/>
    <w:rsid w:val="004179DE"/>
    <w:rsid w:val="00420870"/>
    <w:rsid w:val="00425868"/>
    <w:rsid w:val="004268F6"/>
    <w:rsid w:val="00427C10"/>
    <w:rsid w:val="00432422"/>
    <w:rsid w:val="00432D0C"/>
    <w:rsid w:val="00433859"/>
    <w:rsid w:val="00433C6B"/>
    <w:rsid w:val="0043791B"/>
    <w:rsid w:val="00440FC7"/>
    <w:rsid w:val="00441187"/>
    <w:rsid w:val="00441483"/>
    <w:rsid w:val="00441BCB"/>
    <w:rsid w:val="00441DBE"/>
    <w:rsid w:val="00443F19"/>
    <w:rsid w:val="0045176A"/>
    <w:rsid w:val="0045202F"/>
    <w:rsid w:val="004561F8"/>
    <w:rsid w:val="00456332"/>
    <w:rsid w:val="00456663"/>
    <w:rsid w:val="00456A48"/>
    <w:rsid w:val="00456A5B"/>
    <w:rsid w:val="00457AF9"/>
    <w:rsid w:val="00461826"/>
    <w:rsid w:val="00466630"/>
    <w:rsid w:val="00467DD9"/>
    <w:rsid w:val="004704CE"/>
    <w:rsid w:val="0047358D"/>
    <w:rsid w:val="00475AF2"/>
    <w:rsid w:val="004800F9"/>
    <w:rsid w:val="00482171"/>
    <w:rsid w:val="00486FDD"/>
    <w:rsid w:val="0049134A"/>
    <w:rsid w:val="00491694"/>
    <w:rsid w:val="004918A5"/>
    <w:rsid w:val="00492070"/>
    <w:rsid w:val="004934EE"/>
    <w:rsid w:val="004942C6"/>
    <w:rsid w:val="004A3F51"/>
    <w:rsid w:val="004A5603"/>
    <w:rsid w:val="004A58CB"/>
    <w:rsid w:val="004A63C3"/>
    <w:rsid w:val="004B1795"/>
    <w:rsid w:val="004B392E"/>
    <w:rsid w:val="004B4FAE"/>
    <w:rsid w:val="004B56DD"/>
    <w:rsid w:val="004B5B0C"/>
    <w:rsid w:val="004B66FA"/>
    <w:rsid w:val="004C020F"/>
    <w:rsid w:val="004C1AFD"/>
    <w:rsid w:val="004C2C56"/>
    <w:rsid w:val="004C49D2"/>
    <w:rsid w:val="004C558B"/>
    <w:rsid w:val="004C7A0E"/>
    <w:rsid w:val="004D1E87"/>
    <w:rsid w:val="004D492F"/>
    <w:rsid w:val="004D526B"/>
    <w:rsid w:val="004D564C"/>
    <w:rsid w:val="004D5C7F"/>
    <w:rsid w:val="004E2E8D"/>
    <w:rsid w:val="004E361C"/>
    <w:rsid w:val="004E5C4C"/>
    <w:rsid w:val="004E6B86"/>
    <w:rsid w:val="004F0E6D"/>
    <w:rsid w:val="004F1F88"/>
    <w:rsid w:val="004F304C"/>
    <w:rsid w:val="004F5F1B"/>
    <w:rsid w:val="00502374"/>
    <w:rsid w:val="005026E7"/>
    <w:rsid w:val="005037C5"/>
    <w:rsid w:val="0050422D"/>
    <w:rsid w:val="005060A1"/>
    <w:rsid w:val="00506F1D"/>
    <w:rsid w:val="0051005B"/>
    <w:rsid w:val="00513BEA"/>
    <w:rsid w:val="005156F3"/>
    <w:rsid w:val="00516072"/>
    <w:rsid w:val="005171F5"/>
    <w:rsid w:val="00527517"/>
    <w:rsid w:val="00530649"/>
    <w:rsid w:val="0053070D"/>
    <w:rsid w:val="00531404"/>
    <w:rsid w:val="005332EC"/>
    <w:rsid w:val="00534418"/>
    <w:rsid w:val="005353AB"/>
    <w:rsid w:val="00535E98"/>
    <w:rsid w:val="00536618"/>
    <w:rsid w:val="005374D7"/>
    <w:rsid w:val="00540E4C"/>
    <w:rsid w:val="00545213"/>
    <w:rsid w:val="005542A6"/>
    <w:rsid w:val="00554F08"/>
    <w:rsid w:val="00555391"/>
    <w:rsid w:val="005560BC"/>
    <w:rsid w:val="005573BE"/>
    <w:rsid w:val="00561723"/>
    <w:rsid w:val="00561D6A"/>
    <w:rsid w:val="00562633"/>
    <w:rsid w:val="005634ED"/>
    <w:rsid w:val="00572700"/>
    <w:rsid w:val="00573099"/>
    <w:rsid w:val="005739B0"/>
    <w:rsid w:val="005748AA"/>
    <w:rsid w:val="0057567E"/>
    <w:rsid w:val="00580468"/>
    <w:rsid w:val="00582231"/>
    <w:rsid w:val="00583F9F"/>
    <w:rsid w:val="0058603B"/>
    <w:rsid w:val="00590305"/>
    <w:rsid w:val="00591C5A"/>
    <w:rsid w:val="00594229"/>
    <w:rsid w:val="0059431B"/>
    <w:rsid w:val="005955FA"/>
    <w:rsid w:val="005A38C3"/>
    <w:rsid w:val="005A39CC"/>
    <w:rsid w:val="005A44ED"/>
    <w:rsid w:val="005A6055"/>
    <w:rsid w:val="005B0D8F"/>
    <w:rsid w:val="005B4730"/>
    <w:rsid w:val="005C0006"/>
    <w:rsid w:val="005C0F33"/>
    <w:rsid w:val="005C1119"/>
    <w:rsid w:val="005C6979"/>
    <w:rsid w:val="005E05D7"/>
    <w:rsid w:val="005E0C31"/>
    <w:rsid w:val="005E11DD"/>
    <w:rsid w:val="005E41E7"/>
    <w:rsid w:val="005E450F"/>
    <w:rsid w:val="005F066B"/>
    <w:rsid w:val="005F0C0D"/>
    <w:rsid w:val="005F10A1"/>
    <w:rsid w:val="005F126D"/>
    <w:rsid w:val="005F3D9B"/>
    <w:rsid w:val="005F43FE"/>
    <w:rsid w:val="005F5FD1"/>
    <w:rsid w:val="00611CCF"/>
    <w:rsid w:val="006135BC"/>
    <w:rsid w:val="00615EE2"/>
    <w:rsid w:val="006161B7"/>
    <w:rsid w:val="00616C55"/>
    <w:rsid w:val="0062298A"/>
    <w:rsid w:val="00622BB8"/>
    <w:rsid w:val="00625C4A"/>
    <w:rsid w:val="00626514"/>
    <w:rsid w:val="00626589"/>
    <w:rsid w:val="00627C9A"/>
    <w:rsid w:val="00630F37"/>
    <w:rsid w:val="00630FCC"/>
    <w:rsid w:val="00632064"/>
    <w:rsid w:val="006339A0"/>
    <w:rsid w:val="00637F83"/>
    <w:rsid w:val="00640460"/>
    <w:rsid w:val="006408AC"/>
    <w:rsid w:val="006413A8"/>
    <w:rsid w:val="00641ECC"/>
    <w:rsid w:val="00642A9B"/>
    <w:rsid w:val="00642E56"/>
    <w:rsid w:val="00644238"/>
    <w:rsid w:val="006447FA"/>
    <w:rsid w:val="00645940"/>
    <w:rsid w:val="00651E00"/>
    <w:rsid w:val="006538D4"/>
    <w:rsid w:val="00655110"/>
    <w:rsid w:val="0066093B"/>
    <w:rsid w:val="00661ADF"/>
    <w:rsid w:val="00661D25"/>
    <w:rsid w:val="00664480"/>
    <w:rsid w:val="0066678B"/>
    <w:rsid w:val="00671C01"/>
    <w:rsid w:val="00674572"/>
    <w:rsid w:val="00687763"/>
    <w:rsid w:val="00690FF1"/>
    <w:rsid w:val="006915EE"/>
    <w:rsid w:val="00692B0D"/>
    <w:rsid w:val="00692E1D"/>
    <w:rsid w:val="00693C78"/>
    <w:rsid w:val="00693E0E"/>
    <w:rsid w:val="006949AF"/>
    <w:rsid w:val="00695BB7"/>
    <w:rsid w:val="006A1AE3"/>
    <w:rsid w:val="006A257B"/>
    <w:rsid w:val="006A73C1"/>
    <w:rsid w:val="006B042F"/>
    <w:rsid w:val="006B2C20"/>
    <w:rsid w:val="006B37E9"/>
    <w:rsid w:val="006B6062"/>
    <w:rsid w:val="006C30E1"/>
    <w:rsid w:val="006C3DE1"/>
    <w:rsid w:val="006C4607"/>
    <w:rsid w:val="006D0440"/>
    <w:rsid w:val="006D0922"/>
    <w:rsid w:val="006D2766"/>
    <w:rsid w:val="006D2EE2"/>
    <w:rsid w:val="006D39ED"/>
    <w:rsid w:val="006D45B8"/>
    <w:rsid w:val="006D48F1"/>
    <w:rsid w:val="006D7E24"/>
    <w:rsid w:val="006E2041"/>
    <w:rsid w:val="006E5AF5"/>
    <w:rsid w:val="006F0F87"/>
    <w:rsid w:val="006F25B4"/>
    <w:rsid w:val="006F45BE"/>
    <w:rsid w:val="006F5A7D"/>
    <w:rsid w:val="007004FC"/>
    <w:rsid w:val="007026F9"/>
    <w:rsid w:val="00706670"/>
    <w:rsid w:val="00710D2A"/>
    <w:rsid w:val="00711F59"/>
    <w:rsid w:val="007128EB"/>
    <w:rsid w:val="00712DF6"/>
    <w:rsid w:val="0072417C"/>
    <w:rsid w:val="007245AD"/>
    <w:rsid w:val="007319F1"/>
    <w:rsid w:val="00734450"/>
    <w:rsid w:val="0073482D"/>
    <w:rsid w:val="00741006"/>
    <w:rsid w:val="00745F67"/>
    <w:rsid w:val="007501E6"/>
    <w:rsid w:val="0075039E"/>
    <w:rsid w:val="00751242"/>
    <w:rsid w:val="00752D9D"/>
    <w:rsid w:val="00754784"/>
    <w:rsid w:val="00757C6E"/>
    <w:rsid w:val="00762BDA"/>
    <w:rsid w:val="00765346"/>
    <w:rsid w:val="00765A71"/>
    <w:rsid w:val="007665CF"/>
    <w:rsid w:val="007676EC"/>
    <w:rsid w:val="007711D6"/>
    <w:rsid w:val="007736F1"/>
    <w:rsid w:val="00774AE2"/>
    <w:rsid w:val="007805FD"/>
    <w:rsid w:val="00783474"/>
    <w:rsid w:val="007839BC"/>
    <w:rsid w:val="00783A23"/>
    <w:rsid w:val="00784422"/>
    <w:rsid w:val="00785924"/>
    <w:rsid w:val="0079000A"/>
    <w:rsid w:val="00793C37"/>
    <w:rsid w:val="007964D6"/>
    <w:rsid w:val="00796DA2"/>
    <w:rsid w:val="007A2008"/>
    <w:rsid w:val="007A2491"/>
    <w:rsid w:val="007A28B9"/>
    <w:rsid w:val="007A36DF"/>
    <w:rsid w:val="007A3846"/>
    <w:rsid w:val="007A3A0B"/>
    <w:rsid w:val="007A3BCF"/>
    <w:rsid w:val="007A4E59"/>
    <w:rsid w:val="007A5B7B"/>
    <w:rsid w:val="007A66D8"/>
    <w:rsid w:val="007A791E"/>
    <w:rsid w:val="007B056C"/>
    <w:rsid w:val="007B37C5"/>
    <w:rsid w:val="007B3B54"/>
    <w:rsid w:val="007B3FA0"/>
    <w:rsid w:val="007B4BC6"/>
    <w:rsid w:val="007C0F2C"/>
    <w:rsid w:val="007C2BB1"/>
    <w:rsid w:val="007C2BCC"/>
    <w:rsid w:val="007C35B2"/>
    <w:rsid w:val="007C4EF0"/>
    <w:rsid w:val="007C5755"/>
    <w:rsid w:val="007C6281"/>
    <w:rsid w:val="007D099D"/>
    <w:rsid w:val="007D7BA1"/>
    <w:rsid w:val="007E00AF"/>
    <w:rsid w:val="007E2664"/>
    <w:rsid w:val="007E3ABF"/>
    <w:rsid w:val="007E44C5"/>
    <w:rsid w:val="007E5416"/>
    <w:rsid w:val="007E5BFA"/>
    <w:rsid w:val="007E6689"/>
    <w:rsid w:val="007E731C"/>
    <w:rsid w:val="007F0A03"/>
    <w:rsid w:val="007F2F05"/>
    <w:rsid w:val="007F7EAD"/>
    <w:rsid w:val="00807B16"/>
    <w:rsid w:val="00807D76"/>
    <w:rsid w:val="00810040"/>
    <w:rsid w:val="00814B2E"/>
    <w:rsid w:val="00814C68"/>
    <w:rsid w:val="008201D2"/>
    <w:rsid w:val="0082023A"/>
    <w:rsid w:val="00821A7A"/>
    <w:rsid w:val="008253F8"/>
    <w:rsid w:val="00826B74"/>
    <w:rsid w:val="00826C67"/>
    <w:rsid w:val="00826F98"/>
    <w:rsid w:val="008325E4"/>
    <w:rsid w:val="00832A2B"/>
    <w:rsid w:val="008343EA"/>
    <w:rsid w:val="0083777F"/>
    <w:rsid w:val="00842B02"/>
    <w:rsid w:val="008433E8"/>
    <w:rsid w:val="00843A2D"/>
    <w:rsid w:val="00845811"/>
    <w:rsid w:val="00846994"/>
    <w:rsid w:val="00847023"/>
    <w:rsid w:val="00850451"/>
    <w:rsid w:val="00852042"/>
    <w:rsid w:val="008525FD"/>
    <w:rsid w:val="008534C9"/>
    <w:rsid w:val="0085599D"/>
    <w:rsid w:val="00855FF4"/>
    <w:rsid w:val="00865BA9"/>
    <w:rsid w:val="0087510C"/>
    <w:rsid w:val="008771E0"/>
    <w:rsid w:val="00881B32"/>
    <w:rsid w:val="008851FB"/>
    <w:rsid w:val="00886A98"/>
    <w:rsid w:val="00890442"/>
    <w:rsid w:val="00890499"/>
    <w:rsid w:val="00893847"/>
    <w:rsid w:val="00893E73"/>
    <w:rsid w:val="00894705"/>
    <w:rsid w:val="008968D2"/>
    <w:rsid w:val="0089738E"/>
    <w:rsid w:val="008A1B39"/>
    <w:rsid w:val="008A7608"/>
    <w:rsid w:val="008B4465"/>
    <w:rsid w:val="008B5FDB"/>
    <w:rsid w:val="008B6B16"/>
    <w:rsid w:val="008C2F07"/>
    <w:rsid w:val="008C3A13"/>
    <w:rsid w:val="008C50F4"/>
    <w:rsid w:val="008C5649"/>
    <w:rsid w:val="008D2EC0"/>
    <w:rsid w:val="008D6162"/>
    <w:rsid w:val="008E2513"/>
    <w:rsid w:val="008E44A2"/>
    <w:rsid w:val="008E4C6B"/>
    <w:rsid w:val="008E4EB6"/>
    <w:rsid w:val="008E697D"/>
    <w:rsid w:val="008E778C"/>
    <w:rsid w:val="008F1A6E"/>
    <w:rsid w:val="008F444F"/>
    <w:rsid w:val="008F6857"/>
    <w:rsid w:val="008F7FFA"/>
    <w:rsid w:val="0090135E"/>
    <w:rsid w:val="0090267E"/>
    <w:rsid w:val="00903263"/>
    <w:rsid w:val="009032AB"/>
    <w:rsid w:val="00904019"/>
    <w:rsid w:val="00906A21"/>
    <w:rsid w:val="009079C3"/>
    <w:rsid w:val="00910462"/>
    <w:rsid w:val="009122EC"/>
    <w:rsid w:val="00915AB1"/>
    <w:rsid w:val="00917532"/>
    <w:rsid w:val="00917600"/>
    <w:rsid w:val="00917CA0"/>
    <w:rsid w:val="009202D1"/>
    <w:rsid w:val="00920E7B"/>
    <w:rsid w:val="00922E94"/>
    <w:rsid w:val="009235BA"/>
    <w:rsid w:val="00924023"/>
    <w:rsid w:val="00924CE2"/>
    <w:rsid w:val="00925B9F"/>
    <w:rsid w:val="009268D6"/>
    <w:rsid w:val="009309EB"/>
    <w:rsid w:val="00931AED"/>
    <w:rsid w:val="00940645"/>
    <w:rsid w:val="00941300"/>
    <w:rsid w:val="00945766"/>
    <w:rsid w:val="00946395"/>
    <w:rsid w:val="009476A3"/>
    <w:rsid w:val="0095334F"/>
    <w:rsid w:val="00953D83"/>
    <w:rsid w:val="0095423D"/>
    <w:rsid w:val="00956C8B"/>
    <w:rsid w:val="009656DE"/>
    <w:rsid w:val="00965897"/>
    <w:rsid w:val="0096765C"/>
    <w:rsid w:val="00967848"/>
    <w:rsid w:val="009714D2"/>
    <w:rsid w:val="00971C00"/>
    <w:rsid w:val="009727E4"/>
    <w:rsid w:val="0097347D"/>
    <w:rsid w:val="00973E49"/>
    <w:rsid w:val="00980373"/>
    <w:rsid w:val="00981DA6"/>
    <w:rsid w:val="00982156"/>
    <w:rsid w:val="00982AAD"/>
    <w:rsid w:val="009864BB"/>
    <w:rsid w:val="0098773B"/>
    <w:rsid w:val="00987B16"/>
    <w:rsid w:val="00990716"/>
    <w:rsid w:val="00992E99"/>
    <w:rsid w:val="009934C5"/>
    <w:rsid w:val="00994342"/>
    <w:rsid w:val="009945B8"/>
    <w:rsid w:val="00994C0F"/>
    <w:rsid w:val="00997A5B"/>
    <w:rsid w:val="009A0027"/>
    <w:rsid w:val="009A33ED"/>
    <w:rsid w:val="009B118C"/>
    <w:rsid w:val="009B22D7"/>
    <w:rsid w:val="009B23A7"/>
    <w:rsid w:val="009B2A92"/>
    <w:rsid w:val="009B4270"/>
    <w:rsid w:val="009B5986"/>
    <w:rsid w:val="009B72ED"/>
    <w:rsid w:val="009C0D06"/>
    <w:rsid w:val="009C30E0"/>
    <w:rsid w:val="009C5659"/>
    <w:rsid w:val="009C6DEB"/>
    <w:rsid w:val="009D27A6"/>
    <w:rsid w:val="009D4EF6"/>
    <w:rsid w:val="009D6027"/>
    <w:rsid w:val="009D62BB"/>
    <w:rsid w:val="009D6504"/>
    <w:rsid w:val="009E12D7"/>
    <w:rsid w:val="009E159A"/>
    <w:rsid w:val="009E242E"/>
    <w:rsid w:val="009E4BD1"/>
    <w:rsid w:val="009E56AD"/>
    <w:rsid w:val="009E656D"/>
    <w:rsid w:val="009E661A"/>
    <w:rsid w:val="009E6C0C"/>
    <w:rsid w:val="009F0513"/>
    <w:rsid w:val="009F1276"/>
    <w:rsid w:val="009F30B3"/>
    <w:rsid w:val="009F5710"/>
    <w:rsid w:val="009F7D7D"/>
    <w:rsid w:val="00A01B80"/>
    <w:rsid w:val="00A020E6"/>
    <w:rsid w:val="00A05E77"/>
    <w:rsid w:val="00A06077"/>
    <w:rsid w:val="00A06781"/>
    <w:rsid w:val="00A074C3"/>
    <w:rsid w:val="00A07DC8"/>
    <w:rsid w:val="00A100ED"/>
    <w:rsid w:val="00A102CE"/>
    <w:rsid w:val="00A1367E"/>
    <w:rsid w:val="00A1509C"/>
    <w:rsid w:val="00A17D0E"/>
    <w:rsid w:val="00A238AE"/>
    <w:rsid w:val="00A249B9"/>
    <w:rsid w:val="00A26187"/>
    <w:rsid w:val="00A31F77"/>
    <w:rsid w:val="00A32321"/>
    <w:rsid w:val="00A324D2"/>
    <w:rsid w:val="00A34260"/>
    <w:rsid w:val="00A342D3"/>
    <w:rsid w:val="00A41842"/>
    <w:rsid w:val="00A43390"/>
    <w:rsid w:val="00A513CA"/>
    <w:rsid w:val="00A51E31"/>
    <w:rsid w:val="00A523F9"/>
    <w:rsid w:val="00A55ACA"/>
    <w:rsid w:val="00A5793E"/>
    <w:rsid w:val="00A6048E"/>
    <w:rsid w:val="00A648A4"/>
    <w:rsid w:val="00A65338"/>
    <w:rsid w:val="00A70CFD"/>
    <w:rsid w:val="00A72A0B"/>
    <w:rsid w:val="00A72CAB"/>
    <w:rsid w:val="00A73F73"/>
    <w:rsid w:val="00A77110"/>
    <w:rsid w:val="00A77DBB"/>
    <w:rsid w:val="00A77F80"/>
    <w:rsid w:val="00A81217"/>
    <w:rsid w:val="00A8123C"/>
    <w:rsid w:val="00A81E42"/>
    <w:rsid w:val="00A82F8D"/>
    <w:rsid w:val="00A8314F"/>
    <w:rsid w:val="00A864FE"/>
    <w:rsid w:val="00A86C31"/>
    <w:rsid w:val="00A86F41"/>
    <w:rsid w:val="00A8776B"/>
    <w:rsid w:val="00A87D04"/>
    <w:rsid w:val="00A90F60"/>
    <w:rsid w:val="00A950C5"/>
    <w:rsid w:val="00A95777"/>
    <w:rsid w:val="00AA16DE"/>
    <w:rsid w:val="00AA1BF0"/>
    <w:rsid w:val="00AA1D25"/>
    <w:rsid w:val="00AA2D6D"/>
    <w:rsid w:val="00AA3642"/>
    <w:rsid w:val="00AA3897"/>
    <w:rsid w:val="00AB2B1A"/>
    <w:rsid w:val="00AB397F"/>
    <w:rsid w:val="00AB5832"/>
    <w:rsid w:val="00AC19C6"/>
    <w:rsid w:val="00AC51F2"/>
    <w:rsid w:val="00AD104F"/>
    <w:rsid w:val="00AD159D"/>
    <w:rsid w:val="00AD27C6"/>
    <w:rsid w:val="00AD3269"/>
    <w:rsid w:val="00AD3936"/>
    <w:rsid w:val="00AD64BC"/>
    <w:rsid w:val="00AE04EA"/>
    <w:rsid w:val="00AE0B4B"/>
    <w:rsid w:val="00AE1F32"/>
    <w:rsid w:val="00AE5066"/>
    <w:rsid w:val="00AE5E24"/>
    <w:rsid w:val="00AE61B7"/>
    <w:rsid w:val="00AE6CBA"/>
    <w:rsid w:val="00AE79AD"/>
    <w:rsid w:val="00AF10B5"/>
    <w:rsid w:val="00AF2549"/>
    <w:rsid w:val="00AF35E4"/>
    <w:rsid w:val="00AF4154"/>
    <w:rsid w:val="00AF5CDE"/>
    <w:rsid w:val="00AF6A09"/>
    <w:rsid w:val="00B032F8"/>
    <w:rsid w:val="00B06239"/>
    <w:rsid w:val="00B1057C"/>
    <w:rsid w:val="00B11A57"/>
    <w:rsid w:val="00B211C3"/>
    <w:rsid w:val="00B233A7"/>
    <w:rsid w:val="00B25597"/>
    <w:rsid w:val="00B25658"/>
    <w:rsid w:val="00B267B9"/>
    <w:rsid w:val="00B31EF8"/>
    <w:rsid w:val="00B336A7"/>
    <w:rsid w:val="00B33E09"/>
    <w:rsid w:val="00B40D37"/>
    <w:rsid w:val="00B4248B"/>
    <w:rsid w:val="00B42B3F"/>
    <w:rsid w:val="00B45326"/>
    <w:rsid w:val="00B50708"/>
    <w:rsid w:val="00B50C68"/>
    <w:rsid w:val="00B51293"/>
    <w:rsid w:val="00B51EA9"/>
    <w:rsid w:val="00B52488"/>
    <w:rsid w:val="00B52B1E"/>
    <w:rsid w:val="00B52F49"/>
    <w:rsid w:val="00B53E6B"/>
    <w:rsid w:val="00B54828"/>
    <w:rsid w:val="00B55481"/>
    <w:rsid w:val="00B56C32"/>
    <w:rsid w:val="00B56D61"/>
    <w:rsid w:val="00B57ACF"/>
    <w:rsid w:val="00B61E4D"/>
    <w:rsid w:val="00B64BB1"/>
    <w:rsid w:val="00B657DA"/>
    <w:rsid w:val="00B7276F"/>
    <w:rsid w:val="00B73166"/>
    <w:rsid w:val="00B73D56"/>
    <w:rsid w:val="00B80AC2"/>
    <w:rsid w:val="00B80EE0"/>
    <w:rsid w:val="00B8426C"/>
    <w:rsid w:val="00B84642"/>
    <w:rsid w:val="00B85104"/>
    <w:rsid w:val="00B862F6"/>
    <w:rsid w:val="00B86462"/>
    <w:rsid w:val="00B9193F"/>
    <w:rsid w:val="00B91B8D"/>
    <w:rsid w:val="00B94834"/>
    <w:rsid w:val="00B94E90"/>
    <w:rsid w:val="00BA343E"/>
    <w:rsid w:val="00BA3F32"/>
    <w:rsid w:val="00BA569A"/>
    <w:rsid w:val="00BA64D3"/>
    <w:rsid w:val="00BA7CAD"/>
    <w:rsid w:val="00BB0A82"/>
    <w:rsid w:val="00BB0AB3"/>
    <w:rsid w:val="00BB3910"/>
    <w:rsid w:val="00BB5DD4"/>
    <w:rsid w:val="00BB7C94"/>
    <w:rsid w:val="00BC0A9D"/>
    <w:rsid w:val="00BC54D5"/>
    <w:rsid w:val="00BC7734"/>
    <w:rsid w:val="00BD02BB"/>
    <w:rsid w:val="00BD0EDB"/>
    <w:rsid w:val="00BD0F53"/>
    <w:rsid w:val="00BD12CA"/>
    <w:rsid w:val="00BD2D1A"/>
    <w:rsid w:val="00BD3D8C"/>
    <w:rsid w:val="00BD494D"/>
    <w:rsid w:val="00BD4D26"/>
    <w:rsid w:val="00BD5A4C"/>
    <w:rsid w:val="00BD708E"/>
    <w:rsid w:val="00BD7A1F"/>
    <w:rsid w:val="00BE1763"/>
    <w:rsid w:val="00BE58F9"/>
    <w:rsid w:val="00BF1B67"/>
    <w:rsid w:val="00BF40ED"/>
    <w:rsid w:val="00BF5BC2"/>
    <w:rsid w:val="00BF75BE"/>
    <w:rsid w:val="00C10939"/>
    <w:rsid w:val="00C109F4"/>
    <w:rsid w:val="00C10EA6"/>
    <w:rsid w:val="00C1133D"/>
    <w:rsid w:val="00C11872"/>
    <w:rsid w:val="00C16414"/>
    <w:rsid w:val="00C1735C"/>
    <w:rsid w:val="00C20F81"/>
    <w:rsid w:val="00C2189B"/>
    <w:rsid w:val="00C21B88"/>
    <w:rsid w:val="00C24407"/>
    <w:rsid w:val="00C27A08"/>
    <w:rsid w:val="00C31312"/>
    <w:rsid w:val="00C31693"/>
    <w:rsid w:val="00C31E36"/>
    <w:rsid w:val="00C326C6"/>
    <w:rsid w:val="00C35295"/>
    <w:rsid w:val="00C368D6"/>
    <w:rsid w:val="00C36ADD"/>
    <w:rsid w:val="00C36E74"/>
    <w:rsid w:val="00C40595"/>
    <w:rsid w:val="00C411DA"/>
    <w:rsid w:val="00C41621"/>
    <w:rsid w:val="00C41B7C"/>
    <w:rsid w:val="00C449FA"/>
    <w:rsid w:val="00C44AF7"/>
    <w:rsid w:val="00C5384F"/>
    <w:rsid w:val="00C53B59"/>
    <w:rsid w:val="00C53D75"/>
    <w:rsid w:val="00C56964"/>
    <w:rsid w:val="00C6198C"/>
    <w:rsid w:val="00C656D5"/>
    <w:rsid w:val="00C65995"/>
    <w:rsid w:val="00C66246"/>
    <w:rsid w:val="00C6660C"/>
    <w:rsid w:val="00C67103"/>
    <w:rsid w:val="00C67E68"/>
    <w:rsid w:val="00C71BB9"/>
    <w:rsid w:val="00C736FB"/>
    <w:rsid w:val="00C7439D"/>
    <w:rsid w:val="00C74DEE"/>
    <w:rsid w:val="00C822B3"/>
    <w:rsid w:val="00C82A12"/>
    <w:rsid w:val="00C87CE3"/>
    <w:rsid w:val="00C945FA"/>
    <w:rsid w:val="00C94C28"/>
    <w:rsid w:val="00C95F30"/>
    <w:rsid w:val="00C966A7"/>
    <w:rsid w:val="00C96B4C"/>
    <w:rsid w:val="00C97CEF"/>
    <w:rsid w:val="00CA15AA"/>
    <w:rsid w:val="00CA6A2D"/>
    <w:rsid w:val="00CB0247"/>
    <w:rsid w:val="00CB0A64"/>
    <w:rsid w:val="00CB3440"/>
    <w:rsid w:val="00CB3FC2"/>
    <w:rsid w:val="00CB4084"/>
    <w:rsid w:val="00CB616A"/>
    <w:rsid w:val="00CC1692"/>
    <w:rsid w:val="00CC7AC4"/>
    <w:rsid w:val="00CD0BA7"/>
    <w:rsid w:val="00CD138B"/>
    <w:rsid w:val="00CD38B1"/>
    <w:rsid w:val="00CD3E31"/>
    <w:rsid w:val="00CD46A7"/>
    <w:rsid w:val="00CD5C57"/>
    <w:rsid w:val="00CD617D"/>
    <w:rsid w:val="00CD7117"/>
    <w:rsid w:val="00CD74A3"/>
    <w:rsid w:val="00CD79AB"/>
    <w:rsid w:val="00CE0527"/>
    <w:rsid w:val="00CE1DEE"/>
    <w:rsid w:val="00CE27C5"/>
    <w:rsid w:val="00CE30D0"/>
    <w:rsid w:val="00CE5174"/>
    <w:rsid w:val="00CE5B0B"/>
    <w:rsid w:val="00CE5B23"/>
    <w:rsid w:val="00CF2486"/>
    <w:rsid w:val="00CF573B"/>
    <w:rsid w:val="00CF58A8"/>
    <w:rsid w:val="00CF70AD"/>
    <w:rsid w:val="00CF7729"/>
    <w:rsid w:val="00D00059"/>
    <w:rsid w:val="00D009CE"/>
    <w:rsid w:val="00D00C4D"/>
    <w:rsid w:val="00D02F34"/>
    <w:rsid w:val="00D0487F"/>
    <w:rsid w:val="00D06BC9"/>
    <w:rsid w:val="00D107FA"/>
    <w:rsid w:val="00D11555"/>
    <w:rsid w:val="00D11924"/>
    <w:rsid w:val="00D12275"/>
    <w:rsid w:val="00D12766"/>
    <w:rsid w:val="00D12AB6"/>
    <w:rsid w:val="00D20E4E"/>
    <w:rsid w:val="00D20FF4"/>
    <w:rsid w:val="00D212D8"/>
    <w:rsid w:val="00D22B0E"/>
    <w:rsid w:val="00D24D2C"/>
    <w:rsid w:val="00D26B55"/>
    <w:rsid w:val="00D274C4"/>
    <w:rsid w:val="00D33A31"/>
    <w:rsid w:val="00D34B3F"/>
    <w:rsid w:val="00D34C3C"/>
    <w:rsid w:val="00D35881"/>
    <w:rsid w:val="00D36648"/>
    <w:rsid w:val="00D36916"/>
    <w:rsid w:val="00D42CF8"/>
    <w:rsid w:val="00D442BD"/>
    <w:rsid w:val="00D44A23"/>
    <w:rsid w:val="00D479AF"/>
    <w:rsid w:val="00D55399"/>
    <w:rsid w:val="00D55859"/>
    <w:rsid w:val="00D625AA"/>
    <w:rsid w:val="00D71E21"/>
    <w:rsid w:val="00D73C93"/>
    <w:rsid w:val="00D77B6F"/>
    <w:rsid w:val="00D805F0"/>
    <w:rsid w:val="00D83214"/>
    <w:rsid w:val="00D83E21"/>
    <w:rsid w:val="00D901A0"/>
    <w:rsid w:val="00D920E7"/>
    <w:rsid w:val="00D95461"/>
    <w:rsid w:val="00DA57C0"/>
    <w:rsid w:val="00DA664C"/>
    <w:rsid w:val="00DA78A7"/>
    <w:rsid w:val="00DA7DA5"/>
    <w:rsid w:val="00DB0440"/>
    <w:rsid w:val="00DB073B"/>
    <w:rsid w:val="00DB264F"/>
    <w:rsid w:val="00DB6DDB"/>
    <w:rsid w:val="00DB7308"/>
    <w:rsid w:val="00DB78F0"/>
    <w:rsid w:val="00DC0A62"/>
    <w:rsid w:val="00DC0CEA"/>
    <w:rsid w:val="00DC2E43"/>
    <w:rsid w:val="00DC34AC"/>
    <w:rsid w:val="00DC3B82"/>
    <w:rsid w:val="00DC55A3"/>
    <w:rsid w:val="00DC73F1"/>
    <w:rsid w:val="00DC7F9C"/>
    <w:rsid w:val="00DD095C"/>
    <w:rsid w:val="00DD0A7A"/>
    <w:rsid w:val="00DD1020"/>
    <w:rsid w:val="00DD1330"/>
    <w:rsid w:val="00DD1E59"/>
    <w:rsid w:val="00DD28E0"/>
    <w:rsid w:val="00DD3231"/>
    <w:rsid w:val="00DE0B83"/>
    <w:rsid w:val="00DE0D0F"/>
    <w:rsid w:val="00DE1A81"/>
    <w:rsid w:val="00DE1C13"/>
    <w:rsid w:val="00DE2677"/>
    <w:rsid w:val="00DE4D02"/>
    <w:rsid w:val="00DE4E10"/>
    <w:rsid w:val="00DE7083"/>
    <w:rsid w:val="00DE7949"/>
    <w:rsid w:val="00DF4689"/>
    <w:rsid w:val="00DF6797"/>
    <w:rsid w:val="00DF6A1A"/>
    <w:rsid w:val="00DF7678"/>
    <w:rsid w:val="00E02ABF"/>
    <w:rsid w:val="00E0557E"/>
    <w:rsid w:val="00E14995"/>
    <w:rsid w:val="00E15E3E"/>
    <w:rsid w:val="00E166B0"/>
    <w:rsid w:val="00E179CD"/>
    <w:rsid w:val="00E23250"/>
    <w:rsid w:val="00E232AD"/>
    <w:rsid w:val="00E23E8D"/>
    <w:rsid w:val="00E246E3"/>
    <w:rsid w:val="00E24FF7"/>
    <w:rsid w:val="00E253EB"/>
    <w:rsid w:val="00E271A3"/>
    <w:rsid w:val="00E30E9F"/>
    <w:rsid w:val="00E311A3"/>
    <w:rsid w:val="00E37F98"/>
    <w:rsid w:val="00E46559"/>
    <w:rsid w:val="00E5238B"/>
    <w:rsid w:val="00E62175"/>
    <w:rsid w:val="00E64099"/>
    <w:rsid w:val="00E65787"/>
    <w:rsid w:val="00E6670C"/>
    <w:rsid w:val="00E66E5F"/>
    <w:rsid w:val="00E744B2"/>
    <w:rsid w:val="00E77471"/>
    <w:rsid w:val="00E776E8"/>
    <w:rsid w:val="00E8093E"/>
    <w:rsid w:val="00E83AD7"/>
    <w:rsid w:val="00E84DB4"/>
    <w:rsid w:val="00E8764A"/>
    <w:rsid w:val="00E87CDB"/>
    <w:rsid w:val="00E92C1F"/>
    <w:rsid w:val="00E93A95"/>
    <w:rsid w:val="00E95D4B"/>
    <w:rsid w:val="00E97658"/>
    <w:rsid w:val="00E97DFA"/>
    <w:rsid w:val="00EA20DE"/>
    <w:rsid w:val="00EA4493"/>
    <w:rsid w:val="00EA5176"/>
    <w:rsid w:val="00EA6728"/>
    <w:rsid w:val="00EA71C5"/>
    <w:rsid w:val="00EA76B8"/>
    <w:rsid w:val="00EB0D3C"/>
    <w:rsid w:val="00EB199F"/>
    <w:rsid w:val="00EC0312"/>
    <w:rsid w:val="00EC23F7"/>
    <w:rsid w:val="00EC2675"/>
    <w:rsid w:val="00EC4BD8"/>
    <w:rsid w:val="00EC63EB"/>
    <w:rsid w:val="00EC6901"/>
    <w:rsid w:val="00ED23A9"/>
    <w:rsid w:val="00ED3684"/>
    <w:rsid w:val="00ED412F"/>
    <w:rsid w:val="00ED5D0B"/>
    <w:rsid w:val="00EE20B3"/>
    <w:rsid w:val="00EE6BBC"/>
    <w:rsid w:val="00EF0186"/>
    <w:rsid w:val="00EF0B43"/>
    <w:rsid w:val="00EF0E3C"/>
    <w:rsid w:val="00EF1C15"/>
    <w:rsid w:val="00EF1F70"/>
    <w:rsid w:val="00EF2E31"/>
    <w:rsid w:val="00EF36B2"/>
    <w:rsid w:val="00EF5800"/>
    <w:rsid w:val="00EF77F9"/>
    <w:rsid w:val="00F00FA3"/>
    <w:rsid w:val="00F068C5"/>
    <w:rsid w:val="00F11BB9"/>
    <w:rsid w:val="00F1231C"/>
    <w:rsid w:val="00F1246B"/>
    <w:rsid w:val="00F137E4"/>
    <w:rsid w:val="00F16CC4"/>
    <w:rsid w:val="00F17B35"/>
    <w:rsid w:val="00F201EC"/>
    <w:rsid w:val="00F208A9"/>
    <w:rsid w:val="00F2102F"/>
    <w:rsid w:val="00F217F2"/>
    <w:rsid w:val="00F22CAF"/>
    <w:rsid w:val="00F23DB4"/>
    <w:rsid w:val="00F314E8"/>
    <w:rsid w:val="00F32350"/>
    <w:rsid w:val="00F35633"/>
    <w:rsid w:val="00F3582E"/>
    <w:rsid w:val="00F37796"/>
    <w:rsid w:val="00F41D75"/>
    <w:rsid w:val="00F47372"/>
    <w:rsid w:val="00F508C7"/>
    <w:rsid w:val="00F5139D"/>
    <w:rsid w:val="00F52629"/>
    <w:rsid w:val="00F53F64"/>
    <w:rsid w:val="00F5498A"/>
    <w:rsid w:val="00F55314"/>
    <w:rsid w:val="00F55977"/>
    <w:rsid w:val="00F5770B"/>
    <w:rsid w:val="00F62632"/>
    <w:rsid w:val="00F62D4C"/>
    <w:rsid w:val="00F62F43"/>
    <w:rsid w:val="00F63DAC"/>
    <w:rsid w:val="00F64A42"/>
    <w:rsid w:val="00F66DA3"/>
    <w:rsid w:val="00F71B07"/>
    <w:rsid w:val="00F73DEE"/>
    <w:rsid w:val="00F7454F"/>
    <w:rsid w:val="00F745ED"/>
    <w:rsid w:val="00F74C18"/>
    <w:rsid w:val="00F77511"/>
    <w:rsid w:val="00F77988"/>
    <w:rsid w:val="00F77F48"/>
    <w:rsid w:val="00F81BFC"/>
    <w:rsid w:val="00F82FD3"/>
    <w:rsid w:val="00F846BB"/>
    <w:rsid w:val="00F86A26"/>
    <w:rsid w:val="00F95719"/>
    <w:rsid w:val="00F961AE"/>
    <w:rsid w:val="00F96858"/>
    <w:rsid w:val="00FA0FD5"/>
    <w:rsid w:val="00FA191D"/>
    <w:rsid w:val="00FA6DD0"/>
    <w:rsid w:val="00FB2B33"/>
    <w:rsid w:val="00FB30F1"/>
    <w:rsid w:val="00FB331B"/>
    <w:rsid w:val="00FB37FF"/>
    <w:rsid w:val="00FB3AD8"/>
    <w:rsid w:val="00FB53E7"/>
    <w:rsid w:val="00FB5BAF"/>
    <w:rsid w:val="00FB5D6D"/>
    <w:rsid w:val="00FB69DD"/>
    <w:rsid w:val="00FC20E9"/>
    <w:rsid w:val="00FD2A8A"/>
    <w:rsid w:val="00FD3372"/>
    <w:rsid w:val="00FD3DF3"/>
    <w:rsid w:val="00FD5301"/>
    <w:rsid w:val="00FE2265"/>
    <w:rsid w:val="00FE254C"/>
    <w:rsid w:val="00FE4973"/>
    <w:rsid w:val="00FE4B5F"/>
    <w:rsid w:val="00FE5A2C"/>
    <w:rsid w:val="00FE5F40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gate.Kalnina@vid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Anotācija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9D2D-7090-469D-9157-226511BB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4F31D7-E884-4C8C-B3E8-5E600B0384C6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9719C5F7-BB0C-43AC-BFA5-E41C4A95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3719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2014. gada 11. februāra noteikumos Nr.96 "Nodokļu un citu maksājumu reģistrēšanas elektronisko ierīču un iekārtu lietošanas kārtība"" sākotnējās ietekmes novērtējuma ziņojums (anotācija)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5828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 gada 11. februāra noteikumos Nr.96 "Nodokļu un citu maksājumu reģistrēšanas elektronisko ierīču un iekārtu lietošanas kārtība"" sākotnējās ietekmes novērtējuma ziņojums (anotācija)</dc:title>
  <dc:subject>Anotācija</dc:subject>
  <dc:creator>Agate.Kalnina@vid.gov.lv</dc:creator>
  <dc:description>67083843</dc:description>
  <cp:lastModifiedBy>Laimdota Adlere</cp:lastModifiedBy>
  <cp:revision>4</cp:revision>
  <cp:lastPrinted>2014-04-04T08:39:00Z</cp:lastPrinted>
  <dcterms:created xsi:type="dcterms:W3CDTF">2015-04-30T11:41:00Z</dcterms:created>
  <dcterms:modified xsi:type="dcterms:W3CDTF">2015-04-30T11:41:00Z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