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F9" w:rsidRPr="00BD3F53" w:rsidRDefault="005751F9" w:rsidP="005751F9">
      <w:pPr>
        <w:spacing w:after="0" w:line="240" w:lineRule="auto"/>
        <w:jc w:val="center"/>
        <w:rPr>
          <w:rFonts w:ascii="Times New Roman" w:hAnsi="Times New Roman" w:cs="Times New Roman"/>
          <w:b/>
          <w:sz w:val="24"/>
          <w:szCs w:val="24"/>
        </w:rPr>
      </w:pPr>
      <w:r w:rsidRPr="00BD3F53">
        <w:rPr>
          <w:rFonts w:ascii="Times New Roman" w:hAnsi="Times New Roman" w:cs="Times New Roman"/>
          <w:b/>
          <w:sz w:val="24"/>
          <w:szCs w:val="24"/>
        </w:rPr>
        <w:t>L</w:t>
      </w:r>
      <w:r w:rsidR="0061052B">
        <w:rPr>
          <w:rFonts w:ascii="Times New Roman" w:hAnsi="Times New Roman" w:cs="Times New Roman"/>
          <w:b/>
          <w:sz w:val="24"/>
          <w:szCs w:val="24"/>
        </w:rPr>
        <w:t>ikumprojekta “Pasažieru</w:t>
      </w:r>
      <w:r w:rsidRPr="00BD3F53">
        <w:rPr>
          <w:rFonts w:ascii="Times New Roman" w:hAnsi="Times New Roman" w:cs="Times New Roman"/>
          <w:b/>
          <w:sz w:val="24"/>
          <w:szCs w:val="24"/>
        </w:rPr>
        <w:t xml:space="preserve"> datu apstrādes likums” 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2848"/>
        <w:gridCol w:w="5863"/>
      </w:tblGrid>
      <w:tr w:rsidR="005751F9" w:rsidRPr="00BD3F53" w:rsidTr="00550FC2">
        <w:trPr>
          <w:trHeight w:val="405"/>
          <w:tblCellSpacing w:w="15" w:type="dxa"/>
        </w:trPr>
        <w:tc>
          <w:tcPr>
            <w:tcW w:w="0" w:type="auto"/>
            <w:gridSpan w:val="3"/>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I. Tiesību akta projekta izstrādes nepieciešamība</w:t>
            </w:r>
          </w:p>
        </w:tc>
      </w:tr>
      <w:tr w:rsidR="005751F9" w:rsidRPr="00BD3F53" w:rsidTr="00550FC2">
        <w:trPr>
          <w:trHeight w:val="405"/>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w:t>
            </w:r>
          </w:p>
        </w:tc>
        <w:tc>
          <w:tcPr>
            <w:tcW w:w="1550" w:type="pct"/>
            <w:hideMark/>
          </w:tcPr>
          <w:p w:rsidR="005751F9" w:rsidRPr="00BD3F53" w:rsidRDefault="005751F9" w:rsidP="00550FC2">
            <w:pPr>
              <w:spacing w:after="0" w:line="240" w:lineRule="auto"/>
              <w:jc w:val="both"/>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Pamatojums</w:t>
            </w:r>
          </w:p>
        </w:tc>
        <w:tc>
          <w:tcPr>
            <w:tcW w:w="3200" w:type="pct"/>
            <w:hideMark/>
          </w:tcPr>
          <w:p w:rsidR="005751F9" w:rsidRPr="00BD3F53" w:rsidRDefault="00F770E5" w:rsidP="00550FC2">
            <w:pPr>
              <w:spacing w:after="0" w:line="240" w:lineRule="auto"/>
              <w:ind w:firstLine="778"/>
              <w:jc w:val="both"/>
              <w:rPr>
                <w:rFonts w:ascii="Times New Roman" w:hAnsi="Times New Roman" w:cs="Times New Roman"/>
                <w:sz w:val="24"/>
                <w:szCs w:val="24"/>
                <w:lang w:eastAsia="fr-BE"/>
              </w:rPr>
            </w:pPr>
            <w:r w:rsidRPr="00BD3F53">
              <w:rPr>
                <w:rFonts w:ascii="Times New Roman" w:eastAsia="Times New Roman" w:hAnsi="Times New Roman" w:cs="Times New Roman"/>
                <w:sz w:val="24"/>
                <w:szCs w:val="24"/>
                <w:lang w:eastAsia="lv-LV"/>
              </w:rPr>
              <w:t xml:space="preserve">Likumprojekts </w:t>
            </w:r>
            <w:r w:rsidRPr="00F770E5">
              <w:rPr>
                <w:rFonts w:ascii="Times New Roman" w:eastAsia="Times New Roman" w:hAnsi="Times New Roman" w:cs="Times New Roman"/>
                <w:sz w:val="24"/>
                <w:szCs w:val="24"/>
                <w:lang w:eastAsia="lv-LV"/>
              </w:rPr>
              <w:t>“</w:t>
            </w:r>
            <w:r w:rsidR="0061052B">
              <w:rPr>
                <w:rFonts w:ascii="Times New Roman" w:hAnsi="Times New Roman" w:cs="Times New Roman"/>
                <w:sz w:val="24"/>
                <w:szCs w:val="24"/>
              </w:rPr>
              <w:t xml:space="preserve">Pasažieru </w:t>
            </w:r>
            <w:r w:rsidRPr="00F770E5">
              <w:rPr>
                <w:rFonts w:ascii="Times New Roman" w:hAnsi="Times New Roman" w:cs="Times New Roman"/>
                <w:sz w:val="24"/>
                <w:szCs w:val="24"/>
              </w:rPr>
              <w:t>datu apstrādes likums”</w:t>
            </w:r>
            <w:r w:rsidRPr="00BD3F53">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L</w:t>
            </w:r>
            <w:r w:rsidRPr="00BD3F53">
              <w:rPr>
                <w:rFonts w:ascii="Times New Roman" w:eastAsia="Times New Roman" w:hAnsi="Times New Roman" w:cs="Times New Roman"/>
                <w:sz w:val="24"/>
                <w:szCs w:val="24"/>
                <w:lang w:eastAsia="lv-LV"/>
              </w:rPr>
              <w:t>ikumprojekts</w:t>
            </w:r>
            <w:r>
              <w:rPr>
                <w:rFonts w:ascii="Times New Roman" w:eastAsia="Times New Roman" w:hAnsi="Times New Roman" w:cs="Times New Roman"/>
                <w:sz w:val="24"/>
                <w:szCs w:val="24"/>
                <w:lang w:eastAsia="lv-LV"/>
              </w:rPr>
              <w:t xml:space="preserve">) ir izstrādāts, </w:t>
            </w:r>
            <w:r>
              <w:rPr>
                <w:rFonts w:ascii="Times New Roman" w:hAnsi="Times New Roman" w:cs="Times New Roman"/>
                <w:sz w:val="24"/>
                <w:szCs w:val="24"/>
                <w:lang w:eastAsia="fr-BE"/>
              </w:rPr>
              <w:t>ņemot par pamatu E</w:t>
            </w:r>
            <w:r w:rsidRPr="00E55CAB">
              <w:rPr>
                <w:rFonts w:ascii="Times New Roman" w:hAnsi="Times New Roman" w:cs="Times New Roman"/>
                <w:sz w:val="24"/>
                <w:szCs w:val="24"/>
                <w:lang w:eastAsia="fr-BE"/>
              </w:rPr>
              <w:t>iropas Parlamenta un Padomes Direktīv</w:t>
            </w:r>
            <w:r>
              <w:rPr>
                <w:rFonts w:ascii="Times New Roman" w:hAnsi="Times New Roman" w:cs="Times New Roman"/>
                <w:sz w:val="24"/>
                <w:szCs w:val="24"/>
                <w:lang w:eastAsia="fr-BE"/>
              </w:rPr>
              <w:t>as</w:t>
            </w:r>
            <w:r w:rsidRPr="00E55CAB">
              <w:rPr>
                <w:rFonts w:ascii="Times New Roman" w:hAnsi="Times New Roman" w:cs="Times New Roman"/>
                <w:sz w:val="24"/>
                <w:szCs w:val="24"/>
                <w:lang w:eastAsia="fr-BE"/>
              </w:rPr>
              <w:t xml:space="preserve"> par pasažieru datu reģistra datu izmantošanu teroristu nodarījumu un smagu noziegumu novēršanai, atklāšanai, izmeklēšanai un saukšanai pie atbildības par tiem</w:t>
            </w:r>
            <w:r>
              <w:rPr>
                <w:rFonts w:ascii="Times New Roman" w:hAnsi="Times New Roman" w:cs="Times New Roman"/>
                <w:sz w:val="24"/>
                <w:szCs w:val="24"/>
                <w:lang w:eastAsia="fr-BE"/>
              </w:rPr>
              <w:t xml:space="preserve"> projektu.</w:t>
            </w:r>
          </w:p>
        </w:tc>
      </w:tr>
      <w:tr w:rsidR="005751F9" w:rsidRPr="00BD3F53" w:rsidTr="00550FC2">
        <w:trPr>
          <w:trHeight w:val="465"/>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hideMark/>
          </w:tcPr>
          <w:p w:rsidR="005751F9" w:rsidRPr="00BD3F53" w:rsidRDefault="005751F9" w:rsidP="00550FC2">
            <w:pPr>
              <w:spacing w:after="0" w:line="240" w:lineRule="auto"/>
              <w:ind w:firstLine="636"/>
              <w:jc w:val="both"/>
              <w:rPr>
                <w:rFonts w:ascii="Times New Roman" w:hAnsi="Times New Roman" w:cs="Times New Roman"/>
                <w:sz w:val="24"/>
                <w:szCs w:val="24"/>
              </w:rPr>
            </w:pPr>
            <w:r w:rsidRPr="00BD3F53">
              <w:rPr>
                <w:rFonts w:ascii="Times New Roman" w:hAnsi="Times New Roman" w:cs="Times New Roman"/>
                <w:sz w:val="24"/>
                <w:szCs w:val="24"/>
              </w:rPr>
              <w:t xml:space="preserve">2003.gada 16.decembrī Eiropas Komisija publicēja paziņojumu Eiropas Savienības Padomei un Eiropas Parlamentam „Gaisa pasažieru datu reģistra datu nosūtīšana: Eiropas Savienības vispārēja pieeja”. Tā mērķis bija noteikt Eiropas Savienības (turpmāk – ES) vispārējās pieejas </w:t>
            </w:r>
            <w:r w:rsidR="00D42F3E" w:rsidRPr="00BD3F53">
              <w:rPr>
                <w:rFonts w:ascii="Times New Roman" w:hAnsi="Times New Roman" w:cs="Times New Roman"/>
                <w:sz w:val="24"/>
                <w:szCs w:val="24"/>
              </w:rPr>
              <w:t>elementus</w:t>
            </w:r>
            <w:r w:rsidR="00D42F3E">
              <w:rPr>
                <w:rFonts w:ascii="Times New Roman" w:hAnsi="Times New Roman" w:cs="Times New Roman"/>
                <w:sz w:val="24"/>
                <w:szCs w:val="24"/>
              </w:rPr>
              <w:t xml:space="preserve"> </w:t>
            </w:r>
            <w:r>
              <w:rPr>
                <w:rFonts w:ascii="Times New Roman" w:hAnsi="Times New Roman" w:cs="Times New Roman"/>
                <w:sz w:val="24"/>
                <w:szCs w:val="24"/>
              </w:rPr>
              <w:t>pasažieru reģistra datu</w:t>
            </w:r>
            <w:r w:rsidRPr="00BD3F53">
              <w:rPr>
                <w:rFonts w:ascii="Times New Roman" w:hAnsi="Times New Roman" w:cs="Times New Roman"/>
                <w:sz w:val="24"/>
                <w:szCs w:val="24"/>
              </w:rPr>
              <w:t xml:space="preserve"> (turpmāk – PDR) jomā, kā arī informēt par nodomu ES izstrādāt politiku </w:t>
            </w:r>
            <w:r>
              <w:rPr>
                <w:rFonts w:ascii="Times New Roman" w:hAnsi="Times New Roman" w:cs="Times New Roman"/>
                <w:sz w:val="24"/>
                <w:szCs w:val="24"/>
              </w:rPr>
              <w:t>PDR</w:t>
            </w:r>
            <w:r w:rsidRPr="00BD3F53">
              <w:rPr>
                <w:rFonts w:ascii="Times New Roman" w:hAnsi="Times New Roman" w:cs="Times New Roman"/>
                <w:sz w:val="24"/>
                <w:szCs w:val="24"/>
              </w:rPr>
              <w:t xml:space="preserve"> izmantošanai iekšējās drošības jomā. Eiropas Komisijas iniciatīva bija saistīta gan ar Amerikas Savienoto Valstu, Kanādas un Austrālijas (ES ar šīm valstīm ir parakstījusi nolīgumus par PDR datu nosūtīšanu) izteikto vēlmi piekļūt pasažieru datiem, gan arī ar atsevišķu ES dalībvalstu izrādīto interesi par efektīvu pasākumu veikšanu ar mērķi uzlabot aviācijas nozares un valstu robežu drošību. Tāpat Eiropas Komisija noteica, ka, regulējot PDR datu izmantošanu, vienlaikus ir gan jānodrošina iedzīvotāju personas datu aizsardzība un privātās dzīves neaizskaramība, gan arī jāveicina terorisma un starptautiskās organizētās noziedzības apkarošana.</w:t>
            </w:r>
          </w:p>
          <w:p w:rsidR="005751F9" w:rsidRPr="00BD3F53" w:rsidRDefault="005751F9" w:rsidP="00550FC2">
            <w:pPr>
              <w:spacing w:after="0" w:line="240" w:lineRule="auto"/>
              <w:jc w:val="both"/>
              <w:rPr>
                <w:rFonts w:ascii="Times New Roman" w:hAnsi="Times New Roman" w:cs="Times New Roman"/>
                <w:sz w:val="24"/>
                <w:szCs w:val="24"/>
              </w:rPr>
            </w:pPr>
            <w:r w:rsidRPr="00BD3F53">
              <w:rPr>
                <w:rFonts w:ascii="Times New Roman" w:hAnsi="Times New Roman" w:cs="Times New Roman"/>
                <w:sz w:val="24"/>
                <w:szCs w:val="24"/>
              </w:rPr>
              <w:tab/>
              <w:t xml:space="preserve">Eiropas Komisija 2007.gada 6.novembrī pieņēma un 17.novembrī iesniedza Eiropas Savienības Padomei priekšlikumu Padomes pamatlēmumam par PDR izmantošanu tiesībaizsardzības mērķiem. Pamatojoties uz pamatlēmuma ietekmes novērtējumu un ņemot vērā faktu, ka, stājoties spēkā Līgumam par Eiropas Savienības darbību, šis priekšlikums zaudēja juridisko pamatojumu, Eiropas Komisija 2011.gada 3.februārī nāca klajā ar priekšlikumu Eiropas Parlamenta un Padomes direktīvai par pasažieru datu reģistra datu izmantošanu teroristu nodarījumu un smagu noziegumu novēršanai, atklāšanai, izmeklēšanai un saukšanai pie atbildības par tiem. </w:t>
            </w:r>
          </w:p>
          <w:p w:rsidR="005751F9" w:rsidRPr="00BD3F53" w:rsidRDefault="005751F9" w:rsidP="00550FC2">
            <w:pPr>
              <w:spacing w:after="0" w:line="240" w:lineRule="auto"/>
              <w:ind w:firstLine="709"/>
              <w:jc w:val="both"/>
              <w:rPr>
                <w:rFonts w:ascii="Times New Roman" w:hAnsi="Times New Roman" w:cs="Times New Roman"/>
                <w:sz w:val="24"/>
                <w:szCs w:val="24"/>
              </w:rPr>
            </w:pPr>
            <w:r w:rsidRPr="00BD3F53">
              <w:rPr>
                <w:rFonts w:ascii="Times New Roman" w:hAnsi="Times New Roman" w:cs="Times New Roman"/>
                <w:sz w:val="24"/>
                <w:szCs w:val="24"/>
              </w:rPr>
              <w:t xml:space="preserve">2012.gada 26.aprīļa Eiropas Savienības Tieslietu un iekšlietu ministru padomes sanāksmes laikā tika apstiprināta Eiropas Savienības Padomes kopējā nostāja par direktīvas priekšlikumu par pasažieru datu reģistra datu izmantošanu teroristu nodarījumu un smagu noziegumu novēršanai, atklāšanai, izmeklēšanai un saukšanai pie atbildības par tiem. </w:t>
            </w:r>
          </w:p>
          <w:p w:rsidR="005751F9" w:rsidRPr="00BD3F53" w:rsidRDefault="005751F9" w:rsidP="00550FC2">
            <w:pPr>
              <w:spacing w:after="0" w:line="240" w:lineRule="auto"/>
              <w:ind w:firstLine="720"/>
              <w:jc w:val="both"/>
              <w:rPr>
                <w:rFonts w:ascii="Times New Roman" w:hAnsi="Times New Roman" w:cs="Times New Roman"/>
                <w:sz w:val="24"/>
                <w:szCs w:val="24"/>
              </w:rPr>
            </w:pPr>
            <w:r w:rsidRPr="00BD3F53">
              <w:rPr>
                <w:rFonts w:ascii="Times New Roman" w:hAnsi="Times New Roman" w:cs="Times New Roman"/>
                <w:sz w:val="24"/>
                <w:szCs w:val="24"/>
              </w:rPr>
              <w:t xml:space="preserve">Neskatoties uz to, ka direktīva vēl nav pieņemta, Eiropas Komisija 2012.gada 9.septembrī pieņēma lēmumu C(2012) 4318, ar kuru Eiropas Komisija Noziedzības </w:t>
            </w:r>
            <w:r w:rsidRPr="00BD3F53">
              <w:rPr>
                <w:rFonts w:ascii="Times New Roman" w:hAnsi="Times New Roman" w:cs="Times New Roman"/>
                <w:sz w:val="24"/>
                <w:szCs w:val="24"/>
              </w:rPr>
              <w:lastRenderedPageBreak/>
              <w:t>profilakses un apkarošanas programmas (Padomes lēmums 2007/125/IT) ietvaros piešķīra finansējumu 50 miljonu eiro apmērā, lai veicinātu Pasažier</w:t>
            </w:r>
            <w:r w:rsidR="00181555">
              <w:rPr>
                <w:rFonts w:ascii="Times New Roman" w:hAnsi="Times New Roman" w:cs="Times New Roman"/>
                <w:sz w:val="24"/>
                <w:szCs w:val="24"/>
              </w:rPr>
              <w:t>u informācijas nodaļu izveidi ES</w:t>
            </w:r>
            <w:r w:rsidRPr="00BD3F53">
              <w:rPr>
                <w:rFonts w:ascii="Times New Roman" w:hAnsi="Times New Roman" w:cs="Times New Roman"/>
                <w:sz w:val="24"/>
                <w:szCs w:val="24"/>
              </w:rPr>
              <w:t xml:space="preserve"> dalībvalstīs. 2012.gada decembrī Eiropas Komisija izsludināja projektu konkursu, kurā dalībvalstis līdz 2013.gada 10.aprīlim varēja iesniegt projektu pieteikumus ar mērķi sekmēt tiesībsargājošo iestāžu sadarbību Pasažieru informācijas nodaļu izveidošanā, lai veikt</w:t>
            </w:r>
            <w:r>
              <w:rPr>
                <w:rFonts w:ascii="Times New Roman" w:hAnsi="Times New Roman" w:cs="Times New Roman"/>
                <w:sz w:val="24"/>
                <w:szCs w:val="24"/>
              </w:rPr>
              <w:t>u</w:t>
            </w:r>
            <w:r w:rsidRPr="00BD3F53">
              <w:rPr>
                <w:rFonts w:ascii="Times New Roman" w:hAnsi="Times New Roman" w:cs="Times New Roman"/>
                <w:sz w:val="24"/>
                <w:szCs w:val="24"/>
              </w:rPr>
              <w:t xml:space="preserve"> PDR datu uzkrāšanu, apstrādi, analīzi un apmaiņu.</w:t>
            </w:r>
          </w:p>
          <w:p w:rsidR="00BF6F73" w:rsidRPr="00BD3F53" w:rsidRDefault="00BF6F73" w:rsidP="00BF6F73">
            <w:pPr>
              <w:spacing w:after="0" w:line="240" w:lineRule="auto"/>
              <w:ind w:firstLine="720"/>
              <w:jc w:val="both"/>
              <w:rPr>
                <w:rFonts w:ascii="Times New Roman" w:hAnsi="Times New Roman" w:cs="Times New Roman"/>
                <w:sz w:val="24"/>
                <w:szCs w:val="24"/>
              </w:rPr>
            </w:pPr>
            <w:r w:rsidRPr="00EB3CCF">
              <w:rPr>
                <w:rFonts w:ascii="Times New Roman" w:hAnsi="Times New Roman" w:cs="Times New Roman"/>
                <w:sz w:val="24"/>
                <w:szCs w:val="24"/>
              </w:rPr>
              <w:t>Iekšlietu ministrijas Informācijas centrs piedalījās minētajā konkursā un saņēma attiecīgu finansējumu. 2014.gada 2.janvārī</w:t>
            </w:r>
            <w:r w:rsidRPr="00BD3F53">
              <w:rPr>
                <w:rFonts w:ascii="Times New Roman" w:hAnsi="Times New Roman" w:cs="Times New Roman"/>
                <w:sz w:val="24"/>
                <w:szCs w:val="24"/>
              </w:rPr>
              <w:t xml:space="preserve"> ir sākusies Eiropas Komisijas līdzfinansētā projekta Nr. HOME/2012/ISEC/AG/PNR/4000004443 „Pasažieru datu reģistra (PDR) sistēmas izveide Latvijā” ieviešana.</w:t>
            </w:r>
          </w:p>
          <w:p w:rsidR="00BF6F73" w:rsidRPr="00EB3CCF" w:rsidRDefault="00BF6F73" w:rsidP="00BF6F73">
            <w:pPr>
              <w:spacing w:after="0" w:line="240" w:lineRule="auto"/>
              <w:ind w:firstLine="720"/>
              <w:jc w:val="both"/>
              <w:rPr>
                <w:rFonts w:ascii="Times New Roman" w:hAnsi="Times New Roman" w:cs="Times New Roman"/>
                <w:sz w:val="24"/>
                <w:szCs w:val="24"/>
                <w:lang w:eastAsia="fr-BE"/>
              </w:rPr>
            </w:pPr>
            <w:r>
              <w:rPr>
                <w:rFonts w:ascii="Times New Roman" w:hAnsi="Times New Roman" w:cs="Times New Roman"/>
                <w:sz w:val="24"/>
                <w:szCs w:val="24"/>
              </w:rPr>
              <w:t>L</w:t>
            </w:r>
            <w:r w:rsidRPr="00BD3F53">
              <w:rPr>
                <w:rFonts w:ascii="Times New Roman" w:hAnsi="Times New Roman" w:cs="Times New Roman"/>
                <w:sz w:val="24"/>
                <w:szCs w:val="24"/>
              </w:rPr>
              <w:t>ikumprojekts tika izstrādāts</w:t>
            </w:r>
            <w:r>
              <w:rPr>
                <w:rFonts w:ascii="Times New Roman" w:hAnsi="Times New Roman" w:cs="Times New Roman"/>
                <w:sz w:val="24"/>
                <w:szCs w:val="24"/>
              </w:rPr>
              <w:t xml:space="preserve"> minētā p</w:t>
            </w:r>
            <w:r w:rsidRPr="00BD3F53">
              <w:rPr>
                <w:rFonts w:ascii="Times New Roman" w:hAnsi="Times New Roman" w:cs="Times New Roman"/>
                <w:sz w:val="24"/>
                <w:szCs w:val="24"/>
              </w:rPr>
              <w:t xml:space="preserve">rojekta ietvaros, </w:t>
            </w:r>
            <w:r w:rsidRPr="00BD3F53">
              <w:rPr>
                <w:rFonts w:ascii="Times New Roman" w:hAnsi="Times New Roman" w:cs="Times New Roman"/>
                <w:sz w:val="24"/>
                <w:szCs w:val="24"/>
                <w:lang w:eastAsia="fr-BE"/>
              </w:rPr>
              <w:t>ņemot par pamatu Eiropas Parlamenta un Padomes Direktīvas par pasažieru datu reģistra datu izmantošanu teroristu nodarījumu un smagu noziegumu novēršanai, atklāšanai, izmeklēšanai un saukšanai p</w:t>
            </w:r>
            <w:r>
              <w:rPr>
                <w:rFonts w:ascii="Times New Roman" w:hAnsi="Times New Roman" w:cs="Times New Roman"/>
                <w:sz w:val="24"/>
                <w:szCs w:val="24"/>
                <w:lang w:eastAsia="fr-BE"/>
              </w:rPr>
              <w:t xml:space="preserve">ie atbildības par tiem projektu. Kaut gan direktīva nav pieņemta, tiesībaizsardzības iestādes minētā projekta ietvaros pieņēma lēmumu </w:t>
            </w:r>
            <w:r w:rsidRPr="00EB3CCF">
              <w:rPr>
                <w:rFonts w:ascii="Times New Roman" w:eastAsia="Times New Roman" w:hAnsi="Times New Roman" w:cs="Times New Roman"/>
                <w:sz w:val="24"/>
                <w:szCs w:val="24"/>
                <w:lang w:eastAsia="lv-LV"/>
              </w:rPr>
              <w:t>izveidot mehānismu Latvijas Republikā pasažieru datu apstrādes un analīzes nodrošināšanai nolūkā iegūt informāciju smagu vai sevišķi smagu noziegumu novēršanai un atklāšanai, kā arī šādu noziegumu pierādīšanas nodrošināšanai.</w:t>
            </w:r>
          </w:p>
          <w:p w:rsidR="00BF6F73" w:rsidRPr="00EB3CCF" w:rsidRDefault="00BF6F73" w:rsidP="00BF6F73">
            <w:pPr>
              <w:spacing w:after="0" w:line="240" w:lineRule="auto"/>
              <w:ind w:firstLine="720"/>
              <w:jc w:val="both"/>
              <w:rPr>
                <w:rFonts w:ascii="Times New Roman" w:hAnsi="Times New Roman" w:cs="Times New Roman"/>
                <w:sz w:val="24"/>
                <w:szCs w:val="24"/>
                <w:lang w:eastAsia="fr-BE"/>
              </w:rPr>
            </w:pPr>
            <w:r w:rsidRPr="00EB3CCF">
              <w:rPr>
                <w:rFonts w:ascii="Times New Roman" w:eastAsia="Times New Roman" w:hAnsi="Times New Roman" w:cs="Times New Roman"/>
                <w:sz w:val="24"/>
                <w:szCs w:val="24"/>
                <w:lang w:eastAsia="lv-LV"/>
              </w:rPr>
              <w:t>Likumprojekts ir izstrādāts ar mērķi uzlabot aviācijas nozares un valsts robežas drošību, kā arī nacionālo drošību, iegūstot papildus informāciju smagu vai sevišķi smagu noziegumu novēršanai un atklāšanai, kā arī šādu noziegumu pierādīšanas nodrošināšanai.</w:t>
            </w:r>
            <w:r w:rsidRPr="00EB3CCF">
              <w:rPr>
                <w:rFonts w:ascii="Times New Roman" w:hAnsi="Times New Roman" w:cs="Times New Roman"/>
                <w:sz w:val="24"/>
                <w:szCs w:val="24"/>
                <w:lang w:eastAsia="fr-BE"/>
              </w:rPr>
              <w:t xml:space="preserve"> </w:t>
            </w:r>
          </w:p>
          <w:p w:rsidR="005751F9" w:rsidRPr="00BD3F53" w:rsidRDefault="005751F9" w:rsidP="00BF6F73">
            <w:pPr>
              <w:spacing w:after="0" w:line="240" w:lineRule="auto"/>
              <w:ind w:firstLine="757"/>
              <w:jc w:val="both"/>
              <w:rPr>
                <w:rFonts w:ascii="Times New Roman" w:hAnsi="Times New Roman" w:cs="Times New Roman"/>
                <w:sz w:val="24"/>
                <w:szCs w:val="24"/>
              </w:rPr>
            </w:pPr>
            <w:r w:rsidRPr="00BD3F53">
              <w:rPr>
                <w:rFonts w:ascii="Times New Roman" w:hAnsi="Times New Roman" w:cs="Times New Roman"/>
                <w:sz w:val="24"/>
                <w:szCs w:val="24"/>
              </w:rPr>
              <w:t>Likumprojekts nosaka minētā reģistra uzturēšanas un izmantošanas kārtību, par tā darbības nodrošināšanu atbildīgās iestādes, kā arī minēto iestāžu funkcijas.</w:t>
            </w:r>
          </w:p>
          <w:p w:rsidR="005751F9" w:rsidRDefault="005751F9" w:rsidP="00BF353D">
            <w:pPr>
              <w:spacing w:after="0" w:line="240" w:lineRule="auto"/>
              <w:ind w:firstLine="757"/>
              <w:jc w:val="both"/>
              <w:rPr>
                <w:rFonts w:ascii="Times New Roman" w:hAnsi="Times New Roman" w:cs="Times New Roman"/>
                <w:sz w:val="24"/>
                <w:szCs w:val="24"/>
              </w:rPr>
            </w:pPr>
            <w:r w:rsidRPr="00BD3F53">
              <w:rPr>
                <w:rFonts w:ascii="Times New Roman" w:hAnsi="Times New Roman" w:cs="Times New Roman"/>
                <w:sz w:val="24"/>
                <w:szCs w:val="24"/>
              </w:rPr>
              <w:t xml:space="preserve">Likumprojekts paredz kārtību, kādā pieprasāmi un sniedzami pasažieru dati citām </w:t>
            </w:r>
            <w:r w:rsidR="00BF353D">
              <w:rPr>
                <w:rFonts w:ascii="Times New Roman" w:hAnsi="Times New Roman" w:cs="Times New Roman"/>
                <w:sz w:val="24"/>
                <w:szCs w:val="24"/>
              </w:rPr>
              <w:t>valstīm.</w:t>
            </w:r>
          </w:p>
          <w:p w:rsidR="000D0543" w:rsidRPr="00BF6F73" w:rsidRDefault="00C246B6" w:rsidP="00C246B6">
            <w:pPr>
              <w:spacing w:after="0" w:line="240" w:lineRule="auto"/>
              <w:ind w:firstLine="757"/>
              <w:jc w:val="both"/>
              <w:rPr>
                <w:rFonts w:ascii="Times New Roman" w:hAnsi="Times New Roman" w:cs="Times New Roman"/>
                <w:sz w:val="24"/>
                <w:szCs w:val="24"/>
              </w:rPr>
            </w:pPr>
            <w:r w:rsidRPr="00BF6F73">
              <w:rPr>
                <w:rFonts w:ascii="Times New Roman" w:hAnsi="Times New Roman" w:cs="Times New Roman"/>
                <w:sz w:val="24"/>
                <w:szCs w:val="24"/>
              </w:rPr>
              <w:t xml:space="preserve">Atbilstoši likumprojektam Drošības policijas struktūrvienība Pasažieru informācijas nodaļa apstrādās pasažieru datus un pasažieru datu apstrādes rezultātus nolūkā iegūt informāciju smagu un sevišķi smagu noziegumu novēršanai un atklāšanai. </w:t>
            </w:r>
          </w:p>
          <w:p w:rsidR="000D0543" w:rsidRPr="00BF6F73" w:rsidRDefault="000D0543" w:rsidP="000D0543">
            <w:pPr>
              <w:spacing w:after="0" w:line="240" w:lineRule="auto"/>
              <w:ind w:firstLine="757"/>
              <w:jc w:val="both"/>
              <w:rPr>
                <w:rFonts w:ascii="Times New Roman" w:hAnsi="Times New Roman" w:cs="Times New Roman"/>
                <w:sz w:val="24"/>
                <w:szCs w:val="24"/>
              </w:rPr>
            </w:pPr>
            <w:r w:rsidRPr="00BF6F73">
              <w:rPr>
                <w:rFonts w:ascii="Times New Roman" w:hAnsi="Times New Roman" w:cs="Times New Roman"/>
                <w:sz w:val="24"/>
                <w:szCs w:val="24"/>
              </w:rPr>
              <w:t>Ar terminu “pasažieru datu apstrāde” tiek apzīmēta</w:t>
            </w:r>
            <w:r w:rsidR="00DD11F3" w:rsidRPr="00BF6F73">
              <w:rPr>
                <w:rFonts w:ascii="Times New Roman" w:hAnsi="Times New Roman" w:cs="Times New Roman"/>
                <w:sz w:val="24"/>
                <w:szCs w:val="24"/>
              </w:rPr>
              <w:t>s</w:t>
            </w:r>
            <w:r w:rsidRPr="00BF6F73">
              <w:rPr>
                <w:rFonts w:ascii="Times New Roman" w:hAnsi="Times New Roman" w:cs="Times New Roman"/>
                <w:sz w:val="24"/>
                <w:szCs w:val="24"/>
              </w:rPr>
              <w:t xml:space="preserve"> jebkuras ar personas datiem veiktas darbības, ieskaitot datu vākšanu, reģistrēšanu, ievadīšanu, glabāšanu, sakārtošanu, pārveidošanu, izmantošanu, analīzi, nodošanu, pārraidīšanu un izpaušanu, bloķēšanu vai dzēšanu.</w:t>
            </w:r>
          </w:p>
          <w:p w:rsidR="00C246B6" w:rsidRPr="00BF6F73" w:rsidRDefault="00C246B6" w:rsidP="00C246B6">
            <w:pPr>
              <w:spacing w:after="0" w:line="240" w:lineRule="auto"/>
              <w:ind w:firstLine="757"/>
              <w:jc w:val="both"/>
              <w:rPr>
                <w:rFonts w:ascii="Times New Roman" w:hAnsi="Times New Roman" w:cs="Times New Roman"/>
                <w:sz w:val="24"/>
                <w:szCs w:val="24"/>
              </w:rPr>
            </w:pPr>
            <w:r w:rsidRPr="00BF6F73">
              <w:rPr>
                <w:rFonts w:ascii="Times New Roman" w:hAnsi="Times New Roman" w:cs="Times New Roman"/>
                <w:sz w:val="24"/>
                <w:szCs w:val="24"/>
              </w:rPr>
              <w:t xml:space="preserve">Gaisa pārvadātāji iesniegs pasažieru datus minētajai nodaļai attiecībā </w:t>
            </w:r>
            <w:r w:rsidRPr="00EB3CCF">
              <w:rPr>
                <w:rFonts w:ascii="Times New Roman" w:hAnsi="Times New Roman" w:cs="Times New Roman"/>
                <w:sz w:val="24"/>
                <w:szCs w:val="24"/>
              </w:rPr>
              <w:t>uz</w:t>
            </w:r>
            <w:r w:rsidR="00107BAE" w:rsidRPr="00EB3CCF">
              <w:rPr>
                <w:rFonts w:ascii="Times New Roman" w:hAnsi="Times New Roman" w:cs="Times New Roman"/>
                <w:sz w:val="24"/>
                <w:szCs w:val="24"/>
              </w:rPr>
              <w:t xml:space="preserve"> iekšējiem un</w:t>
            </w:r>
            <w:r w:rsidRPr="00BF6F73">
              <w:rPr>
                <w:rFonts w:ascii="Times New Roman" w:hAnsi="Times New Roman" w:cs="Times New Roman"/>
                <w:sz w:val="24"/>
                <w:szCs w:val="24"/>
              </w:rPr>
              <w:t xml:space="preserve"> ārējiem Eiropas Savienības gaisa pārvadājumiem.</w:t>
            </w:r>
          </w:p>
          <w:p w:rsidR="00C246B6" w:rsidRPr="00BF6F73" w:rsidRDefault="00C246B6" w:rsidP="00C246B6">
            <w:pPr>
              <w:spacing w:after="0" w:line="240" w:lineRule="auto"/>
              <w:ind w:firstLine="757"/>
              <w:jc w:val="both"/>
              <w:rPr>
                <w:rFonts w:ascii="Times New Roman" w:hAnsi="Times New Roman" w:cs="Times New Roman"/>
                <w:sz w:val="24"/>
                <w:szCs w:val="24"/>
              </w:rPr>
            </w:pPr>
            <w:r w:rsidRPr="00BF6F73">
              <w:rPr>
                <w:rFonts w:ascii="Times New Roman" w:hAnsi="Times New Roman" w:cs="Times New Roman"/>
                <w:sz w:val="24"/>
                <w:szCs w:val="24"/>
              </w:rPr>
              <w:lastRenderedPageBreak/>
              <w:t xml:space="preserve">Likumprojekts paredz, ka tiesības pieprasīt un saņemt no Pasažieru informācijas nodaļas pasažieru datus būs Drošības policijai, Valsts policijai, Valsts robežsardzei, Iekšējās drošības birojam, Korupcijas novēršanas un apkarošanas birojam, Militārajai policijai, Militārajam izlūkošanas un drošības dienestam, Satversmes aizsardzības birojam, Valsts ieņēmuma dienestam un prokuratūras iestādēm. </w:t>
            </w:r>
          </w:p>
          <w:p w:rsidR="00C246B6" w:rsidRDefault="00C246B6" w:rsidP="00C246B6">
            <w:pPr>
              <w:spacing w:after="0" w:line="240" w:lineRule="auto"/>
              <w:ind w:firstLine="757"/>
              <w:jc w:val="both"/>
              <w:rPr>
                <w:rFonts w:ascii="Times New Roman" w:hAnsi="Times New Roman" w:cs="Times New Roman"/>
                <w:sz w:val="24"/>
                <w:szCs w:val="24"/>
              </w:rPr>
            </w:pPr>
            <w:r w:rsidRPr="00BF6F73">
              <w:rPr>
                <w:rFonts w:ascii="Times New Roman" w:hAnsi="Times New Roman" w:cs="Times New Roman"/>
                <w:sz w:val="24"/>
                <w:szCs w:val="24"/>
              </w:rPr>
              <w:t>Likumprojekts paredz arī, ka Pasažieru informācijas nodaļa var sniegt pasažieru datus citai valstij, ja ir pamats uzskatīt, ka attiecīgie pasažieru dati vai pasažieru datu apstrādes rezultāti attiecīgai valstij var palīdzēt novērst vai atklāt konkrētu smagu un sevišķi smagu noziegumu vai nodrošināt šāda nozieguma pierādīšanu</w:t>
            </w:r>
            <w:r w:rsidR="00D826DF" w:rsidRPr="00BF6F73">
              <w:rPr>
                <w:rFonts w:ascii="Times New Roman" w:hAnsi="Times New Roman" w:cs="Times New Roman"/>
                <w:sz w:val="24"/>
                <w:szCs w:val="24"/>
              </w:rPr>
              <w:t>.</w:t>
            </w:r>
          </w:p>
          <w:p w:rsidR="00107BAE" w:rsidRPr="00EB3CCF" w:rsidRDefault="00107BAE" w:rsidP="00C246B6">
            <w:pPr>
              <w:spacing w:after="0" w:line="240" w:lineRule="auto"/>
              <w:ind w:firstLine="757"/>
              <w:jc w:val="both"/>
              <w:rPr>
                <w:rFonts w:ascii="Times New Roman" w:hAnsi="Times New Roman" w:cs="Times New Roman"/>
                <w:sz w:val="24"/>
                <w:szCs w:val="24"/>
              </w:rPr>
            </w:pPr>
            <w:r w:rsidRPr="00EB3CCF">
              <w:rPr>
                <w:rFonts w:ascii="Times New Roman" w:hAnsi="Times New Roman" w:cs="Times New Roman"/>
                <w:sz w:val="24"/>
                <w:szCs w:val="24"/>
              </w:rPr>
              <w:t xml:space="preserve">Beidzoties divu gadu termiņam pēc pasažieru datu iekļaušanas </w:t>
            </w:r>
            <w:r w:rsidR="00196271">
              <w:rPr>
                <w:rFonts w:ascii="Times New Roman" w:hAnsi="Times New Roman" w:cs="Times New Roman"/>
                <w:sz w:val="24"/>
                <w:szCs w:val="24"/>
              </w:rPr>
              <w:t>r</w:t>
            </w:r>
            <w:r w:rsidRPr="00EB3CCF">
              <w:rPr>
                <w:rFonts w:ascii="Times New Roman" w:hAnsi="Times New Roman" w:cs="Times New Roman"/>
                <w:sz w:val="24"/>
                <w:szCs w:val="24"/>
              </w:rPr>
              <w:t>eģistrā, pasažieru dati tiks anonimizēti ar maskēšanu. Šādu datu nodošana likumprojektā paredzētajām iestādēm un citām valstīm būs iespējama tikai ar prokurora akceptu.</w:t>
            </w:r>
          </w:p>
          <w:p w:rsidR="00A97977" w:rsidRPr="00BD3F53" w:rsidRDefault="00A97977" w:rsidP="00C246B6">
            <w:pPr>
              <w:spacing w:after="0" w:line="240" w:lineRule="auto"/>
              <w:ind w:firstLine="757"/>
              <w:jc w:val="both"/>
              <w:rPr>
                <w:rFonts w:ascii="Times New Roman" w:hAnsi="Times New Roman" w:cs="Times New Roman"/>
                <w:sz w:val="24"/>
                <w:szCs w:val="24"/>
              </w:rPr>
            </w:pPr>
            <w:r w:rsidRPr="00BF6F73">
              <w:rPr>
                <w:rFonts w:ascii="Times New Roman" w:hAnsi="Times New Roman" w:cs="Times New Roman"/>
                <w:sz w:val="24"/>
                <w:szCs w:val="24"/>
              </w:rPr>
              <w:t>Likumprojekts paredz, ka reģistrā iekļautos pasažieru datus glabā piecus gadus.</w:t>
            </w:r>
          </w:p>
        </w:tc>
      </w:tr>
      <w:tr w:rsidR="005751F9" w:rsidRPr="00BD3F53" w:rsidTr="00550FC2">
        <w:trPr>
          <w:trHeight w:val="465"/>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lastRenderedPageBreak/>
              <w:t>3.</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Projekta izstrādē iesaistītās institūcijas</w:t>
            </w:r>
          </w:p>
        </w:tc>
        <w:tc>
          <w:tcPr>
            <w:tcW w:w="3200" w:type="pct"/>
            <w:hideMark/>
          </w:tcPr>
          <w:p w:rsidR="005751F9" w:rsidRPr="00BD3F53" w:rsidRDefault="005751F9" w:rsidP="00C246B6">
            <w:pPr>
              <w:spacing w:after="0" w:line="240" w:lineRule="auto"/>
              <w:jc w:val="both"/>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xml:space="preserve">Iekšlietu ministrija, Drošības policija, Valsts policija, Iekšlietu </w:t>
            </w:r>
            <w:r w:rsidR="00830420">
              <w:rPr>
                <w:rFonts w:ascii="Times New Roman" w:eastAsia="Times New Roman" w:hAnsi="Times New Roman" w:cs="Times New Roman"/>
                <w:sz w:val="24"/>
                <w:szCs w:val="24"/>
                <w:lang w:eastAsia="lv-LV"/>
              </w:rPr>
              <w:t>ministrijas Informācijas centrs</w:t>
            </w:r>
            <w:r w:rsidR="00830420" w:rsidRPr="00BD3F53">
              <w:rPr>
                <w:rFonts w:ascii="Times New Roman" w:eastAsia="Times New Roman" w:hAnsi="Times New Roman" w:cs="Times New Roman"/>
                <w:sz w:val="24"/>
                <w:szCs w:val="24"/>
                <w:lang w:eastAsia="lv-LV"/>
              </w:rPr>
              <w:t xml:space="preserve"> </w:t>
            </w:r>
          </w:p>
        </w:tc>
      </w:tr>
      <w:tr w:rsidR="005751F9" w:rsidRPr="00BD3F53" w:rsidTr="00550FC2">
        <w:trPr>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4.</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Cita informācija</w:t>
            </w:r>
          </w:p>
        </w:tc>
        <w:tc>
          <w:tcPr>
            <w:tcW w:w="3200" w:type="pct"/>
            <w:hideMark/>
          </w:tcPr>
          <w:p w:rsidR="005D3962" w:rsidRPr="00C246B6" w:rsidRDefault="00DC0582" w:rsidP="005D3962">
            <w:pPr>
              <w:snapToGrid w:val="0"/>
              <w:spacing w:after="0"/>
              <w:ind w:firstLine="709"/>
              <w:jc w:val="both"/>
              <w:rPr>
                <w:rFonts w:ascii="Times New Roman" w:hAnsi="Times New Roman"/>
                <w:bCs/>
                <w:sz w:val="24"/>
                <w:szCs w:val="24"/>
              </w:rPr>
            </w:pPr>
            <w:r w:rsidRPr="00C246B6">
              <w:rPr>
                <w:rFonts w:ascii="Times New Roman" w:eastAsia="Times New Roman" w:hAnsi="Times New Roman" w:cs="Times New Roman"/>
                <w:sz w:val="24"/>
                <w:szCs w:val="24"/>
                <w:lang w:eastAsia="lv-LV"/>
              </w:rPr>
              <w:t xml:space="preserve"> </w:t>
            </w:r>
            <w:r w:rsidR="00137D38" w:rsidRPr="00C246B6">
              <w:rPr>
                <w:rFonts w:ascii="Times New Roman" w:hAnsi="Times New Roman"/>
                <w:bCs/>
                <w:sz w:val="24"/>
                <w:szCs w:val="24"/>
              </w:rPr>
              <w:t xml:space="preserve"> </w:t>
            </w:r>
            <w:r w:rsidR="005D3962" w:rsidRPr="00C246B6">
              <w:rPr>
                <w:rFonts w:ascii="Times New Roman" w:hAnsi="Times New Roman"/>
                <w:bCs/>
                <w:sz w:val="24"/>
                <w:szCs w:val="24"/>
              </w:rPr>
              <w:t>Eiropas Savien</w:t>
            </w:r>
            <w:r w:rsidR="005D3962" w:rsidRPr="00C246B6">
              <w:rPr>
                <w:rFonts w:ascii="Times New Roman" w:hAnsi="Times New Roman" w:hint="eastAsia"/>
                <w:bCs/>
                <w:sz w:val="24"/>
                <w:szCs w:val="24"/>
              </w:rPr>
              <w:t>ī</w:t>
            </w:r>
            <w:r w:rsidR="005D3962" w:rsidRPr="00C246B6">
              <w:rPr>
                <w:rFonts w:ascii="Times New Roman" w:hAnsi="Times New Roman"/>
                <w:bCs/>
                <w:sz w:val="24"/>
                <w:szCs w:val="24"/>
              </w:rPr>
              <w:t>bas Tiesa (turpmāk – EST) ar 2014.gada 8.aprīļa spriedumu apvienot</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s liet</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 xml:space="preserve">s C-293/12 un C-594/12  </w:t>
            </w:r>
            <w:r w:rsidR="005D3962" w:rsidRPr="00C246B6">
              <w:rPr>
                <w:rFonts w:ascii="Times New Roman" w:hAnsi="Times New Roman"/>
                <w:bCs/>
                <w:i/>
                <w:sz w:val="24"/>
                <w:szCs w:val="24"/>
              </w:rPr>
              <w:t>Digital Rights Ireland un Seitlinger u.c.</w:t>
            </w:r>
            <w:r w:rsidR="005D3962" w:rsidRPr="00C246B6">
              <w:rPr>
                <w:rFonts w:ascii="Times New Roman" w:hAnsi="Times New Roman"/>
                <w:bCs/>
                <w:sz w:val="24"/>
                <w:szCs w:val="24"/>
              </w:rPr>
              <w:t xml:space="preserve"> (turpmāk – EST spriedums) atcela Eiropas Parlamenta un Padomes Direkt</w:t>
            </w:r>
            <w:r w:rsidR="005D3962" w:rsidRPr="00C246B6">
              <w:rPr>
                <w:rFonts w:ascii="Times New Roman" w:hAnsi="Times New Roman" w:hint="eastAsia"/>
                <w:bCs/>
                <w:sz w:val="24"/>
                <w:szCs w:val="24"/>
              </w:rPr>
              <w:t>ī</w:t>
            </w:r>
            <w:r w:rsidR="005D3962" w:rsidRPr="00C246B6">
              <w:rPr>
                <w:rFonts w:ascii="Times New Roman" w:hAnsi="Times New Roman"/>
                <w:bCs/>
                <w:sz w:val="24"/>
                <w:szCs w:val="24"/>
              </w:rPr>
              <w:t>vu 2006/24/EK (2006.gada 15.marts) par t</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du datu saglab</w:t>
            </w:r>
            <w:r w:rsidR="005D3962" w:rsidRPr="00C246B6">
              <w:rPr>
                <w:rFonts w:ascii="Times New Roman" w:hAnsi="Times New Roman" w:hint="eastAsia"/>
                <w:bCs/>
                <w:sz w:val="24"/>
                <w:szCs w:val="24"/>
              </w:rPr>
              <w:t>āš</w:t>
            </w:r>
            <w:r w:rsidR="005D3962" w:rsidRPr="00C246B6">
              <w:rPr>
                <w:rFonts w:ascii="Times New Roman" w:hAnsi="Times New Roman"/>
                <w:bCs/>
                <w:sz w:val="24"/>
                <w:szCs w:val="24"/>
              </w:rPr>
              <w:t>anu, kurus ieg</w:t>
            </w:r>
            <w:r w:rsidR="005D3962" w:rsidRPr="00C246B6">
              <w:rPr>
                <w:rFonts w:ascii="Times New Roman" w:hAnsi="Times New Roman" w:hint="eastAsia"/>
                <w:bCs/>
                <w:sz w:val="24"/>
                <w:szCs w:val="24"/>
              </w:rPr>
              <w:t>ū</w:t>
            </w:r>
            <w:r w:rsidR="005D3962" w:rsidRPr="00C246B6">
              <w:rPr>
                <w:rFonts w:ascii="Times New Roman" w:hAnsi="Times New Roman"/>
                <w:bCs/>
                <w:sz w:val="24"/>
                <w:szCs w:val="24"/>
              </w:rPr>
              <w:t>st vai apstr</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d</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 xml:space="preserve"> saist</w:t>
            </w:r>
            <w:r w:rsidR="005D3962" w:rsidRPr="00C246B6">
              <w:rPr>
                <w:rFonts w:ascii="Times New Roman" w:hAnsi="Times New Roman" w:hint="eastAsia"/>
                <w:bCs/>
                <w:sz w:val="24"/>
                <w:szCs w:val="24"/>
              </w:rPr>
              <w:t>ī</w:t>
            </w:r>
            <w:r w:rsidR="005D3962" w:rsidRPr="00C246B6">
              <w:rPr>
                <w:rFonts w:ascii="Times New Roman" w:hAnsi="Times New Roman"/>
                <w:bCs/>
                <w:sz w:val="24"/>
                <w:szCs w:val="24"/>
              </w:rPr>
              <w:t>b</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 xml:space="preserve"> ar publiski pieejamu elektronisko komunik</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ciju pakalpojumu sniegšanu vai publiski pieejamu komunik</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ciju t</w:t>
            </w:r>
            <w:r w:rsidR="005D3962" w:rsidRPr="00C246B6">
              <w:rPr>
                <w:rFonts w:ascii="Times New Roman" w:hAnsi="Times New Roman" w:hint="eastAsia"/>
                <w:bCs/>
                <w:sz w:val="24"/>
                <w:szCs w:val="24"/>
              </w:rPr>
              <w:t>ī</w:t>
            </w:r>
            <w:r w:rsidR="005D3962" w:rsidRPr="00C246B6">
              <w:rPr>
                <w:rFonts w:ascii="Times New Roman" w:hAnsi="Times New Roman"/>
                <w:bCs/>
                <w:sz w:val="24"/>
                <w:szCs w:val="24"/>
              </w:rPr>
              <w:t>klu nodrošin</w:t>
            </w:r>
            <w:r w:rsidR="005D3962" w:rsidRPr="00C246B6">
              <w:rPr>
                <w:rFonts w:ascii="Times New Roman" w:hAnsi="Times New Roman" w:hint="eastAsia"/>
                <w:bCs/>
                <w:sz w:val="24"/>
                <w:szCs w:val="24"/>
              </w:rPr>
              <w:t>āš</w:t>
            </w:r>
            <w:r w:rsidR="005D3962" w:rsidRPr="00C246B6">
              <w:rPr>
                <w:rFonts w:ascii="Times New Roman" w:hAnsi="Times New Roman"/>
                <w:bCs/>
                <w:sz w:val="24"/>
                <w:szCs w:val="24"/>
              </w:rPr>
              <w:t>anu, un par groz</w:t>
            </w:r>
            <w:r w:rsidR="005D3962" w:rsidRPr="00C246B6">
              <w:rPr>
                <w:rFonts w:ascii="Times New Roman" w:hAnsi="Times New Roman" w:hint="eastAsia"/>
                <w:bCs/>
                <w:sz w:val="24"/>
                <w:szCs w:val="24"/>
              </w:rPr>
              <w:t>ī</w:t>
            </w:r>
            <w:r w:rsidR="005D3962" w:rsidRPr="00C246B6">
              <w:rPr>
                <w:rFonts w:ascii="Times New Roman" w:hAnsi="Times New Roman"/>
                <w:bCs/>
                <w:sz w:val="24"/>
                <w:szCs w:val="24"/>
              </w:rPr>
              <w:t>jumiem Direkt</w:t>
            </w:r>
            <w:r w:rsidR="005D3962" w:rsidRPr="00C246B6">
              <w:rPr>
                <w:rFonts w:ascii="Times New Roman" w:hAnsi="Times New Roman" w:hint="eastAsia"/>
                <w:bCs/>
                <w:sz w:val="24"/>
                <w:szCs w:val="24"/>
              </w:rPr>
              <w:t>ī</w:t>
            </w:r>
            <w:r w:rsidR="005D3962" w:rsidRPr="00C246B6">
              <w:rPr>
                <w:rFonts w:ascii="Times New Roman" w:hAnsi="Times New Roman"/>
                <w:bCs/>
                <w:sz w:val="24"/>
                <w:szCs w:val="24"/>
              </w:rPr>
              <w:t>v</w:t>
            </w:r>
            <w:r w:rsidR="005D3962" w:rsidRPr="00C246B6">
              <w:rPr>
                <w:rFonts w:ascii="Times New Roman" w:hAnsi="Times New Roman" w:hint="eastAsia"/>
                <w:bCs/>
                <w:sz w:val="24"/>
                <w:szCs w:val="24"/>
              </w:rPr>
              <w:t>ā</w:t>
            </w:r>
            <w:r w:rsidR="005D3962" w:rsidRPr="00C246B6">
              <w:rPr>
                <w:rFonts w:ascii="Times New Roman" w:hAnsi="Times New Roman"/>
                <w:bCs/>
                <w:sz w:val="24"/>
                <w:szCs w:val="24"/>
              </w:rPr>
              <w:t xml:space="preserve"> 2002/58/EK (turpmāk – Direktīva 2006/24/EK).</w:t>
            </w:r>
          </w:p>
          <w:p w:rsidR="005D3962" w:rsidRPr="00C246B6" w:rsidRDefault="005D3962" w:rsidP="005D3962">
            <w:pPr>
              <w:snapToGrid w:val="0"/>
              <w:spacing w:after="0"/>
              <w:ind w:firstLine="709"/>
              <w:jc w:val="both"/>
              <w:rPr>
                <w:rFonts w:ascii="Times New Roman" w:hAnsi="Times New Roman"/>
                <w:bCs/>
                <w:sz w:val="24"/>
                <w:szCs w:val="24"/>
              </w:rPr>
            </w:pPr>
            <w:r w:rsidRPr="00C246B6">
              <w:rPr>
                <w:rFonts w:ascii="Times New Roman" w:hAnsi="Times New Roman"/>
                <w:bCs/>
                <w:sz w:val="24"/>
                <w:szCs w:val="24"/>
              </w:rPr>
              <w:t>Direktīvas 2006/24/EK galvenais mērķis bija saskaņot Eiropas Savienības dalībvalstu noteikumus par noteiktu datu saglabāšanu, kurus iegūst vai apstrādā publiski pieejamu elektronisko komunikāciju pakalpojumu sniedzēji vai publiski pieejamu komunikāciju tīklu nodrošinātāji, lai garantētu šo datu pieejamību smagu noziegumu novēršanas, izmeklēšanas un kriminālvajāšanas mērķiem. Turklāt Direktīva 2006/24/EK paredzēja, ka minētajiem pakalpojumu sniedzējiem ir jāsaglabā informācija par datu plūsmu, atrašanās vietu, kā arī saistītos datus, kas ir vajadzīgi, lai identificētu abonentu vai lietotāju.</w:t>
            </w:r>
          </w:p>
          <w:p w:rsidR="005D3962" w:rsidRPr="00C246B6" w:rsidRDefault="005D3962" w:rsidP="005D3962">
            <w:pPr>
              <w:snapToGrid w:val="0"/>
              <w:spacing w:after="0"/>
              <w:ind w:firstLine="709"/>
              <w:jc w:val="both"/>
              <w:rPr>
                <w:rFonts w:ascii="Times New Roman" w:hAnsi="Times New Roman" w:cs="Times New Roman"/>
                <w:noProof/>
                <w:sz w:val="24"/>
                <w:szCs w:val="24"/>
              </w:rPr>
            </w:pPr>
            <w:r w:rsidRPr="00C246B6">
              <w:rPr>
                <w:rFonts w:ascii="Times New Roman" w:hAnsi="Times New Roman"/>
                <w:noProof/>
                <w:sz w:val="24"/>
                <w:szCs w:val="24"/>
              </w:rPr>
              <w:t xml:space="preserve">EST sprieduma taisīšanas pamatā bija sūdzība par Direktīvas 2006/24/EK, kas paredz sagabājamo datu </w:t>
            </w:r>
            <w:r w:rsidRPr="00C246B6">
              <w:rPr>
                <w:rFonts w:ascii="Times New Roman" w:hAnsi="Times New Roman"/>
                <w:noProof/>
                <w:sz w:val="24"/>
                <w:szCs w:val="24"/>
              </w:rPr>
              <w:lastRenderedPageBreak/>
              <w:t xml:space="preserve">saglabāšanas pienākumu, atbilstību Eiropas Savienības Pamattiesību hartas normām, proti, </w:t>
            </w:r>
            <w:r w:rsidRPr="00C246B6">
              <w:rPr>
                <w:rFonts w:ascii="Times New Roman" w:hAnsi="Times New Roman" w:cs="Times New Roman"/>
                <w:noProof/>
                <w:sz w:val="24"/>
                <w:szCs w:val="24"/>
              </w:rPr>
              <w:t>pamattiesībām uz privātās dzīves neaizskaramību un pamattiesībām uz personas datu aizsardzību.</w:t>
            </w:r>
          </w:p>
          <w:p w:rsidR="005D3962" w:rsidRPr="00C246B6" w:rsidRDefault="005D3962" w:rsidP="005D3962">
            <w:pPr>
              <w:snapToGrid w:val="0"/>
              <w:spacing w:after="0"/>
              <w:ind w:firstLine="709"/>
              <w:jc w:val="both"/>
              <w:rPr>
                <w:rFonts w:ascii="Times New Roman" w:hAnsi="Times New Roman" w:cs="Times New Roman"/>
                <w:bCs/>
                <w:sz w:val="24"/>
                <w:szCs w:val="24"/>
              </w:rPr>
            </w:pPr>
            <w:r w:rsidRPr="00C246B6">
              <w:rPr>
                <w:rFonts w:ascii="Times New Roman" w:hAnsi="Times New Roman" w:cs="Times New Roman"/>
                <w:noProof/>
                <w:sz w:val="24"/>
                <w:szCs w:val="24"/>
              </w:rPr>
              <w:t xml:space="preserve">EST uzskata, ka uzliekot pienākumu saglabāt Direktīvā 2006/24/EK noteiktos datus </w:t>
            </w:r>
            <w:r w:rsidR="006B0ABA" w:rsidRPr="00C246B6">
              <w:rPr>
                <w:rFonts w:ascii="Times New Roman" w:hAnsi="Times New Roman" w:cs="Times New Roman"/>
                <w:noProof/>
                <w:sz w:val="24"/>
                <w:szCs w:val="24"/>
              </w:rPr>
              <w:t>u</w:t>
            </w:r>
            <w:r w:rsidRPr="00C246B6">
              <w:rPr>
                <w:rFonts w:ascii="Times New Roman" w:hAnsi="Times New Roman" w:cs="Times New Roman"/>
                <w:noProof/>
                <w:sz w:val="24"/>
                <w:szCs w:val="24"/>
              </w:rPr>
              <w:t>n sniedzot piekļuvi</w:t>
            </w:r>
            <w:r w:rsidR="006B0ABA" w:rsidRPr="00C246B6">
              <w:rPr>
                <w:rFonts w:ascii="Times New Roman" w:hAnsi="Times New Roman" w:cs="Times New Roman"/>
                <w:noProof/>
                <w:sz w:val="24"/>
                <w:szCs w:val="24"/>
              </w:rPr>
              <w:t xml:space="preserve"> </w:t>
            </w:r>
            <w:r w:rsidRPr="00C246B6">
              <w:rPr>
                <w:rFonts w:ascii="Times New Roman" w:hAnsi="Times New Roman" w:cs="Times New Roman"/>
                <w:noProof/>
                <w:sz w:val="24"/>
                <w:szCs w:val="24"/>
              </w:rPr>
              <w:t xml:space="preserve">kompetentajām iestādēm, Direktīva 2006/24/EK paredz būtisku iejaukšanos pamattiesībās uz privātās dzīves neaizskaramību un uz personas datu aizsardzību. </w:t>
            </w:r>
          </w:p>
          <w:p w:rsidR="005D3962" w:rsidRPr="00C246B6" w:rsidRDefault="005D3962" w:rsidP="005D3962">
            <w:pPr>
              <w:snapToGrid w:val="0"/>
              <w:spacing w:after="0"/>
              <w:ind w:firstLine="709"/>
              <w:jc w:val="both"/>
              <w:rPr>
                <w:rFonts w:ascii="Times New Roman" w:hAnsi="Times New Roman" w:cs="Times New Roman"/>
                <w:sz w:val="24"/>
                <w:szCs w:val="24"/>
                <w:lang w:eastAsia="lv-LV"/>
              </w:rPr>
            </w:pPr>
            <w:r w:rsidRPr="00C246B6">
              <w:rPr>
                <w:rFonts w:ascii="Times New Roman" w:hAnsi="Times New Roman" w:cs="Times New Roman"/>
                <w:bCs/>
                <w:sz w:val="24"/>
                <w:szCs w:val="24"/>
              </w:rPr>
              <w:t>Taču EST norāda, ka, l</w:t>
            </w:r>
            <w:r w:rsidRPr="00C246B6">
              <w:rPr>
                <w:rFonts w:ascii="Times New Roman" w:hAnsi="Times New Roman" w:cs="Times New Roman"/>
                <w:sz w:val="24"/>
                <w:szCs w:val="24"/>
                <w:lang w:eastAsia="lv-LV"/>
              </w:rPr>
              <w:t xml:space="preserve">ai arī </w:t>
            </w:r>
            <w:r w:rsidRPr="00C246B6">
              <w:rPr>
                <w:rFonts w:ascii="Times New Roman" w:hAnsi="Times New Roman" w:cs="Times New Roman"/>
                <w:noProof/>
                <w:sz w:val="24"/>
                <w:szCs w:val="24"/>
              </w:rPr>
              <w:t>Direktīvā 2006/24/EK</w:t>
            </w:r>
            <w:r w:rsidRPr="00C246B6">
              <w:rPr>
                <w:rFonts w:ascii="Times New Roman" w:hAnsi="Times New Roman" w:cs="Times New Roman"/>
                <w:sz w:val="24"/>
                <w:szCs w:val="24"/>
                <w:lang w:eastAsia="lv-LV"/>
              </w:rPr>
              <w:t xml:space="preserve"> paredzētā datu saglabāšana var tikt uzskatīta par piemērotu šajā direktīvā noteiktā mērķa sasniegšanai, šīs direktīvas radītā plašā un īpaši būtiskā iejaukšanās attiecīgajās pamattiesībās nav pietiekami reglamentēta, lai nodrošinātu, ka minētā iejaukšanās patiešām ir ierobežota līdz absolūti nepieciešamajam apmēram.</w:t>
            </w:r>
          </w:p>
          <w:p w:rsidR="005D3962" w:rsidRPr="00C246B6" w:rsidRDefault="005D3962" w:rsidP="005D3962">
            <w:pPr>
              <w:snapToGrid w:val="0"/>
              <w:spacing w:after="0"/>
              <w:ind w:firstLine="709"/>
              <w:jc w:val="both"/>
              <w:rPr>
                <w:rFonts w:ascii="Times New Roman" w:hAnsi="Times New Roman"/>
                <w:sz w:val="24"/>
                <w:szCs w:val="24"/>
                <w:lang w:eastAsia="lv-LV"/>
              </w:rPr>
            </w:pPr>
            <w:r w:rsidRPr="00C246B6">
              <w:rPr>
                <w:rFonts w:ascii="Times New Roman" w:hAnsi="Times New Roman"/>
                <w:bCs/>
                <w:sz w:val="24"/>
                <w:szCs w:val="24"/>
              </w:rPr>
              <w:t xml:space="preserve">EST spriedumā norādīts, ka </w:t>
            </w:r>
            <w:r w:rsidRPr="00C246B6">
              <w:rPr>
                <w:rFonts w:ascii="Times New Roman" w:hAnsi="Times New Roman" w:cs="Times New Roman"/>
                <w:noProof/>
                <w:sz w:val="24"/>
                <w:szCs w:val="24"/>
              </w:rPr>
              <w:t>Direktīvā 2006/24/EK</w:t>
            </w:r>
            <w:r w:rsidRPr="00C246B6">
              <w:rPr>
                <w:rFonts w:ascii="Times New Roman" w:hAnsi="Times New Roman"/>
                <w:bCs/>
                <w:sz w:val="24"/>
                <w:szCs w:val="24"/>
              </w:rPr>
              <w:t xml:space="preserve"> </w:t>
            </w:r>
            <w:r w:rsidRPr="00C246B6">
              <w:rPr>
                <w:rFonts w:ascii="Times New Roman" w:hAnsi="Times New Roman" w:cs="Times New Roman"/>
                <w:sz w:val="24"/>
                <w:szCs w:val="24"/>
                <w:lang w:eastAsia="lv-LV"/>
              </w:rPr>
              <w:t xml:space="preserve">nav paredzēts neviens objektīvs kritērijs, kas ļautu </w:t>
            </w:r>
            <w:r w:rsidRPr="00C246B6">
              <w:rPr>
                <w:rFonts w:ascii="Times New Roman" w:hAnsi="Times New Roman"/>
                <w:sz w:val="24"/>
                <w:szCs w:val="24"/>
                <w:lang w:eastAsia="lv-LV"/>
              </w:rPr>
              <w:t xml:space="preserve">ierobežot kompetento iestāžu piekļuvi datiem un to vēlāku izmantošanu tādu noziegumu novēršanas, izmeklēšanas, atklāšanas un kriminālvajāšanas mērķiem, kuri, ņemot vērā </w:t>
            </w:r>
            <w:r w:rsidRPr="00C246B6">
              <w:rPr>
                <w:rFonts w:ascii="Times New Roman" w:hAnsi="Times New Roman" w:cs="Times New Roman"/>
                <w:sz w:val="24"/>
                <w:szCs w:val="24"/>
                <w:lang w:eastAsia="lv-LV"/>
              </w:rPr>
              <w:t>iejaukšanās attiecīgajās pamattiesībās</w:t>
            </w:r>
            <w:r w:rsidRPr="00C246B6">
              <w:rPr>
                <w:rFonts w:ascii="Times New Roman" w:hAnsi="Times New Roman"/>
                <w:sz w:val="24"/>
                <w:szCs w:val="24"/>
                <w:lang w:eastAsia="lv-LV"/>
              </w:rPr>
              <w:t xml:space="preserve"> </w:t>
            </w:r>
            <w:r w:rsidRPr="00C246B6">
              <w:rPr>
                <w:rFonts w:ascii="Times New Roman" w:hAnsi="Times New Roman" w:cs="Times New Roman"/>
                <w:sz w:val="24"/>
                <w:szCs w:val="24"/>
                <w:lang w:eastAsia="lv-LV"/>
              </w:rPr>
              <w:t>apmēru un būtiskumu</w:t>
            </w:r>
            <w:r w:rsidRPr="00C246B6">
              <w:rPr>
                <w:rFonts w:ascii="Times New Roman" w:hAnsi="Times New Roman"/>
                <w:sz w:val="24"/>
                <w:szCs w:val="24"/>
                <w:lang w:eastAsia="lv-LV"/>
              </w:rPr>
              <w:t>,</w:t>
            </w:r>
            <w:r w:rsidRPr="00C246B6">
              <w:rPr>
                <w:rFonts w:ascii="Times New Roman" w:hAnsi="Times New Roman" w:cs="Times New Roman"/>
                <w:sz w:val="24"/>
                <w:szCs w:val="24"/>
                <w:lang w:eastAsia="lv-LV"/>
              </w:rPr>
              <w:t xml:space="preserve"> var uzskatīt par pietiekami smagiem, lai šāda iejaukšanās būtu attaisnota.</w:t>
            </w:r>
          </w:p>
          <w:p w:rsidR="005D3962" w:rsidRPr="00C246B6" w:rsidRDefault="005D3962" w:rsidP="006B0ABA">
            <w:pPr>
              <w:spacing w:after="0"/>
              <w:ind w:firstLine="757"/>
              <w:jc w:val="both"/>
              <w:rPr>
                <w:rFonts w:ascii="Times New Roman" w:hAnsi="Times New Roman"/>
                <w:sz w:val="24"/>
                <w:szCs w:val="24"/>
                <w:lang w:eastAsia="lv-LV"/>
              </w:rPr>
            </w:pPr>
            <w:r w:rsidRPr="00C246B6">
              <w:rPr>
                <w:rFonts w:ascii="Times New Roman" w:hAnsi="Times New Roman" w:cs="Times New Roman"/>
                <w:sz w:val="24"/>
                <w:szCs w:val="24"/>
                <w:lang w:eastAsia="lv-LV"/>
              </w:rPr>
              <w:t xml:space="preserve">Turklāt </w:t>
            </w:r>
            <w:r w:rsidRPr="00C246B6">
              <w:rPr>
                <w:rFonts w:ascii="Times New Roman" w:hAnsi="Times New Roman" w:cs="Times New Roman"/>
                <w:noProof/>
                <w:sz w:val="24"/>
                <w:szCs w:val="24"/>
              </w:rPr>
              <w:t>Direktīvā 2006/24/EK</w:t>
            </w:r>
            <w:r w:rsidRPr="00C246B6">
              <w:rPr>
                <w:rFonts w:ascii="Times New Roman" w:hAnsi="Times New Roman" w:cs="Times New Roman"/>
                <w:sz w:val="24"/>
                <w:szCs w:val="24"/>
                <w:lang w:eastAsia="lv-LV"/>
              </w:rPr>
              <w:t xml:space="preserve"> nav paredzēti materiāli un procesuāli nosacījumi, ar kādiem kompetentās valsts iestādes var piekļūt datiem un tos vēlāk izmantot. </w:t>
            </w:r>
            <w:r w:rsidRPr="00C246B6">
              <w:rPr>
                <w:rFonts w:ascii="Times New Roman" w:hAnsi="Times New Roman"/>
                <w:sz w:val="24"/>
                <w:szCs w:val="24"/>
                <w:lang w:eastAsia="lv-LV"/>
              </w:rPr>
              <w:t>Vienlaikus EST norāda, ka kompetento iestāžu p</w:t>
            </w:r>
            <w:r w:rsidRPr="00C246B6">
              <w:rPr>
                <w:rFonts w:ascii="Times New Roman" w:hAnsi="Times New Roman" w:cs="Times New Roman"/>
                <w:sz w:val="24"/>
                <w:szCs w:val="24"/>
                <w:lang w:eastAsia="lv-LV"/>
              </w:rPr>
              <w:t xml:space="preserve">iekļuve datiem nav pakļauta iepriekšējai </w:t>
            </w:r>
            <w:r w:rsidRPr="00C246B6">
              <w:rPr>
                <w:rFonts w:ascii="Times New Roman" w:hAnsi="Times New Roman"/>
                <w:sz w:val="24"/>
                <w:szCs w:val="24"/>
                <w:lang w:eastAsia="lv-LV"/>
              </w:rPr>
              <w:t>kontrolei, ko veiktu tiesa vai alternatīva neatkarīga administratīva vienība, kuras lēmums paredzētu ierobežot piekļuvi da</w:t>
            </w:r>
            <w:r w:rsidR="00E4519E" w:rsidRPr="00C246B6">
              <w:rPr>
                <w:rFonts w:ascii="Times New Roman" w:hAnsi="Times New Roman"/>
                <w:sz w:val="24"/>
                <w:szCs w:val="24"/>
                <w:lang w:eastAsia="lv-LV"/>
              </w:rPr>
              <w:t>tiem un to izmantošanu ar to,</w:t>
            </w:r>
            <w:r w:rsidRPr="00C246B6">
              <w:rPr>
                <w:rFonts w:ascii="Times New Roman" w:hAnsi="Times New Roman"/>
                <w:sz w:val="24"/>
                <w:szCs w:val="24"/>
                <w:lang w:eastAsia="lv-LV"/>
              </w:rPr>
              <w:t xml:space="preserve"> kas ir absolūti nepieciešams </w:t>
            </w:r>
            <w:r w:rsidR="006B0ABA" w:rsidRPr="00C246B6">
              <w:rPr>
                <w:rFonts w:ascii="Times New Roman" w:hAnsi="Times New Roman"/>
                <w:sz w:val="24"/>
                <w:szCs w:val="24"/>
                <w:lang w:eastAsia="lv-LV"/>
              </w:rPr>
              <w:t>i</w:t>
            </w:r>
            <w:r w:rsidR="00E4519E" w:rsidRPr="00C246B6">
              <w:rPr>
                <w:rFonts w:ascii="Times New Roman" w:hAnsi="Times New Roman"/>
                <w:sz w:val="24"/>
                <w:szCs w:val="24"/>
                <w:lang w:eastAsia="lv-LV"/>
              </w:rPr>
              <w:t>zvirzītā mērķa sasniegšanai, u</w:t>
            </w:r>
            <w:r w:rsidRPr="00C246B6">
              <w:rPr>
                <w:rFonts w:ascii="Times New Roman" w:hAnsi="Times New Roman"/>
                <w:sz w:val="24"/>
                <w:szCs w:val="24"/>
                <w:lang w:eastAsia="lv-LV"/>
              </w:rPr>
              <w:t>n kas tiktu pieņemts pēc pamatota lūguma, kas iesniegts ar noziedzīgu nodarījumu novēršanu, atklāšanu vai kriminālvajāšanu saistītu procedūru ietvaros.</w:t>
            </w:r>
          </w:p>
          <w:p w:rsidR="005D3962" w:rsidRPr="00C246B6" w:rsidRDefault="005D3962" w:rsidP="005D3962">
            <w:pPr>
              <w:spacing w:after="0"/>
              <w:ind w:firstLine="709"/>
              <w:jc w:val="both"/>
              <w:rPr>
                <w:rFonts w:ascii="Times New Roman" w:hAnsi="Times New Roman"/>
                <w:sz w:val="24"/>
                <w:szCs w:val="24"/>
                <w:lang w:eastAsia="lv-LV"/>
              </w:rPr>
            </w:pPr>
            <w:r w:rsidRPr="00C246B6">
              <w:rPr>
                <w:rFonts w:ascii="Times New Roman" w:hAnsi="Times New Roman"/>
                <w:sz w:val="24"/>
                <w:szCs w:val="24"/>
                <w:lang w:eastAsia="lv-LV"/>
              </w:rPr>
              <w:t>Līdz ar to EST secina, Eiropas Savienības likumdevējs ir pārkāpis samērīguma principu, pieņemot Direktīvu 2006/24/EK.</w:t>
            </w:r>
          </w:p>
          <w:p w:rsidR="003164D8" w:rsidRPr="00EB3CCF" w:rsidRDefault="003164D8" w:rsidP="00196271">
            <w:pPr>
              <w:spacing w:after="0" w:line="240" w:lineRule="auto"/>
              <w:ind w:firstLine="636"/>
              <w:jc w:val="both"/>
              <w:rPr>
                <w:rFonts w:ascii="Times New Roman" w:eastAsia="Times New Roman" w:hAnsi="Times New Roman" w:cs="Times New Roman"/>
                <w:strike/>
                <w:sz w:val="24"/>
                <w:szCs w:val="24"/>
                <w:lang w:eastAsia="lv-LV"/>
              </w:rPr>
            </w:pPr>
            <w:r w:rsidRPr="00EB3CCF">
              <w:rPr>
                <w:rFonts w:ascii="Times New Roman" w:eastAsia="Times New Roman" w:hAnsi="Times New Roman" w:cs="Times New Roman"/>
                <w:sz w:val="24"/>
                <w:szCs w:val="24"/>
                <w:lang w:eastAsia="lv-LV"/>
              </w:rPr>
              <w:t xml:space="preserve">Šajā kontekstā norādams, ka atbilstoši likumprojektam “Grozījumi likumā “Par aviāciju”” pasažieri pirms lidojuma tiks informēti, ka viņu personas dati tiks nodoti Pasažieru informācijas nodaļai, līdz ar ko pasažieriem rodas izvēles tiesības attiecībā uz sava ceļojuma veidu, t.i. pa gaisu, sauszemi vai </w:t>
            </w:r>
            <w:r w:rsidR="00455ABB" w:rsidRPr="00EB3CCF">
              <w:rPr>
                <w:rFonts w:ascii="Times New Roman" w:eastAsia="Times New Roman" w:hAnsi="Times New Roman" w:cs="Times New Roman"/>
                <w:sz w:val="24"/>
                <w:szCs w:val="24"/>
                <w:lang w:eastAsia="lv-LV"/>
              </w:rPr>
              <w:t>ūdeņiem</w:t>
            </w:r>
            <w:r w:rsidRPr="00EB3CCF">
              <w:rPr>
                <w:rFonts w:ascii="Times New Roman" w:eastAsia="Times New Roman" w:hAnsi="Times New Roman" w:cs="Times New Roman"/>
                <w:sz w:val="24"/>
                <w:szCs w:val="24"/>
                <w:lang w:eastAsia="lv-LV"/>
              </w:rPr>
              <w:t>. Tādējādi attiecīgā fizisko personu datu apstrāde likumprojekta ietvaros ir atšķirama no fizisko personu datu apstrādes noslodzes datu ietvaros.</w:t>
            </w:r>
          </w:p>
        </w:tc>
      </w:tr>
    </w:tbl>
    <w:p w:rsidR="005751F9" w:rsidRPr="00BD3F53" w:rsidRDefault="005751F9" w:rsidP="005751F9">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lastRenderedPageBreak/>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2848"/>
        <w:gridCol w:w="5863"/>
      </w:tblGrid>
      <w:tr w:rsidR="005751F9" w:rsidRPr="00BD3F53" w:rsidTr="00550FC2">
        <w:trPr>
          <w:trHeight w:val="555"/>
          <w:tblCellSpacing w:w="15" w:type="dxa"/>
        </w:trPr>
        <w:tc>
          <w:tcPr>
            <w:tcW w:w="0" w:type="auto"/>
            <w:gridSpan w:val="3"/>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51F9" w:rsidRPr="00BD3F53" w:rsidTr="00550FC2">
        <w:trPr>
          <w:trHeight w:val="465"/>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193BB5" w:rsidRPr="00EB3CCF" w:rsidRDefault="00193BB5" w:rsidP="00193BB5">
            <w:pPr>
              <w:spacing w:after="0" w:line="240" w:lineRule="auto"/>
              <w:rPr>
                <w:rFonts w:ascii="Times New Roman" w:eastAsia="Times New Roman" w:hAnsi="Times New Roman" w:cs="Times New Roman"/>
                <w:sz w:val="24"/>
                <w:szCs w:val="24"/>
                <w:lang w:eastAsia="lv-LV"/>
              </w:rPr>
            </w:pPr>
            <w:r w:rsidRPr="00EB3CCF">
              <w:rPr>
                <w:rFonts w:ascii="Times New Roman" w:eastAsia="Times New Roman" w:hAnsi="Times New Roman" w:cs="Times New Roman"/>
                <w:sz w:val="24"/>
                <w:szCs w:val="24"/>
                <w:lang w:eastAsia="lv-LV"/>
              </w:rPr>
              <w:t>Avio pasažieri, kas lido:</w:t>
            </w:r>
          </w:p>
          <w:p w:rsidR="00193BB5" w:rsidRPr="00EB3CCF" w:rsidRDefault="00193BB5" w:rsidP="00193BB5">
            <w:pPr>
              <w:spacing w:after="0" w:line="240" w:lineRule="auto"/>
              <w:rPr>
                <w:rFonts w:ascii="Times New Roman" w:eastAsia="Times New Roman" w:hAnsi="Times New Roman" w:cs="Times New Roman"/>
                <w:sz w:val="24"/>
                <w:szCs w:val="24"/>
                <w:lang w:eastAsia="lv-LV"/>
              </w:rPr>
            </w:pPr>
            <w:r w:rsidRPr="00EB3CCF">
              <w:rPr>
                <w:rFonts w:ascii="Times New Roman" w:eastAsia="Times New Roman" w:hAnsi="Times New Roman" w:cs="Times New Roman"/>
                <w:sz w:val="24"/>
                <w:szCs w:val="24"/>
                <w:lang w:eastAsia="lv-LV"/>
              </w:rPr>
              <w:t>uz/no Latvijas uz trešajām valstīm (ārpus Eiropas Savienības);</w:t>
            </w:r>
          </w:p>
          <w:p w:rsidR="005751F9" w:rsidRPr="00BD3F53" w:rsidRDefault="00193BB5" w:rsidP="00193BB5">
            <w:pPr>
              <w:spacing w:after="0" w:line="240" w:lineRule="auto"/>
              <w:rPr>
                <w:rFonts w:ascii="Times New Roman" w:eastAsia="Times New Roman" w:hAnsi="Times New Roman" w:cs="Times New Roman"/>
                <w:sz w:val="24"/>
                <w:szCs w:val="24"/>
                <w:lang w:eastAsia="lv-LV"/>
              </w:rPr>
            </w:pPr>
            <w:r w:rsidRPr="00EB3CCF">
              <w:rPr>
                <w:rFonts w:ascii="Times New Roman" w:eastAsia="Times New Roman" w:hAnsi="Times New Roman" w:cs="Times New Roman"/>
                <w:sz w:val="24"/>
                <w:szCs w:val="24"/>
                <w:lang w:eastAsia="lv-LV"/>
              </w:rPr>
              <w:t>uz/no Latvijas uz Eiropas Savienības dalībvalstīm.</w:t>
            </w:r>
          </w:p>
        </w:tc>
      </w:tr>
      <w:tr w:rsidR="005751F9" w:rsidRPr="00BD3F53" w:rsidTr="00550FC2">
        <w:trPr>
          <w:trHeight w:val="510"/>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5751F9" w:rsidRPr="00830420" w:rsidRDefault="004E4758" w:rsidP="00AC34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Administratīvais slogs palielināsies Drošības policijai.</w:t>
            </w:r>
          </w:p>
        </w:tc>
      </w:tr>
      <w:tr w:rsidR="005751F9" w:rsidRPr="00BD3F53" w:rsidTr="00550FC2">
        <w:trPr>
          <w:trHeight w:val="510"/>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Administratīvo izmaksu monetārs novērtējums</w:t>
            </w:r>
          </w:p>
        </w:tc>
        <w:tc>
          <w:tcPr>
            <w:tcW w:w="3200" w:type="pct"/>
            <w:hideMark/>
          </w:tcPr>
          <w:p w:rsidR="004E4758" w:rsidRPr="00830420" w:rsidRDefault="004E4758"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Administratīvo izmaksu monetārs novērtējums</w:t>
            </w:r>
            <w:r>
              <w:rPr>
                <w:rFonts w:ascii="Times New Roman" w:eastAsia="Times New Roman" w:hAnsi="Times New Roman" w:cs="Times New Roman"/>
                <w:sz w:val="24"/>
                <w:szCs w:val="24"/>
                <w:lang w:eastAsia="lv-LV"/>
              </w:rPr>
              <w:t xml:space="preserve"> Drošības policijai ir klasificēta informācija.</w:t>
            </w:r>
          </w:p>
        </w:tc>
      </w:tr>
      <w:tr w:rsidR="005751F9" w:rsidRPr="00BD3F53" w:rsidTr="00550FC2">
        <w:trPr>
          <w:trHeight w:val="345"/>
          <w:tblCellSpacing w:w="15" w:type="dxa"/>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4.</w:t>
            </w:r>
          </w:p>
        </w:tc>
        <w:tc>
          <w:tcPr>
            <w:tcW w:w="15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Cita informācija</w:t>
            </w:r>
          </w:p>
        </w:tc>
        <w:tc>
          <w:tcPr>
            <w:tcW w:w="3200" w:type="pct"/>
            <w:hideMark/>
          </w:tcPr>
          <w:p w:rsidR="005751F9" w:rsidRPr="00BD3F53" w:rsidRDefault="005751F9" w:rsidP="00550FC2">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Nav</w:t>
            </w:r>
          </w:p>
        </w:tc>
      </w:tr>
    </w:tbl>
    <w:p w:rsidR="005751F9" w:rsidRPr="00BD3F53" w:rsidRDefault="005751F9" w:rsidP="005751F9">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p>
    <w:tbl>
      <w:tblPr>
        <w:tblW w:w="511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04"/>
        <w:gridCol w:w="1364"/>
        <w:gridCol w:w="1294"/>
        <w:gridCol w:w="1323"/>
        <w:gridCol w:w="1323"/>
        <w:gridCol w:w="1511"/>
      </w:tblGrid>
      <w:tr w:rsidR="005751F9" w:rsidRPr="00BD3F53" w:rsidTr="004E4758">
        <w:trPr>
          <w:trHeight w:val="360"/>
          <w:tblCellSpacing w:w="15" w:type="dxa"/>
          <w:jc w:val="center"/>
        </w:trPr>
        <w:tc>
          <w:tcPr>
            <w:tcW w:w="4968" w:type="pct"/>
            <w:gridSpan w:val="6"/>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III. Tiesību akta projekta ietekme uz valsts budžetu un pašvaldību budžetiem</w:t>
            </w:r>
          </w:p>
        </w:tc>
      </w:tr>
      <w:tr w:rsidR="005751F9" w:rsidRPr="00BD3F53" w:rsidTr="004E4758">
        <w:trPr>
          <w:tblCellSpacing w:w="15" w:type="dxa"/>
          <w:jc w:val="center"/>
        </w:trPr>
        <w:tc>
          <w:tcPr>
            <w:tcW w:w="1380" w:type="pct"/>
            <w:vMerge w:val="restar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Rādītāji</w:t>
            </w:r>
          </w:p>
        </w:tc>
        <w:tc>
          <w:tcPr>
            <w:tcW w:w="1401" w:type="pct"/>
            <w:gridSpan w:val="2"/>
            <w:vMerge w:val="restart"/>
            <w:vAlign w:val="center"/>
            <w:hideMark/>
          </w:tcPr>
          <w:p w:rsidR="005751F9" w:rsidRPr="00BD3F53" w:rsidRDefault="004E4758" w:rsidP="00550FC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2015.gads</w:t>
            </w:r>
          </w:p>
        </w:tc>
        <w:tc>
          <w:tcPr>
            <w:tcW w:w="2155" w:type="pct"/>
            <w:gridSpan w:val="3"/>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Turpmākie trīs gadi (</w:t>
            </w:r>
            <w:r w:rsidRPr="00BD3F53">
              <w:rPr>
                <w:rFonts w:ascii="Times New Roman" w:eastAsia="Times New Roman" w:hAnsi="Times New Roman" w:cs="Times New Roman"/>
                <w:i/>
                <w:iCs/>
                <w:sz w:val="24"/>
                <w:szCs w:val="24"/>
                <w:lang w:eastAsia="lv-LV"/>
              </w:rPr>
              <w:t>euro</w:t>
            </w:r>
            <w:r w:rsidRPr="00BD3F53">
              <w:rPr>
                <w:rFonts w:ascii="Times New Roman" w:eastAsia="Times New Roman" w:hAnsi="Times New Roman" w:cs="Times New Roman"/>
                <w:sz w:val="24"/>
                <w:szCs w:val="24"/>
                <w:lang w:eastAsia="lv-LV"/>
              </w:rPr>
              <w:t>)</w:t>
            </w:r>
          </w:p>
        </w:tc>
      </w:tr>
      <w:tr w:rsidR="005751F9" w:rsidRPr="00BD3F53" w:rsidTr="004E4758">
        <w:trPr>
          <w:tblCellSpacing w:w="15" w:type="dxa"/>
          <w:jc w:val="center"/>
        </w:trPr>
        <w:tc>
          <w:tcPr>
            <w:tcW w:w="0" w:type="auto"/>
            <w:vMerge/>
            <w:vAlign w:val="center"/>
            <w:hideMark/>
          </w:tcPr>
          <w:p w:rsidR="005751F9" w:rsidRPr="00BD3F53" w:rsidRDefault="005751F9" w:rsidP="00550FC2">
            <w:pPr>
              <w:spacing w:after="0" w:line="240" w:lineRule="auto"/>
              <w:rPr>
                <w:rFonts w:ascii="Times New Roman" w:eastAsia="Times New Roman" w:hAnsi="Times New Roman" w:cs="Times New Roman"/>
                <w:b/>
                <w:bCs/>
                <w:sz w:val="24"/>
                <w:szCs w:val="24"/>
                <w:lang w:eastAsia="lv-LV"/>
              </w:rPr>
            </w:pPr>
          </w:p>
        </w:tc>
        <w:tc>
          <w:tcPr>
            <w:tcW w:w="1401" w:type="pct"/>
            <w:gridSpan w:val="2"/>
            <w:vMerge/>
            <w:vAlign w:val="center"/>
            <w:hideMark/>
          </w:tcPr>
          <w:p w:rsidR="005751F9" w:rsidRPr="00BD3F53" w:rsidRDefault="005751F9" w:rsidP="00550FC2">
            <w:pPr>
              <w:spacing w:after="0" w:line="240" w:lineRule="auto"/>
              <w:rPr>
                <w:rFonts w:ascii="Times New Roman" w:eastAsia="Times New Roman" w:hAnsi="Times New Roman" w:cs="Times New Roman"/>
                <w:b/>
                <w:bCs/>
                <w:sz w:val="24"/>
                <w:szCs w:val="24"/>
                <w:lang w:eastAsia="lv-LV"/>
              </w:rPr>
            </w:pPr>
          </w:p>
        </w:tc>
        <w:tc>
          <w:tcPr>
            <w:tcW w:w="698" w:type="pct"/>
            <w:vAlign w:val="center"/>
            <w:hideMark/>
          </w:tcPr>
          <w:p w:rsidR="005751F9" w:rsidRPr="00BD3F53" w:rsidRDefault="004E4758" w:rsidP="00550FC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98" w:type="pct"/>
            <w:vAlign w:val="center"/>
            <w:hideMark/>
          </w:tcPr>
          <w:p w:rsidR="005751F9" w:rsidRPr="00BD3F53" w:rsidRDefault="004E4758" w:rsidP="00550FC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726" w:type="pct"/>
            <w:vAlign w:val="center"/>
            <w:hideMark/>
          </w:tcPr>
          <w:p w:rsidR="005751F9" w:rsidRPr="00BD3F53" w:rsidRDefault="004E4758" w:rsidP="00550FC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5751F9" w:rsidRPr="00BD3F53" w:rsidTr="004E4758">
        <w:trPr>
          <w:tblCellSpacing w:w="15" w:type="dxa"/>
          <w:jc w:val="center"/>
        </w:trPr>
        <w:tc>
          <w:tcPr>
            <w:tcW w:w="0" w:type="auto"/>
            <w:vMerge/>
            <w:vAlign w:val="center"/>
            <w:hideMark/>
          </w:tcPr>
          <w:p w:rsidR="005751F9" w:rsidRPr="00BD3F53" w:rsidRDefault="005751F9" w:rsidP="00550FC2">
            <w:pPr>
              <w:spacing w:after="0" w:line="240" w:lineRule="auto"/>
              <w:rPr>
                <w:rFonts w:ascii="Times New Roman" w:eastAsia="Times New Roman" w:hAnsi="Times New Roman" w:cs="Times New Roman"/>
                <w:b/>
                <w:bCs/>
                <w:sz w:val="24"/>
                <w:szCs w:val="24"/>
                <w:lang w:eastAsia="lv-LV"/>
              </w:rPr>
            </w:pPr>
          </w:p>
        </w:tc>
        <w:tc>
          <w:tcPr>
            <w:tcW w:w="719"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saskaņā ar valsts budžetu kārtējam gadam</w:t>
            </w:r>
          </w:p>
        </w:tc>
        <w:tc>
          <w:tcPr>
            <w:tcW w:w="666"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izmaiņas kārtējā gadā, salīdzinot ar valsts budžetu kārtējam gadam</w:t>
            </w:r>
          </w:p>
        </w:tc>
        <w:tc>
          <w:tcPr>
            <w:tcW w:w="698"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izmaiņas, salīdzinot ar kārtējo (n) gadu</w:t>
            </w:r>
          </w:p>
        </w:tc>
        <w:tc>
          <w:tcPr>
            <w:tcW w:w="698"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izmaiņas, salīdzinot ar kārtējo (n) gadu</w:t>
            </w:r>
          </w:p>
        </w:tc>
        <w:tc>
          <w:tcPr>
            <w:tcW w:w="726"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izmaiņas, salīdzinot ar kārtējo (n) gadu</w:t>
            </w:r>
          </w:p>
        </w:tc>
      </w:tr>
      <w:tr w:rsidR="005751F9" w:rsidRPr="00BD3F53" w:rsidTr="004E4758">
        <w:trPr>
          <w:tblCellSpacing w:w="15" w:type="dxa"/>
          <w:jc w:val="center"/>
        </w:trPr>
        <w:tc>
          <w:tcPr>
            <w:tcW w:w="1380"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w:t>
            </w:r>
          </w:p>
        </w:tc>
        <w:tc>
          <w:tcPr>
            <w:tcW w:w="719"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w:t>
            </w:r>
          </w:p>
        </w:tc>
        <w:tc>
          <w:tcPr>
            <w:tcW w:w="666"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w:t>
            </w:r>
          </w:p>
        </w:tc>
        <w:tc>
          <w:tcPr>
            <w:tcW w:w="698"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4</w:t>
            </w:r>
          </w:p>
        </w:tc>
        <w:tc>
          <w:tcPr>
            <w:tcW w:w="698"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5</w:t>
            </w:r>
          </w:p>
        </w:tc>
        <w:tc>
          <w:tcPr>
            <w:tcW w:w="726" w:type="pct"/>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6</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 Budžeta ieņēmumi:</w:t>
            </w:r>
          </w:p>
        </w:tc>
        <w:tc>
          <w:tcPr>
            <w:tcW w:w="719" w:type="pct"/>
            <w:hideMark/>
          </w:tcPr>
          <w:p w:rsidR="005751F9" w:rsidRPr="00BD3F53" w:rsidRDefault="004E4758" w:rsidP="00F610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2 915 332</w:t>
            </w:r>
          </w:p>
        </w:tc>
        <w:tc>
          <w:tcPr>
            <w:tcW w:w="666"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8"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8"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6"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1.1. valsts pamatbudžets, tai skaitā ieņēmumi no maksas pakalpojumiem un citi pašu ieņēmumi</w:t>
            </w:r>
          </w:p>
        </w:tc>
        <w:tc>
          <w:tcPr>
            <w:tcW w:w="719" w:type="pct"/>
            <w:hideMark/>
          </w:tcPr>
          <w:p w:rsidR="005751F9" w:rsidRPr="00BD3F53" w:rsidRDefault="00F610E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4E4758">
              <w:rPr>
                <w:rFonts w:ascii="Times New Roman" w:eastAsia="Times New Roman" w:hAnsi="Times New Roman" w:cs="Times New Roman"/>
                <w:sz w:val="24"/>
                <w:szCs w:val="24"/>
                <w:lang w:eastAsia="lv-LV"/>
              </w:rPr>
              <w:t>915 332</w:t>
            </w:r>
          </w:p>
        </w:tc>
        <w:tc>
          <w:tcPr>
            <w:tcW w:w="666"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8"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8"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6" w:type="pct"/>
            <w:hideMark/>
          </w:tcPr>
          <w:p w:rsidR="005751F9" w:rsidRPr="00BD3F53" w:rsidRDefault="004E4758" w:rsidP="004E475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1.2. valsts speciālais 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1.3. pašvaldību 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 Budžeta izdevumi:</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F610E8">
              <w:rPr>
                <w:rFonts w:ascii="Times New Roman" w:eastAsia="Times New Roman" w:hAnsi="Times New Roman" w:cs="Times New Roman"/>
                <w:sz w:val="24"/>
                <w:szCs w:val="24"/>
                <w:lang w:eastAsia="lv-LV"/>
              </w:rPr>
              <w:t xml:space="preserve">2 </w:t>
            </w:r>
            <w:r w:rsidR="004E4758">
              <w:rPr>
                <w:rFonts w:ascii="Times New Roman" w:eastAsia="Times New Roman" w:hAnsi="Times New Roman" w:cs="Times New Roman"/>
                <w:sz w:val="24"/>
                <w:szCs w:val="24"/>
                <w:lang w:eastAsia="lv-LV"/>
              </w:rPr>
              <w:t>915 332</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2.1. valsts pamatbudžets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F610E8">
              <w:rPr>
                <w:rFonts w:ascii="Times New Roman" w:eastAsia="Times New Roman" w:hAnsi="Times New Roman" w:cs="Times New Roman"/>
                <w:sz w:val="24"/>
                <w:szCs w:val="24"/>
                <w:lang w:eastAsia="lv-LV"/>
              </w:rPr>
              <w:t xml:space="preserve">2 </w:t>
            </w:r>
            <w:r w:rsidR="004E4758">
              <w:rPr>
                <w:rFonts w:ascii="Times New Roman" w:eastAsia="Times New Roman" w:hAnsi="Times New Roman" w:cs="Times New Roman"/>
                <w:sz w:val="24"/>
                <w:szCs w:val="24"/>
                <w:lang w:eastAsia="lv-LV"/>
              </w:rPr>
              <w:t>915 332</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2.2. valsts speciālais 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2.3. pašvaldību 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 Finansiālā ietekme:</w:t>
            </w:r>
          </w:p>
        </w:tc>
        <w:tc>
          <w:tcPr>
            <w:tcW w:w="719" w:type="pct"/>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3.1. valsts pamatbudžets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3.2. speciālais 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lastRenderedPageBreak/>
              <w:t>3.3. pašvaldību budžets</w:t>
            </w:r>
          </w:p>
        </w:tc>
        <w:tc>
          <w:tcPr>
            <w:tcW w:w="719"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vMerge w:val="restar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9" w:type="pct"/>
            <w:vMerge w:val="restart"/>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X</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0" w:type="auto"/>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719" w:type="pct"/>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0" w:type="auto"/>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719" w:type="pct"/>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5. Precizēta finansiālā ietekme:</w:t>
            </w:r>
          </w:p>
        </w:tc>
        <w:tc>
          <w:tcPr>
            <w:tcW w:w="719" w:type="pct"/>
            <w:vMerge w:val="restart"/>
            <w:hideMark/>
          </w:tcPr>
          <w:p w:rsidR="005751F9" w:rsidRPr="00BD3F53" w:rsidRDefault="005751F9" w:rsidP="00550FC2">
            <w:pPr>
              <w:spacing w:after="0" w:line="240" w:lineRule="auto"/>
              <w:ind w:firstLine="300"/>
              <w:jc w:val="center"/>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X</w:t>
            </w: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5.1. valsts pamatbudžets</w:t>
            </w:r>
          </w:p>
        </w:tc>
        <w:tc>
          <w:tcPr>
            <w:tcW w:w="719" w:type="pct"/>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5.2. speciālais budžets</w:t>
            </w:r>
          </w:p>
        </w:tc>
        <w:tc>
          <w:tcPr>
            <w:tcW w:w="719" w:type="pct"/>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5.3. pašvaldību budžets</w:t>
            </w:r>
          </w:p>
        </w:tc>
        <w:tc>
          <w:tcPr>
            <w:tcW w:w="719" w:type="pct"/>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c>
          <w:tcPr>
            <w:tcW w:w="66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698"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c>
          <w:tcPr>
            <w:tcW w:w="726"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0</w:t>
            </w: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72" w:type="pct"/>
            <w:gridSpan w:val="5"/>
            <w:vMerge w:val="restart"/>
            <w:vAlign w:val="center"/>
            <w:hideMark/>
          </w:tcPr>
          <w:p w:rsidR="004E4758" w:rsidRPr="003164D8" w:rsidRDefault="005751F9" w:rsidP="003164D8">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r w:rsidR="004E4758">
              <w:rPr>
                <w:rFonts w:ascii="Times New Roman" w:eastAsia="Times New Roman" w:hAnsi="Times New Roman" w:cs="Times New Roman"/>
                <w:sz w:val="24"/>
                <w:szCs w:val="24"/>
                <w:lang w:eastAsia="lv-LV"/>
              </w:rPr>
              <w:t>Saskaņā ar likumu “Par valsts budžetu 2015.gadam”2</w:t>
            </w:r>
            <w:r w:rsidR="003164D8">
              <w:rPr>
                <w:rFonts w:ascii="Times New Roman" w:eastAsia="Times New Roman" w:hAnsi="Times New Roman" w:cs="Times New Roman"/>
                <w:sz w:val="24"/>
                <w:szCs w:val="24"/>
                <w:lang w:eastAsia="lv-LV"/>
              </w:rPr>
              <w:t>015.gadam paredzēts finansējums p</w:t>
            </w:r>
            <w:r w:rsidR="004E4758" w:rsidRPr="003164D8">
              <w:rPr>
                <w:rFonts w:ascii="Times New Roman" w:eastAsia="Times New Roman" w:hAnsi="Times New Roman" w:cs="Times New Roman"/>
                <w:sz w:val="24"/>
                <w:szCs w:val="24"/>
                <w:lang w:eastAsia="lv-LV"/>
              </w:rPr>
              <w:t xml:space="preserve">rojektam “Pasažieru datu reģistra (PDR) sistēmas izveide Latvijā” 2 915 332 </w:t>
            </w:r>
            <w:r w:rsidR="004E4758" w:rsidRPr="003164D8">
              <w:rPr>
                <w:rFonts w:ascii="Times New Roman" w:eastAsia="Times New Roman" w:hAnsi="Times New Roman" w:cs="Times New Roman"/>
                <w:i/>
                <w:sz w:val="24"/>
                <w:szCs w:val="24"/>
                <w:lang w:eastAsia="lv-LV"/>
              </w:rPr>
              <w:t xml:space="preserve">euro </w:t>
            </w:r>
            <w:r w:rsidR="004E4758" w:rsidRPr="003164D8">
              <w:rPr>
                <w:rFonts w:ascii="Times New Roman" w:eastAsia="Times New Roman" w:hAnsi="Times New Roman" w:cs="Times New Roman"/>
                <w:sz w:val="24"/>
                <w:szCs w:val="24"/>
                <w:lang w:eastAsia="lv-LV"/>
              </w:rPr>
              <w:t>apmērā;</w:t>
            </w:r>
          </w:p>
          <w:p w:rsidR="004E4758" w:rsidRPr="003164D8" w:rsidRDefault="004E4758" w:rsidP="00EB3CCF">
            <w:pPr>
              <w:pStyle w:val="ListParagraph"/>
              <w:spacing w:after="0" w:line="240" w:lineRule="auto"/>
              <w:ind w:left="420"/>
              <w:rPr>
                <w:rFonts w:ascii="Times New Roman" w:eastAsia="Times New Roman" w:hAnsi="Times New Roman" w:cs="Times New Roman"/>
                <w:b/>
                <w:strike/>
                <w:sz w:val="24"/>
                <w:szCs w:val="24"/>
                <w:lang w:eastAsia="lv-LV"/>
              </w:rPr>
            </w:pP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6.1. detalizēts ieņēmumu aprēķins</w:t>
            </w:r>
          </w:p>
        </w:tc>
        <w:tc>
          <w:tcPr>
            <w:tcW w:w="3572" w:type="pct"/>
            <w:gridSpan w:val="5"/>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r>
      <w:tr w:rsidR="005751F9" w:rsidRPr="00BD3F53" w:rsidTr="004E4758">
        <w:trPr>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6.2. detalizēts izdevumu aprēķins</w:t>
            </w:r>
          </w:p>
        </w:tc>
        <w:tc>
          <w:tcPr>
            <w:tcW w:w="3572" w:type="pct"/>
            <w:gridSpan w:val="5"/>
            <w:vMerge/>
            <w:vAlign w:val="center"/>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p>
        </w:tc>
      </w:tr>
      <w:tr w:rsidR="005751F9" w:rsidRPr="00BD3F53" w:rsidTr="004E4758">
        <w:trPr>
          <w:trHeight w:val="555"/>
          <w:tblCellSpacing w:w="15" w:type="dxa"/>
          <w:jc w:val="center"/>
        </w:trPr>
        <w:tc>
          <w:tcPr>
            <w:tcW w:w="138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7. Cita informācija</w:t>
            </w:r>
          </w:p>
        </w:tc>
        <w:tc>
          <w:tcPr>
            <w:tcW w:w="3572" w:type="pct"/>
            <w:gridSpan w:val="5"/>
            <w:hideMark/>
          </w:tcPr>
          <w:p w:rsidR="005751F9" w:rsidRPr="00BD3F53" w:rsidRDefault="005751F9" w:rsidP="00550FC2">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Nav</w:t>
            </w:r>
          </w:p>
        </w:tc>
      </w:tr>
    </w:tbl>
    <w:p w:rsidR="005751F9" w:rsidRPr="00BD3F53" w:rsidRDefault="005751F9" w:rsidP="005751F9">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2666"/>
        <w:gridCol w:w="6045"/>
      </w:tblGrid>
      <w:tr w:rsidR="005751F9" w:rsidRPr="00BD3F53" w:rsidTr="00550FC2">
        <w:trPr>
          <w:trHeight w:val="450"/>
          <w:tblCellSpacing w:w="15" w:type="dxa"/>
          <w:jc w:val="center"/>
        </w:trPr>
        <w:tc>
          <w:tcPr>
            <w:tcW w:w="0" w:type="auto"/>
            <w:gridSpan w:val="3"/>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IV. Tiesību akta projekta ietekme uz spēkā esošo tiesību normu sistēmu</w:t>
            </w:r>
          </w:p>
        </w:tc>
      </w:tr>
      <w:tr w:rsidR="005751F9" w:rsidRPr="00BD3F53" w:rsidTr="00550FC2">
        <w:trPr>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w:t>
            </w:r>
          </w:p>
        </w:tc>
        <w:tc>
          <w:tcPr>
            <w:tcW w:w="14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Nepieciešamie saistītie tiesību aktu projekti</w:t>
            </w:r>
          </w:p>
        </w:tc>
        <w:tc>
          <w:tcPr>
            <w:tcW w:w="3300" w:type="pct"/>
            <w:hideMark/>
          </w:tcPr>
          <w:p w:rsidR="005751F9" w:rsidRPr="00821318" w:rsidRDefault="005751F9" w:rsidP="00550FC2">
            <w:pPr>
              <w:spacing w:after="0" w:line="240" w:lineRule="auto"/>
              <w:jc w:val="both"/>
              <w:rPr>
                <w:rFonts w:ascii="Times New Roman" w:eastAsia="Times New Roman" w:hAnsi="Times New Roman" w:cs="Times New Roman"/>
                <w:sz w:val="24"/>
                <w:szCs w:val="24"/>
                <w:lang w:eastAsia="lv-LV"/>
              </w:rPr>
            </w:pPr>
          </w:p>
          <w:p w:rsidR="005751F9" w:rsidRDefault="005751F9" w:rsidP="00550F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ar l</w:t>
            </w:r>
            <w:r w:rsidRPr="00821318">
              <w:rPr>
                <w:rFonts w:ascii="Times New Roman" w:eastAsia="Times New Roman" w:hAnsi="Times New Roman" w:cs="Times New Roman"/>
                <w:sz w:val="24"/>
                <w:szCs w:val="24"/>
                <w:lang w:eastAsia="lv-LV"/>
              </w:rPr>
              <w:t xml:space="preserve">ikumprojektu ir virzāms likumprojekts „Grozījumi </w:t>
            </w:r>
            <w:r>
              <w:rPr>
                <w:rFonts w:ascii="Times New Roman" w:eastAsia="Times New Roman" w:hAnsi="Times New Roman" w:cs="Times New Roman"/>
                <w:sz w:val="24"/>
                <w:szCs w:val="24"/>
                <w:lang w:eastAsia="lv-LV"/>
              </w:rPr>
              <w:t>likumā “Par aviāciju”</w:t>
            </w:r>
            <w:r w:rsidRPr="00821318">
              <w:rPr>
                <w:rFonts w:ascii="Times New Roman" w:eastAsia="Times New Roman" w:hAnsi="Times New Roman" w:cs="Times New Roman"/>
                <w:sz w:val="24"/>
                <w:szCs w:val="24"/>
                <w:lang w:eastAsia="lv-LV"/>
              </w:rPr>
              <w:t>”, paredzot</w:t>
            </w:r>
            <w:r>
              <w:rPr>
                <w:rFonts w:ascii="Times New Roman" w:eastAsia="Times New Roman" w:hAnsi="Times New Roman" w:cs="Times New Roman"/>
                <w:sz w:val="24"/>
                <w:szCs w:val="24"/>
                <w:lang w:eastAsia="lv-LV"/>
              </w:rPr>
              <w:t xml:space="preserve"> pasažieru pārvadātājiem pienākumu nodot apstrādājamos pasažieru datus Drošības policijai noziedzības apkarošanas nolūkā, kā arī likumprojekts “Grozījumi Latvijas Administratīvo pārkāpumu kodeksā”, paredzot atbildību </w:t>
            </w:r>
            <w:r w:rsidRPr="006F061F">
              <w:rPr>
                <w:rFonts w:ascii="Times New Roman" w:eastAsia="Times New Roman" w:hAnsi="Times New Roman" w:cs="Times New Roman"/>
                <w:sz w:val="24"/>
                <w:szCs w:val="24"/>
                <w:lang w:eastAsia="lv-LV"/>
              </w:rPr>
              <w:t>pasažieru pārvadātājiem</w:t>
            </w:r>
            <w:r>
              <w:rPr>
                <w:rFonts w:ascii="Times New Roman" w:eastAsia="Times New Roman" w:hAnsi="Times New Roman" w:cs="Times New Roman"/>
                <w:sz w:val="24"/>
                <w:szCs w:val="24"/>
                <w:lang w:eastAsia="lv-LV"/>
              </w:rPr>
              <w:t xml:space="preserve"> par attiecīgo pasažieru datu nodošanas pienākuma nepildīšanu.    </w:t>
            </w:r>
            <w:r w:rsidRPr="00821318">
              <w:rPr>
                <w:rFonts w:ascii="Times New Roman" w:eastAsia="Times New Roman" w:hAnsi="Times New Roman" w:cs="Times New Roman"/>
                <w:sz w:val="24"/>
                <w:szCs w:val="24"/>
                <w:lang w:eastAsia="lv-LV"/>
              </w:rPr>
              <w:t xml:space="preserve"> </w:t>
            </w:r>
          </w:p>
          <w:p w:rsidR="005751F9" w:rsidRPr="00BD3F53" w:rsidRDefault="005751F9" w:rsidP="00550FC2">
            <w:pPr>
              <w:spacing w:after="0" w:line="240" w:lineRule="auto"/>
              <w:jc w:val="both"/>
              <w:rPr>
                <w:rFonts w:ascii="Times New Roman" w:eastAsia="Times New Roman" w:hAnsi="Times New Roman" w:cs="Times New Roman"/>
                <w:sz w:val="24"/>
                <w:szCs w:val="24"/>
                <w:lang w:eastAsia="lv-LV"/>
              </w:rPr>
            </w:pPr>
            <w:r w:rsidRPr="00821318">
              <w:rPr>
                <w:rFonts w:ascii="Times New Roman" w:eastAsia="Times New Roman" w:hAnsi="Times New Roman" w:cs="Times New Roman"/>
                <w:sz w:val="24"/>
                <w:szCs w:val="24"/>
                <w:lang w:eastAsia="lv-LV"/>
              </w:rPr>
              <w:t xml:space="preserve">Nepieciešamos </w:t>
            </w:r>
            <w:r>
              <w:rPr>
                <w:rFonts w:ascii="Times New Roman" w:eastAsia="Times New Roman" w:hAnsi="Times New Roman" w:cs="Times New Roman"/>
                <w:sz w:val="24"/>
                <w:szCs w:val="24"/>
                <w:lang w:eastAsia="lv-LV"/>
              </w:rPr>
              <w:t>grozījumus likumā “Par aviāciju” un Latvijas Administratīvo pārkāpumu kodeksā s</w:t>
            </w:r>
            <w:r w:rsidRPr="00821318">
              <w:rPr>
                <w:rFonts w:ascii="Times New Roman" w:eastAsia="Times New Roman" w:hAnsi="Times New Roman" w:cs="Times New Roman"/>
                <w:sz w:val="24"/>
                <w:szCs w:val="24"/>
                <w:lang w:eastAsia="lv-LV"/>
              </w:rPr>
              <w:t>agatavos Iekšlietu ministrija.</w:t>
            </w:r>
          </w:p>
        </w:tc>
      </w:tr>
      <w:tr w:rsidR="005751F9" w:rsidRPr="00BD3F53" w:rsidTr="00550FC2">
        <w:trPr>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w:t>
            </w:r>
          </w:p>
        </w:tc>
        <w:tc>
          <w:tcPr>
            <w:tcW w:w="14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Atbildīgā institūcija</w:t>
            </w:r>
          </w:p>
        </w:tc>
        <w:tc>
          <w:tcPr>
            <w:tcW w:w="330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Iekšlietu ministrija.</w:t>
            </w:r>
          </w:p>
        </w:tc>
      </w:tr>
      <w:tr w:rsidR="005751F9" w:rsidRPr="00BD3F53" w:rsidTr="00550FC2">
        <w:trPr>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w:t>
            </w:r>
          </w:p>
        </w:tc>
        <w:tc>
          <w:tcPr>
            <w:tcW w:w="14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Cita informācija</w:t>
            </w:r>
          </w:p>
        </w:tc>
        <w:tc>
          <w:tcPr>
            <w:tcW w:w="3300" w:type="pct"/>
            <w:hideMark/>
          </w:tcPr>
          <w:p w:rsidR="005751F9" w:rsidRPr="00BD3F53" w:rsidRDefault="005751F9" w:rsidP="00550FC2">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Nav</w:t>
            </w:r>
          </w:p>
        </w:tc>
      </w:tr>
    </w:tbl>
    <w:p w:rsidR="005751F9" w:rsidRPr="00BD3F53" w:rsidRDefault="005751F9" w:rsidP="005751F9">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1844"/>
        <w:gridCol w:w="7062"/>
      </w:tblGrid>
      <w:tr w:rsidR="000059DE" w:rsidRPr="000059DE" w:rsidTr="007C7DD1">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0059DE" w:rsidRPr="000059DE" w:rsidRDefault="000059DE" w:rsidP="007C7DD1">
            <w:pPr>
              <w:spacing w:before="100" w:beforeAutospacing="1" w:after="100" w:afterAutospacing="1"/>
              <w:jc w:val="center"/>
              <w:rPr>
                <w:rFonts w:ascii="Times New Roman" w:hAnsi="Times New Roman" w:cs="Times New Roman"/>
                <w:b/>
                <w:bCs/>
                <w:color w:val="000000"/>
                <w:sz w:val="24"/>
                <w:szCs w:val="24"/>
              </w:rPr>
            </w:pPr>
            <w:r w:rsidRPr="000059DE">
              <w:rPr>
                <w:rFonts w:ascii="Times New Roman" w:hAnsi="Times New Roman" w:cs="Times New Roman"/>
                <w:b/>
                <w:bCs/>
                <w:color w:val="000000"/>
                <w:sz w:val="24"/>
                <w:szCs w:val="24"/>
              </w:rPr>
              <w:t>V. Tiesību akta projekta atbilstība Latvijas Republikas starptautiskajām saistībām</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 xml:space="preserve">Saistības pret </w:t>
            </w:r>
            <w:r w:rsidRPr="000059DE">
              <w:rPr>
                <w:rFonts w:ascii="Times New Roman" w:hAnsi="Times New Roman" w:cs="Times New Roman"/>
                <w:color w:val="000000"/>
                <w:sz w:val="24"/>
                <w:szCs w:val="24"/>
              </w:rPr>
              <w:lastRenderedPageBreak/>
              <w:t>Eiropas Savienību</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lastRenderedPageBreak/>
              <w:t>Projekts šo jomu neskar</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Projekts šo jomu neskar</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Likumprojekts ir izstrādāts, </w:t>
            </w:r>
            <w:r>
              <w:rPr>
                <w:rFonts w:ascii="Times New Roman" w:hAnsi="Times New Roman" w:cs="Times New Roman"/>
                <w:sz w:val="24"/>
                <w:szCs w:val="24"/>
                <w:lang w:eastAsia="fr-BE"/>
              </w:rPr>
              <w:t>ņemot par pamatu E</w:t>
            </w:r>
            <w:r w:rsidRPr="00E55CAB">
              <w:rPr>
                <w:rFonts w:ascii="Times New Roman" w:hAnsi="Times New Roman" w:cs="Times New Roman"/>
                <w:sz w:val="24"/>
                <w:szCs w:val="24"/>
                <w:lang w:eastAsia="fr-BE"/>
              </w:rPr>
              <w:t>iropas Parlamenta un Padomes Direktīv</w:t>
            </w:r>
            <w:r>
              <w:rPr>
                <w:rFonts w:ascii="Times New Roman" w:hAnsi="Times New Roman" w:cs="Times New Roman"/>
                <w:sz w:val="24"/>
                <w:szCs w:val="24"/>
                <w:lang w:eastAsia="fr-BE"/>
              </w:rPr>
              <w:t>as</w:t>
            </w:r>
            <w:r w:rsidRPr="00E55CAB">
              <w:rPr>
                <w:rFonts w:ascii="Times New Roman" w:hAnsi="Times New Roman" w:cs="Times New Roman"/>
                <w:sz w:val="24"/>
                <w:szCs w:val="24"/>
                <w:lang w:eastAsia="fr-BE"/>
              </w:rPr>
              <w:t xml:space="preserve"> par pasažieru datu reģistra datu izmantošanu teroristu nodarījumu un smagu noziegumu novēršanai, atklāšanai, izmeklēšanai un saukšanai pie atbildības par tiem</w:t>
            </w:r>
            <w:r>
              <w:rPr>
                <w:rFonts w:ascii="Times New Roman" w:hAnsi="Times New Roman" w:cs="Times New Roman"/>
                <w:sz w:val="24"/>
                <w:szCs w:val="24"/>
                <w:lang w:eastAsia="fr-BE"/>
              </w:rPr>
              <w:t xml:space="preserve"> projektu</w:t>
            </w:r>
            <w:r w:rsidR="00073889">
              <w:rPr>
                <w:rFonts w:ascii="Times New Roman" w:hAnsi="Times New Roman" w:cs="Times New Roman"/>
                <w:sz w:val="24"/>
                <w:szCs w:val="24"/>
                <w:lang w:eastAsia="fr-BE"/>
              </w:rPr>
              <w:t>.</w:t>
            </w:r>
          </w:p>
        </w:tc>
      </w:tr>
    </w:tbl>
    <w:p w:rsidR="000059DE" w:rsidRPr="000059DE" w:rsidRDefault="000059DE" w:rsidP="000059DE">
      <w:pPr>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13"/>
        <w:gridCol w:w="1815"/>
        <w:gridCol w:w="2298"/>
        <w:gridCol w:w="2395"/>
      </w:tblGrid>
      <w:tr w:rsidR="000059DE" w:rsidRPr="000059DE" w:rsidTr="007C7DD1">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b/>
                <w:bCs/>
                <w:color w:val="000000"/>
                <w:sz w:val="24"/>
                <w:szCs w:val="24"/>
              </w:rPr>
            </w:pPr>
            <w:r w:rsidRPr="000059DE">
              <w:rPr>
                <w:rFonts w:ascii="Times New Roman" w:hAnsi="Times New Roman" w:cs="Times New Roman"/>
                <w:b/>
                <w:bCs/>
                <w:color w:val="000000"/>
                <w:sz w:val="24"/>
                <w:szCs w:val="24"/>
              </w:rPr>
              <w:t>1.tabula</w:t>
            </w:r>
            <w:r w:rsidRPr="000059DE">
              <w:rPr>
                <w:rFonts w:ascii="Times New Roman" w:hAnsi="Times New Roman" w:cs="Times New Roman"/>
                <w:b/>
                <w:bCs/>
                <w:color w:val="000000"/>
                <w:sz w:val="24"/>
                <w:szCs w:val="24"/>
              </w:rPr>
              <w:br/>
              <w:t>Tiesību akta projekta atbilstība ES tiesību aktiem</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 xml:space="preserve">Aizpilda, ja ar projektu tiek pārņemts vai ieviests vairāk nekā viens ES tiesību </w:t>
            </w:r>
            <w:smartTag w:uri="schemas-tilde-lv/tildestengine" w:element="veidnes">
              <w:smartTagPr>
                <w:attr w:name="text" w:val="akts"/>
                <w:attr w:name="baseform" w:val="akts"/>
                <w:attr w:name="id" w:val="-1"/>
              </w:smartTagPr>
              <w:r w:rsidRPr="000059DE">
                <w:rPr>
                  <w:rFonts w:ascii="Times New Roman" w:hAnsi="Times New Roman" w:cs="Times New Roman"/>
                  <w:color w:val="000000"/>
                  <w:sz w:val="24"/>
                  <w:szCs w:val="24"/>
                </w:rPr>
                <w:t>akts</w:t>
              </w:r>
            </w:smartTag>
            <w:r w:rsidRPr="000059DE">
              <w:rPr>
                <w:rFonts w:ascii="Times New Roman" w:hAnsi="Times New Roman" w:cs="Times New Roman"/>
                <w:color w:val="000000"/>
                <w:sz w:val="24"/>
                <w:szCs w:val="24"/>
              </w:rPr>
              <w:t xml:space="preserve"> - jānorāda tā pati informācija, kas prasīta instrukcijas 55.1.apakšpunktā un jau tikusi norādīta arī V sadaļas 1.punkta ietvaros</w:t>
            </w:r>
          </w:p>
        </w:tc>
      </w:tr>
      <w:tr w:rsidR="000059DE" w:rsidRPr="000059DE" w:rsidTr="007C7DD1">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C</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D</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Attiecīgā ES tiesību akta panta numurs (uzskaitot katru tiesību akta</w:t>
            </w:r>
            <w:r w:rsidRPr="000059DE">
              <w:rPr>
                <w:rFonts w:ascii="Times New Roman" w:hAnsi="Times New Roman" w:cs="Times New Roman"/>
                <w:color w:val="000000"/>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jc w:val="both"/>
              <w:rPr>
                <w:rFonts w:ascii="Times New Roman" w:hAnsi="Times New Roman" w:cs="Times New Roman"/>
                <w:sz w:val="24"/>
                <w:szCs w:val="24"/>
              </w:rPr>
            </w:pPr>
            <w:r w:rsidRPr="000059DE">
              <w:rPr>
                <w:rFonts w:ascii="Times New Roman" w:hAnsi="Times New Roman" w:cs="Times New Roman"/>
                <w:sz w:val="24"/>
                <w:szCs w:val="24"/>
              </w:rPr>
              <w:t xml:space="preserve">Informācija par to, vai šīs tabulas A ailē minētās ES tiesību akta vienības tiek pārņemtas vai ieviestas pilnībā vai daļēji. </w:t>
            </w:r>
          </w:p>
          <w:p w:rsidR="000059DE" w:rsidRPr="000059DE" w:rsidRDefault="000059DE" w:rsidP="007C7DD1">
            <w:pPr>
              <w:jc w:val="both"/>
              <w:rPr>
                <w:rFonts w:ascii="Times New Roman" w:hAnsi="Times New Roman" w:cs="Times New Roman"/>
                <w:sz w:val="24"/>
                <w:szCs w:val="24"/>
              </w:rPr>
            </w:pPr>
            <w:r w:rsidRPr="000059D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jc w:val="both"/>
              <w:rPr>
                <w:rFonts w:ascii="Times New Roman" w:hAnsi="Times New Roman" w:cs="Times New Roman"/>
                <w:sz w:val="24"/>
                <w:szCs w:val="24"/>
              </w:rPr>
            </w:pPr>
            <w:r w:rsidRPr="000059DE">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rsidR="000059DE" w:rsidRPr="000059DE" w:rsidRDefault="000059DE" w:rsidP="007C7DD1">
            <w:pPr>
              <w:jc w:val="both"/>
              <w:rPr>
                <w:rFonts w:ascii="Times New Roman" w:hAnsi="Times New Roman" w:cs="Times New Roman"/>
                <w:sz w:val="24"/>
                <w:szCs w:val="24"/>
              </w:rPr>
            </w:pPr>
            <w:r w:rsidRPr="000059DE">
              <w:rPr>
                <w:rFonts w:ascii="Times New Roman" w:hAnsi="Times New Roman" w:cs="Times New Roman"/>
                <w:sz w:val="24"/>
                <w:szCs w:val="24"/>
              </w:rPr>
              <w:t>Ja projekts satur stingrākas prasības nekā attiecīgais ES tiesību akts, norāda pamatojumu un samērīgumu.</w:t>
            </w:r>
          </w:p>
          <w:p w:rsidR="000059DE" w:rsidRPr="000059DE" w:rsidRDefault="000059DE" w:rsidP="007C7DD1">
            <w:pPr>
              <w:jc w:val="both"/>
              <w:rPr>
                <w:rFonts w:ascii="Times New Roman" w:hAnsi="Times New Roman" w:cs="Times New Roman"/>
                <w:color w:val="000000"/>
                <w:sz w:val="24"/>
                <w:szCs w:val="24"/>
              </w:rPr>
            </w:pPr>
            <w:r w:rsidRPr="000059DE">
              <w:rPr>
                <w:rFonts w:ascii="Times New Roman" w:hAnsi="Times New Roman" w:cs="Times New Roman"/>
                <w:sz w:val="24"/>
                <w:szCs w:val="24"/>
              </w:rPr>
              <w:t xml:space="preserve">Norāda iespējamās alternatīvas (t.sk. alternatīvas, kas neparedz tiesiskā regulējuma izstrādi) - kādos gadījumos būtu iespējams izvairīties no stingrāku prasību noteikšanas, nekā </w:t>
            </w:r>
            <w:r w:rsidRPr="000059DE">
              <w:rPr>
                <w:rFonts w:ascii="Times New Roman" w:hAnsi="Times New Roman" w:cs="Times New Roman"/>
                <w:sz w:val="24"/>
                <w:szCs w:val="24"/>
              </w:rPr>
              <w:lastRenderedPageBreak/>
              <w:t>paredzēts attiecīgajos ES tiesību aktos</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lastRenderedPageBreak/>
              <w:t>Projekts šo jomu neskar</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Projekts šo jomu neskar</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Projekts šo jomu neskar</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Kā ir izmantota ES tiesību aktā paredzētā rīcības brīvība dalībvalstij pārņemt vai ieviest noteiktas ES tiesību akta normas?</w:t>
            </w:r>
          </w:p>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Kādēļ?</w:t>
            </w:r>
          </w:p>
        </w:tc>
        <w:tc>
          <w:tcPr>
            <w:tcW w:w="0" w:type="auto"/>
            <w:gridSpan w:val="3"/>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 Projekts šo jomu neskar</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 Projekts šo jomu neskar</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Cita informācija</w:t>
            </w:r>
          </w:p>
        </w:tc>
        <w:tc>
          <w:tcPr>
            <w:tcW w:w="0" w:type="auto"/>
            <w:gridSpan w:val="3"/>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Nav</w:t>
            </w:r>
          </w:p>
        </w:tc>
      </w:tr>
    </w:tbl>
    <w:p w:rsidR="000059DE" w:rsidRPr="000059DE" w:rsidRDefault="000059DE" w:rsidP="000059DE">
      <w:pPr>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0"/>
        <w:gridCol w:w="3484"/>
        <w:gridCol w:w="2877"/>
      </w:tblGrid>
      <w:tr w:rsidR="000059DE" w:rsidRPr="000059DE" w:rsidTr="007C7DD1">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b/>
                <w:bCs/>
                <w:color w:val="000000"/>
                <w:sz w:val="24"/>
                <w:szCs w:val="24"/>
              </w:rPr>
            </w:pPr>
            <w:r w:rsidRPr="000059DE">
              <w:rPr>
                <w:rFonts w:ascii="Times New Roman" w:hAnsi="Times New Roman" w:cs="Times New Roman"/>
                <w:b/>
                <w:bCs/>
                <w:color w:val="000000"/>
                <w:sz w:val="24"/>
                <w:szCs w:val="24"/>
              </w:rPr>
              <w:t>2.tabula</w:t>
            </w:r>
            <w:r w:rsidRPr="000059DE">
              <w:rPr>
                <w:rFonts w:ascii="Times New Roman" w:hAnsi="Times New Roman" w:cs="Times New Roman"/>
                <w:b/>
                <w:bCs/>
                <w:color w:val="000000"/>
                <w:sz w:val="24"/>
                <w:szCs w:val="24"/>
              </w:rPr>
              <w:br/>
              <w:t>Ar tiesību akta projektu uzņemtās saistības, kas izriet no starptautiskajiem tiesību aktiem vai starptautiskas institūcijas vai organizācijas dokumentiem</w:t>
            </w:r>
            <w:r w:rsidRPr="000059DE">
              <w:rPr>
                <w:rFonts w:ascii="Times New Roman" w:hAnsi="Times New Roman" w:cs="Times New Roman"/>
                <w:b/>
                <w:bCs/>
                <w:color w:val="000000"/>
                <w:sz w:val="24"/>
                <w:szCs w:val="24"/>
              </w:rPr>
              <w:br/>
              <w:t>Pasākumi šo saistību izpildei</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 Attiecīgā starptautiskā tiesību akta vai starptautiskas institūcijas vai 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 Projekts šo jomu neskar</w:t>
            </w:r>
          </w:p>
        </w:tc>
      </w:tr>
      <w:tr w:rsidR="000059DE" w:rsidRPr="000059DE" w:rsidTr="007C7DD1">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lastRenderedPageBreak/>
              <w:t>A</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jc w:val="center"/>
              <w:rPr>
                <w:rFonts w:ascii="Times New Roman" w:hAnsi="Times New Roman" w:cs="Times New Roman"/>
                <w:color w:val="000000"/>
                <w:sz w:val="24"/>
                <w:szCs w:val="24"/>
              </w:rPr>
            </w:pPr>
            <w:r w:rsidRPr="000059DE">
              <w:rPr>
                <w:rFonts w:ascii="Times New Roman" w:hAnsi="Times New Roman" w:cs="Times New Roman"/>
                <w:color w:val="000000"/>
                <w:sz w:val="24"/>
                <w:szCs w:val="24"/>
              </w:rPr>
              <w:t>C</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Starptautiskās saistības (pēc būtības), kas izriet no norādītā starptautiskā dokumenta.</w:t>
            </w:r>
          </w:p>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Informācija par to, vai starptautiskās saistības, kas minētas šīs tabulas A ailē, tiek izpildītas pilnībā vai daļēji.</w:t>
            </w:r>
          </w:p>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Ja attiecīgās starptautiskās saistības tiek izpildītas daļēji, sniedz attiecīgu skaidrojumu, kā arī precīzi norāda, kad un kādā veidā starptautiskās saistības tiks izpildītas pilnībā.</w:t>
            </w:r>
          </w:p>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Norāda institūciju, kas ir atbildīga par šo saistību izpildi pilnībā</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rPr>
                <w:rFonts w:ascii="Times New Roman" w:hAnsi="Times New Roman" w:cs="Times New Roman"/>
                <w:sz w:val="24"/>
                <w:szCs w:val="24"/>
              </w:rPr>
            </w:pPr>
            <w:r w:rsidRPr="000059DE">
              <w:rPr>
                <w:rFonts w:ascii="Times New Roman" w:hAnsi="Times New Roman" w:cs="Times New Roman"/>
                <w:sz w:val="24"/>
                <w:szCs w:val="24"/>
              </w:rPr>
              <w:t> Projekts šo jomu neskar</w:t>
            </w:r>
          </w:p>
        </w:tc>
      </w:tr>
    </w:tbl>
    <w:p w:rsidR="000059DE" w:rsidRPr="000059DE" w:rsidRDefault="000059DE" w:rsidP="000059DE">
      <w:pPr>
        <w:rPr>
          <w:rFonts w:ascii="Times New Roman"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428"/>
        <w:gridCol w:w="1793"/>
      </w:tblGrid>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0059DE" w:rsidRPr="000059DE" w:rsidRDefault="000059DE" w:rsidP="007C7DD1">
            <w:pPr>
              <w:spacing w:before="100" w:beforeAutospacing="1" w:after="100" w:afterAutospacing="1"/>
              <w:rPr>
                <w:rFonts w:ascii="Times New Roman" w:hAnsi="Times New Roman" w:cs="Times New Roman"/>
                <w:color w:val="000000"/>
                <w:sz w:val="24"/>
                <w:szCs w:val="24"/>
              </w:rPr>
            </w:pPr>
            <w:r w:rsidRPr="000059DE">
              <w:rPr>
                <w:rFonts w:ascii="Times New Roman" w:hAnsi="Times New Roman" w:cs="Times New Roman"/>
                <w:color w:val="000000"/>
                <w:sz w:val="24"/>
                <w:szCs w:val="24"/>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sz w:val="24"/>
                <w:szCs w:val="24"/>
              </w:rPr>
              <w:t> Projekts šo jomu neskar</w:t>
            </w:r>
          </w:p>
        </w:tc>
      </w:tr>
      <w:tr w:rsidR="000059DE" w:rsidRPr="000059DE" w:rsidTr="007C7DD1">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059DE" w:rsidRPr="000059DE" w:rsidRDefault="000059DE" w:rsidP="007C7DD1">
            <w:pPr>
              <w:spacing w:before="100" w:beforeAutospacing="1" w:after="100" w:afterAutospacing="1"/>
              <w:jc w:val="both"/>
              <w:rPr>
                <w:rFonts w:ascii="Times New Roman" w:hAnsi="Times New Roman" w:cs="Times New Roman"/>
                <w:color w:val="000000"/>
                <w:sz w:val="24"/>
                <w:szCs w:val="24"/>
              </w:rPr>
            </w:pPr>
            <w:r w:rsidRPr="000059DE">
              <w:rPr>
                <w:rFonts w:ascii="Times New Roman" w:hAnsi="Times New Roman" w:cs="Times New Roman"/>
                <w:color w:val="000000"/>
                <w:sz w:val="24"/>
                <w:szCs w:val="24"/>
              </w:rPr>
              <w:t>Nav</w:t>
            </w:r>
          </w:p>
        </w:tc>
      </w:tr>
    </w:tbl>
    <w:p w:rsidR="005751F9" w:rsidRPr="000059DE" w:rsidRDefault="005751F9" w:rsidP="005751F9">
      <w:pPr>
        <w:spacing w:after="0" w:line="240" w:lineRule="auto"/>
        <w:ind w:firstLine="300"/>
        <w:rPr>
          <w:rFonts w:ascii="Times New Roman" w:eastAsia="Times New Roman" w:hAnsi="Times New Roman" w:cs="Times New Roman"/>
          <w:sz w:val="24"/>
          <w:szCs w:val="24"/>
          <w:lang w:eastAsia="lv-LV"/>
        </w:rPr>
      </w:pPr>
      <w:r w:rsidRPr="000059DE">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2757"/>
        <w:gridCol w:w="5954"/>
      </w:tblGrid>
      <w:tr w:rsidR="005751F9" w:rsidRPr="00BD3F53" w:rsidTr="00550FC2">
        <w:trPr>
          <w:trHeight w:val="420"/>
          <w:tblCellSpacing w:w="15" w:type="dxa"/>
          <w:jc w:val="center"/>
        </w:trPr>
        <w:tc>
          <w:tcPr>
            <w:tcW w:w="0" w:type="auto"/>
            <w:gridSpan w:val="3"/>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VI. Sabiedrības līdzdalība un komunikācijas aktivitātes</w:t>
            </w:r>
          </w:p>
        </w:tc>
      </w:tr>
      <w:tr w:rsidR="005751F9" w:rsidRPr="00BD3F53" w:rsidTr="00550FC2">
        <w:trPr>
          <w:trHeight w:val="540"/>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w:t>
            </w:r>
          </w:p>
        </w:tc>
        <w:tc>
          <w:tcPr>
            <w:tcW w:w="150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751F9" w:rsidRPr="00BD3F53" w:rsidRDefault="005751F9" w:rsidP="00550FC2">
            <w:pPr>
              <w:shd w:val="clear" w:color="auto" w:fill="FFFFFF"/>
              <w:spacing w:after="0" w:line="240" w:lineRule="auto"/>
              <w:ind w:left="25"/>
              <w:jc w:val="both"/>
              <w:rPr>
                <w:rFonts w:ascii="Times New Roman" w:hAnsi="Times New Roman" w:cs="Times New Roman"/>
                <w:sz w:val="24"/>
                <w:szCs w:val="24"/>
              </w:rPr>
            </w:pPr>
            <w:r>
              <w:rPr>
                <w:rFonts w:ascii="Times New Roman" w:hAnsi="Times New Roman" w:cs="Times New Roman"/>
                <w:sz w:val="24"/>
                <w:szCs w:val="24"/>
              </w:rPr>
              <w:t>Likump</w:t>
            </w:r>
            <w:r w:rsidRPr="00BD3F53">
              <w:rPr>
                <w:rFonts w:ascii="Times New Roman" w:hAnsi="Times New Roman" w:cs="Times New Roman"/>
                <w:sz w:val="24"/>
                <w:szCs w:val="24"/>
              </w:rPr>
              <w:t>rojekts pirms izsludināšanas Valsts sekretāru sanāksmē tik</w:t>
            </w:r>
            <w:r w:rsidR="00EB3CCF">
              <w:rPr>
                <w:rFonts w:ascii="Times New Roman" w:hAnsi="Times New Roman" w:cs="Times New Roman"/>
                <w:sz w:val="24"/>
                <w:szCs w:val="24"/>
              </w:rPr>
              <w:t>a</w:t>
            </w:r>
            <w:r w:rsidRPr="00BD3F53">
              <w:rPr>
                <w:rFonts w:ascii="Times New Roman" w:hAnsi="Times New Roman" w:cs="Times New Roman"/>
                <w:sz w:val="24"/>
                <w:szCs w:val="24"/>
              </w:rPr>
              <w:t xml:space="preserve"> ievietots Iekšlietu ministrijas mājas lapā sadaļā „Sabiedrības līdzdalība”. </w:t>
            </w:r>
          </w:p>
          <w:p w:rsidR="005751F9" w:rsidRPr="00BD3F53" w:rsidRDefault="005751F9" w:rsidP="00550FC2">
            <w:pPr>
              <w:spacing w:after="0" w:line="240" w:lineRule="auto"/>
              <w:jc w:val="both"/>
              <w:rPr>
                <w:rFonts w:ascii="Times New Roman" w:eastAsia="Times New Roman" w:hAnsi="Times New Roman" w:cs="Times New Roman"/>
                <w:sz w:val="24"/>
                <w:szCs w:val="24"/>
                <w:lang w:eastAsia="lv-LV"/>
              </w:rPr>
            </w:pPr>
            <w:r w:rsidRPr="00BD3F53">
              <w:rPr>
                <w:rFonts w:ascii="Times New Roman" w:hAnsi="Times New Roman" w:cs="Times New Roman"/>
                <w:sz w:val="24"/>
                <w:szCs w:val="24"/>
              </w:rPr>
              <w:t>Projekts pēc izsludināšanas Valsts sekretāru sanāksmē būs pieejams Ministru kabineta mājas lapā www.mk.gov.lv.</w:t>
            </w:r>
          </w:p>
        </w:tc>
      </w:tr>
      <w:tr w:rsidR="005751F9" w:rsidRPr="00BD3F53" w:rsidTr="00550FC2">
        <w:trPr>
          <w:trHeight w:val="330"/>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2.</w:t>
            </w:r>
          </w:p>
        </w:tc>
        <w:tc>
          <w:tcPr>
            <w:tcW w:w="150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Sabiedrības līdzdalība projekta izstrādē</w:t>
            </w:r>
          </w:p>
        </w:tc>
        <w:tc>
          <w:tcPr>
            <w:tcW w:w="3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Pr="00BD3F53">
              <w:rPr>
                <w:rFonts w:ascii="Times New Roman" w:eastAsia="Times New Roman" w:hAnsi="Times New Roman" w:cs="Times New Roman"/>
                <w:sz w:val="24"/>
                <w:szCs w:val="24"/>
                <w:lang w:eastAsia="lv-LV"/>
              </w:rPr>
              <w:t>rojekts šo jomu neskar.</w:t>
            </w:r>
          </w:p>
        </w:tc>
      </w:tr>
      <w:tr w:rsidR="005751F9" w:rsidRPr="00BD3F53" w:rsidTr="00550FC2">
        <w:trPr>
          <w:trHeight w:val="465"/>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w:t>
            </w:r>
          </w:p>
        </w:tc>
        <w:tc>
          <w:tcPr>
            <w:tcW w:w="150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Sabiedrības līdzdalības rezultāti</w:t>
            </w:r>
          </w:p>
        </w:tc>
        <w:tc>
          <w:tcPr>
            <w:tcW w:w="3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Pr="00BD3F53">
              <w:rPr>
                <w:rFonts w:ascii="Times New Roman" w:eastAsia="Times New Roman" w:hAnsi="Times New Roman" w:cs="Times New Roman"/>
                <w:sz w:val="24"/>
                <w:szCs w:val="24"/>
                <w:lang w:eastAsia="lv-LV"/>
              </w:rPr>
              <w:t>rojekts šo jomu neskar.</w:t>
            </w:r>
          </w:p>
        </w:tc>
      </w:tr>
      <w:tr w:rsidR="005751F9" w:rsidRPr="00BD3F53" w:rsidTr="00550FC2">
        <w:trPr>
          <w:trHeight w:val="465"/>
          <w:tblCellSpacing w:w="15" w:type="dxa"/>
          <w:jc w:val="center"/>
        </w:trPr>
        <w:tc>
          <w:tcPr>
            <w:tcW w:w="25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4.</w:t>
            </w:r>
          </w:p>
        </w:tc>
        <w:tc>
          <w:tcPr>
            <w:tcW w:w="1500" w:type="pct"/>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Cita informācija</w:t>
            </w:r>
          </w:p>
        </w:tc>
        <w:tc>
          <w:tcPr>
            <w:tcW w:w="3250" w:type="pct"/>
            <w:hideMark/>
          </w:tcPr>
          <w:p w:rsidR="005751F9" w:rsidRPr="00BD3F53" w:rsidRDefault="005751F9" w:rsidP="00550FC2">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Nav</w:t>
            </w:r>
          </w:p>
        </w:tc>
      </w:tr>
    </w:tbl>
    <w:p w:rsidR="005751F9" w:rsidRPr="00BD3F53" w:rsidRDefault="005751F9" w:rsidP="005751F9">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3485"/>
        <w:gridCol w:w="5227"/>
      </w:tblGrid>
      <w:tr w:rsidR="005751F9" w:rsidRPr="00BD3F53" w:rsidTr="00550FC2">
        <w:trPr>
          <w:trHeight w:val="375"/>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751F9" w:rsidRPr="00BD3F53"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BD3F53">
              <w:rPr>
                <w:rFonts w:ascii="Times New Roman" w:eastAsia="Times New Roman" w:hAnsi="Times New Roman" w:cs="Times New Roman"/>
                <w:b/>
                <w:bCs/>
                <w:sz w:val="24"/>
                <w:szCs w:val="24"/>
                <w:lang w:eastAsia="lv-LV"/>
              </w:rPr>
              <w:t>VII. Tiesību akta projekta izpildes nodrošināšana un tās ietekme uz institūcijām</w:t>
            </w:r>
          </w:p>
        </w:tc>
      </w:tr>
      <w:tr w:rsidR="005751F9" w:rsidRPr="00BD3F53" w:rsidTr="00550FC2">
        <w:trPr>
          <w:trHeight w:val="42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1.</w:t>
            </w:r>
          </w:p>
        </w:tc>
        <w:tc>
          <w:tcPr>
            <w:tcW w:w="190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xml:space="preserve">Drošības policija, </w:t>
            </w:r>
            <w:r w:rsidR="00BF353D">
              <w:rPr>
                <w:rFonts w:ascii="Times New Roman" w:hAnsi="Times New Roman" w:cs="Times New Roman"/>
                <w:sz w:val="24"/>
                <w:szCs w:val="24"/>
              </w:rPr>
              <w:t>Valsts policija,</w:t>
            </w:r>
            <w:r w:rsidR="00073889">
              <w:rPr>
                <w:rFonts w:ascii="Times New Roman" w:hAnsi="Times New Roman" w:cs="Times New Roman"/>
                <w:sz w:val="24"/>
                <w:szCs w:val="24"/>
              </w:rPr>
              <w:t xml:space="preserve"> Valsts robežsardze,</w:t>
            </w:r>
            <w:r w:rsidRPr="00BD3F53">
              <w:rPr>
                <w:rFonts w:ascii="Times New Roman" w:eastAsia="Times New Roman" w:hAnsi="Times New Roman" w:cs="Times New Roman"/>
                <w:sz w:val="24"/>
                <w:szCs w:val="24"/>
                <w:lang w:eastAsia="lv-LV"/>
              </w:rPr>
              <w:t xml:space="preserve"> </w:t>
            </w:r>
            <w:r w:rsidRPr="00BD3F53">
              <w:rPr>
                <w:rFonts w:ascii="Times New Roman" w:hAnsi="Times New Roman" w:cs="Times New Roman"/>
                <w:sz w:val="24"/>
                <w:szCs w:val="24"/>
              </w:rPr>
              <w:t>Militār</w:t>
            </w:r>
            <w:r>
              <w:rPr>
                <w:rFonts w:ascii="Times New Roman" w:hAnsi="Times New Roman" w:cs="Times New Roman"/>
                <w:sz w:val="24"/>
                <w:szCs w:val="24"/>
              </w:rPr>
              <w:t xml:space="preserve">ā </w:t>
            </w:r>
            <w:r w:rsidRPr="00BD3F53">
              <w:rPr>
                <w:rFonts w:ascii="Times New Roman" w:hAnsi="Times New Roman" w:cs="Times New Roman"/>
                <w:sz w:val="24"/>
                <w:szCs w:val="24"/>
              </w:rPr>
              <w:t>policija,</w:t>
            </w:r>
            <w:r w:rsidR="00073889">
              <w:rPr>
                <w:rFonts w:ascii="Times New Roman" w:hAnsi="Times New Roman" w:cs="Times New Roman"/>
                <w:sz w:val="24"/>
                <w:szCs w:val="24"/>
              </w:rPr>
              <w:t xml:space="preserve"> Militārās izlūkošanas un drošības dienests, Iekšējās drošības birojs,</w:t>
            </w:r>
            <w:r w:rsidRPr="00BD3F53">
              <w:rPr>
                <w:rFonts w:ascii="Times New Roman" w:hAnsi="Times New Roman" w:cs="Times New Roman"/>
                <w:sz w:val="24"/>
                <w:szCs w:val="24"/>
              </w:rPr>
              <w:t xml:space="preserve"> Korupcijas novēršanas un apkarošanas birojs,</w:t>
            </w:r>
            <w:r w:rsidRPr="00BD3F53">
              <w:rPr>
                <w:rFonts w:ascii="Times New Roman" w:eastAsia="Times New Roman" w:hAnsi="Times New Roman" w:cs="Times New Roman"/>
                <w:sz w:val="24"/>
                <w:szCs w:val="24"/>
                <w:lang w:eastAsia="lv-LV"/>
              </w:rPr>
              <w:t xml:space="preserve"> </w:t>
            </w:r>
            <w:r w:rsidRPr="00BD3F53">
              <w:rPr>
                <w:rFonts w:ascii="Times New Roman" w:hAnsi="Times New Roman" w:cs="Times New Roman"/>
                <w:sz w:val="24"/>
                <w:szCs w:val="24"/>
              </w:rPr>
              <w:lastRenderedPageBreak/>
              <w:t xml:space="preserve">Satversmes aizsardzības birojs, Valsts ieņēmumu dienests, </w:t>
            </w:r>
            <w:r>
              <w:rPr>
                <w:rFonts w:ascii="Times New Roman" w:hAnsi="Times New Roman" w:cs="Times New Roman"/>
                <w:sz w:val="24"/>
                <w:szCs w:val="24"/>
              </w:rPr>
              <w:t>p</w:t>
            </w:r>
            <w:r w:rsidR="00073889">
              <w:rPr>
                <w:rFonts w:ascii="Times New Roman" w:hAnsi="Times New Roman" w:cs="Times New Roman"/>
                <w:sz w:val="24"/>
                <w:szCs w:val="24"/>
              </w:rPr>
              <w:t>rokuratūras iestādes.</w:t>
            </w:r>
          </w:p>
        </w:tc>
      </w:tr>
      <w:tr w:rsidR="005751F9" w:rsidRPr="00BD3F53" w:rsidTr="00550FC2">
        <w:trPr>
          <w:trHeight w:val="45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lastRenderedPageBreak/>
              <w:t>2.</w:t>
            </w:r>
          </w:p>
        </w:tc>
        <w:tc>
          <w:tcPr>
            <w:tcW w:w="190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 xml:space="preserve">Projekta izpildes ietekme uz pārvaldes funkcijām un institucionālo struktūru. </w:t>
            </w:r>
          </w:p>
          <w:p w:rsidR="005751F9" w:rsidRPr="00BD3F53" w:rsidRDefault="005751F9" w:rsidP="00550FC2">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Tiks paplašinātas </w:t>
            </w:r>
            <w:r w:rsidRPr="00BD3F53">
              <w:rPr>
                <w:rFonts w:ascii="Times New Roman" w:eastAsia="Times New Roman" w:hAnsi="Times New Roman" w:cs="Times New Roman"/>
                <w:sz w:val="24"/>
                <w:szCs w:val="24"/>
                <w:lang w:eastAsia="lv-LV"/>
              </w:rPr>
              <w:t>Drošības policija</w:t>
            </w:r>
            <w:r>
              <w:rPr>
                <w:rFonts w:ascii="Times New Roman" w:eastAsia="Times New Roman" w:hAnsi="Times New Roman" w:cs="Times New Roman"/>
                <w:sz w:val="24"/>
                <w:szCs w:val="24"/>
                <w:lang w:eastAsia="lv-LV"/>
              </w:rPr>
              <w:t>s</w:t>
            </w:r>
            <w:r w:rsidRPr="00BD3F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funkcijas</w:t>
            </w:r>
            <w:r w:rsidRPr="00BD3F5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Drošības policija </w:t>
            </w:r>
            <w:r w:rsidRPr="00BD3F53">
              <w:rPr>
                <w:rFonts w:ascii="Times New Roman" w:eastAsia="Times New Roman" w:hAnsi="Times New Roman" w:cs="Times New Roman"/>
                <w:sz w:val="24"/>
                <w:szCs w:val="24"/>
                <w:lang w:eastAsia="lv-LV"/>
              </w:rPr>
              <w:t>apstrādā</w:t>
            </w:r>
            <w:r>
              <w:rPr>
                <w:rFonts w:ascii="Times New Roman" w:eastAsia="Times New Roman" w:hAnsi="Times New Roman" w:cs="Times New Roman"/>
                <w:sz w:val="24"/>
                <w:szCs w:val="24"/>
                <w:lang w:eastAsia="lv-LV"/>
              </w:rPr>
              <w:t>s</w:t>
            </w:r>
            <w:r w:rsidRPr="00BD3F53">
              <w:rPr>
                <w:rFonts w:ascii="Times New Roman" w:eastAsia="Times New Roman" w:hAnsi="Times New Roman" w:cs="Times New Roman"/>
                <w:sz w:val="24"/>
                <w:szCs w:val="24"/>
                <w:lang w:eastAsia="lv-LV"/>
              </w:rPr>
              <w:t xml:space="preserve"> pasažieru datus.</w:t>
            </w:r>
          </w:p>
        </w:tc>
      </w:tr>
      <w:tr w:rsidR="005751F9" w:rsidRPr="00BD3F53" w:rsidTr="00550FC2">
        <w:trPr>
          <w:trHeight w:val="39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3.</w:t>
            </w:r>
          </w:p>
        </w:tc>
        <w:tc>
          <w:tcPr>
            <w:tcW w:w="190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Cita informācija</w:t>
            </w:r>
          </w:p>
        </w:tc>
        <w:tc>
          <w:tcPr>
            <w:tcW w:w="2850" w:type="pct"/>
            <w:tcBorders>
              <w:top w:val="single" w:sz="4" w:space="0" w:color="auto"/>
              <w:left w:val="single" w:sz="4" w:space="0" w:color="auto"/>
              <w:bottom w:val="single" w:sz="4" w:space="0" w:color="auto"/>
              <w:right w:val="single" w:sz="4" w:space="0" w:color="auto"/>
            </w:tcBorders>
            <w:hideMark/>
          </w:tcPr>
          <w:p w:rsidR="005751F9" w:rsidRPr="00BD3F53" w:rsidRDefault="005751F9" w:rsidP="00550FC2">
            <w:pPr>
              <w:spacing w:after="0" w:line="240" w:lineRule="auto"/>
              <w:ind w:firstLine="300"/>
              <w:rPr>
                <w:rFonts w:ascii="Times New Roman" w:eastAsia="Times New Roman" w:hAnsi="Times New Roman" w:cs="Times New Roman"/>
                <w:sz w:val="24"/>
                <w:szCs w:val="24"/>
                <w:lang w:eastAsia="lv-LV"/>
              </w:rPr>
            </w:pPr>
            <w:r w:rsidRPr="00BD3F53">
              <w:rPr>
                <w:rFonts w:ascii="Times New Roman" w:eastAsia="Times New Roman" w:hAnsi="Times New Roman" w:cs="Times New Roman"/>
                <w:sz w:val="24"/>
                <w:szCs w:val="24"/>
                <w:lang w:eastAsia="lv-LV"/>
              </w:rPr>
              <w:t>Nav</w:t>
            </w:r>
          </w:p>
        </w:tc>
      </w:tr>
    </w:tbl>
    <w:p w:rsidR="005751F9" w:rsidRPr="00BD3F53" w:rsidRDefault="005751F9" w:rsidP="005751F9">
      <w:pPr>
        <w:spacing w:after="0" w:line="240" w:lineRule="auto"/>
        <w:rPr>
          <w:rFonts w:ascii="Times New Roman" w:hAnsi="Times New Roman" w:cs="Times New Roman"/>
          <w:sz w:val="24"/>
          <w:szCs w:val="24"/>
        </w:rPr>
      </w:pPr>
    </w:p>
    <w:p w:rsidR="005751F9" w:rsidRDefault="005751F9" w:rsidP="005751F9">
      <w:pPr>
        <w:spacing w:after="0" w:line="240" w:lineRule="auto"/>
        <w:rPr>
          <w:rFonts w:ascii="Times New Roman" w:hAnsi="Times New Roman" w:cs="Times New Roman"/>
          <w:sz w:val="24"/>
          <w:szCs w:val="24"/>
        </w:rPr>
      </w:pPr>
    </w:p>
    <w:p w:rsidR="000838A7" w:rsidRDefault="000838A7" w:rsidP="005751F9">
      <w:pPr>
        <w:spacing w:after="0" w:line="240" w:lineRule="auto"/>
        <w:rPr>
          <w:rFonts w:ascii="Times New Roman" w:hAnsi="Times New Roman" w:cs="Times New Roman"/>
          <w:sz w:val="24"/>
          <w:szCs w:val="24"/>
        </w:rPr>
      </w:pPr>
    </w:p>
    <w:p w:rsidR="000838A7" w:rsidRDefault="000838A7" w:rsidP="005751F9">
      <w:pPr>
        <w:spacing w:after="0" w:line="240" w:lineRule="auto"/>
        <w:rPr>
          <w:rFonts w:ascii="Times New Roman" w:hAnsi="Times New Roman" w:cs="Times New Roman"/>
          <w:sz w:val="24"/>
          <w:szCs w:val="24"/>
        </w:rPr>
      </w:pPr>
    </w:p>
    <w:p w:rsidR="005751F9" w:rsidRPr="006431A9" w:rsidRDefault="005751F9" w:rsidP="005751F9">
      <w:pPr>
        <w:spacing w:after="0" w:line="240" w:lineRule="auto"/>
        <w:rPr>
          <w:rFonts w:ascii="Times New Roman" w:hAnsi="Times New Roman" w:cs="Times New Roman"/>
          <w:sz w:val="24"/>
          <w:szCs w:val="24"/>
          <w:lang w:val="de-DE"/>
        </w:rPr>
      </w:pPr>
      <w:r w:rsidRPr="006431A9">
        <w:rPr>
          <w:rFonts w:ascii="Times New Roman" w:hAnsi="Times New Roman" w:cs="Times New Roman"/>
          <w:sz w:val="24"/>
          <w:szCs w:val="24"/>
          <w:lang w:val="de-DE"/>
        </w:rPr>
        <w:t>Iekšlietu ministrs</w:t>
      </w:r>
      <w:r w:rsidRPr="006431A9">
        <w:rPr>
          <w:rFonts w:ascii="Times New Roman" w:hAnsi="Times New Roman" w:cs="Times New Roman"/>
          <w:sz w:val="24"/>
          <w:szCs w:val="24"/>
          <w:lang w:val="de-DE"/>
        </w:rPr>
        <w:tab/>
      </w:r>
      <w:r w:rsidRPr="006431A9">
        <w:rPr>
          <w:rFonts w:ascii="Times New Roman" w:hAnsi="Times New Roman" w:cs="Times New Roman"/>
          <w:sz w:val="24"/>
          <w:szCs w:val="24"/>
          <w:lang w:val="de-DE"/>
        </w:rPr>
        <w:tab/>
      </w:r>
      <w:r w:rsidRPr="006431A9">
        <w:rPr>
          <w:rFonts w:ascii="Times New Roman" w:hAnsi="Times New Roman" w:cs="Times New Roman"/>
          <w:sz w:val="24"/>
          <w:szCs w:val="24"/>
          <w:lang w:val="de-DE"/>
        </w:rPr>
        <w:tab/>
      </w:r>
      <w:r w:rsidRPr="006431A9">
        <w:rPr>
          <w:rFonts w:ascii="Times New Roman" w:hAnsi="Times New Roman" w:cs="Times New Roman"/>
          <w:sz w:val="24"/>
          <w:szCs w:val="24"/>
          <w:lang w:val="de-DE"/>
        </w:rPr>
        <w:tab/>
      </w:r>
      <w:r w:rsidRPr="006431A9">
        <w:rPr>
          <w:rFonts w:ascii="Times New Roman" w:hAnsi="Times New Roman" w:cs="Times New Roman"/>
          <w:sz w:val="24"/>
          <w:szCs w:val="24"/>
          <w:lang w:val="de-DE"/>
        </w:rPr>
        <w:tab/>
        <w:t xml:space="preserve">                                            R. Kozlovskis</w:t>
      </w:r>
    </w:p>
    <w:p w:rsidR="005751F9" w:rsidRDefault="005751F9" w:rsidP="005751F9">
      <w:pPr>
        <w:spacing w:after="0" w:line="240" w:lineRule="auto"/>
        <w:rPr>
          <w:rFonts w:ascii="Times New Roman" w:hAnsi="Times New Roman" w:cs="Times New Roman"/>
          <w:sz w:val="24"/>
          <w:szCs w:val="24"/>
          <w:lang w:val="de-DE"/>
        </w:rPr>
      </w:pPr>
    </w:p>
    <w:p w:rsidR="005230DE" w:rsidRDefault="005230DE" w:rsidP="005751F9">
      <w:pPr>
        <w:spacing w:after="0" w:line="240" w:lineRule="auto"/>
        <w:rPr>
          <w:rFonts w:ascii="Times New Roman" w:hAnsi="Times New Roman" w:cs="Times New Roman"/>
          <w:sz w:val="24"/>
          <w:szCs w:val="24"/>
          <w:lang w:val="de-DE"/>
        </w:rPr>
      </w:pPr>
    </w:p>
    <w:p w:rsidR="005230DE" w:rsidRPr="006431A9" w:rsidRDefault="005230DE" w:rsidP="005751F9">
      <w:pPr>
        <w:spacing w:after="0" w:line="240" w:lineRule="auto"/>
        <w:rPr>
          <w:rFonts w:ascii="Times New Roman" w:hAnsi="Times New Roman" w:cs="Times New Roman"/>
          <w:sz w:val="24"/>
          <w:szCs w:val="24"/>
          <w:lang w:val="de-DE"/>
        </w:rPr>
      </w:pPr>
    </w:p>
    <w:p w:rsidR="005751F9" w:rsidRPr="006431A9" w:rsidRDefault="005751F9" w:rsidP="005751F9">
      <w:pPr>
        <w:spacing w:after="0" w:line="240" w:lineRule="auto"/>
        <w:rPr>
          <w:rFonts w:ascii="Times New Roman" w:hAnsi="Times New Roman" w:cs="Times New Roman"/>
          <w:sz w:val="24"/>
          <w:szCs w:val="24"/>
        </w:rPr>
      </w:pPr>
      <w:r w:rsidRPr="006431A9">
        <w:rPr>
          <w:rFonts w:ascii="Times New Roman" w:hAnsi="Times New Roman" w:cs="Times New Roman"/>
          <w:sz w:val="24"/>
          <w:szCs w:val="24"/>
        </w:rPr>
        <w:t>Vīza: valsts sekretāre</w:t>
      </w:r>
      <w:r w:rsidRPr="006431A9">
        <w:rPr>
          <w:rFonts w:ascii="Times New Roman" w:hAnsi="Times New Roman" w:cs="Times New Roman"/>
          <w:sz w:val="24"/>
          <w:szCs w:val="24"/>
        </w:rPr>
        <w:tab/>
      </w:r>
      <w:r w:rsidRPr="006431A9">
        <w:rPr>
          <w:rFonts w:ascii="Times New Roman" w:hAnsi="Times New Roman" w:cs="Times New Roman"/>
          <w:sz w:val="24"/>
          <w:szCs w:val="24"/>
        </w:rPr>
        <w:tab/>
      </w:r>
      <w:r w:rsidRPr="006431A9">
        <w:rPr>
          <w:rFonts w:ascii="Times New Roman" w:hAnsi="Times New Roman" w:cs="Times New Roman"/>
          <w:sz w:val="24"/>
          <w:szCs w:val="24"/>
        </w:rPr>
        <w:tab/>
      </w:r>
      <w:r w:rsidRPr="006431A9">
        <w:rPr>
          <w:rFonts w:ascii="Times New Roman" w:hAnsi="Times New Roman" w:cs="Times New Roman"/>
          <w:sz w:val="24"/>
          <w:szCs w:val="24"/>
        </w:rPr>
        <w:tab/>
        <w:t xml:space="preserve">                                           I.Pētersone–Godmane</w:t>
      </w:r>
    </w:p>
    <w:p w:rsidR="005751F9" w:rsidRDefault="005751F9" w:rsidP="005751F9">
      <w:pPr>
        <w:spacing w:after="0" w:line="240" w:lineRule="auto"/>
        <w:rPr>
          <w:rFonts w:ascii="Times New Roman" w:hAnsi="Times New Roman" w:cs="Times New Roman"/>
          <w:sz w:val="24"/>
          <w:szCs w:val="24"/>
        </w:rPr>
      </w:pPr>
    </w:p>
    <w:p w:rsidR="000059DE" w:rsidRDefault="000059DE" w:rsidP="005751F9">
      <w:pPr>
        <w:spacing w:after="0" w:line="240" w:lineRule="auto"/>
        <w:rPr>
          <w:rFonts w:ascii="Times New Roman" w:hAnsi="Times New Roman" w:cs="Times New Roman"/>
          <w:sz w:val="24"/>
          <w:szCs w:val="24"/>
        </w:rPr>
      </w:pPr>
    </w:p>
    <w:p w:rsidR="000059DE" w:rsidRDefault="000059DE" w:rsidP="005751F9">
      <w:pPr>
        <w:spacing w:after="0" w:line="240" w:lineRule="auto"/>
        <w:rPr>
          <w:rFonts w:ascii="Times New Roman" w:hAnsi="Times New Roman" w:cs="Times New Roman"/>
          <w:sz w:val="24"/>
          <w:szCs w:val="24"/>
        </w:rPr>
      </w:pPr>
    </w:p>
    <w:p w:rsidR="000059DE" w:rsidRDefault="000059DE" w:rsidP="005751F9">
      <w:pPr>
        <w:spacing w:after="0" w:line="240" w:lineRule="auto"/>
        <w:rPr>
          <w:rFonts w:ascii="Times New Roman" w:hAnsi="Times New Roman" w:cs="Times New Roman"/>
          <w:sz w:val="24"/>
          <w:szCs w:val="24"/>
        </w:rPr>
      </w:pPr>
    </w:p>
    <w:p w:rsidR="005751F9" w:rsidRPr="000059DE" w:rsidRDefault="005751F9" w:rsidP="005751F9">
      <w:pPr>
        <w:spacing w:after="0" w:line="240" w:lineRule="auto"/>
        <w:jc w:val="both"/>
        <w:rPr>
          <w:rFonts w:ascii="Times New Roman" w:eastAsia="SimSun" w:hAnsi="Times New Roman"/>
          <w:sz w:val="20"/>
          <w:szCs w:val="20"/>
          <w:lang w:eastAsia="zh-CN" w:bidi="he-IL"/>
        </w:rPr>
      </w:pPr>
    </w:p>
    <w:p w:rsidR="005751F9" w:rsidRPr="000059DE" w:rsidRDefault="00CC5EDA" w:rsidP="005751F9">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12.05</w:t>
      </w:r>
      <w:r w:rsidR="00D33EC0" w:rsidRPr="000059DE">
        <w:rPr>
          <w:rFonts w:ascii="Times New Roman" w:eastAsia="SimSun" w:hAnsi="Times New Roman"/>
          <w:sz w:val="20"/>
          <w:szCs w:val="20"/>
          <w:lang w:eastAsia="zh-CN" w:bidi="he-IL"/>
        </w:rPr>
        <w:t>.2015</w:t>
      </w:r>
      <w:r w:rsidR="005751F9" w:rsidRPr="000059DE">
        <w:rPr>
          <w:rFonts w:ascii="Times New Roman" w:eastAsia="SimSun" w:hAnsi="Times New Roman"/>
          <w:sz w:val="20"/>
          <w:szCs w:val="20"/>
          <w:lang w:eastAsia="zh-CN" w:bidi="he-IL"/>
        </w:rPr>
        <w:t xml:space="preserve"> 16:50</w:t>
      </w:r>
    </w:p>
    <w:p w:rsidR="005751F9" w:rsidRPr="000059DE" w:rsidRDefault="000B2371" w:rsidP="005751F9">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2</w:t>
      </w:r>
      <w:r w:rsidR="00196271">
        <w:rPr>
          <w:rFonts w:ascii="Times New Roman" w:eastAsia="SimSun" w:hAnsi="Times New Roman"/>
          <w:sz w:val="20"/>
          <w:szCs w:val="20"/>
          <w:lang w:eastAsia="zh-CN" w:bidi="he-IL"/>
        </w:rPr>
        <w:t>362</w:t>
      </w:r>
    </w:p>
    <w:p w:rsidR="005751F9" w:rsidRPr="000059DE" w:rsidRDefault="005751F9" w:rsidP="005751F9">
      <w:pPr>
        <w:spacing w:after="0" w:line="240" w:lineRule="auto"/>
        <w:rPr>
          <w:rFonts w:ascii="Times New Roman" w:eastAsia="SimSun" w:hAnsi="Times New Roman"/>
          <w:sz w:val="20"/>
          <w:szCs w:val="20"/>
          <w:lang w:eastAsia="zh-CN" w:bidi="he-IL"/>
        </w:rPr>
      </w:pPr>
      <w:r w:rsidRPr="000059DE">
        <w:rPr>
          <w:rFonts w:ascii="Times New Roman" w:eastAsia="SimSun" w:hAnsi="Times New Roman"/>
          <w:sz w:val="20"/>
          <w:szCs w:val="20"/>
          <w:lang w:eastAsia="zh-CN" w:bidi="he-IL"/>
        </w:rPr>
        <w:t>K.Zagoskina</w:t>
      </w:r>
      <w:r w:rsidRPr="000059DE">
        <w:rPr>
          <w:rFonts w:ascii="Times New Roman" w:eastAsia="SimSun" w:hAnsi="Times New Roman"/>
          <w:sz w:val="20"/>
          <w:szCs w:val="20"/>
          <w:lang w:eastAsia="zh-CN" w:bidi="he-IL"/>
        </w:rPr>
        <w:tab/>
      </w:r>
    </w:p>
    <w:p w:rsidR="005751F9" w:rsidRPr="000059DE" w:rsidRDefault="005751F9" w:rsidP="005751F9">
      <w:pPr>
        <w:spacing w:after="0" w:line="240" w:lineRule="auto"/>
        <w:rPr>
          <w:rFonts w:ascii="Times New Roman" w:hAnsi="Times New Roman"/>
          <w:sz w:val="20"/>
          <w:szCs w:val="20"/>
        </w:rPr>
      </w:pPr>
      <w:r w:rsidRPr="000059DE">
        <w:rPr>
          <w:rFonts w:ascii="Times New Roman" w:eastAsia="SimSun" w:hAnsi="Times New Roman"/>
          <w:sz w:val="20"/>
          <w:szCs w:val="20"/>
          <w:lang w:eastAsia="zh-CN" w:bidi="he-IL"/>
        </w:rPr>
        <w:t xml:space="preserve">67219584, </w:t>
      </w:r>
      <w:hyperlink r:id="rId7" w:history="1">
        <w:r w:rsidRPr="000059DE">
          <w:rPr>
            <w:rStyle w:val="Hyperlink"/>
            <w:rFonts w:ascii="Times New Roman" w:eastAsia="SimSun" w:hAnsi="Times New Roman"/>
            <w:sz w:val="20"/>
            <w:szCs w:val="20"/>
            <w:lang w:eastAsia="zh-CN" w:bidi="he-IL"/>
          </w:rPr>
          <w:t>karina.zagoskina@iem.gov.lv</w:t>
        </w:r>
      </w:hyperlink>
    </w:p>
    <w:p w:rsidR="004A04EE" w:rsidRPr="000059DE" w:rsidRDefault="008D1C45">
      <w:pPr>
        <w:rPr>
          <w:sz w:val="20"/>
          <w:szCs w:val="20"/>
        </w:rPr>
      </w:pPr>
      <w:bookmarkStart w:id="0" w:name="_GoBack"/>
      <w:bookmarkEnd w:id="0"/>
    </w:p>
    <w:sectPr w:rsidR="004A04EE" w:rsidRPr="000059DE" w:rsidSect="00BD3F53">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72" w:rsidRDefault="008F5B72">
      <w:pPr>
        <w:spacing w:after="0" w:line="240" w:lineRule="auto"/>
      </w:pPr>
      <w:r>
        <w:separator/>
      </w:r>
    </w:p>
  </w:endnote>
  <w:endnote w:type="continuationSeparator" w:id="0">
    <w:p w:rsidR="008F5B72" w:rsidRDefault="008F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1D" w:rsidRPr="004A2338" w:rsidRDefault="00D33EC0" w:rsidP="004A233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CC5EDA">
      <w:rPr>
        <w:rFonts w:ascii="Times New Roman" w:hAnsi="Times New Roman" w:cs="Times New Roman"/>
        <w:sz w:val="20"/>
        <w:szCs w:val="20"/>
      </w:rPr>
      <w:t>1205</w:t>
    </w:r>
    <w:r>
      <w:rPr>
        <w:rFonts w:ascii="Times New Roman" w:hAnsi="Times New Roman" w:cs="Times New Roman"/>
        <w:sz w:val="20"/>
        <w:szCs w:val="20"/>
      </w:rPr>
      <w:t>15_</w:t>
    </w:r>
    <w:r w:rsidR="009B45EE" w:rsidRPr="004A2338">
      <w:rPr>
        <w:rFonts w:ascii="Times New Roman" w:hAnsi="Times New Roman" w:cs="Times New Roman"/>
        <w:sz w:val="20"/>
        <w:szCs w:val="20"/>
      </w:rPr>
      <w:t>PDR; Li</w:t>
    </w:r>
    <w:r w:rsidR="0061052B">
      <w:rPr>
        <w:rFonts w:ascii="Times New Roman" w:hAnsi="Times New Roman" w:cs="Times New Roman"/>
        <w:sz w:val="20"/>
        <w:szCs w:val="20"/>
      </w:rPr>
      <w:t xml:space="preserve">kumprojekta “Pasažieru </w:t>
    </w:r>
    <w:r w:rsidR="009B45EE" w:rsidRPr="004A2338">
      <w:rPr>
        <w:rFonts w:ascii="Times New Roman" w:hAnsi="Times New Roman" w:cs="Times New Roman"/>
        <w:sz w:val="20"/>
        <w:szCs w:val="20"/>
      </w:rPr>
      <w:t xml:space="preserve">datu apstrādes likums” </w:t>
    </w:r>
    <w:r w:rsidR="009B45EE">
      <w:rPr>
        <w:rFonts w:ascii="Times New Roman" w:hAnsi="Times New Roman" w:cs="Times New Roman"/>
        <w:sz w:val="20"/>
        <w:szCs w:val="20"/>
      </w:rPr>
      <w:t xml:space="preserve">sākotnējās ietekmes </w:t>
    </w:r>
    <w:r w:rsidR="009B45EE" w:rsidRPr="004A2338">
      <w:rPr>
        <w:rFonts w:ascii="Times New Roman" w:hAnsi="Times New Roman" w:cs="Times New Roman"/>
        <w:sz w:val="20"/>
        <w:szCs w:val="20"/>
      </w:rPr>
      <w:t>novērtējuma ziņojums (anotācija)</w:t>
    </w:r>
  </w:p>
  <w:p w:rsidR="00B8191D" w:rsidRDefault="008D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1D" w:rsidRPr="004A2338" w:rsidRDefault="00303BD3" w:rsidP="004A233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CC5EDA">
      <w:rPr>
        <w:rFonts w:ascii="Times New Roman" w:hAnsi="Times New Roman" w:cs="Times New Roman"/>
        <w:sz w:val="20"/>
        <w:szCs w:val="20"/>
      </w:rPr>
      <w:t>1205</w:t>
    </w:r>
    <w:r w:rsidR="00D33EC0">
      <w:rPr>
        <w:rFonts w:ascii="Times New Roman" w:hAnsi="Times New Roman" w:cs="Times New Roman"/>
        <w:sz w:val="20"/>
        <w:szCs w:val="20"/>
      </w:rPr>
      <w:t>15</w:t>
    </w:r>
    <w:r w:rsidR="009B45EE" w:rsidRPr="004A2338">
      <w:rPr>
        <w:rFonts w:ascii="Times New Roman" w:hAnsi="Times New Roman" w:cs="Times New Roman"/>
        <w:sz w:val="20"/>
        <w:szCs w:val="20"/>
      </w:rPr>
      <w:t>_PDR; L</w:t>
    </w:r>
    <w:r w:rsidR="0061052B">
      <w:rPr>
        <w:rFonts w:ascii="Times New Roman" w:hAnsi="Times New Roman" w:cs="Times New Roman"/>
        <w:sz w:val="20"/>
        <w:szCs w:val="20"/>
      </w:rPr>
      <w:t>ikumprojekta “Pasažieru</w:t>
    </w:r>
    <w:r w:rsidR="009B45EE" w:rsidRPr="004A2338">
      <w:rPr>
        <w:rFonts w:ascii="Times New Roman" w:hAnsi="Times New Roman" w:cs="Times New Roman"/>
        <w:sz w:val="20"/>
        <w:szCs w:val="20"/>
      </w:rPr>
      <w:t xml:space="preserve"> d</w:t>
    </w:r>
    <w:r w:rsidR="009B45EE">
      <w:rPr>
        <w:rFonts w:ascii="Times New Roman" w:hAnsi="Times New Roman" w:cs="Times New Roman"/>
        <w:sz w:val="20"/>
        <w:szCs w:val="20"/>
      </w:rPr>
      <w:t xml:space="preserve">atu apstrādes likums” sākotnējās ietekmes </w:t>
    </w:r>
    <w:r w:rsidR="009B45EE" w:rsidRPr="004A2338">
      <w:rPr>
        <w:rFonts w:ascii="Times New Roman" w:hAnsi="Times New Roman" w:cs="Times New Roman"/>
        <w:sz w:val="20"/>
        <w:szCs w:val="20"/>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72" w:rsidRDefault="008F5B72">
      <w:pPr>
        <w:spacing w:after="0" w:line="240" w:lineRule="auto"/>
      </w:pPr>
      <w:r>
        <w:separator/>
      </w:r>
    </w:p>
  </w:footnote>
  <w:footnote w:type="continuationSeparator" w:id="0">
    <w:p w:rsidR="008F5B72" w:rsidRDefault="008F5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rsidR="00B8191D" w:rsidRDefault="00B975EB">
        <w:pPr>
          <w:pStyle w:val="Header"/>
          <w:jc w:val="center"/>
        </w:pPr>
        <w:r>
          <w:fldChar w:fldCharType="begin"/>
        </w:r>
        <w:r w:rsidR="009B45EE">
          <w:instrText xml:space="preserve"> PAGE   \* MERGEFORMAT </w:instrText>
        </w:r>
        <w:r>
          <w:fldChar w:fldCharType="separate"/>
        </w:r>
        <w:r w:rsidR="008D1C45">
          <w:rPr>
            <w:noProof/>
          </w:rPr>
          <w:t>10</w:t>
        </w:r>
        <w:r>
          <w:rPr>
            <w:noProof/>
          </w:rPr>
          <w:fldChar w:fldCharType="end"/>
        </w:r>
      </w:p>
    </w:sdtContent>
  </w:sdt>
  <w:p w:rsidR="00B8191D" w:rsidRDefault="008D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51F9"/>
    <w:rsid w:val="000059DE"/>
    <w:rsid w:val="000135F9"/>
    <w:rsid w:val="000241C2"/>
    <w:rsid w:val="000339E4"/>
    <w:rsid w:val="00034410"/>
    <w:rsid w:val="000504D3"/>
    <w:rsid w:val="00073889"/>
    <w:rsid w:val="00074857"/>
    <w:rsid w:val="000815CB"/>
    <w:rsid w:val="000838A7"/>
    <w:rsid w:val="00084C53"/>
    <w:rsid w:val="000851C9"/>
    <w:rsid w:val="000B2371"/>
    <w:rsid w:val="000D0543"/>
    <w:rsid w:val="000E331C"/>
    <w:rsid w:val="000E3FB9"/>
    <w:rsid w:val="00107BAE"/>
    <w:rsid w:val="00115593"/>
    <w:rsid w:val="00116031"/>
    <w:rsid w:val="00127563"/>
    <w:rsid w:val="00137732"/>
    <w:rsid w:val="00137D38"/>
    <w:rsid w:val="001547A6"/>
    <w:rsid w:val="00181555"/>
    <w:rsid w:val="00193BB5"/>
    <w:rsid w:val="00196271"/>
    <w:rsid w:val="001C05DB"/>
    <w:rsid w:val="001F7B9F"/>
    <w:rsid w:val="00211526"/>
    <w:rsid w:val="0021351B"/>
    <w:rsid w:val="0023650D"/>
    <w:rsid w:val="00245CFE"/>
    <w:rsid w:val="002B1515"/>
    <w:rsid w:val="002C526B"/>
    <w:rsid w:val="002D0EBA"/>
    <w:rsid w:val="002D38C4"/>
    <w:rsid w:val="002E7EA6"/>
    <w:rsid w:val="00303BD3"/>
    <w:rsid w:val="00313319"/>
    <w:rsid w:val="003164D8"/>
    <w:rsid w:val="003918A5"/>
    <w:rsid w:val="003D1162"/>
    <w:rsid w:val="00445806"/>
    <w:rsid w:val="00446EEF"/>
    <w:rsid w:val="00455ABB"/>
    <w:rsid w:val="0045634A"/>
    <w:rsid w:val="00472024"/>
    <w:rsid w:val="00481DCD"/>
    <w:rsid w:val="004844CB"/>
    <w:rsid w:val="004B6336"/>
    <w:rsid w:val="004D53B5"/>
    <w:rsid w:val="004D6D1F"/>
    <w:rsid w:val="004E4758"/>
    <w:rsid w:val="005230DE"/>
    <w:rsid w:val="00531BC1"/>
    <w:rsid w:val="005501D7"/>
    <w:rsid w:val="005525F9"/>
    <w:rsid w:val="005751F9"/>
    <w:rsid w:val="005A2866"/>
    <w:rsid w:val="005C040B"/>
    <w:rsid w:val="005D3962"/>
    <w:rsid w:val="005E6B2F"/>
    <w:rsid w:val="0061052B"/>
    <w:rsid w:val="00621ABA"/>
    <w:rsid w:val="0066558D"/>
    <w:rsid w:val="006A23EF"/>
    <w:rsid w:val="006B0ABA"/>
    <w:rsid w:val="006D22F2"/>
    <w:rsid w:val="006D5659"/>
    <w:rsid w:val="006D79CF"/>
    <w:rsid w:val="007273A9"/>
    <w:rsid w:val="0074353C"/>
    <w:rsid w:val="00751511"/>
    <w:rsid w:val="00751FFE"/>
    <w:rsid w:val="00761AAF"/>
    <w:rsid w:val="007648B8"/>
    <w:rsid w:val="007B53EC"/>
    <w:rsid w:val="007D5AAA"/>
    <w:rsid w:val="007F0660"/>
    <w:rsid w:val="007F22A7"/>
    <w:rsid w:val="00807476"/>
    <w:rsid w:val="008277F1"/>
    <w:rsid w:val="00830420"/>
    <w:rsid w:val="00844F18"/>
    <w:rsid w:val="008A6BA9"/>
    <w:rsid w:val="008C6CEA"/>
    <w:rsid w:val="008D1C45"/>
    <w:rsid w:val="008E4656"/>
    <w:rsid w:val="008F5B72"/>
    <w:rsid w:val="009241F2"/>
    <w:rsid w:val="00927B8A"/>
    <w:rsid w:val="00994506"/>
    <w:rsid w:val="009A5577"/>
    <w:rsid w:val="009B0E3C"/>
    <w:rsid w:val="009B45EE"/>
    <w:rsid w:val="009C232B"/>
    <w:rsid w:val="009C241C"/>
    <w:rsid w:val="009E4153"/>
    <w:rsid w:val="009F31F1"/>
    <w:rsid w:val="00A3173F"/>
    <w:rsid w:val="00A40FD8"/>
    <w:rsid w:val="00A566C3"/>
    <w:rsid w:val="00A73EE2"/>
    <w:rsid w:val="00A754D6"/>
    <w:rsid w:val="00A97977"/>
    <w:rsid w:val="00AC065D"/>
    <w:rsid w:val="00AC3453"/>
    <w:rsid w:val="00AD0D9D"/>
    <w:rsid w:val="00AD10E4"/>
    <w:rsid w:val="00AE0E23"/>
    <w:rsid w:val="00AF72E8"/>
    <w:rsid w:val="00B36B3D"/>
    <w:rsid w:val="00B83DA3"/>
    <w:rsid w:val="00B975EB"/>
    <w:rsid w:val="00B97D98"/>
    <w:rsid w:val="00BB335C"/>
    <w:rsid w:val="00BB60B9"/>
    <w:rsid w:val="00BF353D"/>
    <w:rsid w:val="00BF6F73"/>
    <w:rsid w:val="00C018DE"/>
    <w:rsid w:val="00C10D98"/>
    <w:rsid w:val="00C13CA2"/>
    <w:rsid w:val="00C246B6"/>
    <w:rsid w:val="00C43960"/>
    <w:rsid w:val="00C562A7"/>
    <w:rsid w:val="00C665FF"/>
    <w:rsid w:val="00C920EB"/>
    <w:rsid w:val="00CA4EB9"/>
    <w:rsid w:val="00CB4E2E"/>
    <w:rsid w:val="00CC5EDA"/>
    <w:rsid w:val="00CC6C5C"/>
    <w:rsid w:val="00CE7D77"/>
    <w:rsid w:val="00CF2E3F"/>
    <w:rsid w:val="00D33EC0"/>
    <w:rsid w:val="00D42F3E"/>
    <w:rsid w:val="00D51C11"/>
    <w:rsid w:val="00D556C1"/>
    <w:rsid w:val="00D55F29"/>
    <w:rsid w:val="00D82576"/>
    <w:rsid w:val="00D826DF"/>
    <w:rsid w:val="00DB1C39"/>
    <w:rsid w:val="00DB222E"/>
    <w:rsid w:val="00DC0582"/>
    <w:rsid w:val="00DD11F3"/>
    <w:rsid w:val="00E2133D"/>
    <w:rsid w:val="00E312E6"/>
    <w:rsid w:val="00E32357"/>
    <w:rsid w:val="00E32D68"/>
    <w:rsid w:val="00E40904"/>
    <w:rsid w:val="00E4185F"/>
    <w:rsid w:val="00E4519E"/>
    <w:rsid w:val="00E82276"/>
    <w:rsid w:val="00EB3CCF"/>
    <w:rsid w:val="00EB4C65"/>
    <w:rsid w:val="00EF6F67"/>
    <w:rsid w:val="00F23B1E"/>
    <w:rsid w:val="00F4211C"/>
    <w:rsid w:val="00F42E31"/>
    <w:rsid w:val="00F610E8"/>
    <w:rsid w:val="00F62440"/>
    <w:rsid w:val="00F63556"/>
    <w:rsid w:val="00F770E5"/>
    <w:rsid w:val="00F82F87"/>
    <w:rsid w:val="00FA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97FB565-1EA5-476D-B14F-46C68D39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a.zagos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11951</Words>
  <Characters>6813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Likumprojekta “Pasažieru datu apstrādes likums” sākotnējās ietekmes novērtējuma ziņojums (anotācija)</vt:lpstr>
    </vt:vector>
  </TitlesOfParts>
  <Company>IeM</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“Pasažieru datu apstrādes likums” sākotnējās ietekmes novērtējuma ziņojums (anotācija)</dc:title>
  <dc:subject>anotācija</dc:subject>
  <dc:creator>Karina Zagoskina</dc:creator>
  <dc:description>karina.zagoskina@iem.gov.lv;_x000d_
67219584</dc:description>
  <cp:lastModifiedBy>Karina Zagoskina</cp:lastModifiedBy>
  <cp:revision>5</cp:revision>
  <cp:lastPrinted>2015-01-13T11:08:00Z</cp:lastPrinted>
  <dcterms:created xsi:type="dcterms:W3CDTF">2015-05-31T07:22:00Z</dcterms:created>
  <dcterms:modified xsi:type="dcterms:W3CDTF">2015-06-01T05:43:00Z</dcterms:modified>
</cp:coreProperties>
</file>