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F9D93" w14:textId="77777777" w:rsidR="00B76D85" w:rsidRPr="00637B0A" w:rsidRDefault="00AF38BE" w:rsidP="00B76D85">
      <w:pPr>
        <w:jc w:val="center"/>
        <w:rPr>
          <w:b/>
          <w:sz w:val="28"/>
          <w:szCs w:val="28"/>
        </w:rPr>
      </w:pPr>
      <w:r w:rsidRPr="00637B0A">
        <w:rPr>
          <w:b/>
          <w:sz w:val="28"/>
          <w:szCs w:val="28"/>
        </w:rPr>
        <w:t>Likumprojekta „Grozījumi likumā „Par sociālo drošību””</w:t>
      </w:r>
    </w:p>
    <w:p w14:paraId="035CF496" w14:textId="77777777" w:rsidR="00B445F0" w:rsidRDefault="00B76D85" w:rsidP="00B76D85">
      <w:pPr>
        <w:jc w:val="center"/>
        <w:rPr>
          <w:b/>
          <w:sz w:val="28"/>
          <w:szCs w:val="28"/>
        </w:rPr>
      </w:pPr>
      <w:r w:rsidRPr="00AC181D">
        <w:rPr>
          <w:b/>
          <w:sz w:val="28"/>
          <w:szCs w:val="28"/>
        </w:rPr>
        <w:t xml:space="preserve">sākotnējās ietekmes novērtējuma </w:t>
      </w:r>
      <w:smartTag w:uri="schemas-tilde-lv/tildestengine" w:element="veidnes">
        <w:smartTagPr>
          <w:attr w:name="text" w:val="ziņojums"/>
          <w:attr w:name="id" w:val="-1"/>
          <w:attr w:name="baseform" w:val="ziņojum|s"/>
        </w:smartTagPr>
        <w:r w:rsidRPr="00AC181D">
          <w:rPr>
            <w:b/>
            <w:sz w:val="28"/>
            <w:szCs w:val="28"/>
          </w:rPr>
          <w:t>ziņojums</w:t>
        </w:r>
      </w:smartTag>
      <w:r w:rsidRPr="00AC181D">
        <w:rPr>
          <w:b/>
          <w:sz w:val="28"/>
          <w:szCs w:val="28"/>
        </w:rPr>
        <w:t xml:space="preserve"> (anotācija)</w:t>
      </w:r>
    </w:p>
    <w:p w14:paraId="201FCC5A" w14:textId="77777777" w:rsidR="00B76D85" w:rsidRDefault="00B76D85" w:rsidP="00B76D85">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194614" w:rsidRPr="00B76D85" w14:paraId="3E3B7ACB" w14:textId="77777777" w:rsidTr="006A7D0B">
        <w:tc>
          <w:tcPr>
            <w:tcW w:w="5000" w:type="pct"/>
            <w:gridSpan w:val="3"/>
            <w:shd w:val="clear" w:color="auto" w:fill="auto"/>
          </w:tcPr>
          <w:p w14:paraId="7EEF5276" w14:textId="77777777" w:rsidR="00194614" w:rsidRPr="006A7D0B" w:rsidRDefault="00C01716" w:rsidP="006A7D0B">
            <w:pPr>
              <w:jc w:val="center"/>
              <w:rPr>
                <w:b/>
              </w:rPr>
            </w:pPr>
            <w:r w:rsidRPr="006A7D0B">
              <w:rPr>
                <w:b/>
              </w:rPr>
              <w:t>I</w:t>
            </w:r>
            <w:r w:rsidR="00DC37D9" w:rsidRPr="006A7D0B">
              <w:rPr>
                <w:b/>
              </w:rPr>
              <w:t>.</w:t>
            </w:r>
            <w:r w:rsidRPr="006A7D0B">
              <w:rPr>
                <w:b/>
              </w:rPr>
              <w:t xml:space="preserve"> Tiesību </w:t>
            </w:r>
            <w:smartTag w:uri="schemas-tilde-lv/tildestengine" w:element="veidnes">
              <w:smartTagPr>
                <w:attr w:name="text" w:val="akta"/>
                <w:attr w:name="id" w:val="-1"/>
                <w:attr w:name="baseform" w:val="akt|s"/>
              </w:smartTagPr>
              <w:r w:rsidRPr="006A7D0B">
                <w:rPr>
                  <w:b/>
                </w:rPr>
                <w:t>akta</w:t>
              </w:r>
            </w:smartTag>
            <w:r w:rsidRPr="006A7D0B">
              <w:rPr>
                <w:b/>
              </w:rPr>
              <w:t xml:space="preserve"> projekta izstrādes nepieciešamība</w:t>
            </w:r>
          </w:p>
        </w:tc>
      </w:tr>
      <w:tr w:rsidR="00B76D85" w:rsidRPr="00955379" w14:paraId="20619087" w14:textId="77777777" w:rsidTr="006A7D0B">
        <w:tc>
          <w:tcPr>
            <w:tcW w:w="213" w:type="pct"/>
            <w:shd w:val="clear" w:color="auto" w:fill="auto"/>
          </w:tcPr>
          <w:p w14:paraId="0AE29664" w14:textId="77777777" w:rsidR="00B76D85" w:rsidRPr="00AB6B20" w:rsidRDefault="00B76D85" w:rsidP="00B76D85">
            <w:r w:rsidRPr="00AB6B20">
              <w:t>1.</w:t>
            </w:r>
          </w:p>
        </w:tc>
        <w:tc>
          <w:tcPr>
            <w:tcW w:w="1654" w:type="pct"/>
            <w:shd w:val="clear" w:color="auto" w:fill="auto"/>
          </w:tcPr>
          <w:p w14:paraId="31B0293C" w14:textId="77777777" w:rsidR="00B76D85" w:rsidRPr="00AB6B20" w:rsidRDefault="00B76D85" w:rsidP="00B76D85">
            <w:r w:rsidRPr="00AB6B20">
              <w:t>Pamatojums</w:t>
            </w:r>
          </w:p>
        </w:tc>
        <w:tc>
          <w:tcPr>
            <w:tcW w:w="3133" w:type="pct"/>
            <w:shd w:val="clear" w:color="auto" w:fill="auto"/>
          </w:tcPr>
          <w:p w14:paraId="4E2AB165" w14:textId="77777777" w:rsidR="00AF38BE" w:rsidRPr="004D2199" w:rsidRDefault="00AF38BE" w:rsidP="004D2199">
            <w:pPr>
              <w:autoSpaceDE w:val="0"/>
              <w:autoSpaceDN w:val="0"/>
              <w:adjustRightInd w:val="0"/>
              <w:spacing w:after="120"/>
              <w:ind w:right="130"/>
              <w:jc w:val="both"/>
            </w:pPr>
            <w:r w:rsidRPr="004D2199">
              <w:t>Likumprojekts „Grozījumi likumā „Par sociālo drošību” (turpmāk – likumprojekts) izstrādāts atbilstoši:</w:t>
            </w:r>
          </w:p>
          <w:p w14:paraId="56E45E49" w14:textId="77777777" w:rsidR="00312A99" w:rsidRPr="004D2199" w:rsidRDefault="00312A99" w:rsidP="00312A99">
            <w:pPr>
              <w:pStyle w:val="Default"/>
              <w:numPr>
                <w:ilvl w:val="0"/>
                <w:numId w:val="2"/>
              </w:numPr>
              <w:spacing w:after="148"/>
              <w:ind w:left="142" w:right="129"/>
              <w:jc w:val="both"/>
              <w:rPr>
                <w:color w:val="auto"/>
              </w:rPr>
            </w:pPr>
            <w:r w:rsidRPr="004D2199">
              <w:rPr>
                <w:color w:val="auto"/>
              </w:rPr>
              <w:t xml:space="preserve">1. Deklarācijas par Laimdotas </w:t>
            </w:r>
            <w:proofErr w:type="spellStart"/>
            <w:r w:rsidRPr="004D2199">
              <w:rPr>
                <w:color w:val="auto"/>
              </w:rPr>
              <w:t>Straujumas</w:t>
            </w:r>
            <w:proofErr w:type="spellEnd"/>
            <w:r w:rsidRPr="004D2199">
              <w:rPr>
                <w:color w:val="auto"/>
              </w:rPr>
              <w:t xml:space="preserve"> vadītā Ministru kabineta iecerēto darbību II sadaļas 84.punktam – „Ar nodokļu un sociālā atbalsta instrumentiem nodrošināsim iedzīvotājiem ar zemiem ienākumiem straujāku ienākumu pieaugumu nekā vidēji visā sabiedrībā.”.</w:t>
            </w:r>
          </w:p>
          <w:p w14:paraId="1201F442" w14:textId="77777777" w:rsidR="00312A99" w:rsidRPr="004D2199" w:rsidRDefault="00312A99" w:rsidP="00312A99">
            <w:pPr>
              <w:pStyle w:val="Default"/>
              <w:numPr>
                <w:ilvl w:val="0"/>
                <w:numId w:val="2"/>
              </w:numPr>
              <w:spacing w:after="148"/>
              <w:ind w:left="142" w:right="129"/>
              <w:jc w:val="both"/>
              <w:rPr>
                <w:color w:val="auto"/>
              </w:rPr>
            </w:pPr>
            <w:r w:rsidRPr="004D2199">
              <w:rPr>
                <w:color w:val="auto"/>
              </w:rPr>
              <w:t xml:space="preserve">2. </w:t>
            </w:r>
            <w:r w:rsidRPr="004D2199">
              <w:t xml:space="preserve">Latvijas nabadzības samazināšanas mērķim </w:t>
            </w:r>
            <w:r w:rsidRPr="004D2199">
              <w:rPr>
                <w:rStyle w:val="hps"/>
                <w:i/>
                <w:iCs/>
              </w:rPr>
              <w:t>Nacionālajā attīstības plānā 2014.-2020.gadam</w:t>
            </w:r>
            <w:r w:rsidR="0087044F" w:rsidRPr="004D2199">
              <w:rPr>
                <w:rStyle w:val="hps"/>
                <w:i/>
                <w:iCs/>
              </w:rPr>
              <w:t xml:space="preserve"> </w:t>
            </w:r>
            <w:r w:rsidR="0087044F" w:rsidRPr="004D2199">
              <w:rPr>
                <w:rStyle w:val="hps"/>
                <w:iCs/>
              </w:rPr>
              <w:t>(apstiprināts Saeimā 2012.gada 20.decembrī)</w:t>
            </w:r>
            <w:r w:rsidRPr="004D2199">
              <w:rPr>
                <w:rStyle w:val="hps"/>
                <w:iCs/>
              </w:rPr>
              <w:t xml:space="preserve">: </w:t>
            </w:r>
          </w:p>
          <w:p w14:paraId="7004445E" w14:textId="77777777" w:rsidR="00312A99" w:rsidRPr="004D2199" w:rsidRDefault="007E6F6D" w:rsidP="00AB6B20">
            <w:pPr>
              <w:numPr>
                <w:ilvl w:val="1"/>
                <w:numId w:val="4"/>
              </w:numPr>
              <w:ind w:left="643" w:hanging="283"/>
              <w:jc w:val="both"/>
            </w:pPr>
            <w:r w:rsidRPr="004D2199">
              <w:rPr>
                <w:rStyle w:val="hps"/>
                <w:rFonts w:eastAsia="Calibri"/>
                <w:iCs/>
                <w:color w:val="000000"/>
                <w:lang w:eastAsia="en-US"/>
              </w:rPr>
              <w:t>rīcības virziena „Cienīgs darbs”</w:t>
            </w:r>
            <w:r w:rsidRPr="004D2199">
              <w:rPr>
                <w:rStyle w:val="hps"/>
                <w:iCs/>
              </w:rPr>
              <w:t xml:space="preserve"> </w:t>
            </w:r>
            <w:r w:rsidRPr="004D2199">
              <w:t xml:space="preserve">mērķim 1 – </w:t>
            </w:r>
            <w:r w:rsidR="00312A99" w:rsidRPr="004D2199">
              <w:t>veikt</w:t>
            </w:r>
            <w:r w:rsidRPr="004D2199">
              <w:t xml:space="preserve"> </w:t>
            </w:r>
            <w:r w:rsidR="00312A99" w:rsidRPr="004D2199">
              <w:t>pasākumus nodarbināto labklājības līmeņa paaugstināšanai, samazinot nabadzības riskam pakļauto nodarbināto īpatsvaru vecuma grupā no 18 līdz 64 gadiem no 9,5% 2010.gadā līdz 5% 2020.gadā</w:t>
            </w:r>
            <w:r w:rsidRPr="004D2199">
              <w:t xml:space="preserve"> [236];</w:t>
            </w:r>
          </w:p>
          <w:p w14:paraId="6EBFB36C" w14:textId="77777777" w:rsidR="00312A99" w:rsidRPr="004D2199" w:rsidRDefault="007E6F6D" w:rsidP="007E6F6D">
            <w:pPr>
              <w:numPr>
                <w:ilvl w:val="1"/>
                <w:numId w:val="4"/>
              </w:numPr>
              <w:spacing w:after="120"/>
              <w:ind w:left="641" w:hanging="284"/>
              <w:jc w:val="both"/>
            </w:pPr>
            <w:r w:rsidRPr="004D2199">
              <w:t xml:space="preserve">  rīcības virziena "Stabili pamati tautas ataudzei" mērķim 3 – </w:t>
            </w:r>
            <w:r w:rsidR="00312A99" w:rsidRPr="004D2199">
              <w:t>ar</w:t>
            </w:r>
            <w:r w:rsidRPr="004D2199">
              <w:t xml:space="preserve"> </w:t>
            </w:r>
            <w:r w:rsidR="00312A99" w:rsidRPr="004D2199">
              <w:t xml:space="preserve">kompleksas ģimeņu atbalsta sistēmas palīdzību, kas veicina darba un ģimenes dzīves savienošanu, mazināt bērnu </w:t>
            </w:r>
            <w:r w:rsidR="00312A99" w:rsidRPr="004D2199">
              <w:rPr>
                <w:rStyle w:val="highlight"/>
              </w:rPr>
              <w:t>nabadz</w:t>
            </w:r>
            <w:r w:rsidR="00312A99" w:rsidRPr="004D2199">
              <w:t>ības risku no 25% 2010.gadā uz 20% 2020.gadā</w:t>
            </w:r>
            <w:r w:rsidRPr="004D2199">
              <w:t xml:space="preserve"> [263].</w:t>
            </w:r>
          </w:p>
          <w:p w14:paraId="585F0EFF" w14:textId="136B6357" w:rsidR="00BF690B" w:rsidRPr="004D2199" w:rsidRDefault="00BF690B" w:rsidP="00BF690B">
            <w:pPr>
              <w:pStyle w:val="ListParagraph"/>
              <w:numPr>
                <w:ilvl w:val="0"/>
                <w:numId w:val="4"/>
              </w:numPr>
              <w:autoSpaceDE w:val="0"/>
              <w:autoSpaceDN w:val="0"/>
              <w:adjustRightInd w:val="0"/>
              <w:ind w:right="129"/>
              <w:jc w:val="both"/>
            </w:pPr>
            <w:r w:rsidRPr="004D2199">
              <w:t>Ministru kabineta 2014.gada 30.oktobra rīkojuma Nr.619 „Par koncepciju „Par minimālā ienākuma līmeņa noteikšanu”” (prot. Nr.57 44.§)</w:t>
            </w:r>
            <w:r>
              <w:t xml:space="preserve"> (turpmāk – rīkojums Nr.619) </w:t>
            </w:r>
            <w:r w:rsidRPr="004D2199">
              <w:t>1.punktam, ar ko atbalstīts koncepcijā „Par minimālā ienākuma līmeņa noteikšanu” (turpmāk – Koncepcija) ietvertais risinājuma 2. variants. – „Minimālā ienākuma līmeni noteikt 40% apmērā no rīcībā esošo ienākumu mediānas pārrēķinātas uz ekvivalento patērētāju, piemērojot ekvivalences skalu (1; 0.7; 0.7).”.</w:t>
            </w:r>
          </w:p>
          <w:p w14:paraId="51CF292C" w14:textId="2BDB4068" w:rsidR="00BF690B" w:rsidRPr="004D2199" w:rsidRDefault="00BF690B" w:rsidP="00BF690B">
            <w:pPr>
              <w:pStyle w:val="ListParagraph"/>
              <w:numPr>
                <w:ilvl w:val="0"/>
                <w:numId w:val="4"/>
              </w:numPr>
              <w:autoSpaceDE w:val="0"/>
              <w:autoSpaceDN w:val="0"/>
              <w:adjustRightInd w:val="0"/>
              <w:ind w:right="129"/>
              <w:jc w:val="both"/>
            </w:pPr>
            <w:r>
              <w:t>R</w:t>
            </w:r>
            <w:r w:rsidRPr="004D2199">
              <w:t xml:space="preserve">īkojuma Nr.619 4.1.apakšpuntā Labklājības ministrijai dotajam uzdevumam sagatavot un </w:t>
            </w:r>
            <w:r>
              <w:t xml:space="preserve">līdz 2015. gada 1. jūlijam </w:t>
            </w:r>
            <w:r w:rsidRPr="004D2199">
              <w:t xml:space="preserve">iesniegt </w:t>
            </w:r>
            <w:r>
              <w:t>Ministru kabinetā normatīvā akta projektu par minimālā ienākuma līmeņa noteikšanu</w:t>
            </w:r>
            <w:r w:rsidRPr="004D2199">
              <w:t xml:space="preserve">. </w:t>
            </w:r>
          </w:p>
          <w:p w14:paraId="5341EB12" w14:textId="77777777" w:rsidR="004D2199" w:rsidRDefault="004D2199" w:rsidP="004D2199">
            <w:pPr>
              <w:pStyle w:val="ListParagraph"/>
              <w:numPr>
                <w:ilvl w:val="0"/>
                <w:numId w:val="4"/>
              </w:numPr>
              <w:autoSpaceDE w:val="0"/>
              <w:autoSpaceDN w:val="0"/>
              <w:adjustRightInd w:val="0"/>
              <w:ind w:right="129"/>
              <w:jc w:val="both"/>
            </w:pPr>
            <w:r w:rsidRPr="00C6067C">
              <w:t xml:space="preserve">Eiropas Savienības (ES) </w:t>
            </w:r>
            <w:r>
              <w:t>stratēģijā “Eiropa 2020” vienam no noteiktajiem prioritārajiem mērķiem: nabadzības un sociālās atstumtības samazināšana.</w:t>
            </w:r>
          </w:p>
          <w:p w14:paraId="22E4035B" w14:textId="77777777" w:rsidR="006C5753" w:rsidRPr="004D2199" w:rsidRDefault="006C5753" w:rsidP="004D2199">
            <w:pPr>
              <w:pStyle w:val="ListParagraph"/>
              <w:numPr>
                <w:ilvl w:val="0"/>
                <w:numId w:val="4"/>
              </w:numPr>
              <w:autoSpaceDE w:val="0"/>
              <w:autoSpaceDN w:val="0"/>
              <w:adjustRightInd w:val="0"/>
              <w:ind w:right="129"/>
              <w:jc w:val="both"/>
            </w:pPr>
            <w:r w:rsidRPr="004D2199">
              <w:t xml:space="preserve">Eiropas Padomes </w:t>
            </w:r>
            <w:r w:rsidR="0087044F" w:rsidRPr="004D2199">
              <w:t>ieteikumam</w:t>
            </w:r>
            <w:r w:rsidRPr="004D2199">
              <w:t xml:space="preserve"> Latvijai </w:t>
            </w:r>
            <w:r w:rsidR="00A130D4" w:rsidRPr="004D2199">
              <w:t>(201</w:t>
            </w:r>
            <w:r w:rsidR="004D2199" w:rsidRPr="004D2199">
              <w:t xml:space="preserve">5): „Veikt konkrētus pasākumus, lai reformētu sociālo palīdzību, nodrošinot pabalstu piemērotību, un veikt pasākumus </w:t>
            </w:r>
            <w:proofErr w:type="spellStart"/>
            <w:r w:rsidR="004D2199" w:rsidRPr="004D2199">
              <w:t>nodarbināmības</w:t>
            </w:r>
            <w:proofErr w:type="spellEnd"/>
            <w:r w:rsidR="004D2199" w:rsidRPr="004D2199">
              <w:t xml:space="preserve"> palielināšanai. Samazināt lielo nodokļu īpatsvaru cilvēkiem ar </w:t>
            </w:r>
            <w:r w:rsidR="004D2199" w:rsidRPr="004D2199">
              <w:lastRenderedPageBreak/>
              <w:t>zemiem ienākumiem, novirzot nodokļu slogu uz avotiem, kam ir mazāka negatīvā ietekme uz izaugsmi.</w:t>
            </w:r>
            <w:r w:rsidR="00A130D4" w:rsidRPr="004D2199">
              <w:t xml:space="preserve">”. </w:t>
            </w:r>
          </w:p>
        </w:tc>
      </w:tr>
      <w:tr w:rsidR="00B76D85" w:rsidRPr="006A7D0B" w14:paraId="139E0D59" w14:textId="77777777" w:rsidTr="006A7D0B">
        <w:tc>
          <w:tcPr>
            <w:tcW w:w="213" w:type="pct"/>
            <w:shd w:val="clear" w:color="auto" w:fill="auto"/>
          </w:tcPr>
          <w:p w14:paraId="59F2560C" w14:textId="77777777" w:rsidR="00B76D85" w:rsidRPr="006A7D0B" w:rsidRDefault="00B76D85" w:rsidP="00B76D85">
            <w:pPr>
              <w:rPr>
                <w:sz w:val="22"/>
                <w:szCs w:val="22"/>
              </w:rPr>
            </w:pPr>
            <w:r w:rsidRPr="006A7D0B">
              <w:rPr>
                <w:sz w:val="22"/>
                <w:szCs w:val="22"/>
              </w:rPr>
              <w:lastRenderedPageBreak/>
              <w:t xml:space="preserve">2. </w:t>
            </w:r>
          </w:p>
        </w:tc>
        <w:tc>
          <w:tcPr>
            <w:tcW w:w="1654" w:type="pct"/>
            <w:shd w:val="clear" w:color="auto" w:fill="auto"/>
          </w:tcPr>
          <w:p w14:paraId="40DBDD61" w14:textId="77777777" w:rsidR="00B76D85" w:rsidRPr="006A7D0B" w:rsidRDefault="004373E9" w:rsidP="00B76D85">
            <w:pPr>
              <w:rPr>
                <w:sz w:val="22"/>
                <w:szCs w:val="22"/>
              </w:rPr>
            </w:pPr>
            <w:r w:rsidRPr="00DD49B6">
              <w:t>Pašreizējā situācija un problēmas, kuru risināšanai tiesību akta projekts izstrādāts, tiesiskā regulējuma mērķis un būtība</w:t>
            </w:r>
          </w:p>
        </w:tc>
        <w:tc>
          <w:tcPr>
            <w:tcW w:w="3133" w:type="pct"/>
            <w:shd w:val="clear" w:color="auto" w:fill="auto"/>
          </w:tcPr>
          <w:p w14:paraId="4DC8B5F8" w14:textId="5E19E169" w:rsidR="00AB6B20" w:rsidRDefault="00AB6B20" w:rsidP="00AB6B20">
            <w:pPr>
              <w:autoSpaceDE w:val="0"/>
              <w:autoSpaceDN w:val="0"/>
              <w:adjustRightInd w:val="0"/>
              <w:jc w:val="both"/>
            </w:pPr>
            <w:r w:rsidRPr="004D2199">
              <w:t xml:space="preserve">Latvijā jau vairāk nekā 10 gadus saglabājas relatīvi augsts nabadzības risks, jo iedzīvotāju minimālie ienākumi gan no algota darba, gan sociālās aizsardzības sistēmas nav pietiekami, lai mazinātu nabadzību valstī. Atbilstoši Eiropas Savienības </w:t>
            </w:r>
            <w:r w:rsidR="004B1DDC" w:rsidRPr="004D2199">
              <w:t xml:space="preserve">(ES) </w:t>
            </w:r>
            <w:r w:rsidRPr="004D2199">
              <w:t>nabadzības mērīšanas metodoloģijai</w:t>
            </w:r>
            <w:r w:rsidR="00FF7485">
              <w:rPr>
                <w:rStyle w:val="FootnoteReference"/>
              </w:rPr>
              <w:footnoteReference w:id="1"/>
            </w:r>
            <w:r w:rsidRPr="004D2199">
              <w:t xml:space="preserve"> Latvijā 2013.gadā nabadzības riskam bija pak</w:t>
            </w:r>
            <w:r w:rsidR="00E96815">
              <w:t>ļauti 21,2% Latvijas iedzīvotāju</w:t>
            </w:r>
            <w:r w:rsidR="004B1DDC" w:rsidRPr="004D2199">
              <w:t xml:space="preserve"> (ES-28</w:t>
            </w:r>
            <w:r w:rsidR="00C21DC8">
              <w:rPr>
                <w:rStyle w:val="FootnoteReference"/>
              </w:rPr>
              <w:footnoteReference w:id="2"/>
            </w:r>
            <w:r w:rsidR="004B1DDC" w:rsidRPr="004D2199">
              <w:t xml:space="preserve"> – 16</w:t>
            </w:r>
            <w:r w:rsidR="00C63564" w:rsidRPr="004D2199">
              <w:t>,</w:t>
            </w:r>
            <w:r w:rsidR="004B1DDC" w:rsidRPr="004D2199">
              <w:t xml:space="preserve">6%). </w:t>
            </w:r>
            <w:r w:rsidR="008F0395">
              <w:t xml:space="preserve">2013.gadā nabadzības riskam visvairāk pakļauti bija </w:t>
            </w:r>
            <w:r w:rsidR="008F0604">
              <w:t xml:space="preserve">bērni (24,3%), īpaši viena vecāka (41,1%) un daudzbērnu ģimenēs (27,7%), kā arī pirmspensijas un pensijas vecuma cilvēki (25,7% vecuma grupai 60+), īpaši pensionāri, kuri dzīvo vieni (51,1%). </w:t>
            </w:r>
            <w:r w:rsidR="00CF7538">
              <w:t>Jāuzsver, ka krīzes periodā, kad ienākumu atbalsts tika novirzīts lielāks, nabadzības riskam pakļauto iedzīvotāju īpatsvars samazinājās, tomēr līdz ar ekonomiskās situācijas uzlabošanos, situācija sāk tuvināties pirmskrīzes periodam, kad valstī līdz ar augstiem ekonomikas attīstības tempiem bija arī augsts nabadzības riska indekss. Arī i</w:t>
            </w:r>
            <w:r w:rsidR="004B1DDC" w:rsidRPr="004D2199">
              <w:t xml:space="preserve">enākumu nevienlīdzība Latvijā ir viena no augstākajām ES dalībvalstu vidū – S80/S20 ienākumu </w:t>
            </w:r>
            <w:proofErr w:type="spellStart"/>
            <w:r w:rsidR="004B1DDC" w:rsidRPr="004D2199">
              <w:t>kvintiļu</w:t>
            </w:r>
            <w:proofErr w:type="spellEnd"/>
            <w:r w:rsidR="004B1DDC" w:rsidRPr="004D2199">
              <w:t xml:space="preserve"> attiecības indekss 2013.</w:t>
            </w:r>
            <w:r w:rsidR="00955379">
              <w:t>gadā veidoja 6,</w:t>
            </w:r>
            <w:r w:rsidR="004B1DDC" w:rsidRPr="004D2199">
              <w:t>5, t.i., turīgāko iedzīvotāju ienākumi bija 6</w:t>
            </w:r>
            <w:r w:rsidR="00C63564" w:rsidRPr="004D2199">
              <w:t>,</w:t>
            </w:r>
            <w:r w:rsidR="004B1DDC" w:rsidRPr="004D2199">
              <w:t>5 reizes augstāki par nabadzīgāko iedzīvotāju ienākumiem (ES-28 – 5). Dziļi materiāli nenodrošināti Latvijā 2013.gadā bija 24% iedzīvot</w:t>
            </w:r>
            <w:r w:rsidR="00CB4035" w:rsidRPr="004D2199">
              <w:t>āji</w:t>
            </w:r>
            <w:r w:rsidR="004B1DDC" w:rsidRPr="004D2199">
              <w:t xml:space="preserve"> (ES-28 – 9</w:t>
            </w:r>
            <w:r w:rsidR="00C63564" w:rsidRPr="004D2199">
              <w:t>,</w:t>
            </w:r>
            <w:r w:rsidR="004B1DDC" w:rsidRPr="004D2199">
              <w:t>6%).</w:t>
            </w:r>
            <w:r w:rsidR="00CF7538">
              <w:t xml:space="preserve"> </w:t>
            </w:r>
          </w:p>
          <w:p w14:paraId="32A90625" w14:textId="77777777" w:rsidR="00CB4035" w:rsidRPr="004D2199" w:rsidRDefault="00C63564" w:rsidP="004B1DDC">
            <w:pPr>
              <w:autoSpaceDE w:val="0"/>
              <w:autoSpaceDN w:val="0"/>
              <w:adjustRightInd w:val="0"/>
              <w:jc w:val="both"/>
            </w:pPr>
            <w:r w:rsidRPr="004D2199">
              <w:t>Patlaban</w:t>
            </w:r>
            <w:r w:rsidR="006C5753" w:rsidRPr="004D2199">
              <w:t>, p</w:t>
            </w:r>
            <w:r w:rsidR="00CB4035" w:rsidRPr="004D2199">
              <w:t xml:space="preserve">lānojot un veidojot rīcībpolitikas, kas mērķētas uz indivīda minimālajiem ienākumiem, tiek izmantoti dažādi atskaites punkti, pret kuriem minimālo ienākumu apmēri tiek noteikti, jo Latvijā nepastāv vienots, metodoloģiski pamatots un esošajai sociālekonomiskajai situācijai atbilstošs minimālā ienākuma līmenis. </w:t>
            </w:r>
          </w:p>
          <w:p w14:paraId="195D92C2" w14:textId="77777777" w:rsidR="00AB6B20" w:rsidRPr="004D2199" w:rsidRDefault="00CB4035" w:rsidP="004B1DDC">
            <w:pPr>
              <w:autoSpaceDE w:val="0"/>
              <w:autoSpaceDN w:val="0"/>
              <w:adjustRightInd w:val="0"/>
              <w:jc w:val="both"/>
            </w:pPr>
            <w:r w:rsidRPr="004D2199">
              <w:t>2015.gadā</w:t>
            </w:r>
            <w:r w:rsidR="00AB6B20" w:rsidRPr="004D2199">
              <w:t xml:space="preserve"> Latvijā </w:t>
            </w:r>
            <w:r w:rsidRPr="004D2199">
              <w:t>tiek</w:t>
            </w:r>
            <w:r w:rsidR="00AB6B20" w:rsidRPr="004D2199">
              <w:t xml:space="preserve"> aprēķināti un noteikti </w:t>
            </w:r>
            <w:r w:rsidRPr="004D2199">
              <w:t>četri</w:t>
            </w:r>
            <w:r w:rsidR="00AB6B20" w:rsidRPr="004D2199">
              <w:t xml:space="preserve"> minimālā ienākuma līmeņi/nabadzības riska sliekšņi:</w:t>
            </w:r>
          </w:p>
          <w:p w14:paraId="35D3E3BC" w14:textId="77777777" w:rsidR="00AB6B20" w:rsidRPr="004D2199" w:rsidRDefault="00AB6B20" w:rsidP="00CB4035">
            <w:pPr>
              <w:jc w:val="both"/>
            </w:pPr>
            <w:r w:rsidRPr="004D2199">
              <w:t>1) </w:t>
            </w:r>
            <w:r w:rsidR="006E68BA" w:rsidRPr="004D2199">
              <w:t>garantētā minimālā ienākuma līmenis (GMI līmenis);</w:t>
            </w:r>
          </w:p>
          <w:p w14:paraId="1CD4732C" w14:textId="77777777" w:rsidR="00AB6B20" w:rsidRPr="004D2199" w:rsidRDefault="00CB4035" w:rsidP="00CB4035">
            <w:pPr>
              <w:jc w:val="both"/>
            </w:pPr>
            <w:r w:rsidRPr="004D2199">
              <w:t>2</w:t>
            </w:r>
            <w:r w:rsidR="00AB6B20" w:rsidRPr="004D2199">
              <w:t xml:space="preserve">)  </w:t>
            </w:r>
            <w:r w:rsidR="006E68BA" w:rsidRPr="004D2199">
              <w:t>trūcīgas personas statusam atbilstošs ienākumu līmenis (trūcīga persona);</w:t>
            </w:r>
          </w:p>
          <w:p w14:paraId="1D532A97" w14:textId="77777777" w:rsidR="00AB6B20" w:rsidRPr="004D2199" w:rsidRDefault="00AB6B20" w:rsidP="00CB4035">
            <w:pPr>
              <w:jc w:val="both"/>
            </w:pPr>
            <w:r w:rsidRPr="004D2199">
              <w:br w:type="page"/>
            </w:r>
            <w:r w:rsidR="00CB4035" w:rsidRPr="004D2199">
              <w:t>3</w:t>
            </w:r>
            <w:r w:rsidRPr="004D2199">
              <w:t>) </w:t>
            </w:r>
            <w:r w:rsidR="006E68BA" w:rsidRPr="004D2199">
              <w:t>maznodrošinātas personas statusam atbilstošs ienākumu līmenis (maznodrošināta persona);</w:t>
            </w:r>
          </w:p>
          <w:p w14:paraId="1A95A0E6" w14:textId="77777777" w:rsidR="00AB6B20" w:rsidRPr="004D2199" w:rsidRDefault="00CB4035" w:rsidP="00CB4035">
            <w:pPr>
              <w:jc w:val="both"/>
            </w:pPr>
            <w:r w:rsidRPr="004D2199">
              <w:t>4</w:t>
            </w:r>
            <w:r w:rsidR="00AB6B20" w:rsidRPr="004D2199">
              <w:t>) </w:t>
            </w:r>
            <w:r w:rsidRPr="004D2199">
              <w:t>ES</w:t>
            </w:r>
            <w:r w:rsidR="00AB6B20" w:rsidRPr="004D2199">
              <w:t xml:space="preserve"> līmenī noteiktais nabadzības riska slieksnis (nabadzības riska slieksnis).</w:t>
            </w:r>
          </w:p>
          <w:p w14:paraId="794A5A50" w14:textId="77777777" w:rsidR="00786BA5" w:rsidRPr="004D2199" w:rsidRDefault="00AB6B20" w:rsidP="00CB4035">
            <w:pPr>
              <w:autoSpaceDE w:val="0"/>
              <w:autoSpaceDN w:val="0"/>
              <w:adjustRightInd w:val="0"/>
              <w:jc w:val="both"/>
            </w:pPr>
            <w:r w:rsidRPr="004D2199">
              <w:t xml:space="preserve">Nacionālā līmenī normatīvajos aktos </w:t>
            </w:r>
            <w:r w:rsidR="00A130D4" w:rsidRPr="004D2199">
              <w:t>noteiktie</w:t>
            </w:r>
            <w:r w:rsidRPr="004D2199">
              <w:t xml:space="preserve"> minimālie ienākumu līmeņi </w:t>
            </w:r>
            <w:r w:rsidR="00CB4035" w:rsidRPr="004D2199">
              <w:t xml:space="preserve">(trūcīgas un maznodrošinātas personas un GMI līmenis) </w:t>
            </w:r>
            <w:r w:rsidRPr="004D2199">
              <w:t xml:space="preserve">ir noteikti, nevis pamatojoties uz konkrētu aprēķina metodoloģiju, bet ņemot vērā valsts un </w:t>
            </w:r>
            <w:r w:rsidRPr="004D2199">
              <w:lastRenderedPageBreak/>
              <w:t xml:space="preserve">pašvaldību finansiālās iespējas konkrētajā brīdī. </w:t>
            </w:r>
            <w:r w:rsidR="00CB4035" w:rsidRPr="004D2199">
              <w:t xml:space="preserve">2015.gadā GMI līmenis </w:t>
            </w:r>
            <w:r w:rsidR="00786BA5" w:rsidRPr="004D2199">
              <w:t xml:space="preserve">personai </w:t>
            </w:r>
            <w:r w:rsidR="00CB4035" w:rsidRPr="004D2199">
              <w:t>ir 49,80 eiro mēnesī</w:t>
            </w:r>
            <w:r w:rsidR="00A130D4" w:rsidRPr="004D2199">
              <w:t xml:space="preserve"> (zemāks GMI līmenis bija līdz 2008.gadam)</w:t>
            </w:r>
            <w:r w:rsidR="00786BA5" w:rsidRPr="004D2199">
              <w:t xml:space="preserve">. </w:t>
            </w:r>
          </w:p>
          <w:p w14:paraId="3477A932" w14:textId="77777777" w:rsidR="0087690B" w:rsidRPr="004D2199" w:rsidRDefault="00786BA5" w:rsidP="00CB4035">
            <w:pPr>
              <w:autoSpaceDE w:val="0"/>
              <w:autoSpaceDN w:val="0"/>
              <w:adjustRightInd w:val="0"/>
              <w:jc w:val="both"/>
            </w:pPr>
            <w:r w:rsidRPr="004D2199">
              <w:t xml:space="preserve">2015.gadā </w:t>
            </w:r>
            <w:r w:rsidR="00610BE9" w:rsidRPr="004D2199">
              <w:t>trūcīgas personas statusam atbilstošs ienākumu līmenis</w:t>
            </w:r>
            <w:r w:rsidR="00CB4035" w:rsidRPr="004D2199">
              <w:t xml:space="preserve"> </w:t>
            </w:r>
            <w:r w:rsidR="00610BE9" w:rsidRPr="004D2199">
              <w:t>ir 128,06 eiro mēnesī</w:t>
            </w:r>
            <w:r w:rsidR="00A130D4" w:rsidRPr="004D2199">
              <w:t xml:space="preserve"> (nemainīgs kopš 2011.gada)</w:t>
            </w:r>
            <w:r w:rsidR="00610BE9" w:rsidRPr="004D2199">
              <w:t xml:space="preserve">. </w:t>
            </w:r>
          </w:p>
          <w:p w14:paraId="6DA2BFFF" w14:textId="77777777" w:rsidR="00A130D4" w:rsidRPr="004D2199" w:rsidRDefault="0087690B" w:rsidP="00A130D4">
            <w:pPr>
              <w:autoSpaceDE w:val="0"/>
              <w:autoSpaceDN w:val="0"/>
              <w:adjustRightInd w:val="0"/>
              <w:jc w:val="both"/>
            </w:pPr>
            <w:r w:rsidRPr="004D2199">
              <w:t>Maznodrošinātas personas statusam atbilstoši</w:t>
            </w:r>
            <w:r w:rsidR="00A130D4" w:rsidRPr="004D2199">
              <w:t>e</w:t>
            </w:r>
            <w:r w:rsidRPr="004D2199">
              <w:t xml:space="preserve"> ienākumu līmeņi ir diferencēti saskaņā ar pašvaldību saistošajiem noteikumiem, taču tie nedrīkst būt zemāki par trūcīgas personas statusam atbilstošu ienākumu līmeni, t.i., 128,06 eiro mēnesī.</w:t>
            </w:r>
            <w:r w:rsidR="00A130D4" w:rsidRPr="004D2199">
              <w:t xml:space="preserve"> Atbilstoši Valsts kontroles 2014.gada revīzijas Nr.2.4.1-4/2014 </w:t>
            </w:r>
            <w:r w:rsidR="00A130D4" w:rsidRPr="004D2199">
              <w:rPr>
                <w:bCs/>
              </w:rPr>
              <w:t xml:space="preserve">«Pašvaldību sniegtās sociālās palīdzības tiesiskums un efektivitāte» secinājumiem, </w:t>
            </w:r>
            <w:r w:rsidR="00116D7C" w:rsidRPr="004D2199">
              <w:rPr>
                <w:bCs/>
              </w:rPr>
              <w:t>2014.gadā 37 pašvaldības (31%) nav ieviesušas maznodrošinātās personas statusu un 82 jeb 69% to ir noteikušas no 142 līdz 356 eiro mēnesī. Tādējādi ģimenēm ar līdzvērtīgu ienākumu un materiālā stāvokļa līmeni nav vien</w:t>
            </w:r>
            <w:r w:rsidR="00A9219C" w:rsidRPr="004D2199">
              <w:rPr>
                <w:bCs/>
              </w:rPr>
              <w:t>līdzīgu</w:t>
            </w:r>
            <w:r w:rsidR="00116D7C" w:rsidRPr="004D2199">
              <w:rPr>
                <w:bCs/>
              </w:rPr>
              <w:t xml:space="preserve"> tiesību saņemt normatīvajos aktos paredzētos tiesiskos labumus</w:t>
            </w:r>
            <w:r w:rsidR="00A9219C" w:rsidRPr="004D2199">
              <w:rPr>
                <w:bCs/>
              </w:rPr>
              <w:t xml:space="preserve">, piemēram, </w:t>
            </w:r>
            <w:r w:rsidR="004A616A" w:rsidRPr="004D2199">
              <w:rPr>
                <w:bCs/>
              </w:rPr>
              <w:t>elektroenerģijas pabalstu</w:t>
            </w:r>
            <w:r w:rsidR="00116D7C" w:rsidRPr="004D2199">
              <w:rPr>
                <w:bCs/>
              </w:rPr>
              <w:t xml:space="preserve">. </w:t>
            </w:r>
          </w:p>
          <w:p w14:paraId="17AC9BDD" w14:textId="77777777" w:rsidR="00AB6B20" w:rsidRPr="004D2199" w:rsidRDefault="0087690B" w:rsidP="00CB4035">
            <w:pPr>
              <w:autoSpaceDE w:val="0"/>
              <w:autoSpaceDN w:val="0"/>
              <w:adjustRightInd w:val="0"/>
              <w:jc w:val="both"/>
            </w:pPr>
            <w:r w:rsidRPr="004D2199">
              <w:t xml:space="preserve">Bez konkrētas minimālo ienākumu līmeņu metodoloģijas aprēķina </w:t>
            </w:r>
            <w:r w:rsidR="00AB6B20" w:rsidRPr="004D2199">
              <w:t xml:space="preserve">nepastāv skaidra </w:t>
            </w:r>
            <w:r w:rsidRPr="004D2199">
              <w:t xml:space="preserve">arī </w:t>
            </w:r>
            <w:r w:rsidR="00AB6B20" w:rsidRPr="004D2199">
              <w:t xml:space="preserve">šo </w:t>
            </w:r>
            <w:r w:rsidR="00EA05FF" w:rsidRPr="004D2199">
              <w:t xml:space="preserve">minimālo ienākumu </w:t>
            </w:r>
            <w:r w:rsidR="00AB6B20" w:rsidRPr="004D2199">
              <w:t xml:space="preserve">līmeņu </w:t>
            </w:r>
            <w:r w:rsidR="005B0227">
              <w:t xml:space="preserve">pārskatīšanas un </w:t>
            </w:r>
            <w:r w:rsidR="00AB6B20" w:rsidRPr="004D2199">
              <w:t xml:space="preserve">indeksācijas kārtība. Tomēr tie dod iespēju personām kvalificēties dažādu pakalpojumu un pabalstu saņemšanai, piemēram, pabalsta GMI līmeņa nodrošināšanai, atvieglojumiem trūcīgām personām dažādu pakalpojumu pieejamībai. </w:t>
            </w:r>
            <w:r w:rsidRPr="004D2199">
              <w:t xml:space="preserve">Nabadzības riska slieksnis </w:t>
            </w:r>
            <w:r w:rsidR="00AB6B20" w:rsidRPr="004D2199">
              <w:t>nav normatīvajos aktos definēt</w:t>
            </w:r>
            <w:r w:rsidR="00CB4035" w:rsidRPr="004D2199">
              <w:t>s</w:t>
            </w:r>
            <w:r w:rsidRPr="004D2199">
              <w:t>, taču tas tiek aprēķināts</w:t>
            </w:r>
            <w:r w:rsidR="00AB6B20" w:rsidRPr="004D2199">
              <w:t xml:space="preserve">, pamatojoties uz </w:t>
            </w:r>
            <w:r w:rsidRPr="004D2199">
              <w:t>noteiktu</w:t>
            </w:r>
            <w:r w:rsidR="00AB6B20" w:rsidRPr="004D2199">
              <w:t xml:space="preserve"> metodoloģiju, un to pārsvarā izmanto statistiskiem nolūkiem, nevis palīdzības un atbalsta sniegšanai iedzīvotājiem.</w:t>
            </w:r>
            <w:r w:rsidR="00CB4035" w:rsidRPr="004D2199">
              <w:t xml:space="preserve"> </w:t>
            </w:r>
          </w:p>
          <w:p w14:paraId="53E43B6F" w14:textId="77777777" w:rsidR="00AB6B20" w:rsidRPr="004D2199" w:rsidRDefault="00AB6B20" w:rsidP="0087690B">
            <w:pPr>
              <w:autoSpaceDE w:val="0"/>
              <w:autoSpaceDN w:val="0"/>
              <w:adjustRightInd w:val="0"/>
              <w:jc w:val="both"/>
            </w:pPr>
            <w:r w:rsidRPr="004D2199">
              <w:t>Būtiskākās problēmas, pastāvot dažādajiem minimālo ienākumu līmeņiem/nabadzības riska sliekšņiem:</w:t>
            </w:r>
          </w:p>
          <w:p w14:paraId="75C8FC78" w14:textId="77777777" w:rsidR="00AB6B20" w:rsidRPr="004D2199" w:rsidRDefault="00AB6B20" w:rsidP="00AB6B20">
            <w:pPr>
              <w:autoSpaceDE w:val="0"/>
              <w:autoSpaceDN w:val="0"/>
              <w:adjustRightInd w:val="0"/>
              <w:ind w:firstLine="709"/>
              <w:jc w:val="both"/>
              <w:rPr>
                <w:rStyle w:val="CommentReference"/>
                <w:sz w:val="24"/>
                <w:szCs w:val="24"/>
              </w:rPr>
            </w:pPr>
            <w:r w:rsidRPr="004D2199">
              <w:t xml:space="preserve">– nav iespējams izstrādāt </w:t>
            </w:r>
            <w:r w:rsidRPr="004D2199">
              <w:rPr>
                <w:rStyle w:val="CommentReference"/>
                <w:sz w:val="24"/>
                <w:szCs w:val="24"/>
              </w:rPr>
              <w:t>mērķtiecīgu un izmērāmu politiku, jo resursi netiek koncentrēti mērķa sasniegšanai;</w:t>
            </w:r>
          </w:p>
          <w:p w14:paraId="3A8A7E0E" w14:textId="77777777" w:rsidR="00AB6B20" w:rsidRPr="004D2199" w:rsidRDefault="00AB6B20" w:rsidP="00AB6B20">
            <w:pPr>
              <w:autoSpaceDE w:val="0"/>
              <w:autoSpaceDN w:val="0"/>
              <w:adjustRightInd w:val="0"/>
              <w:ind w:firstLine="709"/>
              <w:jc w:val="both"/>
              <w:rPr>
                <w:color w:val="000000"/>
              </w:rPr>
            </w:pPr>
            <w:r w:rsidRPr="004D2199">
              <w:t>– atšķirīgas interpretācijas iespējas. Pastāvot dažādiem minimālo ienākumu līmeņiem ar atšķirīgu to izmantošanas nolūku, nabadzības problēmas atspoguļošanai tiek izmantoti dažādi rādītāji. Tādējādi katra ieinteresētā puse (piemēram, plašsaziņas līdzekļi, iedzīvotāji, valsts un pašvaldību institūcijas, NVO) izmanto to rādītāju, ko tā uzskata par piemērotu konkrētam gadījumam, atbilstošu esošajai sociālekonomiskajai situācijai, kā arī izpratnei par noteiktā rādītāja aprēķināšanas metodi un noteikšanas vai piemērošanas mērķi;</w:t>
            </w:r>
          </w:p>
          <w:p w14:paraId="6E12BFAB" w14:textId="77777777" w:rsidR="00AB6B20" w:rsidRPr="004D2199" w:rsidRDefault="00AB6B20" w:rsidP="00AB6B20">
            <w:pPr>
              <w:autoSpaceDE w:val="0"/>
              <w:autoSpaceDN w:val="0"/>
              <w:adjustRightInd w:val="0"/>
              <w:ind w:firstLine="709"/>
              <w:jc w:val="both"/>
              <w:rPr>
                <w:color w:val="000000"/>
              </w:rPr>
            </w:pPr>
            <w:r w:rsidRPr="004D2199">
              <w:t xml:space="preserve">– minimālo ienākumu līmeņu noteikšanas metodoloģijas trūkuma dēļ nevar sniegt argumentus par to pamatotību un adekvātumu.  </w:t>
            </w:r>
          </w:p>
          <w:p w14:paraId="604FE221" w14:textId="77777777" w:rsidR="00AB6B20" w:rsidRPr="004D2199" w:rsidRDefault="00AB6B20" w:rsidP="00AB6B20">
            <w:pPr>
              <w:autoSpaceDE w:val="0"/>
              <w:autoSpaceDN w:val="0"/>
              <w:adjustRightInd w:val="0"/>
              <w:ind w:firstLine="720"/>
              <w:jc w:val="both"/>
            </w:pPr>
            <w:r w:rsidRPr="004D2199">
              <w:t xml:space="preserve">Sociālās drošības sistēmas ietvaros ne valsts, ne </w:t>
            </w:r>
            <w:r w:rsidRPr="004D2199">
              <w:lastRenderedPageBreak/>
              <w:t>pašvaldību sociālie transferti nav pietiekami mērķēti, lai trūcīgajiem iedzīvotājiem novērstu nabadzības risku un mazinātu nabadzības dziļumu. Pēc valsts un pašvaldību sociālo transfertu</w:t>
            </w:r>
            <w:r w:rsidRPr="004D2199">
              <w:rPr>
                <w:rStyle w:val="FootnoteReference"/>
              </w:rPr>
              <w:footnoteReference w:id="3"/>
            </w:r>
            <w:r w:rsidRPr="004D2199">
              <w:t xml:space="preserve"> saņemšanas 96,9 procentos gadījumu nabadzīgākie iedzīvotāji (1. </w:t>
            </w:r>
            <w:proofErr w:type="spellStart"/>
            <w:r w:rsidRPr="004D2199">
              <w:t>kvintile</w:t>
            </w:r>
            <w:proofErr w:type="spellEnd"/>
            <w:r w:rsidRPr="004D2199">
              <w:t xml:space="preserve"> ar vidējiem ienākumiem 1</w:t>
            </w:r>
            <w:r w:rsidR="00ED2D0D" w:rsidRPr="004D2199">
              <w:t>24</w:t>
            </w:r>
            <w:r w:rsidRPr="004D2199">
              <w:t>,</w:t>
            </w:r>
            <w:r w:rsidR="00ED2D0D" w:rsidRPr="004D2199">
              <w:t>94</w:t>
            </w:r>
            <w:r w:rsidRPr="004D2199">
              <w:t xml:space="preserve"> </w:t>
            </w:r>
            <w:r w:rsidR="00700736" w:rsidRPr="004D2199">
              <w:rPr>
                <w:i/>
              </w:rPr>
              <w:t>eiro</w:t>
            </w:r>
            <w:r w:rsidRPr="004D2199">
              <w:t xml:space="preserve"> </w:t>
            </w:r>
            <w:r w:rsidRPr="004D2199">
              <w:rPr>
                <w:rStyle w:val="Strong"/>
                <w:b w:val="0"/>
              </w:rPr>
              <w:t>uz vienu mājsaimniecības locekli mēnesī</w:t>
            </w:r>
            <w:r w:rsidRPr="004D2199">
              <w:t xml:space="preserve">) aizvien atrodas uz nabadzības riska robežas. Tas liecina, ka sociālo transfertu apmēri ir nepietiekami, lai mazinātu iedzīvotāju nabadzību. </w:t>
            </w:r>
          </w:p>
          <w:p w14:paraId="493CCFC8" w14:textId="3CFC013A" w:rsidR="00F317E7" w:rsidRDefault="00F317E7" w:rsidP="00AB6B20">
            <w:pPr>
              <w:autoSpaceDE w:val="0"/>
              <w:autoSpaceDN w:val="0"/>
              <w:adjustRightInd w:val="0"/>
              <w:ind w:firstLine="720"/>
              <w:jc w:val="both"/>
            </w:pPr>
            <w:r>
              <w:t>Saskaņā ar Eurostat datiem, Latvijā to izdevumu, kas mērķēti tieši nabadzības riskam pakļauto iedzīvotāju sociālās atstumtības mazināšanai, apmērs uz vienu iedzīvotāju ir viens no zemākajiem ES - 2012.gadā tas bija 32,08 pēc pirktspējas paritātes standarta</w:t>
            </w:r>
            <w:r>
              <w:rPr>
                <w:rStyle w:val="FootnoteReference"/>
              </w:rPr>
              <w:footnoteReference w:id="4"/>
            </w:r>
            <w:r>
              <w:t>, kas ir tikai 29,3% no ES-28 vidējā rādītāja.</w:t>
            </w:r>
          </w:p>
          <w:p w14:paraId="73A2F21D" w14:textId="4ED70CD2" w:rsidR="00826A1F" w:rsidRPr="00C3578B" w:rsidRDefault="00826A1F" w:rsidP="00AB6B20">
            <w:pPr>
              <w:autoSpaceDE w:val="0"/>
              <w:autoSpaceDN w:val="0"/>
              <w:adjustRightInd w:val="0"/>
              <w:ind w:firstLine="720"/>
              <w:jc w:val="both"/>
            </w:pPr>
            <w:r w:rsidRPr="004D2199">
              <w:t>Arī kopējais izdevumu īpatsv</w:t>
            </w:r>
            <w:r w:rsidR="004A616A" w:rsidRPr="004D2199">
              <w:t>ars sociālajai aizsardzībai no I</w:t>
            </w:r>
            <w:r w:rsidRPr="004D2199">
              <w:t xml:space="preserve">KP salīdzinājumā ar citām ES valstīm </w:t>
            </w:r>
            <w:r w:rsidR="00F23CAB" w:rsidRPr="004D2199">
              <w:t xml:space="preserve">Latvijā ir viens no zemākajiem - </w:t>
            </w:r>
            <w:r w:rsidR="00B24E72" w:rsidRPr="004D2199">
              <w:t>14</w:t>
            </w:r>
            <w:r w:rsidRPr="004D2199">
              <w:t xml:space="preserve"> %</w:t>
            </w:r>
            <w:r w:rsidR="00F23CAB" w:rsidRPr="004D2199">
              <w:t xml:space="preserve"> 2012.gadā</w:t>
            </w:r>
            <w:r w:rsidRPr="004D2199">
              <w:t>, vidēji ES</w:t>
            </w:r>
            <w:r w:rsidR="00B24E72" w:rsidRPr="004D2199">
              <w:t>-28</w:t>
            </w:r>
            <w:r w:rsidRPr="004D2199">
              <w:t xml:space="preserve"> – </w:t>
            </w:r>
            <w:r w:rsidR="00B24E72" w:rsidRPr="004D2199">
              <w:t>29,5</w:t>
            </w:r>
            <w:r w:rsidRPr="004D2199">
              <w:t xml:space="preserve"> %, L</w:t>
            </w:r>
            <w:r w:rsidR="00B24E72" w:rsidRPr="004D2199">
              <w:t xml:space="preserve">ietuvā – 16,5 % un Igaunijā – 15,4 </w:t>
            </w:r>
            <w:r w:rsidRPr="004D2199">
              <w:t xml:space="preserve">%. Tas </w:t>
            </w:r>
            <w:r w:rsidRPr="00C3578B">
              <w:t xml:space="preserve">tiek uzsvērts arī Eiropas Semestra ietvaros Latvijai </w:t>
            </w:r>
            <w:r w:rsidR="00876796" w:rsidRPr="00C3578B">
              <w:t>sniegtajos</w:t>
            </w:r>
            <w:r w:rsidRPr="00C3578B">
              <w:t xml:space="preserve"> </w:t>
            </w:r>
            <w:r w:rsidR="00876796" w:rsidRPr="00C3578B">
              <w:t>ieteikumos</w:t>
            </w:r>
            <w:r w:rsidRPr="00C3578B">
              <w:t>.</w:t>
            </w:r>
            <w:r w:rsidR="00F317E7">
              <w:t xml:space="preserve"> </w:t>
            </w:r>
          </w:p>
          <w:p w14:paraId="5E5F90FC" w14:textId="1AC1DCC4" w:rsidR="00C3578B" w:rsidRPr="00C3578B" w:rsidRDefault="00C3578B" w:rsidP="00C3578B">
            <w:pPr>
              <w:autoSpaceDE w:val="0"/>
              <w:autoSpaceDN w:val="0"/>
              <w:adjustRightInd w:val="0"/>
              <w:jc w:val="both"/>
            </w:pPr>
            <w:r w:rsidRPr="00C3578B">
              <w:t xml:space="preserve">Šeit ir būtiski uzsvērt, </w:t>
            </w:r>
            <w:r w:rsidR="00697B6B" w:rsidRPr="00C3578B">
              <w:t>ka soc</w:t>
            </w:r>
            <w:r w:rsidRPr="00C3578B">
              <w:t>iālā</w:t>
            </w:r>
            <w:r w:rsidR="00697B6B" w:rsidRPr="00C3578B">
              <w:t xml:space="preserve"> drošība nav vienīgā</w:t>
            </w:r>
            <w:r w:rsidRPr="00C3578B">
              <w:t xml:space="preserve"> sistēma</w:t>
            </w:r>
            <w:r w:rsidR="00697B6B" w:rsidRPr="00C3578B">
              <w:t xml:space="preserve">, kas nodrošina cilvēkiem </w:t>
            </w:r>
            <w:r w:rsidRPr="00C3578B">
              <w:t>noteikta veida atbalstu. Vienlīdz svarīgi</w:t>
            </w:r>
            <w:r w:rsidR="00697B6B" w:rsidRPr="00C3578B">
              <w:t xml:space="preserve"> </w:t>
            </w:r>
            <w:r w:rsidRPr="00C3578B">
              <w:t>ir</w:t>
            </w:r>
            <w:r w:rsidR="00697B6B" w:rsidRPr="00C3578B">
              <w:t xml:space="preserve"> </w:t>
            </w:r>
            <w:r w:rsidRPr="00C3578B">
              <w:t>turpināt pilnveidot tās rīcībpolitikas</w:t>
            </w:r>
            <w:r w:rsidR="00697B6B" w:rsidRPr="00C3578B">
              <w:t xml:space="preserve">, </w:t>
            </w:r>
            <w:r w:rsidRPr="00C3578B">
              <w:t xml:space="preserve">kas vērstas uz </w:t>
            </w:r>
            <w:r>
              <w:t>to, lai iedzīvotāji</w:t>
            </w:r>
            <w:r w:rsidRPr="00C3578B">
              <w:t xml:space="preserve"> gūtu pietiekamus ienākumus </w:t>
            </w:r>
            <w:r w:rsidR="00697B6B" w:rsidRPr="00C3578B">
              <w:t>darba tirgū</w:t>
            </w:r>
            <w:r w:rsidRPr="00C3578B">
              <w:t>, pēc iespēj</w:t>
            </w:r>
            <w:r w:rsidR="00697B6B" w:rsidRPr="00C3578B">
              <w:t>as mazin</w:t>
            </w:r>
            <w:r w:rsidRPr="00C3578B">
              <w:t>o</w:t>
            </w:r>
            <w:r w:rsidR="00697B6B" w:rsidRPr="00C3578B">
              <w:t xml:space="preserve">t cilvēku ilgstošu atrašanos ārpus darba tirgus. </w:t>
            </w:r>
          </w:p>
          <w:p w14:paraId="4D2F327A" w14:textId="069C32CF" w:rsidR="00460A3D" w:rsidRPr="004D2199" w:rsidRDefault="00697B6B" w:rsidP="00C3578B">
            <w:pPr>
              <w:autoSpaceDE w:val="0"/>
              <w:autoSpaceDN w:val="0"/>
              <w:adjustRightInd w:val="0"/>
              <w:jc w:val="both"/>
            </w:pPr>
            <w:r w:rsidRPr="00C3578B">
              <w:t xml:space="preserve">Minētais sasaucas ar to, ka </w:t>
            </w:r>
            <w:r w:rsidR="00AB6B20" w:rsidRPr="00C3578B">
              <w:t>Latvijā viens no nabadzības riska cēloņiem ir jau vairākus gadus pastāvošā augstā ienākumu nevienlīdzība. Darbaspēka nodokļu slogs zemu atalgotajiem strādājošajiem</w:t>
            </w:r>
            <w:r w:rsidR="00AB6B20" w:rsidRPr="004D2199">
              <w:t xml:space="preserve"> ir pārlieku augsts</w:t>
            </w:r>
            <w:r w:rsidR="00AB6B20" w:rsidRPr="004D2199">
              <w:rPr>
                <w:rStyle w:val="FootnoteReference"/>
              </w:rPr>
              <w:footnoteReference w:id="5"/>
            </w:r>
            <w:r w:rsidR="00ED2D0D" w:rsidRPr="004D2199">
              <w:t xml:space="preserve">. </w:t>
            </w:r>
            <w:r w:rsidR="00460A3D" w:rsidRPr="004D2199">
              <w:t>Iedzīvotāju ienākuma nodokļa</w:t>
            </w:r>
            <w:r w:rsidR="00C3578B">
              <w:t xml:space="preserve"> (turpmāk – IIN)</w:t>
            </w:r>
            <w:r w:rsidR="0087690B" w:rsidRPr="004D2199">
              <w:t xml:space="preserve"> </w:t>
            </w:r>
            <w:r w:rsidR="00EA05FF" w:rsidRPr="004D2199">
              <w:t>neapliekam</w:t>
            </w:r>
            <w:r w:rsidR="00ED2D0D" w:rsidRPr="004D2199">
              <w:t>ā</w:t>
            </w:r>
            <w:r w:rsidR="00EA05FF" w:rsidRPr="004D2199">
              <w:t xml:space="preserve"> minimum</w:t>
            </w:r>
            <w:r w:rsidR="00ED2D0D" w:rsidRPr="004D2199">
              <w:t xml:space="preserve">a apmērs </w:t>
            </w:r>
            <w:r w:rsidR="00460A3D" w:rsidRPr="004D2199">
              <w:t xml:space="preserve">tiek noteikts, izvērtējot tā palielināšanas ietekmi uz dažādām mājsaimniecību grupām, un potenciālās valsts budžeta fiskālās iespējas. Tādējādi tas nav </w:t>
            </w:r>
            <w:r w:rsidR="00E41AD1" w:rsidRPr="004D2199">
              <w:t>vērtēts pret</w:t>
            </w:r>
            <w:r w:rsidR="00460A3D" w:rsidRPr="004D2199">
              <w:t xml:space="preserve"> minimālā ienākuma līmeni, un </w:t>
            </w:r>
            <w:r w:rsidR="00ED2D0D" w:rsidRPr="004D2199">
              <w:t xml:space="preserve">ir pārāk zems, </w:t>
            </w:r>
            <w:r w:rsidR="00331059" w:rsidRPr="004D2199">
              <w:t>kā</w:t>
            </w:r>
            <w:r w:rsidR="00EA05FF" w:rsidRPr="004D2199">
              <w:t xml:space="preserve"> </w:t>
            </w:r>
            <w:r w:rsidR="00331059" w:rsidRPr="004D2199">
              <w:t>rezultātā strādājošie ar zemu atalgojumu ir pakļauti nabadzības riskam</w:t>
            </w:r>
            <w:r w:rsidR="00AB6B20" w:rsidRPr="004D2199">
              <w:t>.</w:t>
            </w:r>
          </w:p>
          <w:p w14:paraId="26B05A8C" w14:textId="77777777" w:rsidR="0018503F" w:rsidRPr="00F600B6" w:rsidRDefault="0018503F" w:rsidP="0018503F">
            <w:pPr>
              <w:jc w:val="both"/>
              <w:rPr>
                <w:iCs/>
              </w:rPr>
            </w:pPr>
            <w:r w:rsidRPr="00F600B6">
              <w:rPr>
                <w:iCs/>
              </w:rPr>
              <w:t>Minimālā ienākuma līmeņa noteikšana ir svarīga un nepieciešama, jo:</w:t>
            </w:r>
          </w:p>
          <w:p w14:paraId="568E79BC" w14:textId="5C3A4282" w:rsidR="0018503F" w:rsidRPr="00F600B6" w:rsidRDefault="000C26BD" w:rsidP="0018503F">
            <w:pPr>
              <w:numPr>
                <w:ilvl w:val="0"/>
                <w:numId w:val="11"/>
              </w:numPr>
              <w:jc w:val="both"/>
            </w:pPr>
            <w:r>
              <w:t>n</w:t>
            </w:r>
            <w:r w:rsidR="0018503F" w:rsidRPr="00F600B6">
              <w:t xml:space="preserve">emainīgi augstie ienākumu nevienlīdzības rādītāji un nabadzības riskam pakļauto iedzīvotāju </w:t>
            </w:r>
            <w:r w:rsidR="0018503F" w:rsidRPr="00F600B6">
              <w:lastRenderedPageBreak/>
              <w:t>īpatsvars ne tikai negatīvi ietekmē iedzīvotāju dzīves kvalitāti (nespēja apmierināt pamatvajadzības, apgrūtināta vai ierobežota pieeja pakalpojumiem u.c.), bet rada arī nevēlamu ietekmi uz tautsaimniecības attīstību (saražotā IKP apjoms samazinās, jo netiek pilnā mērā izmantots darbspējas vecuma cilvēku potenciāls), demogrāfisko attīstību (iedzīvotāju emigrācija, zema dzimstība), indivīdu drošību</w:t>
            </w:r>
            <w:r w:rsidR="00C33AD0">
              <w:t xml:space="preserve"> (noziedzī</w:t>
            </w:r>
            <w:r w:rsidR="00943726">
              <w:t>ba</w:t>
            </w:r>
            <w:r w:rsidR="00C33AD0">
              <w:t>)</w:t>
            </w:r>
            <w:r w:rsidR="00943726">
              <w:t xml:space="preserve"> un vesel</w:t>
            </w:r>
            <w:r w:rsidR="00C6071A">
              <w:t>ību</w:t>
            </w:r>
            <w:r w:rsidR="0018503F" w:rsidRPr="00F600B6">
              <w:t xml:space="preserve">; </w:t>
            </w:r>
          </w:p>
          <w:p w14:paraId="32E10913" w14:textId="77777777" w:rsidR="0018503F" w:rsidRPr="00F600B6" w:rsidRDefault="0018503F" w:rsidP="0018503F">
            <w:pPr>
              <w:numPr>
                <w:ilvl w:val="0"/>
                <w:numId w:val="11"/>
              </w:numPr>
              <w:jc w:val="both"/>
            </w:pPr>
            <w:r w:rsidRPr="00F600B6">
              <w:t>grūtības izpildīt Latvijas valdības politiskās apņemšanās samazināt nabadzību, tādējādi vēl vairāk pazeminot uzticības līmeni Saeimai, valdībai un valsts pārvaldei;</w:t>
            </w:r>
          </w:p>
          <w:p w14:paraId="31DA0A44" w14:textId="643C014F" w:rsidR="00A822E2" w:rsidRDefault="009C3365" w:rsidP="00A822E2">
            <w:pPr>
              <w:numPr>
                <w:ilvl w:val="0"/>
                <w:numId w:val="11"/>
              </w:numPr>
              <w:jc w:val="both"/>
            </w:pPr>
            <w:r>
              <w:t xml:space="preserve">netiek pildīti </w:t>
            </w:r>
            <w:r w:rsidR="0018503F" w:rsidRPr="00F600B6">
              <w:t>Eiropas Padomes ieteikumi nabadzības mazināšanas jomā;</w:t>
            </w:r>
          </w:p>
          <w:p w14:paraId="0F288205" w14:textId="14C8A37B" w:rsidR="0018503F" w:rsidRDefault="0018503F" w:rsidP="00A822E2">
            <w:pPr>
              <w:numPr>
                <w:ilvl w:val="0"/>
                <w:numId w:val="11"/>
              </w:numPr>
              <w:jc w:val="both"/>
            </w:pPr>
            <w:r w:rsidRPr="00F600B6">
              <w:t xml:space="preserve">citu starptautisko institūciju (piemēram, Starptautiskais Valūtas fonds, Globālās konkurētspējas indekss, dažādas starptautiska līmeņa </w:t>
            </w:r>
            <w:proofErr w:type="spellStart"/>
            <w:r w:rsidRPr="00F600B6">
              <w:t>domnīcas</w:t>
            </w:r>
            <w:proofErr w:type="spellEnd"/>
            <w:r w:rsidRPr="00F600B6">
              <w:t xml:space="preserve"> u.c.) un pētnieku kritiskais vērtējums par valsts sociālekonomisko situāciju un tā ietekmi uz konkurētspēju, tā rezultātā zaudējot investīciju piesaistes un eksporta iespējas.</w:t>
            </w:r>
          </w:p>
          <w:p w14:paraId="2010C113" w14:textId="77777777" w:rsidR="00E96815" w:rsidRDefault="00131DA1" w:rsidP="0018503F">
            <w:pPr>
              <w:autoSpaceDE w:val="0"/>
              <w:autoSpaceDN w:val="0"/>
              <w:adjustRightInd w:val="0"/>
              <w:ind w:firstLine="720"/>
              <w:jc w:val="both"/>
              <w:rPr>
                <w:shd w:val="clear" w:color="auto" w:fill="FFFFFF"/>
              </w:rPr>
            </w:pPr>
            <w:r w:rsidRPr="0018503F">
              <w:t>Likumprojekta</w:t>
            </w:r>
            <w:r w:rsidRPr="0018503F">
              <w:rPr>
                <w:b/>
                <w:shd w:val="clear" w:color="auto" w:fill="FFFFFF"/>
              </w:rPr>
              <w:t xml:space="preserve"> mērķis</w:t>
            </w:r>
            <w:r w:rsidRPr="004D2199">
              <w:rPr>
                <w:shd w:val="clear" w:color="auto" w:fill="FFFFFF"/>
              </w:rPr>
              <w:t xml:space="preserve"> - noteikt metodoloģiski pamatotu un sociālekonomiskajai situācijai atbilstošu minimālā ienākuma līmeni, kas kalpotu par atskaites punktu sociālās drošības sistēmas jomu (valsts sociālie pabalsti, sociālā apdrošināšana, sociālā palīdzība) ietvaros noteikto a</w:t>
            </w:r>
            <w:r w:rsidR="009B0CB0" w:rsidRPr="004D2199">
              <w:rPr>
                <w:shd w:val="clear" w:color="auto" w:fill="FFFFFF"/>
              </w:rPr>
              <w:t xml:space="preserve">tbalsta pasākumu pilnveidošanai, kā arī ar iedzīvotāju ienākuma nodokli neapliekamā minimuma </w:t>
            </w:r>
            <w:r w:rsidR="00E96815" w:rsidRPr="00F23CAB">
              <w:rPr>
                <w:shd w:val="clear" w:color="auto" w:fill="FFFFFF"/>
              </w:rPr>
              <w:t>noteikšanai</w:t>
            </w:r>
            <w:r w:rsidR="00E96815">
              <w:rPr>
                <w:shd w:val="clear" w:color="auto" w:fill="FFFFFF"/>
              </w:rPr>
              <w:t xml:space="preserve"> </w:t>
            </w:r>
            <w:r w:rsidR="00E96815" w:rsidRPr="00422242">
              <w:rPr>
                <w:shd w:val="clear" w:color="auto" w:fill="FFFFFF"/>
              </w:rPr>
              <w:t>minimālā ienākuma līme</w:t>
            </w:r>
            <w:r w:rsidR="00E96815">
              <w:rPr>
                <w:shd w:val="clear" w:color="auto" w:fill="FFFFFF"/>
              </w:rPr>
              <w:t>ņa apmērā</w:t>
            </w:r>
            <w:r w:rsidR="00E96815" w:rsidRPr="00F23CAB">
              <w:rPr>
                <w:shd w:val="clear" w:color="auto" w:fill="FFFFFF"/>
              </w:rPr>
              <w:t>.</w:t>
            </w:r>
          </w:p>
          <w:p w14:paraId="3DCBC5C7" w14:textId="0C9DF684" w:rsidR="00E96815" w:rsidRPr="00A822E2" w:rsidRDefault="00E96815" w:rsidP="00E96815">
            <w:pPr>
              <w:autoSpaceDE w:val="0"/>
              <w:autoSpaceDN w:val="0"/>
              <w:adjustRightInd w:val="0"/>
              <w:ind w:firstLine="720"/>
              <w:jc w:val="both"/>
              <w:rPr>
                <w:shd w:val="clear" w:color="auto" w:fill="FFFFFF"/>
              </w:rPr>
            </w:pPr>
            <w:r>
              <w:rPr>
                <w:shd w:val="clear" w:color="auto" w:fill="FFFFFF"/>
              </w:rPr>
              <w:t xml:space="preserve">Likumprojektā paredzēts, ka minimālā ienākuma līmenis </w:t>
            </w:r>
            <w:r w:rsidR="00A822E2" w:rsidRPr="00A822E2">
              <w:rPr>
                <w:bCs/>
              </w:rPr>
              <w:t>ir valsts noteiktais minimālo ienākumu apmērs, paredzot, ka indivīda vai mājsaimniecības ienākumi nedrīkst būt par to zemāki.</w:t>
            </w:r>
          </w:p>
          <w:p w14:paraId="4D6F2EE5" w14:textId="0A4BB3DC" w:rsidR="00F23CAB" w:rsidRDefault="00E96815" w:rsidP="00E96815">
            <w:pPr>
              <w:autoSpaceDE w:val="0"/>
              <w:autoSpaceDN w:val="0"/>
              <w:adjustRightInd w:val="0"/>
              <w:ind w:firstLine="720"/>
              <w:jc w:val="both"/>
            </w:pPr>
            <w:r w:rsidRPr="00F23CAB">
              <w:rPr>
                <w:shd w:val="clear" w:color="auto" w:fill="FFFFFF"/>
              </w:rPr>
              <w:t xml:space="preserve">Izvērtējot pastāvošās prakses atbalsta sniegšanā iedzīvotājiem un saskaņā ar </w:t>
            </w:r>
            <w:r>
              <w:rPr>
                <w:shd w:val="clear" w:color="auto" w:fill="FFFFFF"/>
              </w:rPr>
              <w:t>K</w:t>
            </w:r>
            <w:r w:rsidRPr="00F23CAB">
              <w:t xml:space="preserve">oncepcijā apstiprināto risinājumu </w:t>
            </w:r>
            <w:r>
              <w:t xml:space="preserve">likumprojektā paredzēts </w:t>
            </w:r>
            <w:r w:rsidRPr="00F23CAB">
              <w:t>minimālā ienākuma līmeni noteikt 40% apmērā no rīcībā esošo ienākumu mediānas</w:t>
            </w:r>
            <w:r>
              <w:t>,</w:t>
            </w:r>
            <w:r w:rsidRPr="00F23CAB">
              <w:t xml:space="preserve"> pārrēķinātas uz ekvivalento patērētāju, piemērojot ekv</w:t>
            </w:r>
            <w:r>
              <w:t>ivalences skalu (1; 0.7; 0.7).</w:t>
            </w:r>
            <w:r w:rsidR="00F23CAB" w:rsidRPr="004D2199">
              <w:t>”. Minētais procentuālais lī</w:t>
            </w:r>
            <w:r w:rsidR="00A822E2">
              <w:t>menis ir izvēlēts, lai maksimāli</w:t>
            </w:r>
            <w:r w:rsidR="00F23CAB" w:rsidRPr="004D2199">
              <w:t xml:space="preserve"> novērstu riskus, kas saistīti ar </w:t>
            </w:r>
            <w:proofErr w:type="spellStart"/>
            <w:r w:rsidR="005276D9" w:rsidRPr="004D2199">
              <w:t>de</w:t>
            </w:r>
            <w:r w:rsidR="00F23CAB" w:rsidRPr="004D2199">
              <w:t>motivāciju</w:t>
            </w:r>
            <w:proofErr w:type="spellEnd"/>
            <w:r w:rsidR="00F23CAB" w:rsidRPr="004D2199">
              <w:t xml:space="preserve"> strād</w:t>
            </w:r>
            <w:r w:rsidR="005276D9" w:rsidRPr="004D2199">
              <w:t xml:space="preserve">āt un izvairīšanos no nodokļu nemaksāšanas, tajā pašā laikā nodrošinot minimālu aizsardzību dažādās sociālā riska situācijās nonākušajiem iedzīvotājiem. </w:t>
            </w:r>
            <w:r w:rsidR="00C63564" w:rsidRPr="004D2199">
              <w:t>Šāda e</w:t>
            </w:r>
            <w:r w:rsidR="005276D9" w:rsidRPr="004D2199">
              <w:t>kvivalences skala</w:t>
            </w:r>
            <w:r w:rsidR="00C63564" w:rsidRPr="004D2199">
              <w:t xml:space="preserve"> </w:t>
            </w:r>
            <w:r w:rsidR="005276D9" w:rsidRPr="004D2199">
              <w:t xml:space="preserve">– 1 pirmajam pieaugušajam mājsaimniecībā un 0.7 jeb 70% no pirmās (vai vienīgās) personas – tika </w:t>
            </w:r>
            <w:r w:rsidR="00C63564" w:rsidRPr="004D2199">
              <w:t>izvēlēta</w:t>
            </w:r>
            <w:r w:rsidR="005276D9" w:rsidRPr="004D2199">
              <w:t>, lai minimālā ienākuma līmenis būtu lielāks tieši bērniem, kā arī vienas personas mājsaimniecībā</w:t>
            </w:r>
            <w:r w:rsidR="00A822E2">
              <w:t>m</w:t>
            </w:r>
            <w:r w:rsidR="005276D9" w:rsidRPr="004D2199">
              <w:t xml:space="preserve">, ņemot vērā šo </w:t>
            </w:r>
            <w:r w:rsidR="005276D9" w:rsidRPr="004D2199">
              <w:lastRenderedPageBreak/>
              <w:t xml:space="preserve">grupu </w:t>
            </w:r>
            <w:r w:rsidR="00A822E2">
              <w:t>augstos</w:t>
            </w:r>
            <w:r w:rsidR="005276D9" w:rsidRPr="004D2199">
              <w:t xml:space="preserve"> nabadzības riskus</w:t>
            </w:r>
            <w:r w:rsidR="00A822E2">
              <w:t xml:space="preserve"> </w:t>
            </w:r>
            <w:r w:rsidR="00666959">
              <w:t>salīdzinājumā</w:t>
            </w:r>
            <w:r w:rsidR="00A822E2">
              <w:t xml:space="preserve"> ar citām iedzīvotāju grupām</w:t>
            </w:r>
            <w:r w:rsidR="005276D9" w:rsidRPr="004D2199">
              <w:t xml:space="preserve">.  </w:t>
            </w:r>
          </w:p>
          <w:p w14:paraId="3D66EB99" w14:textId="27FDF9C7" w:rsidR="00B20F43" w:rsidRDefault="00B20F43" w:rsidP="00B20F43">
            <w:pPr>
              <w:autoSpaceDE w:val="0"/>
              <w:autoSpaceDN w:val="0"/>
              <w:adjustRightInd w:val="0"/>
              <w:ind w:firstLine="720"/>
              <w:jc w:val="both"/>
            </w:pPr>
            <w:r>
              <w:t xml:space="preserve">Likumprojektā noteikts, ka minimālā ienākuma līmeņa aprēķināšanu ik gadu veiks Centrālā statistikas pārvalde. Minimālā ienākuma līmeņa piemērošana atsevišķu sociālo tiesību īstenošanā tiks noteikta nozaru speciālajos likumos, bet šī līmeņa aprēķināšanas, publicēšanas un piemērošanas </w:t>
            </w:r>
            <w:r w:rsidR="001A571D">
              <w:t>noteikumus</w:t>
            </w:r>
            <w:r>
              <w:t xml:space="preserve"> noteiks Ministru kabinets.</w:t>
            </w:r>
            <w:r w:rsidR="00AC1056">
              <w:t xml:space="preserve"> </w:t>
            </w:r>
          </w:p>
          <w:p w14:paraId="30690F58" w14:textId="51CDB552" w:rsidR="00AC1056" w:rsidRPr="004D2199" w:rsidRDefault="00A822E2" w:rsidP="00F609DA">
            <w:pPr>
              <w:autoSpaceDE w:val="0"/>
              <w:autoSpaceDN w:val="0"/>
              <w:adjustRightInd w:val="0"/>
              <w:ind w:firstLine="720"/>
              <w:jc w:val="both"/>
            </w:pPr>
            <w:r>
              <w:t xml:space="preserve">Vienlaicīgi jāmin, ka gadījumā, ja minimālā ienākuma līmenis samazināsies, kas var notikt, ja samazināsies </w:t>
            </w:r>
            <w:r w:rsidR="00F609DA">
              <w:t>i</w:t>
            </w:r>
            <w:r>
              <w:t>edzīvotāju rīcībā esošie ienākumi, kā tas bija novērojams krīzes periodā, tad</w:t>
            </w:r>
            <w:r w:rsidR="002215EA">
              <w:t xml:space="preserve"> </w:t>
            </w:r>
            <w:r w:rsidR="001A571D">
              <w:t>konkrētajos</w:t>
            </w:r>
            <w:r w:rsidR="002215EA">
              <w:t xml:space="preserve"> nozaru speciālajos likumos tiks noteikta atruna</w:t>
            </w:r>
            <w:r w:rsidR="00F609DA">
              <w:t xml:space="preserve"> attiecībā uz</w:t>
            </w:r>
            <w:proofErr w:type="gramStart"/>
            <w:r w:rsidR="00F609DA">
              <w:t xml:space="preserve"> </w:t>
            </w:r>
            <w:r w:rsidR="002215EA">
              <w:t xml:space="preserve">  </w:t>
            </w:r>
            <w:proofErr w:type="gramEnd"/>
            <w:r w:rsidR="00F609DA">
              <w:t xml:space="preserve">noteiktajām sociālajām tiesībām un to piemērošanu šādā gadījumā. </w:t>
            </w:r>
          </w:p>
          <w:p w14:paraId="497E76BD" w14:textId="6008F659" w:rsidR="00767960" w:rsidRPr="004D2199" w:rsidRDefault="001A571D" w:rsidP="001A571D">
            <w:pPr>
              <w:autoSpaceDE w:val="0"/>
              <w:autoSpaceDN w:val="0"/>
              <w:adjustRightInd w:val="0"/>
              <w:ind w:firstLine="720"/>
              <w:jc w:val="both"/>
            </w:pPr>
            <w:r w:rsidRPr="00F609DA">
              <w:rPr>
                <w:lang w:eastAsia="en-GB"/>
              </w:rPr>
              <w:t>Saskaņā ar rīkojuma Nr. 619 4.1. un 4.2. apakšpunkt</w:t>
            </w:r>
            <w:r>
              <w:rPr>
                <w:lang w:eastAsia="en-GB"/>
              </w:rPr>
              <w:t>u</w:t>
            </w:r>
            <w:r w:rsidRPr="00F609DA">
              <w:rPr>
                <w:lang w:eastAsia="en-GB"/>
              </w:rPr>
              <w:t xml:space="preserve"> </w:t>
            </w:r>
            <w:r w:rsidR="00F609DA" w:rsidRPr="00F609DA">
              <w:rPr>
                <w:lang w:eastAsia="en-GB"/>
              </w:rPr>
              <w:t xml:space="preserve">Labklājības ministrijai līdz 2016.gada 1.aprīlim Ministru kabinetā jāiesniedz </w:t>
            </w:r>
            <w:proofErr w:type="gramStart"/>
            <w:r w:rsidR="00F609DA" w:rsidRPr="00F609DA">
              <w:rPr>
                <w:lang w:eastAsia="en-GB"/>
              </w:rPr>
              <w:t>Plāna minimālā ienākuma līmeņa ieviešanai projekts</w:t>
            </w:r>
            <w:proofErr w:type="gramEnd"/>
            <w:r w:rsidR="00F609DA" w:rsidRPr="00F609DA">
              <w:rPr>
                <w:lang w:eastAsia="en-GB"/>
              </w:rPr>
              <w:t xml:space="preserve"> (turpmāk – Plāns), savukārt līdz 2016.gada 1.oktobrim – jāiesniedz Ministru kabinetā normatīvo aktu projekti saskaņā ar minēto Plānu</w:t>
            </w:r>
            <w:r w:rsidR="00F609DA">
              <w:rPr>
                <w:sz w:val="28"/>
                <w:szCs w:val="28"/>
                <w:lang w:eastAsia="en-GB"/>
              </w:rPr>
              <w:t xml:space="preserve">. </w:t>
            </w:r>
            <w:r w:rsidR="00F609DA">
              <w:t xml:space="preserve">Minētajā Plānā </w:t>
            </w:r>
            <w:r w:rsidR="00B20F43" w:rsidRPr="0010647F">
              <w:t xml:space="preserve">tiks </w:t>
            </w:r>
            <w:r w:rsidR="00B20F43">
              <w:t>noteikti</w:t>
            </w:r>
            <w:r w:rsidR="00B20F43" w:rsidRPr="0010647F">
              <w:t xml:space="preserve"> termiņi un </w:t>
            </w:r>
            <w:r w:rsidR="0010373F">
              <w:t xml:space="preserve">detalizēti </w:t>
            </w:r>
            <w:r w:rsidR="00B20F43" w:rsidRPr="0010647F">
              <w:t xml:space="preserve">finanšu aprēķini likumprojektā noteiktā minimālā ienākuma līmeņa pakāpeniskai ieviešanai līdz 2020.gadam </w:t>
            </w:r>
            <w:r w:rsidR="00B20F43">
              <w:t>noteiktajās</w:t>
            </w:r>
            <w:r w:rsidR="00B20F43" w:rsidRPr="0010647F">
              <w:t xml:space="preserve"> so</w:t>
            </w:r>
            <w:r w:rsidR="00C12FA8">
              <w:t>ciālās drošības sistēmas jomās</w:t>
            </w:r>
            <w:r w:rsidR="00B20F43">
              <w:t>, tāpēc likumprojektā iekļauti pārejas noteikumi, ka</w:t>
            </w:r>
            <w:r w:rsidR="00F609DA">
              <w:t>s paredz, ka</w:t>
            </w:r>
            <w:r w:rsidR="00B20F43">
              <w:t xml:space="preserve"> minimālā ienākuma līmenis tiks ieviests pakāpeniski līdz 2020.gada 1.</w:t>
            </w:r>
            <w:r w:rsidR="00B20F43" w:rsidRPr="00F609DA">
              <w:t>janvār</w:t>
            </w:r>
            <w:r w:rsidR="00F609DA">
              <w:t xml:space="preserve">im. </w:t>
            </w:r>
            <w:r w:rsidR="0010373F">
              <w:t>Minimālā ienākuma līmeņa ieviešana</w:t>
            </w:r>
            <w:r w:rsidR="00943726">
              <w:t xml:space="preserve"> ir plānota pak</w:t>
            </w:r>
            <w:r w:rsidR="00125C9E">
              <w:t>āpeniski, jo tā</w:t>
            </w:r>
            <w:r w:rsidR="00B03478">
              <w:t xml:space="preserve"> </w:t>
            </w:r>
            <w:r w:rsidR="00943726" w:rsidRPr="00AC44D8">
              <w:rPr>
                <w:bCs/>
              </w:rPr>
              <w:t>prasīs būtiskus valsts un pašvaldību finanšu izdevumus un/ vai finanšu resursu</w:t>
            </w:r>
            <w:proofErr w:type="gramStart"/>
            <w:r w:rsidR="00943726" w:rsidRPr="00AC44D8">
              <w:rPr>
                <w:bCs/>
              </w:rPr>
              <w:t xml:space="preserve"> </w:t>
            </w:r>
            <w:r w:rsidR="00125C9E">
              <w:rPr>
                <w:bCs/>
              </w:rPr>
              <w:t xml:space="preserve"> </w:t>
            </w:r>
            <w:proofErr w:type="gramEnd"/>
            <w:r w:rsidR="00943726" w:rsidRPr="00AC44D8">
              <w:rPr>
                <w:bCs/>
              </w:rPr>
              <w:t xml:space="preserve">pārstrukturēšanu, </w:t>
            </w:r>
            <w:r w:rsidR="00C6071A">
              <w:rPr>
                <w:bCs/>
              </w:rPr>
              <w:t>lai padarī</w:t>
            </w:r>
            <w:r w:rsidR="00943726" w:rsidRPr="00AC44D8">
              <w:rPr>
                <w:bCs/>
              </w:rPr>
              <w:t>t</w:t>
            </w:r>
            <w:r w:rsidR="00C6071A">
              <w:rPr>
                <w:bCs/>
              </w:rPr>
              <w:t>u</w:t>
            </w:r>
            <w:r w:rsidR="00943726" w:rsidRPr="00AC44D8">
              <w:rPr>
                <w:bCs/>
              </w:rPr>
              <w:t xml:space="preserve"> atbalstu mērķētāku,</w:t>
            </w:r>
            <w:r w:rsidR="00C6071A">
              <w:rPr>
                <w:bCs/>
              </w:rPr>
              <w:t xml:space="preserve"> </w:t>
            </w:r>
            <w:r w:rsidR="00C12FA8">
              <w:rPr>
                <w:bCs/>
              </w:rPr>
              <w:t>kā arī radīs vienreizēju administratīvo slogu</w:t>
            </w:r>
            <w:r w:rsidR="00125C9E">
              <w:rPr>
                <w:bCs/>
              </w:rPr>
              <w:t>.</w:t>
            </w:r>
            <w:r w:rsidR="00125C9E">
              <w:t xml:space="preserve"> </w:t>
            </w:r>
          </w:p>
        </w:tc>
      </w:tr>
      <w:tr w:rsidR="00B76D85" w:rsidRPr="006A7D0B" w14:paraId="30A466F2" w14:textId="77777777" w:rsidTr="006A7D0B">
        <w:tc>
          <w:tcPr>
            <w:tcW w:w="213" w:type="pct"/>
            <w:shd w:val="clear" w:color="auto" w:fill="auto"/>
          </w:tcPr>
          <w:p w14:paraId="3172DD42" w14:textId="70C4EFD2" w:rsidR="00B76D85" w:rsidRPr="006A7D0B" w:rsidRDefault="004373E9" w:rsidP="00B76D85">
            <w:pPr>
              <w:rPr>
                <w:sz w:val="22"/>
                <w:szCs w:val="22"/>
              </w:rPr>
            </w:pPr>
            <w:r w:rsidRPr="006A7D0B">
              <w:rPr>
                <w:sz w:val="22"/>
                <w:szCs w:val="22"/>
              </w:rPr>
              <w:lastRenderedPageBreak/>
              <w:t>3</w:t>
            </w:r>
            <w:r w:rsidR="00B76D85" w:rsidRPr="006A7D0B">
              <w:rPr>
                <w:sz w:val="22"/>
                <w:szCs w:val="22"/>
              </w:rPr>
              <w:t>.</w:t>
            </w:r>
          </w:p>
        </w:tc>
        <w:tc>
          <w:tcPr>
            <w:tcW w:w="1654" w:type="pct"/>
            <w:shd w:val="clear" w:color="auto" w:fill="auto"/>
          </w:tcPr>
          <w:p w14:paraId="1E9F0339" w14:textId="77777777" w:rsidR="00B76D85" w:rsidRPr="006A7D0B" w:rsidRDefault="00B76D85" w:rsidP="00B76D85">
            <w:pPr>
              <w:rPr>
                <w:sz w:val="22"/>
                <w:szCs w:val="22"/>
              </w:rPr>
            </w:pPr>
            <w:r w:rsidRPr="006A7D0B">
              <w:rPr>
                <w:sz w:val="22"/>
                <w:szCs w:val="22"/>
              </w:rPr>
              <w:t>Projekta izstrādē iesaistītās institūcijas</w:t>
            </w:r>
          </w:p>
        </w:tc>
        <w:tc>
          <w:tcPr>
            <w:tcW w:w="3133" w:type="pct"/>
            <w:shd w:val="clear" w:color="auto" w:fill="auto"/>
          </w:tcPr>
          <w:p w14:paraId="554B57CE" w14:textId="77777777" w:rsidR="002336DF" w:rsidRPr="0010647F" w:rsidRDefault="00C63564" w:rsidP="002336DF">
            <w:pPr>
              <w:jc w:val="both"/>
            </w:pPr>
            <w:r>
              <w:t>2015.gada janvārī Labklājības ministrijā</w:t>
            </w:r>
            <w:r w:rsidR="001A6900">
              <w:t xml:space="preserve"> tika izveidota</w:t>
            </w:r>
            <w:r w:rsidR="002336DF" w:rsidRPr="0010647F">
              <w:t xml:space="preserve"> darba grupa</w:t>
            </w:r>
            <w:r w:rsidR="002336DF" w:rsidRPr="0010647F">
              <w:rPr>
                <w:rStyle w:val="FootnoteReference"/>
              </w:rPr>
              <w:footnoteReference w:id="6"/>
            </w:r>
            <w:r w:rsidR="002336DF" w:rsidRPr="0010647F">
              <w:t>, kura l</w:t>
            </w:r>
            <w:r w:rsidR="001A6900">
              <w:t>īdz 2015.gada 15.novembrim vei</w:t>
            </w:r>
            <w:r w:rsidR="00C045C7">
              <w:t>ks</w:t>
            </w:r>
            <w:r w:rsidR="002336DF" w:rsidRPr="0010647F">
              <w:t xml:space="preserve">: </w:t>
            </w:r>
          </w:p>
          <w:p w14:paraId="46745938" w14:textId="77777777" w:rsidR="002336DF" w:rsidRPr="0010647F" w:rsidRDefault="002336DF" w:rsidP="002336DF">
            <w:pPr>
              <w:pStyle w:val="ListParagraph"/>
              <w:numPr>
                <w:ilvl w:val="0"/>
                <w:numId w:val="8"/>
              </w:numPr>
              <w:ind w:left="567"/>
              <w:jc w:val="both"/>
            </w:pPr>
            <w:r w:rsidRPr="0010647F">
              <w:t xml:space="preserve">sociālās palīdzības, valsts sociālo pabalstu, minimālās pensijas un bezdarbnieka pabalsta esošās situācijas regulējuma analīzi, izvērtējot to efektivitāti un lietderību nabadzības un ienākumu nevienlīdzības kontekstā; </w:t>
            </w:r>
          </w:p>
          <w:p w14:paraId="788F9BF2" w14:textId="77777777" w:rsidR="002336DF" w:rsidRPr="0010647F" w:rsidRDefault="002336DF" w:rsidP="002336DF">
            <w:pPr>
              <w:pStyle w:val="ListParagraph"/>
              <w:numPr>
                <w:ilvl w:val="0"/>
                <w:numId w:val="8"/>
              </w:numPr>
              <w:ind w:left="567"/>
              <w:jc w:val="both"/>
            </w:pPr>
            <w:r w:rsidRPr="0010647F">
              <w:t xml:space="preserve">izvērtēs izlietotos finanšu līdzekļus iepriekšminētajiem atbalsta veidiem; </w:t>
            </w:r>
          </w:p>
          <w:p w14:paraId="385E949E" w14:textId="77777777" w:rsidR="002336DF" w:rsidRPr="0010647F" w:rsidRDefault="002336DF" w:rsidP="002336DF">
            <w:pPr>
              <w:pStyle w:val="ListParagraph"/>
              <w:numPr>
                <w:ilvl w:val="0"/>
                <w:numId w:val="8"/>
              </w:numPr>
              <w:ind w:left="567"/>
              <w:jc w:val="both"/>
            </w:pPr>
            <w:r w:rsidRPr="0010647F">
              <w:t xml:space="preserve">noteiks sociālās palīdzības, valsts sociālo pabalstu, minimālās pensijas un bezdarbnieka pabalsta sasaisti ar minimālā ienākuma līmeni; identificēs normatīvos aktus un tajos nepieciešamos grozījumus minimālā ienākuma līmeņa ieviešanai; </w:t>
            </w:r>
          </w:p>
          <w:p w14:paraId="1F783510" w14:textId="77777777" w:rsidR="002336DF" w:rsidRPr="0010647F" w:rsidRDefault="002336DF" w:rsidP="002336DF">
            <w:pPr>
              <w:pStyle w:val="ListParagraph"/>
              <w:numPr>
                <w:ilvl w:val="0"/>
                <w:numId w:val="8"/>
              </w:numPr>
              <w:ind w:left="567"/>
              <w:jc w:val="both"/>
            </w:pPr>
            <w:r w:rsidRPr="0010647F">
              <w:lastRenderedPageBreak/>
              <w:t xml:space="preserve">aprēķinās pasākumu izpildei nepieciešamo finansējumu, izdalot pēc finanšu avota (valsts budžets, speciālais budžets, pašvaldības budžets); </w:t>
            </w:r>
          </w:p>
          <w:p w14:paraId="61985B1C" w14:textId="77777777" w:rsidR="002336DF" w:rsidRPr="0010647F" w:rsidRDefault="002336DF" w:rsidP="002336DF">
            <w:pPr>
              <w:pStyle w:val="ListParagraph"/>
              <w:numPr>
                <w:ilvl w:val="0"/>
                <w:numId w:val="8"/>
              </w:numPr>
              <w:shd w:val="clear" w:color="auto" w:fill="FFFFFF"/>
              <w:ind w:left="567"/>
              <w:jc w:val="both"/>
              <w:rPr>
                <w:bCs/>
              </w:rPr>
            </w:pPr>
            <w:r w:rsidRPr="0010647F">
              <w:t xml:space="preserve">sagatavos Plānu minimālā ienākuma līmeņa ieviešanai, kas </w:t>
            </w:r>
            <w:r w:rsidRPr="0010647F">
              <w:rPr>
                <w:shd w:val="clear" w:color="auto" w:fill="FFFFFF"/>
              </w:rPr>
              <w:t>Ministru kabinetā ir jāiesniedz</w:t>
            </w:r>
            <w:r w:rsidRPr="0010647F">
              <w:t xml:space="preserve"> līdz </w:t>
            </w:r>
            <w:r w:rsidRPr="0010647F">
              <w:rPr>
                <w:shd w:val="clear" w:color="auto" w:fill="FFFFFF"/>
              </w:rPr>
              <w:t>2016. gada 1. aprīlim.</w:t>
            </w:r>
          </w:p>
          <w:p w14:paraId="2CEC3922" w14:textId="16A5F68A" w:rsidR="002336DF" w:rsidRPr="0010647F" w:rsidRDefault="002336DF" w:rsidP="001A6900">
            <w:pPr>
              <w:shd w:val="clear" w:color="auto" w:fill="FFFFFF"/>
              <w:spacing w:before="120"/>
              <w:jc w:val="both"/>
              <w:rPr>
                <w:bCs/>
              </w:rPr>
            </w:pPr>
            <w:r w:rsidRPr="0010647F">
              <w:rPr>
                <w:bCs/>
              </w:rPr>
              <w:t xml:space="preserve">Pirmā darba grupas sēde notika 2015.gada 19.janvārī, kuras laikā vienojās par veicamajiem uzdevumiem un termiņiem to īstenošanai. Darbu pie visu sociālās drošības sistēmas jomu izvērtējuma saistībā ar minimālā ienākuma līmeni veic </w:t>
            </w:r>
            <w:r w:rsidR="00883987">
              <w:rPr>
                <w:bCs/>
              </w:rPr>
              <w:t xml:space="preserve">darba grupas </w:t>
            </w:r>
            <w:r w:rsidR="00FE0EF0">
              <w:rPr>
                <w:bCs/>
              </w:rPr>
              <w:t>četras</w:t>
            </w:r>
            <w:r w:rsidRPr="0010647F">
              <w:rPr>
                <w:bCs/>
              </w:rPr>
              <w:t xml:space="preserve"> izveidotas apakšgrupas:</w:t>
            </w:r>
          </w:p>
          <w:p w14:paraId="7D589FC5" w14:textId="77777777" w:rsidR="002336DF" w:rsidRPr="0010647F" w:rsidRDefault="002336DF" w:rsidP="002336DF">
            <w:pPr>
              <w:numPr>
                <w:ilvl w:val="0"/>
                <w:numId w:val="9"/>
              </w:numPr>
              <w:shd w:val="clear" w:color="auto" w:fill="FFFFFF"/>
              <w:jc w:val="both"/>
              <w:rPr>
                <w:bCs/>
              </w:rPr>
            </w:pPr>
            <w:r w:rsidRPr="0010647F">
              <w:rPr>
                <w:bCs/>
              </w:rPr>
              <w:t>apakšgrupa par sociālo palīdzību;</w:t>
            </w:r>
          </w:p>
          <w:p w14:paraId="4BF64147" w14:textId="77777777" w:rsidR="002336DF" w:rsidRPr="0010647F" w:rsidRDefault="002336DF" w:rsidP="002336DF">
            <w:pPr>
              <w:numPr>
                <w:ilvl w:val="0"/>
                <w:numId w:val="9"/>
              </w:numPr>
              <w:shd w:val="clear" w:color="auto" w:fill="FFFFFF"/>
              <w:jc w:val="both"/>
              <w:rPr>
                <w:bCs/>
              </w:rPr>
            </w:pPr>
            <w:r w:rsidRPr="0010647F">
              <w:rPr>
                <w:bCs/>
              </w:rPr>
              <w:t>apakšgrupa par valsts sociālajiem pabalstiem;</w:t>
            </w:r>
          </w:p>
          <w:p w14:paraId="41330C3F" w14:textId="77777777" w:rsidR="002336DF" w:rsidRPr="0010647F" w:rsidRDefault="002336DF" w:rsidP="002336DF">
            <w:pPr>
              <w:numPr>
                <w:ilvl w:val="0"/>
                <w:numId w:val="9"/>
              </w:numPr>
              <w:shd w:val="clear" w:color="auto" w:fill="FFFFFF"/>
              <w:jc w:val="both"/>
              <w:rPr>
                <w:bCs/>
              </w:rPr>
            </w:pPr>
            <w:r w:rsidRPr="0010647F">
              <w:rPr>
                <w:bCs/>
              </w:rPr>
              <w:t>apakšgrupa par minimālo pensiju;</w:t>
            </w:r>
          </w:p>
          <w:p w14:paraId="5E69A35A" w14:textId="77777777" w:rsidR="002336DF" w:rsidRPr="0010647F" w:rsidRDefault="002336DF" w:rsidP="002336DF">
            <w:pPr>
              <w:numPr>
                <w:ilvl w:val="0"/>
                <w:numId w:val="9"/>
              </w:numPr>
              <w:shd w:val="clear" w:color="auto" w:fill="FFFFFF"/>
              <w:jc w:val="both"/>
              <w:rPr>
                <w:bCs/>
              </w:rPr>
            </w:pPr>
            <w:r w:rsidRPr="0010647F">
              <w:rPr>
                <w:bCs/>
              </w:rPr>
              <w:t>apakšgrupa par b</w:t>
            </w:r>
            <w:r w:rsidRPr="0010647F">
              <w:t xml:space="preserve">ezdarbnieka pabalstu un bezdarbnieku aktivizēšanas pasākumiem. </w:t>
            </w:r>
            <w:r w:rsidRPr="0010647F">
              <w:rPr>
                <w:bCs/>
              </w:rPr>
              <w:t xml:space="preserve"> </w:t>
            </w:r>
          </w:p>
          <w:p w14:paraId="15ACA511" w14:textId="77777777" w:rsidR="002336DF" w:rsidRPr="0010647F" w:rsidRDefault="002336DF" w:rsidP="002336DF">
            <w:pPr>
              <w:pStyle w:val="NoSpacing"/>
              <w:jc w:val="both"/>
            </w:pPr>
            <w:r w:rsidRPr="0010647F">
              <w:t xml:space="preserve">Visu apakšgrupu sastāvā ir iekļauti nozaru ministriju </w:t>
            </w:r>
            <w:r w:rsidRPr="00C63564">
              <w:t xml:space="preserve">pārstāvji (Labklājības, Finanšu un Ekonomikas ministriju speciālisti), pašvaldības </w:t>
            </w:r>
            <w:r w:rsidR="001A6900" w:rsidRPr="00C63564">
              <w:t xml:space="preserve">(Latvijas Pašvaldību savienība un Latvijas lielo pilsētu asociācija), </w:t>
            </w:r>
            <w:r w:rsidRPr="00C63564">
              <w:t>sociālie partneri</w:t>
            </w:r>
            <w:r w:rsidR="001A6900" w:rsidRPr="00C63564">
              <w:t xml:space="preserve"> (Latvijas Darba devēju konfederācija un Latvijas Brīvo arodbiedrību savienība), </w:t>
            </w:r>
            <w:proofErr w:type="spellStart"/>
            <w:r w:rsidR="001A6900" w:rsidRPr="00C63564">
              <w:t>Pārresoru</w:t>
            </w:r>
            <w:proofErr w:type="spellEnd"/>
            <w:r w:rsidR="001A6900" w:rsidRPr="00C63564">
              <w:t xml:space="preserve"> koordinācijas centrs, </w:t>
            </w:r>
            <w:r w:rsidR="005D57FE">
              <w:t>Nodarbinātības valsts aģentūra</w:t>
            </w:r>
            <w:r w:rsidRPr="00C63564">
              <w:t>. Diskusijas ar nevalstiskajām organizācijām, kuras pārstāv noteiktu iedzīvotāju grupu intereses, norisinās</w:t>
            </w:r>
            <w:r w:rsidRPr="0010647F">
              <w:t xml:space="preserve"> esošo komiteju vai padomju ietvaros, piemēram, Senioru lietu padome, Sociālās iekļaušanas politikas koordinācijas komiteja u.c. </w:t>
            </w:r>
          </w:p>
          <w:p w14:paraId="04E09193" w14:textId="434369E9" w:rsidR="00883987" w:rsidRDefault="00B03478" w:rsidP="00B03478">
            <w:pPr>
              <w:pStyle w:val="NoSpacing"/>
              <w:jc w:val="both"/>
              <w:rPr>
                <w:iCs/>
              </w:rPr>
            </w:pPr>
            <w:r>
              <w:rPr>
                <w:iCs/>
              </w:rPr>
              <w:t xml:space="preserve">Savukārt </w:t>
            </w:r>
            <w:r w:rsidR="003C6FA4" w:rsidRPr="0010647F">
              <w:rPr>
                <w:iCs/>
              </w:rPr>
              <w:t xml:space="preserve">Centrālā statistikas pārvalde </w:t>
            </w:r>
            <w:r w:rsidR="00F317E7">
              <w:t xml:space="preserve">09.03.2015. vēstulē Nr. 0704_10/333 </w:t>
            </w:r>
            <w:r w:rsidR="003C6FA4" w:rsidRPr="0010647F">
              <w:rPr>
                <w:iCs/>
              </w:rPr>
              <w:t xml:space="preserve">ir apliecinājusi, ka ir gatava aprēķināt un publicēt </w:t>
            </w:r>
            <w:r w:rsidR="005D57FE">
              <w:rPr>
                <w:iCs/>
              </w:rPr>
              <w:t xml:space="preserve">statistisko informāciju par </w:t>
            </w:r>
            <w:r w:rsidR="003C6FA4" w:rsidRPr="0010647F">
              <w:rPr>
                <w:iCs/>
              </w:rPr>
              <w:t xml:space="preserve">minimālā ienākuma līmeni atbilstoši </w:t>
            </w:r>
            <w:r w:rsidR="00DA0884">
              <w:rPr>
                <w:iCs/>
              </w:rPr>
              <w:t>K</w:t>
            </w:r>
            <w:r w:rsidR="003C6FA4" w:rsidRPr="0010647F">
              <w:rPr>
                <w:iCs/>
              </w:rPr>
              <w:t xml:space="preserve">oncepcijā </w:t>
            </w:r>
            <w:r w:rsidR="0010647F">
              <w:rPr>
                <w:iCs/>
              </w:rPr>
              <w:t>piedāvātajam</w:t>
            </w:r>
            <w:r w:rsidR="003C6FA4" w:rsidRPr="0010647F">
              <w:rPr>
                <w:iCs/>
              </w:rPr>
              <w:t>.</w:t>
            </w:r>
          </w:p>
          <w:p w14:paraId="4762B41C" w14:textId="73779DF9" w:rsidR="00B03478" w:rsidRPr="00B03478" w:rsidRDefault="00B03478" w:rsidP="00F6217A">
            <w:pPr>
              <w:pStyle w:val="NoSpacing"/>
              <w:jc w:val="both"/>
              <w:rPr>
                <w:iCs/>
              </w:rPr>
            </w:pPr>
            <w:r>
              <w:rPr>
                <w:iCs/>
              </w:rPr>
              <w:t>Attiecībā uz IIN nea</w:t>
            </w:r>
            <w:r w:rsidR="00F6217A">
              <w:rPr>
                <w:iCs/>
              </w:rPr>
              <w:t>p</w:t>
            </w:r>
            <w:r>
              <w:rPr>
                <w:iCs/>
              </w:rPr>
              <w:t xml:space="preserve">liekamo </w:t>
            </w:r>
            <w:r w:rsidRPr="00B03478">
              <w:rPr>
                <w:iCs/>
              </w:rPr>
              <w:t>minimumu, s</w:t>
            </w:r>
            <w:r w:rsidRPr="00B03478">
              <w:t>askaņā ar 2014.gada 10.novembra Ministru kabineta sēdes protokola Nr.61 29.§ 4.punktu, Finanšu ministrijai uzdots līdz 2015.gada 30.aprīlim iesniegt izskatīšanai Ministru kabinetā ziņojumu ar priekšlikumiem diferencētā neapliekamā minimuma ieviešanai ar 2016.gadu, kompleksi izvērtējot iedzīvotāju ienākuma nodokļa atvieglojumus un darbaspēka nodokļu sloga mazināšanu.</w:t>
            </w:r>
            <w:r>
              <w:t xml:space="preserve"> </w:t>
            </w:r>
            <w:r w:rsidR="00F6217A">
              <w:t xml:space="preserve">Tādējādi, izstrādājot Plānu, minētā informācija tiks ņemta vērā. </w:t>
            </w:r>
          </w:p>
        </w:tc>
      </w:tr>
      <w:tr w:rsidR="00B76D85" w:rsidRPr="000D7EC5" w14:paraId="277F2A93" w14:textId="77777777" w:rsidTr="006A7D0B">
        <w:tc>
          <w:tcPr>
            <w:tcW w:w="213" w:type="pct"/>
            <w:shd w:val="clear" w:color="auto" w:fill="auto"/>
          </w:tcPr>
          <w:p w14:paraId="2E0E2469" w14:textId="77777777" w:rsidR="00B76D85" w:rsidRPr="006A7D0B" w:rsidRDefault="004373E9" w:rsidP="004373E9">
            <w:pPr>
              <w:rPr>
                <w:sz w:val="22"/>
                <w:szCs w:val="22"/>
              </w:rPr>
            </w:pPr>
            <w:r w:rsidRPr="006A7D0B">
              <w:rPr>
                <w:sz w:val="22"/>
                <w:szCs w:val="22"/>
              </w:rPr>
              <w:lastRenderedPageBreak/>
              <w:t>4</w:t>
            </w:r>
            <w:r w:rsidR="00B76D85" w:rsidRPr="006A7D0B">
              <w:rPr>
                <w:sz w:val="22"/>
                <w:szCs w:val="22"/>
              </w:rPr>
              <w:t xml:space="preserve">. </w:t>
            </w:r>
          </w:p>
        </w:tc>
        <w:tc>
          <w:tcPr>
            <w:tcW w:w="1654" w:type="pct"/>
            <w:shd w:val="clear" w:color="auto" w:fill="auto"/>
          </w:tcPr>
          <w:p w14:paraId="6F97A975" w14:textId="77777777" w:rsidR="00B76D85" w:rsidRPr="006A7D0B" w:rsidRDefault="00B76D85" w:rsidP="00B76D85">
            <w:pPr>
              <w:rPr>
                <w:sz w:val="22"/>
                <w:szCs w:val="22"/>
              </w:rPr>
            </w:pPr>
            <w:r w:rsidRPr="006A7D0B">
              <w:rPr>
                <w:sz w:val="22"/>
                <w:szCs w:val="22"/>
              </w:rPr>
              <w:t>Cita informācija</w:t>
            </w:r>
          </w:p>
        </w:tc>
        <w:tc>
          <w:tcPr>
            <w:tcW w:w="3133" w:type="pct"/>
            <w:shd w:val="clear" w:color="auto" w:fill="auto"/>
          </w:tcPr>
          <w:p w14:paraId="284CDB20" w14:textId="77777777" w:rsidR="00B76D85" w:rsidRPr="0010647F" w:rsidRDefault="002336DF" w:rsidP="002336DF">
            <w:pPr>
              <w:spacing w:before="120"/>
              <w:jc w:val="both"/>
            </w:pPr>
            <w:r>
              <w:t xml:space="preserve">Nav. </w:t>
            </w:r>
          </w:p>
        </w:tc>
      </w:tr>
    </w:tbl>
    <w:p w14:paraId="54911BF9" w14:textId="77777777" w:rsidR="00B76D85" w:rsidRDefault="00B76D85" w:rsidP="00B76D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C01716" w:rsidRPr="00B76D85" w14:paraId="14BAF825" w14:textId="77777777" w:rsidTr="006A7D0B">
        <w:tc>
          <w:tcPr>
            <w:tcW w:w="9287" w:type="dxa"/>
            <w:gridSpan w:val="3"/>
            <w:shd w:val="clear" w:color="auto" w:fill="auto"/>
          </w:tcPr>
          <w:p w14:paraId="5DEAFFBD" w14:textId="77777777" w:rsidR="00230730" w:rsidRPr="006A7D0B" w:rsidRDefault="00C01716" w:rsidP="006A7D0B">
            <w:pPr>
              <w:pStyle w:val="naisnod"/>
              <w:spacing w:before="0" w:after="0"/>
              <w:ind w:left="57" w:right="57"/>
              <w:rPr>
                <w:b w:val="0"/>
              </w:rPr>
            </w:pPr>
            <w:r w:rsidRPr="00230730">
              <w:t>II</w:t>
            </w:r>
            <w:r w:rsidR="00DC37D9">
              <w:t>.</w:t>
            </w:r>
            <w:r w:rsidRPr="006A7D0B">
              <w:rPr>
                <w:b w:val="0"/>
              </w:rPr>
              <w:t xml:space="preserve"> </w:t>
            </w:r>
            <w:r w:rsidR="00230730" w:rsidRPr="00DD49B6">
              <w:t>Tiesību akta projekta ietekme uz sabiedrību, tautsaimniecības attīstību</w:t>
            </w:r>
          </w:p>
          <w:p w14:paraId="1B61DF29" w14:textId="77777777" w:rsidR="00C01716" w:rsidRPr="006A7D0B" w:rsidRDefault="00230730" w:rsidP="006A7D0B">
            <w:pPr>
              <w:jc w:val="center"/>
              <w:rPr>
                <w:b/>
              </w:rPr>
            </w:pPr>
            <w:r w:rsidRPr="006A7D0B">
              <w:rPr>
                <w:b/>
              </w:rPr>
              <w:t>un administratīvo slogu</w:t>
            </w:r>
          </w:p>
        </w:tc>
      </w:tr>
      <w:tr w:rsidR="00B76D85" w:rsidRPr="006A7D0B" w14:paraId="3D2927AA" w14:textId="77777777" w:rsidTr="006A7D0B">
        <w:tc>
          <w:tcPr>
            <w:tcW w:w="396" w:type="dxa"/>
            <w:shd w:val="clear" w:color="auto" w:fill="auto"/>
          </w:tcPr>
          <w:p w14:paraId="63CE6B85" w14:textId="77777777" w:rsidR="00B76D85" w:rsidRPr="006A7D0B" w:rsidRDefault="00B76D85" w:rsidP="00242D7D">
            <w:pPr>
              <w:rPr>
                <w:sz w:val="22"/>
                <w:szCs w:val="22"/>
              </w:rPr>
            </w:pPr>
            <w:r w:rsidRPr="006A7D0B">
              <w:rPr>
                <w:sz w:val="22"/>
                <w:szCs w:val="22"/>
              </w:rPr>
              <w:t>1.</w:t>
            </w:r>
          </w:p>
        </w:tc>
        <w:tc>
          <w:tcPr>
            <w:tcW w:w="3072" w:type="dxa"/>
            <w:shd w:val="clear" w:color="auto" w:fill="auto"/>
          </w:tcPr>
          <w:p w14:paraId="00FFC37C" w14:textId="77777777" w:rsidR="00B76D85" w:rsidRPr="006A7D0B" w:rsidRDefault="00230730" w:rsidP="00242D7D">
            <w:pPr>
              <w:rPr>
                <w:sz w:val="22"/>
                <w:szCs w:val="22"/>
              </w:rPr>
            </w:pPr>
            <w:r w:rsidRPr="00DD49B6">
              <w:t>Sabiedrības mērķgrupas, kuras tiesiskais regulējums ietekmē vai varētu ietekmēt</w:t>
            </w:r>
          </w:p>
        </w:tc>
        <w:tc>
          <w:tcPr>
            <w:tcW w:w="5819" w:type="dxa"/>
            <w:shd w:val="clear" w:color="auto" w:fill="auto"/>
          </w:tcPr>
          <w:p w14:paraId="6EFB0A51" w14:textId="4086C92A" w:rsidR="00182B4A" w:rsidRPr="0010647F" w:rsidRDefault="00D360BF" w:rsidP="0010647F">
            <w:pPr>
              <w:jc w:val="both"/>
            </w:pPr>
            <w:r w:rsidRPr="0010647F">
              <w:t xml:space="preserve">Likumprojekts </w:t>
            </w:r>
            <w:r w:rsidR="00182B4A" w:rsidRPr="0010647F">
              <w:t>attieksies</w:t>
            </w:r>
            <w:r w:rsidR="0010647F" w:rsidRPr="0010647F">
              <w:t xml:space="preserve"> </w:t>
            </w:r>
            <w:r w:rsidR="00182B4A" w:rsidRPr="0010647F">
              <w:t xml:space="preserve">apmēram uz </w:t>
            </w:r>
            <w:r w:rsidR="00182B4A" w:rsidRPr="0010647F">
              <w:rPr>
                <w:b/>
              </w:rPr>
              <w:t>8</w:t>
            </w:r>
            <w:r w:rsidR="00473F68">
              <w:rPr>
                <w:b/>
              </w:rPr>
              <w:t>,</w:t>
            </w:r>
            <w:r w:rsidR="00182B4A" w:rsidRPr="0010647F">
              <w:rPr>
                <w:b/>
              </w:rPr>
              <w:t>1%</w:t>
            </w:r>
            <w:r w:rsidR="00182B4A" w:rsidRPr="0010647F">
              <w:t xml:space="preserve"> iedzīvotājiem, kuru ienākumi 201</w:t>
            </w:r>
            <w:r w:rsidR="00FE3D16" w:rsidRPr="0010647F">
              <w:t>3</w:t>
            </w:r>
            <w:r w:rsidR="00182B4A" w:rsidRPr="0010647F">
              <w:t xml:space="preserve">.gadā bija zem 40% </w:t>
            </w:r>
            <w:r w:rsidR="00E67214" w:rsidRPr="0010647F">
              <w:t>(139 e</w:t>
            </w:r>
            <w:r w:rsidR="0010647F" w:rsidRPr="0010647F">
              <w:t>i</w:t>
            </w:r>
            <w:r w:rsidR="00E67214" w:rsidRPr="0010647F">
              <w:t xml:space="preserve">ro) </w:t>
            </w:r>
            <w:r w:rsidR="00182B4A" w:rsidRPr="0010647F">
              <w:t xml:space="preserve">no </w:t>
            </w:r>
            <w:r w:rsidR="008F61C0">
              <w:t xml:space="preserve">ekvivalento </w:t>
            </w:r>
            <w:r w:rsidR="00182B4A" w:rsidRPr="0010647F">
              <w:t>rīcībā esošo ienākumu mediānas.</w:t>
            </w:r>
          </w:p>
          <w:p w14:paraId="2FC7ADF4" w14:textId="77777777" w:rsidR="00EE30AB" w:rsidRPr="0010647F" w:rsidRDefault="00EE30AB" w:rsidP="0010647F">
            <w:pPr>
              <w:jc w:val="both"/>
            </w:pPr>
            <w:r w:rsidRPr="0010647F">
              <w:t xml:space="preserve">Likumprojekts </w:t>
            </w:r>
            <w:r w:rsidR="00473F68">
              <w:t xml:space="preserve">ietekmēs vai varētu ietekmēt šādas </w:t>
            </w:r>
            <w:r w:rsidR="00473F68">
              <w:lastRenderedPageBreak/>
              <w:t>sabiedrības mērķgrupas</w:t>
            </w:r>
            <w:r w:rsidRPr="0010647F">
              <w:t>:</w:t>
            </w:r>
          </w:p>
          <w:p w14:paraId="1A6937A5" w14:textId="77777777" w:rsidR="00697B6B" w:rsidRPr="0010647F" w:rsidRDefault="00697B6B" w:rsidP="00697B6B">
            <w:pPr>
              <w:jc w:val="both"/>
              <w:rPr>
                <w:b/>
              </w:rPr>
            </w:pPr>
            <w:r w:rsidRPr="0010647F">
              <w:t xml:space="preserve">- </w:t>
            </w:r>
            <w:r w:rsidRPr="0010647F">
              <w:rPr>
                <w:b/>
              </w:rPr>
              <w:t>Iedzīvotāji ar viszemākajiem ienākumiem:</w:t>
            </w:r>
          </w:p>
          <w:p w14:paraId="51886BCA" w14:textId="77777777" w:rsidR="00697B6B" w:rsidRPr="0010647F" w:rsidRDefault="00697B6B" w:rsidP="00697B6B">
            <w:pPr>
              <w:jc w:val="both"/>
            </w:pPr>
            <w:r w:rsidRPr="0010647F">
              <w:t xml:space="preserve">2013.gadā </w:t>
            </w:r>
            <w:r w:rsidRPr="00473F68">
              <w:t>2</w:t>
            </w:r>
            <w:r>
              <w:t>,</w:t>
            </w:r>
            <w:r w:rsidRPr="00473F68">
              <w:t>9%</w:t>
            </w:r>
            <w:r w:rsidRPr="0010647F">
              <w:t xml:space="preserve"> no iedzīvotāju kopskaita jeb 64 408 personas saņēma GMI pabalstu</w:t>
            </w:r>
            <w:r>
              <w:t xml:space="preserve"> (2015.gada marta mēnesī – 1,05% jeb 20 801)</w:t>
            </w:r>
            <w:r w:rsidRPr="0010647F">
              <w:t xml:space="preserve">; </w:t>
            </w:r>
          </w:p>
          <w:p w14:paraId="799BFCB8" w14:textId="77777777" w:rsidR="00697B6B" w:rsidRPr="0010647F" w:rsidRDefault="00697B6B" w:rsidP="00697B6B">
            <w:pPr>
              <w:jc w:val="both"/>
            </w:pPr>
            <w:r w:rsidRPr="0010647F">
              <w:t xml:space="preserve">2013.gadā </w:t>
            </w:r>
            <w:r>
              <w:t>6,</w:t>
            </w:r>
            <w:r w:rsidRPr="00473F68">
              <w:t>1%</w:t>
            </w:r>
            <w:r w:rsidRPr="0010647F">
              <w:t xml:space="preserve"> iedzīvotāju jeb 134 397 personām bija noteikt</w:t>
            </w:r>
            <w:r>
              <w:t>a atbilstība trūcīgā statusam (2015.gada marta mēnesī – 3,21% jeb 63 782)</w:t>
            </w:r>
            <w:r w:rsidRPr="0010647F">
              <w:t>;</w:t>
            </w:r>
          </w:p>
          <w:p w14:paraId="703B24F6" w14:textId="77777777" w:rsidR="00697B6B" w:rsidRPr="0010647F" w:rsidRDefault="00697B6B" w:rsidP="00697B6B">
            <w:pPr>
              <w:jc w:val="both"/>
              <w:rPr>
                <w:b/>
                <w:bCs/>
                <w:shd w:val="clear" w:color="auto" w:fill="FFFFFF"/>
              </w:rPr>
            </w:pPr>
            <w:r w:rsidRPr="0010647F">
              <w:rPr>
                <w:bCs/>
                <w:shd w:val="clear" w:color="auto" w:fill="FFFFFF"/>
              </w:rPr>
              <w:t xml:space="preserve">- </w:t>
            </w:r>
            <w:r w:rsidRPr="0010647F">
              <w:rPr>
                <w:b/>
                <w:bCs/>
                <w:shd w:val="clear" w:color="auto" w:fill="FFFFFF"/>
              </w:rPr>
              <w:t>Pensionāri ar minimāliem pensiju apmēriem:</w:t>
            </w:r>
          </w:p>
          <w:p w14:paraId="2805F6F7" w14:textId="77777777" w:rsidR="00697B6B" w:rsidRPr="0010647F" w:rsidRDefault="00697B6B" w:rsidP="00697B6B">
            <w:pPr>
              <w:jc w:val="both"/>
              <w:rPr>
                <w:b/>
                <w:bCs/>
                <w:shd w:val="clear" w:color="auto" w:fill="FFFFFF"/>
              </w:rPr>
            </w:pPr>
            <w:r w:rsidRPr="0010647F">
              <w:t xml:space="preserve">2014.gadā vidēji mēnesī vecuma pensijas ar piešķirto pensijas apmēru ar piemaksu līdz 142,29 </w:t>
            </w:r>
            <w:r w:rsidRPr="00473F68">
              <w:t>e</w:t>
            </w:r>
            <w:r>
              <w:t>i</w:t>
            </w:r>
            <w:r w:rsidRPr="00473F68">
              <w:t>ro</w:t>
            </w:r>
            <w:r w:rsidRPr="0010647F">
              <w:t xml:space="preserve"> saņēma 2</w:t>
            </w:r>
            <w:r>
              <w:t>8</w:t>
            </w:r>
            <w:r w:rsidRPr="0010647F">
              <w:t xml:space="preserve"> </w:t>
            </w:r>
            <w:r>
              <w:t>430</w:t>
            </w:r>
            <w:r w:rsidRPr="0010647F">
              <w:t xml:space="preserve"> cilvēki (6,0% no vecuma pensijas saņēmējiem)</w:t>
            </w:r>
            <w:r>
              <w:t>.</w:t>
            </w:r>
            <w:r w:rsidRPr="0010647F">
              <w:br/>
            </w:r>
            <w:r w:rsidRPr="0010647F">
              <w:rPr>
                <w:bCs/>
                <w:shd w:val="clear" w:color="auto" w:fill="FFFFFF"/>
              </w:rPr>
              <w:t xml:space="preserve">- </w:t>
            </w:r>
            <w:r w:rsidRPr="0010647F">
              <w:rPr>
                <w:b/>
                <w:bCs/>
                <w:shd w:val="clear" w:color="auto" w:fill="FFFFFF"/>
              </w:rPr>
              <w:t>Strādājošie ar zemu atalgojumu:</w:t>
            </w:r>
          </w:p>
          <w:p w14:paraId="07E0367A" w14:textId="77777777" w:rsidR="00697B6B" w:rsidRDefault="00697B6B" w:rsidP="00697B6B">
            <w:pPr>
              <w:jc w:val="both"/>
              <w:rPr>
                <w:bCs/>
                <w:shd w:val="clear" w:color="auto" w:fill="FFFFFF"/>
              </w:rPr>
            </w:pPr>
            <w:r w:rsidRPr="0010647F">
              <w:rPr>
                <w:bCs/>
                <w:shd w:val="clear" w:color="auto" w:fill="FFFFFF"/>
              </w:rPr>
              <w:t>2013.gadā IIN neapliekamā minimuma saņēmēju skaits bija 752 294 fiziskas personas.</w:t>
            </w:r>
          </w:p>
          <w:p w14:paraId="44A632A8" w14:textId="28C8CC95" w:rsidR="00B03478" w:rsidRDefault="00B03478" w:rsidP="00697B6B">
            <w:pPr>
              <w:jc w:val="both"/>
              <w:rPr>
                <w:lang w:eastAsia="en-GB"/>
              </w:rPr>
            </w:pPr>
            <w:r w:rsidRPr="00540618">
              <w:rPr>
                <w:lang w:eastAsia="en-GB"/>
              </w:rPr>
              <w:t xml:space="preserve">- </w:t>
            </w:r>
            <w:r w:rsidRPr="00540618">
              <w:rPr>
                <w:b/>
                <w:lang w:eastAsia="en-GB"/>
              </w:rPr>
              <w:t>Ģimenes ar bērniem</w:t>
            </w:r>
            <w:r w:rsidRPr="00540618">
              <w:rPr>
                <w:lang w:eastAsia="en-GB"/>
              </w:rPr>
              <w:t>:</w:t>
            </w:r>
          </w:p>
          <w:p w14:paraId="7234F517" w14:textId="4A76DA96" w:rsidR="00540618" w:rsidRPr="00540618" w:rsidRDefault="00BE32A3" w:rsidP="00697B6B">
            <w:pPr>
              <w:jc w:val="both"/>
              <w:rPr>
                <w:lang w:eastAsia="en-GB"/>
              </w:rPr>
            </w:pPr>
            <w:r>
              <w:rPr>
                <w:lang w:eastAsia="en-GB"/>
              </w:rPr>
              <w:t>2014.gadā Latvijā bija 46 441 trūcīgas ģimenes (ienākumi</w:t>
            </w:r>
            <w:r w:rsidR="00432FD0">
              <w:rPr>
                <w:lang w:eastAsia="en-GB"/>
              </w:rPr>
              <w:t xml:space="preserve"> katrai personai ģimenē</w:t>
            </w:r>
            <w:r>
              <w:rPr>
                <w:lang w:eastAsia="en-GB"/>
              </w:rPr>
              <w:t xml:space="preserve"> līdz 128,06 eiro mēnesī)</w:t>
            </w:r>
            <w:r w:rsidR="00432FD0">
              <w:rPr>
                <w:lang w:eastAsia="en-GB"/>
              </w:rPr>
              <w:t xml:space="preserve">, tomēr GMI pabalstu (GMI līmenis 2014.gadā – 49,80 eiro mēnesī vienai personai) saņēma tikai puse no par trūcīgām atzītām ģimenēm – 23 764. </w:t>
            </w:r>
          </w:p>
          <w:p w14:paraId="3F96AA81" w14:textId="77777777" w:rsidR="00586D74" w:rsidRPr="0010647F" w:rsidRDefault="00586D74" w:rsidP="0010647F">
            <w:pPr>
              <w:jc w:val="both"/>
              <w:rPr>
                <w:b/>
              </w:rPr>
            </w:pPr>
            <w:r w:rsidRPr="0010647F">
              <w:rPr>
                <w:b/>
                <w:bCs/>
                <w:shd w:val="clear" w:color="auto" w:fill="FFFFFF"/>
              </w:rPr>
              <w:t>- Bezdarbnieki</w:t>
            </w:r>
            <w:r w:rsidR="009B0CB0" w:rsidRPr="0010647F">
              <w:rPr>
                <w:b/>
                <w:bCs/>
                <w:shd w:val="clear" w:color="auto" w:fill="FFFFFF"/>
              </w:rPr>
              <w:t>:</w:t>
            </w:r>
          </w:p>
          <w:p w14:paraId="26624B15" w14:textId="77777777" w:rsidR="00182B4A" w:rsidRDefault="00534256" w:rsidP="0010647F">
            <w:pPr>
              <w:jc w:val="both"/>
            </w:pPr>
            <w:r w:rsidRPr="0010647F">
              <w:t xml:space="preserve">2014.gadā bezdarbnieku pabalstu vidēji mēnesī ar izmaksājamo pabalsta vidējo apmēru līdz 142,29 </w:t>
            </w:r>
            <w:r w:rsidR="008F61C0" w:rsidRPr="00473F68">
              <w:t>e</w:t>
            </w:r>
            <w:r w:rsidR="008F61C0">
              <w:t>i</w:t>
            </w:r>
            <w:r w:rsidR="008F61C0" w:rsidRPr="00473F68">
              <w:t>ro</w:t>
            </w:r>
            <w:r w:rsidR="008F61C0" w:rsidRPr="0010647F">
              <w:t xml:space="preserve"> </w:t>
            </w:r>
            <w:r w:rsidRPr="0010647F">
              <w:t>saņēma 16 757 personas jeb 46</w:t>
            </w:r>
            <w:r w:rsidR="00020C29" w:rsidRPr="0010647F">
              <w:t>,</w:t>
            </w:r>
            <w:r w:rsidRPr="0010647F">
              <w:t>8% no bezdarbnieku pabalsta saņēmējiem.</w:t>
            </w:r>
          </w:p>
          <w:p w14:paraId="78D1043E" w14:textId="77777777" w:rsidR="00BB675C" w:rsidRDefault="00BB675C" w:rsidP="00B03478">
            <w:pPr>
              <w:jc w:val="both"/>
              <w:rPr>
                <w:highlight w:val="yellow"/>
                <w:lang w:eastAsia="en-GB"/>
              </w:rPr>
            </w:pPr>
          </w:p>
          <w:p w14:paraId="1217FBF2" w14:textId="10944029" w:rsidR="00B03478" w:rsidRPr="00BB675C" w:rsidRDefault="00B03478" w:rsidP="00F6217A">
            <w:pPr>
              <w:jc w:val="both"/>
            </w:pPr>
            <w:r>
              <w:rPr>
                <w:lang w:eastAsia="en-GB"/>
              </w:rPr>
              <w:t>Attiecībā uz mērķa grupām ir jāuzsver, ka atbalsts tiks novirzīts, vērtējot mājsaimniecības situāciju kopumā, nevis katru indivīdu atsevišķi (izņemo</w:t>
            </w:r>
            <w:r w:rsidR="00F6217A">
              <w:rPr>
                <w:lang w:eastAsia="en-GB"/>
              </w:rPr>
              <w:t>t, ja cilvēks dzīvo viens, nesaņ</w:t>
            </w:r>
            <w:r>
              <w:rPr>
                <w:lang w:eastAsia="en-GB"/>
              </w:rPr>
              <w:t>emot atbalstu no citiem ģimenes locekļiem). Tāpat ir jāakcentē, ka atbalsts tiks novirzīts tieši tām iedzīvotāju grupām, kurām nabadzības risks ir visaugstākais – pensijas vecuma cilvēkiem, īpaši tiem, kuri dzīvo vieni, kā arī ģimenēm ar bērniem</w:t>
            </w:r>
            <w:r w:rsidR="00022B98">
              <w:rPr>
                <w:lang w:eastAsia="en-GB"/>
              </w:rPr>
              <w:t>, īpaši daudzbērnu un nepilnajām</w:t>
            </w:r>
            <w:r>
              <w:rPr>
                <w:lang w:eastAsia="en-GB"/>
              </w:rPr>
              <w:t xml:space="preserve">. </w:t>
            </w:r>
          </w:p>
        </w:tc>
      </w:tr>
      <w:tr w:rsidR="00230730" w:rsidRPr="006A7D0B" w14:paraId="6C92EF5A" w14:textId="77777777" w:rsidTr="006A7D0B">
        <w:tc>
          <w:tcPr>
            <w:tcW w:w="396" w:type="dxa"/>
            <w:shd w:val="clear" w:color="auto" w:fill="auto"/>
          </w:tcPr>
          <w:p w14:paraId="6EE379CD" w14:textId="36F24195" w:rsidR="00230730" w:rsidRPr="006A7D0B" w:rsidRDefault="00230730" w:rsidP="00242D7D">
            <w:pPr>
              <w:rPr>
                <w:sz w:val="22"/>
                <w:szCs w:val="22"/>
              </w:rPr>
            </w:pPr>
            <w:r w:rsidRPr="006A7D0B">
              <w:rPr>
                <w:sz w:val="22"/>
                <w:szCs w:val="22"/>
              </w:rPr>
              <w:lastRenderedPageBreak/>
              <w:t xml:space="preserve">2. </w:t>
            </w:r>
          </w:p>
        </w:tc>
        <w:tc>
          <w:tcPr>
            <w:tcW w:w="3072" w:type="dxa"/>
            <w:shd w:val="clear" w:color="auto" w:fill="auto"/>
          </w:tcPr>
          <w:p w14:paraId="27C48D88" w14:textId="77777777" w:rsidR="00230730" w:rsidRPr="006A7D0B" w:rsidRDefault="00230730" w:rsidP="00242D7D">
            <w:pPr>
              <w:rPr>
                <w:sz w:val="22"/>
                <w:szCs w:val="22"/>
              </w:rPr>
            </w:pPr>
            <w:r w:rsidRPr="00DD49B6">
              <w:t>Tiesiskā regulējuma ietekme uz tautsaimniecību un administratīvo slogu</w:t>
            </w:r>
          </w:p>
        </w:tc>
        <w:tc>
          <w:tcPr>
            <w:tcW w:w="5819" w:type="dxa"/>
            <w:shd w:val="clear" w:color="auto" w:fill="auto"/>
          </w:tcPr>
          <w:p w14:paraId="3A766F27" w14:textId="2847A3A9" w:rsidR="00985791" w:rsidRPr="00FC27E7" w:rsidRDefault="00F600B6" w:rsidP="00FC27E7">
            <w:pPr>
              <w:jc w:val="both"/>
            </w:pPr>
            <w:r w:rsidRPr="00FC27E7">
              <w:t>Šajā stadijā likumprojekts nemainīs</w:t>
            </w:r>
            <w:r w:rsidR="006E68BA" w:rsidRPr="00FC27E7">
              <w:t xml:space="preserve"> </w:t>
            </w:r>
            <w:r w:rsidR="00F547E6" w:rsidRPr="00FC27E7">
              <w:t xml:space="preserve">sabiedrības grupu un institūciju </w:t>
            </w:r>
            <w:r w:rsidR="006E68BA" w:rsidRPr="00FC27E7">
              <w:t>tiesības un pienā</w:t>
            </w:r>
            <w:r w:rsidR="00F547E6" w:rsidRPr="00FC27E7">
              <w:t>kumus, kā arī veicamās darbības</w:t>
            </w:r>
            <w:r w:rsidRPr="00FC27E7">
              <w:t>, kamēr minimālā ienākuma līmenis netiks piesaistīts konkrētai rīcībpolitikai</w:t>
            </w:r>
            <w:r w:rsidR="00FC27E7" w:rsidRPr="00FC27E7">
              <w:t xml:space="preserve">, </w:t>
            </w:r>
            <w:r w:rsidR="00FC27E7">
              <w:t>to piemērojot</w:t>
            </w:r>
            <w:r w:rsidR="00FC27E7" w:rsidRPr="00FC27E7">
              <w:t xml:space="preserve"> attiecīgo jomu regulējošajos likumos</w:t>
            </w:r>
            <w:r w:rsidR="00AB0EB7">
              <w:t xml:space="preserve"> un Ministru kabineta noteikumos</w:t>
            </w:r>
            <w:r w:rsidRPr="00FC27E7">
              <w:t xml:space="preserve">. </w:t>
            </w:r>
          </w:p>
        </w:tc>
      </w:tr>
      <w:tr w:rsidR="00407748" w:rsidRPr="007551AD" w14:paraId="2F527B95" w14:textId="77777777" w:rsidTr="006A7D0B">
        <w:tc>
          <w:tcPr>
            <w:tcW w:w="396" w:type="dxa"/>
            <w:shd w:val="clear" w:color="auto" w:fill="auto"/>
          </w:tcPr>
          <w:p w14:paraId="5BF534C6" w14:textId="77777777" w:rsidR="00230730" w:rsidRPr="006A7D0B" w:rsidRDefault="00230730" w:rsidP="00230730">
            <w:pPr>
              <w:rPr>
                <w:sz w:val="22"/>
                <w:szCs w:val="22"/>
              </w:rPr>
            </w:pPr>
            <w:r w:rsidRPr="006A7D0B">
              <w:rPr>
                <w:sz w:val="22"/>
                <w:szCs w:val="22"/>
              </w:rPr>
              <w:t>3.</w:t>
            </w:r>
          </w:p>
        </w:tc>
        <w:tc>
          <w:tcPr>
            <w:tcW w:w="3072" w:type="dxa"/>
            <w:shd w:val="clear" w:color="auto" w:fill="auto"/>
          </w:tcPr>
          <w:p w14:paraId="68F66B1E" w14:textId="77777777" w:rsidR="00230730" w:rsidRPr="006A7D0B" w:rsidRDefault="00230730" w:rsidP="00242D7D">
            <w:pPr>
              <w:rPr>
                <w:sz w:val="22"/>
                <w:szCs w:val="22"/>
              </w:rPr>
            </w:pPr>
            <w:r w:rsidRPr="006A7D0B">
              <w:rPr>
                <w:sz w:val="22"/>
                <w:szCs w:val="22"/>
              </w:rPr>
              <w:t>Administratīvo izmaksu monetārs novērtējums</w:t>
            </w:r>
          </w:p>
        </w:tc>
        <w:tc>
          <w:tcPr>
            <w:tcW w:w="5819" w:type="dxa"/>
            <w:shd w:val="clear" w:color="auto" w:fill="auto"/>
          </w:tcPr>
          <w:p w14:paraId="507839E9" w14:textId="54843B84" w:rsidR="00BD1616" w:rsidRPr="00F600B6" w:rsidRDefault="00F81D7B" w:rsidP="007633F4">
            <w:pPr>
              <w:jc w:val="both"/>
              <w:rPr>
                <w:iCs/>
              </w:rPr>
            </w:pPr>
            <w:r w:rsidRPr="00411526">
              <w:rPr>
                <w:iCs/>
              </w:rPr>
              <w:t>Š</w:t>
            </w:r>
            <w:r w:rsidR="00C01BD8" w:rsidRPr="00411526">
              <w:rPr>
                <w:iCs/>
              </w:rPr>
              <w:t xml:space="preserve">ajā stadijā </w:t>
            </w:r>
            <w:r w:rsidRPr="00411526">
              <w:rPr>
                <w:iCs/>
              </w:rPr>
              <w:t>likumprojekts neradīs</w:t>
            </w:r>
            <w:r w:rsidR="00C01BD8" w:rsidRPr="00411526">
              <w:rPr>
                <w:iCs/>
              </w:rPr>
              <w:t xml:space="preserve"> ietekm</w:t>
            </w:r>
            <w:r w:rsidRPr="00411526">
              <w:rPr>
                <w:iCs/>
              </w:rPr>
              <w:t>i</w:t>
            </w:r>
            <w:r w:rsidR="00C01BD8" w:rsidRPr="00411526">
              <w:rPr>
                <w:iCs/>
              </w:rPr>
              <w:t xml:space="preserve"> uz administratīvajām struktūrām un sistēmām, </w:t>
            </w:r>
            <w:r w:rsidR="00F600B6" w:rsidRPr="00411526">
              <w:rPr>
                <w:iCs/>
              </w:rPr>
              <w:t xml:space="preserve">tāpēc </w:t>
            </w:r>
            <w:r w:rsidR="005D57FE" w:rsidRPr="00411526">
              <w:rPr>
                <w:iCs/>
              </w:rPr>
              <w:t>a</w:t>
            </w:r>
            <w:r w:rsidR="005D57FE" w:rsidRPr="00411526">
              <w:t xml:space="preserve">dministratīvo izmaksu </w:t>
            </w:r>
            <w:r w:rsidR="00F600B6" w:rsidRPr="00411526">
              <w:rPr>
                <w:iCs/>
              </w:rPr>
              <w:t>monetārais novērtējums nav veikts. Pēc tam, kad minimālā ienāk</w:t>
            </w:r>
            <w:r w:rsidR="0044750D" w:rsidRPr="00411526">
              <w:rPr>
                <w:iCs/>
              </w:rPr>
              <w:t>uma līmeni</w:t>
            </w:r>
            <w:r w:rsidR="00F600B6" w:rsidRPr="00411526">
              <w:rPr>
                <w:iCs/>
              </w:rPr>
              <w:t>s</w:t>
            </w:r>
            <w:r w:rsidR="00C01BD8" w:rsidRPr="00411526">
              <w:rPr>
                <w:iCs/>
              </w:rPr>
              <w:t xml:space="preserve"> </w:t>
            </w:r>
            <w:r w:rsidR="00F600B6" w:rsidRPr="00411526">
              <w:rPr>
                <w:iCs/>
              </w:rPr>
              <w:t xml:space="preserve">tiks apstiprināts </w:t>
            </w:r>
            <w:r w:rsidR="00C01BD8" w:rsidRPr="00411526">
              <w:rPr>
                <w:iCs/>
              </w:rPr>
              <w:t xml:space="preserve">un </w:t>
            </w:r>
            <w:r w:rsidR="00F600B6" w:rsidRPr="00411526">
              <w:rPr>
                <w:iCs/>
              </w:rPr>
              <w:t>tiks izstrādāti</w:t>
            </w:r>
            <w:r w:rsidR="00C01BD8" w:rsidRPr="00411526">
              <w:rPr>
                <w:iCs/>
              </w:rPr>
              <w:t xml:space="preserve"> </w:t>
            </w:r>
            <w:r w:rsidR="0044750D" w:rsidRPr="00411526">
              <w:rPr>
                <w:iCs/>
              </w:rPr>
              <w:t>groz</w:t>
            </w:r>
            <w:r w:rsidR="00F600B6" w:rsidRPr="00411526">
              <w:rPr>
                <w:iCs/>
              </w:rPr>
              <w:t>ījumi</w:t>
            </w:r>
            <w:r w:rsidR="0044750D" w:rsidRPr="00411526">
              <w:rPr>
                <w:iCs/>
              </w:rPr>
              <w:t xml:space="preserve"> normatīvajos</w:t>
            </w:r>
            <w:r w:rsidR="00C01BD8" w:rsidRPr="00411526">
              <w:rPr>
                <w:iCs/>
              </w:rPr>
              <w:t xml:space="preserve"> aktos par </w:t>
            </w:r>
            <w:r w:rsidR="0044750D" w:rsidRPr="00411526">
              <w:rPr>
                <w:iCs/>
              </w:rPr>
              <w:t>minimālā ienākuma līmeņa</w:t>
            </w:r>
            <w:r w:rsidR="00C01BD8" w:rsidRPr="00411526">
              <w:rPr>
                <w:iCs/>
              </w:rPr>
              <w:t xml:space="preserve"> piemērošanu noteiktās jomās, tam būs gan tieša finanšu ietekme uz nepieciešamo publiskā finansējuma apjomu, gan paredzams vienreizējs administratīvais slogs.</w:t>
            </w:r>
            <w:r w:rsidR="00411526">
              <w:rPr>
                <w:iCs/>
              </w:rPr>
              <w:t xml:space="preserve"> Minētā </w:t>
            </w:r>
            <w:r w:rsidR="00411526">
              <w:rPr>
                <w:iCs/>
              </w:rPr>
              <w:lastRenderedPageBreak/>
              <w:t xml:space="preserve">informācija tiks attiecīgi sniegta </w:t>
            </w:r>
            <w:r w:rsidR="00767960">
              <w:rPr>
                <w:lang w:eastAsia="en-GB"/>
              </w:rPr>
              <w:t>normatīvo aktu projektu</w:t>
            </w:r>
            <w:r w:rsidR="00767960" w:rsidRPr="00F609DA">
              <w:rPr>
                <w:lang w:eastAsia="en-GB"/>
              </w:rPr>
              <w:t xml:space="preserve"> </w:t>
            </w:r>
            <w:r w:rsidR="00767960" w:rsidRPr="00767960">
              <w:t>sākotnējās ietekmes novērtējuma ziņojum</w:t>
            </w:r>
            <w:r w:rsidR="00767960">
              <w:t>os (anotācijās</w:t>
            </w:r>
            <w:r w:rsidR="00767960" w:rsidRPr="00767960">
              <w:t>)</w:t>
            </w:r>
            <w:r w:rsidR="00767960">
              <w:t xml:space="preserve">, kuri </w:t>
            </w:r>
            <w:r w:rsidR="00767960" w:rsidRPr="00F609DA">
              <w:rPr>
                <w:lang w:eastAsia="en-GB"/>
              </w:rPr>
              <w:t>Ministru kabinetā jāiesniedz</w:t>
            </w:r>
            <w:r w:rsidR="00767960">
              <w:rPr>
                <w:lang w:eastAsia="en-GB"/>
              </w:rPr>
              <w:t xml:space="preserve"> līdz </w:t>
            </w:r>
            <w:r w:rsidR="00767960" w:rsidRPr="00F609DA">
              <w:rPr>
                <w:lang w:eastAsia="en-GB"/>
              </w:rPr>
              <w:t xml:space="preserve">2016.gada 1.oktobrim </w:t>
            </w:r>
            <w:r w:rsidR="00767960">
              <w:t>s</w:t>
            </w:r>
            <w:r w:rsidR="00767960" w:rsidRPr="00F609DA">
              <w:rPr>
                <w:lang w:eastAsia="en-GB"/>
              </w:rPr>
              <w:t xml:space="preserve">askaņā ar </w:t>
            </w:r>
            <w:r w:rsidR="00767960">
              <w:rPr>
                <w:lang w:eastAsia="en-GB"/>
              </w:rPr>
              <w:t>r</w:t>
            </w:r>
            <w:r w:rsidR="00767960" w:rsidRPr="00F609DA">
              <w:rPr>
                <w:lang w:eastAsia="en-GB"/>
              </w:rPr>
              <w:t xml:space="preserve">īkojuma Nr. 619 </w:t>
            </w:r>
            <w:r w:rsidR="00767960">
              <w:rPr>
                <w:lang w:eastAsia="en-GB"/>
              </w:rPr>
              <w:t>4.2. apakšpunktu</w:t>
            </w:r>
            <w:r w:rsidR="00767960">
              <w:rPr>
                <w:sz w:val="28"/>
                <w:szCs w:val="28"/>
                <w:lang w:eastAsia="en-GB"/>
              </w:rPr>
              <w:t>.</w:t>
            </w:r>
          </w:p>
        </w:tc>
      </w:tr>
      <w:tr w:rsidR="00230730" w:rsidRPr="006A7D0B" w14:paraId="30E37D2E" w14:textId="77777777" w:rsidTr="006A7D0B">
        <w:tc>
          <w:tcPr>
            <w:tcW w:w="396" w:type="dxa"/>
            <w:shd w:val="clear" w:color="auto" w:fill="auto"/>
          </w:tcPr>
          <w:p w14:paraId="0A5BD81A" w14:textId="77777777" w:rsidR="00230730" w:rsidRPr="006A7D0B" w:rsidRDefault="00230730" w:rsidP="00242D7D">
            <w:pPr>
              <w:rPr>
                <w:sz w:val="22"/>
                <w:szCs w:val="22"/>
              </w:rPr>
            </w:pPr>
            <w:r w:rsidRPr="006A7D0B">
              <w:rPr>
                <w:sz w:val="22"/>
                <w:szCs w:val="22"/>
              </w:rPr>
              <w:lastRenderedPageBreak/>
              <w:t xml:space="preserve">4. </w:t>
            </w:r>
          </w:p>
        </w:tc>
        <w:tc>
          <w:tcPr>
            <w:tcW w:w="3072" w:type="dxa"/>
            <w:shd w:val="clear" w:color="auto" w:fill="auto"/>
          </w:tcPr>
          <w:p w14:paraId="007E102D" w14:textId="77777777" w:rsidR="00230730" w:rsidRPr="006A7D0B" w:rsidRDefault="00230730" w:rsidP="00242D7D">
            <w:pPr>
              <w:rPr>
                <w:sz w:val="22"/>
                <w:szCs w:val="22"/>
              </w:rPr>
            </w:pPr>
            <w:r w:rsidRPr="006A7D0B">
              <w:rPr>
                <w:sz w:val="22"/>
                <w:szCs w:val="22"/>
              </w:rPr>
              <w:t>Cita informācija</w:t>
            </w:r>
          </w:p>
        </w:tc>
        <w:tc>
          <w:tcPr>
            <w:tcW w:w="5819" w:type="dxa"/>
            <w:shd w:val="clear" w:color="auto" w:fill="auto"/>
          </w:tcPr>
          <w:p w14:paraId="438A6F7A" w14:textId="77088512" w:rsidR="00C01BD8" w:rsidRPr="00F600B6" w:rsidRDefault="00411526" w:rsidP="00411526">
            <w:pPr>
              <w:jc w:val="both"/>
            </w:pPr>
            <w:r>
              <w:t xml:space="preserve">Nav. </w:t>
            </w:r>
          </w:p>
        </w:tc>
      </w:tr>
    </w:tbl>
    <w:p w14:paraId="224609BB" w14:textId="77777777" w:rsidR="00DB4594" w:rsidRDefault="00DB45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1530"/>
        <w:gridCol w:w="1310"/>
        <w:gridCol w:w="1218"/>
        <w:gridCol w:w="1228"/>
        <w:gridCol w:w="1255"/>
      </w:tblGrid>
      <w:tr w:rsidR="00273F99" w14:paraId="5BD71318" w14:textId="77777777" w:rsidTr="006A7D0B">
        <w:tc>
          <w:tcPr>
            <w:tcW w:w="9287" w:type="dxa"/>
            <w:gridSpan w:val="6"/>
            <w:shd w:val="clear" w:color="auto" w:fill="auto"/>
          </w:tcPr>
          <w:p w14:paraId="73F0115D" w14:textId="77777777" w:rsidR="00273F99" w:rsidRDefault="00DB4594" w:rsidP="006A7D0B">
            <w:pPr>
              <w:jc w:val="center"/>
            </w:pPr>
            <w:r>
              <w:br w:type="page"/>
            </w:r>
            <w:r w:rsidR="00273F99" w:rsidRPr="006A7D0B">
              <w:rPr>
                <w:b/>
              </w:rPr>
              <w:t>III</w:t>
            </w:r>
            <w:r w:rsidR="00DC37D9" w:rsidRPr="006A7D0B">
              <w:rPr>
                <w:b/>
              </w:rPr>
              <w:t>.</w:t>
            </w:r>
            <w:r w:rsidR="00273F99">
              <w:t xml:space="preserve"> </w:t>
            </w:r>
            <w:r w:rsidR="00273F99" w:rsidRPr="006A7D0B">
              <w:rPr>
                <w:b/>
                <w:bCs/>
              </w:rPr>
              <w:t xml:space="preserve">Tiesību </w:t>
            </w:r>
            <w:smartTag w:uri="schemas-tilde-lv/tildestengine" w:element="veidnes">
              <w:smartTagPr>
                <w:attr w:name="text" w:val="akta"/>
                <w:attr w:name="id" w:val="-1"/>
                <w:attr w:name="baseform" w:val="akt|s"/>
              </w:smartTagPr>
              <w:r w:rsidR="00273F99" w:rsidRPr="006A7D0B">
                <w:rPr>
                  <w:b/>
                  <w:bCs/>
                </w:rPr>
                <w:t>akta</w:t>
              </w:r>
            </w:smartTag>
            <w:r w:rsidR="00273F99" w:rsidRPr="006A7D0B">
              <w:rPr>
                <w:b/>
                <w:bCs/>
              </w:rPr>
              <w:t xml:space="preserve"> projekta ietekme uz valsts budžetu un pašvaldību budžetiem</w:t>
            </w:r>
          </w:p>
        </w:tc>
      </w:tr>
      <w:tr w:rsidR="00273F99" w14:paraId="161A07D2" w14:textId="77777777" w:rsidTr="006A7D0B">
        <w:tc>
          <w:tcPr>
            <w:tcW w:w="2746" w:type="dxa"/>
            <w:vMerge w:val="restart"/>
            <w:shd w:val="clear" w:color="auto" w:fill="auto"/>
            <w:vAlign w:val="center"/>
          </w:tcPr>
          <w:p w14:paraId="650478BA" w14:textId="77777777" w:rsidR="00273F99" w:rsidRDefault="00273F99" w:rsidP="006A7D0B">
            <w:pPr>
              <w:jc w:val="center"/>
            </w:pPr>
            <w:r w:rsidRPr="006A7D0B">
              <w:rPr>
                <w:b/>
                <w:sz w:val="22"/>
                <w:szCs w:val="22"/>
              </w:rPr>
              <w:t>Rādītāji</w:t>
            </w:r>
          </w:p>
        </w:tc>
        <w:tc>
          <w:tcPr>
            <w:tcW w:w="2840" w:type="dxa"/>
            <w:gridSpan w:val="2"/>
            <w:vMerge w:val="restart"/>
            <w:shd w:val="clear" w:color="auto" w:fill="auto"/>
            <w:vAlign w:val="center"/>
          </w:tcPr>
          <w:p w14:paraId="77985ED2" w14:textId="77777777" w:rsidR="00273F99" w:rsidRDefault="00273F99" w:rsidP="00F22683">
            <w:pPr>
              <w:jc w:val="center"/>
            </w:pPr>
            <w:r w:rsidRPr="006A7D0B">
              <w:rPr>
                <w:b/>
                <w:sz w:val="22"/>
                <w:szCs w:val="22"/>
              </w:rPr>
              <w:t>201</w:t>
            </w:r>
            <w:r w:rsidR="00F22683">
              <w:rPr>
                <w:b/>
                <w:sz w:val="22"/>
                <w:szCs w:val="22"/>
              </w:rPr>
              <w:t>5</w:t>
            </w:r>
          </w:p>
        </w:tc>
        <w:tc>
          <w:tcPr>
            <w:tcW w:w="3701" w:type="dxa"/>
            <w:gridSpan w:val="3"/>
            <w:shd w:val="clear" w:color="auto" w:fill="auto"/>
            <w:vAlign w:val="center"/>
          </w:tcPr>
          <w:p w14:paraId="2B7A83AB" w14:textId="77777777" w:rsidR="00273F99" w:rsidRDefault="00273F99" w:rsidP="006A7D0B">
            <w:pPr>
              <w:jc w:val="center"/>
            </w:pPr>
            <w:r w:rsidRPr="006A7D0B">
              <w:rPr>
                <w:sz w:val="22"/>
                <w:szCs w:val="22"/>
              </w:rPr>
              <w:t>Turpmākie trīs gadi</w:t>
            </w:r>
            <w:r w:rsidR="00230730" w:rsidRPr="006A7D0B">
              <w:rPr>
                <w:sz w:val="22"/>
                <w:szCs w:val="22"/>
              </w:rPr>
              <w:t xml:space="preserve"> (</w:t>
            </w:r>
            <w:r w:rsidR="00700736">
              <w:rPr>
                <w:i/>
                <w:sz w:val="22"/>
                <w:szCs w:val="22"/>
              </w:rPr>
              <w:t>eiro</w:t>
            </w:r>
            <w:r w:rsidR="00230730" w:rsidRPr="006A7D0B">
              <w:rPr>
                <w:sz w:val="22"/>
                <w:szCs w:val="22"/>
              </w:rPr>
              <w:t>)</w:t>
            </w:r>
          </w:p>
        </w:tc>
      </w:tr>
      <w:tr w:rsidR="00273F99" w14:paraId="355D4DA1" w14:textId="77777777" w:rsidTr="006A7D0B">
        <w:tc>
          <w:tcPr>
            <w:tcW w:w="2746" w:type="dxa"/>
            <w:vMerge/>
            <w:shd w:val="clear" w:color="auto" w:fill="auto"/>
          </w:tcPr>
          <w:p w14:paraId="7FAACED0" w14:textId="77777777" w:rsidR="00273F99" w:rsidRDefault="00273F99" w:rsidP="006A7D0B">
            <w:pPr>
              <w:jc w:val="center"/>
            </w:pPr>
          </w:p>
        </w:tc>
        <w:tc>
          <w:tcPr>
            <w:tcW w:w="2840" w:type="dxa"/>
            <w:gridSpan w:val="2"/>
            <w:vMerge/>
            <w:shd w:val="clear" w:color="auto" w:fill="auto"/>
          </w:tcPr>
          <w:p w14:paraId="56CD055C" w14:textId="77777777" w:rsidR="00273F99" w:rsidRPr="006A7D0B" w:rsidRDefault="00273F99" w:rsidP="006A7D0B">
            <w:pPr>
              <w:jc w:val="center"/>
              <w:rPr>
                <w:b/>
                <w:sz w:val="22"/>
                <w:szCs w:val="22"/>
              </w:rPr>
            </w:pPr>
          </w:p>
        </w:tc>
        <w:tc>
          <w:tcPr>
            <w:tcW w:w="1218" w:type="dxa"/>
            <w:shd w:val="clear" w:color="auto" w:fill="auto"/>
            <w:vAlign w:val="bottom"/>
          </w:tcPr>
          <w:p w14:paraId="125387BF" w14:textId="77777777" w:rsidR="00273F99" w:rsidRPr="006A7D0B" w:rsidRDefault="00273F99" w:rsidP="00F22683">
            <w:pPr>
              <w:pStyle w:val="naisf"/>
              <w:spacing w:before="0" w:after="0"/>
              <w:ind w:firstLine="0"/>
              <w:jc w:val="center"/>
              <w:rPr>
                <w:b/>
                <w:i/>
                <w:sz w:val="22"/>
                <w:szCs w:val="22"/>
              </w:rPr>
            </w:pPr>
            <w:r w:rsidRPr="006A7D0B">
              <w:rPr>
                <w:b/>
                <w:bCs/>
                <w:sz w:val="22"/>
                <w:szCs w:val="22"/>
              </w:rPr>
              <w:t>201</w:t>
            </w:r>
            <w:r w:rsidR="00F22683">
              <w:rPr>
                <w:b/>
                <w:bCs/>
                <w:sz w:val="22"/>
                <w:szCs w:val="22"/>
              </w:rPr>
              <w:t>6</w:t>
            </w:r>
          </w:p>
        </w:tc>
        <w:tc>
          <w:tcPr>
            <w:tcW w:w="1228" w:type="dxa"/>
            <w:shd w:val="clear" w:color="auto" w:fill="auto"/>
            <w:vAlign w:val="bottom"/>
          </w:tcPr>
          <w:p w14:paraId="298B5E63" w14:textId="77777777" w:rsidR="00273F99" w:rsidRPr="006A7D0B" w:rsidRDefault="00273F99" w:rsidP="00F22683">
            <w:pPr>
              <w:pStyle w:val="naisf"/>
              <w:spacing w:before="0" w:after="0"/>
              <w:ind w:firstLine="0"/>
              <w:jc w:val="center"/>
              <w:rPr>
                <w:b/>
                <w:i/>
                <w:sz w:val="22"/>
                <w:szCs w:val="22"/>
              </w:rPr>
            </w:pPr>
            <w:r w:rsidRPr="006A7D0B">
              <w:rPr>
                <w:b/>
                <w:bCs/>
                <w:sz w:val="22"/>
                <w:szCs w:val="22"/>
              </w:rPr>
              <w:t>201</w:t>
            </w:r>
            <w:r w:rsidR="00F22683">
              <w:rPr>
                <w:b/>
                <w:bCs/>
                <w:sz w:val="22"/>
                <w:szCs w:val="22"/>
              </w:rPr>
              <w:t>7</w:t>
            </w:r>
          </w:p>
        </w:tc>
        <w:tc>
          <w:tcPr>
            <w:tcW w:w="1255" w:type="dxa"/>
            <w:shd w:val="clear" w:color="auto" w:fill="auto"/>
            <w:vAlign w:val="bottom"/>
          </w:tcPr>
          <w:p w14:paraId="62B0D80D" w14:textId="77777777" w:rsidR="00273F99" w:rsidRPr="006A7D0B" w:rsidRDefault="00273F99" w:rsidP="00F22683">
            <w:pPr>
              <w:pStyle w:val="naisf"/>
              <w:spacing w:before="0" w:after="0"/>
              <w:ind w:firstLine="0"/>
              <w:jc w:val="center"/>
              <w:rPr>
                <w:b/>
                <w:i/>
                <w:sz w:val="22"/>
                <w:szCs w:val="22"/>
              </w:rPr>
            </w:pPr>
            <w:r w:rsidRPr="006A7D0B">
              <w:rPr>
                <w:b/>
                <w:bCs/>
                <w:sz w:val="22"/>
                <w:szCs w:val="22"/>
              </w:rPr>
              <w:t>201</w:t>
            </w:r>
            <w:r w:rsidR="00F22683">
              <w:rPr>
                <w:b/>
                <w:bCs/>
                <w:sz w:val="22"/>
                <w:szCs w:val="22"/>
              </w:rPr>
              <w:t>8</w:t>
            </w:r>
          </w:p>
        </w:tc>
      </w:tr>
      <w:tr w:rsidR="00273F99" w:rsidRPr="006A7D0B" w14:paraId="5527F8EA" w14:textId="77777777" w:rsidTr="006A7D0B">
        <w:tc>
          <w:tcPr>
            <w:tcW w:w="2746" w:type="dxa"/>
            <w:vMerge/>
            <w:shd w:val="clear" w:color="auto" w:fill="auto"/>
            <w:vAlign w:val="bottom"/>
          </w:tcPr>
          <w:p w14:paraId="5777EA56" w14:textId="77777777" w:rsidR="00273F99" w:rsidRPr="006A7D0B" w:rsidRDefault="00273F99" w:rsidP="006A7D0B">
            <w:pPr>
              <w:jc w:val="center"/>
              <w:rPr>
                <w:sz w:val="22"/>
                <w:szCs w:val="22"/>
              </w:rPr>
            </w:pPr>
          </w:p>
        </w:tc>
        <w:tc>
          <w:tcPr>
            <w:tcW w:w="1530" w:type="dxa"/>
            <w:shd w:val="clear" w:color="auto" w:fill="auto"/>
          </w:tcPr>
          <w:p w14:paraId="2E65BEB5" w14:textId="77777777" w:rsidR="00273F99" w:rsidRPr="006A7D0B" w:rsidRDefault="00230730" w:rsidP="006A7D0B">
            <w:pPr>
              <w:jc w:val="center"/>
              <w:rPr>
                <w:sz w:val="22"/>
                <w:szCs w:val="22"/>
              </w:rPr>
            </w:pPr>
            <w:r w:rsidRPr="006A7D0B">
              <w:rPr>
                <w:sz w:val="22"/>
                <w:szCs w:val="22"/>
              </w:rPr>
              <w:t>s</w:t>
            </w:r>
            <w:r w:rsidR="00273F99" w:rsidRPr="006A7D0B">
              <w:rPr>
                <w:sz w:val="22"/>
                <w:szCs w:val="22"/>
              </w:rPr>
              <w:t>askaņā ar valsts budžetu kārtējam gadam</w:t>
            </w:r>
          </w:p>
        </w:tc>
        <w:tc>
          <w:tcPr>
            <w:tcW w:w="1310" w:type="dxa"/>
            <w:shd w:val="clear" w:color="auto" w:fill="auto"/>
          </w:tcPr>
          <w:p w14:paraId="1051FAF3" w14:textId="77777777" w:rsidR="00273F99" w:rsidRPr="006A7D0B" w:rsidRDefault="00230730" w:rsidP="006A7D0B">
            <w:pPr>
              <w:jc w:val="center"/>
              <w:rPr>
                <w:sz w:val="22"/>
                <w:szCs w:val="22"/>
              </w:rPr>
            </w:pPr>
            <w:r w:rsidRPr="006A7D0B">
              <w:rPr>
                <w:sz w:val="22"/>
                <w:szCs w:val="22"/>
              </w:rPr>
              <w:t>i</w:t>
            </w:r>
            <w:r w:rsidR="00273F99" w:rsidRPr="006A7D0B">
              <w:rPr>
                <w:sz w:val="22"/>
                <w:szCs w:val="22"/>
              </w:rPr>
              <w:t xml:space="preserve">zmaiņas kārtējā gadā salīdzinot ar </w:t>
            </w:r>
            <w:r w:rsidRPr="006A7D0B">
              <w:rPr>
                <w:sz w:val="22"/>
                <w:szCs w:val="22"/>
              </w:rPr>
              <w:t xml:space="preserve">valsts </w:t>
            </w:r>
            <w:r w:rsidR="00273F99" w:rsidRPr="006A7D0B">
              <w:rPr>
                <w:sz w:val="22"/>
                <w:szCs w:val="22"/>
              </w:rPr>
              <w:t>budžetu kārtējam gadam</w:t>
            </w:r>
          </w:p>
        </w:tc>
        <w:tc>
          <w:tcPr>
            <w:tcW w:w="1218" w:type="dxa"/>
            <w:shd w:val="clear" w:color="auto" w:fill="auto"/>
          </w:tcPr>
          <w:p w14:paraId="341503E9" w14:textId="77777777" w:rsidR="00273F99" w:rsidRPr="006A7D0B" w:rsidRDefault="00230730" w:rsidP="006A7D0B">
            <w:pPr>
              <w:jc w:val="center"/>
              <w:rPr>
                <w:sz w:val="22"/>
                <w:szCs w:val="22"/>
              </w:rPr>
            </w:pPr>
            <w:r w:rsidRPr="006A7D0B">
              <w:rPr>
                <w:sz w:val="22"/>
                <w:szCs w:val="22"/>
              </w:rPr>
              <w:t>i</w:t>
            </w:r>
            <w:r w:rsidR="00273F99" w:rsidRPr="006A7D0B">
              <w:rPr>
                <w:sz w:val="22"/>
                <w:szCs w:val="22"/>
              </w:rPr>
              <w:t>zmaiņas salīdzinot ar kārtējo gadu</w:t>
            </w:r>
          </w:p>
        </w:tc>
        <w:tc>
          <w:tcPr>
            <w:tcW w:w="1228" w:type="dxa"/>
            <w:shd w:val="clear" w:color="auto" w:fill="auto"/>
          </w:tcPr>
          <w:p w14:paraId="2543CE00" w14:textId="77777777" w:rsidR="00273F99" w:rsidRPr="006A7D0B" w:rsidRDefault="00230730" w:rsidP="006A7D0B">
            <w:pPr>
              <w:jc w:val="center"/>
              <w:rPr>
                <w:sz w:val="22"/>
                <w:szCs w:val="22"/>
              </w:rPr>
            </w:pPr>
            <w:r w:rsidRPr="006A7D0B">
              <w:rPr>
                <w:sz w:val="22"/>
                <w:szCs w:val="22"/>
              </w:rPr>
              <w:t>i</w:t>
            </w:r>
            <w:r w:rsidR="00273F99" w:rsidRPr="006A7D0B">
              <w:rPr>
                <w:sz w:val="22"/>
                <w:szCs w:val="22"/>
              </w:rPr>
              <w:t>zmaiņas salīdzinot ar kārtējo gadu</w:t>
            </w:r>
          </w:p>
        </w:tc>
        <w:tc>
          <w:tcPr>
            <w:tcW w:w="1255" w:type="dxa"/>
            <w:shd w:val="clear" w:color="auto" w:fill="auto"/>
          </w:tcPr>
          <w:p w14:paraId="35428D00" w14:textId="77777777" w:rsidR="00273F99" w:rsidRPr="006A7D0B" w:rsidRDefault="00230730" w:rsidP="006A7D0B">
            <w:pPr>
              <w:jc w:val="center"/>
              <w:rPr>
                <w:sz w:val="22"/>
                <w:szCs w:val="22"/>
              </w:rPr>
            </w:pPr>
            <w:r w:rsidRPr="006A7D0B">
              <w:rPr>
                <w:sz w:val="22"/>
                <w:szCs w:val="22"/>
              </w:rPr>
              <w:t>i</w:t>
            </w:r>
            <w:r w:rsidR="00273F99" w:rsidRPr="006A7D0B">
              <w:rPr>
                <w:sz w:val="22"/>
                <w:szCs w:val="22"/>
              </w:rPr>
              <w:t>zmaiņas salīdzinot ar kārtējo gadu</w:t>
            </w:r>
          </w:p>
        </w:tc>
      </w:tr>
      <w:tr w:rsidR="003B629D" w14:paraId="138DEC1D" w14:textId="77777777" w:rsidTr="006A7D0B">
        <w:tc>
          <w:tcPr>
            <w:tcW w:w="2746" w:type="dxa"/>
            <w:shd w:val="clear" w:color="auto" w:fill="auto"/>
          </w:tcPr>
          <w:p w14:paraId="79850085" w14:textId="77777777" w:rsidR="003B629D" w:rsidRPr="006A7D0B" w:rsidRDefault="003B629D" w:rsidP="006A7D0B">
            <w:pPr>
              <w:pStyle w:val="naisf"/>
              <w:spacing w:before="0" w:after="0"/>
              <w:ind w:firstLine="0"/>
              <w:jc w:val="center"/>
              <w:rPr>
                <w:b/>
                <w:sz w:val="22"/>
                <w:szCs w:val="22"/>
              </w:rPr>
            </w:pPr>
            <w:r w:rsidRPr="006A7D0B">
              <w:rPr>
                <w:b/>
                <w:sz w:val="22"/>
                <w:szCs w:val="22"/>
              </w:rPr>
              <w:t>1</w:t>
            </w:r>
          </w:p>
        </w:tc>
        <w:tc>
          <w:tcPr>
            <w:tcW w:w="1530" w:type="dxa"/>
            <w:shd w:val="clear" w:color="auto" w:fill="auto"/>
          </w:tcPr>
          <w:p w14:paraId="7E71F482" w14:textId="77777777" w:rsidR="003B629D" w:rsidRPr="006A7D0B" w:rsidRDefault="003B629D" w:rsidP="006A7D0B">
            <w:pPr>
              <w:pStyle w:val="naisf"/>
              <w:spacing w:before="0" w:after="0"/>
              <w:ind w:firstLine="0"/>
              <w:jc w:val="center"/>
              <w:rPr>
                <w:b/>
                <w:sz w:val="22"/>
                <w:szCs w:val="22"/>
              </w:rPr>
            </w:pPr>
            <w:r w:rsidRPr="006A7D0B">
              <w:rPr>
                <w:b/>
                <w:sz w:val="22"/>
                <w:szCs w:val="22"/>
              </w:rPr>
              <w:t>2</w:t>
            </w:r>
          </w:p>
        </w:tc>
        <w:tc>
          <w:tcPr>
            <w:tcW w:w="1310" w:type="dxa"/>
            <w:shd w:val="clear" w:color="auto" w:fill="auto"/>
          </w:tcPr>
          <w:p w14:paraId="74BE2BB7" w14:textId="77777777" w:rsidR="003B629D" w:rsidRPr="006A7D0B" w:rsidRDefault="003B629D" w:rsidP="006A7D0B">
            <w:pPr>
              <w:pStyle w:val="naisf"/>
              <w:spacing w:before="0" w:after="0"/>
              <w:ind w:firstLine="0"/>
              <w:jc w:val="center"/>
              <w:rPr>
                <w:b/>
                <w:sz w:val="22"/>
                <w:szCs w:val="22"/>
              </w:rPr>
            </w:pPr>
            <w:r w:rsidRPr="006A7D0B">
              <w:rPr>
                <w:b/>
                <w:sz w:val="22"/>
                <w:szCs w:val="22"/>
              </w:rPr>
              <w:t>3</w:t>
            </w:r>
          </w:p>
        </w:tc>
        <w:tc>
          <w:tcPr>
            <w:tcW w:w="1218" w:type="dxa"/>
            <w:shd w:val="clear" w:color="auto" w:fill="auto"/>
          </w:tcPr>
          <w:p w14:paraId="3E9FFB80" w14:textId="77777777" w:rsidR="003B629D" w:rsidRPr="006A7D0B" w:rsidRDefault="003B629D" w:rsidP="006A7D0B">
            <w:pPr>
              <w:pStyle w:val="naisf"/>
              <w:spacing w:before="0" w:after="0"/>
              <w:ind w:firstLine="0"/>
              <w:jc w:val="center"/>
              <w:rPr>
                <w:b/>
                <w:sz w:val="22"/>
                <w:szCs w:val="22"/>
              </w:rPr>
            </w:pPr>
            <w:r w:rsidRPr="006A7D0B">
              <w:rPr>
                <w:b/>
                <w:sz w:val="22"/>
                <w:szCs w:val="22"/>
              </w:rPr>
              <w:t>4</w:t>
            </w:r>
          </w:p>
        </w:tc>
        <w:tc>
          <w:tcPr>
            <w:tcW w:w="1228" w:type="dxa"/>
            <w:shd w:val="clear" w:color="auto" w:fill="auto"/>
          </w:tcPr>
          <w:p w14:paraId="1A802642" w14:textId="77777777" w:rsidR="003B629D" w:rsidRPr="006A7D0B" w:rsidRDefault="003B629D" w:rsidP="006A7D0B">
            <w:pPr>
              <w:pStyle w:val="naisf"/>
              <w:spacing w:before="0" w:after="0"/>
              <w:ind w:firstLine="0"/>
              <w:jc w:val="center"/>
              <w:rPr>
                <w:b/>
                <w:sz w:val="22"/>
                <w:szCs w:val="22"/>
              </w:rPr>
            </w:pPr>
            <w:r w:rsidRPr="006A7D0B">
              <w:rPr>
                <w:b/>
                <w:sz w:val="22"/>
                <w:szCs w:val="22"/>
              </w:rPr>
              <w:t>5</w:t>
            </w:r>
          </w:p>
        </w:tc>
        <w:tc>
          <w:tcPr>
            <w:tcW w:w="1255" w:type="dxa"/>
            <w:shd w:val="clear" w:color="auto" w:fill="auto"/>
          </w:tcPr>
          <w:p w14:paraId="414873C4" w14:textId="77777777" w:rsidR="003B629D" w:rsidRPr="006A7D0B" w:rsidRDefault="003B629D" w:rsidP="006A7D0B">
            <w:pPr>
              <w:pStyle w:val="naisf"/>
              <w:spacing w:before="0" w:after="0"/>
              <w:ind w:firstLine="0"/>
              <w:jc w:val="center"/>
              <w:rPr>
                <w:b/>
                <w:sz w:val="22"/>
                <w:szCs w:val="22"/>
              </w:rPr>
            </w:pPr>
            <w:r w:rsidRPr="006A7D0B">
              <w:rPr>
                <w:b/>
                <w:sz w:val="22"/>
                <w:szCs w:val="22"/>
              </w:rPr>
              <w:t>6</w:t>
            </w:r>
          </w:p>
        </w:tc>
      </w:tr>
      <w:tr w:rsidR="00330E6E" w14:paraId="10CFE5C4" w14:textId="77777777" w:rsidTr="006A7D0B">
        <w:tc>
          <w:tcPr>
            <w:tcW w:w="2746" w:type="dxa"/>
            <w:shd w:val="clear" w:color="auto" w:fill="auto"/>
          </w:tcPr>
          <w:p w14:paraId="46A7DA12" w14:textId="77777777" w:rsidR="00330E6E" w:rsidRDefault="00330E6E" w:rsidP="003F27FC">
            <w:r w:rsidRPr="006A7D0B">
              <w:rPr>
                <w:sz w:val="22"/>
                <w:szCs w:val="22"/>
              </w:rPr>
              <w:t>1. Budžeta ieņēmumi:</w:t>
            </w:r>
          </w:p>
        </w:tc>
        <w:tc>
          <w:tcPr>
            <w:tcW w:w="1530" w:type="dxa"/>
            <w:shd w:val="clear" w:color="auto" w:fill="auto"/>
          </w:tcPr>
          <w:p w14:paraId="3065AD98" w14:textId="77777777" w:rsidR="00330E6E" w:rsidRDefault="00330E6E" w:rsidP="003F27FC"/>
        </w:tc>
        <w:tc>
          <w:tcPr>
            <w:tcW w:w="1310" w:type="dxa"/>
            <w:shd w:val="clear" w:color="auto" w:fill="auto"/>
          </w:tcPr>
          <w:p w14:paraId="47C17DE1" w14:textId="77777777" w:rsidR="00330E6E" w:rsidRDefault="00330E6E" w:rsidP="003F27FC"/>
        </w:tc>
        <w:tc>
          <w:tcPr>
            <w:tcW w:w="1218" w:type="dxa"/>
            <w:shd w:val="clear" w:color="auto" w:fill="auto"/>
          </w:tcPr>
          <w:p w14:paraId="6506FC86" w14:textId="77777777" w:rsidR="00330E6E" w:rsidRDefault="00330E6E" w:rsidP="003F27FC"/>
        </w:tc>
        <w:tc>
          <w:tcPr>
            <w:tcW w:w="1228" w:type="dxa"/>
            <w:shd w:val="clear" w:color="auto" w:fill="auto"/>
          </w:tcPr>
          <w:p w14:paraId="58128E13" w14:textId="77777777" w:rsidR="00330E6E" w:rsidRDefault="00330E6E" w:rsidP="003F27FC"/>
        </w:tc>
        <w:tc>
          <w:tcPr>
            <w:tcW w:w="1255" w:type="dxa"/>
            <w:shd w:val="clear" w:color="auto" w:fill="auto"/>
          </w:tcPr>
          <w:p w14:paraId="5AE1503C" w14:textId="77777777" w:rsidR="00330E6E" w:rsidRDefault="00330E6E" w:rsidP="003F27FC"/>
        </w:tc>
      </w:tr>
      <w:tr w:rsidR="003F27FC" w:rsidRPr="006A7D0B" w14:paraId="7B7197B2" w14:textId="77777777" w:rsidTr="006A7D0B">
        <w:tc>
          <w:tcPr>
            <w:tcW w:w="2746" w:type="dxa"/>
            <w:shd w:val="clear" w:color="auto" w:fill="auto"/>
          </w:tcPr>
          <w:p w14:paraId="12AE4D1F" w14:textId="77777777" w:rsidR="003F27FC" w:rsidRPr="006A7D0B" w:rsidRDefault="003F27FC" w:rsidP="00273F99">
            <w:pPr>
              <w:rPr>
                <w:sz w:val="22"/>
                <w:szCs w:val="22"/>
              </w:rPr>
            </w:pPr>
            <w:r w:rsidRPr="006A7D0B">
              <w:rPr>
                <w:sz w:val="22"/>
                <w:szCs w:val="22"/>
              </w:rPr>
              <w:t>1.1. valsts pamatbudžets, tai skaitā ieņēmumi no maksas pakalpojumiem un citi pašu ieņēmumi</w:t>
            </w:r>
          </w:p>
        </w:tc>
        <w:tc>
          <w:tcPr>
            <w:tcW w:w="1530" w:type="dxa"/>
            <w:shd w:val="clear" w:color="auto" w:fill="auto"/>
            <w:vAlign w:val="center"/>
          </w:tcPr>
          <w:p w14:paraId="43D16B96" w14:textId="77777777" w:rsidR="003F27FC" w:rsidRPr="006A7D0B" w:rsidRDefault="003F27FC" w:rsidP="006A7D0B">
            <w:pPr>
              <w:jc w:val="center"/>
              <w:rPr>
                <w:sz w:val="22"/>
                <w:szCs w:val="22"/>
              </w:rPr>
            </w:pPr>
          </w:p>
        </w:tc>
        <w:tc>
          <w:tcPr>
            <w:tcW w:w="1310" w:type="dxa"/>
            <w:shd w:val="clear" w:color="auto" w:fill="auto"/>
            <w:vAlign w:val="center"/>
          </w:tcPr>
          <w:p w14:paraId="541944B7" w14:textId="77777777" w:rsidR="003F27FC" w:rsidRPr="006A7D0B" w:rsidRDefault="003F27FC" w:rsidP="006A7D0B">
            <w:pPr>
              <w:jc w:val="center"/>
              <w:rPr>
                <w:sz w:val="22"/>
                <w:szCs w:val="22"/>
              </w:rPr>
            </w:pPr>
          </w:p>
        </w:tc>
        <w:tc>
          <w:tcPr>
            <w:tcW w:w="1218" w:type="dxa"/>
            <w:shd w:val="clear" w:color="auto" w:fill="auto"/>
            <w:vAlign w:val="center"/>
          </w:tcPr>
          <w:p w14:paraId="686DF78C" w14:textId="77777777" w:rsidR="003F27FC" w:rsidRPr="006A7D0B" w:rsidRDefault="003F27FC" w:rsidP="006A7D0B">
            <w:pPr>
              <w:jc w:val="center"/>
              <w:rPr>
                <w:sz w:val="22"/>
                <w:szCs w:val="22"/>
              </w:rPr>
            </w:pPr>
          </w:p>
        </w:tc>
        <w:tc>
          <w:tcPr>
            <w:tcW w:w="1228" w:type="dxa"/>
            <w:shd w:val="clear" w:color="auto" w:fill="auto"/>
            <w:vAlign w:val="center"/>
          </w:tcPr>
          <w:p w14:paraId="5DBE923F" w14:textId="77777777" w:rsidR="003F27FC" w:rsidRPr="006A7D0B" w:rsidRDefault="003F27FC" w:rsidP="006A7D0B">
            <w:pPr>
              <w:jc w:val="center"/>
              <w:rPr>
                <w:sz w:val="22"/>
                <w:szCs w:val="22"/>
              </w:rPr>
            </w:pPr>
          </w:p>
        </w:tc>
        <w:tc>
          <w:tcPr>
            <w:tcW w:w="1255" w:type="dxa"/>
            <w:shd w:val="clear" w:color="auto" w:fill="auto"/>
            <w:vAlign w:val="center"/>
          </w:tcPr>
          <w:p w14:paraId="72FD534D" w14:textId="77777777" w:rsidR="003F27FC" w:rsidRPr="006A7D0B" w:rsidRDefault="003F27FC" w:rsidP="006A7D0B">
            <w:pPr>
              <w:jc w:val="center"/>
              <w:rPr>
                <w:sz w:val="22"/>
                <w:szCs w:val="22"/>
              </w:rPr>
            </w:pPr>
          </w:p>
        </w:tc>
      </w:tr>
      <w:tr w:rsidR="00273F99" w14:paraId="6E19F24D" w14:textId="77777777" w:rsidTr="006A7D0B">
        <w:tc>
          <w:tcPr>
            <w:tcW w:w="2746" w:type="dxa"/>
            <w:shd w:val="clear" w:color="auto" w:fill="auto"/>
          </w:tcPr>
          <w:p w14:paraId="4FD58911" w14:textId="77777777" w:rsidR="00273F99" w:rsidRPr="006A7D0B" w:rsidRDefault="00273F99" w:rsidP="006A7D0B">
            <w:pPr>
              <w:pStyle w:val="naisf"/>
              <w:spacing w:before="0" w:after="0"/>
              <w:ind w:firstLine="0"/>
              <w:jc w:val="left"/>
              <w:rPr>
                <w:i/>
                <w:sz w:val="22"/>
                <w:szCs w:val="22"/>
              </w:rPr>
            </w:pPr>
            <w:r w:rsidRPr="006A7D0B">
              <w:rPr>
                <w:sz w:val="22"/>
                <w:szCs w:val="22"/>
              </w:rPr>
              <w:t>1.2. valsts speciālais budžets</w:t>
            </w:r>
          </w:p>
        </w:tc>
        <w:tc>
          <w:tcPr>
            <w:tcW w:w="1530" w:type="dxa"/>
            <w:shd w:val="clear" w:color="auto" w:fill="auto"/>
            <w:vAlign w:val="center"/>
          </w:tcPr>
          <w:p w14:paraId="4DF81F53" w14:textId="77777777" w:rsidR="00273F99" w:rsidRPr="006A7D0B" w:rsidRDefault="00273F99" w:rsidP="006A7D0B">
            <w:pPr>
              <w:pStyle w:val="naisf"/>
              <w:spacing w:before="0" w:after="0"/>
              <w:ind w:firstLine="0"/>
              <w:jc w:val="center"/>
              <w:rPr>
                <w:sz w:val="22"/>
                <w:szCs w:val="22"/>
              </w:rPr>
            </w:pPr>
          </w:p>
        </w:tc>
        <w:tc>
          <w:tcPr>
            <w:tcW w:w="1310" w:type="dxa"/>
            <w:shd w:val="clear" w:color="auto" w:fill="auto"/>
            <w:vAlign w:val="center"/>
          </w:tcPr>
          <w:p w14:paraId="42D69E4D" w14:textId="77777777" w:rsidR="00273F99" w:rsidRPr="006A7D0B" w:rsidRDefault="00273F99" w:rsidP="006A7D0B">
            <w:pPr>
              <w:pStyle w:val="naisf"/>
              <w:spacing w:before="0" w:after="0"/>
              <w:ind w:firstLine="0"/>
              <w:jc w:val="center"/>
              <w:rPr>
                <w:sz w:val="22"/>
                <w:szCs w:val="22"/>
              </w:rPr>
            </w:pPr>
          </w:p>
        </w:tc>
        <w:tc>
          <w:tcPr>
            <w:tcW w:w="1218" w:type="dxa"/>
            <w:shd w:val="clear" w:color="auto" w:fill="auto"/>
            <w:vAlign w:val="center"/>
          </w:tcPr>
          <w:p w14:paraId="3E83C012" w14:textId="77777777" w:rsidR="00273F99" w:rsidRPr="006A7D0B" w:rsidRDefault="00273F99" w:rsidP="006A7D0B">
            <w:pPr>
              <w:pStyle w:val="naisf"/>
              <w:spacing w:before="0" w:after="0"/>
              <w:ind w:firstLine="0"/>
              <w:jc w:val="center"/>
              <w:rPr>
                <w:sz w:val="22"/>
                <w:szCs w:val="22"/>
              </w:rPr>
            </w:pPr>
          </w:p>
        </w:tc>
        <w:tc>
          <w:tcPr>
            <w:tcW w:w="1228" w:type="dxa"/>
            <w:shd w:val="clear" w:color="auto" w:fill="auto"/>
            <w:vAlign w:val="center"/>
          </w:tcPr>
          <w:p w14:paraId="5F6C530C" w14:textId="77777777" w:rsidR="00273F99" w:rsidRPr="006A7D0B" w:rsidRDefault="00273F99" w:rsidP="006A7D0B">
            <w:pPr>
              <w:pStyle w:val="naisf"/>
              <w:spacing w:before="0" w:after="0"/>
              <w:ind w:firstLine="0"/>
              <w:jc w:val="center"/>
              <w:rPr>
                <w:sz w:val="22"/>
                <w:szCs w:val="22"/>
              </w:rPr>
            </w:pPr>
          </w:p>
        </w:tc>
        <w:tc>
          <w:tcPr>
            <w:tcW w:w="1255" w:type="dxa"/>
            <w:shd w:val="clear" w:color="auto" w:fill="auto"/>
            <w:vAlign w:val="center"/>
          </w:tcPr>
          <w:p w14:paraId="59BACB66" w14:textId="77777777" w:rsidR="00273F99" w:rsidRPr="006A7D0B" w:rsidRDefault="00273F99" w:rsidP="006A7D0B">
            <w:pPr>
              <w:pStyle w:val="naisf"/>
              <w:spacing w:before="0" w:after="0"/>
              <w:ind w:firstLine="0"/>
              <w:jc w:val="center"/>
              <w:rPr>
                <w:sz w:val="22"/>
                <w:szCs w:val="22"/>
              </w:rPr>
            </w:pPr>
          </w:p>
        </w:tc>
      </w:tr>
      <w:tr w:rsidR="003F27FC" w14:paraId="03B568A1" w14:textId="77777777" w:rsidTr="006A7D0B">
        <w:tc>
          <w:tcPr>
            <w:tcW w:w="2746" w:type="dxa"/>
            <w:shd w:val="clear" w:color="auto" w:fill="auto"/>
          </w:tcPr>
          <w:p w14:paraId="7471638A" w14:textId="77777777" w:rsidR="003F27FC" w:rsidRDefault="003F27FC" w:rsidP="00273F99">
            <w:r w:rsidRPr="006A7D0B">
              <w:rPr>
                <w:sz w:val="22"/>
                <w:szCs w:val="22"/>
              </w:rPr>
              <w:t>1.3. pašvaldību budžets</w:t>
            </w:r>
          </w:p>
        </w:tc>
        <w:tc>
          <w:tcPr>
            <w:tcW w:w="1530" w:type="dxa"/>
            <w:shd w:val="clear" w:color="auto" w:fill="auto"/>
            <w:vAlign w:val="center"/>
          </w:tcPr>
          <w:p w14:paraId="3D0490CE" w14:textId="77777777" w:rsidR="003F27FC" w:rsidRDefault="003F27FC" w:rsidP="006A7D0B">
            <w:pPr>
              <w:jc w:val="center"/>
            </w:pPr>
          </w:p>
        </w:tc>
        <w:tc>
          <w:tcPr>
            <w:tcW w:w="1310" w:type="dxa"/>
            <w:shd w:val="clear" w:color="auto" w:fill="auto"/>
            <w:vAlign w:val="center"/>
          </w:tcPr>
          <w:p w14:paraId="7334096C" w14:textId="77777777" w:rsidR="003F27FC" w:rsidRDefault="003F27FC" w:rsidP="006A7D0B">
            <w:pPr>
              <w:jc w:val="center"/>
            </w:pPr>
          </w:p>
        </w:tc>
        <w:tc>
          <w:tcPr>
            <w:tcW w:w="1218" w:type="dxa"/>
            <w:shd w:val="clear" w:color="auto" w:fill="auto"/>
            <w:vAlign w:val="center"/>
          </w:tcPr>
          <w:p w14:paraId="2E5A653A" w14:textId="77777777" w:rsidR="003F27FC" w:rsidRDefault="003F27FC" w:rsidP="006A7D0B">
            <w:pPr>
              <w:jc w:val="center"/>
            </w:pPr>
          </w:p>
        </w:tc>
        <w:tc>
          <w:tcPr>
            <w:tcW w:w="1228" w:type="dxa"/>
            <w:shd w:val="clear" w:color="auto" w:fill="auto"/>
            <w:vAlign w:val="center"/>
          </w:tcPr>
          <w:p w14:paraId="5CEA389C" w14:textId="77777777" w:rsidR="003F27FC" w:rsidRDefault="003F27FC" w:rsidP="006A7D0B">
            <w:pPr>
              <w:jc w:val="center"/>
            </w:pPr>
          </w:p>
        </w:tc>
        <w:tc>
          <w:tcPr>
            <w:tcW w:w="1255" w:type="dxa"/>
            <w:shd w:val="clear" w:color="auto" w:fill="auto"/>
            <w:vAlign w:val="center"/>
          </w:tcPr>
          <w:p w14:paraId="208AB102" w14:textId="77777777" w:rsidR="003F27FC" w:rsidRDefault="003F27FC" w:rsidP="006A7D0B">
            <w:pPr>
              <w:jc w:val="center"/>
            </w:pPr>
          </w:p>
        </w:tc>
      </w:tr>
      <w:tr w:rsidR="00330E6E" w14:paraId="590BC887" w14:textId="77777777" w:rsidTr="006A7D0B">
        <w:tc>
          <w:tcPr>
            <w:tcW w:w="2746" w:type="dxa"/>
            <w:shd w:val="clear" w:color="auto" w:fill="auto"/>
          </w:tcPr>
          <w:p w14:paraId="617BA63A" w14:textId="77777777" w:rsidR="00330E6E" w:rsidRDefault="00330E6E" w:rsidP="003F27FC">
            <w:r w:rsidRPr="006A7D0B">
              <w:rPr>
                <w:sz w:val="22"/>
                <w:szCs w:val="22"/>
              </w:rPr>
              <w:t>2. Budžeta izdevumi:</w:t>
            </w:r>
          </w:p>
        </w:tc>
        <w:tc>
          <w:tcPr>
            <w:tcW w:w="1530" w:type="dxa"/>
            <w:shd w:val="clear" w:color="auto" w:fill="auto"/>
          </w:tcPr>
          <w:p w14:paraId="5FA4F2AF" w14:textId="77777777" w:rsidR="00330E6E" w:rsidRDefault="00330E6E" w:rsidP="003F27FC"/>
        </w:tc>
        <w:tc>
          <w:tcPr>
            <w:tcW w:w="1310" w:type="dxa"/>
            <w:shd w:val="clear" w:color="auto" w:fill="auto"/>
          </w:tcPr>
          <w:p w14:paraId="55FF07D4" w14:textId="77777777" w:rsidR="00330E6E" w:rsidRDefault="00330E6E" w:rsidP="003F27FC"/>
        </w:tc>
        <w:tc>
          <w:tcPr>
            <w:tcW w:w="1218" w:type="dxa"/>
            <w:shd w:val="clear" w:color="auto" w:fill="auto"/>
          </w:tcPr>
          <w:p w14:paraId="33DC2B34" w14:textId="77777777" w:rsidR="00330E6E" w:rsidRDefault="00330E6E" w:rsidP="003F27FC"/>
        </w:tc>
        <w:tc>
          <w:tcPr>
            <w:tcW w:w="1228" w:type="dxa"/>
            <w:shd w:val="clear" w:color="auto" w:fill="auto"/>
          </w:tcPr>
          <w:p w14:paraId="207245E8" w14:textId="77777777" w:rsidR="00330E6E" w:rsidRDefault="00330E6E" w:rsidP="003F27FC"/>
        </w:tc>
        <w:tc>
          <w:tcPr>
            <w:tcW w:w="1255" w:type="dxa"/>
            <w:shd w:val="clear" w:color="auto" w:fill="auto"/>
          </w:tcPr>
          <w:p w14:paraId="5AF08ADB" w14:textId="77777777" w:rsidR="00330E6E" w:rsidRDefault="00330E6E" w:rsidP="003F27FC"/>
        </w:tc>
      </w:tr>
      <w:tr w:rsidR="003F27FC" w14:paraId="464F98C5" w14:textId="77777777" w:rsidTr="006A7D0B">
        <w:tc>
          <w:tcPr>
            <w:tcW w:w="2746" w:type="dxa"/>
            <w:shd w:val="clear" w:color="auto" w:fill="auto"/>
          </w:tcPr>
          <w:p w14:paraId="3418BC22" w14:textId="77777777" w:rsidR="003F27FC" w:rsidRPr="006A7D0B" w:rsidRDefault="003F27FC" w:rsidP="00273F99">
            <w:pPr>
              <w:rPr>
                <w:sz w:val="22"/>
                <w:szCs w:val="22"/>
              </w:rPr>
            </w:pPr>
            <w:r w:rsidRPr="006A7D0B">
              <w:rPr>
                <w:sz w:val="22"/>
                <w:szCs w:val="22"/>
              </w:rPr>
              <w:t>2.1. valsts pamatbudžets</w:t>
            </w:r>
          </w:p>
        </w:tc>
        <w:tc>
          <w:tcPr>
            <w:tcW w:w="1530" w:type="dxa"/>
            <w:shd w:val="clear" w:color="auto" w:fill="auto"/>
            <w:vAlign w:val="center"/>
          </w:tcPr>
          <w:p w14:paraId="33F63D11" w14:textId="77777777" w:rsidR="003F27FC" w:rsidRDefault="003F27FC" w:rsidP="006A7D0B">
            <w:pPr>
              <w:jc w:val="center"/>
            </w:pPr>
          </w:p>
        </w:tc>
        <w:tc>
          <w:tcPr>
            <w:tcW w:w="1310" w:type="dxa"/>
            <w:shd w:val="clear" w:color="auto" w:fill="auto"/>
            <w:vAlign w:val="center"/>
          </w:tcPr>
          <w:p w14:paraId="0891916B" w14:textId="77777777" w:rsidR="003F27FC" w:rsidRDefault="003F27FC" w:rsidP="006A7D0B">
            <w:pPr>
              <w:jc w:val="center"/>
            </w:pPr>
          </w:p>
        </w:tc>
        <w:tc>
          <w:tcPr>
            <w:tcW w:w="1218" w:type="dxa"/>
            <w:shd w:val="clear" w:color="auto" w:fill="auto"/>
            <w:vAlign w:val="center"/>
          </w:tcPr>
          <w:p w14:paraId="538459FC" w14:textId="77777777" w:rsidR="003F27FC" w:rsidRDefault="003F27FC" w:rsidP="006A7D0B">
            <w:pPr>
              <w:jc w:val="center"/>
            </w:pPr>
          </w:p>
        </w:tc>
        <w:tc>
          <w:tcPr>
            <w:tcW w:w="1228" w:type="dxa"/>
            <w:shd w:val="clear" w:color="auto" w:fill="auto"/>
            <w:vAlign w:val="center"/>
          </w:tcPr>
          <w:p w14:paraId="177D0785" w14:textId="77777777" w:rsidR="003F27FC" w:rsidRDefault="003F27FC" w:rsidP="006A7D0B">
            <w:pPr>
              <w:jc w:val="center"/>
            </w:pPr>
          </w:p>
        </w:tc>
        <w:tc>
          <w:tcPr>
            <w:tcW w:w="1255" w:type="dxa"/>
            <w:shd w:val="clear" w:color="auto" w:fill="auto"/>
            <w:vAlign w:val="center"/>
          </w:tcPr>
          <w:p w14:paraId="32962D2B" w14:textId="77777777" w:rsidR="003F27FC" w:rsidRDefault="003F27FC" w:rsidP="006A7D0B">
            <w:pPr>
              <w:jc w:val="center"/>
            </w:pPr>
          </w:p>
        </w:tc>
      </w:tr>
      <w:tr w:rsidR="00273F99" w14:paraId="1E0458AB" w14:textId="77777777" w:rsidTr="006A7D0B">
        <w:tc>
          <w:tcPr>
            <w:tcW w:w="2746" w:type="dxa"/>
            <w:shd w:val="clear" w:color="auto" w:fill="auto"/>
          </w:tcPr>
          <w:p w14:paraId="76A4A8B6" w14:textId="77777777" w:rsidR="00273F99" w:rsidRPr="006A7D0B" w:rsidRDefault="00273F99" w:rsidP="00273F99">
            <w:pPr>
              <w:rPr>
                <w:sz w:val="22"/>
                <w:szCs w:val="22"/>
              </w:rPr>
            </w:pPr>
            <w:r w:rsidRPr="006A7D0B">
              <w:rPr>
                <w:sz w:val="22"/>
                <w:szCs w:val="22"/>
              </w:rPr>
              <w:t xml:space="preserve">2.2. </w:t>
            </w:r>
            <w:r w:rsidR="00FC797D" w:rsidRPr="006A7D0B">
              <w:rPr>
                <w:sz w:val="22"/>
                <w:szCs w:val="22"/>
              </w:rPr>
              <w:t>valsts speciālais budžets</w:t>
            </w:r>
          </w:p>
        </w:tc>
        <w:tc>
          <w:tcPr>
            <w:tcW w:w="1530" w:type="dxa"/>
            <w:shd w:val="clear" w:color="auto" w:fill="auto"/>
            <w:vAlign w:val="center"/>
          </w:tcPr>
          <w:p w14:paraId="25E94495" w14:textId="77777777" w:rsidR="00273F99" w:rsidRPr="006A7D0B" w:rsidRDefault="00273F99" w:rsidP="006A7D0B">
            <w:pPr>
              <w:pStyle w:val="naisf"/>
              <w:spacing w:before="0" w:after="0"/>
              <w:ind w:firstLine="0"/>
              <w:jc w:val="center"/>
              <w:rPr>
                <w:sz w:val="22"/>
                <w:szCs w:val="22"/>
              </w:rPr>
            </w:pPr>
          </w:p>
        </w:tc>
        <w:tc>
          <w:tcPr>
            <w:tcW w:w="1310" w:type="dxa"/>
            <w:shd w:val="clear" w:color="auto" w:fill="auto"/>
            <w:vAlign w:val="center"/>
          </w:tcPr>
          <w:p w14:paraId="00F8C25A" w14:textId="77777777" w:rsidR="00273F99" w:rsidRPr="006A7D0B" w:rsidRDefault="00273F99" w:rsidP="006A7D0B">
            <w:pPr>
              <w:pStyle w:val="naisf"/>
              <w:spacing w:before="0" w:after="0"/>
              <w:ind w:firstLine="0"/>
              <w:jc w:val="center"/>
              <w:rPr>
                <w:sz w:val="22"/>
                <w:szCs w:val="22"/>
              </w:rPr>
            </w:pPr>
          </w:p>
        </w:tc>
        <w:tc>
          <w:tcPr>
            <w:tcW w:w="1218" w:type="dxa"/>
            <w:shd w:val="clear" w:color="auto" w:fill="auto"/>
            <w:vAlign w:val="center"/>
          </w:tcPr>
          <w:p w14:paraId="6244AF57" w14:textId="77777777" w:rsidR="00273F99" w:rsidRPr="006A7D0B" w:rsidRDefault="00273F99" w:rsidP="006A7D0B">
            <w:pPr>
              <w:pStyle w:val="naisf"/>
              <w:spacing w:before="0" w:after="0"/>
              <w:ind w:firstLine="0"/>
              <w:jc w:val="center"/>
              <w:rPr>
                <w:sz w:val="22"/>
                <w:szCs w:val="22"/>
              </w:rPr>
            </w:pPr>
          </w:p>
        </w:tc>
        <w:tc>
          <w:tcPr>
            <w:tcW w:w="1228" w:type="dxa"/>
            <w:shd w:val="clear" w:color="auto" w:fill="auto"/>
            <w:vAlign w:val="center"/>
          </w:tcPr>
          <w:p w14:paraId="000782BD" w14:textId="77777777" w:rsidR="00273F99" w:rsidRPr="006A7D0B" w:rsidRDefault="00273F99" w:rsidP="006A7D0B">
            <w:pPr>
              <w:pStyle w:val="naisf"/>
              <w:spacing w:before="0" w:after="0"/>
              <w:ind w:firstLine="0"/>
              <w:jc w:val="center"/>
              <w:rPr>
                <w:sz w:val="22"/>
                <w:szCs w:val="22"/>
              </w:rPr>
            </w:pPr>
          </w:p>
        </w:tc>
        <w:tc>
          <w:tcPr>
            <w:tcW w:w="1255" w:type="dxa"/>
            <w:shd w:val="clear" w:color="auto" w:fill="auto"/>
            <w:vAlign w:val="center"/>
          </w:tcPr>
          <w:p w14:paraId="3B2F3B57" w14:textId="77777777" w:rsidR="00273F99" w:rsidRPr="006A7D0B" w:rsidRDefault="00273F99" w:rsidP="006A7D0B">
            <w:pPr>
              <w:pStyle w:val="naisf"/>
              <w:spacing w:before="0" w:after="0"/>
              <w:ind w:firstLine="0"/>
              <w:jc w:val="center"/>
              <w:rPr>
                <w:sz w:val="22"/>
                <w:szCs w:val="22"/>
              </w:rPr>
            </w:pPr>
          </w:p>
        </w:tc>
      </w:tr>
      <w:tr w:rsidR="003F27FC" w14:paraId="7791CBA2" w14:textId="77777777" w:rsidTr="006A7D0B">
        <w:tc>
          <w:tcPr>
            <w:tcW w:w="2746" w:type="dxa"/>
            <w:shd w:val="clear" w:color="auto" w:fill="auto"/>
          </w:tcPr>
          <w:p w14:paraId="27CA53FE" w14:textId="77777777" w:rsidR="003F27FC" w:rsidRPr="006A7D0B" w:rsidRDefault="003F27FC" w:rsidP="00273F99">
            <w:pPr>
              <w:rPr>
                <w:sz w:val="22"/>
                <w:szCs w:val="22"/>
              </w:rPr>
            </w:pPr>
            <w:r w:rsidRPr="006A7D0B">
              <w:rPr>
                <w:sz w:val="22"/>
                <w:szCs w:val="22"/>
              </w:rPr>
              <w:t xml:space="preserve">2.3. pašvaldību budžets </w:t>
            </w:r>
          </w:p>
        </w:tc>
        <w:tc>
          <w:tcPr>
            <w:tcW w:w="1530" w:type="dxa"/>
            <w:shd w:val="clear" w:color="auto" w:fill="auto"/>
            <w:vAlign w:val="center"/>
          </w:tcPr>
          <w:p w14:paraId="1804EFC6" w14:textId="77777777" w:rsidR="003F27FC" w:rsidRDefault="003F27FC" w:rsidP="006A7D0B">
            <w:pPr>
              <w:jc w:val="center"/>
            </w:pPr>
          </w:p>
        </w:tc>
        <w:tc>
          <w:tcPr>
            <w:tcW w:w="1310" w:type="dxa"/>
            <w:shd w:val="clear" w:color="auto" w:fill="auto"/>
            <w:vAlign w:val="center"/>
          </w:tcPr>
          <w:p w14:paraId="106F30C3" w14:textId="77777777" w:rsidR="003F27FC" w:rsidRDefault="003F27FC" w:rsidP="006A7D0B">
            <w:pPr>
              <w:jc w:val="center"/>
            </w:pPr>
          </w:p>
        </w:tc>
        <w:tc>
          <w:tcPr>
            <w:tcW w:w="1218" w:type="dxa"/>
            <w:shd w:val="clear" w:color="auto" w:fill="auto"/>
            <w:vAlign w:val="center"/>
          </w:tcPr>
          <w:p w14:paraId="14AE544D" w14:textId="77777777" w:rsidR="003F27FC" w:rsidRDefault="003F27FC" w:rsidP="006A7D0B">
            <w:pPr>
              <w:jc w:val="center"/>
            </w:pPr>
          </w:p>
        </w:tc>
        <w:tc>
          <w:tcPr>
            <w:tcW w:w="1228" w:type="dxa"/>
            <w:shd w:val="clear" w:color="auto" w:fill="auto"/>
            <w:vAlign w:val="center"/>
          </w:tcPr>
          <w:p w14:paraId="7EE4CEEF" w14:textId="77777777" w:rsidR="003F27FC" w:rsidRDefault="003F27FC" w:rsidP="006A7D0B">
            <w:pPr>
              <w:jc w:val="center"/>
            </w:pPr>
          </w:p>
        </w:tc>
        <w:tc>
          <w:tcPr>
            <w:tcW w:w="1255" w:type="dxa"/>
            <w:shd w:val="clear" w:color="auto" w:fill="auto"/>
            <w:vAlign w:val="center"/>
          </w:tcPr>
          <w:p w14:paraId="2AE3932C" w14:textId="77777777" w:rsidR="003F27FC" w:rsidRDefault="003F27FC" w:rsidP="006A7D0B">
            <w:pPr>
              <w:jc w:val="center"/>
            </w:pPr>
          </w:p>
        </w:tc>
      </w:tr>
      <w:tr w:rsidR="00330E6E" w14:paraId="4A34C15B" w14:textId="77777777" w:rsidTr="006A7D0B">
        <w:tc>
          <w:tcPr>
            <w:tcW w:w="2746" w:type="dxa"/>
            <w:shd w:val="clear" w:color="auto" w:fill="auto"/>
          </w:tcPr>
          <w:p w14:paraId="2F3DFF16" w14:textId="77777777" w:rsidR="00330E6E" w:rsidRDefault="00330E6E" w:rsidP="003F27FC">
            <w:r w:rsidRPr="006A7D0B">
              <w:rPr>
                <w:sz w:val="22"/>
                <w:szCs w:val="22"/>
              </w:rPr>
              <w:t>3. Finansiālā ietekme:</w:t>
            </w:r>
          </w:p>
        </w:tc>
        <w:tc>
          <w:tcPr>
            <w:tcW w:w="1530" w:type="dxa"/>
            <w:shd w:val="clear" w:color="auto" w:fill="auto"/>
          </w:tcPr>
          <w:p w14:paraId="786FC4EF" w14:textId="77777777" w:rsidR="00330E6E" w:rsidRDefault="00330E6E" w:rsidP="003F27FC"/>
        </w:tc>
        <w:tc>
          <w:tcPr>
            <w:tcW w:w="1310" w:type="dxa"/>
            <w:shd w:val="clear" w:color="auto" w:fill="auto"/>
          </w:tcPr>
          <w:p w14:paraId="72E2EBC6" w14:textId="77777777" w:rsidR="00330E6E" w:rsidRDefault="00330E6E" w:rsidP="003F27FC"/>
        </w:tc>
        <w:tc>
          <w:tcPr>
            <w:tcW w:w="1218" w:type="dxa"/>
            <w:shd w:val="clear" w:color="auto" w:fill="auto"/>
          </w:tcPr>
          <w:p w14:paraId="067BFAF4" w14:textId="77777777" w:rsidR="00330E6E" w:rsidRDefault="00330E6E" w:rsidP="003F27FC"/>
        </w:tc>
        <w:tc>
          <w:tcPr>
            <w:tcW w:w="1228" w:type="dxa"/>
            <w:shd w:val="clear" w:color="auto" w:fill="auto"/>
          </w:tcPr>
          <w:p w14:paraId="5D570508" w14:textId="77777777" w:rsidR="00330E6E" w:rsidRDefault="00330E6E" w:rsidP="003F27FC"/>
        </w:tc>
        <w:tc>
          <w:tcPr>
            <w:tcW w:w="1255" w:type="dxa"/>
            <w:shd w:val="clear" w:color="auto" w:fill="auto"/>
          </w:tcPr>
          <w:p w14:paraId="6E68EC0E" w14:textId="77777777" w:rsidR="00330E6E" w:rsidRDefault="00330E6E" w:rsidP="003F27FC"/>
        </w:tc>
      </w:tr>
      <w:tr w:rsidR="003F27FC" w14:paraId="39E29516" w14:textId="77777777" w:rsidTr="006A7D0B">
        <w:tc>
          <w:tcPr>
            <w:tcW w:w="2746" w:type="dxa"/>
            <w:shd w:val="clear" w:color="auto" w:fill="auto"/>
          </w:tcPr>
          <w:p w14:paraId="64EAAC07" w14:textId="77777777" w:rsidR="003F27FC" w:rsidRPr="006A7D0B" w:rsidRDefault="003F27FC" w:rsidP="006A7D0B">
            <w:pPr>
              <w:jc w:val="both"/>
              <w:rPr>
                <w:sz w:val="22"/>
                <w:szCs w:val="22"/>
              </w:rPr>
            </w:pPr>
            <w:r w:rsidRPr="006A7D0B">
              <w:rPr>
                <w:sz w:val="22"/>
                <w:szCs w:val="22"/>
              </w:rPr>
              <w:t>3.1. valsts pamatbudžets</w:t>
            </w:r>
          </w:p>
        </w:tc>
        <w:tc>
          <w:tcPr>
            <w:tcW w:w="1530" w:type="dxa"/>
            <w:shd w:val="clear" w:color="auto" w:fill="auto"/>
            <w:vAlign w:val="center"/>
          </w:tcPr>
          <w:p w14:paraId="19D67EEF" w14:textId="77777777" w:rsidR="003F27FC" w:rsidRPr="006A7D0B" w:rsidRDefault="003F27FC" w:rsidP="006A7D0B">
            <w:pPr>
              <w:pStyle w:val="naisf"/>
              <w:spacing w:before="0" w:after="0"/>
              <w:ind w:firstLine="0"/>
              <w:jc w:val="center"/>
              <w:rPr>
                <w:b/>
                <w:i/>
                <w:sz w:val="22"/>
                <w:szCs w:val="22"/>
              </w:rPr>
            </w:pPr>
          </w:p>
        </w:tc>
        <w:tc>
          <w:tcPr>
            <w:tcW w:w="1310" w:type="dxa"/>
            <w:shd w:val="clear" w:color="auto" w:fill="auto"/>
            <w:vAlign w:val="center"/>
          </w:tcPr>
          <w:p w14:paraId="54D04A00" w14:textId="77777777" w:rsidR="003F27FC" w:rsidRPr="006A7D0B" w:rsidRDefault="003F27FC" w:rsidP="006A7D0B">
            <w:pPr>
              <w:pStyle w:val="naisf"/>
              <w:spacing w:before="0" w:after="0"/>
              <w:ind w:firstLine="0"/>
              <w:jc w:val="center"/>
              <w:rPr>
                <w:b/>
                <w:i/>
                <w:sz w:val="22"/>
                <w:szCs w:val="22"/>
              </w:rPr>
            </w:pPr>
          </w:p>
        </w:tc>
        <w:tc>
          <w:tcPr>
            <w:tcW w:w="1218" w:type="dxa"/>
            <w:shd w:val="clear" w:color="auto" w:fill="auto"/>
            <w:vAlign w:val="center"/>
          </w:tcPr>
          <w:p w14:paraId="55B3BE29" w14:textId="77777777" w:rsidR="003F27FC" w:rsidRPr="006A7D0B" w:rsidRDefault="003F27FC" w:rsidP="006A7D0B">
            <w:pPr>
              <w:pStyle w:val="naisf"/>
              <w:spacing w:before="0" w:after="0"/>
              <w:ind w:firstLine="0"/>
              <w:jc w:val="center"/>
              <w:rPr>
                <w:b/>
                <w:i/>
                <w:sz w:val="22"/>
                <w:szCs w:val="22"/>
              </w:rPr>
            </w:pPr>
          </w:p>
        </w:tc>
        <w:tc>
          <w:tcPr>
            <w:tcW w:w="1228" w:type="dxa"/>
            <w:shd w:val="clear" w:color="auto" w:fill="auto"/>
            <w:vAlign w:val="center"/>
          </w:tcPr>
          <w:p w14:paraId="6B9314C4" w14:textId="77777777" w:rsidR="003F27FC" w:rsidRPr="006A7D0B" w:rsidRDefault="003F27FC" w:rsidP="006A7D0B">
            <w:pPr>
              <w:pStyle w:val="naisf"/>
              <w:spacing w:before="0" w:after="0"/>
              <w:ind w:firstLine="0"/>
              <w:jc w:val="center"/>
              <w:rPr>
                <w:b/>
                <w:i/>
                <w:sz w:val="22"/>
                <w:szCs w:val="22"/>
              </w:rPr>
            </w:pPr>
          </w:p>
        </w:tc>
        <w:tc>
          <w:tcPr>
            <w:tcW w:w="1255" w:type="dxa"/>
            <w:shd w:val="clear" w:color="auto" w:fill="auto"/>
            <w:vAlign w:val="center"/>
          </w:tcPr>
          <w:p w14:paraId="0490964C" w14:textId="77777777" w:rsidR="003F27FC" w:rsidRPr="006A7D0B" w:rsidRDefault="003F27FC" w:rsidP="006A7D0B">
            <w:pPr>
              <w:pStyle w:val="naisf"/>
              <w:spacing w:before="0" w:after="0"/>
              <w:ind w:firstLine="0"/>
              <w:jc w:val="center"/>
              <w:rPr>
                <w:b/>
                <w:i/>
                <w:sz w:val="22"/>
                <w:szCs w:val="22"/>
              </w:rPr>
            </w:pPr>
          </w:p>
        </w:tc>
      </w:tr>
      <w:tr w:rsidR="00273F99" w14:paraId="16883237" w14:textId="77777777" w:rsidTr="006A7D0B">
        <w:tc>
          <w:tcPr>
            <w:tcW w:w="2746" w:type="dxa"/>
            <w:shd w:val="clear" w:color="auto" w:fill="auto"/>
          </w:tcPr>
          <w:p w14:paraId="447E3EAA" w14:textId="77777777" w:rsidR="00273F99" w:rsidRPr="006A7D0B" w:rsidRDefault="00273F99" w:rsidP="006A7D0B">
            <w:pPr>
              <w:jc w:val="both"/>
              <w:rPr>
                <w:sz w:val="22"/>
                <w:szCs w:val="22"/>
              </w:rPr>
            </w:pPr>
            <w:r w:rsidRPr="006A7D0B">
              <w:rPr>
                <w:sz w:val="22"/>
                <w:szCs w:val="22"/>
              </w:rPr>
              <w:t>3.2. speciālais budžets</w:t>
            </w:r>
          </w:p>
        </w:tc>
        <w:tc>
          <w:tcPr>
            <w:tcW w:w="1530" w:type="dxa"/>
            <w:shd w:val="clear" w:color="auto" w:fill="auto"/>
            <w:vAlign w:val="center"/>
          </w:tcPr>
          <w:p w14:paraId="3A36D926" w14:textId="77777777" w:rsidR="00273F99" w:rsidRPr="00175494" w:rsidRDefault="00273F99" w:rsidP="006A7D0B">
            <w:pPr>
              <w:pStyle w:val="naisf"/>
              <w:spacing w:before="0" w:after="0"/>
              <w:ind w:firstLine="0"/>
              <w:jc w:val="center"/>
            </w:pPr>
          </w:p>
        </w:tc>
        <w:tc>
          <w:tcPr>
            <w:tcW w:w="1310" w:type="dxa"/>
            <w:shd w:val="clear" w:color="auto" w:fill="auto"/>
            <w:vAlign w:val="center"/>
          </w:tcPr>
          <w:p w14:paraId="65355507" w14:textId="77777777" w:rsidR="00273F99" w:rsidRPr="006A7D0B" w:rsidRDefault="00273F99" w:rsidP="006A7D0B">
            <w:pPr>
              <w:pStyle w:val="naisf"/>
              <w:spacing w:before="0" w:after="0"/>
              <w:ind w:firstLine="0"/>
              <w:jc w:val="center"/>
              <w:rPr>
                <w:b/>
                <w:i/>
                <w:sz w:val="22"/>
                <w:szCs w:val="22"/>
              </w:rPr>
            </w:pPr>
          </w:p>
        </w:tc>
        <w:tc>
          <w:tcPr>
            <w:tcW w:w="1218" w:type="dxa"/>
            <w:shd w:val="clear" w:color="auto" w:fill="auto"/>
            <w:vAlign w:val="center"/>
          </w:tcPr>
          <w:p w14:paraId="4A0BDFA9" w14:textId="77777777" w:rsidR="00273F99" w:rsidRPr="006A7D0B" w:rsidRDefault="00273F99" w:rsidP="006A7D0B">
            <w:pPr>
              <w:pStyle w:val="naisf"/>
              <w:spacing w:before="0" w:after="0"/>
              <w:ind w:firstLine="0"/>
              <w:jc w:val="center"/>
              <w:rPr>
                <w:sz w:val="22"/>
                <w:szCs w:val="22"/>
              </w:rPr>
            </w:pPr>
          </w:p>
        </w:tc>
        <w:tc>
          <w:tcPr>
            <w:tcW w:w="1228" w:type="dxa"/>
            <w:shd w:val="clear" w:color="auto" w:fill="auto"/>
            <w:vAlign w:val="center"/>
          </w:tcPr>
          <w:p w14:paraId="4490225F" w14:textId="77777777" w:rsidR="00273F99" w:rsidRPr="006A7D0B" w:rsidRDefault="00273F99" w:rsidP="006A7D0B">
            <w:pPr>
              <w:pStyle w:val="naisf"/>
              <w:spacing w:before="0" w:after="0"/>
              <w:ind w:firstLine="0"/>
              <w:jc w:val="center"/>
              <w:rPr>
                <w:sz w:val="22"/>
                <w:szCs w:val="22"/>
              </w:rPr>
            </w:pPr>
          </w:p>
        </w:tc>
        <w:tc>
          <w:tcPr>
            <w:tcW w:w="1255" w:type="dxa"/>
            <w:shd w:val="clear" w:color="auto" w:fill="auto"/>
            <w:vAlign w:val="center"/>
          </w:tcPr>
          <w:p w14:paraId="68837764" w14:textId="77777777" w:rsidR="00273F99" w:rsidRPr="006A7D0B" w:rsidRDefault="00273F99" w:rsidP="006A7D0B">
            <w:pPr>
              <w:pStyle w:val="naisf"/>
              <w:spacing w:before="0" w:after="0"/>
              <w:ind w:firstLine="0"/>
              <w:jc w:val="center"/>
              <w:rPr>
                <w:sz w:val="22"/>
                <w:szCs w:val="22"/>
              </w:rPr>
            </w:pPr>
          </w:p>
        </w:tc>
      </w:tr>
      <w:tr w:rsidR="003F27FC" w14:paraId="59B4361B" w14:textId="77777777" w:rsidTr="006A7D0B">
        <w:tc>
          <w:tcPr>
            <w:tcW w:w="2746" w:type="dxa"/>
            <w:shd w:val="clear" w:color="auto" w:fill="auto"/>
          </w:tcPr>
          <w:p w14:paraId="01FB1744" w14:textId="77777777" w:rsidR="003F27FC" w:rsidRPr="006A7D0B" w:rsidRDefault="003F27FC" w:rsidP="006A7D0B">
            <w:pPr>
              <w:jc w:val="both"/>
              <w:rPr>
                <w:sz w:val="22"/>
                <w:szCs w:val="22"/>
              </w:rPr>
            </w:pPr>
            <w:r w:rsidRPr="006A7D0B">
              <w:rPr>
                <w:sz w:val="22"/>
                <w:szCs w:val="22"/>
              </w:rPr>
              <w:t xml:space="preserve">3.3. pašvaldību budžets </w:t>
            </w:r>
          </w:p>
        </w:tc>
        <w:tc>
          <w:tcPr>
            <w:tcW w:w="1530" w:type="dxa"/>
            <w:shd w:val="clear" w:color="auto" w:fill="auto"/>
            <w:vAlign w:val="center"/>
          </w:tcPr>
          <w:p w14:paraId="18B8306C" w14:textId="77777777" w:rsidR="003F27FC" w:rsidRPr="006A7D0B" w:rsidRDefault="003F27FC" w:rsidP="006A7D0B">
            <w:pPr>
              <w:pStyle w:val="naisf"/>
              <w:spacing w:before="0" w:after="0"/>
              <w:ind w:firstLine="0"/>
              <w:jc w:val="center"/>
              <w:rPr>
                <w:b/>
                <w:i/>
                <w:sz w:val="22"/>
                <w:szCs w:val="22"/>
              </w:rPr>
            </w:pPr>
          </w:p>
        </w:tc>
        <w:tc>
          <w:tcPr>
            <w:tcW w:w="1310" w:type="dxa"/>
            <w:shd w:val="clear" w:color="auto" w:fill="auto"/>
            <w:vAlign w:val="center"/>
          </w:tcPr>
          <w:p w14:paraId="6D2652DC" w14:textId="77777777" w:rsidR="003F27FC" w:rsidRPr="006A7D0B" w:rsidRDefault="003F27FC" w:rsidP="006A7D0B">
            <w:pPr>
              <w:pStyle w:val="naisf"/>
              <w:spacing w:before="0" w:after="0"/>
              <w:ind w:firstLine="0"/>
              <w:jc w:val="center"/>
              <w:rPr>
                <w:b/>
                <w:i/>
                <w:sz w:val="22"/>
                <w:szCs w:val="22"/>
              </w:rPr>
            </w:pPr>
          </w:p>
        </w:tc>
        <w:tc>
          <w:tcPr>
            <w:tcW w:w="1218" w:type="dxa"/>
            <w:shd w:val="clear" w:color="auto" w:fill="auto"/>
            <w:vAlign w:val="center"/>
          </w:tcPr>
          <w:p w14:paraId="7245B888" w14:textId="77777777" w:rsidR="003F27FC" w:rsidRPr="006A7D0B" w:rsidRDefault="003F27FC" w:rsidP="006A7D0B">
            <w:pPr>
              <w:pStyle w:val="naisf"/>
              <w:spacing w:before="0" w:after="0"/>
              <w:ind w:firstLine="0"/>
              <w:jc w:val="center"/>
              <w:rPr>
                <w:b/>
                <w:i/>
                <w:sz w:val="22"/>
                <w:szCs w:val="22"/>
              </w:rPr>
            </w:pPr>
          </w:p>
        </w:tc>
        <w:tc>
          <w:tcPr>
            <w:tcW w:w="1228" w:type="dxa"/>
            <w:shd w:val="clear" w:color="auto" w:fill="auto"/>
            <w:vAlign w:val="center"/>
          </w:tcPr>
          <w:p w14:paraId="77C527EC" w14:textId="77777777" w:rsidR="003F27FC" w:rsidRPr="006A7D0B" w:rsidRDefault="003F27FC" w:rsidP="006A7D0B">
            <w:pPr>
              <w:pStyle w:val="naisf"/>
              <w:spacing w:before="0" w:after="0"/>
              <w:ind w:firstLine="0"/>
              <w:jc w:val="center"/>
              <w:rPr>
                <w:b/>
                <w:i/>
                <w:sz w:val="22"/>
                <w:szCs w:val="22"/>
              </w:rPr>
            </w:pPr>
          </w:p>
        </w:tc>
        <w:tc>
          <w:tcPr>
            <w:tcW w:w="1255" w:type="dxa"/>
            <w:shd w:val="clear" w:color="auto" w:fill="auto"/>
            <w:vAlign w:val="center"/>
          </w:tcPr>
          <w:p w14:paraId="619985F0" w14:textId="77777777" w:rsidR="003F27FC" w:rsidRPr="006A7D0B" w:rsidRDefault="003F27FC" w:rsidP="006A7D0B">
            <w:pPr>
              <w:pStyle w:val="naisf"/>
              <w:spacing w:before="0" w:after="0"/>
              <w:ind w:firstLine="0"/>
              <w:jc w:val="center"/>
              <w:rPr>
                <w:b/>
                <w:i/>
                <w:sz w:val="22"/>
                <w:szCs w:val="22"/>
              </w:rPr>
            </w:pPr>
          </w:p>
        </w:tc>
      </w:tr>
      <w:tr w:rsidR="003F27FC" w14:paraId="09C0FFBF" w14:textId="77777777" w:rsidTr="006A7D0B">
        <w:tc>
          <w:tcPr>
            <w:tcW w:w="2746" w:type="dxa"/>
            <w:shd w:val="clear" w:color="auto" w:fill="auto"/>
          </w:tcPr>
          <w:p w14:paraId="718C958E" w14:textId="77777777" w:rsidR="003F27FC" w:rsidRDefault="003F27FC" w:rsidP="00273F99">
            <w:r w:rsidRPr="006A7D0B">
              <w:rPr>
                <w:sz w:val="22"/>
                <w:szCs w:val="22"/>
              </w:rPr>
              <w:t>4. Finanšu līdzekļi papildu izdevumu finansēšanai (kompensējošu izdevumu samazinājumu norāda ar "+" zīmi)</w:t>
            </w:r>
          </w:p>
        </w:tc>
        <w:tc>
          <w:tcPr>
            <w:tcW w:w="1530" w:type="dxa"/>
            <w:shd w:val="clear" w:color="auto" w:fill="auto"/>
            <w:vAlign w:val="center"/>
          </w:tcPr>
          <w:p w14:paraId="39524A12" w14:textId="77777777" w:rsidR="003F27FC" w:rsidRPr="00925534" w:rsidRDefault="003F27FC" w:rsidP="006A7D0B">
            <w:pPr>
              <w:jc w:val="center"/>
              <w:rPr>
                <w:sz w:val="40"/>
                <w:szCs w:val="40"/>
              </w:rPr>
            </w:pPr>
            <w:r w:rsidRPr="00925534">
              <w:rPr>
                <w:sz w:val="40"/>
                <w:szCs w:val="40"/>
              </w:rPr>
              <w:t>x</w:t>
            </w:r>
          </w:p>
        </w:tc>
        <w:tc>
          <w:tcPr>
            <w:tcW w:w="1310" w:type="dxa"/>
            <w:shd w:val="clear" w:color="auto" w:fill="auto"/>
            <w:vAlign w:val="center"/>
          </w:tcPr>
          <w:p w14:paraId="24F05428" w14:textId="77777777" w:rsidR="003F27FC" w:rsidRDefault="003F27FC" w:rsidP="006A7D0B">
            <w:pPr>
              <w:jc w:val="center"/>
            </w:pPr>
          </w:p>
        </w:tc>
        <w:tc>
          <w:tcPr>
            <w:tcW w:w="1218" w:type="dxa"/>
            <w:shd w:val="clear" w:color="auto" w:fill="auto"/>
            <w:vAlign w:val="center"/>
          </w:tcPr>
          <w:p w14:paraId="32D93E2D" w14:textId="77777777" w:rsidR="003F27FC" w:rsidRDefault="003F27FC" w:rsidP="006A7D0B">
            <w:pPr>
              <w:jc w:val="center"/>
            </w:pPr>
          </w:p>
        </w:tc>
        <w:tc>
          <w:tcPr>
            <w:tcW w:w="1228" w:type="dxa"/>
            <w:shd w:val="clear" w:color="auto" w:fill="auto"/>
            <w:vAlign w:val="center"/>
          </w:tcPr>
          <w:p w14:paraId="53330E4D" w14:textId="77777777" w:rsidR="003F27FC" w:rsidRDefault="003F27FC" w:rsidP="006A7D0B">
            <w:pPr>
              <w:jc w:val="center"/>
            </w:pPr>
          </w:p>
        </w:tc>
        <w:tc>
          <w:tcPr>
            <w:tcW w:w="1255" w:type="dxa"/>
            <w:shd w:val="clear" w:color="auto" w:fill="auto"/>
            <w:vAlign w:val="center"/>
          </w:tcPr>
          <w:p w14:paraId="68B88486" w14:textId="77777777" w:rsidR="003F27FC" w:rsidRDefault="003F27FC" w:rsidP="006A7D0B">
            <w:pPr>
              <w:jc w:val="center"/>
            </w:pPr>
          </w:p>
        </w:tc>
      </w:tr>
      <w:tr w:rsidR="00330E6E" w14:paraId="1CA3DDBC" w14:textId="77777777" w:rsidTr="006A7D0B">
        <w:tc>
          <w:tcPr>
            <w:tcW w:w="2746" w:type="dxa"/>
            <w:shd w:val="clear" w:color="auto" w:fill="auto"/>
          </w:tcPr>
          <w:p w14:paraId="4C1FE78D" w14:textId="77777777" w:rsidR="00330E6E" w:rsidRDefault="00330E6E" w:rsidP="00273F99">
            <w:r w:rsidRPr="006A7D0B">
              <w:rPr>
                <w:sz w:val="22"/>
                <w:szCs w:val="22"/>
              </w:rPr>
              <w:t>5. Precizēta finansiālā ietekme:</w:t>
            </w:r>
          </w:p>
        </w:tc>
        <w:tc>
          <w:tcPr>
            <w:tcW w:w="1530" w:type="dxa"/>
            <w:vMerge w:val="restart"/>
            <w:shd w:val="clear" w:color="auto" w:fill="auto"/>
            <w:vAlign w:val="center"/>
          </w:tcPr>
          <w:p w14:paraId="7F02E9A8" w14:textId="77777777" w:rsidR="00330E6E" w:rsidRPr="00925534" w:rsidRDefault="00330E6E" w:rsidP="006A7D0B">
            <w:pPr>
              <w:jc w:val="center"/>
            </w:pPr>
            <w:r w:rsidRPr="00925534">
              <w:rPr>
                <w:sz w:val="40"/>
                <w:szCs w:val="40"/>
              </w:rPr>
              <w:t>x</w:t>
            </w:r>
          </w:p>
        </w:tc>
        <w:tc>
          <w:tcPr>
            <w:tcW w:w="1310" w:type="dxa"/>
            <w:shd w:val="clear" w:color="auto" w:fill="auto"/>
            <w:vAlign w:val="center"/>
          </w:tcPr>
          <w:p w14:paraId="2DCABF47" w14:textId="77777777" w:rsidR="00330E6E" w:rsidRDefault="00330E6E" w:rsidP="006A7D0B">
            <w:pPr>
              <w:jc w:val="center"/>
            </w:pPr>
          </w:p>
        </w:tc>
        <w:tc>
          <w:tcPr>
            <w:tcW w:w="1218" w:type="dxa"/>
            <w:shd w:val="clear" w:color="auto" w:fill="auto"/>
            <w:vAlign w:val="center"/>
          </w:tcPr>
          <w:p w14:paraId="5618DA56" w14:textId="77777777" w:rsidR="00330E6E" w:rsidRDefault="00330E6E" w:rsidP="006A7D0B">
            <w:pPr>
              <w:jc w:val="center"/>
            </w:pPr>
          </w:p>
        </w:tc>
        <w:tc>
          <w:tcPr>
            <w:tcW w:w="1228" w:type="dxa"/>
            <w:shd w:val="clear" w:color="auto" w:fill="auto"/>
            <w:vAlign w:val="center"/>
          </w:tcPr>
          <w:p w14:paraId="127D0364" w14:textId="77777777" w:rsidR="00330E6E" w:rsidRDefault="00330E6E" w:rsidP="006A7D0B">
            <w:pPr>
              <w:jc w:val="center"/>
            </w:pPr>
          </w:p>
        </w:tc>
        <w:tc>
          <w:tcPr>
            <w:tcW w:w="1255" w:type="dxa"/>
            <w:shd w:val="clear" w:color="auto" w:fill="auto"/>
            <w:vAlign w:val="center"/>
          </w:tcPr>
          <w:p w14:paraId="60F7C740" w14:textId="77777777" w:rsidR="00330E6E" w:rsidRDefault="00330E6E" w:rsidP="006A7D0B">
            <w:pPr>
              <w:jc w:val="center"/>
            </w:pPr>
          </w:p>
        </w:tc>
      </w:tr>
      <w:tr w:rsidR="003F27FC" w14:paraId="1B67FEC5" w14:textId="77777777" w:rsidTr="006A7D0B">
        <w:tc>
          <w:tcPr>
            <w:tcW w:w="2746" w:type="dxa"/>
            <w:shd w:val="clear" w:color="auto" w:fill="auto"/>
          </w:tcPr>
          <w:p w14:paraId="557E35F6" w14:textId="77777777" w:rsidR="003F27FC" w:rsidRPr="006A7D0B" w:rsidRDefault="003F27FC" w:rsidP="006A7D0B">
            <w:pPr>
              <w:jc w:val="both"/>
              <w:rPr>
                <w:sz w:val="22"/>
                <w:szCs w:val="22"/>
              </w:rPr>
            </w:pPr>
            <w:r w:rsidRPr="006A7D0B">
              <w:rPr>
                <w:sz w:val="22"/>
                <w:szCs w:val="22"/>
              </w:rPr>
              <w:t>5.1. valsts pamatbudžets</w:t>
            </w:r>
          </w:p>
        </w:tc>
        <w:tc>
          <w:tcPr>
            <w:tcW w:w="1530" w:type="dxa"/>
            <w:vMerge/>
            <w:shd w:val="clear" w:color="auto" w:fill="auto"/>
          </w:tcPr>
          <w:p w14:paraId="65E8EED7" w14:textId="77777777" w:rsidR="003F27FC" w:rsidRDefault="003F27FC" w:rsidP="006A7D0B">
            <w:pPr>
              <w:jc w:val="center"/>
            </w:pPr>
          </w:p>
        </w:tc>
        <w:tc>
          <w:tcPr>
            <w:tcW w:w="1310" w:type="dxa"/>
            <w:shd w:val="clear" w:color="auto" w:fill="auto"/>
            <w:vAlign w:val="center"/>
          </w:tcPr>
          <w:p w14:paraId="341F8B18" w14:textId="77777777" w:rsidR="003F27FC" w:rsidRDefault="003F27FC" w:rsidP="006A7D0B">
            <w:pPr>
              <w:jc w:val="center"/>
            </w:pPr>
          </w:p>
        </w:tc>
        <w:tc>
          <w:tcPr>
            <w:tcW w:w="1218" w:type="dxa"/>
            <w:shd w:val="clear" w:color="auto" w:fill="auto"/>
            <w:vAlign w:val="center"/>
          </w:tcPr>
          <w:p w14:paraId="3927DB28" w14:textId="77777777" w:rsidR="003F27FC" w:rsidRDefault="003F27FC" w:rsidP="006A7D0B">
            <w:pPr>
              <w:jc w:val="center"/>
            </w:pPr>
          </w:p>
        </w:tc>
        <w:tc>
          <w:tcPr>
            <w:tcW w:w="1228" w:type="dxa"/>
            <w:shd w:val="clear" w:color="auto" w:fill="auto"/>
            <w:vAlign w:val="center"/>
          </w:tcPr>
          <w:p w14:paraId="490F534A" w14:textId="77777777" w:rsidR="003F27FC" w:rsidRDefault="003F27FC" w:rsidP="006A7D0B">
            <w:pPr>
              <w:jc w:val="center"/>
            </w:pPr>
          </w:p>
        </w:tc>
        <w:tc>
          <w:tcPr>
            <w:tcW w:w="1255" w:type="dxa"/>
            <w:shd w:val="clear" w:color="auto" w:fill="auto"/>
            <w:vAlign w:val="center"/>
          </w:tcPr>
          <w:p w14:paraId="6BFB1BD7" w14:textId="77777777" w:rsidR="003F27FC" w:rsidRDefault="003F27FC" w:rsidP="006A7D0B">
            <w:pPr>
              <w:jc w:val="center"/>
            </w:pPr>
          </w:p>
        </w:tc>
      </w:tr>
      <w:tr w:rsidR="003F27FC" w14:paraId="1053E6CF" w14:textId="77777777" w:rsidTr="006A7D0B">
        <w:tc>
          <w:tcPr>
            <w:tcW w:w="2746" w:type="dxa"/>
            <w:shd w:val="clear" w:color="auto" w:fill="auto"/>
          </w:tcPr>
          <w:p w14:paraId="7FA58230" w14:textId="77777777" w:rsidR="003F27FC" w:rsidRPr="006A7D0B" w:rsidRDefault="003F27FC" w:rsidP="006A7D0B">
            <w:pPr>
              <w:jc w:val="both"/>
              <w:rPr>
                <w:sz w:val="22"/>
                <w:szCs w:val="22"/>
              </w:rPr>
            </w:pPr>
            <w:r w:rsidRPr="006A7D0B">
              <w:rPr>
                <w:sz w:val="22"/>
                <w:szCs w:val="22"/>
              </w:rPr>
              <w:t>5.2. speciālais budžets</w:t>
            </w:r>
          </w:p>
        </w:tc>
        <w:tc>
          <w:tcPr>
            <w:tcW w:w="1530" w:type="dxa"/>
            <w:vMerge/>
            <w:shd w:val="clear" w:color="auto" w:fill="auto"/>
          </w:tcPr>
          <w:p w14:paraId="0B80553D" w14:textId="77777777" w:rsidR="003F27FC" w:rsidRDefault="003F27FC" w:rsidP="006A7D0B">
            <w:pPr>
              <w:jc w:val="center"/>
            </w:pPr>
          </w:p>
        </w:tc>
        <w:tc>
          <w:tcPr>
            <w:tcW w:w="1310" w:type="dxa"/>
            <w:shd w:val="clear" w:color="auto" w:fill="auto"/>
            <w:vAlign w:val="center"/>
          </w:tcPr>
          <w:p w14:paraId="5552CAEB" w14:textId="77777777" w:rsidR="003F27FC" w:rsidRDefault="003F27FC" w:rsidP="006A7D0B">
            <w:pPr>
              <w:jc w:val="center"/>
            </w:pPr>
          </w:p>
        </w:tc>
        <w:tc>
          <w:tcPr>
            <w:tcW w:w="1218" w:type="dxa"/>
            <w:shd w:val="clear" w:color="auto" w:fill="auto"/>
            <w:vAlign w:val="center"/>
          </w:tcPr>
          <w:p w14:paraId="643F7754" w14:textId="77777777" w:rsidR="003F27FC" w:rsidRDefault="003F27FC" w:rsidP="006A7D0B">
            <w:pPr>
              <w:jc w:val="center"/>
            </w:pPr>
          </w:p>
        </w:tc>
        <w:tc>
          <w:tcPr>
            <w:tcW w:w="1228" w:type="dxa"/>
            <w:shd w:val="clear" w:color="auto" w:fill="auto"/>
            <w:vAlign w:val="center"/>
          </w:tcPr>
          <w:p w14:paraId="71D1C92C" w14:textId="77777777" w:rsidR="003F27FC" w:rsidRDefault="003F27FC" w:rsidP="006A7D0B">
            <w:pPr>
              <w:jc w:val="center"/>
            </w:pPr>
          </w:p>
        </w:tc>
        <w:tc>
          <w:tcPr>
            <w:tcW w:w="1255" w:type="dxa"/>
            <w:shd w:val="clear" w:color="auto" w:fill="auto"/>
            <w:vAlign w:val="center"/>
          </w:tcPr>
          <w:p w14:paraId="181FA043" w14:textId="77777777" w:rsidR="003F27FC" w:rsidRDefault="003F27FC" w:rsidP="006A7D0B">
            <w:pPr>
              <w:jc w:val="center"/>
            </w:pPr>
          </w:p>
        </w:tc>
      </w:tr>
      <w:tr w:rsidR="003F27FC" w14:paraId="29BEC4B2" w14:textId="77777777" w:rsidTr="006A7D0B">
        <w:tc>
          <w:tcPr>
            <w:tcW w:w="2746" w:type="dxa"/>
            <w:shd w:val="clear" w:color="auto" w:fill="auto"/>
          </w:tcPr>
          <w:p w14:paraId="7DCA5D13" w14:textId="77777777" w:rsidR="003F27FC" w:rsidRPr="006A7D0B" w:rsidRDefault="003F27FC" w:rsidP="006A7D0B">
            <w:pPr>
              <w:jc w:val="both"/>
              <w:rPr>
                <w:sz w:val="22"/>
                <w:szCs w:val="22"/>
              </w:rPr>
            </w:pPr>
            <w:r w:rsidRPr="006A7D0B">
              <w:rPr>
                <w:sz w:val="22"/>
                <w:szCs w:val="22"/>
              </w:rPr>
              <w:t xml:space="preserve">5.3. pašvaldību budžets </w:t>
            </w:r>
          </w:p>
        </w:tc>
        <w:tc>
          <w:tcPr>
            <w:tcW w:w="1530" w:type="dxa"/>
            <w:vMerge/>
            <w:shd w:val="clear" w:color="auto" w:fill="auto"/>
          </w:tcPr>
          <w:p w14:paraId="5761A5DA" w14:textId="77777777" w:rsidR="003F27FC" w:rsidRDefault="003F27FC" w:rsidP="006A7D0B">
            <w:pPr>
              <w:jc w:val="center"/>
            </w:pPr>
          </w:p>
        </w:tc>
        <w:tc>
          <w:tcPr>
            <w:tcW w:w="1310" w:type="dxa"/>
            <w:shd w:val="clear" w:color="auto" w:fill="auto"/>
            <w:vAlign w:val="center"/>
          </w:tcPr>
          <w:p w14:paraId="58247117" w14:textId="77777777" w:rsidR="003F27FC" w:rsidRDefault="003F27FC" w:rsidP="006A7D0B">
            <w:pPr>
              <w:jc w:val="center"/>
            </w:pPr>
          </w:p>
        </w:tc>
        <w:tc>
          <w:tcPr>
            <w:tcW w:w="1218" w:type="dxa"/>
            <w:shd w:val="clear" w:color="auto" w:fill="auto"/>
            <w:vAlign w:val="center"/>
          </w:tcPr>
          <w:p w14:paraId="0913517B" w14:textId="77777777" w:rsidR="003F27FC" w:rsidRDefault="003F27FC" w:rsidP="006A7D0B">
            <w:pPr>
              <w:jc w:val="center"/>
            </w:pPr>
          </w:p>
        </w:tc>
        <w:tc>
          <w:tcPr>
            <w:tcW w:w="1228" w:type="dxa"/>
            <w:shd w:val="clear" w:color="auto" w:fill="auto"/>
            <w:vAlign w:val="center"/>
          </w:tcPr>
          <w:p w14:paraId="45299228" w14:textId="77777777" w:rsidR="003F27FC" w:rsidRDefault="003F27FC" w:rsidP="006A7D0B">
            <w:pPr>
              <w:jc w:val="center"/>
            </w:pPr>
          </w:p>
        </w:tc>
        <w:tc>
          <w:tcPr>
            <w:tcW w:w="1255" w:type="dxa"/>
            <w:shd w:val="clear" w:color="auto" w:fill="auto"/>
            <w:vAlign w:val="center"/>
          </w:tcPr>
          <w:p w14:paraId="66D8E464" w14:textId="77777777" w:rsidR="003F27FC" w:rsidRDefault="003F27FC" w:rsidP="006A7D0B">
            <w:pPr>
              <w:jc w:val="center"/>
            </w:pPr>
          </w:p>
        </w:tc>
      </w:tr>
      <w:tr w:rsidR="003F27FC" w14:paraId="2A9D54EF" w14:textId="77777777" w:rsidTr="006A7D0B">
        <w:tc>
          <w:tcPr>
            <w:tcW w:w="9287" w:type="dxa"/>
            <w:gridSpan w:val="6"/>
            <w:shd w:val="clear" w:color="auto" w:fill="auto"/>
          </w:tcPr>
          <w:p w14:paraId="168C9784" w14:textId="77777777" w:rsidR="003F27FC" w:rsidRDefault="003F27FC" w:rsidP="003F27FC">
            <w:r w:rsidRPr="006A7D0B">
              <w:rPr>
                <w:sz w:val="22"/>
                <w:szCs w:val="22"/>
              </w:rPr>
              <w:t>6. Detalizēts ieņēmumu un izdevumu aprēķins (ja nepieciešams, detalizētu ieņēmumu un izdevumu aprēķinu var pievienot anotācijas pielikumā):</w:t>
            </w:r>
          </w:p>
        </w:tc>
      </w:tr>
      <w:tr w:rsidR="00895B62" w14:paraId="397997C5" w14:textId="77777777" w:rsidTr="006A7D0B">
        <w:tc>
          <w:tcPr>
            <w:tcW w:w="2746" w:type="dxa"/>
            <w:shd w:val="clear" w:color="auto" w:fill="auto"/>
          </w:tcPr>
          <w:p w14:paraId="70D00E37" w14:textId="77777777" w:rsidR="00895B62" w:rsidRPr="006A7D0B" w:rsidRDefault="00895B62" w:rsidP="00273F99">
            <w:pPr>
              <w:rPr>
                <w:sz w:val="22"/>
                <w:szCs w:val="22"/>
              </w:rPr>
            </w:pPr>
            <w:r w:rsidRPr="006A7D0B">
              <w:rPr>
                <w:sz w:val="22"/>
                <w:szCs w:val="22"/>
              </w:rPr>
              <w:t>6.1. Detalizēts ieņēmumu aprēķins</w:t>
            </w:r>
          </w:p>
        </w:tc>
        <w:tc>
          <w:tcPr>
            <w:tcW w:w="6541" w:type="dxa"/>
            <w:gridSpan w:val="5"/>
            <w:shd w:val="clear" w:color="auto" w:fill="auto"/>
            <w:vAlign w:val="center"/>
          </w:tcPr>
          <w:p w14:paraId="78BE596D" w14:textId="77777777" w:rsidR="00895B62" w:rsidRDefault="00895B62" w:rsidP="006A7D0B">
            <w:pPr>
              <w:jc w:val="both"/>
            </w:pPr>
          </w:p>
        </w:tc>
      </w:tr>
      <w:tr w:rsidR="00722AE8" w14:paraId="0E838FFF" w14:textId="77777777" w:rsidTr="006A7D0B">
        <w:tc>
          <w:tcPr>
            <w:tcW w:w="2746" w:type="dxa"/>
            <w:shd w:val="clear" w:color="auto" w:fill="auto"/>
          </w:tcPr>
          <w:p w14:paraId="08C02D12" w14:textId="77777777" w:rsidR="00722AE8" w:rsidRPr="006A7D0B" w:rsidRDefault="00722AE8" w:rsidP="00DB4594">
            <w:pPr>
              <w:rPr>
                <w:sz w:val="22"/>
                <w:szCs w:val="22"/>
              </w:rPr>
            </w:pPr>
            <w:r w:rsidRPr="006A7D0B">
              <w:rPr>
                <w:sz w:val="22"/>
                <w:szCs w:val="22"/>
              </w:rPr>
              <w:t>6.2. Detalizēts izdevumu aprēķins</w:t>
            </w:r>
          </w:p>
        </w:tc>
        <w:tc>
          <w:tcPr>
            <w:tcW w:w="6541" w:type="dxa"/>
            <w:gridSpan w:val="5"/>
            <w:shd w:val="clear" w:color="auto" w:fill="auto"/>
          </w:tcPr>
          <w:p w14:paraId="4F8DD079" w14:textId="77777777" w:rsidR="00722AE8" w:rsidRDefault="00722AE8" w:rsidP="006A7D0B">
            <w:pPr>
              <w:jc w:val="both"/>
            </w:pPr>
          </w:p>
        </w:tc>
      </w:tr>
      <w:tr w:rsidR="00722AE8" w14:paraId="16A5BDDB" w14:textId="77777777" w:rsidTr="006A7D0B">
        <w:tc>
          <w:tcPr>
            <w:tcW w:w="2746" w:type="dxa"/>
            <w:shd w:val="clear" w:color="auto" w:fill="auto"/>
          </w:tcPr>
          <w:p w14:paraId="6837DB89" w14:textId="77777777" w:rsidR="00722AE8" w:rsidRPr="006A7D0B" w:rsidRDefault="00722AE8" w:rsidP="006A7D0B">
            <w:pPr>
              <w:jc w:val="both"/>
              <w:rPr>
                <w:sz w:val="22"/>
                <w:szCs w:val="22"/>
              </w:rPr>
            </w:pPr>
            <w:r w:rsidRPr="006A7D0B">
              <w:rPr>
                <w:sz w:val="22"/>
                <w:szCs w:val="22"/>
              </w:rPr>
              <w:t>7. Cita informācija</w:t>
            </w:r>
          </w:p>
        </w:tc>
        <w:tc>
          <w:tcPr>
            <w:tcW w:w="6541" w:type="dxa"/>
            <w:gridSpan w:val="5"/>
            <w:shd w:val="clear" w:color="auto" w:fill="auto"/>
          </w:tcPr>
          <w:p w14:paraId="4651EFFD" w14:textId="08826A60" w:rsidR="00282808" w:rsidRDefault="00EC7E41" w:rsidP="00282808">
            <w:pPr>
              <w:pStyle w:val="naiskr"/>
              <w:spacing w:before="0" w:after="0"/>
              <w:jc w:val="both"/>
            </w:pPr>
            <w:r w:rsidRPr="008B5FB0">
              <w:t xml:space="preserve">Minimālā ienākuma līmeņa noteikšana šajā posmā papildu izdevumus valsts un pašvaldību budžetiem nerada, kamēr nav piesaistīta noteiktai sistēmai un konkrētam tās elementam. </w:t>
            </w:r>
          </w:p>
          <w:p w14:paraId="7E3371E8" w14:textId="06580F26" w:rsidR="00427198" w:rsidRPr="00A338F8" w:rsidRDefault="00816BEA" w:rsidP="00816BEA">
            <w:pPr>
              <w:pStyle w:val="naiskr"/>
              <w:spacing w:before="0" w:after="0"/>
              <w:jc w:val="both"/>
            </w:pPr>
            <w:r w:rsidRPr="008B5FB0">
              <w:t xml:space="preserve">Detalizēts finanšu ietekmes izvērtējums uz valsts un pašvaldību budžetiem tiks veikts, izstrādājot Plānu, kur finansiālā ietekme </w:t>
            </w:r>
            <w:r w:rsidRPr="008B5FB0">
              <w:lastRenderedPageBreak/>
              <w:t>tiks aprēķināta, ņemot vērā vi</w:t>
            </w:r>
            <w:r>
              <w:t xml:space="preserve">sas izmaiņas noteiktajās jomās. </w:t>
            </w:r>
            <w:r w:rsidRPr="00F609DA">
              <w:rPr>
                <w:lang w:eastAsia="en-GB"/>
              </w:rPr>
              <w:t>Saskaņā ar rīkojuma Nr. 619 4.1. un 4.2. apakšpunkt</w:t>
            </w:r>
            <w:r>
              <w:rPr>
                <w:lang w:eastAsia="en-GB"/>
              </w:rPr>
              <w:t>u</w:t>
            </w:r>
            <w:r w:rsidRPr="00F609DA">
              <w:rPr>
                <w:lang w:eastAsia="en-GB"/>
              </w:rPr>
              <w:t xml:space="preserve"> </w:t>
            </w:r>
            <w:r w:rsidR="00282808" w:rsidRPr="00F609DA">
              <w:rPr>
                <w:lang w:eastAsia="en-GB"/>
              </w:rPr>
              <w:t>Labklājības ministrijai līdz 2016.gada 1.aprīlim Ministru kabinetā jāiesniedz Plāns, savukārt līdz 2016.gada 1.oktobrim – jāiesniedz Ministru kabinetā normatīvo aktu projekti saskaņā ar minēto Plānu</w:t>
            </w:r>
            <w:r w:rsidR="00282808">
              <w:rPr>
                <w:sz w:val="28"/>
                <w:szCs w:val="28"/>
                <w:lang w:eastAsia="en-GB"/>
              </w:rPr>
              <w:t xml:space="preserve">. </w:t>
            </w:r>
          </w:p>
        </w:tc>
      </w:tr>
    </w:tbl>
    <w:p w14:paraId="6F7135AD" w14:textId="50708A9C" w:rsidR="003B629D" w:rsidRDefault="003B629D" w:rsidP="00B76D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7513BD" w:rsidRPr="00B76D85" w14:paraId="5A7387C9" w14:textId="77777777" w:rsidTr="006A7D0B">
        <w:tc>
          <w:tcPr>
            <w:tcW w:w="9287" w:type="dxa"/>
            <w:gridSpan w:val="3"/>
            <w:shd w:val="clear" w:color="auto" w:fill="auto"/>
          </w:tcPr>
          <w:p w14:paraId="652513C0" w14:textId="77777777" w:rsidR="007513BD" w:rsidRPr="006A7D0B" w:rsidRDefault="007513BD" w:rsidP="006A7D0B">
            <w:pPr>
              <w:jc w:val="center"/>
              <w:rPr>
                <w:b/>
              </w:rPr>
            </w:pPr>
            <w:r w:rsidRPr="006A7D0B">
              <w:rPr>
                <w:b/>
              </w:rPr>
              <w:t>IV</w:t>
            </w:r>
            <w:r w:rsidR="00DC37D9" w:rsidRPr="006A7D0B">
              <w:rPr>
                <w:b/>
              </w:rPr>
              <w:t>.</w:t>
            </w:r>
            <w:r w:rsidRPr="006A7D0B">
              <w:rPr>
                <w:b/>
              </w:rPr>
              <w:t xml:space="preserve"> Tiesību akta projekta ietekme uz spēkā esošo tiesību normu sistēmu</w:t>
            </w:r>
          </w:p>
        </w:tc>
      </w:tr>
      <w:tr w:rsidR="00FC797D" w:rsidRPr="00B76D85" w14:paraId="568ED37E" w14:textId="77777777" w:rsidTr="006A7D0B">
        <w:tc>
          <w:tcPr>
            <w:tcW w:w="396" w:type="dxa"/>
            <w:shd w:val="clear" w:color="auto" w:fill="auto"/>
          </w:tcPr>
          <w:p w14:paraId="1D2D1E76" w14:textId="77777777" w:rsidR="00FC797D" w:rsidRPr="00B76D85" w:rsidRDefault="00FC797D" w:rsidP="00242D7D">
            <w:r>
              <w:t>1.</w:t>
            </w:r>
          </w:p>
        </w:tc>
        <w:tc>
          <w:tcPr>
            <w:tcW w:w="3072" w:type="dxa"/>
            <w:shd w:val="clear" w:color="auto" w:fill="auto"/>
          </w:tcPr>
          <w:p w14:paraId="66F652AE" w14:textId="77777777" w:rsidR="00FC797D" w:rsidRPr="00B76D85" w:rsidRDefault="00FC797D" w:rsidP="00242D7D">
            <w:r>
              <w:t>Nepieciešamie saistītie tiesību akt</w:t>
            </w:r>
            <w:r w:rsidR="00330E6E">
              <w:t>u</w:t>
            </w:r>
            <w:r>
              <w:t xml:space="preserve"> projekti</w:t>
            </w:r>
          </w:p>
        </w:tc>
        <w:tc>
          <w:tcPr>
            <w:tcW w:w="5819" w:type="dxa"/>
            <w:shd w:val="clear" w:color="auto" w:fill="auto"/>
          </w:tcPr>
          <w:p w14:paraId="1DC9861E" w14:textId="77777777" w:rsidR="00896E7E" w:rsidRDefault="00896E7E" w:rsidP="00896E7E">
            <w:pPr>
              <w:pStyle w:val="naiskr"/>
              <w:tabs>
                <w:tab w:val="left" w:pos="2628"/>
              </w:tabs>
              <w:spacing w:before="0" w:after="0"/>
              <w:jc w:val="both"/>
            </w:pPr>
            <w:r w:rsidRPr="008B5FB0">
              <w:t>Nepieciešamie tiesību aktu projekti tiks Plān</w:t>
            </w:r>
            <w:r>
              <w:t>ā</w:t>
            </w:r>
            <w:r w:rsidRPr="008B5FB0">
              <w:t>, kurš tiks iesniegts Ministru kabinetā līdz 2016.gada 1.aprīlim.</w:t>
            </w:r>
          </w:p>
          <w:p w14:paraId="572AEA7D" w14:textId="77777777" w:rsidR="00896E7E" w:rsidRPr="008B5FB0" w:rsidRDefault="00896E7E" w:rsidP="00896E7E">
            <w:pPr>
              <w:pStyle w:val="naiskr"/>
              <w:tabs>
                <w:tab w:val="left" w:pos="2628"/>
              </w:tabs>
              <w:spacing w:before="0" w:after="0"/>
              <w:jc w:val="both"/>
              <w:rPr>
                <w:iCs/>
              </w:rPr>
            </w:pPr>
            <w:r w:rsidRPr="008B5FB0">
              <w:t xml:space="preserve">Līdz 2016.gada 1.oktobrim </w:t>
            </w:r>
            <w:r>
              <w:t xml:space="preserve">Labklājības ministrija plāno </w:t>
            </w:r>
            <w:r w:rsidRPr="008B5FB0">
              <w:t>Ministru kabinetā iesniegt normatīvo aktu projektu paket</w:t>
            </w:r>
            <w:r>
              <w:t>i</w:t>
            </w:r>
            <w:r w:rsidRPr="008B5FB0">
              <w:t xml:space="preserve"> saskaņā ar </w:t>
            </w:r>
            <w:r>
              <w:t>P</w:t>
            </w:r>
            <w:r w:rsidRPr="008B5FB0">
              <w:t xml:space="preserve">lānu – </w:t>
            </w:r>
            <w:r w:rsidRPr="008B5FB0">
              <w:rPr>
                <w:iCs/>
              </w:rPr>
              <w:t>grozījumu projekt</w:t>
            </w:r>
            <w:r>
              <w:rPr>
                <w:iCs/>
              </w:rPr>
              <w:t>us</w:t>
            </w:r>
            <w:r w:rsidRPr="008B5FB0">
              <w:rPr>
                <w:iCs/>
              </w:rPr>
              <w:t xml:space="preserve"> šādos likumos:</w:t>
            </w:r>
          </w:p>
          <w:p w14:paraId="2472A317" w14:textId="77777777" w:rsidR="00896E7E" w:rsidRPr="008B5FB0" w:rsidRDefault="00896E7E" w:rsidP="00896E7E">
            <w:pPr>
              <w:pStyle w:val="naiskr"/>
              <w:numPr>
                <w:ilvl w:val="0"/>
                <w:numId w:val="6"/>
              </w:numPr>
              <w:tabs>
                <w:tab w:val="left" w:pos="-4319"/>
              </w:tabs>
              <w:spacing w:before="0" w:after="0"/>
              <w:jc w:val="both"/>
              <w:rPr>
                <w:iCs/>
              </w:rPr>
            </w:pPr>
            <w:r w:rsidRPr="008B5FB0">
              <w:rPr>
                <w:iCs/>
              </w:rPr>
              <w:t>likum</w:t>
            </w:r>
            <w:r>
              <w:rPr>
                <w:iCs/>
              </w:rPr>
              <w:t>ā</w:t>
            </w:r>
            <w:r w:rsidRPr="008B5FB0">
              <w:rPr>
                <w:iCs/>
              </w:rPr>
              <w:t xml:space="preserve"> „Par valsts pensijām</w:t>
            </w:r>
            <w:r>
              <w:rPr>
                <w:iCs/>
              </w:rPr>
              <w:t>”</w:t>
            </w:r>
            <w:r w:rsidRPr="008B5FB0">
              <w:rPr>
                <w:iCs/>
              </w:rPr>
              <w:t>;</w:t>
            </w:r>
          </w:p>
          <w:p w14:paraId="5CE76F7D" w14:textId="77777777" w:rsidR="00896E7E" w:rsidRPr="008B5FB0" w:rsidRDefault="00896E7E" w:rsidP="00896E7E">
            <w:pPr>
              <w:pStyle w:val="naiskr"/>
              <w:numPr>
                <w:ilvl w:val="0"/>
                <w:numId w:val="6"/>
              </w:numPr>
              <w:tabs>
                <w:tab w:val="left" w:pos="-4319"/>
              </w:tabs>
              <w:spacing w:before="0" w:after="0"/>
              <w:jc w:val="both"/>
              <w:rPr>
                <w:iCs/>
              </w:rPr>
            </w:pPr>
            <w:r w:rsidRPr="008B5FB0">
              <w:rPr>
                <w:iCs/>
              </w:rPr>
              <w:t>Valsts sociālo pabalstu likum</w:t>
            </w:r>
            <w:r>
              <w:rPr>
                <w:iCs/>
              </w:rPr>
              <w:t>ā</w:t>
            </w:r>
            <w:r w:rsidRPr="008B5FB0">
              <w:rPr>
                <w:iCs/>
              </w:rPr>
              <w:t>;</w:t>
            </w:r>
          </w:p>
          <w:p w14:paraId="35ACE8D9" w14:textId="77777777" w:rsidR="00896E7E" w:rsidRPr="008B5FB0" w:rsidRDefault="00896E7E" w:rsidP="00896E7E">
            <w:pPr>
              <w:pStyle w:val="naiskr"/>
              <w:numPr>
                <w:ilvl w:val="0"/>
                <w:numId w:val="6"/>
              </w:numPr>
              <w:tabs>
                <w:tab w:val="left" w:pos="-4319"/>
              </w:tabs>
              <w:spacing w:before="0" w:after="0"/>
              <w:jc w:val="both"/>
              <w:rPr>
                <w:iCs/>
              </w:rPr>
            </w:pPr>
            <w:r w:rsidRPr="008B5FB0">
              <w:rPr>
                <w:iCs/>
              </w:rPr>
              <w:t>Sociālo pakalpojumu un sociālās palīdzības likum</w:t>
            </w:r>
            <w:r>
              <w:rPr>
                <w:iCs/>
              </w:rPr>
              <w:t>ā</w:t>
            </w:r>
            <w:r w:rsidRPr="008B5FB0">
              <w:rPr>
                <w:iCs/>
              </w:rPr>
              <w:t>;</w:t>
            </w:r>
          </w:p>
          <w:p w14:paraId="456DAFE3" w14:textId="77777777" w:rsidR="00896E7E" w:rsidRDefault="00896E7E" w:rsidP="00896E7E">
            <w:pPr>
              <w:pStyle w:val="naiskr"/>
              <w:numPr>
                <w:ilvl w:val="0"/>
                <w:numId w:val="6"/>
              </w:numPr>
              <w:tabs>
                <w:tab w:val="left" w:pos="-4319"/>
              </w:tabs>
              <w:spacing w:before="0" w:after="0"/>
              <w:jc w:val="both"/>
              <w:rPr>
                <w:iCs/>
              </w:rPr>
            </w:pPr>
            <w:r w:rsidRPr="008B5FB0">
              <w:rPr>
                <w:iCs/>
              </w:rPr>
              <w:t>Bezdarbnieku un darba meklētāju atbalst</w:t>
            </w:r>
            <w:r>
              <w:rPr>
                <w:iCs/>
              </w:rPr>
              <w:t>a</w:t>
            </w:r>
            <w:r w:rsidRPr="008B5FB0">
              <w:rPr>
                <w:iCs/>
              </w:rPr>
              <w:t xml:space="preserve"> likum</w:t>
            </w:r>
            <w:r>
              <w:rPr>
                <w:iCs/>
              </w:rPr>
              <w:t>ā.</w:t>
            </w:r>
          </w:p>
          <w:p w14:paraId="656E6112" w14:textId="1E6DDD81" w:rsidR="00FC797D" w:rsidRPr="00F17C6A" w:rsidRDefault="00896E7E" w:rsidP="005D4097">
            <w:pPr>
              <w:pStyle w:val="naiskr"/>
              <w:tabs>
                <w:tab w:val="left" w:pos="-4319"/>
              </w:tabs>
              <w:spacing w:before="0" w:after="0"/>
              <w:jc w:val="both"/>
              <w:rPr>
                <w:iCs/>
              </w:rPr>
            </w:pPr>
            <w:r w:rsidRPr="008230CB">
              <w:rPr>
                <w:iCs/>
              </w:rPr>
              <w:t xml:space="preserve">Finanšu ministrijai </w:t>
            </w:r>
            <w:r>
              <w:rPr>
                <w:iCs/>
              </w:rPr>
              <w:t>minētajā termiņā būs jāizstrādā grozījumi likumā „Par iedzīvotāju ienākuma nodokli”</w:t>
            </w:r>
            <w:r w:rsidRPr="008B5FB0">
              <w:rPr>
                <w:iCs/>
              </w:rPr>
              <w:t>.</w:t>
            </w:r>
          </w:p>
        </w:tc>
      </w:tr>
      <w:tr w:rsidR="008A1E2A" w:rsidRPr="00B76D85" w14:paraId="315E50B5" w14:textId="77777777" w:rsidTr="006A7D0B">
        <w:tc>
          <w:tcPr>
            <w:tcW w:w="396" w:type="dxa"/>
            <w:shd w:val="clear" w:color="auto" w:fill="auto"/>
          </w:tcPr>
          <w:p w14:paraId="40546E74" w14:textId="77777777" w:rsidR="008A1E2A" w:rsidRDefault="008A1E2A" w:rsidP="00242D7D">
            <w:r>
              <w:t>2.</w:t>
            </w:r>
          </w:p>
        </w:tc>
        <w:tc>
          <w:tcPr>
            <w:tcW w:w="3072" w:type="dxa"/>
            <w:shd w:val="clear" w:color="auto" w:fill="auto"/>
          </w:tcPr>
          <w:p w14:paraId="021E1E47" w14:textId="77777777" w:rsidR="008A1E2A" w:rsidRPr="00DD49B6" w:rsidRDefault="008A1E2A" w:rsidP="006A7D0B">
            <w:pPr>
              <w:pStyle w:val="naiskr"/>
              <w:tabs>
                <w:tab w:val="left" w:pos="2628"/>
              </w:tabs>
              <w:spacing w:before="0" w:after="0"/>
              <w:jc w:val="both"/>
            </w:pPr>
            <w:r w:rsidRPr="00DD49B6">
              <w:t>Atbildīgā institūcija</w:t>
            </w:r>
          </w:p>
        </w:tc>
        <w:tc>
          <w:tcPr>
            <w:tcW w:w="5819" w:type="dxa"/>
            <w:shd w:val="clear" w:color="auto" w:fill="auto"/>
          </w:tcPr>
          <w:p w14:paraId="587C3DDE" w14:textId="77777777" w:rsidR="008A1E2A" w:rsidRPr="005D4097" w:rsidRDefault="002E6818" w:rsidP="002E6818">
            <w:pPr>
              <w:pStyle w:val="naiskr"/>
              <w:tabs>
                <w:tab w:val="left" w:pos="2628"/>
              </w:tabs>
              <w:spacing w:before="0" w:after="0"/>
              <w:jc w:val="both"/>
              <w:rPr>
                <w:iCs/>
              </w:rPr>
            </w:pPr>
            <w:r w:rsidRPr="005D4097">
              <w:rPr>
                <w:iCs/>
              </w:rPr>
              <w:t>Labklājības ministrija</w:t>
            </w:r>
            <w:r w:rsidR="00C950FD" w:rsidRPr="005D4097">
              <w:rPr>
                <w:iCs/>
              </w:rPr>
              <w:t>, Finanšu ministrija.</w:t>
            </w:r>
          </w:p>
        </w:tc>
      </w:tr>
      <w:tr w:rsidR="00FC797D" w:rsidRPr="00B76D85" w14:paraId="66FB9F88" w14:textId="77777777" w:rsidTr="006A7D0B">
        <w:tc>
          <w:tcPr>
            <w:tcW w:w="396" w:type="dxa"/>
            <w:shd w:val="clear" w:color="auto" w:fill="auto"/>
          </w:tcPr>
          <w:p w14:paraId="0A4AFF2E" w14:textId="77777777" w:rsidR="00FC797D" w:rsidRPr="00B76D85" w:rsidRDefault="008A1E2A" w:rsidP="00242D7D">
            <w:r>
              <w:t>3.</w:t>
            </w:r>
          </w:p>
        </w:tc>
        <w:tc>
          <w:tcPr>
            <w:tcW w:w="3072" w:type="dxa"/>
            <w:shd w:val="clear" w:color="auto" w:fill="auto"/>
          </w:tcPr>
          <w:p w14:paraId="7A2C4FDD" w14:textId="77777777" w:rsidR="00FC797D" w:rsidRPr="00B76D85" w:rsidRDefault="00FC797D" w:rsidP="00242D7D">
            <w:r>
              <w:t>Cita informācija</w:t>
            </w:r>
          </w:p>
        </w:tc>
        <w:tc>
          <w:tcPr>
            <w:tcW w:w="5819" w:type="dxa"/>
            <w:shd w:val="clear" w:color="auto" w:fill="auto"/>
          </w:tcPr>
          <w:p w14:paraId="1100CE6B" w14:textId="77777777" w:rsidR="009728C9" w:rsidRPr="005D4097" w:rsidRDefault="00FC797D" w:rsidP="008B5FB0">
            <w:pPr>
              <w:jc w:val="both"/>
            </w:pPr>
            <w:r w:rsidRPr="005D4097">
              <w:t>Nav</w:t>
            </w:r>
            <w:r w:rsidR="008B5FB0" w:rsidRPr="005D4097">
              <w:t>.</w:t>
            </w:r>
          </w:p>
        </w:tc>
      </w:tr>
    </w:tbl>
    <w:p w14:paraId="5E241B3E" w14:textId="77777777" w:rsidR="00B76D85" w:rsidRDefault="00B76D85" w:rsidP="00B76D85">
      <w:pPr>
        <w:jc w:val="cente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F17C6A" w:rsidRPr="00FD796E" w14:paraId="733EC306" w14:textId="77777777" w:rsidTr="008F0395">
        <w:tc>
          <w:tcPr>
            <w:tcW w:w="9356" w:type="dxa"/>
            <w:shd w:val="clear" w:color="auto" w:fill="auto"/>
          </w:tcPr>
          <w:p w14:paraId="2A35F683" w14:textId="77777777" w:rsidR="00F17C6A" w:rsidRPr="00FD796E" w:rsidRDefault="00F17C6A" w:rsidP="008F0395">
            <w:pPr>
              <w:jc w:val="center"/>
              <w:rPr>
                <w:b/>
              </w:rPr>
            </w:pPr>
            <w:r w:rsidRPr="00FD796E">
              <w:rPr>
                <w:b/>
              </w:rPr>
              <w:t>V. Tiesību akta projekta atbilstība Latvijas Republikas starptautiskajām saistībām</w:t>
            </w:r>
          </w:p>
        </w:tc>
      </w:tr>
      <w:tr w:rsidR="00F17C6A" w:rsidRPr="00FD796E" w14:paraId="33D09DFE" w14:textId="77777777" w:rsidTr="008F0395">
        <w:tc>
          <w:tcPr>
            <w:tcW w:w="9356" w:type="dxa"/>
            <w:shd w:val="clear" w:color="auto" w:fill="auto"/>
          </w:tcPr>
          <w:p w14:paraId="4B87CD02" w14:textId="2D27D30B" w:rsidR="00F17C6A" w:rsidRPr="00925534" w:rsidRDefault="00925534" w:rsidP="00925534">
            <w:pPr>
              <w:rPr>
                <w:rFonts w:eastAsia="Calibri"/>
                <w:lang w:eastAsia="en-US"/>
              </w:rPr>
            </w:pPr>
            <w:r w:rsidRPr="00925534">
              <w:rPr>
                <w:rFonts w:eastAsia="Calibri"/>
                <w:lang w:eastAsia="en-US"/>
              </w:rPr>
              <w:t xml:space="preserve">Likumprojekts šo jomu neskar. </w:t>
            </w:r>
          </w:p>
        </w:tc>
      </w:tr>
    </w:tbl>
    <w:p w14:paraId="6549F210" w14:textId="77777777" w:rsidR="00F17C6A" w:rsidRDefault="00F17C6A" w:rsidP="00F17C6A">
      <w:pPr>
        <w:jc w:val="center"/>
      </w:pPr>
    </w:p>
    <w:p w14:paraId="60D83304" w14:textId="77777777" w:rsidR="00F17C6A" w:rsidRDefault="00F17C6A" w:rsidP="00B76D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B76D85" w:rsidRPr="006A7D0B" w14:paraId="25484054" w14:textId="77777777" w:rsidTr="006A7D0B">
        <w:tc>
          <w:tcPr>
            <w:tcW w:w="9287" w:type="dxa"/>
            <w:gridSpan w:val="3"/>
            <w:shd w:val="clear" w:color="auto" w:fill="auto"/>
          </w:tcPr>
          <w:p w14:paraId="612A0D2C" w14:textId="77777777" w:rsidR="00B76D85" w:rsidRPr="006A7D0B" w:rsidRDefault="00043389" w:rsidP="006A7D0B">
            <w:pPr>
              <w:jc w:val="center"/>
              <w:rPr>
                <w:b/>
              </w:rPr>
            </w:pPr>
            <w:r w:rsidRPr="006A7D0B">
              <w:rPr>
                <w:b/>
              </w:rPr>
              <w:t>VI</w:t>
            </w:r>
            <w:r w:rsidR="00DC37D9" w:rsidRPr="006A7D0B">
              <w:rPr>
                <w:b/>
              </w:rPr>
              <w:t>.</w:t>
            </w:r>
            <w:r w:rsidRPr="006A7D0B">
              <w:rPr>
                <w:b/>
              </w:rPr>
              <w:t xml:space="preserve"> Sabiedrības līdzdalība un </w:t>
            </w:r>
            <w:r w:rsidR="00BB50B2" w:rsidRPr="006A7D0B">
              <w:rPr>
                <w:b/>
              </w:rPr>
              <w:t>komunikācijas aktivitātes</w:t>
            </w:r>
          </w:p>
        </w:tc>
      </w:tr>
      <w:tr w:rsidR="0004032C" w:rsidRPr="00B76D85" w14:paraId="13AB9CDD" w14:textId="77777777" w:rsidTr="006A7D0B">
        <w:tc>
          <w:tcPr>
            <w:tcW w:w="396" w:type="dxa"/>
            <w:shd w:val="clear" w:color="auto" w:fill="auto"/>
          </w:tcPr>
          <w:p w14:paraId="5FD8AD35" w14:textId="77777777" w:rsidR="0004032C" w:rsidRPr="00B76D85" w:rsidRDefault="0004032C" w:rsidP="0004032C">
            <w:r>
              <w:t xml:space="preserve">1. </w:t>
            </w:r>
          </w:p>
        </w:tc>
        <w:tc>
          <w:tcPr>
            <w:tcW w:w="3072" w:type="dxa"/>
            <w:shd w:val="clear" w:color="auto" w:fill="auto"/>
          </w:tcPr>
          <w:p w14:paraId="1679AA2A" w14:textId="77777777" w:rsidR="0004032C" w:rsidRPr="006A7D0B" w:rsidRDefault="0004032C" w:rsidP="0004032C">
            <w:pPr>
              <w:pStyle w:val="naiskr"/>
              <w:spacing w:before="0" w:after="0"/>
              <w:ind w:left="57" w:right="57"/>
              <w:rPr>
                <w:sz w:val="22"/>
                <w:szCs w:val="22"/>
              </w:rPr>
            </w:pPr>
            <w:r w:rsidRPr="00DD49B6">
              <w:t>Plānotās sabiedrības līdzdalības un komunikācijas aktivitātes saistībā ar projektu</w:t>
            </w:r>
          </w:p>
        </w:tc>
        <w:tc>
          <w:tcPr>
            <w:tcW w:w="5819" w:type="dxa"/>
            <w:shd w:val="clear" w:color="auto" w:fill="auto"/>
          </w:tcPr>
          <w:p w14:paraId="5481D3EA" w14:textId="5E0C242A" w:rsidR="0004032C" w:rsidRPr="008B5FB0" w:rsidRDefault="0004032C" w:rsidP="004356FE">
            <w:pPr>
              <w:jc w:val="both"/>
              <w:rPr>
                <w:i/>
              </w:rPr>
            </w:pPr>
            <w:r>
              <w:t>Lai n</w:t>
            </w:r>
            <w:r w:rsidRPr="008B5FB0">
              <w:t>odrošin</w:t>
            </w:r>
            <w:r>
              <w:t>ātu</w:t>
            </w:r>
            <w:r w:rsidRPr="008B5FB0">
              <w:t xml:space="preserve"> sabiedrības līdzdalību un komunikāciju</w:t>
            </w:r>
            <w:r>
              <w:t>, likump</w:t>
            </w:r>
            <w:r w:rsidRPr="008B5FB0">
              <w:t xml:space="preserve">rojekts </w:t>
            </w:r>
            <w:r>
              <w:t xml:space="preserve">2015.gada 20.maijā </w:t>
            </w:r>
            <w:r w:rsidRPr="008B5FB0">
              <w:t>tik</w:t>
            </w:r>
            <w:r>
              <w:t>a</w:t>
            </w:r>
            <w:r w:rsidRPr="008B5FB0">
              <w:t xml:space="preserve"> ievietots Labklājības ministrijas mājas lapā, </w:t>
            </w:r>
            <w:r w:rsidR="004356FE">
              <w:t>vienlaicīgi nosūtot elektroniskā pasta vēstuli 70 nevalstiskajām organizācijām, kuras noslēgušas sadarbības līgumu ar Labklājības ministriju. P</w:t>
            </w:r>
            <w:r>
              <w:t xml:space="preserve">riekšlikumus projekta pilnveidošanai </w:t>
            </w:r>
            <w:r w:rsidR="004356FE">
              <w:t xml:space="preserve">bija aicināts iesniegt </w:t>
            </w:r>
            <w:r>
              <w:t xml:space="preserve">līdz 2015.gada </w:t>
            </w:r>
            <w:r w:rsidR="0042538F">
              <w:t>3</w:t>
            </w:r>
            <w:r>
              <w:t>.</w:t>
            </w:r>
            <w:r w:rsidR="0042538F">
              <w:t>jūnijam</w:t>
            </w:r>
            <w:r w:rsidRPr="008B5FB0">
              <w:t>.</w:t>
            </w:r>
            <w:r w:rsidR="004356FE">
              <w:t xml:space="preserve"> </w:t>
            </w:r>
          </w:p>
        </w:tc>
      </w:tr>
      <w:tr w:rsidR="0004032C" w:rsidRPr="00B76D85" w14:paraId="05105B1B" w14:textId="77777777" w:rsidTr="006A7D0B">
        <w:tc>
          <w:tcPr>
            <w:tcW w:w="396" w:type="dxa"/>
            <w:shd w:val="clear" w:color="auto" w:fill="auto"/>
          </w:tcPr>
          <w:p w14:paraId="39AD907E" w14:textId="77777777" w:rsidR="0004032C" w:rsidRPr="00B76D85" w:rsidRDefault="0004032C" w:rsidP="0004032C">
            <w:r>
              <w:t xml:space="preserve">2. </w:t>
            </w:r>
          </w:p>
        </w:tc>
        <w:tc>
          <w:tcPr>
            <w:tcW w:w="3072" w:type="dxa"/>
            <w:shd w:val="clear" w:color="auto" w:fill="auto"/>
          </w:tcPr>
          <w:p w14:paraId="528D132E" w14:textId="77777777" w:rsidR="0004032C" w:rsidRPr="00925534" w:rsidRDefault="0004032C" w:rsidP="0004032C">
            <w:pPr>
              <w:pStyle w:val="naiskr"/>
              <w:spacing w:before="0" w:after="0"/>
              <w:ind w:left="57" w:right="57"/>
            </w:pPr>
            <w:r w:rsidRPr="00925534">
              <w:t xml:space="preserve">Sabiedrības līdzdalība projekta izstrādē </w:t>
            </w:r>
          </w:p>
        </w:tc>
        <w:tc>
          <w:tcPr>
            <w:tcW w:w="5819" w:type="dxa"/>
            <w:shd w:val="clear" w:color="auto" w:fill="auto"/>
          </w:tcPr>
          <w:p w14:paraId="0925AAA6" w14:textId="517BBB9E" w:rsidR="0004032C" w:rsidRPr="006210DC" w:rsidRDefault="006210DC" w:rsidP="006210DC">
            <w:pPr>
              <w:jc w:val="both"/>
              <w:rPr>
                <w:i/>
              </w:rPr>
            </w:pPr>
            <w:r w:rsidRPr="006210DC">
              <w:t xml:space="preserve">Līdz 2015.gada 3.jūnijam viedokli par projektu sniedza </w:t>
            </w:r>
            <w:r w:rsidRPr="006210DC">
              <w:rPr>
                <w:color w:val="000000"/>
                <w:lang w:eastAsia="en-GB"/>
              </w:rPr>
              <w:t>Ventspils pilsētas Sociāl</w:t>
            </w:r>
            <w:r>
              <w:rPr>
                <w:color w:val="000000"/>
                <w:lang w:eastAsia="en-GB"/>
              </w:rPr>
              <w:t>ais</w:t>
            </w:r>
            <w:r w:rsidRPr="006210DC">
              <w:rPr>
                <w:color w:val="000000"/>
                <w:lang w:eastAsia="en-GB"/>
              </w:rPr>
              <w:t xml:space="preserve"> dienests.</w:t>
            </w:r>
          </w:p>
        </w:tc>
      </w:tr>
      <w:tr w:rsidR="0004032C" w:rsidRPr="00B76D85" w14:paraId="08C98A2E" w14:textId="77777777" w:rsidTr="006A7D0B">
        <w:tc>
          <w:tcPr>
            <w:tcW w:w="396" w:type="dxa"/>
            <w:shd w:val="clear" w:color="auto" w:fill="auto"/>
          </w:tcPr>
          <w:p w14:paraId="5F83C225" w14:textId="77777777" w:rsidR="0004032C" w:rsidRPr="00B76D85" w:rsidRDefault="0004032C" w:rsidP="0004032C">
            <w:r>
              <w:t>3.</w:t>
            </w:r>
          </w:p>
        </w:tc>
        <w:tc>
          <w:tcPr>
            <w:tcW w:w="3072" w:type="dxa"/>
            <w:shd w:val="clear" w:color="auto" w:fill="auto"/>
          </w:tcPr>
          <w:p w14:paraId="5CBBED24" w14:textId="77777777" w:rsidR="0004032C" w:rsidRPr="00925534" w:rsidRDefault="0004032C" w:rsidP="0004032C">
            <w:pPr>
              <w:pStyle w:val="naiskr"/>
              <w:spacing w:before="0" w:after="0"/>
              <w:ind w:left="57" w:right="57"/>
            </w:pPr>
            <w:r w:rsidRPr="00925534">
              <w:t xml:space="preserve">Sabiedrības līdzdalības rezultāti </w:t>
            </w:r>
          </w:p>
        </w:tc>
        <w:tc>
          <w:tcPr>
            <w:tcW w:w="5819" w:type="dxa"/>
            <w:shd w:val="clear" w:color="auto" w:fill="auto"/>
          </w:tcPr>
          <w:p w14:paraId="308566E7" w14:textId="6C584FC9" w:rsidR="0004032C" w:rsidRPr="00287EA8" w:rsidRDefault="00287EA8" w:rsidP="00287EA8">
            <w:pPr>
              <w:jc w:val="both"/>
              <w:rPr>
                <w:i/>
              </w:rPr>
            </w:pPr>
            <w:r w:rsidRPr="006210DC">
              <w:rPr>
                <w:color w:val="000000"/>
                <w:lang w:eastAsia="en-GB"/>
              </w:rPr>
              <w:t>Ventspils pilsētas Sociāl</w:t>
            </w:r>
            <w:r>
              <w:rPr>
                <w:color w:val="000000"/>
                <w:lang w:eastAsia="en-GB"/>
              </w:rPr>
              <w:t>ais</w:t>
            </w:r>
            <w:r w:rsidRPr="006210DC">
              <w:rPr>
                <w:color w:val="000000"/>
                <w:lang w:eastAsia="en-GB"/>
              </w:rPr>
              <w:t xml:space="preserve"> dienests</w:t>
            </w:r>
            <w:r w:rsidRPr="00287EA8">
              <w:rPr>
                <w:color w:val="000000"/>
                <w:lang w:eastAsia="en-GB"/>
              </w:rPr>
              <w:t xml:space="preserve"> </w:t>
            </w:r>
            <w:r>
              <w:rPr>
                <w:color w:val="000000"/>
                <w:lang w:eastAsia="en-GB"/>
              </w:rPr>
              <w:t>konceptuāli atbalstīja likumprojekta grozījumus</w:t>
            </w:r>
            <w:r w:rsidRPr="00287EA8">
              <w:rPr>
                <w:color w:val="000000"/>
                <w:lang w:eastAsia="en-GB"/>
              </w:rPr>
              <w:t>,</w:t>
            </w:r>
            <w:r>
              <w:rPr>
                <w:color w:val="000000"/>
                <w:lang w:eastAsia="en-GB"/>
              </w:rPr>
              <w:t xml:space="preserve"> vienlaicīgi vēršot uzmanību, ka pēc minimālā ienākuma līmeņa ieviešanas var būtiski</w:t>
            </w:r>
            <w:r w:rsidRPr="00287EA8">
              <w:rPr>
                <w:color w:val="000000"/>
                <w:lang w:eastAsia="en-GB"/>
              </w:rPr>
              <w:t xml:space="preserve"> </w:t>
            </w:r>
            <w:r>
              <w:rPr>
                <w:color w:val="000000"/>
                <w:lang w:eastAsia="en-GB"/>
              </w:rPr>
              <w:t xml:space="preserve">palielināties </w:t>
            </w:r>
            <w:r w:rsidRPr="00287EA8">
              <w:rPr>
                <w:color w:val="000000"/>
                <w:lang w:eastAsia="en-GB"/>
              </w:rPr>
              <w:t>pašvaldību</w:t>
            </w:r>
            <w:r>
              <w:rPr>
                <w:color w:val="000000"/>
                <w:lang w:eastAsia="en-GB"/>
              </w:rPr>
              <w:t xml:space="preserve"> izdevumi</w:t>
            </w:r>
            <w:r w:rsidRPr="00287EA8">
              <w:rPr>
                <w:color w:val="000000"/>
                <w:lang w:eastAsia="en-GB"/>
              </w:rPr>
              <w:t xml:space="preserve"> sociālajiem pabalstiem,</w:t>
            </w:r>
            <w:r>
              <w:rPr>
                <w:color w:val="000000"/>
                <w:lang w:eastAsia="en-GB"/>
              </w:rPr>
              <w:t xml:space="preserve"> ja tiek saglabāta esošā sociālās palīdzības finansēšanas kārtība, kā arī aicināja izmantot saprotamāku</w:t>
            </w:r>
            <w:r w:rsidRPr="00287EA8">
              <w:rPr>
                <w:color w:val="000000"/>
                <w:lang w:eastAsia="en-GB"/>
              </w:rPr>
              <w:t xml:space="preserve"> </w:t>
            </w:r>
            <w:r>
              <w:rPr>
                <w:color w:val="000000"/>
                <w:lang w:eastAsia="en-GB"/>
              </w:rPr>
              <w:t>terminoloģiju</w:t>
            </w:r>
            <w:r w:rsidRPr="00287EA8">
              <w:rPr>
                <w:color w:val="000000"/>
                <w:lang w:eastAsia="en-GB"/>
              </w:rPr>
              <w:t>.</w:t>
            </w:r>
          </w:p>
        </w:tc>
      </w:tr>
      <w:tr w:rsidR="0004032C" w:rsidRPr="00B76D85" w14:paraId="5994AD16" w14:textId="77777777" w:rsidTr="006A7D0B">
        <w:tc>
          <w:tcPr>
            <w:tcW w:w="396" w:type="dxa"/>
            <w:shd w:val="clear" w:color="auto" w:fill="auto"/>
          </w:tcPr>
          <w:p w14:paraId="36C6CD85" w14:textId="77777777" w:rsidR="0004032C" w:rsidRPr="00B76D85" w:rsidRDefault="0004032C" w:rsidP="0004032C">
            <w:r>
              <w:t>4.</w:t>
            </w:r>
          </w:p>
        </w:tc>
        <w:tc>
          <w:tcPr>
            <w:tcW w:w="3072" w:type="dxa"/>
            <w:shd w:val="clear" w:color="auto" w:fill="auto"/>
          </w:tcPr>
          <w:p w14:paraId="03C733BF" w14:textId="77777777" w:rsidR="0004032C" w:rsidRPr="00925534" w:rsidRDefault="0004032C" w:rsidP="0004032C">
            <w:pPr>
              <w:pStyle w:val="naiskr"/>
              <w:spacing w:before="0" w:after="0"/>
              <w:ind w:left="57" w:right="57"/>
            </w:pPr>
            <w:r w:rsidRPr="00925534">
              <w:t>Cita informācija</w:t>
            </w:r>
          </w:p>
          <w:p w14:paraId="0C18E45B" w14:textId="77777777" w:rsidR="0004032C" w:rsidRPr="00925534" w:rsidRDefault="0004032C" w:rsidP="0004032C">
            <w:pPr>
              <w:pStyle w:val="naiskr"/>
              <w:spacing w:before="0" w:after="0"/>
              <w:ind w:left="57" w:right="57"/>
            </w:pPr>
          </w:p>
        </w:tc>
        <w:tc>
          <w:tcPr>
            <w:tcW w:w="5819" w:type="dxa"/>
            <w:shd w:val="clear" w:color="auto" w:fill="auto"/>
          </w:tcPr>
          <w:p w14:paraId="31FD32DA" w14:textId="63AFAD33" w:rsidR="0004032C" w:rsidRPr="00925534" w:rsidRDefault="00287EA8" w:rsidP="0004032C">
            <w:pPr>
              <w:jc w:val="both"/>
              <w:rPr>
                <w:i/>
              </w:rPr>
            </w:pPr>
            <w:r>
              <w:t>Nav</w:t>
            </w:r>
            <w:r w:rsidR="00925534" w:rsidRPr="00925534">
              <w:t>.</w:t>
            </w:r>
          </w:p>
        </w:tc>
      </w:tr>
    </w:tbl>
    <w:p w14:paraId="37C1014E" w14:textId="77777777" w:rsidR="00B76D85" w:rsidRDefault="00B76D85" w:rsidP="00B76D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194614" w:rsidRPr="006A7D0B" w14:paraId="197E8982" w14:textId="77777777" w:rsidTr="006A7D0B">
        <w:tc>
          <w:tcPr>
            <w:tcW w:w="9287" w:type="dxa"/>
            <w:gridSpan w:val="3"/>
            <w:shd w:val="clear" w:color="auto" w:fill="auto"/>
          </w:tcPr>
          <w:p w14:paraId="025BDEC9" w14:textId="77777777" w:rsidR="00194614" w:rsidRPr="006A7D0B" w:rsidRDefault="00194614" w:rsidP="006A7D0B">
            <w:pPr>
              <w:jc w:val="center"/>
              <w:rPr>
                <w:b/>
              </w:rPr>
            </w:pPr>
            <w:r w:rsidRPr="006A7D0B">
              <w:rPr>
                <w:b/>
              </w:rPr>
              <w:t>VII</w:t>
            </w:r>
            <w:r w:rsidR="00DC37D9" w:rsidRPr="006A7D0B">
              <w:rPr>
                <w:b/>
              </w:rPr>
              <w:t>.</w:t>
            </w:r>
            <w:r w:rsidRPr="006A7D0B">
              <w:rPr>
                <w:b/>
              </w:rPr>
              <w:t xml:space="preserve"> Tiesību akta projekta izpildes nodrošināšana un tās ietekme uz institūcijām</w:t>
            </w:r>
          </w:p>
        </w:tc>
      </w:tr>
      <w:tr w:rsidR="00B76D85" w:rsidRPr="00B76D85" w14:paraId="297FBC94" w14:textId="77777777" w:rsidTr="006A7D0B">
        <w:tc>
          <w:tcPr>
            <w:tcW w:w="396" w:type="dxa"/>
            <w:shd w:val="clear" w:color="auto" w:fill="auto"/>
          </w:tcPr>
          <w:p w14:paraId="266DF475" w14:textId="77777777" w:rsidR="00B76D85" w:rsidRPr="00B76D85" w:rsidRDefault="00194614" w:rsidP="00242D7D">
            <w:r>
              <w:t>1</w:t>
            </w:r>
            <w:r w:rsidR="00B76D85">
              <w:t xml:space="preserve">. </w:t>
            </w:r>
          </w:p>
        </w:tc>
        <w:tc>
          <w:tcPr>
            <w:tcW w:w="3072" w:type="dxa"/>
            <w:shd w:val="clear" w:color="auto" w:fill="auto"/>
          </w:tcPr>
          <w:p w14:paraId="6347E7C5" w14:textId="77777777" w:rsidR="00B76D85" w:rsidRPr="00925534" w:rsidRDefault="00194614" w:rsidP="00242D7D">
            <w:r w:rsidRPr="00925534">
              <w:t xml:space="preserve">Projekta izpildē iesaistītās </w:t>
            </w:r>
            <w:r w:rsidRPr="00925534">
              <w:lastRenderedPageBreak/>
              <w:t>institūcijas</w:t>
            </w:r>
          </w:p>
        </w:tc>
        <w:tc>
          <w:tcPr>
            <w:tcW w:w="5819" w:type="dxa"/>
            <w:shd w:val="clear" w:color="auto" w:fill="auto"/>
          </w:tcPr>
          <w:p w14:paraId="58936468" w14:textId="77777777" w:rsidR="00B76D85" w:rsidRPr="00925534" w:rsidRDefault="002E6818" w:rsidP="008B5FB0">
            <w:pPr>
              <w:jc w:val="both"/>
              <w:rPr>
                <w:iCs/>
              </w:rPr>
            </w:pPr>
            <w:r w:rsidRPr="00925534">
              <w:rPr>
                <w:iCs/>
              </w:rPr>
              <w:lastRenderedPageBreak/>
              <w:t xml:space="preserve">Labklājības ministrija, </w:t>
            </w:r>
            <w:r w:rsidR="00C43C42" w:rsidRPr="00925534">
              <w:rPr>
                <w:iCs/>
              </w:rPr>
              <w:t>Finanšu ministrija</w:t>
            </w:r>
            <w:r w:rsidR="008B5FB0" w:rsidRPr="00925534">
              <w:rPr>
                <w:iCs/>
              </w:rPr>
              <w:t xml:space="preserve">, Centrālā </w:t>
            </w:r>
            <w:r w:rsidR="008B5FB0" w:rsidRPr="00925534">
              <w:rPr>
                <w:iCs/>
              </w:rPr>
              <w:lastRenderedPageBreak/>
              <w:t>statistikas pārvalde.</w:t>
            </w:r>
          </w:p>
        </w:tc>
      </w:tr>
      <w:tr w:rsidR="00B76D85" w:rsidRPr="00B76D85" w14:paraId="5BD24212" w14:textId="77777777" w:rsidTr="006A7D0B">
        <w:tc>
          <w:tcPr>
            <w:tcW w:w="396" w:type="dxa"/>
            <w:shd w:val="clear" w:color="auto" w:fill="auto"/>
          </w:tcPr>
          <w:p w14:paraId="24724898" w14:textId="77777777" w:rsidR="00B76D85" w:rsidRPr="00B76D85" w:rsidRDefault="00194614" w:rsidP="00242D7D">
            <w:r>
              <w:lastRenderedPageBreak/>
              <w:t>2</w:t>
            </w:r>
            <w:r w:rsidR="00B76D85">
              <w:t xml:space="preserve">. </w:t>
            </w:r>
          </w:p>
        </w:tc>
        <w:tc>
          <w:tcPr>
            <w:tcW w:w="3072" w:type="dxa"/>
            <w:shd w:val="clear" w:color="auto" w:fill="auto"/>
          </w:tcPr>
          <w:p w14:paraId="4F57A5FE" w14:textId="77777777" w:rsidR="00606F3D" w:rsidRPr="00925534" w:rsidRDefault="00606F3D" w:rsidP="006A7D0B">
            <w:r w:rsidRPr="00925534">
              <w:t>Projekta izpildes ietekme uz pār</w:t>
            </w:r>
            <w:r w:rsidRPr="00925534">
              <w:softHyphen/>
              <w:t>valdes funkcijām un institucionālo struktūru.</w:t>
            </w:r>
          </w:p>
          <w:p w14:paraId="7087D2A5" w14:textId="77777777" w:rsidR="00B76D85" w:rsidRPr="00925534" w:rsidRDefault="00606F3D" w:rsidP="00606F3D">
            <w:r w:rsidRPr="00925534">
              <w:t>Jaunu institūciju izveide, esošu institūciju likvidācija vai reorga</w:t>
            </w:r>
            <w:r w:rsidRPr="00925534">
              <w:softHyphen/>
              <w:t>nizācija, to ietekme uz institūcijas cilvēkresursiem</w:t>
            </w:r>
          </w:p>
        </w:tc>
        <w:tc>
          <w:tcPr>
            <w:tcW w:w="5819" w:type="dxa"/>
            <w:shd w:val="clear" w:color="auto" w:fill="auto"/>
          </w:tcPr>
          <w:p w14:paraId="25A8E7D3" w14:textId="77777777" w:rsidR="00B76D85" w:rsidRPr="00925534" w:rsidRDefault="00B97192" w:rsidP="008B5FB0">
            <w:pPr>
              <w:jc w:val="both"/>
              <w:rPr>
                <w:i/>
              </w:rPr>
            </w:pPr>
            <w:r w:rsidRPr="00925534">
              <w:t xml:space="preserve">Jaunu institūciju izveide nav nepieciešama. </w:t>
            </w:r>
          </w:p>
        </w:tc>
      </w:tr>
      <w:tr w:rsidR="00194614" w:rsidRPr="00B76D85" w14:paraId="2FA803FF" w14:textId="77777777" w:rsidTr="006A7D0B">
        <w:tc>
          <w:tcPr>
            <w:tcW w:w="396" w:type="dxa"/>
            <w:shd w:val="clear" w:color="auto" w:fill="auto"/>
          </w:tcPr>
          <w:p w14:paraId="2C3DA420" w14:textId="77777777" w:rsidR="00194614" w:rsidRDefault="00606F3D" w:rsidP="00606F3D">
            <w:r>
              <w:t>3</w:t>
            </w:r>
            <w:r w:rsidR="00194614">
              <w:t xml:space="preserve">. </w:t>
            </w:r>
          </w:p>
        </w:tc>
        <w:tc>
          <w:tcPr>
            <w:tcW w:w="3072" w:type="dxa"/>
            <w:shd w:val="clear" w:color="auto" w:fill="auto"/>
          </w:tcPr>
          <w:p w14:paraId="53CE3591" w14:textId="77777777" w:rsidR="00194614" w:rsidRPr="00925534" w:rsidRDefault="00194614" w:rsidP="00242D7D">
            <w:r w:rsidRPr="00925534">
              <w:t>Cita informācija</w:t>
            </w:r>
          </w:p>
        </w:tc>
        <w:tc>
          <w:tcPr>
            <w:tcW w:w="5819" w:type="dxa"/>
            <w:shd w:val="clear" w:color="auto" w:fill="auto"/>
          </w:tcPr>
          <w:p w14:paraId="28E9E2A1" w14:textId="77777777" w:rsidR="00194614" w:rsidRPr="00925534" w:rsidRDefault="002E6818" w:rsidP="006A7D0B">
            <w:pPr>
              <w:jc w:val="both"/>
              <w:rPr>
                <w:i/>
                <w:color w:val="FF0000"/>
              </w:rPr>
            </w:pPr>
            <w:r w:rsidRPr="00925534">
              <w:t>Nav.</w:t>
            </w:r>
          </w:p>
        </w:tc>
      </w:tr>
    </w:tbl>
    <w:p w14:paraId="5BAE0861" w14:textId="77777777" w:rsidR="00B76D85" w:rsidRDefault="00B76D85" w:rsidP="00B76D85">
      <w:pPr>
        <w:jc w:val="center"/>
      </w:pPr>
    </w:p>
    <w:p w14:paraId="3E845AAA" w14:textId="77777777" w:rsidR="00FE5D00" w:rsidRDefault="00FE5D00" w:rsidP="00B76D85">
      <w:pPr>
        <w:jc w:val="center"/>
      </w:pPr>
    </w:p>
    <w:p w14:paraId="7696F509" w14:textId="77777777" w:rsidR="008B29E2" w:rsidRDefault="008B29E2" w:rsidP="00194614">
      <w:pPr>
        <w:rPr>
          <w:sz w:val="28"/>
          <w:szCs w:val="28"/>
        </w:rPr>
      </w:pPr>
    </w:p>
    <w:p w14:paraId="18434CD6" w14:textId="77777777" w:rsidR="008B29E2" w:rsidRDefault="008B29E2" w:rsidP="00194614">
      <w:pPr>
        <w:rPr>
          <w:sz w:val="28"/>
          <w:szCs w:val="28"/>
        </w:rPr>
      </w:pPr>
    </w:p>
    <w:p w14:paraId="68E77D3D" w14:textId="77777777" w:rsidR="008B29E2" w:rsidRDefault="008B29E2" w:rsidP="00194614">
      <w:pPr>
        <w:rPr>
          <w:sz w:val="28"/>
          <w:szCs w:val="28"/>
        </w:rPr>
      </w:pPr>
    </w:p>
    <w:p w14:paraId="13BC82A7" w14:textId="77777777" w:rsidR="008B29E2" w:rsidRDefault="008B29E2" w:rsidP="00194614">
      <w:pPr>
        <w:rPr>
          <w:sz w:val="28"/>
          <w:szCs w:val="28"/>
        </w:rPr>
      </w:pPr>
    </w:p>
    <w:p w14:paraId="50E6A8C2" w14:textId="1076F069" w:rsidR="003F1888" w:rsidRPr="003F1888" w:rsidRDefault="00A23D09" w:rsidP="00194614">
      <w:pPr>
        <w:rPr>
          <w:color w:val="000000"/>
          <w:lang w:eastAsia="en-GB"/>
        </w:rPr>
      </w:pPr>
      <w:r>
        <w:rPr>
          <w:color w:val="000000"/>
          <w:lang w:eastAsia="en-GB"/>
        </w:rPr>
        <w:t>Labklājības ministrs</w:t>
      </w:r>
      <w:r>
        <w:rPr>
          <w:color w:val="000000"/>
          <w:lang w:eastAsia="en-GB"/>
        </w:rPr>
        <w:tab/>
      </w:r>
      <w:r>
        <w:rPr>
          <w:color w:val="000000"/>
          <w:lang w:eastAsia="en-GB"/>
        </w:rPr>
        <w:tab/>
      </w:r>
      <w:r>
        <w:rPr>
          <w:color w:val="000000"/>
          <w:lang w:eastAsia="en-GB"/>
        </w:rPr>
        <w:tab/>
      </w:r>
      <w:r>
        <w:rPr>
          <w:color w:val="000000"/>
          <w:lang w:eastAsia="en-GB"/>
        </w:rPr>
        <w:tab/>
      </w:r>
      <w:r>
        <w:rPr>
          <w:color w:val="000000"/>
          <w:lang w:eastAsia="en-GB"/>
        </w:rPr>
        <w:tab/>
      </w:r>
      <w:r>
        <w:rPr>
          <w:color w:val="000000"/>
          <w:lang w:eastAsia="en-GB"/>
        </w:rPr>
        <w:tab/>
      </w:r>
      <w:r>
        <w:rPr>
          <w:color w:val="000000"/>
          <w:lang w:eastAsia="en-GB"/>
        </w:rPr>
        <w:tab/>
      </w:r>
      <w:r>
        <w:rPr>
          <w:color w:val="000000"/>
          <w:lang w:eastAsia="en-GB"/>
        </w:rPr>
        <w:tab/>
      </w:r>
      <w:r>
        <w:rPr>
          <w:color w:val="000000"/>
          <w:lang w:eastAsia="en-GB"/>
        </w:rPr>
        <w:tab/>
        <w:t>U.Augulis</w:t>
      </w:r>
      <w:r w:rsidR="003F1888" w:rsidRPr="003F1888">
        <w:rPr>
          <w:color w:val="000000"/>
          <w:lang w:eastAsia="en-GB"/>
        </w:rPr>
        <w:t xml:space="preserve"> </w:t>
      </w:r>
    </w:p>
    <w:p w14:paraId="0F52D96D" w14:textId="77777777" w:rsidR="00194614" w:rsidRDefault="00194614" w:rsidP="00194614">
      <w:pPr>
        <w:pStyle w:val="Footer"/>
      </w:pPr>
    </w:p>
    <w:p w14:paraId="786BD4DB" w14:textId="77777777" w:rsidR="00115437" w:rsidRDefault="00115437" w:rsidP="00194614">
      <w:pPr>
        <w:pStyle w:val="Footer"/>
      </w:pPr>
    </w:p>
    <w:p w14:paraId="5BD1C07B" w14:textId="77777777" w:rsidR="00330E6E" w:rsidRDefault="00330E6E" w:rsidP="00194614">
      <w:pPr>
        <w:pStyle w:val="Footer"/>
      </w:pPr>
    </w:p>
    <w:p w14:paraId="18D21051" w14:textId="77777777" w:rsidR="00330E6E" w:rsidRDefault="00330E6E" w:rsidP="00194614">
      <w:pPr>
        <w:pStyle w:val="Footer"/>
      </w:pPr>
    </w:p>
    <w:p w14:paraId="4DC8C0E7" w14:textId="77777777" w:rsidR="00330E6E" w:rsidRDefault="00330E6E" w:rsidP="00194614">
      <w:pPr>
        <w:pStyle w:val="Footer"/>
      </w:pPr>
    </w:p>
    <w:p w14:paraId="299D30B7" w14:textId="77777777" w:rsidR="00330E6E" w:rsidRDefault="00330E6E" w:rsidP="00194614">
      <w:pPr>
        <w:pStyle w:val="Footer"/>
      </w:pPr>
    </w:p>
    <w:p w14:paraId="0E62AB4F" w14:textId="77777777" w:rsidR="00330E6E" w:rsidRDefault="00330E6E" w:rsidP="00194614">
      <w:pPr>
        <w:pStyle w:val="Footer"/>
      </w:pPr>
    </w:p>
    <w:p w14:paraId="7A52AC78" w14:textId="77777777" w:rsidR="00330E6E" w:rsidRDefault="00330E6E" w:rsidP="00194614">
      <w:pPr>
        <w:pStyle w:val="Footer"/>
      </w:pPr>
    </w:p>
    <w:p w14:paraId="50AF6F54" w14:textId="77777777" w:rsidR="00330E6E" w:rsidRDefault="00330E6E" w:rsidP="00194614">
      <w:pPr>
        <w:pStyle w:val="Footer"/>
      </w:pPr>
    </w:p>
    <w:p w14:paraId="754ECD8B" w14:textId="77777777" w:rsidR="00330E6E" w:rsidRDefault="00330E6E" w:rsidP="00194614">
      <w:pPr>
        <w:pStyle w:val="Footer"/>
      </w:pPr>
    </w:p>
    <w:p w14:paraId="6B303A24" w14:textId="555CA6A5" w:rsidR="00194614" w:rsidRPr="008B5FB0" w:rsidRDefault="00FE09FE" w:rsidP="00194614">
      <w:pPr>
        <w:pStyle w:val="Footer"/>
        <w:tabs>
          <w:tab w:val="clear" w:pos="4153"/>
          <w:tab w:val="clear" w:pos="8306"/>
        </w:tabs>
        <w:rPr>
          <w:sz w:val="20"/>
          <w:szCs w:val="20"/>
        </w:rPr>
      </w:pPr>
      <w:r>
        <w:rPr>
          <w:sz w:val="20"/>
          <w:szCs w:val="20"/>
        </w:rPr>
        <w:t>0</w:t>
      </w:r>
      <w:r w:rsidR="009A52A2">
        <w:rPr>
          <w:sz w:val="20"/>
          <w:szCs w:val="20"/>
        </w:rPr>
        <w:t>9</w:t>
      </w:r>
      <w:r w:rsidR="00DB4594" w:rsidRPr="008B5FB0">
        <w:rPr>
          <w:sz w:val="20"/>
          <w:szCs w:val="20"/>
        </w:rPr>
        <w:t>.</w:t>
      </w:r>
      <w:r w:rsidR="007D6770" w:rsidRPr="008B5FB0">
        <w:rPr>
          <w:sz w:val="20"/>
          <w:szCs w:val="20"/>
        </w:rPr>
        <w:t>0</w:t>
      </w:r>
      <w:r>
        <w:rPr>
          <w:sz w:val="20"/>
          <w:szCs w:val="20"/>
        </w:rPr>
        <w:t>6</w:t>
      </w:r>
      <w:r w:rsidR="00DB4594" w:rsidRPr="008B5FB0">
        <w:rPr>
          <w:sz w:val="20"/>
          <w:szCs w:val="20"/>
        </w:rPr>
        <w:t>.</w:t>
      </w:r>
      <w:r w:rsidR="008B5FB0">
        <w:rPr>
          <w:sz w:val="20"/>
          <w:szCs w:val="20"/>
        </w:rPr>
        <w:t>2015. 0</w:t>
      </w:r>
      <w:r w:rsidR="00653974">
        <w:rPr>
          <w:sz w:val="20"/>
          <w:szCs w:val="20"/>
        </w:rPr>
        <w:t>8</w:t>
      </w:r>
      <w:r w:rsidR="007D6770" w:rsidRPr="008B5FB0">
        <w:rPr>
          <w:sz w:val="20"/>
          <w:szCs w:val="20"/>
        </w:rPr>
        <w:t>:</w:t>
      </w:r>
      <w:r w:rsidR="00653974">
        <w:rPr>
          <w:sz w:val="20"/>
          <w:szCs w:val="20"/>
        </w:rPr>
        <w:t>3</w:t>
      </w:r>
      <w:r w:rsidR="007D6770" w:rsidRPr="008B5FB0">
        <w:rPr>
          <w:sz w:val="20"/>
          <w:szCs w:val="20"/>
        </w:rPr>
        <w:t>0</w:t>
      </w:r>
      <w:bookmarkStart w:id="0" w:name="_GoBack"/>
      <w:bookmarkEnd w:id="0"/>
    </w:p>
    <w:p w14:paraId="34335F9B" w14:textId="14E193BC" w:rsidR="00194614" w:rsidRPr="008B5FB0" w:rsidRDefault="00653974" w:rsidP="00194614">
      <w:pPr>
        <w:pStyle w:val="Footer"/>
        <w:tabs>
          <w:tab w:val="clear" w:pos="4153"/>
          <w:tab w:val="clear" w:pos="8306"/>
        </w:tabs>
        <w:rPr>
          <w:color w:val="000000"/>
          <w:sz w:val="20"/>
          <w:szCs w:val="20"/>
        </w:rPr>
      </w:pPr>
      <w:r>
        <w:rPr>
          <w:color w:val="000000"/>
          <w:sz w:val="20"/>
          <w:szCs w:val="20"/>
        </w:rPr>
        <w:t>2876</w:t>
      </w:r>
    </w:p>
    <w:p w14:paraId="31E77FC5" w14:textId="77777777" w:rsidR="007D6770" w:rsidRPr="008B5FB0" w:rsidRDefault="007D6770" w:rsidP="007D6770">
      <w:pPr>
        <w:pStyle w:val="Footer"/>
        <w:rPr>
          <w:sz w:val="20"/>
          <w:szCs w:val="20"/>
        </w:rPr>
      </w:pPr>
      <w:r w:rsidRPr="008B5FB0">
        <w:rPr>
          <w:sz w:val="20"/>
          <w:szCs w:val="20"/>
        </w:rPr>
        <w:t>E.Kūla</w:t>
      </w:r>
      <w:r w:rsidR="005655B3" w:rsidRPr="008B5FB0">
        <w:rPr>
          <w:sz w:val="20"/>
          <w:szCs w:val="20"/>
        </w:rPr>
        <w:t xml:space="preserve">, </w:t>
      </w:r>
      <w:r w:rsidRPr="008B5FB0">
        <w:rPr>
          <w:sz w:val="20"/>
          <w:szCs w:val="20"/>
        </w:rPr>
        <w:t>67021692</w:t>
      </w:r>
    </w:p>
    <w:p w14:paraId="191D86D4" w14:textId="77777777" w:rsidR="007D6770" w:rsidRDefault="00653974" w:rsidP="007D6770">
      <w:pPr>
        <w:pStyle w:val="Footer"/>
        <w:rPr>
          <w:sz w:val="20"/>
          <w:szCs w:val="20"/>
        </w:rPr>
      </w:pPr>
      <w:hyperlink r:id="rId9" w:history="1">
        <w:r w:rsidR="007D6770" w:rsidRPr="008B5FB0">
          <w:rPr>
            <w:rStyle w:val="Hyperlink"/>
            <w:sz w:val="20"/>
            <w:szCs w:val="20"/>
          </w:rPr>
          <w:t>evija.kula@lm.gov.lv</w:t>
        </w:r>
      </w:hyperlink>
    </w:p>
    <w:p w14:paraId="1CCA39D3" w14:textId="77777777" w:rsidR="007D6770" w:rsidRPr="00115437" w:rsidRDefault="007D6770" w:rsidP="00194614">
      <w:pPr>
        <w:rPr>
          <w:color w:val="FF0000"/>
          <w:sz w:val="20"/>
          <w:szCs w:val="20"/>
        </w:rPr>
      </w:pPr>
    </w:p>
    <w:sectPr w:rsidR="007D6770" w:rsidRPr="00115437" w:rsidSect="004373E9">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FA6EC" w14:textId="77777777" w:rsidR="006316B8" w:rsidRDefault="006316B8">
      <w:r>
        <w:separator/>
      </w:r>
    </w:p>
  </w:endnote>
  <w:endnote w:type="continuationSeparator" w:id="0">
    <w:p w14:paraId="583E5BCA" w14:textId="77777777" w:rsidR="006316B8" w:rsidRDefault="0063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AC406" w14:textId="24C7844D" w:rsidR="008F0395" w:rsidRPr="001A6332" w:rsidRDefault="008F0395" w:rsidP="001A6332">
    <w:pPr>
      <w:pStyle w:val="Footer"/>
      <w:rPr>
        <w:sz w:val="20"/>
        <w:szCs w:val="20"/>
      </w:rPr>
    </w:pPr>
    <w:r w:rsidRPr="001A6332">
      <w:rPr>
        <w:sz w:val="20"/>
        <w:szCs w:val="20"/>
      </w:rPr>
      <w:t>LManot_</w:t>
    </w:r>
    <w:r w:rsidR="002E681A">
      <w:rPr>
        <w:sz w:val="20"/>
        <w:szCs w:val="20"/>
      </w:rPr>
      <w:t>0</w:t>
    </w:r>
    <w:r w:rsidR="009A52A2">
      <w:rPr>
        <w:sz w:val="20"/>
        <w:szCs w:val="20"/>
      </w:rPr>
      <w:t>9</w:t>
    </w:r>
    <w:r w:rsidRPr="001A6332">
      <w:rPr>
        <w:sz w:val="20"/>
        <w:szCs w:val="20"/>
      </w:rPr>
      <w:t>0</w:t>
    </w:r>
    <w:r w:rsidR="002E681A">
      <w:rPr>
        <w:sz w:val="20"/>
        <w:szCs w:val="20"/>
      </w:rPr>
      <w:t>6</w:t>
    </w:r>
    <w:r w:rsidRPr="001A6332">
      <w:rPr>
        <w:sz w:val="20"/>
        <w:szCs w:val="20"/>
      </w:rPr>
      <w:t>15; Likumprojekts „Grozījumi likumā „Par sociālo drošību””.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57F1D" w14:textId="3548829A" w:rsidR="008F0395" w:rsidRPr="001A6332" w:rsidRDefault="008F0395">
    <w:pPr>
      <w:pStyle w:val="Footer"/>
      <w:rPr>
        <w:sz w:val="20"/>
        <w:szCs w:val="20"/>
      </w:rPr>
    </w:pPr>
    <w:r w:rsidRPr="001A6332">
      <w:rPr>
        <w:sz w:val="20"/>
        <w:szCs w:val="20"/>
      </w:rPr>
      <w:t>LManot_</w:t>
    </w:r>
    <w:r w:rsidR="002E681A">
      <w:rPr>
        <w:sz w:val="20"/>
        <w:szCs w:val="20"/>
      </w:rPr>
      <w:t>0</w:t>
    </w:r>
    <w:r w:rsidR="009A52A2">
      <w:rPr>
        <w:sz w:val="20"/>
        <w:szCs w:val="20"/>
      </w:rPr>
      <w:t>9</w:t>
    </w:r>
    <w:r w:rsidRPr="001A6332">
      <w:rPr>
        <w:sz w:val="20"/>
        <w:szCs w:val="20"/>
      </w:rPr>
      <w:t>0</w:t>
    </w:r>
    <w:r w:rsidR="002E681A">
      <w:rPr>
        <w:sz w:val="20"/>
        <w:szCs w:val="20"/>
      </w:rPr>
      <w:t>6</w:t>
    </w:r>
    <w:r w:rsidRPr="001A6332">
      <w:rPr>
        <w:sz w:val="20"/>
        <w:szCs w:val="20"/>
      </w:rPr>
      <w:t>15; Likumprojekts „Grozījumi likumā „Par sociālo drošību””.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93B85" w14:textId="77777777" w:rsidR="006316B8" w:rsidRDefault="006316B8">
      <w:r>
        <w:separator/>
      </w:r>
    </w:p>
  </w:footnote>
  <w:footnote w:type="continuationSeparator" w:id="0">
    <w:p w14:paraId="6A4A51FB" w14:textId="77777777" w:rsidR="006316B8" w:rsidRDefault="006316B8">
      <w:r>
        <w:continuationSeparator/>
      </w:r>
    </w:p>
  </w:footnote>
  <w:footnote w:id="1">
    <w:p w14:paraId="21E96D5C" w14:textId="7D248DBE" w:rsidR="00FF7485" w:rsidRPr="00FF7485" w:rsidRDefault="00FF7485" w:rsidP="00FF7485">
      <w:pPr>
        <w:pStyle w:val="FootnoteText"/>
        <w:jc w:val="both"/>
        <w:rPr>
          <w:lang w:val="lv-LV"/>
        </w:rPr>
      </w:pPr>
      <w:r>
        <w:rPr>
          <w:rStyle w:val="FootnoteReference"/>
        </w:rPr>
        <w:footnoteRef/>
      </w:r>
      <w:r>
        <w:t xml:space="preserve"> </w:t>
      </w:r>
      <w:r w:rsidRPr="00FF7485">
        <w:t>Nabadzības riska slieksnis</w:t>
      </w:r>
      <w:r w:rsidRPr="00837C93">
        <w:t xml:space="preserve"> ir izteikts kā </w:t>
      </w:r>
      <w:r w:rsidRPr="00FF7485">
        <w:rPr>
          <w:shd w:val="clear" w:color="auto" w:fill="FFFFFF"/>
        </w:rPr>
        <w:t>60% no mājsaimniecību rīcībā esošo ienākumu mediānas pārrēķinātas uz ekvivalento patērētāju skaitu mājsaimniecībā</w:t>
      </w:r>
      <w:r>
        <w:rPr>
          <w:shd w:val="clear" w:color="auto" w:fill="FFFFFF"/>
          <w:lang w:val="lv-LV"/>
        </w:rPr>
        <w:t xml:space="preserve">. </w:t>
      </w:r>
    </w:p>
  </w:footnote>
  <w:footnote w:id="2">
    <w:p w14:paraId="38BA4B0F" w14:textId="4DDC90D5" w:rsidR="00C21DC8" w:rsidRPr="00C21DC8" w:rsidRDefault="00C21DC8" w:rsidP="00C21DC8">
      <w:pPr>
        <w:pStyle w:val="FootnoteText"/>
        <w:jc w:val="both"/>
        <w:rPr>
          <w:lang w:val="lv-LV"/>
        </w:rPr>
      </w:pPr>
      <w:r>
        <w:rPr>
          <w:rStyle w:val="FootnoteReference"/>
        </w:rPr>
        <w:footnoteRef/>
      </w:r>
      <w:r>
        <w:t xml:space="preserve"> </w:t>
      </w:r>
      <w:r>
        <w:rPr>
          <w:lang w:val="lv-LV"/>
        </w:rPr>
        <w:t xml:space="preserve">Eiropas Savienības 28 dalībvalstis. Turpmāk tekstā lietotais saīsinājums, atsaucoties uz ES salīdzināmajiem statistikas datiem, ES-28. </w:t>
      </w:r>
    </w:p>
  </w:footnote>
  <w:footnote w:id="3">
    <w:p w14:paraId="279ED45C" w14:textId="77777777" w:rsidR="008F0395" w:rsidRPr="00895CFF" w:rsidRDefault="008F0395" w:rsidP="00ED2D0D">
      <w:pPr>
        <w:pStyle w:val="FootnoteText"/>
        <w:jc w:val="both"/>
        <w:rPr>
          <w:lang w:val="lv-LV"/>
        </w:rPr>
      </w:pPr>
      <w:r w:rsidRPr="00895CFF">
        <w:rPr>
          <w:rStyle w:val="FootnoteReference"/>
          <w:lang w:val="lv-LV"/>
        </w:rPr>
        <w:footnoteRef/>
      </w:r>
      <w:r w:rsidRPr="00895CFF">
        <w:rPr>
          <w:lang w:val="lv-LV"/>
        </w:rPr>
        <w:t xml:space="preserve"> Sociālie transferti: pensijas un pabalsti (valsts, pašvaldību izmaksātie), uzturlīdzekļi bērniem, stipendijas, sociālās apdrošināšanas pabalsti un kompensācijas, tai skaitā arī citu valstu. Centrālās statistikas pārvaldes mājas lapa (</w:t>
      </w:r>
      <w:hyperlink r:id="rId1" w:history="1">
        <w:r w:rsidRPr="00895CFF">
          <w:rPr>
            <w:rStyle w:val="Hyperlink"/>
            <w:lang w:val="lv-LV"/>
          </w:rPr>
          <w:t>http://www.csb.gov.lv/statistikas-temas/termini/socialie-transferti-36002.html</w:t>
        </w:r>
      </w:hyperlink>
      <w:r w:rsidRPr="00895CFF">
        <w:rPr>
          <w:rStyle w:val="Hyperlink"/>
          <w:lang w:val="lv-LV"/>
        </w:rPr>
        <w:t>)</w:t>
      </w:r>
      <w:r w:rsidRPr="00895CFF">
        <w:rPr>
          <w:lang w:val="lv-LV"/>
        </w:rPr>
        <w:t xml:space="preserve">. </w:t>
      </w:r>
    </w:p>
  </w:footnote>
  <w:footnote w:id="4">
    <w:p w14:paraId="2AC7D22F" w14:textId="7E5EA110" w:rsidR="00F317E7" w:rsidRPr="00444576" w:rsidRDefault="00F317E7" w:rsidP="00FF7485">
      <w:pPr>
        <w:jc w:val="both"/>
      </w:pPr>
      <w:r>
        <w:rPr>
          <w:rStyle w:val="FootnoteReference"/>
        </w:rPr>
        <w:footnoteRef/>
      </w:r>
      <w:r>
        <w:t xml:space="preserve"> </w:t>
      </w:r>
      <w:r w:rsidRPr="0083362D">
        <w:rPr>
          <w:sz w:val="20"/>
          <w:szCs w:val="20"/>
        </w:rPr>
        <w:t xml:space="preserve">Pirktspējas paritātes standarts </w:t>
      </w:r>
      <w:r>
        <w:rPr>
          <w:sz w:val="20"/>
          <w:szCs w:val="20"/>
        </w:rPr>
        <w:t xml:space="preserve">(PPS) </w:t>
      </w:r>
      <w:r w:rsidRPr="0083362D">
        <w:rPr>
          <w:sz w:val="20"/>
          <w:szCs w:val="20"/>
        </w:rPr>
        <w:t xml:space="preserve">ir mākslīga valūtas vienība kopīgām atsaucēm. Eiropas Savienībā to izmanto ekonomikas summāro rādītāju apjoma izteikšanai, lai varētu veikt starpvalstu salīdzinājumus, likvidējot valstu cenu līmeņa atšķirības. Summāro rādītāju apjomu PPS vienībās iegūst, dalot to sākotnējo vērtību, kas ir nacionālās valūtas vienībās, ar attiecīgo pirktspējas paritāti (PPP). </w:t>
      </w:r>
    </w:p>
  </w:footnote>
  <w:footnote w:id="5">
    <w:p w14:paraId="13459462" w14:textId="77777777" w:rsidR="008F0395" w:rsidRPr="006E754C" w:rsidRDefault="008F0395" w:rsidP="00FF7485">
      <w:pPr>
        <w:jc w:val="both"/>
        <w:rPr>
          <w:sz w:val="20"/>
          <w:szCs w:val="20"/>
        </w:rPr>
      </w:pPr>
      <w:r w:rsidRPr="006E754C">
        <w:rPr>
          <w:rStyle w:val="FootnoteReference"/>
          <w:sz w:val="20"/>
          <w:szCs w:val="20"/>
        </w:rPr>
        <w:footnoteRef/>
      </w:r>
      <w:r w:rsidRPr="006E754C">
        <w:rPr>
          <w:sz w:val="20"/>
          <w:szCs w:val="20"/>
        </w:rPr>
        <w:t xml:space="preserve"> 2012.</w:t>
      </w:r>
      <w:r>
        <w:rPr>
          <w:sz w:val="20"/>
          <w:szCs w:val="20"/>
        </w:rPr>
        <w:t> </w:t>
      </w:r>
      <w:r w:rsidRPr="006E754C">
        <w:rPr>
          <w:sz w:val="20"/>
          <w:szCs w:val="20"/>
        </w:rPr>
        <w:t>gadā zemo algu grupā strādājošajam (kas saņem 67</w:t>
      </w:r>
      <w:r>
        <w:rPr>
          <w:sz w:val="20"/>
          <w:szCs w:val="20"/>
        </w:rPr>
        <w:t> </w:t>
      </w:r>
      <w:r w:rsidRPr="006E754C">
        <w:rPr>
          <w:sz w:val="20"/>
          <w:szCs w:val="20"/>
        </w:rPr>
        <w:t>% no vidējās algas, bez apgādībā esošām personām) Latvijā nodokļu plaisa 43,6</w:t>
      </w:r>
      <w:r>
        <w:rPr>
          <w:sz w:val="20"/>
          <w:szCs w:val="20"/>
        </w:rPr>
        <w:t> </w:t>
      </w:r>
      <w:r w:rsidRPr="006E754C">
        <w:rPr>
          <w:sz w:val="20"/>
          <w:szCs w:val="20"/>
        </w:rPr>
        <w:t>% bija viena no augstākajām E</w:t>
      </w:r>
      <w:r>
        <w:rPr>
          <w:sz w:val="20"/>
          <w:szCs w:val="20"/>
        </w:rPr>
        <w:t xml:space="preserve">iropas </w:t>
      </w:r>
      <w:r w:rsidRPr="006E754C">
        <w:rPr>
          <w:sz w:val="20"/>
          <w:szCs w:val="20"/>
        </w:rPr>
        <w:t>S</w:t>
      </w:r>
      <w:r>
        <w:rPr>
          <w:sz w:val="20"/>
          <w:szCs w:val="20"/>
        </w:rPr>
        <w:t>avienībā</w:t>
      </w:r>
      <w:r w:rsidRPr="006E754C">
        <w:rPr>
          <w:sz w:val="20"/>
          <w:szCs w:val="20"/>
        </w:rPr>
        <w:t>.</w:t>
      </w:r>
    </w:p>
  </w:footnote>
  <w:footnote w:id="6">
    <w:p w14:paraId="6F5A2799" w14:textId="77777777" w:rsidR="008F0395" w:rsidRPr="003C768B" w:rsidRDefault="008F0395" w:rsidP="002336DF">
      <w:pPr>
        <w:pStyle w:val="FootnoteText"/>
        <w:jc w:val="both"/>
        <w:rPr>
          <w:lang w:val="lv-LV"/>
        </w:rPr>
      </w:pPr>
      <w:r w:rsidRPr="003C768B">
        <w:rPr>
          <w:rStyle w:val="FootnoteReference"/>
          <w:lang w:val="lv-LV"/>
        </w:rPr>
        <w:footnoteRef/>
      </w:r>
      <w:r w:rsidRPr="003C768B">
        <w:rPr>
          <w:lang w:val="lv-LV"/>
        </w:rPr>
        <w:t xml:space="preserve"> Apstiprināta ar Labklājības ministrijas 30.12.2014. rīkojumu Nr. 116 „Par Plāna minimālā ienākuma līmeņa ieviešanai izstrādes darba grupas izveidi”. Pieejams Labklājības ministrijas mājas lapas vietnē </w:t>
      </w:r>
      <w:hyperlink r:id="rId2" w:history="1">
        <w:r w:rsidRPr="003C768B">
          <w:rPr>
            <w:rStyle w:val="Hyperlink"/>
            <w:lang w:val="lv-LV"/>
          </w:rPr>
          <w:t>http://www.lm.gov.lv/upload/sociala_ieklausana/lmrik_mil_plans_cl.pdf</w:t>
        </w:r>
      </w:hyperlink>
      <w:r w:rsidRPr="003C768B">
        <w:rPr>
          <w:lang w:val="lv-LV"/>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3E313" w14:textId="77777777" w:rsidR="008F0395" w:rsidRDefault="008F0395"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3B4D1C" w14:textId="77777777" w:rsidR="008F0395" w:rsidRDefault="008F03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14DBF" w14:textId="77777777" w:rsidR="008F0395" w:rsidRDefault="008F0395"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3974">
      <w:rPr>
        <w:rStyle w:val="PageNumber"/>
        <w:noProof/>
      </w:rPr>
      <w:t>11</w:t>
    </w:r>
    <w:r>
      <w:rPr>
        <w:rStyle w:val="PageNumber"/>
      </w:rPr>
      <w:fldChar w:fldCharType="end"/>
    </w:r>
  </w:p>
  <w:p w14:paraId="3AB05873" w14:textId="77777777" w:rsidR="008F0395" w:rsidRDefault="008F0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2DD"/>
    <w:multiLevelType w:val="multilevel"/>
    <w:tmpl w:val="A832133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DA47D42"/>
    <w:multiLevelType w:val="hybridMultilevel"/>
    <w:tmpl w:val="2264AD00"/>
    <w:lvl w:ilvl="0" w:tplc="1D9C310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0F2243C1"/>
    <w:multiLevelType w:val="hybridMultilevel"/>
    <w:tmpl w:val="E6D86888"/>
    <w:lvl w:ilvl="0" w:tplc="7D9409DE">
      <w:start w:val="10"/>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1BF653E5"/>
    <w:multiLevelType w:val="multilevel"/>
    <w:tmpl w:val="810C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2E581B71"/>
    <w:multiLevelType w:val="hybridMultilevel"/>
    <w:tmpl w:val="AECE8E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6425032"/>
    <w:multiLevelType w:val="hybridMultilevel"/>
    <w:tmpl w:val="493862B2"/>
    <w:lvl w:ilvl="0" w:tplc="04260011">
      <w:start w:val="1"/>
      <w:numFmt w:val="decimal"/>
      <w:lvlText w:val="%1)"/>
      <w:lvlJc w:val="left"/>
      <w:pPr>
        <w:ind w:left="720" w:hanging="360"/>
      </w:pPr>
      <w:rPr>
        <w:rFonts w:hint="default"/>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65F10E5"/>
    <w:multiLevelType w:val="hybridMultilevel"/>
    <w:tmpl w:val="98AED5A4"/>
    <w:lvl w:ilvl="0" w:tplc="8B66483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A85450A"/>
    <w:multiLevelType w:val="hybridMultilevel"/>
    <w:tmpl w:val="C18475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72D141F"/>
    <w:multiLevelType w:val="hybridMultilevel"/>
    <w:tmpl w:val="15CA26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6B1635B"/>
    <w:multiLevelType w:val="hybridMultilevel"/>
    <w:tmpl w:val="706C6BC4"/>
    <w:lvl w:ilvl="0" w:tplc="5530A1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4"/>
  </w:num>
  <w:num w:numId="2">
    <w:abstractNumId w:val="2"/>
  </w:num>
  <w:num w:numId="3">
    <w:abstractNumId w:val="5"/>
  </w:num>
  <w:num w:numId="4">
    <w:abstractNumId w:val="0"/>
  </w:num>
  <w:num w:numId="5">
    <w:abstractNumId w:val="3"/>
  </w:num>
  <w:num w:numId="6">
    <w:abstractNumId w:val="9"/>
  </w:num>
  <w:num w:numId="7">
    <w:abstractNumId w:val="8"/>
  </w:num>
  <w:num w:numId="8">
    <w:abstractNumId w:val="1"/>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85"/>
    <w:rsid w:val="00014889"/>
    <w:rsid w:val="00020C29"/>
    <w:rsid w:val="00022B98"/>
    <w:rsid w:val="0003748E"/>
    <w:rsid w:val="0004032C"/>
    <w:rsid w:val="00043389"/>
    <w:rsid w:val="00045B6D"/>
    <w:rsid w:val="0006002A"/>
    <w:rsid w:val="00065FDF"/>
    <w:rsid w:val="00084CB0"/>
    <w:rsid w:val="000C26BD"/>
    <w:rsid w:val="000C3E1F"/>
    <w:rsid w:val="000C7E2B"/>
    <w:rsid w:val="000D7EC5"/>
    <w:rsid w:val="0010373F"/>
    <w:rsid w:val="0010647F"/>
    <w:rsid w:val="00115437"/>
    <w:rsid w:val="001168C1"/>
    <w:rsid w:val="00116D7C"/>
    <w:rsid w:val="0012151E"/>
    <w:rsid w:val="00123936"/>
    <w:rsid w:val="00125C9E"/>
    <w:rsid w:val="00131DA1"/>
    <w:rsid w:val="001429A8"/>
    <w:rsid w:val="00156E7B"/>
    <w:rsid w:val="00170E63"/>
    <w:rsid w:val="00182B4A"/>
    <w:rsid w:val="0018503F"/>
    <w:rsid w:val="00194614"/>
    <w:rsid w:val="001977F4"/>
    <w:rsid w:val="001A3538"/>
    <w:rsid w:val="001A571D"/>
    <w:rsid w:val="001A6332"/>
    <w:rsid w:val="001A6900"/>
    <w:rsid w:val="001B2597"/>
    <w:rsid w:val="001C67A6"/>
    <w:rsid w:val="001D14C0"/>
    <w:rsid w:val="001D4B76"/>
    <w:rsid w:val="001F6ED5"/>
    <w:rsid w:val="00205EE9"/>
    <w:rsid w:val="002175D9"/>
    <w:rsid w:val="002215EA"/>
    <w:rsid w:val="0022698A"/>
    <w:rsid w:val="002276C6"/>
    <w:rsid w:val="00230730"/>
    <w:rsid w:val="002336DF"/>
    <w:rsid w:val="00242D7D"/>
    <w:rsid w:val="00244631"/>
    <w:rsid w:val="00252213"/>
    <w:rsid w:val="00255795"/>
    <w:rsid w:val="00273F99"/>
    <w:rsid w:val="00282808"/>
    <w:rsid w:val="00287EA8"/>
    <w:rsid w:val="0029063C"/>
    <w:rsid w:val="002E0F4D"/>
    <w:rsid w:val="002E224D"/>
    <w:rsid w:val="002E6818"/>
    <w:rsid w:val="002E681A"/>
    <w:rsid w:val="002F1B24"/>
    <w:rsid w:val="00302815"/>
    <w:rsid w:val="00312A99"/>
    <w:rsid w:val="00316C38"/>
    <w:rsid w:val="00322FC8"/>
    <w:rsid w:val="003250B6"/>
    <w:rsid w:val="00330E6E"/>
    <w:rsid w:val="00331059"/>
    <w:rsid w:val="0033592B"/>
    <w:rsid w:val="003B629D"/>
    <w:rsid w:val="003B79D5"/>
    <w:rsid w:val="003C6FA4"/>
    <w:rsid w:val="003F1888"/>
    <w:rsid w:val="003F27FC"/>
    <w:rsid w:val="003F689D"/>
    <w:rsid w:val="00407748"/>
    <w:rsid w:val="00411526"/>
    <w:rsid w:val="00421529"/>
    <w:rsid w:val="0042538F"/>
    <w:rsid w:val="00427198"/>
    <w:rsid w:val="00432FD0"/>
    <w:rsid w:val="00433714"/>
    <w:rsid w:val="004356FE"/>
    <w:rsid w:val="004373E9"/>
    <w:rsid w:val="0044750D"/>
    <w:rsid w:val="00460A3D"/>
    <w:rsid w:val="00473F68"/>
    <w:rsid w:val="00475A32"/>
    <w:rsid w:val="00481637"/>
    <w:rsid w:val="00497313"/>
    <w:rsid w:val="004A1651"/>
    <w:rsid w:val="004A616A"/>
    <w:rsid w:val="004B1DDC"/>
    <w:rsid w:val="004D2199"/>
    <w:rsid w:val="004F0A5F"/>
    <w:rsid w:val="004F3BD9"/>
    <w:rsid w:val="0051235A"/>
    <w:rsid w:val="005276D9"/>
    <w:rsid w:val="00534256"/>
    <w:rsid w:val="00540618"/>
    <w:rsid w:val="00542C64"/>
    <w:rsid w:val="005438FE"/>
    <w:rsid w:val="005632CC"/>
    <w:rsid w:val="005655B3"/>
    <w:rsid w:val="005805BC"/>
    <w:rsid w:val="00583086"/>
    <w:rsid w:val="00586D74"/>
    <w:rsid w:val="00594A0F"/>
    <w:rsid w:val="005B0227"/>
    <w:rsid w:val="005D4097"/>
    <w:rsid w:val="005D57FE"/>
    <w:rsid w:val="005F7A2E"/>
    <w:rsid w:val="00606F3D"/>
    <w:rsid w:val="00610BE9"/>
    <w:rsid w:val="00614135"/>
    <w:rsid w:val="006210DC"/>
    <w:rsid w:val="00630B60"/>
    <w:rsid w:val="006316B8"/>
    <w:rsid w:val="00637B0A"/>
    <w:rsid w:val="006505DD"/>
    <w:rsid w:val="00653974"/>
    <w:rsid w:val="00666959"/>
    <w:rsid w:val="006826BF"/>
    <w:rsid w:val="0068651F"/>
    <w:rsid w:val="00686F1C"/>
    <w:rsid w:val="00695242"/>
    <w:rsid w:val="00697B6B"/>
    <w:rsid w:val="006A7D0B"/>
    <w:rsid w:val="006C0CCD"/>
    <w:rsid w:val="006C5753"/>
    <w:rsid w:val="006D32CE"/>
    <w:rsid w:val="006E3099"/>
    <w:rsid w:val="006E68BA"/>
    <w:rsid w:val="00700736"/>
    <w:rsid w:val="00704C57"/>
    <w:rsid w:val="0071151B"/>
    <w:rsid w:val="00722AE8"/>
    <w:rsid w:val="007513BD"/>
    <w:rsid w:val="007551AD"/>
    <w:rsid w:val="007633F4"/>
    <w:rsid w:val="00767960"/>
    <w:rsid w:val="00786BA5"/>
    <w:rsid w:val="007903C8"/>
    <w:rsid w:val="007C5938"/>
    <w:rsid w:val="007D6770"/>
    <w:rsid w:val="007E6F6D"/>
    <w:rsid w:val="008028B0"/>
    <w:rsid w:val="00816BEA"/>
    <w:rsid w:val="00821AAF"/>
    <w:rsid w:val="00826A1F"/>
    <w:rsid w:val="00835C00"/>
    <w:rsid w:val="0085476F"/>
    <w:rsid w:val="00856CE2"/>
    <w:rsid w:val="0087044F"/>
    <w:rsid w:val="00876796"/>
    <w:rsid w:val="0087690B"/>
    <w:rsid w:val="00883987"/>
    <w:rsid w:val="008877FE"/>
    <w:rsid w:val="00892D0A"/>
    <w:rsid w:val="00894B3B"/>
    <w:rsid w:val="00895B62"/>
    <w:rsid w:val="00895CFF"/>
    <w:rsid w:val="00896E7E"/>
    <w:rsid w:val="008A1E2A"/>
    <w:rsid w:val="008A6D00"/>
    <w:rsid w:val="008A7A03"/>
    <w:rsid w:val="008B29E2"/>
    <w:rsid w:val="008B5FB0"/>
    <w:rsid w:val="008F0395"/>
    <w:rsid w:val="008F0604"/>
    <w:rsid w:val="008F61C0"/>
    <w:rsid w:val="008F7AE6"/>
    <w:rsid w:val="00906461"/>
    <w:rsid w:val="00916E21"/>
    <w:rsid w:val="009210D3"/>
    <w:rsid w:val="00921873"/>
    <w:rsid w:val="00925534"/>
    <w:rsid w:val="00932171"/>
    <w:rsid w:val="00943726"/>
    <w:rsid w:val="00955379"/>
    <w:rsid w:val="0095728B"/>
    <w:rsid w:val="00966185"/>
    <w:rsid w:val="009728C9"/>
    <w:rsid w:val="0097524D"/>
    <w:rsid w:val="009759FC"/>
    <w:rsid w:val="00985791"/>
    <w:rsid w:val="00985FC4"/>
    <w:rsid w:val="009A52A2"/>
    <w:rsid w:val="009B01C4"/>
    <w:rsid w:val="009B0CB0"/>
    <w:rsid w:val="009C3365"/>
    <w:rsid w:val="009D58E3"/>
    <w:rsid w:val="009E2A09"/>
    <w:rsid w:val="009F0FEB"/>
    <w:rsid w:val="00A10869"/>
    <w:rsid w:val="00A130D4"/>
    <w:rsid w:val="00A23D09"/>
    <w:rsid w:val="00A338F8"/>
    <w:rsid w:val="00A36979"/>
    <w:rsid w:val="00A43F34"/>
    <w:rsid w:val="00A80F6E"/>
    <w:rsid w:val="00A81499"/>
    <w:rsid w:val="00A822E2"/>
    <w:rsid w:val="00A91F51"/>
    <w:rsid w:val="00A9219C"/>
    <w:rsid w:val="00AB0EB7"/>
    <w:rsid w:val="00AB6B20"/>
    <w:rsid w:val="00AC1056"/>
    <w:rsid w:val="00AE026C"/>
    <w:rsid w:val="00AF38BE"/>
    <w:rsid w:val="00B03478"/>
    <w:rsid w:val="00B10576"/>
    <w:rsid w:val="00B20F43"/>
    <w:rsid w:val="00B24E72"/>
    <w:rsid w:val="00B445F0"/>
    <w:rsid w:val="00B61D11"/>
    <w:rsid w:val="00B76D85"/>
    <w:rsid w:val="00B8243D"/>
    <w:rsid w:val="00B97192"/>
    <w:rsid w:val="00BA661E"/>
    <w:rsid w:val="00BB50B2"/>
    <w:rsid w:val="00BB675C"/>
    <w:rsid w:val="00BC4041"/>
    <w:rsid w:val="00BD1616"/>
    <w:rsid w:val="00BE32A3"/>
    <w:rsid w:val="00BF690B"/>
    <w:rsid w:val="00C00A9E"/>
    <w:rsid w:val="00C01716"/>
    <w:rsid w:val="00C01BD8"/>
    <w:rsid w:val="00C045C7"/>
    <w:rsid w:val="00C12FA8"/>
    <w:rsid w:val="00C21DC8"/>
    <w:rsid w:val="00C23AED"/>
    <w:rsid w:val="00C25991"/>
    <w:rsid w:val="00C33AD0"/>
    <w:rsid w:val="00C3578B"/>
    <w:rsid w:val="00C43C42"/>
    <w:rsid w:val="00C43EC3"/>
    <w:rsid w:val="00C51021"/>
    <w:rsid w:val="00C6071A"/>
    <w:rsid w:val="00C63564"/>
    <w:rsid w:val="00C82291"/>
    <w:rsid w:val="00C950FD"/>
    <w:rsid w:val="00CA26B0"/>
    <w:rsid w:val="00CB1981"/>
    <w:rsid w:val="00CB4035"/>
    <w:rsid w:val="00CB4EE0"/>
    <w:rsid w:val="00CC0D4C"/>
    <w:rsid w:val="00CD1636"/>
    <w:rsid w:val="00CF7538"/>
    <w:rsid w:val="00D0766C"/>
    <w:rsid w:val="00D360BF"/>
    <w:rsid w:val="00D46A44"/>
    <w:rsid w:val="00DA0884"/>
    <w:rsid w:val="00DB4594"/>
    <w:rsid w:val="00DC1D36"/>
    <w:rsid w:val="00DC37D9"/>
    <w:rsid w:val="00DC41AC"/>
    <w:rsid w:val="00DE42E3"/>
    <w:rsid w:val="00E2591C"/>
    <w:rsid w:val="00E41AD1"/>
    <w:rsid w:val="00E6286C"/>
    <w:rsid w:val="00E67214"/>
    <w:rsid w:val="00E83C51"/>
    <w:rsid w:val="00E8712A"/>
    <w:rsid w:val="00E96815"/>
    <w:rsid w:val="00E97365"/>
    <w:rsid w:val="00EA05FF"/>
    <w:rsid w:val="00EA625D"/>
    <w:rsid w:val="00EC7E41"/>
    <w:rsid w:val="00ED2D0D"/>
    <w:rsid w:val="00EE30AB"/>
    <w:rsid w:val="00EE64A9"/>
    <w:rsid w:val="00F169FA"/>
    <w:rsid w:val="00F17C6A"/>
    <w:rsid w:val="00F224AC"/>
    <w:rsid w:val="00F22683"/>
    <w:rsid w:val="00F23CAB"/>
    <w:rsid w:val="00F2617A"/>
    <w:rsid w:val="00F30AE7"/>
    <w:rsid w:val="00F317E7"/>
    <w:rsid w:val="00F547E6"/>
    <w:rsid w:val="00F600B6"/>
    <w:rsid w:val="00F609DA"/>
    <w:rsid w:val="00F6188E"/>
    <w:rsid w:val="00F6217A"/>
    <w:rsid w:val="00F81D7B"/>
    <w:rsid w:val="00F85304"/>
    <w:rsid w:val="00FA506F"/>
    <w:rsid w:val="00FA5261"/>
    <w:rsid w:val="00FC27E7"/>
    <w:rsid w:val="00FC797D"/>
    <w:rsid w:val="00FC7EAC"/>
    <w:rsid w:val="00FD7CCA"/>
    <w:rsid w:val="00FE09FE"/>
    <w:rsid w:val="00FE0EF0"/>
    <w:rsid w:val="00FE3D16"/>
    <w:rsid w:val="00FE5D00"/>
    <w:rsid w:val="00FE789E"/>
    <w:rsid w:val="00FF50CB"/>
    <w:rsid w:val="00FF7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16DC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6D85"/>
    <w:rPr>
      <w:sz w:val="24"/>
      <w:szCs w:val="24"/>
      <w:lang w:val="lv-LV" w:eastAsia="lv-LV"/>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lang w:val="lv-LV" w:eastAsia="lv-LV"/>
    </w:rPr>
  </w:style>
  <w:style w:type="paragraph" w:customStyle="1" w:styleId="Virsraksts2">
    <w:name w:val="Virsraksts 2"/>
    <w:rsid w:val="00DC1D36"/>
    <w:rPr>
      <w:b/>
      <w:i/>
      <w:sz w:val="22"/>
      <w:szCs w:val="28"/>
      <w:lang w:val="lv-LV" w:eastAsia="lv-LV"/>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rsid w:val="00B76D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uiPriority w:val="99"/>
    <w:rsid w:val="00194614"/>
    <w:pPr>
      <w:tabs>
        <w:tab w:val="center" w:pos="4153"/>
        <w:tab w:val="right" w:pos="8306"/>
      </w:tabs>
    </w:pPr>
  </w:style>
  <w:style w:type="character" w:customStyle="1" w:styleId="FooterChar">
    <w:name w:val="Footer Char"/>
    <w:link w:val="Footer"/>
    <w:uiPriority w:val="99"/>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semiHidden/>
    <w:rsid w:val="00DB4594"/>
    <w:rPr>
      <w:sz w:val="20"/>
      <w:szCs w:val="20"/>
    </w:rPr>
  </w:style>
  <w:style w:type="character" w:customStyle="1" w:styleId="CommentTextChar">
    <w:name w:val="Comment Text Char"/>
    <w:link w:val="CommentText"/>
    <w:semiHidden/>
    <w:rsid w:val="00DB4594"/>
    <w:rPr>
      <w:lang w:val="lv-LV" w:eastAsia="lv-LV" w:bidi="ar-SA"/>
    </w:rPr>
  </w:style>
  <w:style w:type="paragraph" w:customStyle="1" w:styleId="Default">
    <w:name w:val="Default"/>
    <w:rsid w:val="00AF38BE"/>
    <w:pPr>
      <w:autoSpaceDE w:val="0"/>
      <w:autoSpaceDN w:val="0"/>
      <w:adjustRightInd w:val="0"/>
    </w:pPr>
    <w:rPr>
      <w:rFonts w:eastAsia="Calibri"/>
      <w:color w:val="000000"/>
      <w:sz w:val="24"/>
      <w:szCs w:val="24"/>
      <w:lang w:val="lv-LV" w:eastAsia="en-US"/>
    </w:rPr>
  </w:style>
  <w:style w:type="paragraph" w:styleId="ListParagraph">
    <w:name w:val="List Paragraph"/>
    <w:aliases w:val="2,Akapit z listą BS"/>
    <w:basedOn w:val="Normal"/>
    <w:link w:val="ListParagraphChar"/>
    <w:uiPriority w:val="34"/>
    <w:qFormat/>
    <w:rsid w:val="00312A99"/>
    <w:pPr>
      <w:ind w:left="720"/>
      <w:contextualSpacing/>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
    <w:basedOn w:val="Normal"/>
    <w:link w:val="FootnoteTextChar"/>
    <w:uiPriority w:val="99"/>
    <w:qFormat/>
    <w:rsid w:val="00312A99"/>
    <w:rPr>
      <w:sz w:val="20"/>
      <w:szCs w:val="20"/>
      <w:lang w:val="x-none" w:eastAsia="en-US"/>
    </w:rPr>
  </w:style>
  <w:style w:type="character" w:customStyle="1" w:styleId="FootnoteTextChar">
    <w:name w:val="Footnote Text Char"/>
    <w:aliases w:val="Footnote Char,Fußnote Char,Char Char,Char Rakstz. Rakstz. Rakstz. Rakstz. Rakstz. Rakstz. Rakstz. Char,Char Rakstz. Rakstz. Rakstz. Rakstz. Rakstz. Rakstz. Char,f Char"/>
    <w:link w:val="FootnoteText"/>
    <w:uiPriority w:val="99"/>
    <w:rsid w:val="00312A99"/>
    <w:rPr>
      <w:lang w:eastAsia="en-US"/>
    </w:rPr>
  </w:style>
  <w:style w:type="character" w:styleId="FootnoteReference">
    <w:name w:val="footnote reference"/>
    <w:aliases w:val="Footnote Reference Number,Footnote symbol,SUPERS,ftref,Footnote Refernece,stylish,BVI fnr,Fußnotenzeichen_Raxen,callout,Footnote Reference Superscript,Footnote symbFootnote Refernece,fr,Odwołanie przypisu,Footnotes refss,Ref,E,E FNZ"/>
    <w:link w:val="CharCharCharChar"/>
    <w:qFormat/>
    <w:rsid w:val="00312A99"/>
    <w:rPr>
      <w:vertAlign w:val="superscript"/>
    </w:rPr>
  </w:style>
  <w:style w:type="character" w:customStyle="1" w:styleId="hps">
    <w:name w:val="hps"/>
    <w:uiPriority w:val="99"/>
    <w:rsid w:val="00312A99"/>
  </w:style>
  <w:style w:type="character" w:customStyle="1" w:styleId="highlight">
    <w:name w:val="highlight"/>
    <w:rsid w:val="00312A99"/>
  </w:style>
  <w:style w:type="character" w:styleId="CommentReference">
    <w:name w:val="annotation reference"/>
    <w:uiPriority w:val="99"/>
    <w:rsid w:val="00AB6B20"/>
    <w:rPr>
      <w:sz w:val="16"/>
      <w:szCs w:val="16"/>
    </w:rPr>
  </w:style>
  <w:style w:type="character" w:styleId="Strong">
    <w:name w:val="Strong"/>
    <w:uiPriority w:val="22"/>
    <w:qFormat/>
    <w:rsid w:val="00AB6B20"/>
    <w:rPr>
      <w:b/>
      <w:bCs/>
    </w:rPr>
  </w:style>
  <w:style w:type="character" w:customStyle="1" w:styleId="FootnoteTextChar1">
    <w:name w:val="Footnote Text Char1"/>
    <w:aliases w:val="Footnote Char1,Fußnote Char1,Fußnote Char Char Char Char1,single space Char1,FOOTNOTES Char1,fn Char1,Footnote Text Char2 Char Char1,Footnote Text Char Char1 Char Char1,Footnote Text Char2 Char Char Char Char1,Ch Char"/>
    <w:uiPriority w:val="99"/>
    <w:semiHidden/>
    <w:rsid w:val="00AB6B20"/>
    <w:rPr>
      <w:sz w:val="20"/>
      <w:szCs w:val="20"/>
    </w:rPr>
  </w:style>
  <w:style w:type="character" w:styleId="Hyperlink">
    <w:name w:val="Hyperlink"/>
    <w:rsid w:val="00AB6B20"/>
    <w:rPr>
      <w:color w:val="0000FF"/>
      <w:u w:val="single"/>
    </w:rPr>
  </w:style>
  <w:style w:type="paragraph" w:customStyle="1" w:styleId="tv213">
    <w:name w:val="tv213"/>
    <w:basedOn w:val="Normal"/>
    <w:rsid w:val="00985791"/>
    <w:pPr>
      <w:spacing w:before="100" w:beforeAutospacing="1" w:after="100" w:afterAutospacing="1"/>
    </w:pPr>
  </w:style>
  <w:style w:type="paragraph" w:customStyle="1" w:styleId="labojumupamats">
    <w:name w:val="labojumu_pamats"/>
    <w:basedOn w:val="Normal"/>
    <w:rsid w:val="00985791"/>
    <w:pPr>
      <w:spacing w:before="100" w:beforeAutospacing="1" w:after="100" w:afterAutospacing="1"/>
    </w:pPr>
  </w:style>
  <w:style w:type="character" w:customStyle="1" w:styleId="apple-converted-space">
    <w:name w:val="apple-converted-space"/>
    <w:rsid w:val="00985791"/>
  </w:style>
  <w:style w:type="character" w:customStyle="1" w:styleId="fontsize2">
    <w:name w:val="fontsize2"/>
    <w:rsid w:val="00985791"/>
  </w:style>
  <w:style w:type="paragraph" w:styleId="CommentSubject">
    <w:name w:val="annotation subject"/>
    <w:basedOn w:val="CommentText"/>
    <w:next w:val="CommentText"/>
    <w:link w:val="CommentSubjectChar"/>
    <w:rsid w:val="006C5753"/>
    <w:rPr>
      <w:b/>
      <w:bCs/>
    </w:rPr>
  </w:style>
  <w:style w:type="character" w:customStyle="1" w:styleId="CommentSubjectChar">
    <w:name w:val="Comment Subject Char"/>
    <w:link w:val="CommentSubject"/>
    <w:rsid w:val="006C5753"/>
    <w:rPr>
      <w:b/>
      <w:bCs/>
      <w:lang w:val="lv-LV" w:eastAsia="lv-LV" w:bidi="ar-SA"/>
    </w:rPr>
  </w:style>
  <w:style w:type="paragraph" w:styleId="NormalWeb">
    <w:name w:val="Normal (Web)"/>
    <w:basedOn w:val="Normal"/>
    <w:uiPriority w:val="99"/>
    <w:unhideWhenUsed/>
    <w:rsid w:val="00A130D4"/>
    <w:pPr>
      <w:spacing w:before="100" w:beforeAutospacing="1" w:after="100" w:afterAutospacing="1"/>
    </w:pPr>
  </w:style>
  <w:style w:type="paragraph" w:styleId="NoSpacing">
    <w:name w:val="No Spacing"/>
    <w:uiPriority w:val="1"/>
    <w:qFormat/>
    <w:rsid w:val="0010647F"/>
    <w:rPr>
      <w:sz w:val="24"/>
      <w:szCs w:val="24"/>
      <w:lang w:val="lv-LV" w:eastAsia="lv-LV"/>
    </w:rPr>
  </w:style>
  <w:style w:type="character" w:customStyle="1" w:styleId="ListParagraphChar">
    <w:name w:val="List Paragraph Char"/>
    <w:aliases w:val="2 Char,Akapit z listą BS Char"/>
    <w:link w:val="ListParagraph"/>
    <w:uiPriority w:val="34"/>
    <w:locked/>
    <w:rsid w:val="0010647F"/>
    <w:rPr>
      <w:sz w:val="24"/>
      <w:szCs w:val="24"/>
    </w:rPr>
  </w:style>
  <w:style w:type="paragraph" w:customStyle="1" w:styleId="CharCharCharChar">
    <w:name w:val="Char Char Char Char"/>
    <w:aliases w:val="Char2"/>
    <w:basedOn w:val="Normal"/>
    <w:next w:val="Normal"/>
    <w:link w:val="FootnoteReference"/>
    <w:uiPriority w:val="99"/>
    <w:rsid w:val="0010647F"/>
    <w:pPr>
      <w:spacing w:after="160" w:line="240" w:lineRule="exact"/>
      <w:jc w:val="both"/>
      <w:textAlignment w:val="baseline"/>
    </w:pPr>
    <w:rPr>
      <w:sz w:val="20"/>
      <w:szCs w:val="20"/>
      <w:vertAlign w:val="superscript"/>
    </w:rPr>
  </w:style>
  <w:style w:type="character" w:styleId="Emphasis">
    <w:name w:val="Emphasis"/>
    <w:uiPriority w:val="20"/>
    <w:qFormat/>
    <w:rsid w:val="00FE789E"/>
    <w:rPr>
      <w:b/>
      <w:bCs/>
      <w:i w:val="0"/>
      <w:iCs w:val="0"/>
    </w:rPr>
  </w:style>
  <w:style w:type="character" w:customStyle="1" w:styleId="st1">
    <w:name w:val="st1"/>
    <w:rsid w:val="00FE7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6D85"/>
    <w:rPr>
      <w:sz w:val="24"/>
      <w:szCs w:val="24"/>
      <w:lang w:val="lv-LV" w:eastAsia="lv-LV"/>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lang w:val="lv-LV" w:eastAsia="lv-LV"/>
    </w:rPr>
  </w:style>
  <w:style w:type="paragraph" w:customStyle="1" w:styleId="Virsraksts2">
    <w:name w:val="Virsraksts 2"/>
    <w:rsid w:val="00DC1D36"/>
    <w:rPr>
      <w:b/>
      <w:i/>
      <w:sz w:val="22"/>
      <w:szCs w:val="28"/>
      <w:lang w:val="lv-LV" w:eastAsia="lv-LV"/>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rsid w:val="00B76D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uiPriority w:val="99"/>
    <w:rsid w:val="00194614"/>
    <w:pPr>
      <w:tabs>
        <w:tab w:val="center" w:pos="4153"/>
        <w:tab w:val="right" w:pos="8306"/>
      </w:tabs>
    </w:pPr>
  </w:style>
  <w:style w:type="character" w:customStyle="1" w:styleId="FooterChar">
    <w:name w:val="Footer Char"/>
    <w:link w:val="Footer"/>
    <w:uiPriority w:val="99"/>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semiHidden/>
    <w:rsid w:val="00DB4594"/>
    <w:rPr>
      <w:sz w:val="20"/>
      <w:szCs w:val="20"/>
    </w:rPr>
  </w:style>
  <w:style w:type="character" w:customStyle="1" w:styleId="CommentTextChar">
    <w:name w:val="Comment Text Char"/>
    <w:link w:val="CommentText"/>
    <w:semiHidden/>
    <w:rsid w:val="00DB4594"/>
    <w:rPr>
      <w:lang w:val="lv-LV" w:eastAsia="lv-LV" w:bidi="ar-SA"/>
    </w:rPr>
  </w:style>
  <w:style w:type="paragraph" w:customStyle="1" w:styleId="Default">
    <w:name w:val="Default"/>
    <w:rsid w:val="00AF38BE"/>
    <w:pPr>
      <w:autoSpaceDE w:val="0"/>
      <w:autoSpaceDN w:val="0"/>
      <w:adjustRightInd w:val="0"/>
    </w:pPr>
    <w:rPr>
      <w:rFonts w:eastAsia="Calibri"/>
      <w:color w:val="000000"/>
      <w:sz w:val="24"/>
      <w:szCs w:val="24"/>
      <w:lang w:val="lv-LV" w:eastAsia="en-US"/>
    </w:rPr>
  </w:style>
  <w:style w:type="paragraph" w:styleId="ListParagraph">
    <w:name w:val="List Paragraph"/>
    <w:aliases w:val="2,Akapit z listą BS"/>
    <w:basedOn w:val="Normal"/>
    <w:link w:val="ListParagraphChar"/>
    <w:uiPriority w:val="34"/>
    <w:qFormat/>
    <w:rsid w:val="00312A99"/>
    <w:pPr>
      <w:ind w:left="720"/>
      <w:contextualSpacing/>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
    <w:basedOn w:val="Normal"/>
    <w:link w:val="FootnoteTextChar"/>
    <w:uiPriority w:val="99"/>
    <w:qFormat/>
    <w:rsid w:val="00312A99"/>
    <w:rPr>
      <w:sz w:val="20"/>
      <w:szCs w:val="20"/>
      <w:lang w:val="x-none" w:eastAsia="en-US"/>
    </w:rPr>
  </w:style>
  <w:style w:type="character" w:customStyle="1" w:styleId="FootnoteTextChar">
    <w:name w:val="Footnote Text Char"/>
    <w:aliases w:val="Footnote Char,Fußnote Char,Char Char,Char Rakstz. Rakstz. Rakstz. Rakstz. Rakstz. Rakstz. Rakstz. Char,Char Rakstz. Rakstz. Rakstz. Rakstz. Rakstz. Rakstz. Char,f Char"/>
    <w:link w:val="FootnoteText"/>
    <w:uiPriority w:val="99"/>
    <w:rsid w:val="00312A99"/>
    <w:rPr>
      <w:lang w:eastAsia="en-US"/>
    </w:rPr>
  </w:style>
  <w:style w:type="character" w:styleId="FootnoteReference">
    <w:name w:val="footnote reference"/>
    <w:aliases w:val="Footnote Reference Number,Footnote symbol,SUPERS,ftref,Footnote Refernece,stylish,BVI fnr,Fußnotenzeichen_Raxen,callout,Footnote Reference Superscript,Footnote symbFootnote Refernece,fr,Odwołanie przypisu,Footnotes refss,Ref,E,E FNZ"/>
    <w:link w:val="CharCharCharChar"/>
    <w:qFormat/>
    <w:rsid w:val="00312A99"/>
    <w:rPr>
      <w:vertAlign w:val="superscript"/>
    </w:rPr>
  </w:style>
  <w:style w:type="character" w:customStyle="1" w:styleId="hps">
    <w:name w:val="hps"/>
    <w:uiPriority w:val="99"/>
    <w:rsid w:val="00312A99"/>
  </w:style>
  <w:style w:type="character" w:customStyle="1" w:styleId="highlight">
    <w:name w:val="highlight"/>
    <w:rsid w:val="00312A99"/>
  </w:style>
  <w:style w:type="character" w:styleId="CommentReference">
    <w:name w:val="annotation reference"/>
    <w:uiPriority w:val="99"/>
    <w:rsid w:val="00AB6B20"/>
    <w:rPr>
      <w:sz w:val="16"/>
      <w:szCs w:val="16"/>
    </w:rPr>
  </w:style>
  <w:style w:type="character" w:styleId="Strong">
    <w:name w:val="Strong"/>
    <w:uiPriority w:val="22"/>
    <w:qFormat/>
    <w:rsid w:val="00AB6B20"/>
    <w:rPr>
      <w:b/>
      <w:bCs/>
    </w:rPr>
  </w:style>
  <w:style w:type="character" w:customStyle="1" w:styleId="FootnoteTextChar1">
    <w:name w:val="Footnote Text Char1"/>
    <w:aliases w:val="Footnote Char1,Fußnote Char1,Fußnote Char Char Char Char1,single space Char1,FOOTNOTES Char1,fn Char1,Footnote Text Char2 Char Char1,Footnote Text Char Char1 Char Char1,Footnote Text Char2 Char Char Char Char1,Ch Char"/>
    <w:uiPriority w:val="99"/>
    <w:semiHidden/>
    <w:rsid w:val="00AB6B20"/>
    <w:rPr>
      <w:sz w:val="20"/>
      <w:szCs w:val="20"/>
    </w:rPr>
  </w:style>
  <w:style w:type="character" w:styleId="Hyperlink">
    <w:name w:val="Hyperlink"/>
    <w:rsid w:val="00AB6B20"/>
    <w:rPr>
      <w:color w:val="0000FF"/>
      <w:u w:val="single"/>
    </w:rPr>
  </w:style>
  <w:style w:type="paragraph" w:customStyle="1" w:styleId="tv213">
    <w:name w:val="tv213"/>
    <w:basedOn w:val="Normal"/>
    <w:rsid w:val="00985791"/>
    <w:pPr>
      <w:spacing w:before="100" w:beforeAutospacing="1" w:after="100" w:afterAutospacing="1"/>
    </w:pPr>
  </w:style>
  <w:style w:type="paragraph" w:customStyle="1" w:styleId="labojumupamats">
    <w:name w:val="labojumu_pamats"/>
    <w:basedOn w:val="Normal"/>
    <w:rsid w:val="00985791"/>
    <w:pPr>
      <w:spacing w:before="100" w:beforeAutospacing="1" w:after="100" w:afterAutospacing="1"/>
    </w:pPr>
  </w:style>
  <w:style w:type="character" w:customStyle="1" w:styleId="apple-converted-space">
    <w:name w:val="apple-converted-space"/>
    <w:rsid w:val="00985791"/>
  </w:style>
  <w:style w:type="character" w:customStyle="1" w:styleId="fontsize2">
    <w:name w:val="fontsize2"/>
    <w:rsid w:val="00985791"/>
  </w:style>
  <w:style w:type="paragraph" w:styleId="CommentSubject">
    <w:name w:val="annotation subject"/>
    <w:basedOn w:val="CommentText"/>
    <w:next w:val="CommentText"/>
    <w:link w:val="CommentSubjectChar"/>
    <w:rsid w:val="006C5753"/>
    <w:rPr>
      <w:b/>
      <w:bCs/>
    </w:rPr>
  </w:style>
  <w:style w:type="character" w:customStyle="1" w:styleId="CommentSubjectChar">
    <w:name w:val="Comment Subject Char"/>
    <w:link w:val="CommentSubject"/>
    <w:rsid w:val="006C5753"/>
    <w:rPr>
      <w:b/>
      <w:bCs/>
      <w:lang w:val="lv-LV" w:eastAsia="lv-LV" w:bidi="ar-SA"/>
    </w:rPr>
  </w:style>
  <w:style w:type="paragraph" w:styleId="NormalWeb">
    <w:name w:val="Normal (Web)"/>
    <w:basedOn w:val="Normal"/>
    <w:uiPriority w:val="99"/>
    <w:unhideWhenUsed/>
    <w:rsid w:val="00A130D4"/>
    <w:pPr>
      <w:spacing w:before="100" w:beforeAutospacing="1" w:after="100" w:afterAutospacing="1"/>
    </w:pPr>
  </w:style>
  <w:style w:type="paragraph" w:styleId="NoSpacing">
    <w:name w:val="No Spacing"/>
    <w:uiPriority w:val="1"/>
    <w:qFormat/>
    <w:rsid w:val="0010647F"/>
    <w:rPr>
      <w:sz w:val="24"/>
      <w:szCs w:val="24"/>
      <w:lang w:val="lv-LV" w:eastAsia="lv-LV"/>
    </w:rPr>
  </w:style>
  <w:style w:type="character" w:customStyle="1" w:styleId="ListParagraphChar">
    <w:name w:val="List Paragraph Char"/>
    <w:aliases w:val="2 Char,Akapit z listą BS Char"/>
    <w:link w:val="ListParagraph"/>
    <w:uiPriority w:val="34"/>
    <w:locked/>
    <w:rsid w:val="0010647F"/>
    <w:rPr>
      <w:sz w:val="24"/>
      <w:szCs w:val="24"/>
    </w:rPr>
  </w:style>
  <w:style w:type="paragraph" w:customStyle="1" w:styleId="CharCharCharChar">
    <w:name w:val="Char Char Char Char"/>
    <w:aliases w:val="Char2"/>
    <w:basedOn w:val="Normal"/>
    <w:next w:val="Normal"/>
    <w:link w:val="FootnoteReference"/>
    <w:uiPriority w:val="99"/>
    <w:rsid w:val="0010647F"/>
    <w:pPr>
      <w:spacing w:after="160" w:line="240" w:lineRule="exact"/>
      <w:jc w:val="both"/>
      <w:textAlignment w:val="baseline"/>
    </w:pPr>
    <w:rPr>
      <w:sz w:val="20"/>
      <w:szCs w:val="20"/>
      <w:vertAlign w:val="superscript"/>
    </w:rPr>
  </w:style>
  <w:style w:type="character" w:styleId="Emphasis">
    <w:name w:val="Emphasis"/>
    <w:uiPriority w:val="20"/>
    <w:qFormat/>
    <w:rsid w:val="00FE789E"/>
    <w:rPr>
      <w:b/>
      <w:bCs/>
      <w:i w:val="0"/>
      <w:iCs w:val="0"/>
    </w:rPr>
  </w:style>
  <w:style w:type="character" w:customStyle="1" w:styleId="st1">
    <w:name w:val="st1"/>
    <w:rsid w:val="00FE7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84090">
      <w:bodyDiv w:val="1"/>
      <w:marLeft w:val="0"/>
      <w:marRight w:val="0"/>
      <w:marTop w:val="0"/>
      <w:marBottom w:val="0"/>
      <w:divBdr>
        <w:top w:val="none" w:sz="0" w:space="0" w:color="auto"/>
        <w:left w:val="none" w:sz="0" w:space="0" w:color="auto"/>
        <w:bottom w:val="none" w:sz="0" w:space="0" w:color="auto"/>
        <w:right w:val="none" w:sz="0" w:space="0" w:color="auto"/>
      </w:divBdr>
      <w:divsChild>
        <w:div w:id="310132968">
          <w:marLeft w:val="0"/>
          <w:marRight w:val="0"/>
          <w:marTop w:val="0"/>
          <w:marBottom w:val="0"/>
          <w:divBdr>
            <w:top w:val="none" w:sz="0" w:space="0" w:color="auto"/>
            <w:left w:val="none" w:sz="0" w:space="0" w:color="auto"/>
            <w:bottom w:val="none" w:sz="0" w:space="0" w:color="auto"/>
            <w:right w:val="none" w:sz="0" w:space="0" w:color="auto"/>
          </w:divBdr>
        </w:div>
        <w:div w:id="860974221">
          <w:marLeft w:val="0"/>
          <w:marRight w:val="0"/>
          <w:marTop w:val="0"/>
          <w:marBottom w:val="0"/>
          <w:divBdr>
            <w:top w:val="none" w:sz="0" w:space="0" w:color="auto"/>
            <w:left w:val="none" w:sz="0" w:space="0" w:color="auto"/>
            <w:bottom w:val="none" w:sz="0" w:space="0" w:color="auto"/>
            <w:right w:val="none" w:sz="0" w:space="0" w:color="auto"/>
          </w:divBdr>
        </w:div>
        <w:div w:id="1778018689">
          <w:marLeft w:val="0"/>
          <w:marRight w:val="0"/>
          <w:marTop w:val="0"/>
          <w:marBottom w:val="0"/>
          <w:divBdr>
            <w:top w:val="none" w:sz="0" w:space="0" w:color="auto"/>
            <w:left w:val="none" w:sz="0" w:space="0" w:color="auto"/>
            <w:bottom w:val="none" w:sz="0" w:space="0" w:color="auto"/>
            <w:right w:val="none" w:sz="0" w:space="0" w:color="auto"/>
          </w:divBdr>
        </w:div>
      </w:divsChild>
    </w:div>
    <w:div w:id="550770623">
      <w:bodyDiv w:val="1"/>
      <w:marLeft w:val="0"/>
      <w:marRight w:val="0"/>
      <w:marTop w:val="0"/>
      <w:marBottom w:val="0"/>
      <w:divBdr>
        <w:top w:val="none" w:sz="0" w:space="0" w:color="auto"/>
        <w:left w:val="none" w:sz="0" w:space="0" w:color="auto"/>
        <w:bottom w:val="none" w:sz="0" w:space="0" w:color="auto"/>
        <w:right w:val="none" w:sz="0" w:space="0" w:color="auto"/>
      </w:divBdr>
    </w:div>
    <w:div w:id="1394352854">
      <w:bodyDiv w:val="1"/>
      <w:marLeft w:val="0"/>
      <w:marRight w:val="0"/>
      <w:marTop w:val="0"/>
      <w:marBottom w:val="0"/>
      <w:divBdr>
        <w:top w:val="none" w:sz="0" w:space="0" w:color="auto"/>
        <w:left w:val="none" w:sz="0" w:space="0" w:color="auto"/>
        <w:bottom w:val="none" w:sz="0" w:space="0" w:color="auto"/>
        <w:right w:val="none" w:sz="0" w:space="0" w:color="auto"/>
      </w:divBdr>
    </w:div>
    <w:div w:id="1411931277">
      <w:bodyDiv w:val="1"/>
      <w:marLeft w:val="0"/>
      <w:marRight w:val="0"/>
      <w:marTop w:val="0"/>
      <w:marBottom w:val="0"/>
      <w:divBdr>
        <w:top w:val="none" w:sz="0" w:space="0" w:color="auto"/>
        <w:left w:val="none" w:sz="0" w:space="0" w:color="auto"/>
        <w:bottom w:val="none" w:sz="0" w:space="0" w:color="auto"/>
        <w:right w:val="none" w:sz="0" w:space="0" w:color="auto"/>
      </w:divBdr>
    </w:div>
    <w:div w:id="2056855643">
      <w:bodyDiv w:val="1"/>
      <w:marLeft w:val="0"/>
      <w:marRight w:val="0"/>
      <w:marTop w:val="0"/>
      <w:marBottom w:val="0"/>
      <w:divBdr>
        <w:top w:val="none" w:sz="0" w:space="0" w:color="auto"/>
        <w:left w:val="none" w:sz="0" w:space="0" w:color="auto"/>
        <w:bottom w:val="none" w:sz="0" w:space="0" w:color="auto"/>
        <w:right w:val="none" w:sz="0" w:space="0" w:color="auto"/>
      </w:divBdr>
      <w:divsChild>
        <w:div w:id="278226375">
          <w:marLeft w:val="0"/>
          <w:marRight w:val="0"/>
          <w:marTop w:val="0"/>
          <w:marBottom w:val="0"/>
          <w:divBdr>
            <w:top w:val="none" w:sz="0" w:space="0" w:color="auto"/>
            <w:left w:val="none" w:sz="0" w:space="0" w:color="auto"/>
            <w:bottom w:val="none" w:sz="0" w:space="0" w:color="auto"/>
            <w:right w:val="none" w:sz="0" w:space="0" w:color="auto"/>
          </w:divBdr>
        </w:div>
        <w:div w:id="564149888">
          <w:marLeft w:val="0"/>
          <w:marRight w:val="0"/>
          <w:marTop w:val="0"/>
          <w:marBottom w:val="0"/>
          <w:divBdr>
            <w:top w:val="none" w:sz="0" w:space="0" w:color="auto"/>
            <w:left w:val="none" w:sz="0" w:space="0" w:color="auto"/>
            <w:bottom w:val="none" w:sz="0" w:space="0" w:color="auto"/>
            <w:right w:val="none" w:sz="0" w:space="0" w:color="auto"/>
          </w:divBdr>
        </w:div>
        <w:div w:id="1114254021">
          <w:marLeft w:val="0"/>
          <w:marRight w:val="0"/>
          <w:marTop w:val="0"/>
          <w:marBottom w:val="0"/>
          <w:divBdr>
            <w:top w:val="none" w:sz="0" w:space="0" w:color="auto"/>
            <w:left w:val="none" w:sz="0" w:space="0" w:color="auto"/>
            <w:bottom w:val="none" w:sz="0" w:space="0" w:color="auto"/>
            <w:right w:val="none" w:sz="0" w:space="0" w:color="auto"/>
          </w:divBdr>
        </w:div>
        <w:div w:id="1304433525">
          <w:marLeft w:val="0"/>
          <w:marRight w:val="0"/>
          <w:marTop w:val="0"/>
          <w:marBottom w:val="0"/>
          <w:divBdr>
            <w:top w:val="none" w:sz="0" w:space="0" w:color="auto"/>
            <w:left w:val="none" w:sz="0" w:space="0" w:color="auto"/>
            <w:bottom w:val="none" w:sz="0" w:space="0" w:color="auto"/>
            <w:right w:val="none" w:sz="0" w:space="0" w:color="auto"/>
          </w:divBdr>
        </w:div>
        <w:div w:id="2106294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vija.kula@l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lm.gov.lv/upload/sociala_ieklausana/lmrik_mil_plans_cl.pdf" TargetMode="External"/><Relationship Id="rId1" Type="http://schemas.openxmlformats.org/officeDocument/2006/relationships/hyperlink" Target="http://www.csb.gov.lv/statistikas-temas/termini/socialie-transferti-360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99876-3FA9-4F08-807C-2DC3FB66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2876</Words>
  <Characters>20716</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Pamatdokumenta virsraksts</vt:lpstr>
    </vt:vector>
  </TitlesOfParts>
  <Company>LM</Company>
  <LinksUpToDate>false</LinksUpToDate>
  <CharactersWithSpaces>23545</CharactersWithSpaces>
  <SharedDoc>false</SharedDoc>
  <HLinks>
    <vt:vector size="36" baseType="variant">
      <vt:variant>
        <vt:i4>5767279</vt:i4>
      </vt:variant>
      <vt:variant>
        <vt:i4>0</vt:i4>
      </vt:variant>
      <vt:variant>
        <vt:i4>0</vt:i4>
      </vt:variant>
      <vt:variant>
        <vt:i4>5</vt:i4>
      </vt:variant>
      <vt:variant>
        <vt:lpwstr>mailto:evija.kula@lm.gov.lv</vt:lpwstr>
      </vt:variant>
      <vt:variant>
        <vt:lpwstr/>
      </vt:variant>
      <vt:variant>
        <vt:i4>8257656</vt:i4>
      </vt:variant>
      <vt:variant>
        <vt:i4>12</vt:i4>
      </vt:variant>
      <vt:variant>
        <vt:i4>0</vt:i4>
      </vt:variant>
      <vt:variant>
        <vt:i4>5</vt:i4>
      </vt:variant>
      <vt:variant>
        <vt:lpwstr>http://www.lm.gov.lv/text/2744</vt:lpwstr>
      </vt:variant>
      <vt:variant>
        <vt:lpwstr/>
      </vt:variant>
      <vt:variant>
        <vt:i4>1441854</vt:i4>
      </vt:variant>
      <vt:variant>
        <vt:i4>9</vt:i4>
      </vt:variant>
      <vt:variant>
        <vt:i4>0</vt:i4>
      </vt:variant>
      <vt:variant>
        <vt:i4>5</vt:i4>
      </vt:variant>
      <vt:variant>
        <vt:lpwstr>http://www.lrvk.gov.lv/uploads/reviziju-zinojumi/2014/2.4.1-4_2014/20.p_revizijas-zinojums_lm.pdf</vt:lpwstr>
      </vt:variant>
      <vt:variant>
        <vt:lpwstr/>
      </vt:variant>
      <vt:variant>
        <vt:i4>7995514</vt:i4>
      </vt:variant>
      <vt:variant>
        <vt:i4>6</vt:i4>
      </vt:variant>
      <vt:variant>
        <vt:i4>0</vt:i4>
      </vt:variant>
      <vt:variant>
        <vt:i4>5</vt:i4>
      </vt:variant>
      <vt:variant>
        <vt:lpwstr>http://www.lm.gov.lv/text/2562</vt:lpwstr>
      </vt:variant>
      <vt:variant>
        <vt:lpwstr/>
      </vt:variant>
      <vt:variant>
        <vt:i4>8323193</vt:i4>
      </vt:variant>
      <vt:variant>
        <vt:i4>3</vt:i4>
      </vt:variant>
      <vt:variant>
        <vt:i4>0</vt:i4>
      </vt:variant>
      <vt:variant>
        <vt:i4>5</vt:i4>
      </vt:variant>
      <vt:variant>
        <vt:lpwstr>http://www.lm.gov.lv/upload/sociala_ieklausana/lmrik_mil_plans_cl.pdf</vt:lpwstr>
      </vt:variant>
      <vt:variant>
        <vt:lpwstr/>
      </vt:variant>
      <vt:variant>
        <vt:i4>2687009</vt:i4>
      </vt:variant>
      <vt:variant>
        <vt:i4>0</vt:i4>
      </vt:variant>
      <vt:variant>
        <vt:i4>0</vt:i4>
      </vt:variant>
      <vt:variant>
        <vt:i4>5</vt:i4>
      </vt:variant>
      <vt:variant>
        <vt:lpwstr>http://www.csb.gov.lv/statistikas-temas/termini/socialie-transferti-36002.html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Anotācija</dc:subject>
  <dc:creator>Vārds Uzvārds;Evija Kula</dc:creator>
  <dc:description>E.Kūla, 67021692
Evija.Kula@lm.gov.lv</dc:description>
  <cp:lastModifiedBy>Evija Kula</cp:lastModifiedBy>
  <cp:revision>26</cp:revision>
  <dcterms:created xsi:type="dcterms:W3CDTF">2015-06-08T07:55:00Z</dcterms:created>
  <dcterms:modified xsi:type="dcterms:W3CDTF">2015-06-08T14:13:00Z</dcterms:modified>
</cp:coreProperties>
</file>