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56" w:rsidRPr="006919AC" w:rsidRDefault="00CA7856" w:rsidP="00CA7856">
      <w:pPr>
        <w:pStyle w:val="BodyText2"/>
        <w:rPr>
          <w:sz w:val="24"/>
          <w:szCs w:val="24"/>
        </w:rPr>
      </w:pPr>
      <w:bookmarkStart w:id="0" w:name="_Hlk231351500"/>
      <w:bookmarkStart w:id="1" w:name="OLE_LINK2"/>
      <w:bookmarkStart w:id="2" w:name="OLE_LINK1"/>
      <w:bookmarkStart w:id="3" w:name="OLE_LINK3"/>
      <w:r w:rsidRPr="00DA478B">
        <w:rPr>
          <w:sz w:val="24"/>
          <w:szCs w:val="24"/>
        </w:rPr>
        <w:t>Ministru kabineta rīkojuma projekta “</w:t>
      </w:r>
      <w:r w:rsidRPr="006919AC">
        <w:rPr>
          <w:sz w:val="24"/>
          <w:szCs w:val="24"/>
        </w:rPr>
        <w:t>Par valsts nekustamā īpašuma nodošanu Rēzeknes novada pašvaldības īpašumā”</w:t>
      </w:r>
      <w:bookmarkEnd w:id="0"/>
      <w:r w:rsidRPr="006919AC">
        <w:rPr>
          <w:sz w:val="24"/>
          <w:szCs w:val="24"/>
        </w:rPr>
        <w:t xml:space="preserve"> sākotnējās ietekmes novērtējuma ziņojums (anotācija)</w:t>
      </w:r>
    </w:p>
    <w:p w:rsidR="00CA7856" w:rsidRPr="00DA478B" w:rsidRDefault="00CA7856" w:rsidP="00CA7856">
      <w:pPr>
        <w:pStyle w:val="BodyText2"/>
        <w:rPr>
          <w:sz w:val="24"/>
          <w:szCs w:val="24"/>
        </w:rPr>
      </w:pPr>
    </w:p>
    <w:p w:rsidR="00CA7856" w:rsidRPr="00DA478B" w:rsidRDefault="00CA7856" w:rsidP="00CA7856">
      <w:pPr>
        <w:rPr>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CA7856" w:rsidRPr="00DA478B" w:rsidTr="002A5911">
        <w:trPr>
          <w:trHeight w:val="558"/>
          <w:jc w:val="center"/>
        </w:trPr>
        <w:tc>
          <w:tcPr>
            <w:tcW w:w="9725" w:type="dxa"/>
            <w:gridSpan w:val="3"/>
            <w:vAlign w:val="center"/>
          </w:tcPr>
          <w:p w:rsidR="00CA7856" w:rsidRPr="00DA478B" w:rsidRDefault="00CA7856" w:rsidP="002A5911">
            <w:pPr>
              <w:pStyle w:val="naisnod"/>
              <w:spacing w:before="0" w:after="0"/>
            </w:pPr>
            <w:r w:rsidRPr="00DA478B">
              <w:t>I. Tiesību akta projekta izstrādes nepieciešamība</w:t>
            </w:r>
          </w:p>
        </w:tc>
      </w:tr>
      <w:tr w:rsidR="00CA7856" w:rsidRPr="00DA478B" w:rsidTr="002A5911">
        <w:trPr>
          <w:trHeight w:val="630"/>
          <w:jc w:val="center"/>
        </w:trPr>
        <w:tc>
          <w:tcPr>
            <w:tcW w:w="550" w:type="dxa"/>
          </w:tcPr>
          <w:p w:rsidR="00CA7856" w:rsidRPr="00DA478B" w:rsidRDefault="00CA7856" w:rsidP="002A5911">
            <w:pPr>
              <w:pStyle w:val="naiskr"/>
              <w:spacing w:before="0" w:after="0"/>
            </w:pPr>
            <w:r w:rsidRPr="00DA478B">
              <w:t>1.</w:t>
            </w:r>
          </w:p>
        </w:tc>
        <w:tc>
          <w:tcPr>
            <w:tcW w:w="2768" w:type="dxa"/>
          </w:tcPr>
          <w:p w:rsidR="00CA7856" w:rsidRPr="00DA478B" w:rsidRDefault="00CA7856" w:rsidP="002A5911">
            <w:pPr>
              <w:pStyle w:val="naiskr"/>
              <w:spacing w:before="0" w:after="0"/>
              <w:ind w:hanging="10"/>
            </w:pPr>
            <w:r w:rsidRPr="00DA478B">
              <w:t>Pamatojums</w:t>
            </w:r>
          </w:p>
        </w:tc>
        <w:tc>
          <w:tcPr>
            <w:tcW w:w="6407" w:type="dxa"/>
          </w:tcPr>
          <w:p w:rsidR="00CA7856" w:rsidRPr="00DA478B" w:rsidRDefault="00CA7856" w:rsidP="00CA7856">
            <w:pPr>
              <w:spacing w:after="120"/>
              <w:jc w:val="both"/>
              <w:rPr>
                <w:rFonts w:eastAsia="Times New Roman"/>
                <w:sz w:val="24"/>
                <w:szCs w:val="24"/>
                <w:lang w:eastAsia="lv-LV"/>
              </w:rPr>
            </w:pPr>
            <w:r w:rsidRPr="007D0B4C">
              <w:rPr>
                <w:sz w:val="24"/>
                <w:szCs w:val="24"/>
              </w:rPr>
              <w:t>Publiskas personas mantas atsavināšanas likuma</w:t>
            </w:r>
            <w:r>
              <w:rPr>
                <w:sz w:val="24"/>
                <w:szCs w:val="24"/>
              </w:rPr>
              <w:t xml:space="preserve"> 42.panta pirmā daļa un</w:t>
            </w:r>
            <w:r w:rsidRPr="007D0B4C">
              <w:rPr>
                <w:sz w:val="24"/>
                <w:szCs w:val="24"/>
              </w:rPr>
              <w:t xml:space="preserve"> 43.pants</w:t>
            </w:r>
            <w:r>
              <w:rPr>
                <w:sz w:val="24"/>
                <w:szCs w:val="24"/>
              </w:rPr>
              <w:t xml:space="preserve">. </w:t>
            </w:r>
          </w:p>
        </w:tc>
      </w:tr>
      <w:tr w:rsidR="00CA7856" w:rsidRPr="00DA478B" w:rsidTr="002A5911">
        <w:trPr>
          <w:trHeight w:val="472"/>
          <w:jc w:val="center"/>
        </w:trPr>
        <w:tc>
          <w:tcPr>
            <w:tcW w:w="550" w:type="dxa"/>
          </w:tcPr>
          <w:p w:rsidR="00CA7856" w:rsidRPr="00DA478B" w:rsidRDefault="00CA7856" w:rsidP="002A5911">
            <w:pPr>
              <w:pStyle w:val="naiskr"/>
              <w:spacing w:before="0" w:after="0"/>
            </w:pPr>
            <w:r w:rsidRPr="00DA478B">
              <w:t>2.</w:t>
            </w:r>
          </w:p>
        </w:tc>
        <w:tc>
          <w:tcPr>
            <w:tcW w:w="2768" w:type="dxa"/>
          </w:tcPr>
          <w:p w:rsidR="00CA7856" w:rsidRPr="00DA478B" w:rsidRDefault="00CA7856" w:rsidP="002A5911">
            <w:pPr>
              <w:pStyle w:val="naiskr"/>
              <w:tabs>
                <w:tab w:val="left" w:pos="170"/>
              </w:tabs>
              <w:spacing w:before="0" w:after="0"/>
            </w:pPr>
            <w:r w:rsidRPr="00DA478B">
              <w:t>Pašreizējā situācija un problēmas</w:t>
            </w:r>
          </w:p>
        </w:tc>
        <w:tc>
          <w:tcPr>
            <w:tcW w:w="6407" w:type="dxa"/>
          </w:tcPr>
          <w:p w:rsidR="00665C6E" w:rsidRDefault="00366955" w:rsidP="002A5911">
            <w:pPr>
              <w:jc w:val="both"/>
              <w:rPr>
                <w:sz w:val="24"/>
                <w:szCs w:val="24"/>
              </w:rPr>
            </w:pPr>
            <w:r>
              <w:rPr>
                <w:sz w:val="24"/>
                <w:szCs w:val="24"/>
              </w:rPr>
              <w:t>N</w:t>
            </w:r>
            <w:r w:rsidR="00CA7856" w:rsidRPr="00206DB8">
              <w:rPr>
                <w:sz w:val="24"/>
                <w:szCs w:val="24"/>
              </w:rPr>
              <w:t>ekustamais īpašums ”Lidlauks Rēzekne 1”, Audriņu pagastā, Rēzeknes novadā (</w:t>
            </w:r>
            <w:r w:rsidR="00460FDB">
              <w:rPr>
                <w:sz w:val="24"/>
                <w:szCs w:val="24"/>
              </w:rPr>
              <w:t xml:space="preserve">kadastra numurs </w:t>
            </w:r>
            <w:r w:rsidR="00CA7856" w:rsidRPr="00206DB8">
              <w:rPr>
                <w:sz w:val="24"/>
                <w:szCs w:val="24"/>
              </w:rPr>
              <w:t>7842 005 0028), kas sastāv no zemes vienības 21,38 ha platībā (</w:t>
            </w:r>
            <w:r w:rsidR="00460FDB">
              <w:rPr>
                <w:sz w:val="24"/>
                <w:szCs w:val="24"/>
              </w:rPr>
              <w:t>kadastra a</w:t>
            </w:r>
            <w:r w:rsidR="00CA7856" w:rsidRPr="00206DB8">
              <w:rPr>
                <w:sz w:val="24"/>
                <w:szCs w:val="24"/>
              </w:rPr>
              <w:t>pzīmējums 7842 005 0377)</w:t>
            </w:r>
            <w:r>
              <w:rPr>
                <w:sz w:val="24"/>
                <w:szCs w:val="24"/>
              </w:rPr>
              <w:t xml:space="preserve"> ar Rēzeknes zemesgrāmatu nodaļas tiesneša 2010.gada 13.septembra lēmumu uz Latvijas valsts vārda Aizsardzības ministrijas personā ir reģistrēts Audriņu pagasta zemesgrāmatas nodalījumā Nr.</w:t>
            </w:r>
            <w:r w:rsidRPr="00206DB8">
              <w:rPr>
                <w:sz w:val="24"/>
                <w:szCs w:val="24"/>
              </w:rPr>
              <w:t>100000480413</w:t>
            </w:r>
            <w:r w:rsidR="00CA7856" w:rsidRPr="00206DB8">
              <w:rPr>
                <w:sz w:val="24"/>
                <w:szCs w:val="24"/>
              </w:rPr>
              <w:t xml:space="preserve">. </w:t>
            </w:r>
            <w:r w:rsidR="00665C6E">
              <w:rPr>
                <w:sz w:val="24"/>
                <w:szCs w:val="24"/>
              </w:rPr>
              <w:t>Ar zemes vienību ir saistīts</w:t>
            </w:r>
            <w:r w:rsidR="00CA7856" w:rsidRPr="00665C6E">
              <w:rPr>
                <w:sz w:val="24"/>
                <w:szCs w:val="24"/>
              </w:rPr>
              <w:t xml:space="preserve"> lidlauka skrejceļš</w:t>
            </w:r>
            <w:r w:rsidR="00665C6E">
              <w:rPr>
                <w:sz w:val="24"/>
                <w:szCs w:val="24"/>
              </w:rPr>
              <w:t xml:space="preserve"> (kadastra apzīmējums 7842 005 0377 004)</w:t>
            </w:r>
            <w:r w:rsidR="00CA7856" w:rsidRPr="00665C6E">
              <w:rPr>
                <w:sz w:val="24"/>
                <w:szCs w:val="24"/>
              </w:rPr>
              <w:t xml:space="preserve"> </w:t>
            </w:r>
            <w:r w:rsidR="005964CA" w:rsidRPr="005964CA">
              <w:rPr>
                <w:sz w:val="24"/>
                <w:szCs w:val="24"/>
              </w:rPr>
              <w:t>8700 m</w:t>
            </w:r>
            <w:r w:rsidR="005964CA" w:rsidRPr="005964CA">
              <w:rPr>
                <w:sz w:val="24"/>
                <w:szCs w:val="24"/>
                <w:vertAlign w:val="superscript"/>
              </w:rPr>
              <w:t>2</w:t>
            </w:r>
            <w:r w:rsidR="005964CA">
              <w:rPr>
                <w:sz w:val="28"/>
                <w:szCs w:val="28"/>
              </w:rPr>
              <w:t xml:space="preserve"> </w:t>
            </w:r>
            <w:r w:rsidR="00CA7856" w:rsidRPr="00665C6E">
              <w:rPr>
                <w:sz w:val="24"/>
                <w:szCs w:val="24"/>
              </w:rPr>
              <w:t>platībā.</w:t>
            </w:r>
            <w:r w:rsidR="00CA7856" w:rsidRPr="00206DB8">
              <w:rPr>
                <w:sz w:val="24"/>
                <w:szCs w:val="24"/>
              </w:rPr>
              <w:t xml:space="preserve"> Pārējā lidlauka skrejceļa daļa </w:t>
            </w:r>
            <w:r w:rsidR="005964CA" w:rsidRPr="005964CA">
              <w:rPr>
                <w:sz w:val="24"/>
                <w:szCs w:val="24"/>
              </w:rPr>
              <w:t>50635,20 m</w:t>
            </w:r>
            <w:r w:rsidR="005964CA" w:rsidRPr="005964CA">
              <w:rPr>
                <w:sz w:val="24"/>
                <w:szCs w:val="24"/>
                <w:vertAlign w:val="superscript"/>
              </w:rPr>
              <w:t>2</w:t>
            </w:r>
            <w:r w:rsidR="00CA7856" w:rsidRPr="00206DB8">
              <w:rPr>
                <w:sz w:val="24"/>
                <w:szCs w:val="24"/>
              </w:rPr>
              <w:t xml:space="preserve"> platībā (turpmāk abas daļas k</w:t>
            </w:r>
            <w:r w:rsidR="005964CA">
              <w:rPr>
                <w:sz w:val="24"/>
                <w:szCs w:val="24"/>
              </w:rPr>
              <w:t xml:space="preserve">opā – lidlauka skrejceļš </w:t>
            </w:r>
            <w:r w:rsidR="005964CA" w:rsidRPr="005964CA">
              <w:rPr>
                <w:sz w:val="24"/>
                <w:szCs w:val="24"/>
              </w:rPr>
              <w:t>59335,20 m</w:t>
            </w:r>
            <w:r w:rsidR="005964CA" w:rsidRPr="005964CA">
              <w:rPr>
                <w:sz w:val="24"/>
                <w:szCs w:val="24"/>
                <w:vertAlign w:val="superscript"/>
              </w:rPr>
              <w:t>2</w:t>
            </w:r>
            <w:r w:rsidR="00CA7856" w:rsidRPr="00206DB8">
              <w:rPr>
                <w:sz w:val="24"/>
                <w:szCs w:val="24"/>
              </w:rPr>
              <w:t xml:space="preserve"> platībā) atrodas uz privātpersonām piederošiem nekustamajiem īpašumiem – zemes vienībām ar kadastra apzīmējumiem 7842 005 0237 (”Pienenīte”, Audriņu pagastā, Rēzeknes novadā</w:t>
            </w:r>
            <w:r w:rsidR="00460FDB">
              <w:rPr>
                <w:sz w:val="24"/>
                <w:szCs w:val="24"/>
              </w:rPr>
              <w:t xml:space="preserve">, kadastra numurs </w:t>
            </w:r>
            <w:r w:rsidR="00CA7856" w:rsidRPr="00206DB8">
              <w:rPr>
                <w:sz w:val="24"/>
                <w:szCs w:val="24"/>
              </w:rPr>
              <w:t xml:space="preserve">7842 005 0237), 7842 005 0233 (”Līdumi”, Audriņu pagastā, Rēzeknes novadā, </w:t>
            </w:r>
            <w:r w:rsidR="00460FDB">
              <w:rPr>
                <w:sz w:val="24"/>
                <w:szCs w:val="24"/>
              </w:rPr>
              <w:t xml:space="preserve">kadastra numurs </w:t>
            </w:r>
            <w:r w:rsidR="00CA7856" w:rsidRPr="00206DB8">
              <w:rPr>
                <w:sz w:val="24"/>
                <w:szCs w:val="24"/>
              </w:rPr>
              <w:t xml:space="preserve">7842 005 0233), 7842 005 0232 (”Antoni”, Audriņu pagastā, Rēzeknes novadā, </w:t>
            </w:r>
            <w:r w:rsidR="00460FDB">
              <w:rPr>
                <w:sz w:val="24"/>
                <w:szCs w:val="24"/>
              </w:rPr>
              <w:t xml:space="preserve">kadastra numurs </w:t>
            </w:r>
            <w:r w:rsidR="00CA7856" w:rsidRPr="00206DB8">
              <w:rPr>
                <w:sz w:val="24"/>
                <w:szCs w:val="24"/>
              </w:rPr>
              <w:t xml:space="preserve">7842 005 0232) un 7842 005 0293 (”Akas”, Audriņu pagastā, Rēzeknes novadā, </w:t>
            </w:r>
            <w:r w:rsidR="00460FDB">
              <w:rPr>
                <w:sz w:val="24"/>
                <w:szCs w:val="24"/>
              </w:rPr>
              <w:t xml:space="preserve">kadastra numurs </w:t>
            </w:r>
            <w:r w:rsidR="00CA7856" w:rsidRPr="00206DB8">
              <w:rPr>
                <w:sz w:val="24"/>
                <w:szCs w:val="24"/>
              </w:rPr>
              <w:t>7842 005 0</w:t>
            </w:r>
            <w:r w:rsidR="005964CA">
              <w:rPr>
                <w:sz w:val="24"/>
                <w:szCs w:val="24"/>
              </w:rPr>
              <w:t xml:space="preserve">293). Lidlauka skrejceļš </w:t>
            </w:r>
            <w:r w:rsidR="005964CA" w:rsidRPr="005964CA">
              <w:rPr>
                <w:sz w:val="24"/>
                <w:szCs w:val="24"/>
              </w:rPr>
              <w:t>59335,20 m</w:t>
            </w:r>
            <w:r w:rsidR="005964CA" w:rsidRPr="005964CA">
              <w:rPr>
                <w:sz w:val="24"/>
                <w:szCs w:val="24"/>
                <w:vertAlign w:val="superscript"/>
              </w:rPr>
              <w:t>2</w:t>
            </w:r>
            <w:r w:rsidR="00CA7856" w:rsidRPr="00206DB8">
              <w:rPr>
                <w:sz w:val="24"/>
                <w:szCs w:val="24"/>
              </w:rPr>
              <w:t xml:space="preserve"> platībā atrodas Aizsardzības ministrijas valdījumā. </w:t>
            </w:r>
          </w:p>
          <w:p w:rsidR="00CA7856" w:rsidRDefault="00CA7856" w:rsidP="002A5911">
            <w:pPr>
              <w:jc w:val="both"/>
              <w:rPr>
                <w:sz w:val="24"/>
                <w:szCs w:val="24"/>
              </w:rPr>
            </w:pPr>
            <w:r w:rsidRPr="00206DB8">
              <w:rPr>
                <w:sz w:val="24"/>
                <w:szCs w:val="24"/>
              </w:rPr>
              <w:t xml:space="preserve">Saskaņā ar Rēzeknes novada domes </w:t>
            </w:r>
            <w:r w:rsidRPr="00206DB8">
              <w:rPr>
                <w:color w:val="000000"/>
                <w:sz w:val="24"/>
                <w:szCs w:val="24"/>
              </w:rPr>
              <w:t>2011.gada 7.jūlija lēmumu ”Par valsts nekustamā īpašuma ”Lidlauks Rēzekne” nodošanu bez atlīdzības Rēzeknes novada pašvaldībai” (protokols Nr.14, 6.§) valsts īpašuma objekts – nekustamais īpašums ”Lidlauks Rēzekne 1” Audriņu pagastā, Rēzeknes novadā (</w:t>
            </w:r>
            <w:r w:rsidR="00460FDB">
              <w:rPr>
                <w:color w:val="000000"/>
                <w:sz w:val="24"/>
                <w:szCs w:val="24"/>
              </w:rPr>
              <w:t xml:space="preserve">kadastra numurs </w:t>
            </w:r>
            <w:r w:rsidRPr="00206DB8">
              <w:rPr>
                <w:color w:val="000000"/>
                <w:sz w:val="24"/>
                <w:szCs w:val="24"/>
              </w:rPr>
              <w:t>7842 005 0028</w:t>
            </w:r>
            <w:r w:rsidR="005964CA">
              <w:rPr>
                <w:color w:val="000000"/>
                <w:sz w:val="24"/>
                <w:szCs w:val="24"/>
              </w:rPr>
              <w:t xml:space="preserve">), un lidlauka skrejceļš </w:t>
            </w:r>
            <w:r w:rsidR="005964CA" w:rsidRPr="005964CA">
              <w:rPr>
                <w:sz w:val="24"/>
                <w:szCs w:val="24"/>
              </w:rPr>
              <w:t>59335,20 m</w:t>
            </w:r>
            <w:r w:rsidR="005964CA" w:rsidRPr="005964CA">
              <w:rPr>
                <w:sz w:val="24"/>
                <w:szCs w:val="24"/>
                <w:vertAlign w:val="superscript"/>
              </w:rPr>
              <w:t>2</w:t>
            </w:r>
            <w:r w:rsidRPr="00206DB8">
              <w:rPr>
                <w:color w:val="000000"/>
                <w:sz w:val="24"/>
                <w:szCs w:val="24"/>
              </w:rPr>
              <w:t xml:space="preserve"> platībā – ir nepieciešams Rēzeknes novada pašvaldībai </w:t>
            </w:r>
            <w:r w:rsidRPr="00206DB8">
              <w:rPr>
                <w:sz w:val="24"/>
                <w:szCs w:val="24"/>
              </w:rPr>
              <w:t>likuma ”Par pašvaldībām” 15.panta pirmās daļas 6.punktā noteiktās pašvaldības autonomās funkcijas nodrošināšanai – veicināt iedzīvotāju veselīgu dzīvesveidu un sportu.</w:t>
            </w:r>
          </w:p>
          <w:p w:rsidR="000740F8" w:rsidRPr="00206DB8" w:rsidRDefault="000740F8" w:rsidP="002A5911">
            <w:pPr>
              <w:jc w:val="both"/>
              <w:rPr>
                <w:sz w:val="24"/>
                <w:szCs w:val="24"/>
              </w:rPr>
            </w:pPr>
            <w:r>
              <w:rPr>
                <w:sz w:val="24"/>
                <w:szCs w:val="24"/>
              </w:rPr>
              <w:t>Rēzeknes novada pašvaldība ir panākusi vienošanos ar privāto zemju īpašniekiem, uz kuru zemēm atrodas daļa no lidlauka skrejceļa, par attiecīgo zemes vienību daļu ilgtermiņa nomu vai atsavināšanu.</w:t>
            </w:r>
          </w:p>
          <w:p w:rsidR="00CA7856" w:rsidRPr="00027E2B" w:rsidRDefault="00CA7856" w:rsidP="002A5911">
            <w:pPr>
              <w:jc w:val="both"/>
              <w:rPr>
                <w:color w:val="000000"/>
                <w:sz w:val="24"/>
                <w:szCs w:val="24"/>
              </w:rPr>
            </w:pPr>
            <w:r w:rsidRPr="00206DB8">
              <w:rPr>
                <w:sz w:val="24"/>
                <w:szCs w:val="24"/>
              </w:rPr>
              <w:t>Rēzeknes novada pašvaldība 2011.gada 27.jūnijā uz nenoteiktu laiku ir noslēgusi sadarbības līgumu ar biedrību ”Latgales pilots” par sadarbību projektu, kas saistīti ar mazās un vidējās aviācijas attīstību, īstenošanā, lai sasniegtu kopīgu mērķi – veicināt aviācijas sporta veidu popularitāti sabiedrībā un jauniešu interesi par aviāciju. Valsts īpašuma objekts tiek izmantots aviācijas un izpletņlēkšanas sporta attīstībai un jauniešu intereses par sportu veicināšanai.</w:t>
            </w:r>
            <w:r>
              <w:rPr>
                <w:sz w:val="24"/>
                <w:szCs w:val="24"/>
              </w:rPr>
              <w:t xml:space="preserve"> </w:t>
            </w:r>
            <w:r w:rsidRPr="00027E2B">
              <w:rPr>
                <w:color w:val="000000"/>
                <w:sz w:val="24"/>
                <w:szCs w:val="24"/>
              </w:rPr>
              <w:t xml:space="preserve">Nākotnē Rēzeknes novada pašvaldība nekustamajā </w:t>
            </w:r>
            <w:r w:rsidRPr="00027E2B">
              <w:rPr>
                <w:color w:val="000000"/>
                <w:sz w:val="24"/>
                <w:szCs w:val="24"/>
              </w:rPr>
              <w:lastRenderedPageBreak/>
              <w:t xml:space="preserve">īpašumā plāno veikt izpletņlēkšanas un civilās aviācijas centra izveidi, kā arī dažādu pasākumu īstenošanu, tādu kā AN-2 lidmašīnu ikgadējais salidojums, Latvijas čempionāti izpletņlēkšanā, paraugdemonstrējumi izpletņlēkšanā, utt. Iepriekšminēto pasākumu īstenošanas mērķi ir </w:t>
            </w:r>
            <w:r w:rsidRPr="00027E2B">
              <w:rPr>
                <w:sz w:val="24"/>
                <w:szCs w:val="24"/>
              </w:rPr>
              <w:t>veicināt aviācijas sporta veidu popularitāti sabiedrībā, jauniešu interesi par aviāciju un aviācijas sporta veidiem, sekmēt militāri-patriotisko audzināšanu, motivēt profesionālajai attīstībai, kā arī piesaistīt aviāciju civilās aizsardzības pasākumu realizēšanā.</w:t>
            </w:r>
          </w:p>
          <w:p w:rsidR="00CA7856" w:rsidRPr="00206DB8" w:rsidRDefault="00CA7856" w:rsidP="002A5911">
            <w:pPr>
              <w:jc w:val="both"/>
              <w:rPr>
                <w:sz w:val="24"/>
                <w:szCs w:val="24"/>
              </w:rPr>
            </w:pPr>
            <w:r w:rsidRPr="00206DB8">
              <w:rPr>
                <w:sz w:val="24"/>
                <w:szCs w:val="24"/>
              </w:rPr>
              <w:t>Saskaņā ar 2013.gada 3.septembra Līgumu par lidmašīnas AN-2 nodošanu īpašumu Nacionālo bruņoto spēku Nodrošinājuma pavēlniecības 2.reģionālais nodrošināšanas centrs nodeva bez atlīdzības Rēzeknes novada pašvaldības īpašumā lidmašīnu AN-2, kas reģistrēta valsts aģentūras ”Civilās aviācijas aģentūra” Latvijas Republikas Civilās aviācijas gaisa kuģu reģistrā ar reģistrācijas Nr.YL-CCN, sērijas Nr.1G19745, borta Nr.257. Pašvaldība plāno izmantot lidmašīnu AN-2 likuma ”Par pašvaldībām” 15.panta pirmās daļas 6.punktā noteiktās autonomās funkcijas izpildei (veicināt iedzīvotāju veselīgu dzīvesveidu un sportu) – izpletņlēkšanas apmācībām. Jau 2011.gadā jaunatnes iniciatīvu ietvaros Rēzeknes novadā tika realizēts pašvaldības organizēts pasākums – jauniešu neformālās apmācības izpletņlēkšanā.</w:t>
            </w:r>
          </w:p>
          <w:p w:rsidR="00CA7856" w:rsidRPr="00206DB8" w:rsidRDefault="00CA7856" w:rsidP="002A5911">
            <w:pPr>
              <w:jc w:val="both"/>
              <w:rPr>
                <w:sz w:val="24"/>
                <w:szCs w:val="24"/>
              </w:rPr>
            </w:pPr>
            <w:r w:rsidRPr="00206DB8">
              <w:rPr>
                <w:sz w:val="24"/>
                <w:szCs w:val="24"/>
              </w:rPr>
              <w:t>Aizsardzības ministrija 2012.gada 30.janvāra vēstulē Nr.MV-N/283 informēja Privatizācijas aģentūru un Rēzeknes novada pašvaldību, ka Aizsardzības ministrija neplāno valsts īpašuma objektu izmantot valsts aizsardzības funkciju veikšanai un neiebilst pret tā nodošanu Rēzeknes novada pašvaldībai.</w:t>
            </w:r>
          </w:p>
          <w:p w:rsidR="00CA7856" w:rsidRPr="00206DB8" w:rsidRDefault="00CA7856" w:rsidP="002A5911">
            <w:pPr>
              <w:jc w:val="both"/>
              <w:rPr>
                <w:sz w:val="24"/>
                <w:szCs w:val="24"/>
                <w:lang w:eastAsia="lv-LV"/>
              </w:rPr>
            </w:pPr>
            <w:r w:rsidRPr="00206DB8">
              <w:rPr>
                <w:sz w:val="24"/>
                <w:szCs w:val="24"/>
                <w:lang w:eastAsia="lv-LV"/>
              </w:rPr>
              <w:t xml:space="preserve">Saskaņā ar likuma ”Par pašvaldībām” 15.panta pirmās daļas 6.punktu viena no pašvaldības autonomajām funkcijām ir nodrošināt veselības aprūpes pieejamību, </w:t>
            </w:r>
            <w:r w:rsidRPr="00206DB8">
              <w:rPr>
                <w:sz w:val="24"/>
                <w:szCs w:val="24"/>
              </w:rPr>
              <w:t>veicināt iedzīvotāju veselīgu dzīvesveidu un sportu. Atbilstoši minētā likuma 3.panta pirmajai daļai pašvaldība nodrošina likumos noteikto funkciju izpildi, ievērojot valsts un attiecīgās administratīvās teritorijas iedzīvotāju intereses.</w:t>
            </w:r>
            <w:r w:rsidRPr="00206DB8">
              <w:rPr>
                <w:sz w:val="24"/>
                <w:szCs w:val="24"/>
                <w:lang w:eastAsia="lv-LV"/>
              </w:rPr>
              <w:t xml:space="preserve"> Saglabājot valsts īpašuma objektu valsts īpašumā un nododot to Rēzeknes novada pašvaldībai, samērīguma princips tiek ievērots, un tiek sasniegts sabiedrības interesēm atbilstošs mērķis. Pašvaldībai nebūs tiesisku šķēršļu izmantot valsts īpašuma objektu aviācijas sporta veidu attīstīšanai un jauniešu intereses veicināšanai par aviāciju, kā arī veikt nepieciešamos ieguldījumus, lai nodrošinātu valsts īpašuma objektā piemērotu un drošu infrastruktūru lidostas darbībai. </w:t>
            </w:r>
            <w:r>
              <w:rPr>
                <w:sz w:val="24"/>
                <w:szCs w:val="24"/>
                <w:lang w:eastAsia="lv-LV"/>
              </w:rPr>
              <w:t xml:space="preserve">Savukārt </w:t>
            </w:r>
            <w:r w:rsidRPr="00206DB8">
              <w:rPr>
                <w:sz w:val="24"/>
                <w:szCs w:val="24"/>
              </w:rPr>
              <w:t>likuma ”Par pašvaldībām” 7.panta otrā daļa nosaka, ka autonomo funkciju izpildi organizē un par to atbild pašvaldības, un autonomo funkciju izpilde tiek finansēta no attiecīgās pašvaldības budžeta, ja likumā nav noteikts citādi. Turklāt, atbilstoši likuma “Par pašvaldībām” 14.panta otrās daļas 3. un 6.punktam, lai izpildītu savas funkcijas, pašvaldībām likumā noteiktajā kārtībā ir pienākums racionāli un lietderīgi apsaimniekot pašvaldības kustamo un nekustamo mantu, kā arī atbilstoši apstiprinātajam pašvaldības budžetam racionāli un lietderīgi izlietot pašvaldības finanšu līdzekļus.</w:t>
            </w:r>
          </w:p>
          <w:p w:rsidR="00CA7856" w:rsidRPr="00206DB8" w:rsidRDefault="00CA7856" w:rsidP="002A5911">
            <w:pPr>
              <w:autoSpaceDE w:val="0"/>
              <w:autoSpaceDN w:val="0"/>
              <w:adjustRightInd w:val="0"/>
              <w:jc w:val="both"/>
              <w:rPr>
                <w:sz w:val="24"/>
                <w:szCs w:val="24"/>
              </w:rPr>
            </w:pPr>
            <w:r w:rsidRPr="00206DB8">
              <w:rPr>
                <w:sz w:val="24"/>
                <w:szCs w:val="24"/>
              </w:rPr>
              <w:t xml:space="preserve">Ņemot vērā augstāk minēto, nepieciešams nodot </w:t>
            </w:r>
            <w:r w:rsidRPr="00206DB8">
              <w:rPr>
                <w:sz w:val="24"/>
                <w:szCs w:val="24"/>
                <w:lang w:eastAsia="lv-LV"/>
              </w:rPr>
              <w:t>bez atlīdzības Rēzeknes novada pašvaldības īpašumā nekustamo īpašumu ”Lidlauks Rēzekne 1” (</w:t>
            </w:r>
            <w:r w:rsidR="00460FDB">
              <w:rPr>
                <w:sz w:val="24"/>
                <w:szCs w:val="24"/>
                <w:lang w:eastAsia="lv-LV"/>
              </w:rPr>
              <w:t xml:space="preserve">kadastra numurs </w:t>
            </w:r>
            <w:r w:rsidRPr="00206DB8">
              <w:rPr>
                <w:sz w:val="24"/>
                <w:szCs w:val="24"/>
                <w:lang w:eastAsia="lv-LV"/>
              </w:rPr>
              <w:t>7842 005 0028) – zemes vienību (kadastra apzīmējums 7842 005 0377) 21,38 ha platībā – Audriņu pagastā, Rēzeknes novadā, kas ierakstīts zemesgrāmatā uz valsts vārda Aizsardzības ministrijas personā, un zemesgrāmatā nereģistrētu b</w:t>
            </w:r>
            <w:r w:rsidR="00E745B7">
              <w:rPr>
                <w:sz w:val="24"/>
                <w:szCs w:val="24"/>
                <w:lang w:eastAsia="lv-LV"/>
              </w:rPr>
              <w:t xml:space="preserve">ūvi – lidlauka skrejceļu </w:t>
            </w:r>
            <w:r w:rsidR="00E745B7" w:rsidRPr="005964CA">
              <w:rPr>
                <w:sz w:val="24"/>
                <w:szCs w:val="24"/>
              </w:rPr>
              <w:t>59335,20 m</w:t>
            </w:r>
            <w:r w:rsidR="00E745B7" w:rsidRPr="005964CA">
              <w:rPr>
                <w:sz w:val="24"/>
                <w:szCs w:val="24"/>
                <w:vertAlign w:val="superscript"/>
              </w:rPr>
              <w:t>2</w:t>
            </w:r>
            <w:r w:rsidRPr="00206DB8">
              <w:rPr>
                <w:sz w:val="24"/>
                <w:szCs w:val="24"/>
                <w:lang w:eastAsia="lv-LV"/>
              </w:rPr>
              <w:t xml:space="preserve"> platībā, kas atrodas uz zemes vienībām ar kadastra apzīmējumiem 7842 005 0377, 7842 005 0237, 7842 005 0233, 7842 005 0232 un 7842 005 0293 – Audriņu pagastā, Rēzeknes novadā</w:t>
            </w:r>
            <w:r w:rsidRPr="00206DB8">
              <w:rPr>
                <w:sz w:val="24"/>
                <w:szCs w:val="24"/>
              </w:rPr>
              <w:t>, lai nodrošinātu plānoto projektu realizāciju un pašvaldības rīcības brīvību savas autonomās funkcijas izpildē, kā arī lai novērstu iespējamu pašvaldības finanšu līdzekļu izšķērdēšanu.</w:t>
            </w:r>
          </w:p>
          <w:p w:rsidR="00CA7856" w:rsidRPr="00206DB8" w:rsidRDefault="00CA7856" w:rsidP="002A5911">
            <w:pPr>
              <w:autoSpaceDE w:val="0"/>
              <w:autoSpaceDN w:val="0"/>
              <w:adjustRightInd w:val="0"/>
              <w:jc w:val="both"/>
              <w:rPr>
                <w:sz w:val="24"/>
                <w:szCs w:val="24"/>
              </w:rPr>
            </w:pPr>
            <w:r w:rsidRPr="00206DB8">
              <w:rPr>
                <w:sz w:val="24"/>
                <w:szCs w:val="24"/>
              </w:rPr>
              <w:t xml:space="preserve">Atbilstoši Publiskas personas mantas atsavināšanas likuma 42.panta pirmajai daļai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 Saskaņā ar Valsts pārvaldes iekārtas likuma 1.panta 2.punktu atvasināta publiska persona ir pašvaldība vai cita ar likumu vai uz likuma pamata izveidota publiska persona, kam ar likumu piešķirta sava autonoma kompetence, kas ietver arī sava budžeta veidošanu un apstiprināšanu. Kā nosaka Publiskas personas mantas atsavināšanas likuma 5.panta pirmā daļa un 43.pants, </w:t>
            </w:r>
            <w:r w:rsidRPr="00206DB8">
              <w:rPr>
                <w:bCs/>
                <w:sz w:val="24"/>
                <w:szCs w:val="24"/>
              </w:rPr>
              <w:t>a</w:t>
            </w:r>
            <w:r w:rsidRPr="00206DB8">
              <w:rPr>
                <w:sz w:val="24"/>
                <w:szCs w:val="24"/>
              </w:rPr>
              <w:t>tļauju atsavināt valsts nekustamo īpašumu dod Ministru kabinets.</w:t>
            </w:r>
          </w:p>
        </w:tc>
      </w:tr>
      <w:tr w:rsidR="00CA7856" w:rsidRPr="00DA478B" w:rsidTr="002A5911">
        <w:trPr>
          <w:trHeight w:val="709"/>
          <w:jc w:val="center"/>
        </w:trPr>
        <w:tc>
          <w:tcPr>
            <w:tcW w:w="550" w:type="dxa"/>
          </w:tcPr>
          <w:p w:rsidR="00CA7856" w:rsidRPr="00DA478B" w:rsidRDefault="00CA7856" w:rsidP="002A5911">
            <w:pPr>
              <w:pStyle w:val="naiskr"/>
              <w:spacing w:before="0" w:after="0"/>
            </w:pPr>
            <w:r w:rsidRPr="00DA478B">
              <w:lastRenderedPageBreak/>
              <w:t>3.</w:t>
            </w:r>
          </w:p>
        </w:tc>
        <w:tc>
          <w:tcPr>
            <w:tcW w:w="2768" w:type="dxa"/>
          </w:tcPr>
          <w:p w:rsidR="00CA7856" w:rsidRPr="00DA478B" w:rsidRDefault="00CA7856" w:rsidP="002A5911">
            <w:pPr>
              <w:pStyle w:val="naiskr"/>
              <w:spacing w:before="0" w:after="0"/>
            </w:pPr>
            <w:r w:rsidRPr="00DA478B">
              <w:t>Saistītie politikas ietekmes novērtējumi un pētījumi</w:t>
            </w:r>
          </w:p>
        </w:tc>
        <w:tc>
          <w:tcPr>
            <w:tcW w:w="6407" w:type="dxa"/>
          </w:tcPr>
          <w:p w:rsidR="00CA7856" w:rsidRPr="00DA478B" w:rsidRDefault="00CA7856" w:rsidP="002A5911">
            <w:pPr>
              <w:spacing w:after="120"/>
              <w:jc w:val="both"/>
              <w:rPr>
                <w:rFonts w:eastAsia="Times New Roman"/>
                <w:sz w:val="24"/>
                <w:szCs w:val="24"/>
                <w:lang w:eastAsia="lv-LV"/>
              </w:rPr>
            </w:pPr>
            <w:r w:rsidRPr="005B0106">
              <w:rPr>
                <w:sz w:val="24"/>
                <w:szCs w:val="24"/>
                <w:lang w:eastAsia="lv-LV"/>
              </w:rPr>
              <w:t>Aizsardz</w:t>
            </w:r>
            <w:r w:rsidRPr="005B0106">
              <w:rPr>
                <w:sz w:val="24"/>
                <w:szCs w:val="24"/>
              </w:rPr>
              <w:t>ības ministrija, Rēzeknes novada pašvaldība.</w:t>
            </w:r>
          </w:p>
        </w:tc>
      </w:tr>
      <w:tr w:rsidR="00CA7856" w:rsidRPr="00DA478B" w:rsidTr="002A5911">
        <w:trPr>
          <w:trHeight w:val="384"/>
          <w:jc w:val="center"/>
        </w:trPr>
        <w:tc>
          <w:tcPr>
            <w:tcW w:w="550" w:type="dxa"/>
          </w:tcPr>
          <w:p w:rsidR="00CA7856" w:rsidRPr="00DA478B" w:rsidRDefault="00CA7856" w:rsidP="002A5911">
            <w:pPr>
              <w:pStyle w:val="naiskr"/>
              <w:spacing w:before="0" w:after="0"/>
            </w:pPr>
            <w:r w:rsidRPr="00DA478B">
              <w:t>4.</w:t>
            </w:r>
          </w:p>
        </w:tc>
        <w:tc>
          <w:tcPr>
            <w:tcW w:w="2768" w:type="dxa"/>
          </w:tcPr>
          <w:p w:rsidR="00CA7856" w:rsidRPr="00DA478B" w:rsidRDefault="00CA7856" w:rsidP="002A5911">
            <w:pPr>
              <w:pStyle w:val="naiskr"/>
              <w:spacing w:before="0" w:after="0"/>
            </w:pPr>
            <w:r w:rsidRPr="00DA478B">
              <w:t>Cita informācija</w:t>
            </w:r>
          </w:p>
        </w:tc>
        <w:tc>
          <w:tcPr>
            <w:tcW w:w="6407" w:type="dxa"/>
          </w:tcPr>
          <w:p w:rsidR="007D5A3C" w:rsidRPr="007D5A3C" w:rsidRDefault="007D5A3C" w:rsidP="007D5A3C">
            <w:pPr>
              <w:jc w:val="both"/>
              <w:rPr>
                <w:sz w:val="24"/>
                <w:szCs w:val="24"/>
              </w:rPr>
            </w:pPr>
            <w:r w:rsidRPr="007D5A3C">
              <w:rPr>
                <w:sz w:val="24"/>
                <w:szCs w:val="24"/>
              </w:rPr>
              <w:t>Atbilstoši Administratīvā procesa likuma 76.panta otrajai daļai Ministru kabineta rīkojumu „Par Ministru kabineta 2009.gada 23.decembra rīkojuma Nr.898 ”Par valsts īpašuma objektu nodošanu privatizācijai” atcelšanu daļā” var pārsūdzēt viena mēneša laikā no rīkojuma publicēšanas dienas oficiālajā izdevumā „Latvijas Vēstnesis” un atbilstoši minētā likuma 185.panta pirmajai daļai pieteikuma iesniegšana tiesā par Ministru kabineta rīkojuma „Par Ministru kabineta 2009.gada 23.decembra rīkojuma Nr.898 ”Par valsts īpašuma objektu nodošanu privatizācijai” atcelšanu daļā” pārsūdzēšanu apturēs minētā rīkojuma darbību. Līdz ar to nebūs iespējams izpildīt Ministru kabineta rīkojumu „</w:t>
            </w:r>
            <w:r w:rsidRPr="006919AC">
              <w:rPr>
                <w:sz w:val="24"/>
                <w:szCs w:val="24"/>
              </w:rPr>
              <w:t>Par valsts nekustamā īpašuma nodošanu Rēzeknes novada pašvaldības īpašumā</w:t>
            </w:r>
            <w:r w:rsidRPr="007D5A3C">
              <w:rPr>
                <w:sz w:val="24"/>
                <w:szCs w:val="24"/>
              </w:rPr>
              <w:t>” un nevarēs vei</w:t>
            </w:r>
            <w:r>
              <w:rPr>
                <w:sz w:val="24"/>
                <w:szCs w:val="24"/>
              </w:rPr>
              <w:t>kt nepieciešamās darbības, lai zemesgabalu nodotu Rēzeknes novada</w:t>
            </w:r>
            <w:r w:rsidR="006C4149">
              <w:rPr>
                <w:sz w:val="24"/>
                <w:szCs w:val="24"/>
              </w:rPr>
              <w:t xml:space="preserve"> pašvaldības īpašumā</w:t>
            </w:r>
            <w:r w:rsidRPr="007D5A3C">
              <w:rPr>
                <w:sz w:val="24"/>
                <w:szCs w:val="24"/>
              </w:rPr>
              <w:t>.</w:t>
            </w:r>
          </w:p>
          <w:p w:rsidR="00CA7856" w:rsidRPr="00F52AE8" w:rsidRDefault="007D5A3C" w:rsidP="006C4149">
            <w:pPr>
              <w:jc w:val="both"/>
              <w:rPr>
                <w:sz w:val="24"/>
                <w:szCs w:val="24"/>
              </w:rPr>
            </w:pPr>
            <w:r w:rsidRPr="007D5A3C">
              <w:rPr>
                <w:sz w:val="24"/>
                <w:szCs w:val="24"/>
              </w:rPr>
              <w:t>Līdz ar to, tikai pēc Ministra kabineta rīkojuma „</w:t>
            </w:r>
            <w:r w:rsidR="006C4149" w:rsidRPr="007D5A3C">
              <w:rPr>
                <w:sz w:val="24"/>
                <w:szCs w:val="24"/>
              </w:rPr>
              <w:t>Par Ministru kabineta 2009.gada 23.decembra rīkojuma Nr.898 ”Par valsts īpašuma objektu nodošanu privatizācijai” atcelšanu daļā</w:t>
            </w:r>
            <w:r w:rsidRPr="007D5A3C">
              <w:rPr>
                <w:sz w:val="24"/>
                <w:szCs w:val="24"/>
              </w:rPr>
              <w:t>” pieņemšanas un spēkā stāšanās, ir iespējams izpildīt Ministru kabineta rīkojumu „</w:t>
            </w:r>
            <w:r w:rsidR="006C4149" w:rsidRPr="006919AC">
              <w:rPr>
                <w:sz w:val="24"/>
                <w:szCs w:val="24"/>
              </w:rPr>
              <w:t>Par valsts nekustamā īpašuma nodošanu Rēzeknes novada pašvaldības īpašumā</w:t>
            </w:r>
            <w:r w:rsidRPr="007D5A3C">
              <w:rPr>
                <w:sz w:val="24"/>
                <w:szCs w:val="24"/>
              </w:rPr>
              <w:t>”.</w:t>
            </w:r>
          </w:p>
        </w:tc>
      </w:tr>
      <w:bookmarkEnd w:id="1"/>
      <w:bookmarkEnd w:id="2"/>
      <w:bookmarkEnd w:id="3"/>
    </w:tbl>
    <w:p w:rsidR="00CA7856" w:rsidRDefault="00CA7856" w:rsidP="00CA7856">
      <w:pPr>
        <w:pStyle w:val="naisf"/>
        <w:spacing w:before="0" w:after="0"/>
        <w:ind w:firstLine="0"/>
      </w:pPr>
    </w:p>
    <w:tbl>
      <w:tblPr>
        <w:tblStyle w:val="TableGrid"/>
        <w:tblW w:w="9640" w:type="dxa"/>
        <w:tblInd w:w="-176" w:type="dxa"/>
        <w:tblLook w:val="04A0"/>
      </w:tblPr>
      <w:tblGrid>
        <w:gridCol w:w="568"/>
        <w:gridCol w:w="2977"/>
        <w:gridCol w:w="6095"/>
      </w:tblGrid>
      <w:tr w:rsidR="00B911C5" w:rsidTr="00B911C5">
        <w:trPr>
          <w:trHeight w:val="433"/>
        </w:trPr>
        <w:tc>
          <w:tcPr>
            <w:tcW w:w="9640" w:type="dxa"/>
            <w:gridSpan w:val="3"/>
          </w:tcPr>
          <w:p w:rsidR="00B911C5" w:rsidRPr="00B911C5" w:rsidRDefault="00B911C5" w:rsidP="00B911C5">
            <w:pPr>
              <w:pStyle w:val="naisf"/>
              <w:spacing w:before="0" w:after="0"/>
              <w:ind w:firstLine="0"/>
              <w:jc w:val="center"/>
              <w:rPr>
                <w:b/>
              </w:rPr>
            </w:pPr>
            <w:r w:rsidRPr="00B911C5">
              <w:rPr>
                <w:b/>
              </w:rPr>
              <w:t>II. Tiesību akta projekta ietekme uz sabiedrību</w:t>
            </w:r>
          </w:p>
        </w:tc>
      </w:tr>
      <w:tr w:rsidR="00B911C5" w:rsidTr="00B911C5">
        <w:trPr>
          <w:trHeight w:val="838"/>
        </w:trPr>
        <w:tc>
          <w:tcPr>
            <w:tcW w:w="568" w:type="dxa"/>
          </w:tcPr>
          <w:p w:rsidR="00B911C5" w:rsidRDefault="00B911C5" w:rsidP="00CA7856">
            <w:pPr>
              <w:pStyle w:val="naisf"/>
              <w:spacing w:before="0" w:after="0"/>
              <w:ind w:firstLine="0"/>
            </w:pPr>
            <w:r>
              <w:t>1.</w:t>
            </w:r>
          </w:p>
        </w:tc>
        <w:tc>
          <w:tcPr>
            <w:tcW w:w="2977" w:type="dxa"/>
          </w:tcPr>
          <w:p w:rsidR="00B911C5" w:rsidRDefault="00B911C5" w:rsidP="00B911C5">
            <w:pPr>
              <w:pStyle w:val="naisf"/>
              <w:spacing w:before="0" w:after="0"/>
              <w:ind w:firstLine="0"/>
              <w:jc w:val="left"/>
            </w:pPr>
            <w:r w:rsidRPr="00BE1B30">
              <w:t> </w:t>
            </w:r>
            <w:r w:rsidRPr="008A407F">
              <w:t>Sabiedrības mērķgrupas, kuras tiesiskais regulējums arī ietekmē vai varētu ietekmēt</w:t>
            </w:r>
          </w:p>
        </w:tc>
        <w:tc>
          <w:tcPr>
            <w:tcW w:w="6095" w:type="dxa"/>
          </w:tcPr>
          <w:p w:rsidR="00B911C5" w:rsidRDefault="00B911C5" w:rsidP="00CA7856">
            <w:pPr>
              <w:pStyle w:val="naisf"/>
              <w:spacing w:before="0" w:after="0"/>
              <w:ind w:firstLine="0"/>
            </w:pPr>
            <w:r>
              <w:t>Rēzeknes novada</w:t>
            </w:r>
            <w:r w:rsidRPr="00DA478B">
              <w:t xml:space="preserve"> pašvaldības un pārējā Latgales reģiona iedzīvotāji, kuri </w:t>
            </w:r>
            <w:r>
              <w:t>izmantos valsts īpašuma objektā pēc tā attīstīšanas piedāvātos aviācijas sporta pakalpojumus</w:t>
            </w:r>
            <w:r w:rsidRPr="00DA478B">
              <w:t>.</w:t>
            </w:r>
          </w:p>
        </w:tc>
      </w:tr>
      <w:tr w:rsidR="00B911C5" w:rsidTr="00B911C5">
        <w:trPr>
          <w:trHeight w:val="553"/>
        </w:trPr>
        <w:tc>
          <w:tcPr>
            <w:tcW w:w="568" w:type="dxa"/>
          </w:tcPr>
          <w:p w:rsidR="00B911C5" w:rsidRDefault="00B911C5" w:rsidP="00CA7856">
            <w:pPr>
              <w:pStyle w:val="naisf"/>
              <w:spacing w:before="0" w:after="0"/>
              <w:ind w:firstLine="0"/>
            </w:pPr>
            <w:r>
              <w:t>2.</w:t>
            </w:r>
          </w:p>
        </w:tc>
        <w:tc>
          <w:tcPr>
            <w:tcW w:w="2977" w:type="dxa"/>
          </w:tcPr>
          <w:p w:rsidR="00B911C5" w:rsidRDefault="00B911C5" w:rsidP="00B911C5">
            <w:pPr>
              <w:pStyle w:val="naisf"/>
              <w:spacing w:before="0" w:after="0"/>
              <w:ind w:firstLine="0"/>
              <w:jc w:val="left"/>
            </w:pPr>
            <w:r w:rsidRPr="008A407F">
              <w:t>Tiesiskā regulējuma ietekme uz tautsaimniecību un administratīvo slogu</w:t>
            </w:r>
          </w:p>
        </w:tc>
        <w:tc>
          <w:tcPr>
            <w:tcW w:w="6095" w:type="dxa"/>
          </w:tcPr>
          <w:p w:rsidR="00B911C5" w:rsidRDefault="00326847" w:rsidP="00CA7856">
            <w:pPr>
              <w:pStyle w:val="naisf"/>
              <w:spacing w:before="0" w:after="0"/>
              <w:ind w:firstLine="0"/>
            </w:pPr>
            <w:r>
              <w:t>Nododot nekustamo īpašumu Rēzeknes novada pašvaldībai, tiks labiekārtota esošā infrastruktūra un blakus esošā teritorija. Rīkojuma projekts administratīvo slogu nemaina.</w:t>
            </w:r>
          </w:p>
        </w:tc>
      </w:tr>
      <w:tr w:rsidR="00B911C5" w:rsidTr="00B911C5">
        <w:trPr>
          <w:trHeight w:val="559"/>
        </w:trPr>
        <w:tc>
          <w:tcPr>
            <w:tcW w:w="568" w:type="dxa"/>
          </w:tcPr>
          <w:p w:rsidR="00B911C5" w:rsidRDefault="00B911C5" w:rsidP="00CA7856">
            <w:pPr>
              <w:pStyle w:val="naisf"/>
              <w:spacing w:before="0" w:after="0"/>
              <w:ind w:firstLine="0"/>
            </w:pPr>
            <w:r>
              <w:t>3.</w:t>
            </w:r>
          </w:p>
        </w:tc>
        <w:tc>
          <w:tcPr>
            <w:tcW w:w="2977" w:type="dxa"/>
          </w:tcPr>
          <w:p w:rsidR="00B911C5" w:rsidRDefault="00B911C5" w:rsidP="00B911C5">
            <w:pPr>
              <w:pStyle w:val="naisf"/>
              <w:spacing w:before="0" w:after="0"/>
              <w:ind w:firstLine="0"/>
              <w:jc w:val="left"/>
            </w:pPr>
            <w:r w:rsidRPr="008A407F">
              <w:t>Administratīvo izmaksu monetārs novērtējums</w:t>
            </w:r>
          </w:p>
        </w:tc>
        <w:tc>
          <w:tcPr>
            <w:tcW w:w="6095" w:type="dxa"/>
          </w:tcPr>
          <w:p w:rsidR="00B911C5" w:rsidRDefault="000A7601" w:rsidP="00CA7856">
            <w:pPr>
              <w:pStyle w:val="naisf"/>
              <w:spacing w:before="0" w:after="0"/>
              <w:ind w:firstLine="0"/>
            </w:pPr>
            <w:r>
              <w:t>Projekts šo jomu neskar.</w:t>
            </w:r>
          </w:p>
        </w:tc>
      </w:tr>
      <w:tr w:rsidR="00B911C5" w:rsidTr="00B911C5">
        <w:trPr>
          <w:trHeight w:val="565"/>
        </w:trPr>
        <w:tc>
          <w:tcPr>
            <w:tcW w:w="568" w:type="dxa"/>
          </w:tcPr>
          <w:p w:rsidR="00B911C5" w:rsidRDefault="00B911C5" w:rsidP="00CA7856">
            <w:pPr>
              <w:pStyle w:val="naisf"/>
              <w:spacing w:before="0" w:after="0"/>
              <w:ind w:firstLine="0"/>
            </w:pPr>
            <w:r>
              <w:t>4.</w:t>
            </w:r>
          </w:p>
        </w:tc>
        <w:tc>
          <w:tcPr>
            <w:tcW w:w="2977" w:type="dxa"/>
          </w:tcPr>
          <w:p w:rsidR="00B911C5" w:rsidRDefault="00B911C5" w:rsidP="00B911C5">
            <w:pPr>
              <w:pStyle w:val="naisf"/>
              <w:spacing w:before="0" w:after="0"/>
              <w:ind w:firstLine="0"/>
              <w:jc w:val="left"/>
            </w:pPr>
            <w:r w:rsidRPr="008A407F">
              <w:t>Cita informācija</w:t>
            </w:r>
          </w:p>
        </w:tc>
        <w:tc>
          <w:tcPr>
            <w:tcW w:w="6095" w:type="dxa"/>
          </w:tcPr>
          <w:p w:rsidR="00B911C5" w:rsidRDefault="00B911C5" w:rsidP="00CA7856">
            <w:pPr>
              <w:pStyle w:val="naisf"/>
              <w:spacing w:before="0" w:after="0"/>
              <w:ind w:firstLine="0"/>
            </w:pPr>
            <w:r>
              <w:t>Nav.</w:t>
            </w:r>
          </w:p>
        </w:tc>
      </w:tr>
    </w:tbl>
    <w:p w:rsidR="00B15D5C" w:rsidRPr="00DA478B" w:rsidRDefault="00B15D5C" w:rsidP="00CA7856">
      <w:pPr>
        <w:pStyle w:val="naisf"/>
        <w:spacing w:before="0" w:after="0"/>
        <w:ind w:firstLine="0"/>
      </w:pPr>
    </w:p>
    <w:p w:rsidR="00CA7856" w:rsidRPr="00DA478B" w:rsidRDefault="00CA7856" w:rsidP="00CA7856">
      <w:pPr>
        <w:ind w:firstLine="799"/>
        <w:jc w:val="both"/>
        <w:rPr>
          <w:rFonts w:eastAsia="Times New Roman"/>
          <w:sz w:val="24"/>
          <w:szCs w:val="24"/>
          <w:lang w:eastAsia="lv-LV"/>
        </w:rPr>
      </w:pPr>
    </w:p>
    <w:tbl>
      <w:tblPr>
        <w:tblW w:w="975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111"/>
        <w:gridCol w:w="6126"/>
      </w:tblGrid>
      <w:tr w:rsidR="00CA7856" w:rsidRPr="00DA478B" w:rsidTr="002A5911">
        <w:trPr>
          <w:trHeight w:val="556"/>
          <w:jc w:val="center"/>
        </w:trPr>
        <w:tc>
          <w:tcPr>
            <w:tcW w:w="9754" w:type="dxa"/>
            <w:gridSpan w:val="3"/>
            <w:vAlign w:val="center"/>
          </w:tcPr>
          <w:p w:rsidR="00CA7856" w:rsidRPr="00DA478B" w:rsidRDefault="00CA7856" w:rsidP="002A5911">
            <w:pPr>
              <w:pStyle w:val="naisnod"/>
              <w:spacing w:before="0" w:after="0"/>
            </w:pPr>
            <w:r w:rsidRPr="00DA478B">
              <w:t>IV. Tiesību akta projekta ietekme uz spēkā esošo tiesību normu sistēmu</w:t>
            </w:r>
          </w:p>
        </w:tc>
      </w:tr>
      <w:tr w:rsidR="00CA7856" w:rsidRPr="00DA478B" w:rsidTr="002A5911">
        <w:trPr>
          <w:jc w:val="center"/>
        </w:trPr>
        <w:tc>
          <w:tcPr>
            <w:tcW w:w="517" w:type="dxa"/>
          </w:tcPr>
          <w:p w:rsidR="00CA7856" w:rsidRPr="00DA478B" w:rsidRDefault="00CA7856" w:rsidP="002A5911">
            <w:pPr>
              <w:pStyle w:val="naiskr"/>
              <w:tabs>
                <w:tab w:val="left" w:pos="2628"/>
              </w:tabs>
              <w:spacing w:before="0" w:after="0"/>
              <w:jc w:val="both"/>
              <w:rPr>
                <w:iCs/>
              </w:rPr>
            </w:pPr>
            <w:r w:rsidRPr="00DA478B">
              <w:rPr>
                <w:iCs/>
              </w:rPr>
              <w:t>1.</w:t>
            </w:r>
          </w:p>
        </w:tc>
        <w:tc>
          <w:tcPr>
            <w:tcW w:w="3111" w:type="dxa"/>
          </w:tcPr>
          <w:p w:rsidR="00CA7856" w:rsidRPr="00DA478B" w:rsidRDefault="00CA7856" w:rsidP="00B911C5">
            <w:pPr>
              <w:pStyle w:val="naiskr"/>
              <w:tabs>
                <w:tab w:val="left" w:pos="2628"/>
              </w:tabs>
              <w:spacing w:before="0" w:after="0"/>
              <w:rPr>
                <w:iCs/>
              </w:rPr>
            </w:pPr>
            <w:r w:rsidRPr="00DA478B">
              <w:t>Nepieciešamie saistītie tiesību aktu projekti</w:t>
            </w:r>
          </w:p>
        </w:tc>
        <w:tc>
          <w:tcPr>
            <w:tcW w:w="6126" w:type="dxa"/>
          </w:tcPr>
          <w:p w:rsidR="00CA7856" w:rsidRDefault="00CA7856" w:rsidP="00C01F40">
            <w:pPr>
              <w:pStyle w:val="naiskr"/>
              <w:spacing w:before="0" w:after="0"/>
              <w:jc w:val="both"/>
            </w:pPr>
            <w:r w:rsidRPr="00DA478B">
              <w:rPr>
                <w:color w:val="000000"/>
              </w:rPr>
              <w:t xml:space="preserve">Pirms Ministru kabineta rīkojuma projekta apstiprināšanas ir nepieciešams </w:t>
            </w:r>
            <w:r w:rsidR="00C01F40">
              <w:rPr>
                <w:color w:val="000000"/>
              </w:rPr>
              <w:t>pieņemt</w:t>
            </w:r>
            <w:r w:rsidRPr="00DA478B">
              <w:rPr>
                <w:color w:val="000000"/>
              </w:rPr>
              <w:t xml:space="preserve"> </w:t>
            </w:r>
            <w:r w:rsidRPr="00DA478B">
              <w:t xml:space="preserve">Ministru kabineta rīkojuma </w:t>
            </w:r>
            <w:r w:rsidRPr="00FD538F">
              <w:t>projektu ”Par Ministru kabineta 2009.gada 23.decembra rīkojuma Nr.898 ”Par valsts īpašuma objektu nodošanu privatizācijai” atcelšanu</w:t>
            </w:r>
            <w:r w:rsidR="00C01F40">
              <w:t xml:space="preserve"> daļā</w:t>
            </w:r>
            <w:r w:rsidRPr="00FD538F">
              <w:t>”</w:t>
            </w:r>
            <w:r>
              <w:t>,</w:t>
            </w:r>
            <w:r w:rsidR="00C01F40">
              <w:t xml:space="preserve"> lai atteiktu nodot privatizācijai apbūvēto zemesgabalu</w:t>
            </w:r>
            <w:r>
              <w:t>.</w:t>
            </w:r>
          </w:p>
          <w:p w:rsidR="008F120A" w:rsidRDefault="008F120A" w:rsidP="00C01F40">
            <w:pPr>
              <w:pStyle w:val="naiskr"/>
              <w:spacing w:before="0" w:after="0"/>
              <w:jc w:val="both"/>
            </w:pPr>
          </w:p>
          <w:p w:rsidR="008F120A" w:rsidRDefault="008F120A" w:rsidP="008F120A">
            <w:pPr>
              <w:pStyle w:val="naiskr"/>
              <w:spacing w:before="0" w:after="0"/>
              <w:jc w:val="both"/>
              <w:rPr>
                <w:color w:val="1F4E79"/>
              </w:rPr>
            </w:pPr>
            <w:r>
              <w:t>Rīkojuma projekts paredz pašvaldības īpašumā nodot valsts aizsardzības objektu - lidlauka skrejceļu 59335,20 m</w:t>
            </w:r>
            <w:r w:rsidRPr="008F120A">
              <w:rPr>
                <w:vertAlign w:val="superscript"/>
              </w:rPr>
              <w:t xml:space="preserve">2 </w:t>
            </w:r>
            <w:r w:rsidRPr="00206DB8">
              <w:t>platībā</w:t>
            </w:r>
            <w:r>
              <w:t xml:space="preserve"> un līdz ar to tas vairs nebūs uzskatāms kā valsts aizsardzības objekts, kuram būtu nosakāma aizsargjosla. Ņemot vērā minēto, n</w:t>
            </w:r>
            <w:r w:rsidR="0016528F">
              <w:t>epieciešams</w:t>
            </w:r>
            <w:r>
              <w:t xml:space="preserve"> izstrādāt grozījumus</w:t>
            </w:r>
            <w:r w:rsidR="003A548A">
              <w:t xml:space="preserve"> Ministru kabineta 2006.gada 27.jūnija noteikumiem Nr.508 „Noteikumi par aizsargjoslām ap valsts aizsardzības objektiem un šo aizsargjoslu platumu” </w:t>
            </w:r>
            <w:r>
              <w:t xml:space="preserve">un no noteikumu 2.punkta saraksta izslēgt nekustamos īpašumus </w:t>
            </w:r>
            <w:r w:rsidRPr="008F120A">
              <w:rPr>
                <w:color w:val="000000" w:themeColor="text1"/>
              </w:rPr>
              <w:t xml:space="preserve">- ”Līdumi”, Audriņu pagastā, Rēzeknes novadā, kadastra numurs 7842 005 0233, ”Antoni”, Audriņu pagastā, Rēzeknes novadā, </w:t>
            </w:r>
            <w:r w:rsidR="00304C7A">
              <w:rPr>
                <w:color w:val="000000" w:themeColor="text1"/>
              </w:rPr>
              <w:t>kadastra numurs 7842 005 0232,</w:t>
            </w:r>
            <w:r w:rsidRPr="008F120A">
              <w:rPr>
                <w:color w:val="000000" w:themeColor="text1"/>
              </w:rPr>
              <w:t xml:space="preserve"> ”Akas”, Audriņu pagastā, Rēzeknes novadā, kadastra numurs 7842 005 0293</w:t>
            </w:r>
            <w:r w:rsidR="00304C7A">
              <w:rPr>
                <w:color w:val="1F4E79"/>
              </w:rPr>
              <w:t xml:space="preserve">, </w:t>
            </w:r>
            <w:r w:rsidR="00304C7A" w:rsidRPr="00206DB8">
              <w:t>”Pienenīte”, Audriņu pagastā, Rēzeknes novadā</w:t>
            </w:r>
            <w:r w:rsidR="00304C7A">
              <w:t xml:space="preserve">, kadastra numurs </w:t>
            </w:r>
            <w:r w:rsidR="00304C7A" w:rsidRPr="00206DB8">
              <w:t>7842 005 0237</w:t>
            </w:r>
            <w:r w:rsidR="00304C7A">
              <w:t>.</w:t>
            </w:r>
            <w:r w:rsidR="00304C7A">
              <w:rPr>
                <w:color w:val="1F4E79"/>
              </w:rPr>
              <w:t xml:space="preserve"> </w:t>
            </w:r>
          </w:p>
          <w:p w:rsidR="003A548A" w:rsidRPr="008F120A" w:rsidRDefault="008F120A" w:rsidP="008F120A">
            <w:pPr>
              <w:pStyle w:val="naiskr"/>
              <w:spacing w:before="0" w:after="0"/>
              <w:jc w:val="both"/>
            </w:pPr>
            <w:r w:rsidRPr="00303252">
              <w:rPr>
                <w:spacing w:val="-2"/>
              </w:rPr>
              <w:t xml:space="preserve">Par noteikumu projektu izstrādi atbildīgā ir </w:t>
            </w:r>
            <w:r>
              <w:rPr>
                <w:spacing w:val="-2"/>
              </w:rPr>
              <w:t>Aizsardzības</w:t>
            </w:r>
            <w:r w:rsidRPr="00303252">
              <w:rPr>
                <w:spacing w:val="-2"/>
              </w:rPr>
              <w:t xml:space="preserve"> ministrija. Izstrāde</w:t>
            </w:r>
            <w:r w:rsidR="00E63C94">
              <w:rPr>
                <w:spacing w:val="-2"/>
              </w:rPr>
              <w:t>s termiņš ir 2015.gada 1.oktobris</w:t>
            </w:r>
            <w:r>
              <w:rPr>
                <w:spacing w:val="-2"/>
              </w:rPr>
              <w:t>.</w:t>
            </w:r>
            <w:r>
              <w:rPr>
                <w:color w:val="1F4E79"/>
              </w:rPr>
              <w:t xml:space="preserve">   </w:t>
            </w:r>
          </w:p>
        </w:tc>
      </w:tr>
      <w:tr w:rsidR="00CA7856" w:rsidRPr="00DA478B" w:rsidTr="002A5911">
        <w:trPr>
          <w:trHeight w:val="483"/>
          <w:jc w:val="center"/>
        </w:trPr>
        <w:tc>
          <w:tcPr>
            <w:tcW w:w="517" w:type="dxa"/>
          </w:tcPr>
          <w:p w:rsidR="00CA7856" w:rsidRPr="00DA478B" w:rsidRDefault="00CA7856" w:rsidP="002A5911">
            <w:pPr>
              <w:pStyle w:val="naiskr"/>
              <w:tabs>
                <w:tab w:val="left" w:pos="2628"/>
              </w:tabs>
              <w:spacing w:before="0" w:after="0"/>
              <w:jc w:val="both"/>
              <w:rPr>
                <w:iCs/>
              </w:rPr>
            </w:pPr>
            <w:r>
              <w:rPr>
                <w:iCs/>
              </w:rPr>
              <w:t>2.</w:t>
            </w:r>
          </w:p>
        </w:tc>
        <w:tc>
          <w:tcPr>
            <w:tcW w:w="3111" w:type="dxa"/>
          </w:tcPr>
          <w:p w:rsidR="00CA7856" w:rsidRPr="00DA478B" w:rsidRDefault="00CA7856" w:rsidP="00B911C5">
            <w:pPr>
              <w:pStyle w:val="naiskr"/>
              <w:tabs>
                <w:tab w:val="left" w:pos="2628"/>
              </w:tabs>
              <w:spacing w:before="0" w:after="0"/>
            </w:pPr>
            <w:r>
              <w:t>Atbildīgā institūcija</w:t>
            </w:r>
          </w:p>
        </w:tc>
        <w:tc>
          <w:tcPr>
            <w:tcW w:w="6126" w:type="dxa"/>
          </w:tcPr>
          <w:p w:rsidR="00CA7856" w:rsidRPr="00DA478B" w:rsidRDefault="008F120A" w:rsidP="002A5911">
            <w:pPr>
              <w:pStyle w:val="naiskr"/>
              <w:spacing w:before="0" w:after="0"/>
              <w:jc w:val="both"/>
              <w:rPr>
                <w:color w:val="000000"/>
              </w:rPr>
            </w:pPr>
            <w:r>
              <w:t>Aizsardzības</w:t>
            </w:r>
            <w:r w:rsidR="00CA7856">
              <w:t xml:space="preserve"> ministrija.</w:t>
            </w:r>
          </w:p>
        </w:tc>
      </w:tr>
      <w:tr w:rsidR="00CA7856" w:rsidRPr="00DA478B" w:rsidTr="002A5911">
        <w:trPr>
          <w:trHeight w:val="589"/>
          <w:jc w:val="center"/>
        </w:trPr>
        <w:tc>
          <w:tcPr>
            <w:tcW w:w="517" w:type="dxa"/>
          </w:tcPr>
          <w:p w:rsidR="00CA7856" w:rsidRPr="00DA478B" w:rsidRDefault="00CA7856" w:rsidP="002A5911">
            <w:pPr>
              <w:pStyle w:val="naiskr"/>
              <w:tabs>
                <w:tab w:val="left" w:pos="2628"/>
              </w:tabs>
              <w:spacing w:before="0" w:after="0"/>
              <w:jc w:val="both"/>
              <w:rPr>
                <w:iCs/>
              </w:rPr>
            </w:pPr>
            <w:r>
              <w:rPr>
                <w:iCs/>
              </w:rPr>
              <w:t>3</w:t>
            </w:r>
            <w:r w:rsidRPr="00DA478B">
              <w:rPr>
                <w:iCs/>
              </w:rPr>
              <w:t>.</w:t>
            </w:r>
          </w:p>
        </w:tc>
        <w:tc>
          <w:tcPr>
            <w:tcW w:w="3111" w:type="dxa"/>
          </w:tcPr>
          <w:p w:rsidR="00CA7856" w:rsidRPr="00DA478B" w:rsidRDefault="00CA7856" w:rsidP="00B911C5">
            <w:pPr>
              <w:pStyle w:val="naiskr"/>
              <w:tabs>
                <w:tab w:val="left" w:pos="2628"/>
              </w:tabs>
              <w:spacing w:before="0" w:after="0"/>
              <w:rPr>
                <w:iCs/>
              </w:rPr>
            </w:pPr>
            <w:r w:rsidRPr="00DA478B">
              <w:t>Cita informācija</w:t>
            </w:r>
          </w:p>
        </w:tc>
        <w:tc>
          <w:tcPr>
            <w:tcW w:w="6126" w:type="dxa"/>
          </w:tcPr>
          <w:p w:rsidR="00CA7856" w:rsidRPr="00DA478B" w:rsidRDefault="00CA7856" w:rsidP="002A5911">
            <w:pPr>
              <w:pStyle w:val="naiskr"/>
              <w:tabs>
                <w:tab w:val="left" w:pos="2628"/>
              </w:tabs>
              <w:spacing w:before="0" w:after="0"/>
              <w:jc w:val="both"/>
              <w:rPr>
                <w:iCs/>
              </w:rPr>
            </w:pPr>
            <w:r w:rsidRPr="00DA478B">
              <w:t>Nav.</w:t>
            </w:r>
          </w:p>
        </w:tc>
      </w:tr>
    </w:tbl>
    <w:p w:rsidR="00CA7856" w:rsidRPr="00DA478B" w:rsidRDefault="00CA7856" w:rsidP="00CA7856">
      <w:pPr>
        <w:ind w:firstLine="799"/>
        <w:jc w:val="both"/>
        <w:rPr>
          <w:rFonts w:eastAsia="Times New Roman"/>
          <w:b/>
          <w:sz w:val="24"/>
          <w:szCs w:val="24"/>
          <w:lang w:eastAsia="lv-LV"/>
        </w:rPr>
      </w:pPr>
    </w:p>
    <w:p w:rsidR="00CA7856" w:rsidRPr="00DA478B" w:rsidRDefault="00CA7856" w:rsidP="00CA7856">
      <w:pPr>
        <w:ind w:firstLine="799"/>
        <w:jc w:val="both"/>
        <w:rPr>
          <w:rFonts w:eastAsia="Times New Roman"/>
          <w:sz w:val="24"/>
          <w:szCs w:val="24"/>
          <w:lang w:eastAsia="lv-LV"/>
        </w:rPr>
      </w:pPr>
      <w:r w:rsidRPr="00DA478B">
        <w:rPr>
          <w:rFonts w:eastAsia="Times New Roman"/>
          <w:vanish/>
          <w:sz w:val="24"/>
          <w:szCs w:val="24"/>
          <w:lang w:eastAsia="lv-LV"/>
        </w:rPr>
        <w:cr/>
        <w:t>av.d kmesgrmo  kas saistldībai</w:t>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CA7856" w:rsidRPr="00DA478B" w:rsidTr="002A5911">
        <w:trPr>
          <w:trHeight w:val="554"/>
          <w:jc w:val="center"/>
        </w:trPr>
        <w:tc>
          <w:tcPr>
            <w:tcW w:w="9762" w:type="dxa"/>
            <w:gridSpan w:val="3"/>
            <w:tcBorders>
              <w:top w:val="single" w:sz="4" w:space="0" w:color="auto"/>
            </w:tcBorders>
            <w:vAlign w:val="center"/>
          </w:tcPr>
          <w:p w:rsidR="00CA7856" w:rsidRPr="00DA478B" w:rsidRDefault="00CA7856" w:rsidP="002A5911">
            <w:pPr>
              <w:pStyle w:val="naisnod"/>
              <w:spacing w:before="0" w:after="0"/>
              <w:ind w:left="57" w:right="57"/>
            </w:pPr>
            <w:r w:rsidRPr="00DA478B">
              <w:t>VII. Tiesību akta projekta izpildes nodrošināšana un tās ietekme uz institūcijām</w:t>
            </w:r>
          </w:p>
        </w:tc>
      </w:tr>
      <w:tr w:rsidR="00CA7856" w:rsidRPr="00DA478B" w:rsidTr="002A5911">
        <w:trPr>
          <w:trHeight w:val="427"/>
          <w:jc w:val="center"/>
        </w:trPr>
        <w:tc>
          <w:tcPr>
            <w:tcW w:w="498" w:type="dxa"/>
          </w:tcPr>
          <w:p w:rsidR="00CA7856" w:rsidRPr="00DA478B" w:rsidRDefault="00CA7856" w:rsidP="002A5911">
            <w:pPr>
              <w:pStyle w:val="naisnod"/>
              <w:spacing w:before="0" w:after="0"/>
              <w:ind w:left="57" w:right="57"/>
              <w:jc w:val="left"/>
              <w:rPr>
                <w:b w:val="0"/>
              </w:rPr>
            </w:pPr>
            <w:r w:rsidRPr="00DA478B">
              <w:rPr>
                <w:b w:val="0"/>
              </w:rPr>
              <w:t>1.</w:t>
            </w:r>
          </w:p>
        </w:tc>
        <w:tc>
          <w:tcPr>
            <w:tcW w:w="3289" w:type="dxa"/>
          </w:tcPr>
          <w:p w:rsidR="00CA7856" w:rsidRPr="00DA478B" w:rsidRDefault="00CA7856" w:rsidP="002A5911">
            <w:pPr>
              <w:pStyle w:val="naisf"/>
              <w:spacing w:before="0" w:after="0"/>
              <w:ind w:left="57" w:right="57" w:firstLine="0"/>
              <w:jc w:val="left"/>
            </w:pPr>
            <w:r w:rsidRPr="00DA478B">
              <w:t xml:space="preserve">Projekta izpildē iesaistītās institūcijas </w:t>
            </w:r>
          </w:p>
        </w:tc>
        <w:tc>
          <w:tcPr>
            <w:tcW w:w="5975" w:type="dxa"/>
          </w:tcPr>
          <w:p w:rsidR="00CA7856" w:rsidRPr="00DA478B" w:rsidRDefault="00CA7856" w:rsidP="002A5911">
            <w:pPr>
              <w:spacing w:after="120"/>
              <w:jc w:val="both"/>
              <w:rPr>
                <w:rFonts w:eastAsia="Times New Roman"/>
                <w:sz w:val="24"/>
                <w:szCs w:val="24"/>
                <w:lang w:eastAsia="lv-LV"/>
              </w:rPr>
            </w:pPr>
            <w:r w:rsidRPr="00DA478B">
              <w:rPr>
                <w:rFonts w:eastAsia="Times New Roman"/>
                <w:sz w:val="24"/>
                <w:szCs w:val="24"/>
                <w:lang w:eastAsia="lv-LV"/>
              </w:rPr>
              <w:t xml:space="preserve">Ministru kabineta rīkojuma izpildi nodrošinās </w:t>
            </w:r>
            <w:r>
              <w:rPr>
                <w:sz w:val="24"/>
                <w:szCs w:val="24"/>
                <w:lang w:eastAsia="lv-LV"/>
              </w:rPr>
              <w:t>Aizsardzības ministrija</w:t>
            </w:r>
            <w:r w:rsidRPr="00DA478B">
              <w:rPr>
                <w:sz w:val="24"/>
                <w:szCs w:val="24"/>
                <w:lang w:eastAsia="lv-LV"/>
              </w:rPr>
              <w:t xml:space="preserve"> un </w:t>
            </w:r>
            <w:r>
              <w:rPr>
                <w:sz w:val="24"/>
                <w:szCs w:val="24"/>
              </w:rPr>
              <w:t>Rēzeknes novada</w:t>
            </w:r>
            <w:r w:rsidRPr="00DA478B">
              <w:rPr>
                <w:sz w:val="24"/>
                <w:szCs w:val="24"/>
              </w:rPr>
              <w:t xml:space="preserve"> pašvaldība.</w:t>
            </w:r>
          </w:p>
        </w:tc>
      </w:tr>
      <w:tr w:rsidR="00CA7856" w:rsidRPr="00DA478B" w:rsidTr="002A5911">
        <w:trPr>
          <w:trHeight w:val="463"/>
          <w:jc w:val="center"/>
        </w:trPr>
        <w:tc>
          <w:tcPr>
            <w:tcW w:w="498" w:type="dxa"/>
          </w:tcPr>
          <w:p w:rsidR="00CA7856" w:rsidRPr="00DA478B" w:rsidRDefault="00CA7856" w:rsidP="002A5911">
            <w:pPr>
              <w:pStyle w:val="naisnod"/>
              <w:spacing w:before="0" w:after="0"/>
              <w:ind w:left="57" w:right="57"/>
              <w:jc w:val="left"/>
              <w:rPr>
                <w:b w:val="0"/>
              </w:rPr>
            </w:pPr>
            <w:r w:rsidRPr="00DA478B">
              <w:rPr>
                <w:b w:val="0"/>
              </w:rPr>
              <w:t>2.</w:t>
            </w:r>
          </w:p>
        </w:tc>
        <w:tc>
          <w:tcPr>
            <w:tcW w:w="3289" w:type="dxa"/>
          </w:tcPr>
          <w:p w:rsidR="00CA7856" w:rsidRDefault="00CA7856" w:rsidP="002A5911">
            <w:pPr>
              <w:pStyle w:val="naisf"/>
              <w:spacing w:before="0" w:after="0"/>
              <w:ind w:left="57" w:right="57" w:firstLine="0"/>
              <w:jc w:val="left"/>
            </w:pPr>
            <w:r w:rsidRPr="00DA478B">
              <w:t xml:space="preserve">Projekta izpildes ietekme uz pārvaldes funkcijām </w:t>
            </w:r>
            <w:r>
              <w:t xml:space="preserve">un </w:t>
            </w:r>
            <w:r w:rsidRPr="00DA478B">
              <w:t>institucionālo struktūru.</w:t>
            </w:r>
          </w:p>
          <w:p w:rsidR="00CA7856" w:rsidRPr="00DA478B" w:rsidRDefault="00CA7856" w:rsidP="002A5911">
            <w:pPr>
              <w:pStyle w:val="naisf"/>
              <w:spacing w:before="0" w:after="0"/>
              <w:ind w:left="57" w:right="57" w:firstLine="0"/>
              <w:jc w:val="left"/>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CA7856" w:rsidRPr="00DA478B" w:rsidRDefault="00CA7856" w:rsidP="002A5911">
            <w:pPr>
              <w:spacing w:after="120"/>
              <w:jc w:val="both"/>
              <w:rPr>
                <w:rFonts w:eastAsia="Times New Roman"/>
                <w:sz w:val="24"/>
                <w:szCs w:val="24"/>
                <w:lang w:eastAsia="lv-LV"/>
              </w:rPr>
            </w:pPr>
            <w:r w:rsidRPr="00DA478B">
              <w:rPr>
                <w:rFonts w:eastAsia="Times New Roman"/>
                <w:sz w:val="24"/>
                <w:szCs w:val="24"/>
                <w:lang w:eastAsia="lv-LV"/>
              </w:rPr>
              <w:t>Projekts šo jomu neskar.</w:t>
            </w:r>
          </w:p>
        </w:tc>
      </w:tr>
      <w:tr w:rsidR="00CA7856" w:rsidRPr="00DA478B" w:rsidTr="002A5911">
        <w:trPr>
          <w:trHeight w:val="476"/>
          <w:jc w:val="center"/>
        </w:trPr>
        <w:tc>
          <w:tcPr>
            <w:tcW w:w="498" w:type="dxa"/>
          </w:tcPr>
          <w:p w:rsidR="00CA7856" w:rsidRPr="00DA478B" w:rsidRDefault="00CA7856" w:rsidP="002A5911">
            <w:pPr>
              <w:pStyle w:val="naiskr"/>
              <w:spacing w:before="0" w:after="0"/>
              <w:ind w:left="57" w:right="57"/>
            </w:pPr>
            <w:r>
              <w:t>3</w:t>
            </w:r>
            <w:r w:rsidRPr="00DA478B">
              <w:t>.</w:t>
            </w:r>
          </w:p>
        </w:tc>
        <w:tc>
          <w:tcPr>
            <w:tcW w:w="3289" w:type="dxa"/>
          </w:tcPr>
          <w:p w:rsidR="00CA7856" w:rsidRPr="00DA478B" w:rsidRDefault="00CA7856" w:rsidP="002A5911">
            <w:pPr>
              <w:pStyle w:val="naiskr"/>
              <w:spacing w:before="0" w:after="0"/>
              <w:ind w:left="57" w:right="57"/>
            </w:pPr>
            <w:r w:rsidRPr="00DA478B">
              <w:t>Cita informācija</w:t>
            </w:r>
          </w:p>
        </w:tc>
        <w:tc>
          <w:tcPr>
            <w:tcW w:w="5975" w:type="dxa"/>
          </w:tcPr>
          <w:p w:rsidR="00CA7856" w:rsidRPr="00DA478B" w:rsidRDefault="00CA7856" w:rsidP="002A5911">
            <w:pPr>
              <w:spacing w:after="120"/>
              <w:jc w:val="both"/>
              <w:rPr>
                <w:rFonts w:eastAsia="Times New Roman"/>
                <w:sz w:val="24"/>
                <w:szCs w:val="24"/>
                <w:lang w:eastAsia="lv-LV"/>
              </w:rPr>
            </w:pPr>
            <w:r w:rsidRPr="00DA478B">
              <w:rPr>
                <w:rFonts w:eastAsia="Times New Roman"/>
                <w:sz w:val="24"/>
                <w:szCs w:val="24"/>
                <w:lang w:eastAsia="lv-LV"/>
              </w:rPr>
              <w:t>Nav.</w:t>
            </w:r>
          </w:p>
        </w:tc>
      </w:tr>
    </w:tbl>
    <w:p w:rsidR="00CA7856" w:rsidRPr="00DA478B" w:rsidRDefault="00CA7856" w:rsidP="00CA7856">
      <w:pPr>
        <w:pStyle w:val="naisf"/>
        <w:tabs>
          <w:tab w:val="left" w:pos="5760"/>
        </w:tabs>
        <w:spacing w:before="0" w:after="0"/>
        <w:ind w:firstLine="720"/>
        <w:rPr>
          <w:i/>
        </w:rPr>
      </w:pPr>
    </w:p>
    <w:p w:rsidR="00CA7856" w:rsidRPr="004B7481" w:rsidRDefault="00CA7856" w:rsidP="00CA7856">
      <w:pPr>
        <w:jc w:val="both"/>
        <w:rPr>
          <w:rFonts w:eastAsia="Times New Roman"/>
          <w:sz w:val="24"/>
          <w:szCs w:val="24"/>
          <w:lang w:eastAsia="lv-LV"/>
        </w:rPr>
      </w:pPr>
      <w:r w:rsidRPr="004B7481">
        <w:rPr>
          <w:rFonts w:eastAsia="Times New Roman"/>
          <w:sz w:val="24"/>
          <w:szCs w:val="24"/>
          <w:lang w:eastAsia="lv-LV"/>
        </w:rPr>
        <w:t xml:space="preserve">Anotācijas </w:t>
      </w:r>
      <w:r w:rsidR="008F120A">
        <w:rPr>
          <w:rFonts w:eastAsia="Times New Roman"/>
          <w:sz w:val="24"/>
          <w:szCs w:val="24"/>
          <w:lang w:eastAsia="lv-LV"/>
        </w:rPr>
        <w:t xml:space="preserve">III, </w:t>
      </w:r>
      <w:r w:rsidRPr="004B7481">
        <w:rPr>
          <w:rFonts w:eastAsia="Times New Roman"/>
          <w:sz w:val="24"/>
          <w:szCs w:val="24"/>
          <w:lang w:eastAsia="lv-LV"/>
        </w:rPr>
        <w:t>V un VI sadaļa – projekts šīs jomas neskar.</w:t>
      </w:r>
    </w:p>
    <w:p w:rsidR="00CA7856" w:rsidRDefault="00CA7856" w:rsidP="00CA7856">
      <w:pPr>
        <w:jc w:val="both"/>
        <w:rPr>
          <w:sz w:val="24"/>
          <w:szCs w:val="24"/>
        </w:rPr>
      </w:pPr>
    </w:p>
    <w:p w:rsidR="00CA7856" w:rsidRPr="00DA478B" w:rsidRDefault="00CA7856" w:rsidP="00CA7856">
      <w:pPr>
        <w:jc w:val="both"/>
        <w:rPr>
          <w:sz w:val="24"/>
          <w:szCs w:val="24"/>
        </w:rPr>
      </w:pPr>
    </w:p>
    <w:p w:rsidR="00CA7856" w:rsidRPr="00DA478B" w:rsidRDefault="00CA7856" w:rsidP="00CA7856">
      <w:pPr>
        <w:jc w:val="both"/>
        <w:rPr>
          <w:sz w:val="24"/>
          <w:szCs w:val="24"/>
        </w:rPr>
      </w:pPr>
    </w:p>
    <w:p w:rsidR="00CA7856" w:rsidRDefault="00CA7856" w:rsidP="00CA7856">
      <w:pPr>
        <w:jc w:val="both"/>
        <w:rPr>
          <w:sz w:val="24"/>
          <w:szCs w:val="24"/>
        </w:rPr>
      </w:pPr>
      <w:r w:rsidRPr="00DA478B">
        <w:rPr>
          <w:sz w:val="24"/>
          <w:szCs w:val="24"/>
        </w:rPr>
        <w:t>Vides aizsa</w:t>
      </w:r>
      <w:r>
        <w:rPr>
          <w:sz w:val="24"/>
          <w:szCs w:val="24"/>
        </w:rPr>
        <w:t>rdzības un reģionālās</w:t>
      </w:r>
    </w:p>
    <w:p w:rsidR="00CA7856" w:rsidRPr="00DA478B" w:rsidRDefault="00CA7856" w:rsidP="00CA7856">
      <w:pPr>
        <w:tabs>
          <w:tab w:val="left" w:pos="6930"/>
        </w:tabs>
        <w:jc w:val="both"/>
        <w:rPr>
          <w:sz w:val="24"/>
          <w:szCs w:val="24"/>
        </w:rPr>
      </w:pPr>
      <w:r>
        <w:rPr>
          <w:sz w:val="24"/>
          <w:szCs w:val="24"/>
        </w:rPr>
        <w:t>attīstības ministrs</w:t>
      </w:r>
      <w:r w:rsidRPr="00DA478B">
        <w:rPr>
          <w:sz w:val="24"/>
          <w:szCs w:val="24"/>
        </w:rPr>
        <w:t xml:space="preserve"> </w:t>
      </w:r>
      <w:r>
        <w:rPr>
          <w:sz w:val="24"/>
          <w:szCs w:val="24"/>
        </w:rPr>
        <w:tab/>
        <w:t xml:space="preserve">  K.Gerhards</w:t>
      </w:r>
    </w:p>
    <w:p w:rsidR="00CA7856" w:rsidRDefault="00CA7856" w:rsidP="00CA7856">
      <w:pPr>
        <w:jc w:val="both"/>
        <w:rPr>
          <w:sz w:val="24"/>
          <w:szCs w:val="24"/>
        </w:rPr>
      </w:pPr>
      <w:r w:rsidRPr="00DA478B">
        <w:rPr>
          <w:sz w:val="24"/>
          <w:szCs w:val="24"/>
        </w:rPr>
        <w:tab/>
      </w:r>
      <w:r w:rsidRPr="00DA478B">
        <w:rPr>
          <w:sz w:val="24"/>
          <w:szCs w:val="24"/>
        </w:rPr>
        <w:tab/>
      </w:r>
      <w:r w:rsidRPr="00DA478B">
        <w:rPr>
          <w:sz w:val="24"/>
          <w:szCs w:val="24"/>
        </w:rPr>
        <w:tab/>
      </w:r>
      <w:r w:rsidRPr="00DA478B">
        <w:rPr>
          <w:sz w:val="24"/>
          <w:szCs w:val="24"/>
        </w:rPr>
        <w:tab/>
      </w:r>
      <w:r w:rsidRPr="00DA478B">
        <w:rPr>
          <w:sz w:val="24"/>
          <w:szCs w:val="24"/>
        </w:rPr>
        <w:tab/>
      </w:r>
      <w:r w:rsidRPr="00DA478B">
        <w:rPr>
          <w:sz w:val="24"/>
          <w:szCs w:val="24"/>
        </w:rPr>
        <w:tab/>
      </w:r>
      <w:r w:rsidRPr="00DA478B">
        <w:rPr>
          <w:sz w:val="24"/>
          <w:szCs w:val="24"/>
        </w:rPr>
        <w:tab/>
      </w:r>
      <w:r w:rsidRPr="00DA478B">
        <w:rPr>
          <w:sz w:val="24"/>
          <w:szCs w:val="24"/>
        </w:rPr>
        <w:tab/>
      </w:r>
    </w:p>
    <w:p w:rsidR="00CA7856" w:rsidRDefault="00CA7856" w:rsidP="00CA7856">
      <w:pPr>
        <w:rPr>
          <w:sz w:val="24"/>
          <w:szCs w:val="24"/>
        </w:rPr>
      </w:pPr>
    </w:p>
    <w:p w:rsidR="00CA7856" w:rsidRDefault="00CA7856" w:rsidP="00CA7856">
      <w:pPr>
        <w:rPr>
          <w:sz w:val="24"/>
          <w:szCs w:val="24"/>
        </w:rPr>
      </w:pPr>
    </w:p>
    <w:p w:rsidR="00CA7856" w:rsidRDefault="00CA7856" w:rsidP="00CA7856">
      <w:pPr>
        <w:rPr>
          <w:sz w:val="24"/>
          <w:szCs w:val="24"/>
        </w:rPr>
      </w:pPr>
    </w:p>
    <w:p w:rsidR="00CA7856" w:rsidRDefault="00CA7856" w:rsidP="00CA7856">
      <w:pPr>
        <w:rPr>
          <w:sz w:val="24"/>
          <w:szCs w:val="24"/>
        </w:rPr>
      </w:pPr>
    </w:p>
    <w:p w:rsidR="00CA7856" w:rsidRPr="00DA478B" w:rsidRDefault="00CA7856" w:rsidP="00CA7856">
      <w:pPr>
        <w:rPr>
          <w:sz w:val="24"/>
          <w:szCs w:val="24"/>
        </w:rPr>
      </w:pPr>
      <w:r w:rsidRPr="00DA478B">
        <w:rPr>
          <w:sz w:val="24"/>
          <w:szCs w:val="24"/>
        </w:rPr>
        <w:t>Vīza:</w:t>
      </w:r>
    </w:p>
    <w:p w:rsidR="00CA7856" w:rsidRPr="00DA478B" w:rsidRDefault="00CA7856" w:rsidP="00CA7856">
      <w:pPr>
        <w:rPr>
          <w:sz w:val="24"/>
          <w:szCs w:val="24"/>
        </w:rPr>
      </w:pPr>
      <w:r w:rsidRPr="00DA478B">
        <w:rPr>
          <w:sz w:val="24"/>
          <w:szCs w:val="24"/>
        </w:rPr>
        <w:t xml:space="preserve">Vides aizsardzības un reģionālās attīstības </w:t>
      </w:r>
    </w:p>
    <w:p w:rsidR="00924CA4" w:rsidRPr="00924CA4" w:rsidRDefault="00CA7856" w:rsidP="00924CA4">
      <w:pPr>
        <w:rPr>
          <w:sz w:val="24"/>
          <w:szCs w:val="24"/>
        </w:rPr>
      </w:pPr>
      <w:r w:rsidRPr="00DA478B">
        <w:rPr>
          <w:sz w:val="24"/>
          <w:szCs w:val="24"/>
        </w:rPr>
        <w:t>min</w:t>
      </w:r>
      <w:r>
        <w:rPr>
          <w:sz w:val="24"/>
          <w:szCs w:val="24"/>
        </w:rPr>
        <w:t xml:space="preserve">istrijas </w:t>
      </w:r>
      <w:r w:rsidR="00924CA4" w:rsidRPr="00924CA4">
        <w:rPr>
          <w:sz w:val="24"/>
          <w:szCs w:val="24"/>
        </w:rPr>
        <w:t xml:space="preserve">valsts sekretāra p.i. </w:t>
      </w:r>
    </w:p>
    <w:p w:rsidR="00924CA4" w:rsidRPr="00924CA4" w:rsidRDefault="00924CA4" w:rsidP="00924CA4">
      <w:pPr>
        <w:rPr>
          <w:sz w:val="24"/>
          <w:szCs w:val="24"/>
        </w:rPr>
      </w:pPr>
      <w:r w:rsidRPr="00924CA4">
        <w:rPr>
          <w:sz w:val="24"/>
          <w:szCs w:val="24"/>
        </w:rPr>
        <w:t xml:space="preserve">administrācijas vadītāja                                  </w:t>
      </w:r>
      <w:r>
        <w:rPr>
          <w:sz w:val="24"/>
          <w:szCs w:val="24"/>
        </w:rPr>
        <w:tab/>
      </w:r>
      <w:r>
        <w:rPr>
          <w:sz w:val="24"/>
          <w:szCs w:val="24"/>
        </w:rPr>
        <w:tab/>
      </w:r>
      <w:r>
        <w:rPr>
          <w:sz w:val="24"/>
          <w:szCs w:val="24"/>
        </w:rPr>
        <w:tab/>
      </w:r>
      <w:r>
        <w:rPr>
          <w:sz w:val="24"/>
          <w:szCs w:val="24"/>
        </w:rPr>
        <w:tab/>
      </w:r>
      <w:r w:rsidRPr="00924CA4">
        <w:rPr>
          <w:sz w:val="24"/>
          <w:szCs w:val="24"/>
        </w:rPr>
        <w:tab/>
        <w:t>E.Turka</w:t>
      </w:r>
    </w:p>
    <w:p w:rsidR="00CA7856" w:rsidRPr="00DA478B" w:rsidRDefault="00CA7856" w:rsidP="00CA785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CA7856" w:rsidRPr="00DA478B" w:rsidRDefault="00CA7856" w:rsidP="00CA7856">
      <w:pPr>
        <w:jc w:val="both"/>
        <w:rPr>
          <w:sz w:val="24"/>
          <w:szCs w:val="24"/>
        </w:rPr>
      </w:pPr>
    </w:p>
    <w:p w:rsidR="00CA7856" w:rsidRPr="00DA478B" w:rsidRDefault="00CA7856" w:rsidP="00CA7856">
      <w:pPr>
        <w:jc w:val="both"/>
        <w:rPr>
          <w:sz w:val="24"/>
          <w:szCs w:val="24"/>
        </w:rPr>
      </w:pPr>
    </w:p>
    <w:p w:rsidR="00CA7856" w:rsidRPr="00DA478B" w:rsidRDefault="00CA7856" w:rsidP="00CA7856">
      <w:pPr>
        <w:rPr>
          <w:sz w:val="24"/>
          <w:szCs w:val="24"/>
        </w:rPr>
      </w:pPr>
    </w:p>
    <w:p w:rsidR="00CA7856" w:rsidRPr="00DA478B" w:rsidRDefault="00CA7856" w:rsidP="00CA7856">
      <w:pPr>
        <w:rPr>
          <w:sz w:val="24"/>
          <w:szCs w:val="24"/>
        </w:rPr>
      </w:pPr>
    </w:p>
    <w:p w:rsidR="00CA7856" w:rsidRPr="00DA478B" w:rsidRDefault="00CA7856" w:rsidP="00CA7856">
      <w:pPr>
        <w:rPr>
          <w:sz w:val="24"/>
          <w:szCs w:val="24"/>
        </w:rPr>
      </w:pPr>
    </w:p>
    <w:p w:rsidR="00CA7856" w:rsidRDefault="00CA7856" w:rsidP="00CA7856"/>
    <w:p w:rsidR="00CA7856" w:rsidRDefault="00CA7856" w:rsidP="00CA7856"/>
    <w:p w:rsidR="00CA7856" w:rsidRDefault="00CA7856" w:rsidP="00CA7856"/>
    <w:p w:rsidR="00CA7856" w:rsidRDefault="00CA7856" w:rsidP="00CA7856"/>
    <w:p w:rsidR="00CA7856" w:rsidRDefault="00CA7856" w:rsidP="00CA7856"/>
    <w:p w:rsidR="00CA7856" w:rsidRDefault="00CA7856" w:rsidP="00CA7856"/>
    <w:p w:rsidR="00CA7856" w:rsidRDefault="00CA7856" w:rsidP="00CA7856"/>
    <w:p w:rsidR="00CA7856" w:rsidRDefault="00CA7856" w:rsidP="00CA7856"/>
    <w:p w:rsidR="00CA7856" w:rsidRDefault="00CA7856" w:rsidP="00CA7856"/>
    <w:p w:rsidR="00CA7856" w:rsidRDefault="00CA7856" w:rsidP="00CA7856"/>
    <w:p w:rsidR="00CA7856" w:rsidRDefault="00CA7856" w:rsidP="00CA7856"/>
    <w:p w:rsidR="007668B2" w:rsidRDefault="00AA1197" w:rsidP="00CA7856">
      <w:pPr>
        <w:pStyle w:val="Footer"/>
        <w:jc w:val="both"/>
      </w:pPr>
      <w:r>
        <w:t>13</w:t>
      </w:r>
      <w:r w:rsidR="008274A9">
        <w:t>.05</w:t>
      </w:r>
      <w:r w:rsidR="007668B2">
        <w:t>.2015</w:t>
      </w:r>
      <w:r w:rsidR="00CA7856">
        <w:t>.</w:t>
      </w:r>
    </w:p>
    <w:p w:rsidR="00CA7856" w:rsidRDefault="00C44F16" w:rsidP="00CA7856">
      <w:pPr>
        <w:pStyle w:val="Footer"/>
        <w:jc w:val="both"/>
      </w:pPr>
      <w:r>
        <w:t>1</w:t>
      </w:r>
      <w:r w:rsidR="00924CA4">
        <w:t>457</w:t>
      </w:r>
    </w:p>
    <w:p w:rsidR="005964CA" w:rsidRDefault="007668B2" w:rsidP="007668B2">
      <w:pPr>
        <w:tabs>
          <w:tab w:val="left" w:pos="3135"/>
        </w:tabs>
      </w:pPr>
      <w:r>
        <w:t>V.Obersts,</w:t>
      </w:r>
    </w:p>
    <w:p w:rsidR="00CA7856" w:rsidRDefault="007668B2" w:rsidP="007668B2">
      <w:pPr>
        <w:tabs>
          <w:tab w:val="left" w:pos="3135"/>
        </w:tabs>
      </w:pPr>
      <w:r>
        <w:t xml:space="preserve"> </w:t>
      </w:r>
      <w:r w:rsidR="00CA7856">
        <w:t>66016591,</w:t>
      </w:r>
      <w:r w:rsidR="00CA7856" w:rsidRPr="007668B2">
        <w:t xml:space="preserve"> </w:t>
      </w:r>
      <w:hyperlink r:id="rId6" w:history="1">
        <w:r w:rsidR="00CA7856" w:rsidRPr="007668B2">
          <w:rPr>
            <w:rStyle w:val="Hyperlink"/>
            <w:color w:val="000000" w:themeColor="text1"/>
            <w:u w:val="none"/>
          </w:rPr>
          <w:t>viesturs.obersts @varam.gov.lv</w:t>
        </w:r>
      </w:hyperlink>
    </w:p>
    <w:p w:rsidR="00CA7856" w:rsidRDefault="00CA7856" w:rsidP="00CA7856"/>
    <w:p w:rsidR="00E92695" w:rsidRDefault="00E92695"/>
    <w:sectPr w:rsidR="00E92695" w:rsidSect="002A5911">
      <w:headerReference w:type="default" r:id="rId7"/>
      <w:footerReference w:type="default" r:id="rId8"/>
      <w:footerReference w:type="first" r:id="rId9"/>
      <w:pgSz w:w="11906" w:h="16838"/>
      <w:pgMar w:top="1134" w:right="1134" w:bottom="1276"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8A" w:rsidRDefault="003A548A" w:rsidP="001B000B">
      <w:r>
        <w:separator/>
      </w:r>
    </w:p>
  </w:endnote>
  <w:endnote w:type="continuationSeparator" w:id="0">
    <w:p w:rsidR="003A548A" w:rsidRDefault="003A548A" w:rsidP="001B0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A" w:rsidRPr="004B2BFE" w:rsidRDefault="003A548A" w:rsidP="002A5911">
    <w:pPr>
      <w:pStyle w:val="Footer"/>
      <w:jc w:val="both"/>
    </w:pPr>
    <w:r>
      <w:rPr>
        <w:snapToGrid w:val="0"/>
      </w:rPr>
      <w:t>VARAMa</w:t>
    </w:r>
    <w:r w:rsidRPr="004B2BFE">
      <w:rPr>
        <w:snapToGrid w:val="0"/>
      </w:rPr>
      <w:t>not_</w:t>
    </w:r>
    <w:r w:rsidR="00AA1197">
      <w:rPr>
        <w:snapToGrid w:val="0"/>
      </w:rPr>
      <w:t>13</w:t>
    </w:r>
    <w:r w:rsidR="008274A9">
      <w:rPr>
        <w:snapToGrid w:val="0"/>
      </w:rPr>
      <w:t>05</w:t>
    </w:r>
    <w:r>
      <w:rPr>
        <w:snapToGrid w:val="0"/>
      </w:rPr>
      <w:t>15</w:t>
    </w:r>
    <w:r w:rsidRPr="004B2BFE">
      <w:rPr>
        <w:snapToGrid w:val="0"/>
      </w:rPr>
      <w:t>_</w:t>
    </w:r>
    <w:r>
      <w:rPr>
        <w:snapToGrid w:val="0"/>
      </w:rPr>
      <w:t>Rezekne_n</w:t>
    </w:r>
    <w:r w:rsidRPr="004B2BFE">
      <w:t xml:space="preserve">; </w:t>
    </w:r>
    <w:r w:rsidRPr="00701BA7">
      <w:t>Minis</w:t>
    </w:r>
    <w:r>
      <w:t>tru kabineta rīkojuma projekta ”</w:t>
    </w:r>
    <w:r w:rsidRPr="00AB2211">
      <w:t xml:space="preserve">Par </w:t>
    </w:r>
    <w:r>
      <w:t>valsts nekustamā īpašuma nodošanu Rēzeknes novada pašvaldības īpašumā”</w:t>
    </w:r>
    <w:r w:rsidRPr="00701BA7">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A" w:rsidRPr="00701BA7" w:rsidRDefault="003A548A">
    <w:pPr>
      <w:pStyle w:val="Footer"/>
      <w:jc w:val="both"/>
    </w:pPr>
    <w:r>
      <w:rPr>
        <w:snapToGrid w:val="0"/>
      </w:rPr>
      <w:t>VARAMa</w:t>
    </w:r>
    <w:r w:rsidRPr="004B2BFE">
      <w:rPr>
        <w:snapToGrid w:val="0"/>
      </w:rPr>
      <w:t>not_</w:t>
    </w:r>
    <w:r w:rsidR="00AA1197">
      <w:rPr>
        <w:snapToGrid w:val="0"/>
      </w:rPr>
      <w:t>13</w:t>
    </w:r>
    <w:r w:rsidR="008274A9">
      <w:rPr>
        <w:snapToGrid w:val="0"/>
      </w:rPr>
      <w:t>05</w:t>
    </w:r>
    <w:r>
      <w:rPr>
        <w:snapToGrid w:val="0"/>
      </w:rPr>
      <w:t>15</w:t>
    </w:r>
    <w:r w:rsidRPr="004B2BFE">
      <w:rPr>
        <w:snapToGrid w:val="0"/>
      </w:rPr>
      <w:t>_</w:t>
    </w:r>
    <w:r>
      <w:rPr>
        <w:snapToGrid w:val="0"/>
      </w:rPr>
      <w:t>Rezekne_n</w:t>
    </w:r>
    <w:r w:rsidRPr="004B2BFE">
      <w:t xml:space="preserve">; </w:t>
    </w:r>
    <w:r w:rsidRPr="00701BA7">
      <w:t>Minis</w:t>
    </w:r>
    <w:r>
      <w:t>tru kabineta rīkojuma projekta ”</w:t>
    </w:r>
    <w:r w:rsidRPr="00AB2211">
      <w:t xml:space="preserve">Par </w:t>
    </w:r>
    <w:r>
      <w:t>valsts nekustamā īpašuma nodošanu Rēzeknes novada pašvaldības īpašumā”</w:t>
    </w:r>
    <w:r w:rsidRPr="00701BA7">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8A" w:rsidRDefault="003A548A" w:rsidP="001B000B">
      <w:r>
        <w:separator/>
      </w:r>
    </w:p>
  </w:footnote>
  <w:footnote w:type="continuationSeparator" w:id="0">
    <w:p w:rsidR="003A548A" w:rsidRDefault="003A548A" w:rsidP="001B0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8A" w:rsidRDefault="0038039D">
    <w:pPr>
      <w:pStyle w:val="Header"/>
      <w:jc w:val="center"/>
      <w:rPr>
        <w:sz w:val="24"/>
      </w:rPr>
    </w:pPr>
    <w:r>
      <w:rPr>
        <w:sz w:val="24"/>
      </w:rPr>
      <w:fldChar w:fldCharType="begin"/>
    </w:r>
    <w:r w:rsidR="003A548A">
      <w:rPr>
        <w:sz w:val="24"/>
      </w:rPr>
      <w:instrText xml:space="preserve"> PAGE   \* MERGEFORMAT </w:instrText>
    </w:r>
    <w:r>
      <w:rPr>
        <w:sz w:val="24"/>
      </w:rPr>
      <w:fldChar w:fldCharType="separate"/>
    </w:r>
    <w:r w:rsidR="00285A05">
      <w:rPr>
        <w:noProof/>
        <w:sz w:val="24"/>
      </w:rPr>
      <w:t>5</w:t>
    </w:r>
    <w:r>
      <w:rPr>
        <w:sz w:val="24"/>
      </w:rPr>
      <w:fldChar w:fldCharType="end"/>
    </w:r>
  </w:p>
  <w:p w:rsidR="003A548A" w:rsidRDefault="003A54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CA7856"/>
    <w:rsid w:val="000740F8"/>
    <w:rsid w:val="000A7601"/>
    <w:rsid w:val="0016528F"/>
    <w:rsid w:val="001B000B"/>
    <w:rsid w:val="00285A05"/>
    <w:rsid w:val="002A5911"/>
    <w:rsid w:val="00304C7A"/>
    <w:rsid w:val="00326847"/>
    <w:rsid w:val="00366955"/>
    <w:rsid w:val="00376756"/>
    <w:rsid w:val="0038039D"/>
    <w:rsid w:val="003A548A"/>
    <w:rsid w:val="003D267D"/>
    <w:rsid w:val="00460FDB"/>
    <w:rsid w:val="00504FFC"/>
    <w:rsid w:val="005964CA"/>
    <w:rsid w:val="005B7D47"/>
    <w:rsid w:val="00665C6E"/>
    <w:rsid w:val="00673DE7"/>
    <w:rsid w:val="006C4149"/>
    <w:rsid w:val="006E6B13"/>
    <w:rsid w:val="006F237A"/>
    <w:rsid w:val="007668B2"/>
    <w:rsid w:val="007D5A3C"/>
    <w:rsid w:val="008274A9"/>
    <w:rsid w:val="008F120A"/>
    <w:rsid w:val="00924CA4"/>
    <w:rsid w:val="0096123A"/>
    <w:rsid w:val="00962411"/>
    <w:rsid w:val="0099254F"/>
    <w:rsid w:val="009F19E4"/>
    <w:rsid w:val="00A33A3B"/>
    <w:rsid w:val="00A61ACF"/>
    <w:rsid w:val="00A70A67"/>
    <w:rsid w:val="00AA1197"/>
    <w:rsid w:val="00AE0D2F"/>
    <w:rsid w:val="00B15D5C"/>
    <w:rsid w:val="00B911C5"/>
    <w:rsid w:val="00BB7C24"/>
    <w:rsid w:val="00C01F40"/>
    <w:rsid w:val="00C44F16"/>
    <w:rsid w:val="00CA7856"/>
    <w:rsid w:val="00D32261"/>
    <w:rsid w:val="00D37735"/>
    <w:rsid w:val="00DD68F6"/>
    <w:rsid w:val="00DE39EF"/>
    <w:rsid w:val="00E57C67"/>
    <w:rsid w:val="00E63C94"/>
    <w:rsid w:val="00E64236"/>
    <w:rsid w:val="00E745B7"/>
    <w:rsid w:val="00E92695"/>
    <w:rsid w:val="00ED48DF"/>
    <w:rsid w:val="00F52AE8"/>
    <w:rsid w:val="00F553F1"/>
    <w:rsid w:val="00FD5B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5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A7856"/>
    <w:pPr>
      <w:tabs>
        <w:tab w:val="center" w:pos="4153"/>
        <w:tab w:val="right" w:pos="8306"/>
      </w:tabs>
    </w:pPr>
  </w:style>
  <w:style w:type="character" w:customStyle="1" w:styleId="FooterChar">
    <w:name w:val="Footer Char"/>
    <w:basedOn w:val="DefaultParagraphFont"/>
    <w:link w:val="Footer"/>
    <w:rsid w:val="00CA7856"/>
    <w:rPr>
      <w:rFonts w:ascii="Times New Roman" w:eastAsia="Calibri" w:hAnsi="Times New Roman" w:cs="Times New Roman"/>
      <w:sz w:val="20"/>
      <w:szCs w:val="20"/>
    </w:rPr>
  </w:style>
  <w:style w:type="paragraph" w:styleId="Header">
    <w:name w:val="header"/>
    <w:basedOn w:val="Normal"/>
    <w:link w:val="HeaderChar"/>
    <w:unhideWhenUsed/>
    <w:rsid w:val="00CA7856"/>
    <w:pPr>
      <w:tabs>
        <w:tab w:val="center" w:pos="4153"/>
        <w:tab w:val="right" w:pos="8306"/>
      </w:tabs>
    </w:pPr>
  </w:style>
  <w:style w:type="character" w:customStyle="1" w:styleId="HeaderChar">
    <w:name w:val="Header Char"/>
    <w:basedOn w:val="DefaultParagraphFont"/>
    <w:link w:val="Header"/>
    <w:rsid w:val="00CA7856"/>
    <w:rPr>
      <w:rFonts w:ascii="Times New Roman" w:eastAsia="Calibri" w:hAnsi="Times New Roman" w:cs="Times New Roman"/>
      <w:sz w:val="20"/>
      <w:szCs w:val="20"/>
    </w:rPr>
  </w:style>
  <w:style w:type="paragraph" w:styleId="BodyText2">
    <w:name w:val="Body Text 2"/>
    <w:basedOn w:val="Normal"/>
    <w:link w:val="BodyText2Char"/>
    <w:semiHidden/>
    <w:rsid w:val="00CA7856"/>
    <w:pPr>
      <w:jc w:val="center"/>
    </w:pPr>
    <w:rPr>
      <w:b/>
      <w:sz w:val="28"/>
    </w:rPr>
  </w:style>
  <w:style w:type="character" w:customStyle="1" w:styleId="BodyText2Char">
    <w:name w:val="Body Text 2 Char"/>
    <w:basedOn w:val="DefaultParagraphFont"/>
    <w:link w:val="BodyText2"/>
    <w:semiHidden/>
    <w:rsid w:val="00CA7856"/>
    <w:rPr>
      <w:rFonts w:ascii="Times New Roman" w:eastAsia="Calibri" w:hAnsi="Times New Roman" w:cs="Times New Roman"/>
      <w:b/>
      <w:sz w:val="28"/>
      <w:szCs w:val="20"/>
    </w:rPr>
  </w:style>
  <w:style w:type="character" w:styleId="Hyperlink">
    <w:name w:val="Hyperlink"/>
    <w:rsid w:val="00CA7856"/>
    <w:rPr>
      <w:rFonts w:cs="Times New Roman"/>
      <w:color w:val="0000FF"/>
      <w:u w:val="single"/>
    </w:rPr>
  </w:style>
  <w:style w:type="paragraph" w:customStyle="1" w:styleId="naiskr">
    <w:name w:val="naiskr"/>
    <w:basedOn w:val="Normal"/>
    <w:rsid w:val="00CA7856"/>
    <w:pPr>
      <w:spacing w:before="75" w:after="75"/>
    </w:pPr>
    <w:rPr>
      <w:sz w:val="24"/>
      <w:szCs w:val="24"/>
      <w:lang w:eastAsia="lv-LV"/>
    </w:rPr>
  </w:style>
  <w:style w:type="paragraph" w:customStyle="1" w:styleId="naisf">
    <w:name w:val="naisf"/>
    <w:basedOn w:val="Normal"/>
    <w:rsid w:val="00CA7856"/>
    <w:pPr>
      <w:spacing w:before="75" w:after="75"/>
      <w:ind w:firstLine="375"/>
      <w:jc w:val="both"/>
    </w:pPr>
    <w:rPr>
      <w:rFonts w:eastAsia="Times New Roman"/>
      <w:sz w:val="24"/>
      <w:szCs w:val="24"/>
      <w:lang w:eastAsia="lv-LV"/>
    </w:rPr>
  </w:style>
  <w:style w:type="paragraph" w:customStyle="1" w:styleId="naisnod">
    <w:name w:val="naisnod"/>
    <w:basedOn w:val="Normal"/>
    <w:rsid w:val="00CA7856"/>
    <w:pPr>
      <w:spacing w:before="150" w:after="150"/>
      <w:jc w:val="center"/>
    </w:pPr>
    <w:rPr>
      <w:rFonts w:eastAsia="Times New Roman"/>
      <w:b/>
      <w:bCs/>
      <w:sz w:val="24"/>
      <w:szCs w:val="24"/>
      <w:lang w:eastAsia="lv-LV"/>
    </w:rPr>
  </w:style>
  <w:style w:type="table" w:styleId="TableGrid">
    <w:name w:val="Table Grid"/>
    <w:basedOn w:val="TableNormal"/>
    <w:uiPriority w:val="59"/>
    <w:rsid w:val="00B9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va.busmeistere@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cp:revision>
  <dcterms:created xsi:type="dcterms:W3CDTF">2015-05-26T07:47:00Z</dcterms:created>
  <dcterms:modified xsi:type="dcterms:W3CDTF">2015-05-26T07:47:00Z</dcterms:modified>
  <cp:contentStatus/>
</cp:coreProperties>
</file>