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E6" w:rsidRPr="00B351EB" w:rsidRDefault="00735F4D" w:rsidP="00760A89">
      <w:pPr>
        <w:jc w:val="center"/>
        <w:rPr>
          <w:b/>
          <w:lang w:val="lv-LV"/>
        </w:rPr>
      </w:pPr>
      <w:bookmarkStart w:id="0" w:name="OLE_LINK7"/>
      <w:bookmarkStart w:id="1" w:name="OLE_LINK8"/>
      <w:r w:rsidRPr="00B351EB">
        <w:rPr>
          <w:b/>
          <w:lang w:val="lv-LV"/>
        </w:rPr>
        <w:t xml:space="preserve">Ministru kabineta noteikumu projekta </w:t>
      </w:r>
    </w:p>
    <w:p w:rsidR="00735F4D" w:rsidRPr="00B351EB" w:rsidRDefault="00760A89" w:rsidP="00760A89">
      <w:pPr>
        <w:jc w:val="center"/>
        <w:rPr>
          <w:bCs/>
          <w:lang w:val="lv-LV"/>
        </w:rPr>
      </w:pPr>
      <w:r w:rsidRPr="00B351EB">
        <w:rPr>
          <w:b/>
          <w:lang w:val="lv-LV"/>
        </w:rPr>
        <w:t>„</w:t>
      </w:r>
      <w:r w:rsidRPr="00B351EB">
        <w:rPr>
          <w:b/>
          <w:iCs/>
          <w:lang w:val="lv-LV"/>
        </w:rPr>
        <w:t xml:space="preserve">Dzīvnieku liemeņu klasifikācijas noteikumi” </w:t>
      </w:r>
    </w:p>
    <w:p w:rsidR="00735F4D" w:rsidRPr="00B351EB" w:rsidRDefault="00735F4D" w:rsidP="00023845">
      <w:pPr>
        <w:jc w:val="center"/>
        <w:rPr>
          <w:b/>
          <w:lang w:val="lv-LV"/>
        </w:rPr>
      </w:pPr>
      <w:r w:rsidRPr="00B351EB">
        <w:rPr>
          <w:b/>
          <w:lang w:val="lv-LV"/>
        </w:rPr>
        <w:t>sākotnējās ietekmes novērtējuma ziņojums (anotācija)</w:t>
      </w:r>
    </w:p>
    <w:p w:rsidR="002F1F81" w:rsidRPr="00091A1D" w:rsidRDefault="002F1F81" w:rsidP="00023845">
      <w:pPr>
        <w:jc w:val="center"/>
        <w:rPr>
          <w:b/>
          <w:sz w:val="28"/>
          <w:szCs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735F4D" w:rsidRPr="001C6F01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735F4D" w:rsidRPr="00091A1D" w:rsidRDefault="00735F4D" w:rsidP="005D73DE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091A1D">
              <w:rPr>
                <w:b/>
                <w:bCs/>
                <w:color w:val="000000"/>
                <w:lang w:val="lv-LV" w:eastAsia="lv-LV"/>
              </w:rPr>
              <w:t>I. Tiesību akta projekta izstrādes nepieciešamība</w:t>
            </w:r>
          </w:p>
        </w:tc>
      </w:tr>
      <w:tr w:rsidR="00735F4D" w:rsidRPr="0060677D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735F4D" w:rsidRPr="00091A1D" w:rsidRDefault="00735F4D" w:rsidP="002C45E9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lang w:val="lv-LV"/>
              </w:rPr>
              <w:t>Pārtikas aprites uzraudzības likuma 4.panta ceturtā daļa un trīspadsmitā daļa</w:t>
            </w:r>
            <w:r w:rsidR="001C6F01">
              <w:rPr>
                <w:lang w:val="lv-LV"/>
              </w:rPr>
              <w:t xml:space="preserve"> un</w:t>
            </w:r>
            <w:r w:rsidRPr="00091A1D">
              <w:rPr>
                <w:lang w:val="lv-LV"/>
              </w:rPr>
              <w:t xml:space="preserve"> 13.panta </w:t>
            </w:r>
            <w:r w:rsidR="00B13D78" w:rsidRPr="00091A1D">
              <w:rPr>
                <w:iCs/>
                <w:lang w:val="lv-LV"/>
              </w:rPr>
              <w:t>trešās daļas 3.punkts</w:t>
            </w:r>
            <w:r w:rsidR="002C45E9">
              <w:rPr>
                <w:iCs/>
                <w:lang w:val="lv-LV"/>
              </w:rPr>
              <w:t xml:space="preserve"> </w:t>
            </w:r>
            <w:r w:rsidRPr="00091A1D">
              <w:rPr>
                <w:lang w:val="lv-LV"/>
              </w:rPr>
              <w:t>un Lauksaimniecības un lauku attīstības likuma 13.panta pirmā daļa.</w:t>
            </w:r>
          </w:p>
        </w:tc>
      </w:tr>
      <w:tr w:rsidR="00735F4D" w:rsidRPr="001C6F01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 xml:space="preserve">Pašreizējā situācija </w:t>
            </w:r>
            <w:r w:rsidRPr="00091A1D">
              <w:rPr>
                <w:color w:val="000000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5577C4" w:rsidRPr="00F15EDF" w:rsidRDefault="001C6F01" w:rsidP="00F15EDF">
            <w:pPr>
              <w:pStyle w:val="Default"/>
              <w:jc w:val="both"/>
              <w:rPr>
                <w:lang w:val="lv-LV"/>
              </w:rPr>
            </w:pPr>
            <w:r>
              <w:rPr>
                <w:lang w:val="lv-LV"/>
              </w:rPr>
              <w:t>Patlaban</w:t>
            </w:r>
            <w:r w:rsidR="00735F4D" w:rsidRPr="00091A1D">
              <w:rPr>
                <w:lang w:val="lv-LV"/>
              </w:rPr>
              <w:t xml:space="preserve"> spēkā </w:t>
            </w:r>
            <w:r w:rsidR="005577C4" w:rsidRPr="00091A1D">
              <w:rPr>
                <w:lang w:val="lv-LV"/>
              </w:rPr>
              <w:t xml:space="preserve">ir </w:t>
            </w:r>
            <w:r w:rsidR="00735F4D" w:rsidRPr="00091A1D">
              <w:rPr>
                <w:lang w:val="lv-LV"/>
              </w:rPr>
              <w:t>Ministru kabineta</w:t>
            </w:r>
            <w:r w:rsidR="005577C4" w:rsidRPr="00091A1D">
              <w:rPr>
                <w:lang w:val="lv-LV"/>
              </w:rPr>
              <w:t xml:space="preserve"> 2009.gada 13.oktobra noteikumi</w:t>
            </w:r>
            <w:r w:rsidR="00735F4D" w:rsidRPr="00091A1D">
              <w:rPr>
                <w:lang w:val="lv-LV"/>
              </w:rPr>
              <w:t xml:space="preserve"> Nr.1171 „</w:t>
            </w:r>
            <w:r w:rsidR="00735F4D" w:rsidRPr="00091A1D">
              <w:rPr>
                <w:rStyle w:val="Izteiksmgs"/>
                <w:b w:val="0"/>
                <w:lang w:val="lv-LV"/>
              </w:rPr>
              <w:t>Noteikumi par dzīvnieku</w:t>
            </w:r>
            <w:r w:rsidR="00735F4D" w:rsidRPr="00091A1D">
              <w:rPr>
                <w:b/>
                <w:lang w:val="lv-LV"/>
              </w:rPr>
              <w:t xml:space="preserve"> </w:t>
            </w:r>
            <w:r w:rsidR="00735F4D" w:rsidRPr="00091A1D">
              <w:rPr>
                <w:rStyle w:val="Izteiksmgs"/>
                <w:b w:val="0"/>
                <w:lang w:val="lv-LV"/>
              </w:rPr>
              <w:t xml:space="preserve">liemeņu apstrādes kvalitāti, klasifikāciju un marķēšanu, kā arī kārtību, kādā tiek novērtēta dzīvnieku liemeņu atbilstība apstrādes kvalitātes un klasifikācijas prasībām un tiek vākta un apkopota </w:t>
            </w:r>
            <w:r w:rsidR="00735F4D" w:rsidRPr="00F15EDF">
              <w:rPr>
                <w:rStyle w:val="Izteiksmgs"/>
                <w:b w:val="0"/>
                <w:lang w:val="lv-LV"/>
              </w:rPr>
              <w:t>informācija par dzīvnieku liemeņu cenām”</w:t>
            </w:r>
            <w:r w:rsidR="00735F4D" w:rsidRPr="00F15EDF">
              <w:rPr>
                <w:bCs/>
                <w:lang w:val="lv-LV"/>
              </w:rPr>
              <w:t xml:space="preserve"> (turpmāk – noteikumi Nr.1171)</w:t>
            </w:r>
            <w:r w:rsidR="005577C4" w:rsidRPr="00F15EDF">
              <w:rPr>
                <w:bCs/>
                <w:lang w:val="lv-LV"/>
              </w:rPr>
              <w:t>.</w:t>
            </w:r>
            <w:r w:rsidR="00735F4D" w:rsidRPr="00F15EDF">
              <w:rPr>
                <w:lang w:val="lv-LV"/>
              </w:rPr>
              <w:t xml:space="preserve"> </w:t>
            </w:r>
          </w:p>
          <w:p w:rsidR="005577C4" w:rsidRPr="00F15EDF" w:rsidRDefault="001C6F01" w:rsidP="00F15EDF">
            <w:pPr>
              <w:pStyle w:val="Paraststmeklis"/>
              <w:tabs>
                <w:tab w:val="left" w:pos="2970"/>
              </w:tabs>
              <w:spacing w:before="0" w:beforeAutospacing="0" w:after="0" w:afterAutospacing="0"/>
              <w:jc w:val="both"/>
              <w:rPr>
                <w:rStyle w:val="Izteiksmgs"/>
                <w:b w:val="0"/>
                <w:lang w:val="lv-LV"/>
              </w:rPr>
            </w:pPr>
            <w:r>
              <w:rPr>
                <w:color w:val="000000"/>
                <w:lang w:val="lv-LV"/>
              </w:rPr>
              <w:t>Tā kā</w:t>
            </w:r>
            <w:r w:rsidR="00EF7F28" w:rsidRPr="00EE7988">
              <w:rPr>
                <w:color w:val="000000"/>
                <w:lang w:val="lv-LV"/>
              </w:rPr>
              <w:t xml:space="preserve"> </w:t>
            </w:r>
            <w:r w:rsidR="00EF7F28" w:rsidRPr="00AD4803">
              <w:rPr>
                <w:bCs/>
                <w:lang w:val="lv-LV"/>
              </w:rPr>
              <w:t>Saeima 2014.gada 23.oktobrī pieņēma likumu „Grozījumi Pārtikas aprites uzraudzības likumā”</w:t>
            </w:r>
            <w:r w:rsidR="00B13D78" w:rsidRPr="00F15EDF">
              <w:rPr>
                <w:lang w:val="lv-LV"/>
              </w:rPr>
              <w:t>, kurā</w:t>
            </w:r>
            <w:r w:rsidR="005577C4" w:rsidRPr="00F15EDF">
              <w:rPr>
                <w:lang w:val="lv-LV"/>
              </w:rPr>
              <w:t xml:space="preserve"> ir precizēti un papildināti pilnvarojumi Ministru kabinetam izdot attiecīgus noteikumus, </w:t>
            </w:r>
            <w:r w:rsidR="00EF7F28" w:rsidRPr="00AD4803">
              <w:rPr>
                <w:lang w:val="lv-LV"/>
              </w:rPr>
              <w:t xml:space="preserve">kā arī </w:t>
            </w:r>
            <w:r>
              <w:rPr>
                <w:lang w:val="lv-LV"/>
              </w:rPr>
              <w:t xml:space="preserve">šī </w:t>
            </w:r>
            <w:r w:rsidR="00EF7F28" w:rsidRPr="00AD4803">
              <w:rPr>
                <w:lang w:val="lv-LV"/>
              </w:rPr>
              <w:t>likuma pārejas noteikumu 21.punkts nosaka, ka jāizdod Ministru kabineta noteikumi par pārtikas produktu papildu marķēšanu</w:t>
            </w:r>
            <w:r>
              <w:rPr>
                <w:lang w:val="lv-LV"/>
              </w:rPr>
              <w:t>,</w:t>
            </w:r>
            <w:r w:rsidR="00EF7F28">
              <w:rPr>
                <w:lang w:val="lv-LV"/>
              </w:rPr>
              <w:t xml:space="preserve"> </w:t>
            </w:r>
            <w:r w:rsidR="00D12656">
              <w:rPr>
                <w:lang w:val="lv-LV"/>
              </w:rPr>
              <w:t xml:space="preserve">un </w:t>
            </w:r>
            <w:r w:rsidR="00D12656" w:rsidRPr="001B75D9">
              <w:rPr>
                <w:lang w:val="lv-LV" w:eastAsia="lv-LV"/>
              </w:rPr>
              <w:t xml:space="preserve">22.punkta </w:t>
            </w:r>
            <w:r w:rsidR="00D12656">
              <w:rPr>
                <w:lang w:val="lv-LV" w:eastAsia="lv-LV"/>
              </w:rPr>
              <w:t>20</w:t>
            </w:r>
            <w:r w:rsidR="00D12656" w:rsidRPr="001B75D9">
              <w:rPr>
                <w:lang w:val="lv-LV" w:eastAsia="lv-LV"/>
              </w:rPr>
              <w:t xml:space="preserve">.apakšpunkts </w:t>
            </w:r>
            <w:r>
              <w:rPr>
                <w:lang w:val="lv-LV" w:eastAsia="lv-LV"/>
              </w:rPr>
              <w:t>paredz</w:t>
            </w:r>
            <w:r w:rsidR="00D12656" w:rsidRPr="001B75D9">
              <w:rPr>
                <w:lang w:val="lv-LV" w:eastAsia="lv-LV"/>
              </w:rPr>
              <w:t xml:space="preserve"> noteikum</w:t>
            </w:r>
            <w:r>
              <w:rPr>
                <w:lang w:val="lv-LV" w:eastAsia="lv-LV"/>
              </w:rPr>
              <w:t>us</w:t>
            </w:r>
            <w:r w:rsidR="00D12656" w:rsidRPr="001B75D9">
              <w:rPr>
                <w:lang w:val="lv-LV" w:eastAsia="lv-LV"/>
              </w:rPr>
              <w:t xml:space="preserve"> Nr.</w:t>
            </w:r>
            <w:r w:rsidR="00D12656">
              <w:rPr>
                <w:lang w:val="lv-LV" w:eastAsia="lv-LV"/>
              </w:rPr>
              <w:t>1171</w:t>
            </w:r>
            <w:r w:rsidR="00D12656" w:rsidRPr="001B75D9">
              <w:rPr>
                <w:lang w:val="lv-LV" w:eastAsia="lv-LV"/>
              </w:rPr>
              <w:t xml:space="preserve"> piemēro</w:t>
            </w:r>
            <w:r>
              <w:rPr>
                <w:lang w:val="lv-LV" w:eastAsia="lv-LV"/>
              </w:rPr>
              <w:t>t</w:t>
            </w:r>
            <w:r w:rsidR="00D12656" w:rsidRPr="001B75D9">
              <w:rPr>
                <w:lang w:val="lv-LV" w:eastAsia="lv-LV"/>
              </w:rPr>
              <w:t xml:space="preserve"> līdz 2015.gada 30.novembrim, </w:t>
            </w:r>
            <w:r w:rsidR="005577C4" w:rsidRPr="00F15EDF">
              <w:rPr>
                <w:lang w:val="lv-LV"/>
              </w:rPr>
              <w:t xml:space="preserve">ir sagatavots jauns </w:t>
            </w:r>
            <w:r w:rsidR="005577C4" w:rsidRPr="00F15EDF">
              <w:rPr>
                <w:color w:val="000000"/>
                <w:lang w:val="lv-LV"/>
              </w:rPr>
              <w:t>Ministru kabineta noteikumu projekts</w:t>
            </w:r>
            <w:r w:rsidR="005577C4" w:rsidRPr="00F15EDF">
              <w:rPr>
                <w:lang w:val="lv-LV"/>
              </w:rPr>
              <w:t xml:space="preserve"> </w:t>
            </w:r>
            <w:r w:rsidR="00F15EDF">
              <w:rPr>
                <w:lang w:val="lv-LV"/>
              </w:rPr>
              <w:t>„</w:t>
            </w:r>
            <w:r w:rsidR="00F15EDF" w:rsidRPr="00F15EDF">
              <w:rPr>
                <w:iCs/>
                <w:lang w:val="lv-LV"/>
              </w:rPr>
              <w:t>Dzīvnieku liemeņu klasifikācijas noteikumi</w:t>
            </w:r>
            <w:r w:rsidR="00F15EDF">
              <w:rPr>
                <w:iCs/>
                <w:lang w:val="lv-LV"/>
              </w:rPr>
              <w:t>”</w:t>
            </w:r>
            <w:r w:rsidR="005577C4" w:rsidRPr="00F15EDF">
              <w:rPr>
                <w:lang w:val="lv-LV"/>
              </w:rPr>
              <w:t xml:space="preserve"> </w:t>
            </w:r>
            <w:r w:rsidR="005577C4" w:rsidRPr="00F15EDF">
              <w:rPr>
                <w:rStyle w:val="Izteiksmgs"/>
                <w:b w:val="0"/>
                <w:lang w:val="lv-LV"/>
              </w:rPr>
              <w:t xml:space="preserve">(turpmāk – noteikumu projekts). </w:t>
            </w:r>
          </w:p>
          <w:p w:rsidR="005577C4" w:rsidRDefault="005577C4" w:rsidP="00F15EDF">
            <w:pPr>
              <w:pStyle w:val="Pamatteksts3"/>
              <w:spacing w:after="0"/>
              <w:jc w:val="both"/>
              <w:rPr>
                <w:sz w:val="24"/>
                <w:szCs w:val="24"/>
                <w:lang w:val="lv-LV"/>
              </w:rPr>
            </w:pPr>
            <w:r w:rsidRPr="00D12656">
              <w:rPr>
                <w:rStyle w:val="Izteiksmgs"/>
                <w:b w:val="0"/>
                <w:sz w:val="24"/>
                <w:szCs w:val="24"/>
                <w:lang w:val="lv-LV"/>
              </w:rPr>
              <w:t>Noteikumu</w:t>
            </w:r>
            <w:r w:rsidR="002F014B" w:rsidRPr="00D12656">
              <w:rPr>
                <w:sz w:val="24"/>
                <w:szCs w:val="24"/>
                <w:lang w:val="lv-LV"/>
              </w:rPr>
              <w:t xml:space="preserve"> projektā</w:t>
            </w:r>
            <w:r w:rsidRPr="00D12656">
              <w:rPr>
                <w:sz w:val="24"/>
                <w:szCs w:val="24"/>
                <w:lang w:val="lv-LV"/>
              </w:rPr>
              <w:t xml:space="preserve"> a</w:t>
            </w:r>
            <w:r w:rsidRPr="00D12656">
              <w:rPr>
                <w:color w:val="000000"/>
                <w:sz w:val="24"/>
                <w:szCs w:val="24"/>
                <w:lang w:val="lv-LV"/>
              </w:rPr>
              <w:t xml:space="preserve">tbilstoši grozījumiem </w:t>
            </w:r>
            <w:r w:rsidRPr="00D12656">
              <w:rPr>
                <w:sz w:val="24"/>
                <w:szCs w:val="24"/>
                <w:lang w:val="lv-LV"/>
              </w:rPr>
              <w:t>Pārtikas aprites uzraudzība</w:t>
            </w:r>
            <w:r w:rsidRPr="00F52401">
              <w:rPr>
                <w:sz w:val="24"/>
                <w:szCs w:val="24"/>
                <w:lang w:val="lv-LV"/>
              </w:rPr>
              <w:t>s likumā</w:t>
            </w:r>
            <w:r w:rsidRPr="00F52401">
              <w:rPr>
                <w:rStyle w:val="Izteiksmgs"/>
                <w:sz w:val="24"/>
                <w:szCs w:val="24"/>
                <w:lang w:val="lv-LV"/>
              </w:rPr>
              <w:t xml:space="preserve"> </w:t>
            </w:r>
            <w:r w:rsidR="00EF7F28">
              <w:rPr>
                <w:rStyle w:val="Izteiksmgs"/>
                <w:b w:val="0"/>
                <w:sz w:val="24"/>
                <w:szCs w:val="24"/>
                <w:lang w:val="lv-LV"/>
              </w:rPr>
              <w:t>tiek precizēts</w:t>
            </w:r>
            <w:r w:rsidRPr="00F15EDF">
              <w:rPr>
                <w:rStyle w:val="Izteiksmgs"/>
                <w:b w:val="0"/>
                <w:sz w:val="24"/>
                <w:szCs w:val="24"/>
                <w:lang w:val="lv-LV"/>
              </w:rPr>
              <w:t xml:space="preserve"> </w:t>
            </w:r>
            <w:r w:rsidRPr="00F15EDF">
              <w:rPr>
                <w:sz w:val="24"/>
                <w:szCs w:val="24"/>
                <w:lang w:val="lv-LV"/>
              </w:rPr>
              <w:t>izdo</w:t>
            </w:r>
            <w:r w:rsidR="00F52401">
              <w:rPr>
                <w:sz w:val="24"/>
                <w:szCs w:val="24"/>
                <w:lang w:val="lv-LV"/>
              </w:rPr>
              <w:t>šanas pamats</w:t>
            </w:r>
            <w:r w:rsidRPr="00F15EDF">
              <w:rPr>
                <w:color w:val="000000"/>
                <w:sz w:val="24"/>
                <w:szCs w:val="24"/>
                <w:lang w:val="lv-LV"/>
              </w:rPr>
              <w:t xml:space="preserve"> attiecībā uz </w:t>
            </w:r>
            <w:r w:rsidRPr="00F15EDF">
              <w:rPr>
                <w:bCs/>
                <w:sz w:val="24"/>
                <w:szCs w:val="24"/>
                <w:lang w:val="lv-LV" w:eastAsia="en-US"/>
              </w:rPr>
              <w:t xml:space="preserve">pārtikas produktu papildu </w:t>
            </w:r>
            <w:r w:rsidRPr="00F15EDF">
              <w:rPr>
                <w:sz w:val="24"/>
                <w:szCs w:val="24"/>
                <w:lang w:val="lv-LV"/>
              </w:rPr>
              <w:t>marķējuma</w:t>
            </w:r>
            <w:r w:rsidRPr="00F15EDF">
              <w:rPr>
                <w:bCs/>
                <w:sz w:val="24"/>
                <w:szCs w:val="24"/>
                <w:lang w:val="lv-LV" w:eastAsia="en-US"/>
              </w:rPr>
              <w:t xml:space="preserve"> prasībām</w:t>
            </w:r>
            <w:r w:rsidR="00F52401">
              <w:rPr>
                <w:bCs/>
                <w:sz w:val="24"/>
                <w:szCs w:val="24"/>
                <w:lang w:val="lv-LV" w:eastAsia="en-US"/>
              </w:rPr>
              <w:t xml:space="preserve"> (likuma 13.panta trešās daļas 3.punkts)</w:t>
            </w:r>
            <w:r w:rsidR="002F014B" w:rsidRPr="00F15EDF">
              <w:rPr>
                <w:sz w:val="24"/>
                <w:szCs w:val="24"/>
                <w:lang w:val="lv-LV"/>
              </w:rPr>
              <w:t>, kā arī attiecībā uz</w:t>
            </w:r>
            <w:r w:rsidRPr="00F15EDF">
              <w:rPr>
                <w:i/>
                <w:sz w:val="24"/>
                <w:szCs w:val="24"/>
                <w:lang w:val="lv-LV"/>
              </w:rPr>
              <w:t xml:space="preserve"> </w:t>
            </w:r>
            <w:r w:rsidR="002F014B" w:rsidRPr="001B75D9">
              <w:rPr>
                <w:sz w:val="24"/>
                <w:szCs w:val="24"/>
                <w:lang w:val="lv-LV"/>
              </w:rPr>
              <w:t>klasificētāja kvalifikāciju apliecinoša sertifikāta anulēšanu</w:t>
            </w:r>
            <w:r w:rsidR="001B75D9" w:rsidRPr="001B75D9">
              <w:rPr>
                <w:sz w:val="24"/>
                <w:szCs w:val="24"/>
                <w:lang w:val="lv-LV"/>
              </w:rPr>
              <w:t xml:space="preserve"> (4.panta trīspadsmitā daļa</w:t>
            </w:r>
            <w:r w:rsidR="001B75D9">
              <w:rPr>
                <w:sz w:val="24"/>
                <w:szCs w:val="24"/>
                <w:lang w:val="lv-LV"/>
              </w:rPr>
              <w:t>)</w:t>
            </w:r>
            <w:r w:rsidR="002F014B" w:rsidRPr="001B75D9">
              <w:rPr>
                <w:sz w:val="24"/>
                <w:szCs w:val="24"/>
                <w:lang w:val="lv-LV"/>
              </w:rPr>
              <w:t>.</w:t>
            </w:r>
          </w:p>
          <w:p w:rsidR="00EF7F28" w:rsidRPr="00EF7F28" w:rsidRDefault="001C6F01" w:rsidP="00EF7F28">
            <w:pPr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>Atšķirībā no noteikumiem</w:t>
            </w:r>
            <w:r w:rsidRPr="00EF7F28">
              <w:rPr>
                <w:bCs/>
                <w:lang w:val="lv-LV"/>
              </w:rPr>
              <w:t xml:space="preserve"> Nr.1171</w:t>
            </w:r>
            <w:r w:rsidR="00BA604C">
              <w:rPr>
                <w:bCs/>
                <w:lang w:val="lv-LV"/>
              </w:rPr>
              <w:t>,</w:t>
            </w:r>
            <w:r w:rsidRPr="00EF7F28">
              <w:rPr>
                <w:bCs/>
                <w:lang w:val="lv-LV"/>
              </w:rPr>
              <w:t xml:space="preserve"> </w:t>
            </w:r>
            <w:r>
              <w:rPr>
                <w:lang w:val="lv-LV"/>
              </w:rPr>
              <w:t>n</w:t>
            </w:r>
            <w:r w:rsidR="00EF7F28" w:rsidRPr="00EF7F28">
              <w:rPr>
                <w:lang w:val="lv-LV"/>
              </w:rPr>
              <w:t xml:space="preserve">oteikumu projekta nosaukums </w:t>
            </w:r>
            <w:r>
              <w:rPr>
                <w:lang w:val="lv-LV"/>
              </w:rPr>
              <w:t>ir</w:t>
            </w:r>
            <w:r w:rsidR="0077613B">
              <w:rPr>
                <w:lang w:val="lv-LV"/>
              </w:rPr>
              <w:t xml:space="preserve"> saīsināts</w:t>
            </w:r>
            <w:r w:rsidR="00EF7F28" w:rsidRPr="00EF7F28">
              <w:rPr>
                <w:lang w:val="lv-LV"/>
              </w:rPr>
              <w:t xml:space="preserve"> atbilstoši Ministru kabineta 2009.gada 3.februāra noteikum</w:t>
            </w:r>
            <w:r>
              <w:rPr>
                <w:lang w:val="lv-LV"/>
              </w:rPr>
              <w:t>u</w:t>
            </w:r>
            <w:r w:rsidR="00EF7F28" w:rsidRPr="00EF7F28">
              <w:rPr>
                <w:lang w:val="lv-LV"/>
              </w:rPr>
              <w:t xml:space="preserve"> Nr.108 „Normatīvo aktu projektu sagatavošanas noteikumi” 90.punktam, kur</w:t>
            </w:r>
            <w:r>
              <w:rPr>
                <w:lang w:val="lv-LV"/>
              </w:rPr>
              <w:t>ā</w:t>
            </w:r>
            <w:r w:rsidR="00EF7F28" w:rsidRPr="00EF7F28">
              <w:rPr>
                <w:lang w:val="lv-LV"/>
              </w:rPr>
              <w:t xml:space="preserve"> no</w:t>
            </w:r>
            <w:r>
              <w:rPr>
                <w:lang w:val="lv-LV"/>
              </w:rPr>
              <w:t>teikts</w:t>
            </w:r>
            <w:r w:rsidR="00EF7F28" w:rsidRPr="00EF7F28">
              <w:rPr>
                <w:lang w:val="lv-LV"/>
              </w:rPr>
              <w:t>, ka Ministru kabineta noteikumu projekta nosaukumu veido iespējami īsu.</w:t>
            </w:r>
          </w:p>
          <w:p w:rsidR="00EF7F28" w:rsidRPr="00EF7F28" w:rsidRDefault="00EF7F28" w:rsidP="00EF7F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lv-LV"/>
              </w:rPr>
            </w:pPr>
          </w:p>
          <w:p w:rsidR="00B84A2A" w:rsidRDefault="00861CCC" w:rsidP="00B84A2A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091A1D">
              <w:rPr>
                <w:rStyle w:val="Izteiksmgs"/>
                <w:b w:val="0"/>
                <w:lang w:val="lv-LV"/>
              </w:rPr>
              <w:t>Noteikumu</w:t>
            </w:r>
            <w:r w:rsidRPr="00091A1D">
              <w:rPr>
                <w:lang w:val="lv-LV"/>
              </w:rPr>
              <w:t xml:space="preserve"> projektā ir izdarīti </w:t>
            </w:r>
            <w:r w:rsidR="00825CFC">
              <w:rPr>
                <w:lang w:val="lv-LV"/>
              </w:rPr>
              <w:t xml:space="preserve">arī </w:t>
            </w:r>
            <w:r w:rsidRPr="00091A1D">
              <w:rPr>
                <w:lang w:val="lv-LV"/>
              </w:rPr>
              <w:t xml:space="preserve">grozījumi, lai </w:t>
            </w:r>
            <w:r w:rsidR="00825CFC" w:rsidRPr="00091A1D">
              <w:rPr>
                <w:lang w:val="lv-LV"/>
              </w:rPr>
              <w:t xml:space="preserve">aktualizētu </w:t>
            </w:r>
            <w:r w:rsidR="00825CFC">
              <w:rPr>
                <w:lang w:val="lv-LV"/>
              </w:rPr>
              <w:t xml:space="preserve">un </w:t>
            </w:r>
            <w:r w:rsidRPr="00091A1D">
              <w:rPr>
                <w:lang w:val="lv-LV"/>
              </w:rPr>
              <w:t>precizētu esošās prasības</w:t>
            </w:r>
            <w:r w:rsidR="00FB3CA3" w:rsidRPr="00091A1D">
              <w:rPr>
                <w:lang w:val="lv-LV"/>
              </w:rPr>
              <w:t>:</w:t>
            </w:r>
          </w:p>
          <w:p w:rsidR="00A90368" w:rsidRPr="00A90368" w:rsidRDefault="00A90368" w:rsidP="00B84A2A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1) atbilstoši reālajai situācijai ir aktualizēta un precizēta prasība</w:t>
            </w:r>
            <w:r w:rsidR="001C6F01">
              <w:rPr>
                <w:lang w:val="lv-LV"/>
              </w:rPr>
              <w:t xml:space="preserve"> par to</w:t>
            </w:r>
            <w:r>
              <w:rPr>
                <w:lang w:val="lv-LV"/>
              </w:rPr>
              <w:t xml:space="preserve">, kā kautuves </w:t>
            </w:r>
            <w:r w:rsidRPr="00A90368">
              <w:rPr>
                <w:lang w:val="lv-LV"/>
              </w:rPr>
              <w:t>iesniedz dzīvnieku kaušanas grafiku</w:t>
            </w:r>
            <w:r>
              <w:rPr>
                <w:lang w:val="lv-LV"/>
              </w:rPr>
              <w:t>;</w:t>
            </w:r>
          </w:p>
          <w:p w:rsidR="00B84A2A" w:rsidRPr="00796CB9" w:rsidRDefault="00BA3AFE" w:rsidP="00796CB9">
            <w:pPr>
              <w:pStyle w:val="Komentrateksts"/>
              <w:jc w:val="both"/>
              <w:rPr>
                <w:sz w:val="24"/>
                <w:szCs w:val="24"/>
                <w:lang w:val="lv-LV"/>
              </w:rPr>
            </w:pPr>
            <w:r w:rsidRPr="00796CB9">
              <w:rPr>
                <w:rFonts w:eastAsia="Calibri"/>
                <w:sz w:val="24"/>
                <w:szCs w:val="24"/>
                <w:lang w:val="lv-LV"/>
              </w:rPr>
              <w:t>2</w:t>
            </w:r>
            <w:r w:rsidR="00861CCC" w:rsidRPr="00796CB9">
              <w:rPr>
                <w:rFonts w:eastAsia="Calibri"/>
                <w:sz w:val="24"/>
                <w:szCs w:val="24"/>
                <w:lang w:val="lv-LV"/>
              </w:rPr>
              <w:t xml:space="preserve">) </w:t>
            </w:r>
            <w:r w:rsidR="00A106F1" w:rsidRPr="00796CB9">
              <w:rPr>
                <w:rFonts w:eastAsia="Calibri"/>
                <w:sz w:val="24"/>
                <w:szCs w:val="24"/>
                <w:lang w:val="lv-LV"/>
              </w:rPr>
              <w:t>l</w:t>
            </w:r>
            <w:r w:rsidR="00B84A2A" w:rsidRPr="00796CB9">
              <w:rPr>
                <w:rFonts w:eastAsia="Calibri"/>
                <w:sz w:val="24"/>
                <w:szCs w:val="24"/>
                <w:lang w:val="lv-LV"/>
              </w:rPr>
              <w:t xml:space="preserve">ai novērstu interpretācijas iespējas, </w:t>
            </w:r>
            <w:r w:rsidR="00B84A2A" w:rsidRPr="00796CB9">
              <w:rPr>
                <w:sz w:val="24"/>
                <w:szCs w:val="24"/>
                <w:lang w:val="lv-LV"/>
              </w:rPr>
              <w:t xml:space="preserve">ir </w:t>
            </w:r>
            <w:r w:rsidR="00B84A2A" w:rsidRPr="00796CB9">
              <w:rPr>
                <w:rFonts w:eastAsia="Calibri"/>
                <w:sz w:val="24"/>
                <w:szCs w:val="24"/>
                <w:lang w:val="lv-LV"/>
              </w:rPr>
              <w:t>precizēts</w:t>
            </w:r>
            <w:r w:rsidR="00BF0F4F" w:rsidRPr="00796CB9">
              <w:rPr>
                <w:rFonts w:eastAsia="Calibri"/>
                <w:sz w:val="24"/>
                <w:szCs w:val="24"/>
                <w:lang w:val="lv-LV"/>
              </w:rPr>
              <w:t xml:space="preserve"> patlaban</w:t>
            </w:r>
            <w:r w:rsidR="00B84A2A" w:rsidRPr="00796CB9">
              <w:rPr>
                <w:rFonts w:eastAsia="Calibri"/>
                <w:sz w:val="24"/>
                <w:szCs w:val="24"/>
                <w:lang w:val="lv-LV"/>
              </w:rPr>
              <w:t xml:space="preserve"> </w:t>
            </w:r>
            <w:r w:rsidR="00B84A2A" w:rsidRPr="00796CB9">
              <w:rPr>
                <w:bCs/>
                <w:sz w:val="24"/>
                <w:szCs w:val="24"/>
                <w:lang w:val="lv-LV"/>
              </w:rPr>
              <w:t>noteikumu Nr.1171 5.punkt</w:t>
            </w:r>
            <w:r w:rsidR="00BF0F4F" w:rsidRPr="00796CB9">
              <w:rPr>
                <w:bCs/>
                <w:sz w:val="24"/>
                <w:szCs w:val="24"/>
                <w:lang w:val="lv-LV"/>
              </w:rPr>
              <w:t>ā noteiktais</w:t>
            </w:r>
            <w:r w:rsidR="00B84A2A" w:rsidRPr="00796CB9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B84A2A" w:rsidRPr="00796CB9">
              <w:rPr>
                <w:sz w:val="24"/>
                <w:szCs w:val="24"/>
                <w:lang w:val="lv-LV"/>
              </w:rPr>
              <w:t>par Komisijas 2008.gada 10.decembra Regulas (EK) Nr.1249/2008, ar ko paredz sīki izstrādātus noteikumus par Kopienas skalu ieviešanu liellopu, cūku un aitu liemeņu klasifikācijai un cenu paziņošanas kārtību</w:t>
            </w:r>
            <w:r w:rsidR="00796CB9" w:rsidRPr="00796CB9">
              <w:rPr>
                <w:sz w:val="24"/>
                <w:szCs w:val="24"/>
                <w:lang w:val="lv-LV"/>
              </w:rPr>
              <w:t xml:space="preserve"> (turpmāk – Regula Nr.1249/2008)</w:t>
            </w:r>
            <w:r w:rsidR="00B84A2A" w:rsidRPr="00796CB9">
              <w:rPr>
                <w:sz w:val="24"/>
                <w:szCs w:val="24"/>
                <w:lang w:val="lv-LV"/>
              </w:rPr>
              <w:t xml:space="preserve">, </w:t>
            </w:r>
            <w:r w:rsidR="00B84A2A" w:rsidRPr="00796CB9">
              <w:rPr>
                <w:sz w:val="24"/>
                <w:szCs w:val="24"/>
                <w:lang w:val="lv-LV"/>
              </w:rPr>
              <w:lastRenderedPageBreak/>
              <w:t xml:space="preserve">20.panta 2.punkta </w:t>
            </w:r>
            <w:r w:rsidR="00BF0F4F" w:rsidRPr="00796CB9">
              <w:rPr>
                <w:sz w:val="24"/>
                <w:szCs w:val="24"/>
                <w:lang w:val="lv-LV"/>
              </w:rPr>
              <w:t>„</w:t>
            </w:r>
            <w:r w:rsidR="00B84A2A" w:rsidRPr="00796CB9">
              <w:rPr>
                <w:sz w:val="24"/>
                <w:szCs w:val="24"/>
                <w:lang w:val="lv-LV"/>
              </w:rPr>
              <w:t>b</w:t>
            </w:r>
            <w:r w:rsidR="00BF0F4F" w:rsidRPr="00796CB9">
              <w:rPr>
                <w:sz w:val="24"/>
                <w:szCs w:val="24"/>
                <w:lang w:val="lv-LV"/>
              </w:rPr>
              <w:t>”</w:t>
            </w:r>
            <w:r w:rsidR="00B84A2A" w:rsidRPr="00796CB9">
              <w:rPr>
                <w:sz w:val="24"/>
                <w:szCs w:val="24"/>
                <w:lang w:val="lv-LV"/>
              </w:rPr>
              <w:t xml:space="preserve"> apakšpunktā paredzētās atkāpes piemērošanu, papildinot punktu ar atsauci uz Eiropas Parlamenta un Padomes 2004.gada 29.aprīļa Regulu (EK) Nr.853/2004, ar ko nosaka īpašus higiēnas noteikumus attiecībā uz</w:t>
            </w:r>
            <w:r w:rsidR="00B84A2A" w:rsidRPr="00091A1D">
              <w:rPr>
                <w:lang w:val="lv-LV"/>
              </w:rPr>
              <w:t xml:space="preserve"> </w:t>
            </w:r>
            <w:r w:rsidR="00B84A2A" w:rsidRPr="00796CB9">
              <w:rPr>
                <w:sz w:val="24"/>
                <w:szCs w:val="24"/>
                <w:lang w:val="lv-LV"/>
              </w:rPr>
              <w:t xml:space="preserve">dzīvnieku izcelsmes pārtiku, </w:t>
            </w:r>
            <w:r w:rsidR="00B225BA" w:rsidRPr="00796CB9">
              <w:rPr>
                <w:sz w:val="24"/>
                <w:szCs w:val="24"/>
                <w:lang w:val="lv-LV"/>
              </w:rPr>
              <w:t>saistībā ar</w:t>
            </w:r>
            <w:r w:rsidR="00B84A2A" w:rsidRPr="00796CB9">
              <w:rPr>
                <w:sz w:val="24"/>
                <w:szCs w:val="24"/>
                <w:lang w:val="lv-LV"/>
              </w:rPr>
              <w:t xml:space="preserve"> </w:t>
            </w:r>
            <w:r w:rsidR="00B225BA" w:rsidRPr="00796CB9">
              <w:rPr>
                <w:sz w:val="24"/>
                <w:szCs w:val="24"/>
                <w:lang w:val="lv-LV"/>
              </w:rPr>
              <w:t>regulā noteiktajām prasībām</w:t>
            </w:r>
            <w:r w:rsidR="00B84A2A" w:rsidRPr="00796CB9">
              <w:rPr>
                <w:sz w:val="24"/>
                <w:szCs w:val="24"/>
                <w:lang w:val="lv-LV"/>
              </w:rPr>
              <w:t xml:space="preserve"> </w:t>
            </w:r>
            <w:r w:rsidR="00B225BA" w:rsidRPr="00796CB9">
              <w:rPr>
                <w:sz w:val="24"/>
                <w:szCs w:val="24"/>
                <w:lang w:val="lv-LV"/>
              </w:rPr>
              <w:t xml:space="preserve">liemeņu </w:t>
            </w:r>
            <w:r w:rsidR="00B84A2A" w:rsidRPr="00796CB9">
              <w:rPr>
                <w:sz w:val="24"/>
                <w:szCs w:val="24"/>
                <w:lang w:val="lv-LV"/>
              </w:rPr>
              <w:t>sadalīšanai kautuvē</w:t>
            </w:r>
            <w:r w:rsidR="00A106F1" w:rsidRPr="00796CB9">
              <w:rPr>
                <w:sz w:val="24"/>
                <w:szCs w:val="24"/>
                <w:lang w:val="lv-LV"/>
              </w:rPr>
              <w:t>;</w:t>
            </w:r>
          </w:p>
          <w:p w:rsidR="00BA3AFE" w:rsidRPr="00091A1D" w:rsidRDefault="00BA3AFE" w:rsidP="00B84A2A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3) ir precizēta prasība par samaksu attiecībā uz konkrētas sugas dzīvniekiem;</w:t>
            </w:r>
          </w:p>
          <w:p w:rsidR="00E07E1A" w:rsidRDefault="00BA3AFE" w:rsidP="00E07E1A">
            <w:pPr>
              <w:jc w:val="both"/>
              <w:rPr>
                <w:lang w:val="lv-LV" w:eastAsia="lv-LV"/>
              </w:rPr>
            </w:pPr>
            <w:r>
              <w:rPr>
                <w:lang w:val="lv-LV"/>
              </w:rPr>
              <w:t>4</w:t>
            </w:r>
            <w:r w:rsidR="00273FDF" w:rsidRPr="00091A1D">
              <w:rPr>
                <w:lang w:val="lv-LV"/>
              </w:rPr>
              <w:t xml:space="preserve">) </w:t>
            </w:r>
            <w:r w:rsidR="00E07E1A" w:rsidRPr="00091A1D">
              <w:rPr>
                <w:lang w:val="lv-LV"/>
              </w:rPr>
              <w:t xml:space="preserve">ir precizēta prasība </w:t>
            </w:r>
            <w:r w:rsidR="00E07E1A" w:rsidRPr="00091A1D">
              <w:rPr>
                <w:lang w:val="lv-LV" w:eastAsia="lv-LV"/>
              </w:rPr>
              <w:t xml:space="preserve">kautuvēm nodrošināt </w:t>
            </w:r>
            <w:r w:rsidR="00E07E1A" w:rsidRPr="00091A1D">
              <w:rPr>
                <w:rStyle w:val="Izteiksmgs"/>
                <w:b w:val="0"/>
                <w:lang w:val="lv-LV"/>
              </w:rPr>
              <w:t>dzīvnieku</w:t>
            </w:r>
            <w:r w:rsidR="00E07E1A" w:rsidRPr="00091A1D">
              <w:rPr>
                <w:b/>
                <w:lang w:val="lv-LV"/>
              </w:rPr>
              <w:t xml:space="preserve"> </w:t>
            </w:r>
            <w:r w:rsidR="00E07E1A" w:rsidRPr="00091A1D">
              <w:rPr>
                <w:rStyle w:val="Izteiksmgs"/>
                <w:b w:val="0"/>
                <w:lang w:val="lv-LV"/>
              </w:rPr>
              <w:t>liemeņu klasifikāciju</w:t>
            </w:r>
            <w:r w:rsidR="00E07E1A" w:rsidRPr="00091A1D">
              <w:rPr>
                <w:lang w:val="lv-LV" w:eastAsia="lv-LV"/>
              </w:rPr>
              <w:t xml:space="preserve"> </w:t>
            </w:r>
            <w:r w:rsidR="00273FDF" w:rsidRPr="00091A1D">
              <w:rPr>
                <w:lang w:val="lv-LV"/>
              </w:rPr>
              <w:t>klasificētāja prombūtne</w:t>
            </w:r>
            <w:r w:rsidR="00E07E1A" w:rsidRPr="00091A1D">
              <w:rPr>
                <w:lang w:val="lv-LV"/>
              </w:rPr>
              <w:t>s</w:t>
            </w:r>
            <w:r w:rsidR="00E07E1A" w:rsidRPr="00091A1D">
              <w:rPr>
                <w:sz w:val="28"/>
                <w:szCs w:val="28"/>
                <w:lang w:val="lv-LV" w:eastAsia="lv-LV"/>
              </w:rPr>
              <w:t xml:space="preserve"> </w:t>
            </w:r>
            <w:r w:rsidR="00E07E1A" w:rsidRPr="00091A1D">
              <w:rPr>
                <w:lang w:val="lv-LV" w:eastAsia="lv-LV"/>
              </w:rPr>
              <w:t>laikā</w:t>
            </w:r>
            <w:r w:rsidR="00EA7534" w:rsidRPr="00091A1D">
              <w:rPr>
                <w:lang w:val="lv-LV" w:eastAsia="lv-LV"/>
              </w:rPr>
              <w:t>;</w:t>
            </w:r>
          </w:p>
          <w:p w:rsidR="000329F7" w:rsidRPr="00091A1D" w:rsidRDefault="000329F7" w:rsidP="00E07E1A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5) ir atvieglota prasība par to, kā kautuve nodrošina pieeju nepieciešamajai informācijai</w:t>
            </w:r>
            <w:r w:rsidR="00825CFC">
              <w:rPr>
                <w:lang w:val="lv-LV" w:eastAsia="lv-LV"/>
              </w:rPr>
              <w:t>;</w:t>
            </w:r>
          </w:p>
          <w:p w:rsidR="00B225BA" w:rsidRPr="00091A1D" w:rsidRDefault="000329F7" w:rsidP="00A106F1">
            <w:pPr>
              <w:pStyle w:val="Default"/>
              <w:jc w:val="both"/>
              <w:rPr>
                <w:lang w:val="lv-LV"/>
              </w:rPr>
            </w:pPr>
            <w:r>
              <w:rPr>
                <w:lang w:val="lv-LV"/>
              </w:rPr>
              <w:t>6)</w:t>
            </w:r>
            <w:r w:rsidR="00A106F1" w:rsidRPr="00091A1D">
              <w:rPr>
                <w:lang w:val="lv-LV"/>
              </w:rPr>
              <w:t xml:space="preserve"> t</w:t>
            </w:r>
            <w:r w:rsidR="00A106F1" w:rsidRPr="00091A1D">
              <w:rPr>
                <w:lang w:val="lv-LV" w:eastAsia="lv-LV"/>
              </w:rPr>
              <w:t>ā kā Lauksaimniecības datu centra (turpmāk – datu centrs) izveidotās elektroniskās datu</w:t>
            </w:r>
            <w:r w:rsidR="00BA604C">
              <w:rPr>
                <w:lang w:val="lv-LV" w:eastAsia="lv-LV"/>
              </w:rPr>
              <w:t xml:space="preserve"> </w:t>
            </w:r>
            <w:r w:rsidR="00A106F1" w:rsidRPr="00091A1D">
              <w:rPr>
                <w:lang w:val="lv-LV" w:eastAsia="lv-LV"/>
              </w:rPr>
              <w:t xml:space="preserve">bāzes </w:t>
            </w:r>
            <w:r w:rsidR="000632C2" w:rsidRPr="00091A1D">
              <w:rPr>
                <w:lang w:val="lv-LV" w:eastAsia="lv-LV"/>
              </w:rPr>
              <w:t xml:space="preserve">programmas </w:t>
            </w:r>
            <w:r w:rsidR="00A106F1" w:rsidRPr="00091A1D">
              <w:rPr>
                <w:lang w:val="lv-LV" w:eastAsia="lv-LV"/>
              </w:rPr>
              <w:t xml:space="preserve">regulāri tiek uzlabotas un papildinātas, </w:t>
            </w:r>
            <w:r w:rsidR="00291914" w:rsidRPr="00091A1D">
              <w:rPr>
                <w:lang w:val="lv-LV"/>
              </w:rPr>
              <w:t>ir precizēti</w:t>
            </w:r>
            <w:r w:rsidR="00A106F1" w:rsidRPr="00091A1D">
              <w:rPr>
                <w:lang w:val="lv-LV"/>
              </w:rPr>
              <w:t xml:space="preserve"> un aktualizēti</w:t>
            </w:r>
            <w:r w:rsidR="00291914" w:rsidRPr="00091A1D">
              <w:rPr>
                <w:lang w:val="lv-LV"/>
              </w:rPr>
              <w:t xml:space="preserve"> </w:t>
            </w:r>
            <w:r w:rsidR="00291914" w:rsidRPr="00091A1D">
              <w:rPr>
                <w:lang w:val="lv-LV" w:eastAsia="lv-LV"/>
              </w:rPr>
              <w:t xml:space="preserve">kautuvju īpašnieku pienākumi attiecībā uz </w:t>
            </w:r>
            <w:r>
              <w:rPr>
                <w:lang w:val="lv-LV" w:eastAsia="lv-LV"/>
              </w:rPr>
              <w:t xml:space="preserve">informācijas paziņošanu dzīvnieka īpašniekam, kā arī </w:t>
            </w:r>
            <w:r w:rsidR="00291914" w:rsidRPr="00091A1D">
              <w:rPr>
                <w:lang w:val="lv-LV" w:eastAsia="lv-LV"/>
              </w:rPr>
              <w:t>datu ziņo</w:t>
            </w:r>
            <w:r w:rsidR="00A106F1" w:rsidRPr="00091A1D">
              <w:rPr>
                <w:lang w:val="lv-LV" w:eastAsia="lv-LV"/>
              </w:rPr>
              <w:t>šanu</w:t>
            </w:r>
            <w:r w:rsidR="00291914" w:rsidRPr="00091A1D">
              <w:rPr>
                <w:lang w:val="lv-LV" w:eastAsia="lv-LV"/>
              </w:rPr>
              <w:t xml:space="preserve"> </w:t>
            </w:r>
            <w:r w:rsidR="00A106F1" w:rsidRPr="00091A1D">
              <w:rPr>
                <w:lang w:val="lv-LV" w:eastAsia="lv-LV"/>
              </w:rPr>
              <w:t>datu centram</w:t>
            </w:r>
            <w:r w:rsidR="00291914" w:rsidRPr="00091A1D">
              <w:rPr>
                <w:lang w:val="lv-LV" w:eastAsia="lv-LV"/>
              </w:rPr>
              <w:t xml:space="preserve"> </w:t>
            </w:r>
            <w:r w:rsidR="001D1CF0" w:rsidRPr="00091A1D">
              <w:rPr>
                <w:lang w:val="lv-LV" w:eastAsia="lv-LV"/>
              </w:rPr>
              <w:t xml:space="preserve">par nokautajiem dzīvniekiem, </w:t>
            </w:r>
            <w:r w:rsidR="009D29EA" w:rsidRPr="00091A1D">
              <w:rPr>
                <w:lang w:val="lv-LV" w:eastAsia="lv-LV"/>
              </w:rPr>
              <w:t>dodot</w:t>
            </w:r>
            <w:r w:rsidR="00291914" w:rsidRPr="00091A1D">
              <w:rPr>
                <w:lang w:val="lv-LV" w:eastAsia="lv-LV"/>
              </w:rPr>
              <w:t xml:space="preserve"> </w:t>
            </w:r>
            <w:r w:rsidR="009D29EA" w:rsidRPr="00091A1D">
              <w:rPr>
                <w:lang w:val="lv-LV" w:eastAsia="lv-LV"/>
              </w:rPr>
              <w:t xml:space="preserve">iespēju </w:t>
            </w:r>
            <w:r w:rsidR="00291914" w:rsidRPr="00091A1D">
              <w:rPr>
                <w:lang w:val="lv-LV" w:eastAsia="lv-LV"/>
              </w:rPr>
              <w:t>precī</w:t>
            </w:r>
            <w:r w:rsidR="009D29EA" w:rsidRPr="00091A1D">
              <w:rPr>
                <w:lang w:val="lv-LV" w:eastAsia="lv-LV"/>
              </w:rPr>
              <w:t>zāk</w:t>
            </w:r>
            <w:r w:rsidR="00291914" w:rsidRPr="00091A1D">
              <w:rPr>
                <w:lang w:val="lv-LV" w:eastAsia="lv-LV"/>
              </w:rPr>
              <w:t xml:space="preserve"> izsekot </w:t>
            </w:r>
            <w:r w:rsidR="009D29EA" w:rsidRPr="00091A1D">
              <w:rPr>
                <w:lang w:val="lv-LV" w:eastAsia="lv-LV"/>
              </w:rPr>
              <w:t>vēl nenokauto dzīvnieku un nokauto dzīvnieku liemeņu</w:t>
            </w:r>
            <w:r w:rsidR="00291914" w:rsidRPr="00091A1D">
              <w:rPr>
                <w:lang w:val="lv-LV" w:eastAsia="lv-LV"/>
              </w:rPr>
              <w:t xml:space="preserve"> kustība</w:t>
            </w:r>
            <w:r w:rsidR="001D1CF0" w:rsidRPr="00091A1D">
              <w:rPr>
                <w:lang w:val="lv-LV" w:eastAsia="lv-LV"/>
              </w:rPr>
              <w:t>i.</w:t>
            </w:r>
            <w:r w:rsidR="000632C2" w:rsidRPr="00091A1D">
              <w:rPr>
                <w:lang w:val="lv-LV" w:eastAsia="lv-LV"/>
              </w:rPr>
              <w:t xml:space="preserve"> </w:t>
            </w:r>
            <w:r w:rsidR="001D1CF0" w:rsidRPr="00091A1D">
              <w:rPr>
                <w:lang w:val="lv-LV" w:eastAsia="lv-LV"/>
              </w:rPr>
              <w:t>Turklāt ir s</w:t>
            </w:r>
            <w:r w:rsidR="001D1CF0" w:rsidRPr="00091A1D">
              <w:rPr>
                <w:lang w:val="lv-LV"/>
              </w:rPr>
              <w:t>amazināts ziņojamās informācijas apjoms, kā arī atvieglotas ziņošanas prasības par cūku liemeņiem</w:t>
            </w:r>
            <w:r w:rsidR="00524C50">
              <w:rPr>
                <w:lang w:val="lv-LV"/>
              </w:rPr>
              <w:t>.</w:t>
            </w:r>
            <w:r w:rsidR="000632C2" w:rsidRPr="00091A1D">
              <w:rPr>
                <w:lang w:val="lv-LV"/>
              </w:rPr>
              <w:t xml:space="preserve"> </w:t>
            </w:r>
            <w:r w:rsidR="00524C50">
              <w:rPr>
                <w:lang w:val="lv-LV"/>
              </w:rPr>
              <w:t>Ir precizēta arī prasība</w:t>
            </w:r>
            <w:r w:rsidR="000632C2" w:rsidRPr="00091A1D">
              <w:rPr>
                <w:lang w:val="lv-LV"/>
              </w:rPr>
              <w:t xml:space="preserve"> </w:t>
            </w:r>
            <w:r w:rsidR="001C6F01">
              <w:rPr>
                <w:lang w:val="lv-LV" w:eastAsia="lv-LV"/>
              </w:rPr>
              <w:t>par</w:t>
            </w:r>
            <w:r w:rsidR="00524C50">
              <w:rPr>
                <w:lang w:val="lv-LV" w:eastAsia="lv-LV"/>
              </w:rPr>
              <w:t xml:space="preserve"> to, ka </w:t>
            </w:r>
            <w:r w:rsidR="000632C2" w:rsidRPr="00091A1D">
              <w:rPr>
                <w:lang w:val="lv-LV" w:eastAsia="lv-LV"/>
              </w:rPr>
              <w:t>kautuvēm</w:t>
            </w:r>
            <w:r w:rsidR="000632C2" w:rsidRPr="00091A1D">
              <w:rPr>
                <w:lang w:val="lv-LV"/>
              </w:rPr>
              <w:t xml:space="preserve"> </w:t>
            </w:r>
            <w:r w:rsidR="001C6F01">
              <w:rPr>
                <w:lang w:val="lv-LV"/>
              </w:rPr>
              <w:t xml:space="preserve">ir </w:t>
            </w:r>
            <w:r w:rsidR="000632C2" w:rsidRPr="00091A1D">
              <w:rPr>
                <w:lang w:val="lv-LV"/>
              </w:rPr>
              <w:t xml:space="preserve">jāziņo </w:t>
            </w:r>
            <w:r w:rsidR="000632C2" w:rsidRPr="00091A1D">
              <w:rPr>
                <w:color w:val="auto"/>
                <w:lang w:val="lv-LV" w:eastAsia="lv-LV"/>
              </w:rPr>
              <w:t>silta</w:t>
            </w:r>
            <w:r w:rsidR="000632C2" w:rsidRPr="00091A1D">
              <w:rPr>
                <w:lang w:val="lv-LV" w:eastAsia="lv-LV"/>
              </w:rPr>
              <w:t xml:space="preserve"> cūkas liemeņa svars, pēc kura</w:t>
            </w:r>
            <w:r w:rsidR="00524C50">
              <w:rPr>
                <w:lang w:val="lv-LV" w:eastAsia="lv-LV"/>
              </w:rPr>
              <w:t>,</w:t>
            </w:r>
            <w:r w:rsidR="00524C50" w:rsidRPr="00091A1D">
              <w:rPr>
                <w:lang w:val="lv-LV" w:eastAsia="lv-LV"/>
              </w:rPr>
              <w:t xml:space="preserve"> lai samazinātu aprēķinu kļūdu iespējamību</w:t>
            </w:r>
            <w:r w:rsidR="00524C50">
              <w:rPr>
                <w:lang w:val="lv-LV" w:eastAsia="lv-LV"/>
              </w:rPr>
              <w:t>,</w:t>
            </w:r>
            <w:r w:rsidR="000632C2" w:rsidRPr="00091A1D">
              <w:rPr>
                <w:lang w:val="lv-LV" w:eastAsia="lv-LV"/>
              </w:rPr>
              <w:t xml:space="preserve"> elektroniskā datu bāze</w:t>
            </w:r>
            <w:r w:rsidR="00DA5103" w:rsidRPr="00091A1D">
              <w:rPr>
                <w:lang w:val="lv-LV" w:eastAsia="lv-LV"/>
              </w:rPr>
              <w:t xml:space="preserve"> automātiski pārrēķin</w:t>
            </w:r>
            <w:r w:rsidR="00524C50">
              <w:rPr>
                <w:lang w:val="lv-LV" w:eastAsia="lv-LV"/>
              </w:rPr>
              <w:t>a</w:t>
            </w:r>
            <w:r w:rsidR="00F918EC" w:rsidRPr="00091A1D">
              <w:rPr>
                <w:lang w:val="lv-LV" w:eastAsia="lv-LV"/>
              </w:rPr>
              <w:t xml:space="preserve"> auksto svaru</w:t>
            </w:r>
            <w:r w:rsidR="009D29EA" w:rsidRPr="00091A1D">
              <w:rPr>
                <w:lang w:val="lv-LV" w:eastAsia="lv-LV"/>
              </w:rPr>
              <w:t>;</w:t>
            </w:r>
          </w:p>
          <w:p w:rsidR="00735F4D" w:rsidRDefault="000329F7" w:rsidP="00CC247C">
            <w:pPr>
              <w:pStyle w:val="Komentrateksts"/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</w:t>
            </w:r>
            <w:r w:rsidR="009D29EA" w:rsidRPr="00091A1D">
              <w:rPr>
                <w:color w:val="000000"/>
                <w:sz w:val="24"/>
                <w:szCs w:val="24"/>
                <w:lang w:val="lv-LV"/>
              </w:rPr>
              <w:t xml:space="preserve">) </w:t>
            </w:r>
            <w:r w:rsidR="001C6F01">
              <w:rPr>
                <w:sz w:val="24"/>
                <w:szCs w:val="24"/>
                <w:lang w:val="lv-LV"/>
              </w:rPr>
              <w:t>patlaban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 noteikumos </w:t>
            </w:r>
            <w:r w:rsidR="00B225BA" w:rsidRPr="00091A1D">
              <w:rPr>
                <w:sz w:val="24"/>
                <w:szCs w:val="24"/>
                <w:lang w:val="lv-LV"/>
              </w:rPr>
              <w:t>N</w:t>
            </w:r>
            <w:r w:rsidR="00735F4D" w:rsidRPr="00091A1D">
              <w:rPr>
                <w:sz w:val="24"/>
                <w:szCs w:val="24"/>
                <w:lang w:val="lv-LV"/>
              </w:rPr>
              <w:t>r.1171 ir noteikta prasība kautuvēm katru gadu līdz 15.martam paziņot transporta izmaksas par iepriekšējo gadu</w:t>
            </w:r>
            <w:r w:rsidR="009D29EA" w:rsidRPr="00091A1D">
              <w:rPr>
                <w:sz w:val="24"/>
                <w:szCs w:val="24"/>
                <w:lang w:val="lv-LV"/>
              </w:rPr>
              <w:t>.</w:t>
            </w:r>
            <w:r w:rsidR="00711D41" w:rsidRPr="00091A1D">
              <w:rPr>
                <w:sz w:val="24"/>
                <w:szCs w:val="24"/>
                <w:lang w:val="lv-LV"/>
              </w:rPr>
              <w:t xml:space="preserve"> </w:t>
            </w:r>
            <w:r w:rsidR="001C6F01">
              <w:rPr>
                <w:sz w:val="24"/>
                <w:szCs w:val="24"/>
                <w:lang w:val="lv-LV"/>
              </w:rPr>
              <w:t>Tā kā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 uzņēmumiem līdz 31.martam ir jāsagatavo un </w:t>
            </w:r>
            <w:r w:rsidR="001C6F01" w:rsidRPr="00091A1D">
              <w:rPr>
                <w:sz w:val="24"/>
                <w:szCs w:val="24"/>
                <w:lang w:val="lv-LV"/>
              </w:rPr>
              <w:t xml:space="preserve">Valsts ieņēmumu dienestā </w:t>
            </w:r>
            <w:r w:rsidR="00735F4D" w:rsidRPr="00091A1D">
              <w:rPr>
                <w:sz w:val="24"/>
                <w:szCs w:val="24"/>
                <w:lang w:val="lv-LV"/>
              </w:rPr>
              <w:t>jāiesniedz gada pārskati, k</w:t>
            </w:r>
            <w:r w:rsidR="001C6F01">
              <w:rPr>
                <w:sz w:val="24"/>
                <w:szCs w:val="24"/>
                <w:lang w:val="lv-LV"/>
              </w:rPr>
              <w:t>urā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 arī tiek apkopotas transporta izmaksas par iepriekšējo gadu, tad </w:t>
            </w:r>
            <w:r w:rsidR="001C6F01">
              <w:rPr>
                <w:sz w:val="24"/>
                <w:szCs w:val="24"/>
                <w:lang w:val="lv-LV"/>
              </w:rPr>
              <w:t>ir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 lietderīgi prasīt transporta izmaksas </w:t>
            </w:r>
            <w:r w:rsidR="001C6F01" w:rsidRPr="00091A1D">
              <w:rPr>
                <w:sz w:val="24"/>
                <w:szCs w:val="24"/>
                <w:lang w:val="lv-LV"/>
              </w:rPr>
              <w:t xml:space="preserve">iesniegt 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pēc 31.marta, kad tās jau ir apkopotas un uzņēmumu grāmatvedība vairs nav tik noslogota. Papildus </w:t>
            </w:r>
            <w:r w:rsidR="00A90368">
              <w:rPr>
                <w:sz w:val="24"/>
                <w:szCs w:val="24"/>
                <w:lang w:val="lv-LV"/>
              </w:rPr>
              <w:t>ir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 precizēt</w:t>
            </w:r>
            <w:r w:rsidR="00A90368">
              <w:rPr>
                <w:sz w:val="24"/>
                <w:szCs w:val="24"/>
                <w:lang w:val="lv-LV"/>
              </w:rPr>
              <w:t>as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 </w:t>
            </w:r>
            <w:r w:rsidR="00A90368">
              <w:rPr>
                <w:sz w:val="24"/>
                <w:szCs w:val="24"/>
                <w:lang w:val="lv-LV"/>
              </w:rPr>
              <w:t xml:space="preserve">izmaksas, </w:t>
            </w:r>
            <w:r w:rsidR="00735F4D" w:rsidRPr="00091A1D">
              <w:rPr>
                <w:sz w:val="24"/>
                <w:szCs w:val="24"/>
                <w:lang w:val="lv-LV"/>
              </w:rPr>
              <w:t>k</w:t>
            </w:r>
            <w:r w:rsidR="001C6F01">
              <w:rPr>
                <w:sz w:val="24"/>
                <w:szCs w:val="24"/>
                <w:lang w:val="lv-LV"/>
              </w:rPr>
              <w:t>ur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as </w:t>
            </w:r>
            <w:r w:rsidR="00A90368">
              <w:rPr>
                <w:sz w:val="24"/>
                <w:szCs w:val="24"/>
                <w:lang w:val="lv-LV"/>
              </w:rPr>
              <w:t>ir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 iekļaujamas transporta </w:t>
            </w:r>
            <w:r w:rsidR="00A90368">
              <w:rPr>
                <w:sz w:val="24"/>
                <w:szCs w:val="24"/>
                <w:lang w:val="lv-LV"/>
              </w:rPr>
              <w:t xml:space="preserve">uzturēšanas 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izmaksu aprēķinā, jo </w:t>
            </w:r>
            <w:r w:rsidR="001C6F01">
              <w:rPr>
                <w:sz w:val="24"/>
                <w:szCs w:val="24"/>
                <w:lang w:val="lv-LV"/>
              </w:rPr>
              <w:t>patlaban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 katra kautuve </w:t>
            </w:r>
            <w:r w:rsidR="00EA7534" w:rsidRPr="00091A1D">
              <w:rPr>
                <w:sz w:val="24"/>
                <w:szCs w:val="24"/>
                <w:lang w:val="lv-LV"/>
              </w:rPr>
              <w:t xml:space="preserve">tās </w:t>
            </w:r>
            <w:r w:rsidR="00A90368">
              <w:rPr>
                <w:sz w:val="24"/>
                <w:szCs w:val="24"/>
                <w:lang w:val="lv-LV"/>
              </w:rPr>
              <w:t>aprēķina</w:t>
            </w:r>
            <w:r w:rsidR="00EA7534" w:rsidRPr="00091A1D">
              <w:rPr>
                <w:sz w:val="24"/>
                <w:szCs w:val="24"/>
                <w:lang w:val="lv-LV"/>
              </w:rPr>
              <w:t xml:space="preserve"> pēc saviem ieskatiem;</w:t>
            </w:r>
            <w:r w:rsidR="00735F4D" w:rsidRPr="00091A1D">
              <w:rPr>
                <w:sz w:val="24"/>
                <w:szCs w:val="24"/>
                <w:lang w:val="lv-LV"/>
              </w:rPr>
              <w:t xml:space="preserve"> </w:t>
            </w:r>
          </w:p>
          <w:p w:rsidR="00FF1BFF" w:rsidRDefault="00FF1BFF" w:rsidP="00CC247C">
            <w:pPr>
              <w:pStyle w:val="Komentrateksts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8) </w:t>
            </w:r>
            <w:r w:rsidR="001C6F01">
              <w:rPr>
                <w:sz w:val="24"/>
                <w:szCs w:val="24"/>
                <w:lang w:val="lv-LV"/>
              </w:rPr>
              <w:t>ievērojot</w:t>
            </w:r>
            <w:r w:rsidRPr="00FF1BFF">
              <w:rPr>
                <w:sz w:val="24"/>
                <w:szCs w:val="24"/>
                <w:lang w:val="lv-LV"/>
              </w:rPr>
              <w:t xml:space="preserve"> reāl</w:t>
            </w:r>
            <w:r w:rsidR="001C6F01">
              <w:rPr>
                <w:sz w:val="24"/>
                <w:szCs w:val="24"/>
                <w:lang w:val="lv-LV"/>
              </w:rPr>
              <w:t>o</w:t>
            </w:r>
            <w:r w:rsidRPr="00FF1BFF">
              <w:rPr>
                <w:sz w:val="24"/>
                <w:szCs w:val="24"/>
                <w:lang w:val="lv-LV"/>
              </w:rPr>
              <w:t xml:space="preserve"> situācij</w:t>
            </w:r>
            <w:r w:rsidR="001C6F01">
              <w:rPr>
                <w:sz w:val="24"/>
                <w:szCs w:val="24"/>
                <w:lang w:val="lv-LV"/>
              </w:rPr>
              <w:t>u,</w:t>
            </w:r>
            <w:r w:rsidRPr="00FF1BFF">
              <w:rPr>
                <w:sz w:val="24"/>
                <w:szCs w:val="24"/>
                <w:lang w:val="lv-LV"/>
              </w:rPr>
              <w:t xml:space="preserve"> ir aktualizēta un precizēta prasība</w:t>
            </w:r>
            <w:r>
              <w:rPr>
                <w:sz w:val="24"/>
                <w:szCs w:val="24"/>
                <w:lang w:val="lv-LV"/>
              </w:rPr>
              <w:t xml:space="preserve"> par ikgadējā ziņojuma nosūtīšanu Eiropas Komisijai;</w:t>
            </w:r>
          </w:p>
          <w:p w:rsidR="00796CB9" w:rsidRPr="00796CB9" w:rsidRDefault="00FF1BFF" w:rsidP="00CC247C">
            <w:pPr>
              <w:pStyle w:val="Komentrateksts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  <w:r w:rsidR="00796CB9">
              <w:rPr>
                <w:sz w:val="24"/>
                <w:szCs w:val="24"/>
                <w:lang w:val="lv-LV"/>
              </w:rPr>
              <w:t xml:space="preserve">) atbilstoši </w:t>
            </w:r>
            <w:r w:rsidR="00796CB9" w:rsidRPr="00796CB9">
              <w:rPr>
                <w:sz w:val="24"/>
                <w:szCs w:val="24"/>
                <w:lang w:val="lv-LV"/>
              </w:rPr>
              <w:t>Regulas Nr.1249/2008 24.panta 3.punkta „a” apakšpunkt</w:t>
            </w:r>
            <w:r w:rsidR="001C6F01">
              <w:rPr>
                <w:sz w:val="24"/>
                <w:szCs w:val="24"/>
                <w:lang w:val="lv-LV"/>
              </w:rPr>
              <w:t>a</w:t>
            </w:r>
            <w:r w:rsidR="00796CB9" w:rsidRPr="00796CB9">
              <w:rPr>
                <w:sz w:val="24"/>
                <w:szCs w:val="24"/>
                <w:lang w:val="lv-LV"/>
              </w:rPr>
              <w:t xml:space="preserve"> nosacījumam ir aktualizēta prasība </w:t>
            </w:r>
            <w:r w:rsidR="001C6F01">
              <w:rPr>
                <w:sz w:val="24"/>
                <w:szCs w:val="24"/>
                <w:lang w:val="lv-LV"/>
              </w:rPr>
              <w:t xml:space="preserve">par </w:t>
            </w:r>
            <w:r w:rsidR="00796CB9" w:rsidRPr="00796CB9">
              <w:rPr>
                <w:sz w:val="24"/>
                <w:szCs w:val="24"/>
                <w:lang w:val="lv-LV"/>
              </w:rPr>
              <w:t xml:space="preserve"> </w:t>
            </w:r>
            <w:r w:rsidR="00825CFC" w:rsidRPr="00796CB9">
              <w:rPr>
                <w:sz w:val="24"/>
                <w:szCs w:val="24"/>
                <w:lang w:val="lv-LV"/>
              </w:rPr>
              <w:t>pārbaudāmo</w:t>
            </w:r>
            <w:r w:rsidR="00796CB9" w:rsidRPr="00796CB9">
              <w:rPr>
                <w:sz w:val="24"/>
                <w:szCs w:val="24"/>
                <w:lang w:val="lv-LV"/>
              </w:rPr>
              <w:t xml:space="preserve"> c</w:t>
            </w:r>
            <w:r w:rsidR="00796CB9">
              <w:rPr>
                <w:sz w:val="24"/>
                <w:szCs w:val="24"/>
                <w:lang w:val="lv-LV"/>
              </w:rPr>
              <w:t>ūku skaitu mazajās kautuvēs</w:t>
            </w:r>
            <w:r w:rsidR="00825CFC">
              <w:rPr>
                <w:sz w:val="24"/>
                <w:szCs w:val="24"/>
                <w:lang w:val="lv-LV"/>
              </w:rPr>
              <w:t>,</w:t>
            </w:r>
            <w:r w:rsidR="00796CB9">
              <w:rPr>
                <w:sz w:val="24"/>
                <w:szCs w:val="24"/>
                <w:lang w:val="lv-LV"/>
              </w:rPr>
              <w:t xml:space="preserve"> pamatojoties uz riska novērtējumu un nokauto cūku skaitu;</w:t>
            </w:r>
          </w:p>
          <w:p w:rsidR="00A2193B" w:rsidRPr="00091A1D" w:rsidRDefault="00FF1BFF" w:rsidP="00252D09">
            <w:pPr>
              <w:pStyle w:val="Default"/>
              <w:jc w:val="both"/>
              <w:rPr>
                <w:lang w:val="lv-LV"/>
              </w:rPr>
            </w:pPr>
            <w:r>
              <w:rPr>
                <w:lang w:val="lv-LV" w:eastAsia="lv-LV"/>
              </w:rPr>
              <w:t>10</w:t>
            </w:r>
            <w:r w:rsidR="009D29EA" w:rsidRPr="00091A1D">
              <w:rPr>
                <w:lang w:val="lv-LV" w:eastAsia="lv-LV"/>
              </w:rPr>
              <w:t xml:space="preserve">) </w:t>
            </w:r>
            <w:r w:rsidR="00F707EA" w:rsidRPr="00091A1D">
              <w:rPr>
                <w:lang w:val="lv-LV" w:eastAsia="lv-LV"/>
              </w:rPr>
              <w:t>2013.gada 3.</w:t>
            </w:r>
            <w:r w:rsidR="001C6F01">
              <w:rPr>
                <w:lang w:val="lv-LV" w:eastAsia="lv-LV"/>
              </w:rPr>
              <w:t>–</w:t>
            </w:r>
            <w:r w:rsidR="00F707EA" w:rsidRPr="00091A1D">
              <w:rPr>
                <w:lang w:val="lv-LV" w:eastAsia="lv-LV"/>
              </w:rPr>
              <w:t xml:space="preserve">5.jūlijā Latvijā notika </w:t>
            </w:r>
            <w:r w:rsidR="00FA37E6" w:rsidRPr="00091A1D">
              <w:rPr>
                <w:lang w:val="lv-LV"/>
              </w:rPr>
              <w:t xml:space="preserve">Eiropas </w:t>
            </w:r>
            <w:r w:rsidR="00F707EA" w:rsidRPr="00091A1D">
              <w:rPr>
                <w:lang w:val="lv-LV"/>
              </w:rPr>
              <w:t>Savienības</w:t>
            </w:r>
            <w:r w:rsidR="00FA37E6" w:rsidRPr="00091A1D">
              <w:rPr>
                <w:lang w:val="lv-LV"/>
              </w:rPr>
              <w:t xml:space="preserve"> </w:t>
            </w:r>
            <w:r w:rsidR="00FA37E6" w:rsidRPr="00091A1D">
              <w:rPr>
                <w:bCs/>
                <w:lang w:val="lv-LV"/>
              </w:rPr>
              <w:t>liellopu liemeņu klasifikācijas</w:t>
            </w:r>
            <w:r w:rsidR="00FA37E6" w:rsidRPr="00091A1D">
              <w:rPr>
                <w:lang w:val="lv-LV"/>
              </w:rPr>
              <w:t xml:space="preserve"> </w:t>
            </w:r>
            <w:r w:rsidR="00F707EA" w:rsidRPr="00091A1D">
              <w:rPr>
                <w:lang w:val="lv-LV"/>
              </w:rPr>
              <w:t xml:space="preserve">pārbaudes Komitejas vizīte, kuras laikā kautuvēs tika konstatēts </w:t>
            </w:r>
            <w:r w:rsidR="001C6F01">
              <w:rPr>
                <w:lang w:val="lv-LV"/>
              </w:rPr>
              <w:t>daudz</w:t>
            </w:r>
            <w:r w:rsidR="00F707EA" w:rsidRPr="00091A1D">
              <w:rPr>
                <w:lang w:val="lv-LV"/>
              </w:rPr>
              <w:t xml:space="preserve"> neatbilstību </w:t>
            </w:r>
            <w:r w:rsidR="001C6F01">
              <w:rPr>
                <w:lang w:val="lv-LV"/>
              </w:rPr>
              <w:t>saistībā ar</w:t>
            </w:r>
            <w:r w:rsidR="00F707EA" w:rsidRPr="00091A1D">
              <w:rPr>
                <w:lang w:val="lv-LV"/>
              </w:rPr>
              <w:t xml:space="preserve"> liellopu liemeņu uzbūves un tauku slāņa klasifikācijas rezultātiem, kā arī liellopu liemeņu noformējumu.</w:t>
            </w:r>
            <w:r w:rsidR="008E7CE3" w:rsidRPr="00091A1D">
              <w:rPr>
                <w:lang w:val="lv-LV"/>
              </w:rPr>
              <w:t xml:space="preserve"> P</w:t>
            </w:r>
            <w:r w:rsidR="009C1BDB" w:rsidRPr="00091A1D">
              <w:rPr>
                <w:lang w:val="lv-LV"/>
              </w:rPr>
              <w:t xml:space="preserve">ārbaudes </w:t>
            </w:r>
            <w:r w:rsidR="007B0576" w:rsidRPr="00091A1D">
              <w:rPr>
                <w:lang w:val="lv-LV"/>
              </w:rPr>
              <w:t>Komiteja aizrādīja, ka</w:t>
            </w:r>
            <w:r w:rsidR="009C1BDB" w:rsidRPr="00091A1D">
              <w:rPr>
                <w:lang w:val="lv-LV"/>
              </w:rPr>
              <w:t xml:space="preserve"> ir</w:t>
            </w:r>
            <w:r w:rsidR="008E7CE3" w:rsidRPr="00091A1D">
              <w:rPr>
                <w:lang w:val="lv-LV"/>
              </w:rPr>
              <w:t xml:space="preserve"> nepieciešama biežāka liellopu liemeņu klasificētāju apmācība, nevis</w:t>
            </w:r>
            <w:r w:rsidR="009C1BDB" w:rsidRPr="00091A1D">
              <w:rPr>
                <w:lang w:val="lv-LV"/>
              </w:rPr>
              <w:t xml:space="preserve"> tikai </w:t>
            </w:r>
            <w:r w:rsidR="00B13D78" w:rsidRPr="00091A1D">
              <w:rPr>
                <w:lang w:val="lv-LV"/>
              </w:rPr>
              <w:t xml:space="preserve">vienu </w:t>
            </w:r>
            <w:r w:rsidR="009C1BDB" w:rsidRPr="00091A1D">
              <w:rPr>
                <w:lang w:val="lv-LV"/>
              </w:rPr>
              <w:t>reizi trijos gados</w:t>
            </w:r>
            <w:r w:rsidR="008E7CE3" w:rsidRPr="00091A1D">
              <w:rPr>
                <w:lang w:val="lv-LV"/>
              </w:rPr>
              <w:t xml:space="preserve">, </w:t>
            </w:r>
            <w:r w:rsidR="009C1BDB" w:rsidRPr="00091A1D">
              <w:rPr>
                <w:lang w:val="lv-LV"/>
              </w:rPr>
              <w:t>jo</w:t>
            </w:r>
            <w:r w:rsidR="008E7CE3" w:rsidRPr="00091A1D">
              <w:rPr>
                <w:lang w:val="lv-LV"/>
              </w:rPr>
              <w:t xml:space="preserve"> liellopu liemeņu klasifikācija notiek</w:t>
            </w:r>
            <w:r w:rsidR="001C6F01">
              <w:rPr>
                <w:lang w:val="lv-LV"/>
              </w:rPr>
              <w:t>,</w:t>
            </w:r>
            <w:r w:rsidR="008E7CE3" w:rsidRPr="00091A1D">
              <w:rPr>
                <w:lang w:val="lv-LV"/>
              </w:rPr>
              <w:t xml:space="preserve"> liemeni novērtējot vizuāli, un ir</w:t>
            </w:r>
            <w:r w:rsidR="009C1BDB" w:rsidRPr="00091A1D">
              <w:rPr>
                <w:lang w:val="lv-LV"/>
              </w:rPr>
              <w:t xml:space="preserve"> nepieciešams</w:t>
            </w:r>
            <w:r w:rsidR="008E7CE3" w:rsidRPr="00091A1D">
              <w:rPr>
                <w:lang w:val="lv-LV"/>
              </w:rPr>
              <w:t xml:space="preserve"> nepārtraukti</w:t>
            </w:r>
            <w:r w:rsidR="009C1BDB" w:rsidRPr="00091A1D">
              <w:rPr>
                <w:lang w:val="lv-LV"/>
              </w:rPr>
              <w:t xml:space="preserve"> </w:t>
            </w:r>
            <w:r w:rsidR="008E7CE3" w:rsidRPr="00091A1D">
              <w:rPr>
                <w:lang w:val="lv-LV"/>
              </w:rPr>
              <w:t>pilnveidot un uzlabot klasifikācijas prasmes.</w:t>
            </w:r>
            <w:r w:rsidR="007B0576" w:rsidRPr="00091A1D">
              <w:rPr>
                <w:lang w:val="lv-LV"/>
              </w:rPr>
              <w:t xml:space="preserve"> </w:t>
            </w:r>
            <w:r w:rsidR="001C6F01">
              <w:rPr>
                <w:lang w:val="lv-LV"/>
              </w:rPr>
              <w:t>Tāpēc</w:t>
            </w:r>
            <w:r w:rsidR="00B30E7C" w:rsidRPr="00091A1D">
              <w:rPr>
                <w:lang w:val="lv-LV"/>
              </w:rPr>
              <w:t xml:space="preserve"> </w:t>
            </w:r>
            <w:r w:rsidR="00FA37E6" w:rsidRPr="00091A1D">
              <w:rPr>
                <w:lang w:val="lv-LV"/>
              </w:rPr>
              <w:t>noteikumu projektā ir</w:t>
            </w:r>
            <w:r w:rsidR="009C1BDB" w:rsidRPr="00091A1D">
              <w:rPr>
                <w:lang w:val="lv-LV"/>
              </w:rPr>
              <w:t xml:space="preserve"> </w:t>
            </w:r>
            <w:r w:rsidR="00B30E7C" w:rsidRPr="00091A1D">
              <w:rPr>
                <w:lang w:val="lv-LV"/>
              </w:rPr>
              <w:lastRenderedPageBreak/>
              <w:t>palielināts</w:t>
            </w:r>
            <w:r w:rsidR="008E7CE3" w:rsidRPr="00091A1D">
              <w:rPr>
                <w:lang w:val="lv-LV"/>
              </w:rPr>
              <w:t xml:space="preserve"> liellopu liemeņu klasificētāj</w:t>
            </w:r>
            <w:r w:rsidR="00B30E7C" w:rsidRPr="00091A1D">
              <w:rPr>
                <w:lang w:val="lv-LV"/>
              </w:rPr>
              <w:t>u</w:t>
            </w:r>
            <w:r w:rsidR="008E7CE3" w:rsidRPr="00091A1D">
              <w:rPr>
                <w:lang w:val="lv-LV"/>
              </w:rPr>
              <w:t xml:space="preserve"> kvalifikācijas paaugstināšanas kursu</w:t>
            </w:r>
            <w:r w:rsidR="00B30E7C" w:rsidRPr="00091A1D">
              <w:rPr>
                <w:lang w:val="lv-LV"/>
              </w:rPr>
              <w:t xml:space="preserve"> apmeklēšanas biežums</w:t>
            </w:r>
            <w:r w:rsidR="001C6F01">
              <w:rPr>
                <w:lang w:val="lv-LV"/>
              </w:rPr>
              <w:t>,</w:t>
            </w:r>
            <w:r w:rsidR="00B30E7C" w:rsidRPr="00091A1D">
              <w:rPr>
                <w:lang w:val="lv-LV"/>
              </w:rPr>
              <w:t xml:space="preserve"> t.i.</w:t>
            </w:r>
            <w:r w:rsidR="001C6F01">
              <w:rPr>
                <w:lang w:val="lv-LV"/>
              </w:rPr>
              <w:t>,</w:t>
            </w:r>
            <w:r w:rsidR="00B30E7C" w:rsidRPr="00091A1D">
              <w:rPr>
                <w:sz w:val="28"/>
                <w:szCs w:val="28"/>
                <w:lang w:val="lv-LV" w:eastAsia="lv-LV"/>
              </w:rPr>
              <w:t xml:space="preserve"> </w:t>
            </w:r>
            <w:r w:rsidR="00B30E7C" w:rsidRPr="00091A1D">
              <w:rPr>
                <w:lang w:val="lv-LV" w:eastAsia="lv-LV"/>
              </w:rPr>
              <w:t xml:space="preserve">reizi </w:t>
            </w:r>
            <w:r w:rsidR="00B30E7C" w:rsidRPr="00091A1D">
              <w:rPr>
                <w:color w:val="auto"/>
                <w:lang w:val="lv-LV" w:eastAsia="lv-LV"/>
              </w:rPr>
              <w:t>divos</w:t>
            </w:r>
            <w:r w:rsidR="00B30E7C" w:rsidRPr="00091A1D">
              <w:rPr>
                <w:lang w:val="lv-LV" w:eastAsia="lv-LV"/>
              </w:rPr>
              <w:t xml:space="preserve"> gados.</w:t>
            </w:r>
          </w:p>
          <w:p w:rsidR="007B0576" w:rsidRPr="00091A1D" w:rsidRDefault="00F918EC" w:rsidP="00252D09">
            <w:pPr>
              <w:pStyle w:val="Default"/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 xml:space="preserve">Noteikumu projekts ir papildināts ar punktu, kurā noteiktas prasības gadījumā, ja liemeņu </w:t>
            </w:r>
            <w:r w:rsidRPr="00091A1D">
              <w:rPr>
                <w:color w:val="auto"/>
                <w:lang w:val="lv-LV" w:eastAsia="lv-LV"/>
              </w:rPr>
              <w:t xml:space="preserve">klasificētāja </w:t>
            </w:r>
            <w:r w:rsidRPr="00091A1D">
              <w:rPr>
                <w:color w:val="auto"/>
                <w:lang w:val="lv-LV"/>
              </w:rPr>
              <w:t>kvalifikāciju apliecinošais</w:t>
            </w:r>
            <w:r w:rsidR="002C45E9">
              <w:rPr>
                <w:color w:val="auto"/>
                <w:lang w:val="lv-LV"/>
              </w:rPr>
              <w:t xml:space="preserve"> </w:t>
            </w:r>
            <w:r w:rsidRPr="00091A1D">
              <w:rPr>
                <w:color w:val="auto"/>
                <w:lang w:val="lv-LV" w:eastAsia="lv-LV"/>
              </w:rPr>
              <w:t>sertifikāts tiek anulēts.</w:t>
            </w:r>
          </w:p>
          <w:p w:rsidR="00F918EC" w:rsidRDefault="00825CFC" w:rsidP="00252D09">
            <w:pPr>
              <w:pStyle w:val="Default"/>
              <w:jc w:val="both"/>
              <w:rPr>
                <w:lang w:val="lv-LV"/>
              </w:rPr>
            </w:pPr>
            <w:r w:rsidRPr="00091A1D">
              <w:rPr>
                <w:rStyle w:val="Izteiksmgs"/>
                <w:b w:val="0"/>
                <w:lang w:val="lv-LV"/>
              </w:rPr>
              <w:t>Noteikumu</w:t>
            </w:r>
            <w:r w:rsidRPr="00091A1D">
              <w:rPr>
                <w:lang w:val="lv-LV"/>
              </w:rPr>
              <w:t xml:space="preserve"> projektā ir izdarīti arī </w:t>
            </w:r>
            <w:r w:rsidRPr="00A90368">
              <w:rPr>
                <w:lang w:val="lv-LV"/>
              </w:rPr>
              <w:t>tehniski un redakcionāli</w:t>
            </w:r>
            <w:r w:rsidRPr="00091A1D">
              <w:rPr>
                <w:lang w:val="lv-LV"/>
              </w:rPr>
              <w:t xml:space="preserve"> grozījumi</w:t>
            </w:r>
            <w:r>
              <w:rPr>
                <w:lang w:val="lv-LV"/>
              </w:rPr>
              <w:t>.</w:t>
            </w:r>
          </w:p>
          <w:p w:rsidR="009F0547" w:rsidRPr="00091A1D" w:rsidRDefault="009F0547" w:rsidP="00252D09">
            <w:pPr>
              <w:pStyle w:val="Default"/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Līdz ar noteikumu projekta spēkā stāšanos spēku zaudē Ministru kabineta 2009.gada 13.oktobra noteikumi Nr.1171 „</w:t>
            </w:r>
            <w:r w:rsidRPr="00091A1D">
              <w:rPr>
                <w:rStyle w:val="Izteiksmgs"/>
                <w:b w:val="0"/>
                <w:lang w:val="lv-LV"/>
              </w:rPr>
              <w:t>Noteikumi par dzīvnieku</w:t>
            </w:r>
            <w:r w:rsidRPr="00091A1D">
              <w:rPr>
                <w:b/>
                <w:lang w:val="lv-LV"/>
              </w:rPr>
              <w:t xml:space="preserve"> </w:t>
            </w:r>
            <w:r w:rsidRPr="00091A1D">
              <w:rPr>
                <w:rStyle w:val="Izteiksmgs"/>
                <w:b w:val="0"/>
                <w:lang w:val="lv-LV"/>
              </w:rPr>
              <w:t>liemeņu apstrādes kvalitāti, klasifikāciju un marķēšanu, kā arī kārtību, kādā tiek novērtēta dzīvnieku liemeņu atbilstība apstrādes kvalitātes un klasifikācijas prasībām un tiek vākta un apkopota informācija par dzīvnieku liemeņu cenām”.</w:t>
            </w:r>
          </w:p>
          <w:p w:rsidR="00735F4D" w:rsidRPr="00091A1D" w:rsidRDefault="00735F4D" w:rsidP="00252D09">
            <w:pPr>
              <w:pStyle w:val="Default"/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Noteikumu projekts pilnībā atrisinās minētās problēmas.</w:t>
            </w:r>
          </w:p>
        </w:tc>
      </w:tr>
      <w:tr w:rsidR="00735F4D" w:rsidRPr="00760A89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735F4D" w:rsidRPr="00091A1D" w:rsidRDefault="00711D41" w:rsidP="000A633B">
            <w:pPr>
              <w:jc w:val="both"/>
              <w:rPr>
                <w:highlight w:val="yellow"/>
                <w:lang w:val="lv-LV" w:eastAsia="lv-LV"/>
              </w:rPr>
            </w:pPr>
            <w:r w:rsidRPr="00091A1D">
              <w:rPr>
                <w:lang w:val="lv-LV"/>
              </w:rPr>
              <w:t>Pārtikas un</w:t>
            </w:r>
            <w:r w:rsidR="00A2193B" w:rsidRPr="00091A1D">
              <w:rPr>
                <w:lang w:val="lv-LV"/>
              </w:rPr>
              <w:t xml:space="preserve"> veterinārais dienests un</w:t>
            </w:r>
            <w:r w:rsidR="00A2193B" w:rsidRPr="00091A1D">
              <w:rPr>
                <w:lang w:val="lv-LV" w:eastAsia="lv-LV"/>
              </w:rPr>
              <w:t xml:space="preserve"> Lauksaimniecības datu centrs</w:t>
            </w:r>
          </w:p>
        </w:tc>
      </w:tr>
      <w:tr w:rsidR="00735F4D" w:rsidRPr="00091A1D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735F4D" w:rsidRPr="00091A1D" w:rsidRDefault="00735F4D" w:rsidP="005D73DE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091A1D">
              <w:rPr>
                <w:color w:val="000000"/>
                <w:lang w:val="lv-LV"/>
              </w:rPr>
              <w:t>Nav</w:t>
            </w:r>
          </w:p>
        </w:tc>
      </w:tr>
    </w:tbl>
    <w:p w:rsidR="00735F4D" w:rsidRPr="00091A1D" w:rsidRDefault="00735F4D">
      <w:pPr>
        <w:rPr>
          <w:color w:val="000000"/>
          <w:lang w:val="lv-LV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638"/>
        <w:gridCol w:w="5849"/>
      </w:tblGrid>
      <w:tr w:rsidR="00660652" w:rsidRPr="0060677D" w:rsidTr="009C39C3">
        <w:tc>
          <w:tcPr>
            <w:tcW w:w="9180" w:type="dxa"/>
            <w:gridSpan w:val="3"/>
          </w:tcPr>
          <w:p w:rsidR="00660652" w:rsidRPr="00091A1D" w:rsidRDefault="00660652" w:rsidP="009C39C3">
            <w:pPr>
              <w:pStyle w:val="Paraststmeklis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091A1D">
              <w:rPr>
                <w:b/>
                <w:lang w:val="lv-LV"/>
              </w:rPr>
              <w:t>II. Tiesību akta projekta ietekme uz sabiedrību,</w:t>
            </w:r>
            <w:r w:rsidRPr="00091A1D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660652" w:rsidRPr="0060677D" w:rsidTr="009C39C3">
        <w:tc>
          <w:tcPr>
            <w:tcW w:w="692" w:type="dxa"/>
          </w:tcPr>
          <w:p w:rsidR="00660652" w:rsidRPr="00091A1D" w:rsidRDefault="00660652" w:rsidP="009C39C3">
            <w:pPr>
              <w:pStyle w:val="Paraststmeklis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1.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5850" w:type="dxa"/>
          </w:tcPr>
          <w:p w:rsidR="00660652" w:rsidRPr="00091A1D" w:rsidRDefault="009A0DB5" w:rsidP="00EA7534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091A1D">
              <w:rPr>
                <w:rStyle w:val="Izteiksmgs"/>
                <w:b w:val="0"/>
                <w:lang w:val="lv-LV"/>
              </w:rPr>
              <w:t xml:space="preserve">Dzīvnieku liemeņu klasifikācijas sistēmā </w:t>
            </w:r>
            <w:r w:rsidRPr="00091A1D">
              <w:rPr>
                <w:lang w:val="lv-LV"/>
              </w:rPr>
              <w:t>ies</w:t>
            </w:r>
            <w:r w:rsidR="0021483F" w:rsidRPr="00091A1D">
              <w:rPr>
                <w:lang w:val="lv-LV"/>
              </w:rPr>
              <w:t>aistītās kautuves (16 uzņēmum</w:t>
            </w:r>
            <w:r w:rsidR="001C6F01">
              <w:rPr>
                <w:lang w:val="lv-LV"/>
              </w:rPr>
              <w:t>u</w:t>
            </w:r>
            <w:r w:rsidR="00EA7534" w:rsidRPr="00091A1D">
              <w:rPr>
                <w:lang w:val="lv-LV"/>
              </w:rPr>
              <w:t>), kā arī</w:t>
            </w:r>
            <w:r w:rsidRPr="00091A1D">
              <w:rPr>
                <w:color w:val="000000"/>
                <w:lang w:val="lv-LV"/>
              </w:rPr>
              <w:t xml:space="preserve"> </w:t>
            </w:r>
            <w:r w:rsidR="00EA7534" w:rsidRPr="00091A1D">
              <w:rPr>
                <w:color w:val="000000"/>
                <w:lang w:val="lv-LV"/>
              </w:rPr>
              <w:t>k</w:t>
            </w:r>
            <w:r w:rsidRPr="00091A1D">
              <w:rPr>
                <w:color w:val="000000"/>
                <w:lang w:val="lv-LV"/>
              </w:rPr>
              <w:t>autuves, kas turpmāk vēlēsies iesaistīties d</w:t>
            </w:r>
            <w:r w:rsidRPr="00091A1D">
              <w:rPr>
                <w:rStyle w:val="Izteiksmgs"/>
                <w:b w:val="0"/>
                <w:lang w:val="lv-LV"/>
              </w:rPr>
              <w:t>zīvnieku liemeņu klasifikācijas sistēmā.</w:t>
            </w:r>
          </w:p>
        </w:tc>
      </w:tr>
      <w:tr w:rsidR="00660652" w:rsidRPr="001C6F01" w:rsidTr="009C39C3">
        <w:tc>
          <w:tcPr>
            <w:tcW w:w="692" w:type="dxa"/>
          </w:tcPr>
          <w:p w:rsidR="00660652" w:rsidRPr="00091A1D" w:rsidRDefault="00660652" w:rsidP="009C39C3">
            <w:pPr>
              <w:pStyle w:val="Pamatteksts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2.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widowControl w:val="0"/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5850" w:type="dxa"/>
          </w:tcPr>
          <w:p w:rsidR="00551144" w:rsidRPr="00091A1D" w:rsidRDefault="002F0B3C" w:rsidP="001C6F01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S</w:t>
            </w:r>
            <w:r w:rsidR="001D1CF0" w:rsidRPr="00091A1D">
              <w:rPr>
                <w:lang w:val="lv-LV"/>
              </w:rPr>
              <w:t>amazin</w:t>
            </w:r>
            <w:r w:rsidRPr="00091A1D">
              <w:rPr>
                <w:lang w:val="lv-LV"/>
              </w:rPr>
              <w:t>ot prasības par</w:t>
            </w:r>
            <w:r w:rsidR="001D1CF0" w:rsidRPr="00091A1D">
              <w:rPr>
                <w:lang w:val="lv-LV"/>
              </w:rPr>
              <w:t xml:space="preserve"> ziņojamās informācij</w:t>
            </w:r>
            <w:r w:rsidRPr="00091A1D">
              <w:rPr>
                <w:lang w:val="lv-LV"/>
              </w:rPr>
              <w:t>as apjomu</w:t>
            </w:r>
            <w:r w:rsidR="0021483F" w:rsidRPr="00091A1D">
              <w:rPr>
                <w:lang w:val="lv-LV"/>
              </w:rPr>
              <w:t xml:space="preserve"> </w:t>
            </w:r>
            <w:r w:rsidR="0021483F" w:rsidRPr="00091A1D">
              <w:rPr>
                <w:lang w:val="lv-LV" w:eastAsia="lv-LV"/>
              </w:rPr>
              <w:t xml:space="preserve">datu centram </w:t>
            </w:r>
            <w:r w:rsidR="0021483F" w:rsidRPr="00091A1D">
              <w:rPr>
                <w:lang w:val="lv-LV"/>
              </w:rPr>
              <w:t>par nokautajiem dzīvniekiem</w:t>
            </w:r>
            <w:r w:rsidR="001D1CF0" w:rsidRPr="00091A1D">
              <w:rPr>
                <w:lang w:val="lv-LV"/>
              </w:rPr>
              <w:t>, kā ar</w:t>
            </w:r>
            <w:r w:rsidRPr="00091A1D">
              <w:rPr>
                <w:lang w:val="lv-LV"/>
              </w:rPr>
              <w:t>ī atvieglojot</w:t>
            </w:r>
            <w:r w:rsidR="001D1CF0" w:rsidRPr="00091A1D">
              <w:rPr>
                <w:lang w:val="lv-LV"/>
              </w:rPr>
              <w:t xml:space="preserve"> ziņošanas prasības par cūku liemeņiem</w:t>
            </w:r>
            <w:r w:rsidR="003246AF">
              <w:rPr>
                <w:lang w:val="lv-LV"/>
              </w:rPr>
              <w:t xml:space="preserve"> un</w:t>
            </w:r>
            <w:r w:rsidR="003246AF">
              <w:rPr>
                <w:lang w:val="lv-LV" w:eastAsia="lv-LV"/>
              </w:rPr>
              <w:t xml:space="preserve"> atvieglojot prasību par to, kā kautuve nodrošina pieeju nepieciešamajai informācijai,</w:t>
            </w:r>
            <w:r w:rsidRPr="00091A1D">
              <w:rPr>
                <w:lang w:val="lv-LV"/>
              </w:rPr>
              <w:t xml:space="preserve"> administratīvais slogs kautuvēm tiek </w:t>
            </w:r>
            <w:r w:rsidR="0021483F" w:rsidRPr="00091A1D">
              <w:rPr>
                <w:lang w:val="lv-LV"/>
              </w:rPr>
              <w:t>samazin</w:t>
            </w:r>
            <w:r w:rsidRPr="00091A1D">
              <w:rPr>
                <w:lang w:val="lv-LV"/>
              </w:rPr>
              <w:t>āts. Turklāt ir atvieglota arī prasība par transporta izmaksu ziņošanu, pagarinot ziņošanas termiņu.</w:t>
            </w:r>
          </w:p>
        </w:tc>
      </w:tr>
      <w:tr w:rsidR="00660652" w:rsidRPr="00091A1D" w:rsidTr="009C39C3">
        <w:tc>
          <w:tcPr>
            <w:tcW w:w="692" w:type="dxa"/>
          </w:tcPr>
          <w:p w:rsidR="00660652" w:rsidRPr="00091A1D" w:rsidRDefault="00660652" w:rsidP="009C39C3">
            <w:pPr>
              <w:pStyle w:val="Pamatteksts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3.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Administratīvo izmaksu monetārs novērtējums</w:t>
            </w:r>
          </w:p>
        </w:tc>
        <w:tc>
          <w:tcPr>
            <w:tcW w:w="5850" w:type="dxa"/>
          </w:tcPr>
          <w:p w:rsidR="00660652" w:rsidRPr="00091A1D" w:rsidRDefault="0021483F" w:rsidP="009C39C3">
            <w:pPr>
              <w:jc w:val="both"/>
              <w:rPr>
                <w:lang w:val="lv-LV"/>
              </w:rPr>
            </w:pPr>
            <w:r w:rsidRPr="00091A1D">
              <w:rPr>
                <w:color w:val="000000"/>
                <w:lang w:val="lv-LV"/>
              </w:rPr>
              <w:t>Projekts šo jomu neskar.</w:t>
            </w:r>
          </w:p>
        </w:tc>
      </w:tr>
      <w:tr w:rsidR="00660652" w:rsidRPr="00091A1D" w:rsidTr="009C39C3">
        <w:tc>
          <w:tcPr>
            <w:tcW w:w="692" w:type="dxa"/>
          </w:tcPr>
          <w:p w:rsidR="00660652" w:rsidRPr="00091A1D" w:rsidRDefault="00660652" w:rsidP="009C39C3">
            <w:pPr>
              <w:pStyle w:val="Pamatteksts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4.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pStyle w:val="Pamatteksts"/>
              <w:rPr>
                <w:lang w:val="lv-LV"/>
              </w:rPr>
            </w:pPr>
            <w:r w:rsidRPr="00091A1D">
              <w:rPr>
                <w:lang w:val="lv-LV"/>
              </w:rPr>
              <w:t>Cita informācija</w:t>
            </w:r>
          </w:p>
        </w:tc>
        <w:tc>
          <w:tcPr>
            <w:tcW w:w="5850" w:type="dxa"/>
          </w:tcPr>
          <w:p w:rsidR="00660652" w:rsidRPr="00091A1D" w:rsidRDefault="00660652" w:rsidP="009C39C3">
            <w:pPr>
              <w:spacing w:before="100" w:beforeAutospacing="1" w:after="100" w:afterAutospacing="1"/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Nav</w:t>
            </w:r>
          </w:p>
        </w:tc>
      </w:tr>
    </w:tbl>
    <w:p w:rsidR="00660652" w:rsidRPr="00091A1D" w:rsidRDefault="00660652">
      <w:pPr>
        <w:rPr>
          <w:color w:val="000000"/>
          <w:lang w:val="lv-LV"/>
        </w:rPr>
      </w:pPr>
    </w:p>
    <w:p w:rsidR="00711D41" w:rsidRPr="00091A1D" w:rsidRDefault="00711D41" w:rsidP="005D73DE">
      <w:pPr>
        <w:jc w:val="both"/>
        <w:rPr>
          <w:color w:val="000000"/>
          <w:lang w:val="lv-LV" w:eastAsia="lv-LV"/>
        </w:rPr>
      </w:pPr>
      <w:r w:rsidRPr="00091A1D">
        <w:rPr>
          <w:i/>
          <w:color w:val="000000"/>
          <w:lang w:val="lv-LV" w:eastAsia="lv-LV"/>
        </w:rPr>
        <w:t xml:space="preserve">Anotācijas </w:t>
      </w:r>
      <w:r w:rsidR="00273FDF" w:rsidRPr="00091A1D">
        <w:rPr>
          <w:i/>
          <w:color w:val="000000"/>
          <w:lang w:val="lv-LV" w:eastAsia="lv-LV"/>
        </w:rPr>
        <w:t>III</w:t>
      </w:r>
      <w:r w:rsidR="009F0547">
        <w:rPr>
          <w:i/>
          <w:color w:val="000000"/>
          <w:lang w:val="lv-LV" w:eastAsia="lv-LV"/>
        </w:rPr>
        <w:t xml:space="preserve"> un IV sadaļa – projekts šīs</w:t>
      </w:r>
      <w:r w:rsidR="00116DF8">
        <w:rPr>
          <w:i/>
          <w:color w:val="000000"/>
          <w:lang w:val="lv-LV" w:eastAsia="lv-LV"/>
        </w:rPr>
        <w:t xml:space="preserve"> jomas</w:t>
      </w:r>
      <w:r w:rsidR="00735F4D" w:rsidRPr="00091A1D">
        <w:rPr>
          <w:i/>
          <w:color w:val="000000"/>
          <w:lang w:val="lv-LV" w:eastAsia="lv-LV"/>
        </w:rPr>
        <w:t xml:space="preserve"> neskar.</w:t>
      </w:r>
    </w:p>
    <w:p w:rsidR="00735F4D" w:rsidRPr="00091A1D" w:rsidRDefault="00735F4D" w:rsidP="005D73DE">
      <w:pPr>
        <w:jc w:val="both"/>
        <w:rPr>
          <w:color w:val="000000"/>
          <w:lang w:val="lv-LV" w:eastAsia="lv-LV"/>
        </w:rPr>
      </w:pPr>
    </w:p>
    <w:tbl>
      <w:tblPr>
        <w:tblW w:w="91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"/>
        <w:gridCol w:w="2362"/>
        <w:gridCol w:w="282"/>
        <w:gridCol w:w="1859"/>
        <w:gridCol w:w="1948"/>
        <w:gridCol w:w="2230"/>
      </w:tblGrid>
      <w:tr w:rsidR="00735F4D" w:rsidRPr="001C6F01" w:rsidTr="008B7760"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735F4D" w:rsidRPr="00091A1D" w:rsidRDefault="00735F4D" w:rsidP="00A478DC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091A1D">
              <w:rPr>
                <w:b/>
                <w:bCs/>
                <w:color w:val="000000"/>
                <w:lang w:val="lv-LV"/>
              </w:rPr>
              <w:t>V. Tiesību akta projekta atbilstība Latvijas Republikas starptautiskajām saistībām</w:t>
            </w:r>
          </w:p>
        </w:tc>
      </w:tr>
      <w:tr w:rsidR="00735F4D" w:rsidRPr="00D906F1" w:rsidTr="008B7760">
        <w:tc>
          <w:tcPr>
            <w:tcW w:w="46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1.</w:t>
            </w:r>
          </w:p>
        </w:tc>
        <w:tc>
          <w:tcPr>
            <w:tcW w:w="26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Saistības pret Eiropas Savienību</w:t>
            </w:r>
          </w:p>
        </w:tc>
        <w:tc>
          <w:tcPr>
            <w:tcW w:w="6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D15AC" w:rsidRPr="00091A1D" w:rsidRDefault="009D15AC" w:rsidP="009D15AC">
            <w:pPr>
              <w:pStyle w:val="naiskr"/>
              <w:spacing w:before="0" w:beforeAutospacing="0" w:after="0" w:afterAutospacing="0"/>
              <w:jc w:val="both"/>
            </w:pPr>
            <w:r w:rsidRPr="00091A1D">
              <w:t>Eiropas Parlamenta un Padomes 2013.gada 17.decembra Regula (ES) Nr.1308/2013, ar ko izveido lauksaimniecības produktu tirgu kopīgu organizāciju un atceļ Padomes Regulas (EEK) Nr.922/72, (EEK) Nr.234/79, (EK) Nr.1037/2001 un (EK) Nr.1234/2007.</w:t>
            </w:r>
          </w:p>
          <w:p w:rsidR="009D15AC" w:rsidRPr="00091A1D" w:rsidRDefault="009D15AC" w:rsidP="00894F0F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 xml:space="preserve">Komisijas 2008.gada 10.decembra Regula (EK) Nr.1249/2008, ar ko paredz sīki izstrādātus noteikumus par kopienas skalu ieviešanu liellopu, cūku un aitu liemeņu </w:t>
            </w:r>
            <w:r w:rsidRPr="00091A1D">
              <w:rPr>
                <w:lang w:val="lv-LV"/>
              </w:rPr>
              <w:lastRenderedPageBreak/>
              <w:t>klasifikācijai un cenu paziņošanas kārtību.</w:t>
            </w:r>
          </w:p>
          <w:p w:rsidR="00690D20" w:rsidRPr="00091A1D" w:rsidRDefault="00690D20" w:rsidP="00690D20">
            <w:pPr>
              <w:pStyle w:val="naiskr"/>
              <w:spacing w:before="0" w:beforeAutospacing="0" w:after="0" w:afterAutospacing="0"/>
              <w:jc w:val="both"/>
            </w:pPr>
            <w:r w:rsidRPr="00091A1D">
              <w:t>Eiropas Komisijas 2005.gada 12.aprīļa Lēmums Nr.2005/307/EK, ar ko apstiprina metodi cūku liemeņu klasificēšanai Latvijā.</w:t>
            </w:r>
          </w:p>
          <w:p w:rsidR="009D15AC" w:rsidRPr="00091A1D" w:rsidRDefault="009D15AC" w:rsidP="009D15AC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 xml:space="preserve">Eiropas Komisijas 2007.gada 21.augusta Lēmums Nr.2007/571/EK, ar kuru groza Lēmumu 2005/307/EK, ar ko apstiprina metodi cūku liemeņu klasificēšanai Latvijā. </w:t>
            </w:r>
          </w:p>
          <w:p w:rsidR="00735F4D" w:rsidRDefault="00894F0F" w:rsidP="00894F0F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Eiropas Parlamenta un Padomes 2004.gada 29.aprīļa Regula (EK) Nr.853/2004, ar ko nosaka īpašus higiēnas noteikumus attiecībā uz dzīvnieku izcelsmes pārtiku.</w:t>
            </w:r>
          </w:p>
          <w:p w:rsidR="00022218" w:rsidRPr="00022218" w:rsidRDefault="00022218" w:rsidP="00894F0F">
            <w:pPr>
              <w:jc w:val="both"/>
              <w:rPr>
                <w:color w:val="000000"/>
                <w:lang w:val="lv-LV"/>
              </w:rPr>
            </w:pPr>
            <w:r w:rsidRPr="00022218">
              <w:rPr>
                <w:lang w:val="lv-LV" w:eastAsia="lv-LV"/>
              </w:rPr>
              <w:t>Eiropas Parlamenta un Pado</w:t>
            </w:r>
            <w:r w:rsidR="006A4014">
              <w:rPr>
                <w:lang w:val="lv-LV" w:eastAsia="lv-LV"/>
              </w:rPr>
              <w:t>mes 2002.gada 28.janvāra Regula</w:t>
            </w:r>
            <w:r w:rsidRPr="00022218">
              <w:rPr>
                <w:lang w:val="lv-LV" w:eastAsia="lv-LV"/>
              </w:rPr>
              <w:t xml:space="preserve"> (EK) Nr.</w:t>
            </w:r>
            <w:hyperlink r:id="rId7" w:tgtFrame="_blank" w:history="1">
              <w:r w:rsidRPr="00022218">
                <w:rPr>
                  <w:lang w:val="lv-LV" w:eastAsia="lv-LV"/>
                </w:rPr>
                <w:t>178/2002</w:t>
              </w:r>
            </w:hyperlink>
            <w:r w:rsidRPr="00022218">
              <w:rPr>
                <w:lang w:val="lv-LV" w:eastAsia="lv-LV"/>
              </w:rPr>
              <w:t>, ar ko paredz pārtikas aprites tiesību aktu vispārīgus principus un prasības, izveido Eiropas Pārtikas nekaitīguma iestādi un paredz procedūras saistībā ar pārtikas nekaitīgumu</w:t>
            </w:r>
            <w:r w:rsidR="009F0547">
              <w:rPr>
                <w:lang w:val="lv-LV" w:eastAsia="lv-LV"/>
              </w:rPr>
              <w:t>.</w:t>
            </w:r>
          </w:p>
        </w:tc>
      </w:tr>
      <w:tr w:rsidR="00735F4D" w:rsidRPr="00091A1D" w:rsidTr="008B7760">
        <w:tc>
          <w:tcPr>
            <w:tcW w:w="46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lastRenderedPageBreak/>
              <w:t>2.</w:t>
            </w:r>
          </w:p>
        </w:tc>
        <w:tc>
          <w:tcPr>
            <w:tcW w:w="26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Citas starptautiskās saistības</w:t>
            </w:r>
          </w:p>
        </w:tc>
        <w:tc>
          <w:tcPr>
            <w:tcW w:w="6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Projekts šo jomu neskar.</w:t>
            </w:r>
          </w:p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</w:p>
        </w:tc>
      </w:tr>
      <w:tr w:rsidR="00735F4D" w:rsidRPr="00091A1D" w:rsidTr="008B7760">
        <w:tc>
          <w:tcPr>
            <w:tcW w:w="46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3.</w:t>
            </w:r>
          </w:p>
        </w:tc>
        <w:tc>
          <w:tcPr>
            <w:tcW w:w="26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Cita informācija</w:t>
            </w:r>
          </w:p>
        </w:tc>
        <w:tc>
          <w:tcPr>
            <w:tcW w:w="6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Nav.</w:t>
            </w:r>
          </w:p>
        </w:tc>
      </w:tr>
      <w:tr w:rsidR="00735F4D" w:rsidRPr="001C6F01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3"/>
          <w:jc w:val="center"/>
        </w:trPr>
        <w:tc>
          <w:tcPr>
            <w:tcW w:w="9147" w:type="dxa"/>
            <w:gridSpan w:val="6"/>
            <w:vAlign w:val="center"/>
          </w:tcPr>
          <w:p w:rsidR="00735F4D" w:rsidRPr="00091A1D" w:rsidRDefault="00735F4D" w:rsidP="00A478DC">
            <w:pPr>
              <w:pStyle w:val="naisnod"/>
              <w:spacing w:before="0" w:after="0"/>
              <w:rPr>
                <w:color w:val="000000"/>
              </w:rPr>
            </w:pPr>
            <w:r w:rsidRPr="00091A1D">
              <w:rPr>
                <w:color w:val="000000"/>
              </w:rPr>
              <w:t>1.tabula</w:t>
            </w:r>
          </w:p>
          <w:p w:rsidR="00735F4D" w:rsidRPr="00091A1D" w:rsidRDefault="00735F4D" w:rsidP="00A478DC">
            <w:pPr>
              <w:pStyle w:val="naisnod"/>
              <w:spacing w:before="0" w:after="0"/>
              <w:rPr>
                <w:i/>
                <w:color w:val="000000"/>
              </w:rPr>
            </w:pPr>
            <w:r w:rsidRPr="00091A1D">
              <w:rPr>
                <w:color w:val="000000"/>
              </w:rPr>
              <w:t xml:space="preserve">Tiesību akta projekta atbilstība ES tiesību aktiem </w:t>
            </w:r>
          </w:p>
        </w:tc>
      </w:tr>
      <w:tr w:rsidR="00735F4D" w:rsidRPr="00D906F1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6"/>
          <w:jc w:val="center"/>
        </w:trPr>
        <w:tc>
          <w:tcPr>
            <w:tcW w:w="2828" w:type="dxa"/>
            <w:gridSpan w:val="2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ind w:hanging="10"/>
              <w:jc w:val="center"/>
              <w:rPr>
                <w:color w:val="000000"/>
              </w:rPr>
            </w:pPr>
            <w:r w:rsidRPr="00091A1D">
              <w:rPr>
                <w:color w:val="000000"/>
              </w:rPr>
              <w:t>Attiecīgā ES tiesību akta datums, numurs un nosaukums</w:t>
            </w:r>
          </w:p>
        </w:tc>
        <w:tc>
          <w:tcPr>
            <w:tcW w:w="6319" w:type="dxa"/>
            <w:gridSpan w:val="4"/>
          </w:tcPr>
          <w:p w:rsidR="009D15AC" w:rsidRPr="00091A1D" w:rsidRDefault="009D15AC" w:rsidP="00DF0DBD">
            <w:pPr>
              <w:pStyle w:val="naiskr"/>
              <w:spacing w:before="0" w:beforeAutospacing="0" w:after="0" w:afterAutospacing="0"/>
              <w:jc w:val="both"/>
            </w:pPr>
            <w:r w:rsidRPr="00091A1D">
              <w:t>Eiropas Parlamenta un Padomes 2013.gada 17.decembra Regula (ES) Nr.1308/2013, ar ko izveido lauksaimniecības produktu tirgu kopīgu organizāciju un atceļ Padomes Regulas (EEK) Nr.922/72, (EEK) Nr.234/79, (EK) Nr.1037/2001 un (EK) Nr.1234/2007 (turpmāk – Regula Nr.1308/2013).</w:t>
            </w:r>
          </w:p>
          <w:p w:rsidR="009D15AC" w:rsidRPr="00091A1D" w:rsidRDefault="009D15AC" w:rsidP="00DF0DBD">
            <w:pPr>
              <w:pStyle w:val="naiskr"/>
              <w:spacing w:before="0" w:beforeAutospacing="0" w:after="0" w:afterAutospacing="0"/>
              <w:jc w:val="both"/>
            </w:pPr>
            <w:r w:rsidRPr="00091A1D">
              <w:t>Komisijas 2008.gada 10.decembra Regula (EK) Nr.1249/2008, ar ko paredz sīki izstrādātus noteikumus par kopienas skalu ieviešanu liellopu, cūku un aitu liemeņu klasifikācijai un cenu paziņošanas kārtību (turpmāk – Regula Nr.1249/2008).</w:t>
            </w:r>
          </w:p>
          <w:p w:rsidR="00690D20" w:rsidRPr="00091A1D" w:rsidRDefault="00690D20" w:rsidP="00DF0DBD">
            <w:pPr>
              <w:pStyle w:val="naiskr"/>
              <w:spacing w:before="0" w:beforeAutospacing="0" w:after="0" w:afterAutospacing="0"/>
              <w:jc w:val="both"/>
            </w:pPr>
            <w:r w:rsidRPr="00091A1D">
              <w:t>Eiropas Komisijas 2005.gada 12.aprīļa Lēmums Nr.2005/307/EK, ar ko apstiprina metodi cūku liemeņu klasificēšanai Latvijā (turpmāk – Lēmums Nr.2005/307/EK).</w:t>
            </w:r>
          </w:p>
          <w:p w:rsidR="009D15AC" w:rsidRPr="00091A1D" w:rsidRDefault="009D15AC" w:rsidP="00DF0DBD">
            <w:pPr>
              <w:pStyle w:val="naiskr"/>
              <w:spacing w:before="0" w:beforeAutospacing="0" w:after="0" w:afterAutospacing="0"/>
              <w:jc w:val="both"/>
            </w:pPr>
            <w:r w:rsidRPr="00091A1D">
              <w:t>Eiropas Komisijas 2007.gada 21.augusta Lēmums Nr.2007/571/EK, ar kuru groza Lēmumu 2005/307/EK, ar ko apstiprina metodi cūku liemeņu klasificēšanai Latvijā (turpmāk – Lēmums Nr.2007/571/EK).</w:t>
            </w:r>
          </w:p>
          <w:p w:rsidR="00735F4D" w:rsidRDefault="00894F0F" w:rsidP="00504BE6">
            <w:pPr>
              <w:pStyle w:val="naiskr"/>
              <w:spacing w:before="0" w:beforeAutospacing="0" w:after="0" w:afterAutospacing="0"/>
              <w:jc w:val="both"/>
              <w:rPr>
                <w:color w:val="333333"/>
              </w:rPr>
            </w:pPr>
            <w:r w:rsidRPr="00091A1D">
              <w:t xml:space="preserve">Eiropas Parlamenta un Padomes 2004.gada 29.aprīļa Regula (EK) Nr.853/2004, ar ko nosaka īpašus higiēnas noteikumus attiecībā uz dzīvnieku izcelsmes pārtiku </w:t>
            </w:r>
            <w:r w:rsidRPr="00091A1D">
              <w:rPr>
                <w:rFonts w:eastAsia="Calibri"/>
                <w:lang w:eastAsia="en-US"/>
              </w:rPr>
              <w:t>(turpmāk – Regula Nr.</w:t>
            </w:r>
            <w:r w:rsidRPr="00091A1D">
              <w:rPr>
                <w:color w:val="333333"/>
              </w:rPr>
              <w:t>853/2004)</w:t>
            </w:r>
          </w:p>
          <w:p w:rsidR="009F0547" w:rsidRPr="002F1F81" w:rsidRDefault="009F0547" w:rsidP="00504BE6">
            <w:pPr>
              <w:pStyle w:val="naiskr"/>
              <w:spacing w:before="0" w:beforeAutospacing="0" w:after="0" w:afterAutospacing="0"/>
              <w:jc w:val="both"/>
              <w:rPr>
                <w:color w:val="333333"/>
              </w:rPr>
            </w:pPr>
            <w:r w:rsidRPr="00022218">
              <w:t>Eiropas Parlamenta un Pado</w:t>
            </w:r>
            <w:r w:rsidR="00F34466">
              <w:t>mes 2002.gada 28.janvāra Regula</w:t>
            </w:r>
            <w:r w:rsidRPr="00022218">
              <w:t xml:space="preserve"> (EK) Nr.</w:t>
            </w:r>
            <w:hyperlink r:id="rId8" w:tgtFrame="_blank" w:history="1">
              <w:r w:rsidRPr="00022218">
                <w:t>178/2002</w:t>
              </w:r>
            </w:hyperlink>
            <w:r w:rsidRPr="00022218">
              <w:t>, ar ko paredz pārtikas aprites tiesību aktu vispārīgus principus un prasības, izveido Eiropas Pārtikas nekaitīguma iestādi un paredz procedūras saistībā ar pārtikas nekaitīgumu</w:t>
            </w:r>
            <w:r>
              <w:t xml:space="preserve"> </w:t>
            </w:r>
            <w:r w:rsidRPr="00091A1D">
              <w:rPr>
                <w:rFonts w:eastAsia="Calibri"/>
                <w:lang w:eastAsia="en-US"/>
              </w:rPr>
              <w:t>(turpmāk – Regula Nr.</w:t>
            </w:r>
            <w:hyperlink r:id="rId9" w:tgtFrame="_blank" w:history="1">
              <w:r w:rsidRPr="00022218">
                <w:t>178/2002</w:t>
              </w:r>
            </w:hyperlink>
            <w:r w:rsidRPr="00091A1D">
              <w:rPr>
                <w:color w:val="333333"/>
              </w:rPr>
              <w:t>)</w:t>
            </w:r>
          </w:p>
        </w:tc>
      </w:tr>
      <w:tr w:rsidR="00735F4D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1A1D">
              <w:rPr>
                <w:color w:val="000000"/>
              </w:rPr>
              <w:t>A</w:t>
            </w:r>
          </w:p>
        </w:tc>
        <w:tc>
          <w:tcPr>
            <w:tcW w:w="2141" w:type="dxa"/>
            <w:gridSpan w:val="2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1A1D">
              <w:rPr>
                <w:color w:val="000000"/>
              </w:rPr>
              <w:t>B</w:t>
            </w:r>
          </w:p>
        </w:tc>
        <w:tc>
          <w:tcPr>
            <w:tcW w:w="1948" w:type="dxa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1A1D">
              <w:rPr>
                <w:color w:val="000000"/>
              </w:rPr>
              <w:t>C</w:t>
            </w:r>
          </w:p>
        </w:tc>
        <w:tc>
          <w:tcPr>
            <w:tcW w:w="2230" w:type="dxa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1A1D">
              <w:rPr>
                <w:color w:val="000000"/>
              </w:rPr>
              <w:t>D</w:t>
            </w:r>
          </w:p>
        </w:tc>
      </w:tr>
      <w:tr w:rsidR="00735F4D" w:rsidRPr="0060677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 xml:space="preserve">Attiecīgā ES tiesību akta panta numurs (uzskaitot katru tiesību akta vienību – </w:t>
            </w:r>
            <w:r w:rsidRPr="00091A1D">
              <w:rPr>
                <w:color w:val="000000"/>
              </w:rPr>
              <w:lastRenderedPageBreak/>
              <w:t>pantu, daļu, punktu, apakšpunktu)</w:t>
            </w:r>
          </w:p>
        </w:tc>
        <w:tc>
          <w:tcPr>
            <w:tcW w:w="2141" w:type="dxa"/>
            <w:gridSpan w:val="2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lastRenderedPageBreak/>
              <w:t xml:space="preserve">Projekta vienība, kas pārņem vai ievieš katru šīs tabulas A </w:t>
            </w:r>
            <w:r w:rsidRPr="00091A1D">
              <w:rPr>
                <w:color w:val="000000"/>
              </w:rPr>
              <w:lastRenderedPageBreak/>
              <w:t>ailē minēto ES tiesību akta vienību, vai tiesību akts, kur attiecīgā ES tiesību akta vienība pārņemta vai ieviesta</w:t>
            </w:r>
          </w:p>
        </w:tc>
        <w:tc>
          <w:tcPr>
            <w:tcW w:w="1948" w:type="dxa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lastRenderedPageBreak/>
              <w:t xml:space="preserve">Informācija par to, vai šīs tabulas A ailē minētās ES </w:t>
            </w:r>
            <w:r w:rsidRPr="00091A1D">
              <w:rPr>
                <w:color w:val="000000"/>
              </w:rPr>
              <w:lastRenderedPageBreak/>
              <w:t>tiesību akta vienības tiek pārņemtas vai ieviestas pilnībā vai daļēji.</w:t>
            </w:r>
          </w:p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Ja attiecīgā ES tiesību akta vienība tiek pārņemta vai ieviesta daļēji,  sniedz attiecīgu skaidrojumu, kā arī precīzi norāda, kad un kādā veidā ES tiesību akta vienība tiks pārņemta vai ieviesta pilnībā.</w:t>
            </w:r>
          </w:p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Norāda institūciju, kas ir atbildīga par šo saistību izpildi pilnībā</w:t>
            </w:r>
          </w:p>
        </w:tc>
        <w:tc>
          <w:tcPr>
            <w:tcW w:w="2230" w:type="dxa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lastRenderedPageBreak/>
              <w:t xml:space="preserve">Informācija par to, vai šīs tabulas B ailē minētās projekta </w:t>
            </w:r>
            <w:r w:rsidRPr="00091A1D">
              <w:rPr>
                <w:color w:val="000000"/>
              </w:rPr>
              <w:lastRenderedPageBreak/>
              <w:t>vienības paredz stingrākas prasības nekā šīs tabulas A ailē minētās ES tiesību akta vienības.</w:t>
            </w:r>
          </w:p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Ja projekts satur stingrākas prasības nekā attiecīgais ES tiesību akts, norāda pamatojumu un samērīgumu.</w:t>
            </w:r>
          </w:p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9D15AC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9D15AC" w:rsidRPr="00091A1D" w:rsidRDefault="009D15AC" w:rsidP="00504BE6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lang w:val="lv-LV"/>
              </w:rPr>
              <w:lastRenderedPageBreak/>
              <w:t>Regulas Nr.</w:t>
            </w:r>
            <w:r w:rsidRPr="00091A1D">
              <w:rPr>
                <w:lang w:val="lv-LV" w:eastAsia="lv-LV"/>
              </w:rPr>
              <w:t xml:space="preserve">1308/2013 </w:t>
            </w:r>
            <w:r w:rsidRPr="00091A1D">
              <w:rPr>
                <w:color w:val="000000"/>
                <w:lang w:val="lv-LV"/>
              </w:rPr>
              <w:t>10.pants</w:t>
            </w:r>
          </w:p>
        </w:tc>
        <w:tc>
          <w:tcPr>
            <w:tcW w:w="2141" w:type="dxa"/>
            <w:gridSpan w:val="2"/>
            <w:vAlign w:val="center"/>
          </w:tcPr>
          <w:p w:rsidR="009D15AC" w:rsidRPr="00091A1D" w:rsidRDefault="009D15AC" w:rsidP="00A935EE">
            <w:pPr>
              <w:pStyle w:val="naiskr"/>
              <w:spacing w:before="0" w:beforeAutospacing="0" w:after="0" w:afterAutospacing="0"/>
              <w:jc w:val="both"/>
            </w:pPr>
            <w:r w:rsidRPr="00091A1D">
              <w:t>1.</w:t>
            </w:r>
            <w:r w:rsidR="0070698B" w:rsidRPr="00091A1D">
              <w:t>1.apakšpunkts un 6</w:t>
            </w:r>
            <w:r w:rsidRPr="00091A1D">
              <w:t xml:space="preserve">.punkts </w:t>
            </w:r>
          </w:p>
        </w:tc>
        <w:tc>
          <w:tcPr>
            <w:tcW w:w="1948" w:type="dxa"/>
          </w:tcPr>
          <w:p w:rsidR="009D15AC" w:rsidRPr="00091A1D" w:rsidRDefault="009D15AC" w:rsidP="00A935EE">
            <w:pPr>
              <w:pStyle w:val="naiskr"/>
              <w:spacing w:before="0" w:beforeAutospacing="0" w:after="0" w:afterAutospacing="0"/>
              <w:jc w:val="center"/>
            </w:pPr>
            <w:r w:rsidRPr="00091A1D">
              <w:t>Regulas norma ieviesta pilnībā</w:t>
            </w:r>
          </w:p>
        </w:tc>
        <w:tc>
          <w:tcPr>
            <w:tcW w:w="2230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9D15AC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9D15AC" w:rsidRPr="00091A1D" w:rsidRDefault="009D15AC" w:rsidP="00504BE6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lang w:val="lv-LV"/>
              </w:rPr>
              <w:t>Regulas Nr.</w:t>
            </w:r>
            <w:r w:rsidRPr="00091A1D">
              <w:rPr>
                <w:lang w:val="lv-LV" w:eastAsia="lv-LV"/>
              </w:rPr>
              <w:t>1308/2013 I</w:t>
            </w:r>
            <w:r w:rsidRPr="00091A1D">
              <w:rPr>
                <w:lang w:val="lv-LV"/>
              </w:rPr>
              <w:t>V pielikuma A daļas II un III punkts</w:t>
            </w:r>
          </w:p>
        </w:tc>
        <w:tc>
          <w:tcPr>
            <w:tcW w:w="2141" w:type="dxa"/>
            <w:gridSpan w:val="2"/>
            <w:vAlign w:val="center"/>
          </w:tcPr>
          <w:p w:rsidR="009D15AC" w:rsidRPr="00091A1D" w:rsidRDefault="008B6260" w:rsidP="00A935EE">
            <w:pPr>
              <w:pStyle w:val="naiskr"/>
              <w:spacing w:before="0" w:beforeAutospacing="0" w:after="0" w:afterAutospacing="0"/>
              <w:jc w:val="both"/>
            </w:pPr>
            <w:r w:rsidRPr="00091A1D">
              <w:t xml:space="preserve">8.1.apakšpunkts </w:t>
            </w:r>
          </w:p>
        </w:tc>
        <w:tc>
          <w:tcPr>
            <w:tcW w:w="1948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9D15AC" w:rsidRPr="001C6F01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9D15AC" w:rsidRPr="00091A1D" w:rsidRDefault="009D15AC" w:rsidP="00504BE6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lang w:val="lv-LV"/>
              </w:rPr>
              <w:t>Regulas Nr.</w:t>
            </w:r>
            <w:r w:rsidRPr="00091A1D">
              <w:rPr>
                <w:lang w:val="lv-LV" w:eastAsia="lv-LV"/>
              </w:rPr>
              <w:t>1308/2013 I</w:t>
            </w:r>
            <w:r w:rsidRPr="00091A1D">
              <w:rPr>
                <w:lang w:val="lv-LV"/>
              </w:rPr>
              <w:t>V pielikuma B daļas II punkts</w:t>
            </w:r>
          </w:p>
        </w:tc>
        <w:tc>
          <w:tcPr>
            <w:tcW w:w="2141" w:type="dxa"/>
            <w:gridSpan w:val="2"/>
            <w:vAlign w:val="center"/>
          </w:tcPr>
          <w:p w:rsidR="009D15AC" w:rsidRPr="00091A1D" w:rsidRDefault="008B6260" w:rsidP="001C6F01">
            <w:pPr>
              <w:pStyle w:val="naiskr"/>
              <w:spacing w:before="0" w:beforeAutospacing="0" w:after="0" w:afterAutospacing="0"/>
              <w:jc w:val="both"/>
            </w:pPr>
            <w:r w:rsidRPr="00091A1D">
              <w:t>8.2.</w:t>
            </w:r>
            <w:r w:rsidR="002C45E9">
              <w:t xml:space="preserve"> </w:t>
            </w:r>
            <w:r w:rsidR="006C3066" w:rsidRPr="00091A1D">
              <w:t>un 17.4.apakšpunkts</w:t>
            </w:r>
            <w:r w:rsidRPr="00091A1D">
              <w:t xml:space="preserve"> </w:t>
            </w:r>
          </w:p>
        </w:tc>
        <w:tc>
          <w:tcPr>
            <w:tcW w:w="1948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9D15AC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9D15AC" w:rsidRPr="00091A1D" w:rsidRDefault="009D15AC" w:rsidP="00504BE6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lang w:val="lv-LV"/>
              </w:rPr>
              <w:t>Regulas Nr.</w:t>
            </w:r>
            <w:r w:rsidRPr="00091A1D">
              <w:rPr>
                <w:lang w:val="lv-LV" w:eastAsia="lv-LV"/>
              </w:rPr>
              <w:t>1308/2013 I</w:t>
            </w:r>
            <w:r w:rsidRPr="00091A1D">
              <w:rPr>
                <w:lang w:val="lv-LV"/>
              </w:rPr>
              <w:t>V pielikuma A daļas III punkts</w:t>
            </w:r>
          </w:p>
        </w:tc>
        <w:tc>
          <w:tcPr>
            <w:tcW w:w="2141" w:type="dxa"/>
            <w:gridSpan w:val="2"/>
            <w:vAlign w:val="center"/>
          </w:tcPr>
          <w:p w:rsidR="009D15AC" w:rsidRPr="00091A1D" w:rsidRDefault="008B6260" w:rsidP="00A935EE">
            <w:pPr>
              <w:pStyle w:val="naiskr"/>
              <w:spacing w:before="0" w:beforeAutospacing="0" w:after="0" w:afterAutospacing="0"/>
              <w:jc w:val="both"/>
            </w:pPr>
            <w:r w:rsidRPr="00091A1D">
              <w:t>9</w:t>
            </w:r>
            <w:r w:rsidR="009D15AC" w:rsidRPr="00091A1D">
              <w:t>.punkt</w:t>
            </w:r>
            <w:r w:rsidRPr="00091A1D">
              <w:t>a ievaddaļa</w:t>
            </w:r>
          </w:p>
        </w:tc>
        <w:tc>
          <w:tcPr>
            <w:tcW w:w="1948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8B7760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8B7760" w:rsidRPr="00091A1D" w:rsidRDefault="008B7760" w:rsidP="0097172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Regulas </w:t>
            </w:r>
            <w:r w:rsidRPr="00091A1D">
              <w:rPr>
                <w:lang w:val="lv-LV"/>
              </w:rPr>
              <w:t xml:space="preserve">Nr.1249/2008 5.pants un 20.panta 2.punkta </w:t>
            </w:r>
            <w:r>
              <w:rPr>
                <w:lang w:val="lv-LV"/>
              </w:rPr>
              <w:t>„</w:t>
            </w:r>
            <w:r w:rsidRPr="00091A1D">
              <w:rPr>
                <w:lang w:val="lv-LV"/>
              </w:rPr>
              <w:t>a</w:t>
            </w:r>
            <w:r>
              <w:rPr>
                <w:lang w:val="lv-LV"/>
              </w:rPr>
              <w:t>”</w:t>
            </w:r>
            <w:r w:rsidRPr="00091A1D">
              <w:rPr>
                <w:lang w:val="lv-LV"/>
              </w:rPr>
              <w:t xml:space="preserve"> apakšpunkts</w:t>
            </w:r>
          </w:p>
        </w:tc>
        <w:tc>
          <w:tcPr>
            <w:tcW w:w="2141" w:type="dxa"/>
            <w:gridSpan w:val="2"/>
          </w:tcPr>
          <w:p w:rsidR="008B7760" w:rsidRPr="00091A1D" w:rsidRDefault="008B7760" w:rsidP="0097172D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3.punkts</w:t>
            </w:r>
          </w:p>
        </w:tc>
        <w:tc>
          <w:tcPr>
            <w:tcW w:w="1948" w:type="dxa"/>
            <w:vAlign w:val="center"/>
          </w:tcPr>
          <w:p w:rsidR="008B7760" w:rsidRPr="00091A1D" w:rsidRDefault="008B7760" w:rsidP="0097172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8B7760" w:rsidRPr="00091A1D" w:rsidRDefault="008B7760" w:rsidP="0097172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BA3AFE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BA3AFE" w:rsidRPr="00091A1D" w:rsidRDefault="00BA3AFE" w:rsidP="00504B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 xml:space="preserve">Regulas Nr.1249/2008 20.panta 2.punkta </w:t>
            </w:r>
            <w:r>
              <w:rPr>
                <w:lang w:val="lv-LV"/>
              </w:rPr>
              <w:t>„</w:t>
            </w:r>
            <w:r w:rsidRPr="00091A1D">
              <w:rPr>
                <w:lang w:val="lv-LV"/>
              </w:rPr>
              <w:t>b</w:t>
            </w:r>
            <w:r>
              <w:rPr>
                <w:lang w:val="lv-LV"/>
              </w:rPr>
              <w:t>”</w:t>
            </w:r>
            <w:r w:rsidRPr="00091A1D">
              <w:rPr>
                <w:lang w:val="lv-LV"/>
              </w:rPr>
              <w:t xml:space="preserve"> apakšpunkt</w:t>
            </w:r>
            <w:r>
              <w:rPr>
                <w:lang w:val="lv-LV"/>
              </w:rPr>
              <w:t>s</w:t>
            </w:r>
          </w:p>
        </w:tc>
        <w:tc>
          <w:tcPr>
            <w:tcW w:w="2141" w:type="dxa"/>
            <w:gridSpan w:val="2"/>
            <w:vAlign w:val="center"/>
          </w:tcPr>
          <w:p w:rsidR="00BA3AFE" w:rsidRPr="00091A1D" w:rsidRDefault="00BA3AFE" w:rsidP="00A935EE">
            <w:pPr>
              <w:pStyle w:val="naiskr"/>
              <w:spacing w:before="0" w:beforeAutospacing="0" w:after="0" w:afterAutospacing="0"/>
              <w:jc w:val="both"/>
            </w:pPr>
            <w:r>
              <w:rPr>
                <w:bCs/>
              </w:rPr>
              <w:t>5</w:t>
            </w:r>
            <w:r w:rsidRPr="00091A1D">
              <w:rPr>
                <w:bCs/>
              </w:rPr>
              <w:t>.punkts</w:t>
            </w:r>
          </w:p>
        </w:tc>
        <w:tc>
          <w:tcPr>
            <w:tcW w:w="1948" w:type="dxa"/>
            <w:vAlign w:val="center"/>
          </w:tcPr>
          <w:p w:rsidR="00BA3AFE" w:rsidRPr="00091A1D" w:rsidRDefault="00BA3AFE" w:rsidP="00C270D8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BA3AFE" w:rsidRPr="00091A1D" w:rsidRDefault="00BA3AFE" w:rsidP="00C270D8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690D20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690D20" w:rsidRPr="00091A1D" w:rsidRDefault="00690D20" w:rsidP="00504B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Regulas Nr.1249/2008 1.pants</w:t>
            </w:r>
          </w:p>
        </w:tc>
        <w:tc>
          <w:tcPr>
            <w:tcW w:w="2141" w:type="dxa"/>
            <w:gridSpan w:val="2"/>
          </w:tcPr>
          <w:p w:rsidR="00690D20" w:rsidRPr="00091A1D" w:rsidRDefault="00690D20" w:rsidP="00A935EE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6.punkts</w:t>
            </w:r>
          </w:p>
        </w:tc>
        <w:tc>
          <w:tcPr>
            <w:tcW w:w="1948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F652BF" w:rsidRPr="00091A1D" w:rsidTr="0097172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F652BF" w:rsidRDefault="00F652BF" w:rsidP="0097172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Regulas </w:t>
            </w:r>
            <w:r w:rsidRPr="00091A1D">
              <w:rPr>
                <w:lang w:val="lv-LV"/>
              </w:rPr>
              <w:t>Nr.1249/2008</w:t>
            </w:r>
          </w:p>
          <w:p w:rsidR="00F652BF" w:rsidRPr="00091A1D" w:rsidRDefault="00F652BF" w:rsidP="0097172D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13.panta 1.punkts</w:t>
            </w:r>
            <w:r>
              <w:rPr>
                <w:lang w:val="lv-LV"/>
              </w:rPr>
              <w:t>,</w:t>
            </w:r>
            <w:r w:rsidRPr="00091A1D">
              <w:rPr>
                <w:lang w:val="lv-LV"/>
              </w:rPr>
              <w:t xml:space="preserve"> 20.panta 1.punkts </w:t>
            </w:r>
            <w:r>
              <w:rPr>
                <w:lang w:val="lv-LV"/>
              </w:rPr>
              <w:t xml:space="preserve">un </w:t>
            </w:r>
            <w:r w:rsidRPr="00091A1D">
              <w:rPr>
                <w:lang w:val="lv-LV"/>
              </w:rPr>
              <w:t>26.panta 1.punkts</w:t>
            </w:r>
          </w:p>
        </w:tc>
        <w:tc>
          <w:tcPr>
            <w:tcW w:w="2141" w:type="dxa"/>
            <w:gridSpan w:val="2"/>
          </w:tcPr>
          <w:p w:rsidR="00F652BF" w:rsidRPr="00091A1D" w:rsidRDefault="00F652BF" w:rsidP="0097172D">
            <w:pPr>
              <w:spacing w:before="100" w:beforeAutospacing="1" w:after="100" w:afterAutospacing="1"/>
              <w:rPr>
                <w:bCs/>
                <w:lang w:val="lv-LV"/>
              </w:rPr>
            </w:pPr>
            <w:r w:rsidRPr="00091A1D">
              <w:rPr>
                <w:bCs/>
                <w:lang w:val="lv-LV"/>
              </w:rPr>
              <w:t>7.punkts</w:t>
            </w:r>
          </w:p>
        </w:tc>
        <w:tc>
          <w:tcPr>
            <w:tcW w:w="1948" w:type="dxa"/>
            <w:vAlign w:val="center"/>
          </w:tcPr>
          <w:p w:rsidR="00F652BF" w:rsidRPr="00091A1D" w:rsidRDefault="00F652BF" w:rsidP="0097172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F652BF" w:rsidRPr="00091A1D" w:rsidRDefault="00F652BF" w:rsidP="0097172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690D20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690D20" w:rsidRPr="00091A1D" w:rsidRDefault="00690D20" w:rsidP="00504B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Regulas Nr.1249/2008 6.pants un I pielikums</w:t>
            </w:r>
          </w:p>
        </w:tc>
        <w:tc>
          <w:tcPr>
            <w:tcW w:w="2141" w:type="dxa"/>
            <w:gridSpan w:val="2"/>
          </w:tcPr>
          <w:p w:rsidR="00690D20" w:rsidRPr="00091A1D" w:rsidRDefault="00690D20" w:rsidP="00A935EE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8.1.apakšpunkts</w:t>
            </w:r>
          </w:p>
        </w:tc>
        <w:tc>
          <w:tcPr>
            <w:tcW w:w="1948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690D20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690D20" w:rsidRPr="00091A1D" w:rsidRDefault="00690D20" w:rsidP="00504B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 xml:space="preserve">Regulas Nr.1249/2008 21.pants </w:t>
            </w:r>
          </w:p>
        </w:tc>
        <w:tc>
          <w:tcPr>
            <w:tcW w:w="2141" w:type="dxa"/>
            <w:gridSpan w:val="2"/>
          </w:tcPr>
          <w:p w:rsidR="00690D20" w:rsidRPr="00091A1D" w:rsidRDefault="00690D20" w:rsidP="00A935EE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8.2.apakšpunkts</w:t>
            </w:r>
          </w:p>
        </w:tc>
        <w:tc>
          <w:tcPr>
            <w:tcW w:w="1948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690D20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690D20" w:rsidRPr="00091A1D" w:rsidRDefault="00690D20" w:rsidP="00504B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 xml:space="preserve">Regulas Nr.1249/2008 </w:t>
            </w:r>
            <w:r w:rsidRPr="00091A1D">
              <w:rPr>
                <w:lang w:val="lv-LV"/>
              </w:rPr>
              <w:lastRenderedPageBreak/>
              <w:t>23.panta 4.punkts</w:t>
            </w:r>
          </w:p>
        </w:tc>
        <w:tc>
          <w:tcPr>
            <w:tcW w:w="2141" w:type="dxa"/>
            <w:gridSpan w:val="2"/>
          </w:tcPr>
          <w:p w:rsidR="00690D20" w:rsidRPr="00091A1D" w:rsidRDefault="00690D20" w:rsidP="00A935EE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lastRenderedPageBreak/>
              <w:t>16.punkts</w:t>
            </w:r>
          </w:p>
        </w:tc>
        <w:tc>
          <w:tcPr>
            <w:tcW w:w="1948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Regulas norma </w:t>
            </w:r>
            <w:r w:rsidRPr="00091A1D">
              <w:rPr>
                <w:lang w:val="lv-LV"/>
              </w:rPr>
              <w:lastRenderedPageBreak/>
              <w:t>ieviesta pilnībā</w:t>
            </w:r>
          </w:p>
        </w:tc>
        <w:tc>
          <w:tcPr>
            <w:tcW w:w="2230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lastRenderedPageBreak/>
              <w:t xml:space="preserve"> Projekts neparedz </w:t>
            </w:r>
            <w:r w:rsidRPr="00091A1D">
              <w:rPr>
                <w:lang w:val="lv-LV"/>
              </w:rPr>
              <w:lastRenderedPageBreak/>
              <w:t>stingrākas prasības</w:t>
            </w:r>
          </w:p>
        </w:tc>
      </w:tr>
      <w:tr w:rsidR="00690D20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690D20" w:rsidRPr="00091A1D" w:rsidRDefault="00690D20" w:rsidP="00504B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lastRenderedPageBreak/>
              <w:t>Regulas Nr.1249/2008 6.panta 3. un 5.punkts</w:t>
            </w:r>
          </w:p>
        </w:tc>
        <w:tc>
          <w:tcPr>
            <w:tcW w:w="2141" w:type="dxa"/>
            <w:gridSpan w:val="2"/>
          </w:tcPr>
          <w:p w:rsidR="00690D20" w:rsidRPr="00091A1D" w:rsidRDefault="00690D20" w:rsidP="003F4215">
            <w:pPr>
              <w:jc w:val="both"/>
              <w:rPr>
                <w:highlight w:val="yellow"/>
                <w:lang w:val="lv-LV"/>
              </w:rPr>
            </w:pPr>
            <w:r w:rsidRPr="00091A1D">
              <w:rPr>
                <w:lang w:val="lv-LV"/>
              </w:rPr>
              <w:t>17.1. un 17.6.apakšpunkts</w:t>
            </w:r>
          </w:p>
        </w:tc>
        <w:tc>
          <w:tcPr>
            <w:tcW w:w="1948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690D20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690D20" w:rsidRPr="00091A1D" w:rsidRDefault="00690D20" w:rsidP="00504B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Regulas Nr.1249/2008 6.panta 4.un 5.punkts</w:t>
            </w:r>
          </w:p>
        </w:tc>
        <w:tc>
          <w:tcPr>
            <w:tcW w:w="2141" w:type="dxa"/>
            <w:gridSpan w:val="2"/>
          </w:tcPr>
          <w:p w:rsidR="00690D20" w:rsidRPr="00091A1D" w:rsidRDefault="00690D20" w:rsidP="003F4215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 xml:space="preserve">17.2.apakšpunkts </w:t>
            </w:r>
          </w:p>
        </w:tc>
        <w:tc>
          <w:tcPr>
            <w:tcW w:w="1948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690D20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690D20" w:rsidRPr="00091A1D" w:rsidRDefault="00690D20" w:rsidP="00504B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Regulas Nr.1249/2008 21.panta 3.punkts</w:t>
            </w:r>
          </w:p>
        </w:tc>
        <w:tc>
          <w:tcPr>
            <w:tcW w:w="2141" w:type="dxa"/>
            <w:gridSpan w:val="2"/>
          </w:tcPr>
          <w:p w:rsidR="00690D20" w:rsidRPr="00091A1D" w:rsidRDefault="00690D20" w:rsidP="00A935EE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17.3. un 17.6.apakšpunkts</w:t>
            </w:r>
          </w:p>
        </w:tc>
        <w:tc>
          <w:tcPr>
            <w:tcW w:w="1948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FA07ED" w:rsidRPr="00091A1D" w:rsidTr="0097172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FA07ED" w:rsidRPr="00091A1D" w:rsidRDefault="00FA07ED" w:rsidP="0097172D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 xml:space="preserve">Regulas Nr.1249/2008 7.panta 2.punkta </w:t>
            </w:r>
            <w:r>
              <w:rPr>
                <w:lang w:val="lv-LV"/>
              </w:rPr>
              <w:t>„</w:t>
            </w:r>
            <w:r w:rsidRPr="00091A1D">
              <w:rPr>
                <w:lang w:val="lv-LV"/>
              </w:rPr>
              <w:t>a</w:t>
            </w:r>
            <w:r>
              <w:rPr>
                <w:lang w:val="lv-LV"/>
              </w:rPr>
              <w:t>”</w:t>
            </w:r>
            <w:r w:rsidRPr="00091A1D">
              <w:rPr>
                <w:lang w:val="lv-LV"/>
              </w:rPr>
              <w:t xml:space="preserve"> un </w:t>
            </w:r>
            <w:r>
              <w:rPr>
                <w:lang w:val="lv-LV"/>
              </w:rPr>
              <w:t>„</w:t>
            </w:r>
            <w:r w:rsidRPr="00091A1D">
              <w:rPr>
                <w:lang w:val="lv-LV"/>
              </w:rPr>
              <w:t>b</w:t>
            </w:r>
            <w:r>
              <w:rPr>
                <w:lang w:val="lv-LV"/>
              </w:rPr>
              <w:t>”</w:t>
            </w:r>
            <w:r w:rsidRPr="00091A1D">
              <w:rPr>
                <w:lang w:val="lv-LV"/>
              </w:rPr>
              <w:t xml:space="preserve"> apakšpunkts</w:t>
            </w:r>
          </w:p>
        </w:tc>
        <w:tc>
          <w:tcPr>
            <w:tcW w:w="2141" w:type="dxa"/>
            <w:gridSpan w:val="2"/>
          </w:tcPr>
          <w:p w:rsidR="00FA07ED" w:rsidRPr="00091A1D" w:rsidRDefault="00FA07ED" w:rsidP="0097172D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19.1.apakšpunkts</w:t>
            </w:r>
          </w:p>
        </w:tc>
        <w:tc>
          <w:tcPr>
            <w:tcW w:w="1948" w:type="dxa"/>
            <w:vAlign w:val="center"/>
          </w:tcPr>
          <w:p w:rsidR="00FA07ED" w:rsidRPr="00091A1D" w:rsidRDefault="00FA07ED" w:rsidP="0097172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FA07ED" w:rsidRPr="00091A1D" w:rsidRDefault="00FA07ED" w:rsidP="0097172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022218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022218" w:rsidRPr="00091A1D" w:rsidRDefault="00022218" w:rsidP="00504B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 xml:space="preserve">Regulas Nr.1249/2008 </w:t>
            </w:r>
            <w:r w:rsidRPr="00022218">
              <w:rPr>
                <w:lang w:eastAsia="lv-LV"/>
              </w:rPr>
              <w:t>19.pant</w:t>
            </w:r>
            <w:r>
              <w:rPr>
                <w:lang w:eastAsia="lv-LV"/>
              </w:rPr>
              <w:t>s</w:t>
            </w:r>
          </w:p>
        </w:tc>
        <w:tc>
          <w:tcPr>
            <w:tcW w:w="2141" w:type="dxa"/>
            <w:gridSpan w:val="2"/>
          </w:tcPr>
          <w:p w:rsidR="00022218" w:rsidRPr="00091A1D" w:rsidRDefault="00022218" w:rsidP="00A935E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22</w:t>
            </w:r>
            <w:r w:rsidRPr="00091A1D">
              <w:rPr>
                <w:lang w:val="lv-LV"/>
              </w:rPr>
              <w:t>.punkts</w:t>
            </w:r>
          </w:p>
        </w:tc>
        <w:tc>
          <w:tcPr>
            <w:tcW w:w="1948" w:type="dxa"/>
            <w:vAlign w:val="center"/>
          </w:tcPr>
          <w:p w:rsidR="00022218" w:rsidRPr="00091A1D" w:rsidRDefault="00022218" w:rsidP="008D3005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022218" w:rsidRPr="00091A1D" w:rsidRDefault="00022218" w:rsidP="008D3005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DE5003" w:rsidRPr="00343A27" w:rsidTr="0097172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DE5003" w:rsidRPr="00FA07ED" w:rsidRDefault="00DE5003" w:rsidP="0097172D">
            <w:pPr>
              <w:jc w:val="both"/>
              <w:rPr>
                <w:lang w:val="lv-LV"/>
              </w:rPr>
            </w:pPr>
            <w:r w:rsidRPr="00FA07ED">
              <w:rPr>
                <w:lang w:val="lv-LV"/>
              </w:rPr>
              <w:t>Regulas Nr.1249/2008 11.panta 2.punkta otrā rindkopa</w:t>
            </w:r>
          </w:p>
        </w:tc>
        <w:tc>
          <w:tcPr>
            <w:tcW w:w="2141" w:type="dxa"/>
            <w:gridSpan w:val="2"/>
          </w:tcPr>
          <w:p w:rsidR="00DE5003" w:rsidRPr="000C4795" w:rsidRDefault="00DE5003" w:rsidP="0097172D">
            <w:pPr>
              <w:jc w:val="both"/>
              <w:rPr>
                <w:lang w:val="lv-LV"/>
              </w:rPr>
            </w:pPr>
            <w:r w:rsidRPr="000C4795">
              <w:rPr>
                <w:lang w:val="lv-LV"/>
              </w:rPr>
              <w:t>26.punkts</w:t>
            </w:r>
          </w:p>
          <w:p w:rsidR="00DE5003" w:rsidRPr="000C4795" w:rsidRDefault="00DE5003" w:rsidP="0097172D">
            <w:pPr>
              <w:jc w:val="both"/>
              <w:rPr>
                <w:strike/>
                <w:highlight w:val="yellow"/>
                <w:lang w:val="lv-LV"/>
              </w:rPr>
            </w:pPr>
          </w:p>
        </w:tc>
        <w:tc>
          <w:tcPr>
            <w:tcW w:w="1948" w:type="dxa"/>
            <w:vAlign w:val="center"/>
          </w:tcPr>
          <w:p w:rsidR="00DE5003" w:rsidRPr="00091A1D" w:rsidRDefault="00DE5003" w:rsidP="0097172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DE5003" w:rsidRPr="00091A1D" w:rsidRDefault="00DE5003" w:rsidP="0097172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FA07ED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FA07ED" w:rsidRPr="00FA07ED" w:rsidRDefault="00FA07ED" w:rsidP="00504BE6">
            <w:pPr>
              <w:jc w:val="both"/>
              <w:rPr>
                <w:lang w:val="lv-LV"/>
              </w:rPr>
            </w:pPr>
            <w:r w:rsidRPr="00FA07ED">
              <w:rPr>
                <w:lang w:val="lv-LV"/>
              </w:rPr>
              <w:t>Regulas Nr.1249/2008 24.panta 2.punkta otrā rindkopa un 3.punkta „a” apakšpunkts</w:t>
            </w:r>
          </w:p>
        </w:tc>
        <w:tc>
          <w:tcPr>
            <w:tcW w:w="2141" w:type="dxa"/>
            <w:gridSpan w:val="2"/>
          </w:tcPr>
          <w:p w:rsidR="00FA07ED" w:rsidRPr="000C4795" w:rsidRDefault="00FA07ED" w:rsidP="00A935EE">
            <w:pPr>
              <w:jc w:val="both"/>
              <w:rPr>
                <w:highlight w:val="yellow"/>
                <w:lang w:val="lv-LV"/>
              </w:rPr>
            </w:pPr>
            <w:r w:rsidRPr="000C4795">
              <w:rPr>
                <w:lang w:val="lv-LV"/>
              </w:rPr>
              <w:t>27.punkts</w:t>
            </w:r>
          </w:p>
        </w:tc>
        <w:tc>
          <w:tcPr>
            <w:tcW w:w="1948" w:type="dxa"/>
            <w:vAlign w:val="center"/>
          </w:tcPr>
          <w:p w:rsidR="00FA07ED" w:rsidRPr="00091A1D" w:rsidRDefault="00FA07ED" w:rsidP="0097172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FA07ED" w:rsidRPr="00091A1D" w:rsidRDefault="00FA07ED" w:rsidP="0097172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E065E4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E065E4" w:rsidRPr="00091A1D" w:rsidRDefault="00E065E4" w:rsidP="003C7CCC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 xml:space="preserve">Lēmums Nr.2007/571/EK </w:t>
            </w:r>
          </w:p>
        </w:tc>
        <w:tc>
          <w:tcPr>
            <w:tcW w:w="2141" w:type="dxa"/>
            <w:gridSpan w:val="2"/>
          </w:tcPr>
          <w:p w:rsidR="00E065E4" w:rsidRPr="00091A1D" w:rsidRDefault="00E065E4" w:rsidP="00A935EE">
            <w:pPr>
              <w:spacing w:before="100" w:beforeAutospacing="1" w:after="100" w:afterAutospacing="1"/>
              <w:rPr>
                <w:bCs/>
                <w:lang w:val="lv-LV"/>
              </w:rPr>
            </w:pPr>
            <w:r w:rsidRPr="00091A1D">
              <w:rPr>
                <w:bCs/>
                <w:lang w:val="lv-LV"/>
              </w:rPr>
              <w:t>pielikums</w:t>
            </w:r>
          </w:p>
        </w:tc>
        <w:tc>
          <w:tcPr>
            <w:tcW w:w="1948" w:type="dxa"/>
            <w:vAlign w:val="center"/>
          </w:tcPr>
          <w:p w:rsidR="00E065E4" w:rsidRPr="00091A1D" w:rsidRDefault="00E065E4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Lēmuma norma ieviesta pilnībā</w:t>
            </w:r>
          </w:p>
        </w:tc>
        <w:tc>
          <w:tcPr>
            <w:tcW w:w="2230" w:type="dxa"/>
            <w:vAlign w:val="center"/>
          </w:tcPr>
          <w:p w:rsidR="00E065E4" w:rsidRPr="00091A1D" w:rsidRDefault="00E065E4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E065E4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E065E4" w:rsidRPr="00091A1D" w:rsidRDefault="00E065E4" w:rsidP="003C7CCC">
            <w:pPr>
              <w:autoSpaceDE w:val="0"/>
              <w:autoSpaceDN w:val="0"/>
              <w:adjustRightInd w:val="0"/>
              <w:jc w:val="both"/>
              <w:rPr>
                <w:bCs/>
                <w:lang w:val="lv-LV"/>
              </w:rPr>
            </w:pPr>
            <w:r w:rsidRPr="00091A1D">
              <w:rPr>
                <w:lang w:val="lv-LV"/>
              </w:rPr>
              <w:t xml:space="preserve">Lēmuma Nr.2005/307/EK 2.pants </w:t>
            </w:r>
          </w:p>
        </w:tc>
        <w:tc>
          <w:tcPr>
            <w:tcW w:w="2141" w:type="dxa"/>
            <w:gridSpan w:val="2"/>
          </w:tcPr>
          <w:p w:rsidR="00E065E4" w:rsidRPr="00091A1D" w:rsidRDefault="00E065E4" w:rsidP="00A935EE">
            <w:pPr>
              <w:spacing w:before="100" w:beforeAutospacing="1" w:after="100" w:afterAutospacing="1"/>
              <w:rPr>
                <w:bCs/>
                <w:lang w:val="lv-LV"/>
              </w:rPr>
            </w:pPr>
            <w:r w:rsidRPr="00091A1D">
              <w:rPr>
                <w:bCs/>
                <w:lang w:val="lv-LV"/>
              </w:rPr>
              <w:t>12.punkts</w:t>
            </w:r>
          </w:p>
        </w:tc>
        <w:tc>
          <w:tcPr>
            <w:tcW w:w="1948" w:type="dxa"/>
            <w:vAlign w:val="center"/>
          </w:tcPr>
          <w:p w:rsidR="00E065E4" w:rsidRPr="00091A1D" w:rsidRDefault="00E065E4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Lēmuma norma ieviesta pilnībā</w:t>
            </w:r>
          </w:p>
        </w:tc>
        <w:tc>
          <w:tcPr>
            <w:tcW w:w="2230" w:type="dxa"/>
            <w:vAlign w:val="center"/>
          </w:tcPr>
          <w:p w:rsidR="00E065E4" w:rsidRPr="00091A1D" w:rsidRDefault="00E065E4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690D20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/>
          <w:jc w:val="center"/>
        </w:trPr>
        <w:tc>
          <w:tcPr>
            <w:tcW w:w="2828" w:type="dxa"/>
            <w:gridSpan w:val="2"/>
          </w:tcPr>
          <w:p w:rsidR="00690D20" w:rsidRPr="00091A1D" w:rsidRDefault="00690D20" w:rsidP="00E84462">
            <w:pPr>
              <w:jc w:val="both"/>
              <w:rPr>
                <w:color w:val="333333"/>
                <w:lang w:val="lv-LV"/>
              </w:rPr>
            </w:pPr>
            <w:r w:rsidRPr="00091A1D">
              <w:rPr>
                <w:rFonts w:eastAsia="Calibri"/>
                <w:lang w:val="lv-LV"/>
              </w:rPr>
              <w:t>Regulas Nr.</w:t>
            </w:r>
            <w:r w:rsidRPr="00091A1D">
              <w:rPr>
                <w:color w:val="333333"/>
                <w:lang w:val="lv-LV"/>
              </w:rPr>
              <w:t>853/2004</w:t>
            </w:r>
          </w:p>
          <w:p w:rsidR="00690D20" w:rsidRPr="00091A1D" w:rsidRDefault="00690D20" w:rsidP="00E84462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rFonts w:eastAsia="Calibri"/>
                <w:lang w:val="lv-LV"/>
              </w:rPr>
              <w:t>III pielikuma I sadaļas V nodaļas 1.punkts</w:t>
            </w:r>
          </w:p>
        </w:tc>
        <w:tc>
          <w:tcPr>
            <w:tcW w:w="2141" w:type="dxa"/>
            <w:gridSpan w:val="2"/>
            <w:vAlign w:val="center"/>
          </w:tcPr>
          <w:p w:rsidR="00690D20" w:rsidRPr="00091A1D" w:rsidRDefault="00690D20" w:rsidP="00E84462">
            <w:pPr>
              <w:pStyle w:val="naiskr"/>
              <w:spacing w:before="0" w:beforeAutospacing="0" w:after="0" w:afterAutospacing="0"/>
              <w:jc w:val="both"/>
            </w:pPr>
            <w:r w:rsidRPr="00091A1D">
              <w:t xml:space="preserve">5.punkts </w:t>
            </w:r>
          </w:p>
        </w:tc>
        <w:tc>
          <w:tcPr>
            <w:tcW w:w="1948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690D20" w:rsidRPr="00091A1D" w:rsidRDefault="00690D20" w:rsidP="00E84462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022218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/>
          <w:jc w:val="center"/>
        </w:trPr>
        <w:tc>
          <w:tcPr>
            <w:tcW w:w="2828" w:type="dxa"/>
            <w:gridSpan w:val="2"/>
          </w:tcPr>
          <w:p w:rsidR="00022218" w:rsidRPr="00022218" w:rsidRDefault="00022218" w:rsidP="00022218">
            <w:pPr>
              <w:jc w:val="both"/>
              <w:rPr>
                <w:rFonts w:eastAsia="Calibri"/>
                <w:lang w:val="lv-LV"/>
              </w:rPr>
            </w:pPr>
            <w:r w:rsidRPr="00091A1D">
              <w:rPr>
                <w:rFonts w:eastAsia="Calibri"/>
                <w:lang w:val="lv-LV"/>
              </w:rPr>
              <w:t>Regulas</w:t>
            </w:r>
            <w:r>
              <w:rPr>
                <w:lang w:eastAsia="lv-LV"/>
              </w:rPr>
              <w:t xml:space="preserve"> </w:t>
            </w:r>
            <w:r w:rsidRPr="00022218">
              <w:rPr>
                <w:lang w:eastAsia="lv-LV"/>
              </w:rPr>
              <w:t>Nr.</w:t>
            </w:r>
            <w:hyperlink r:id="rId10" w:tgtFrame="_blank" w:history="1">
              <w:r w:rsidRPr="00022218">
                <w:rPr>
                  <w:lang w:eastAsia="lv-LV"/>
                </w:rPr>
                <w:t>178/2002</w:t>
              </w:r>
            </w:hyperlink>
            <w:r w:rsidRPr="00022218">
              <w:rPr>
                <w:lang w:eastAsia="lv-LV"/>
              </w:rPr>
              <w:t xml:space="preserve"> 18.pant</w:t>
            </w:r>
            <w:r>
              <w:rPr>
                <w:lang w:eastAsia="lv-LV"/>
              </w:rPr>
              <w:t>s</w:t>
            </w:r>
          </w:p>
        </w:tc>
        <w:tc>
          <w:tcPr>
            <w:tcW w:w="2141" w:type="dxa"/>
            <w:gridSpan w:val="2"/>
            <w:vAlign w:val="center"/>
          </w:tcPr>
          <w:p w:rsidR="00022218" w:rsidRPr="00091A1D" w:rsidRDefault="00022218" w:rsidP="00E84462">
            <w:pPr>
              <w:pStyle w:val="naiskr"/>
              <w:spacing w:before="0" w:beforeAutospacing="0" w:after="0" w:afterAutospacing="0"/>
              <w:jc w:val="both"/>
            </w:pPr>
            <w:r>
              <w:rPr>
                <w:bCs/>
              </w:rPr>
              <w:t>19</w:t>
            </w:r>
            <w:r w:rsidRPr="00091A1D">
              <w:rPr>
                <w:bCs/>
              </w:rPr>
              <w:t>.punkts</w:t>
            </w:r>
          </w:p>
        </w:tc>
        <w:tc>
          <w:tcPr>
            <w:tcW w:w="1948" w:type="dxa"/>
            <w:vAlign w:val="center"/>
          </w:tcPr>
          <w:p w:rsidR="00022218" w:rsidRPr="00091A1D" w:rsidRDefault="00022218" w:rsidP="008D3005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>Regulas norma ieviesta pilnībā</w:t>
            </w:r>
          </w:p>
        </w:tc>
        <w:tc>
          <w:tcPr>
            <w:tcW w:w="2230" w:type="dxa"/>
            <w:vAlign w:val="center"/>
          </w:tcPr>
          <w:p w:rsidR="00022218" w:rsidRPr="00091A1D" w:rsidRDefault="00022218" w:rsidP="008D3005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735F4D" w:rsidRPr="0060677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1"/>
          <w:jc w:val="center"/>
        </w:trPr>
        <w:tc>
          <w:tcPr>
            <w:tcW w:w="2828" w:type="dxa"/>
            <w:gridSpan w:val="2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6319" w:type="dxa"/>
            <w:gridSpan w:val="4"/>
          </w:tcPr>
          <w:p w:rsidR="00E74E8B" w:rsidRDefault="00AC5A55" w:rsidP="00E74E8B">
            <w:pPr>
              <w:pStyle w:val="naisf"/>
              <w:spacing w:before="0" w:after="0"/>
              <w:rPr>
                <w:bCs/>
                <w:lang w:val="lv-LV"/>
              </w:rPr>
            </w:pPr>
            <w:r w:rsidRPr="00AC5A55">
              <w:rPr>
                <w:lang w:val="lv-LV"/>
              </w:rPr>
              <w:t xml:space="preserve">Pēc Eiropas Kopienas </w:t>
            </w:r>
            <w:r w:rsidRPr="00AC5A55">
              <w:rPr>
                <w:bCs/>
                <w:color w:val="000000"/>
                <w:lang w:val="lv-LV"/>
              </w:rPr>
              <w:t>liellopu liemeņu klasifikācijas</w:t>
            </w:r>
            <w:r w:rsidRPr="00AC5A55">
              <w:rPr>
                <w:lang w:val="lv-LV"/>
              </w:rPr>
              <w:t xml:space="preserve"> pārbaudes Komitejas ieteikuma noteikumu projektā ir ieviesta </w:t>
            </w:r>
            <w:r w:rsidR="008D52B3" w:rsidRPr="00AC5A55">
              <w:rPr>
                <w:lang w:val="lv-LV"/>
              </w:rPr>
              <w:t>Regulas Nr.1308/2013 IV pielikuma A daļas III punkt</w:t>
            </w:r>
            <w:r w:rsidR="00072148" w:rsidRPr="00AC5A55">
              <w:rPr>
                <w:lang w:val="lv-LV"/>
              </w:rPr>
              <w:t xml:space="preserve">a </w:t>
            </w:r>
            <w:r w:rsidR="00141121" w:rsidRPr="00AC5A55">
              <w:rPr>
                <w:lang w:val="lv-LV"/>
              </w:rPr>
              <w:t>2.apakšpunktā</w:t>
            </w:r>
            <w:r w:rsidR="008D52B3" w:rsidRPr="00AC5A55">
              <w:rPr>
                <w:lang w:val="lv-LV"/>
              </w:rPr>
              <w:t xml:space="preserve"> minētā dalībvalst</w:t>
            </w:r>
            <w:r w:rsidR="008E1500" w:rsidRPr="00AC5A55">
              <w:rPr>
                <w:lang w:val="lv-LV"/>
              </w:rPr>
              <w:t>īm dotā</w:t>
            </w:r>
            <w:r w:rsidR="008D52B3" w:rsidRPr="00AC5A55">
              <w:rPr>
                <w:lang w:val="lv-LV"/>
              </w:rPr>
              <w:t xml:space="preserve"> izvēle </w:t>
            </w:r>
            <w:r w:rsidR="001C6F01" w:rsidRPr="00AC5A55">
              <w:rPr>
                <w:lang w:val="lv-LV"/>
              </w:rPr>
              <w:t>–</w:t>
            </w:r>
            <w:r w:rsidR="008D52B3" w:rsidRPr="00AC5A55">
              <w:rPr>
                <w:bCs/>
                <w:lang w:val="lv-LV"/>
              </w:rPr>
              <w:t xml:space="preserve"> iespēj</w:t>
            </w:r>
            <w:r w:rsidR="001C6F01" w:rsidRPr="00AC5A55">
              <w:rPr>
                <w:bCs/>
                <w:lang w:val="lv-LV"/>
              </w:rPr>
              <w:t>a</w:t>
            </w:r>
            <w:r w:rsidR="008D52B3" w:rsidRPr="00AC5A55">
              <w:rPr>
                <w:bCs/>
                <w:lang w:val="lv-LV"/>
              </w:rPr>
              <w:t xml:space="preserve"> liellopu liemeņu klasificēšanā izmantot apakšklases </w:t>
            </w:r>
            <w:r w:rsidR="00504BE6" w:rsidRPr="00AC5A55">
              <w:rPr>
                <w:bCs/>
                <w:lang w:val="lv-LV"/>
              </w:rPr>
              <w:t>uzbūves</w:t>
            </w:r>
            <w:r w:rsidR="008D52B3" w:rsidRPr="00AC5A55">
              <w:rPr>
                <w:bCs/>
                <w:lang w:val="lv-LV"/>
              </w:rPr>
              <w:t xml:space="preserve"> un tauku slāņa klasēm.</w:t>
            </w:r>
            <w:r w:rsidR="00E74E8B">
              <w:rPr>
                <w:bCs/>
                <w:lang w:val="lv-LV"/>
              </w:rPr>
              <w:t xml:space="preserve"> </w:t>
            </w:r>
          </w:p>
          <w:p w:rsidR="00E74E8B" w:rsidRDefault="00897588" w:rsidP="00E74E8B">
            <w:pPr>
              <w:pStyle w:val="naisf"/>
              <w:spacing w:before="0" w:after="0"/>
              <w:rPr>
                <w:lang w:val="lv-LV"/>
              </w:rPr>
            </w:pPr>
            <w:r w:rsidRPr="00E74E8B">
              <w:rPr>
                <w:iCs/>
                <w:lang w:val="lv-LV"/>
              </w:rPr>
              <w:t>Noteikumu projektā ir ieviesta</w:t>
            </w:r>
            <w:r w:rsidR="00E065E4" w:rsidRPr="00E74E8B">
              <w:rPr>
                <w:iCs/>
                <w:lang w:val="lv-LV"/>
              </w:rPr>
              <w:t>s</w:t>
            </w:r>
            <w:r w:rsidRPr="00E74E8B">
              <w:rPr>
                <w:iCs/>
                <w:lang w:val="lv-LV"/>
              </w:rPr>
              <w:t xml:space="preserve"> </w:t>
            </w:r>
            <w:r w:rsidR="00E065E4" w:rsidRPr="00E74E8B">
              <w:rPr>
                <w:bCs/>
                <w:lang w:val="lv-LV"/>
              </w:rPr>
              <w:t>Regulā</w:t>
            </w:r>
            <w:r w:rsidRPr="00E74E8B">
              <w:rPr>
                <w:bCs/>
                <w:lang w:val="lv-LV"/>
              </w:rPr>
              <w:t xml:space="preserve"> </w:t>
            </w:r>
            <w:r w:rsidRPr="00E74E8B">
              <w:rPr>
                <w:lang w:val="lv-LV"/>
              </w:rPr>
              <w:t xml:space="preserve">Nr.1249/2008 </w:t>
            </w:r>
            <w:r w:rsidR="00E065E4" w:rsidRPr="00E74E8B">
              <w:rPr>
                <w:lang w:val="lv-LV"/>
              </w:rPr>
              <w:t>dalībvalst</w:t>
            </w:r>
            <w:r w:rsidR="00E10F90" w:rsidRPr="00E74E8B">
              <w:rPr>
                <w:lang w:val="lv-LV"/>
              </w:rPr>
              <w:t>īm</w:t>
            </w:r>
            <w:r w:rsidR="00E065E4" w:rsidRPr="00E74E8B">
              <w:rPr>
                <w:lang w:val="lv-LV"/>
              </w:rPr>
              <w:t xml:space="preserve"> </w:t>
            </w:r>
            <w:r w:rsidR="00E10F90" w:rsidRPr="00E74E8B">
              <w:rPr>
                <w:lang w:val="lv-LV"/>
              </w:rPr>
              <w:t xml:space="preserve">dotās </w:t>
            </w:r>
            <w:r w:rsidR="00E065E4" w:rsidRPr="00E74E8B">
              <w:rPr>
                <w:lang w:val="lv-LV"/>
              </w:rPr>
              <w:t xml:space="preserve">izvēles normas attiecībā uz: </w:t>
            </w:r>
          </w:p>
          <w:p w:rsidR="00E74E8B" w:rsidRDefault="00E74E8B" w:rsidP="00E74E8B">
            <w:pPr>
              <w:pStyle w:val="naisf"/>
              <w:spacing w:before="0" w:beforeAutospacing="0" w:after="0"/>
              <w:rPr>
                <w:lang w:val="lv-LV"/>
              </w:rPr>
            </w:pPr>
            <w:r w:rsidRPr="00E74E8B">
              <w:rPr>
                <w:lang w:val="lv-LV"/>
              </w:rPr>
              <w:t>1</w:t>
            </w:r>
            <w:r w:rsidR="008D52B3" w:rsidRPr="00E74E8B">
              <w:rPr>
                <w:lang w:val="lv-LV"/>
              </w:rPr>
              <w:t>) minimālo klasificēto liellopu liemeņu skaitu, kuri jāpārbauda</w:t>
            </w:r>
            <w:r w:rsidR="003801F8">
              <w:rPr>
                <w:lang w:val="lv-LV"/>
              </w:rPr>
              <w:t xml:space="preserve"> katrā reizē</w:t>
            </w:r>
            <w:r w:rsidR="008D52B3" w:rsidRPr="00E74E8B">
              <w:rPr>
                <w:lang w:val="lv-LV"/>
              </w:rPr>
              <w:t>, veicot pārbaudes mazajās kautuvēs (11.panta 2.punkta otrā rindkopa).</w:t>
            </w:r>
            <w:r w:rsidR="003801F8">
              <w:rPr>
                <w:lang w:val="lv-LV"/>
              </w:rPr>
              <w:t xml:space="preserve"> Šī izvēles norma ir ieviesta pamatojoties uz attiecīgajās kautuvēs nokauto liellopu skaitu, jo mazajās kautuvēs nav iespējams katrā pārbaudē pārbaudīt 40 liemeņus</w:t>
            </w:r>
            <w:r w:rsidR="00314281">
              <w:rPr>
                <w:lang w:val="lv-LV"/>
              </w:rPr>
              <w:t xml:space="preserve">; </w:t>
            </w:r>
          </w:p>
          <w:p w:rsidR="00E74E8B" w:rsidRPr="00E74E8B" w:rsidRDefault="00E74E8B" w:rsidP="005D5891">
            <w:pPr>
              <w:pStyle w:val="naisf"/>
              <w:spacing w:before="0" w:beforeAutospacing="0" w:after="0"/>
              <w:rPr>
                <w:bCs/>
                <w:lang w:val="lv-LV"/>
              </w:rPr>
            </w:pPr>
            <w:r w:rsidRPr="00E74E8B">
              <w:rPr>
                <w:lang w:val="lv-LV"/>
              </w:rPr>
              <w:t xml:space="preserve">2) pārbaužu biežumu un </w:t>
            </w:r>
            <w:r w:rsidR="00314281">
              <w:rPr>
                <w:lang w:val="lv-LV"/>
              </w:rPr>
              <w:t xml:space="preserve">katrā reizē </w:t>
            </w:r>
            <w:r w:rsidRPr="00E74E8B">
              <w:rPr>
                <w:lang w:val="lv-LV"/>
              </w:rPr>
              <w:t xml:space="preserve">pārbaudāmo </w:t>
            </w:r>
            <w:r w:rsidR="00314281" w:rsidRPr="00E74E8B">
              <w:rPr>
                <w:lang w:val="lv-LV"/>
              </w:rPr>
              <w:t xml:space="preserve">klasificēto </w:t>
            </w:r>
            <w:r w:rsidRPr="00E74E8B">
              <w:rPr>
                <w:lang w:val="lv-LV"/>
              </w:rPr>
              <w:t>cūku</w:t>
            </w:r>
            <w:r w:rsidR="00314281">
              <w:rPr>
                <w:lang w:val="lv-LV"/>
              </w:rPr>
              <w:t xml:space="preserve"> liemeņu</w:t>
            </w:r>
            <w:r w:rsidRPr="00E74E8B">
              <w:rPr>
                <w:lang w:val="lv-LV"/>
              </w:rPr>
              <w:t xml:space="preserve"> skaitu mazajās kautuvēs</w:t>
            </w:r>
            <w:r w:rsidR="00314281">
              <w:rPr>
                <w:lang w:val="lv-LV"/>
              </w:rPr>
              <w:t>. Ņemot vērā</w:t>
            </w:r>
            <w:r w:rsidRPr="00E74E8B">
              <w:rPr>
                <w:lang w:val="lv-LV"/>
              </w:rPr>
              <w:t xml:space="preserve"> riska novērtējumu un</w:t>
            </w:r>
            <w:r w:rsidR="00314281">
              <w:rPr>
                <w:lang w:val="lv-LV"/>
              </w:rPr>
              <w:t xml:space="preserve"> iepriekšējo pārbaužu laikā iegūtos rezultātus,</w:t>
            </w:r>
            <w:r w:rsidR="00314281" w:rsidRPr="00E74E8B">
              <w:rPr>
                <w:lang w:val="lv-LV"/>
              </w:rPr>
              <w:t xml:space="preserve"> </w:t>
            </w:r>
            <w:r w:rsidR="00314281">
              <w:rPr>
                <w:lang w:val="lv-LV"/>
              </w:rPr>
              <w:t xml:space="preserve">pārbaužu </w:t>
            </w:r>
            <w:r w:rsidR="00314281">
              <w:rPr>
                <w:lang w:val="lv-LV"/>
              </w:rPr>
              <w:lastRenderedPageBreak/>
              <w:t xml:space="preserve">biežums </w:t>
            </w:r>
            <w:r w:rsidR="00314281" w:rsidRPr="00E74E8B">
              <w:rPr>
                <w:lang w:val="lv-LV"/>
              </w:rPr>
              <w:t>mazajās cūku kautuvēs</w:t>
            </w:r>
            <w:r w:rsidR="00314281">
              <w:rPr>
                <w:lang w:val="lv-LV"/>
              </w:rPr>
              <w:t xml:space="preserve"> tika samazināts. Pamatojoties uz</w:t>
            </w:r>
            <w:r w:rsidRPr="00E74E8B">
              <w:rPr>
                <w:lang w:val="lv-LV"/>
              </w:rPr>
              <w:t xml:space="preserve"> nokauto cūku skaitu</w:t>
            </w:r>
            <w:r w:rsidR="00314281">
              <w:rPr>
                <w:lang w:val="lv-LV"/>
              </w:rPr>
              <w:t xml:space="preserve"> mazajās kautuvēs</w:t>
            </w:r>
            <w:r w:rsidR="00B9451B">
              <w:rPr>
                <w:lang w:val="lv-LV"/>
              </w:rPr>
              <w:t>, ir noteikts</w:t>
            </w:r>
            <w:r w:rsidRPr="00E74E8B">
              <w:rPr>
                <w:lang w:val="lv-LV"/>
              </w:rPr>
              <w:t xml:space="preserve"> </w:t>
            </w:r>
            <w:r w:rsidR="00314281">
              <w:rPr>
                <w:lang w:val="lv-LV"/>
              </w:rPr>
              <w:t xml:space="preserve">katrā reizē </w:t>
            </w:r>
            <w:r w:rsidR="00314281" w:rsidRPr="00E74E8B">
              <w:rPr>
                <w:lang w:val="lv-LV"/>
              </w:rPr>
              <w:t>pārbaudāmo</w:t>
            </w:r>
            <w:r w:rsidR="00B9451B">
              <w:rPr>
                <w:lang w:val="lv-LV"/>
              </w:rPr>
              <w:t xml:space="preserve"> </w:t>
            </w:r>
            <w:r w:rsidR="00314281" w:rsidRPr="00E74E8B">
              <w:rPr>
                <w:lang w:val="lv-LV"/>
              </w:rPr>
              <w:t>klasificēto cūku</w:t>
            </w:r>
            <w:r w:rsidR="00314281">
              <w:rPr>
                <w:lang w:val="lv-LV"/>
              </w:rPr>
              <w:t xml:space="preserve"> liemeņu</w:t>
            </w:r>
            <w:r w:rsidR="00B9451B">
              <w:rPr>
                <w:lang w:val="lv-LV"/>
              </w:rPr>
              <w:t xml:space="preserve"> skaits</w:t>
            </w:r>
            <w:r w:rsidR="00314281" w:rsidRPr="00E74E8B">
              <w:rPr>
                <w:lang w:val="lv-LV"/>
              </w:rPr>
              <w:t xml:space="preserve"> </w:t>
            </w:r>
            <w:r w:rsidRPr="00E74E8B">
              <w:rPr>
                <w:lang w:val="lv-LV"/>
              </w:rPr>
              <w:t>(24.panta 2.punkta otrā rindkopa un 3.punkta „a” apakšpunkts)</w:t>
            </w:r>
            <w:r w:rsidR="00B9451B">
              <w:rPr>
                <w:lang w:val="lv-LV"/>
              </w:rPr>
              <w:t>.</w:t>
            </w:r>
          </w:p>
        </w:tc>
      </w:tr>
      <w:tr w:rsidR="00735F4D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  <w:jc w:val="center"/>
        </w:trPr>
        <w:tc>
          <w:tcPr>
            <w:tcW w:w="2828" w:type="dxa"/>
            <w:gridSpan w:val="2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091A1D">
              <w:rPr>
                <w:color w:val="000000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319" w:type="dxa"/>
            <w:gridSpan w:val="4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rPr>
                <w:color w:val="000000"/>
              </w:rPr>
            </w:pPr>
            <w:r w:rsidRPr="00091A1D">
              <w:rPr>
                <w:color w:val="000000"/>
              </w:rPr>
              <w:t>Projekts šo jomu neskar.</w:t>
            </w:r>
          </w:p>
        </w:tc>
      </w:tr>
      <w:tr w:rsidR="00735F4D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2828" w:type="dxa"/>
            <w:gridSpan w:val="2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Cita informācija</w:t>
            </w:r>
          </w:p>
        </w:tc>
        <w:tc>
          <w:tcPr>
            <w:tcW w:w="6319" w:type="dxa"/>
            <w:gridSpan w:val="4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rPr>
                <w:color w:val="000000"/>
              </w:rPr>
            </w:pPr>
            <w:r w:rsidRPr="00091A1D">
              <w:rPr>
                <w:color w:val="000000"/>
              </w:rPr>
              <w:t>Nav</w:t>
            </w:r>
          </w:p>
        </w:tc>
      </w:tr>
    </w:tbl>
    <w:p w:rsidR="00735F4D" w:rsidRPr="00091A1D" w:rsidRDefault="00735F4D" w:rsidP="00C21DCA">
      <w:pPr>
        <w:jc w:val="both"/>
        <w:rPr>
          <w:color w:val="000000"/>
          <w:lang w:val="lv-LV"/>
        </w:rPr>
      </w:pPr>
    </w:p>
    <w:p w:rsidR="00735F4D" w:rsidRPr="00091A1D" w:rsidRDefault="00735F4D">
      <w:pPr>
        <w:rPr>
          <w:i/>
          <w:lang w:val="lv-LV"/>
        </w:rPr>
      </w:pPr>
      <w:r w:rsidRPr="00091A1D">
        <w:rPr>
          <w:i/>
          <w:lang w:val="lv-LV"/>
        </w:rPr>
        <w:t>Anotācijas V sadaļas 2.tabula</w:t>
      </w:r>
      <w:r w:rsidR="00273FDF" w:rsidRPr="00091A1D">
        <w:rPr>
          <w:i/>
          <w:lang w:val="lv-LV"/>
        </w:rPr>
        <w:t xml:space="preserve"> </w:t>
      </w:r>
      <w:r w:rsidRPr="00091A1D">
        <w:rPr>
          <w:i/>
          <w:lang w:val="lv-LV"/>
        </w:rPr>
        <w:t xml:space="preserve">– </w:t>
      </w:r>
      <w:r w:rsidRPr="00091A1D">
        <w:rPr>
          <w:i/>
          <w:color w:val="000000"/>
          <w:lang w:val="lv-LV"/>
        </w:rPr>
        <w:t>projekts šo jomu neskar.</w:t>
      </w:r>
    </w:p>
    <w:p w:rsidR="00735F4D" w:rsidRPr="00091A1D" w:rsidRDefault="00735F4D" w:rsidP="005D73DE">
      <w:pPr>
        <w:rPr>
          <w:color w:val="000000"/>
          <w:u w:val="single"/>
          <w:lang w:val="lv-LV" w:eastAsia="lv-LV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3735"/>
        <w:gridCol w:w="5038"/>
      </w:tblGrid>
      <w:tr w:rsidR="00660652" w:rsidRPr="0060677D" w:rsidTr="00D906F1">
        <w:trPr>
          <w:jc w:val="center"/>
        </w:trPr>
        <w:tc>
          <w:tcPr>
            <w:tcW w:w="9382" w:type="dxa"/>
            <w:gridSpan w:val="3"/>
          </w:tcPr>
          <w:p w:rsidR="00660652" w:rsidRPr="00091A1D" w:rsidRDefault="00660652" w:rsidP="009C39C3">
            <w:pPr>
              <w:pStyle w:val="naisnod"/>
              <w:spacing w:before="0" w:after="0"/>
              <w:ind w:left="57" w:right="57"/>
            </w:pPr>
            <w:r w:rsidRPr="00091A1D">
              <w:t>VI. Sabiedrības līdzdalība un komunikācijas aktivitātes</w:t>
            </w:r>
          </w:p>
        </w:tc>
      </w:tr>
      <w:tr w:rsidR="00660652" w:rsidRPr="001C6F01" w:rsidTr="00D906F1">
        <w:trPr>
          <w:trHeight w:val="553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1.</w:t>
            </w:r>
          </w:p>
        </w:tc>
        <w:tc>
          <w:tcPr>
            <w:tcW w:w="3735" w:type="dxa"/>
          </w:tcPr>
          <w:p w:rsidR="00660652" w:rsidRPr="00091A1D" w:rsidRDefault="00660652" w:rsidP="009C39C3">
            <w:pPr>
              <w:pStyle w:val="naiskr"/>
              <w:spacing w:before="0" w:beforeAutospacing="0" w:after="0" w:afterAutospacing="0"/>
              <w:jc w:val="both"/>
            </w:pPr>
            <w:r w:rsidRPr="00091A1D">
              <w:t>Plānotās sabiedrības līdzdalības un komunikācijas aktivitātes saistībā ar projektu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FA37E6" w:rsidRPr="00091A1D" w:rsidRDefault="00FA37E6" w:rsidP="007208A0">
            <w:pPr>
              <w:jc w:val="both"/>
              <w:rPr>
                <w:lang w:val="lv-LV" w:eastAsia="lv-LV"/>
              </w:rPr>
            </w:pPr>
            <w:r w:rsidRPr="00091A1D">
              <w:rPr>
                <w:lang w:val="lv-LV" w:eastAsia="lv-LV"/>
              </w:rPr>
              <w:t>Inform</w:t>
            </w:r>
            <w:r w:rsidR="00D906F1">
              <w:rPr>
                <w:lang w:val="lv-LV" w:eastAsia="lv-LV"/>
              </w:rPr>
              <w:t>ācija par noteikumu projektu ti</w:t>
            </w:r>
            <w:r w:rsidRPr="00091A1D">
              <w:rPr>
                <w:lang w:val="lv-LV" w:eastAsia="lv-LV"/>
              </w:rPr>
              <w:t>k</w:t>
            </w:r>
            <w:r w:rsidR="00D906F1">
              <w:rPr>
                <w:lang w:val="lv-LV" w:eastAsia="lv-LV"/>
              </w:rPr>
              <w:t>a</w:t>
            </w:r>
            <w:r w:rsidR="00FA0F5F">
              <w:rPr>
                <w:lang w:val="lv-LV" w:eastAsia="lv-LV"/>
              </w:rPr>
              <w:t xml:space="preserve"> ievietota Zemkopības ministrijas</w:t>
            </w:r>
            <w:r w:rsidRPr="00091A1D">
              <w:rPr>
                <w:lang w:val="lv-LV" w:eastAsia="lv-LV"/>
              </w:rPr>
              <w:t xml:space="preserve"> tīmekļa vietnē</w:t>
            </w:r>
            <w:r w:rsidR="00C531FA">
              <w:rPr>
                <w:lang w:val="lv-LV" w:eastAsia="lv-LV"/>
              </w:rPr>
              <w:t xml:space="preserve"> www.zm.gov.lv</w:t>
            </w:r>
            <w:r w:rsidRPr="00091A1D">
              <w:rPr>
                <w:lang w:val="lv-LV" w:eastAsia="lv-LV"/>
              </w:rPr>
              <w:t>.</w:t>
            </w:r>
          </w:p>
        </w:tc>
      </w:tr>
      <w:tr w:rsidR="00660652" w:rsidRPr="001C6F01" w:rsidTr="00D906F1">
        <w:trPr>
          <w:trHeight w:val="339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2.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</w:pPr>
            <w:r w:rsidRPr="00091A1D">
              <w:t xml:space="preserve">Sabiedrības līdzdalība projekta izstrādē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7E6" w:rsidRDefault="000F22CC" w:rsidP="001C6F01">
            <w:pPr>
              <w:jc w:val="both"/>
              <w:rPr>
                <w:lang w:val="lv-LV"/>
              </w:rPr>
            </w:pPr>
            <w:r w:rsidRPr="00091A1D">
              <w:rPr>
                <w:lang w:val="lv-LV" w:eastAsia="lv-LV"/>
              </w:rPr>
              <w:t xml:space="preserve">Par noteikumu projektu elektroniski </w:t>
            </w:r>
            <w:r w:rsidR="003246AF">
              <w:rPr>
                <w:lang w:val="lv-LV" w:eastAsia="lv-LV"/>
              </w:rPr>
              <w:t>ir</w:t>
            </w:r>
            <w:r w:rsidRPr="00091A1D">
              <w:rPr>
                <w:lang w:val="lv-LV" w:eastAsia="lv-LV"/>
              </w:rPr>
              <w:t xml:space="preserve"> informētas</w:t>
            </w:r>
            <w:r w:rsidR="001C6F01">
              <w:rPr>
                <w:lang w:val="lv-LV"/>
              </w:rPr>
              <w:t xml:space="preserve"> </w:t>
            </w:r>
            <w:r w:rsidR="002C45E9">
              <w:rPr>
                <w:lang w:val="lv-LV"/>
              </w:rPr>
              <w:t>b</w:t>
            </w:r>
            <w:r w:rsidRPr="00091A1D">
              <w:rPr>
                <w:lang w:val="lv-LV"/>
              </w:rPr>
              <w:t>iedrības</w:t>
            </w:r>
            <w:r w:rsidR="002C45E9">
              <w:rPr>
                <w:lang w:val="lv-LV"/>
              </w:rPr>
              <w:t>:</w:t>
            </w:r>
            <w:r w:rsidR="007208A0" w:rsidRPr="00091A1D">
              <w:rPr>
                <w:lang w:val="lv-LV"/>
              </w:rPr>
              <w:t xml:space="preserve"> </w:t>
            </w:r>
            <w:r w:rsidR="002C45E9">
              <w:rPr>
                <w:lang w:val="lv-LV"/>
              </w:rPr>
              <w:t>„</w:t>
            </w:r>
            <w:r w:rsidRPr="00091A1D">
              <w:rPr>
                <w:lang w:val="lv-LV"/>
              </w:rPr>
              <w:t xml:space="preserve">Latvijas </w:t>
            </w:r>
            <w:r w:rsidR="00F04834" w:rsidRPr="00091A1D">
              <w:rPr>
                <w:lang w:val="lv-LV"/>
              </w:rPr>
              <w:t>Gaļas ražotāju un pārstrādātāju</w:t>
            </w:r>
            <w:r w:rsidR="001C6F01">
              <w:rPr>
                <w:lang w:val="lv-LV"/>
              </w:rPr>
              <w:t xml:space="preserve"> </w:t>
            </w:r>
            <w:r w:rsidR="007208A0" w:rsidRPr="00091A1D">
              <w:rPr>
                <w:lang w:val="lv-LV"/>
              </w:rPr>
              <w:t>asociācija</w:t>
            </w:r>
            <w:r w:rsidR="001C6F01">
              <w:rPr>
                <w:lang w:val="lv-LV"/>
              </w:rPr>
              <w:t>”</w:t>
            </w:r>
            <w:r w:rsidR="007208A0" w:rsidRPr="00091A1D">
              <w:rPr>
                <w:lang w:val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F04834" w:rsidRPr="00091A1D">
              <w:rPr>
                <w:lang w:val="lv-LV"/>
              </w:rPr>
              <w:t xml:space="preserve">Miesnieku un gaļas </w:t>
            </w:r>
            <w:r w:rsidR="007208A0" w:rsidRPr="00091A1D">
              <w:rPr>
                <w:lang w:val="lv-LV"/>
              </w:rPr>
              <w:t xml:space="preserve">tirgotāju </w:t>
            </w:r>
            <w:r w:rsidR="00F04834" w:rsidRPr="00091A1D">
              <w:rPr>
                <w:lang w:val="lv-LV"/>
              </w:rPr>
              <w:t>savstarpējā</w:t>
            </w:r>
            <w:r w:rsidR="002C45E9">
              <w:rPr>
                <w:lang w:val="lv-LV"/>
              </w:rPr>
              <w:t xml:space="preserve"> </w:t>
            </w:r>
            <w:r w:rsidR="007208A0" w:rsidRPr="00091A1D">
              <w:rPr>
                <w:lang w:val="lv-LV"/>
              </w:rPr>
              <w:t>atbalsta biedrība</w:t>
            </w:r>
            <w:r w:rsidR="00F04834" w:rsidRPr="00091A1D">
              <w:rPr>
                <w:lang w:val="lv-LV"/>
              </w:rPr>
              <w:t xml:space="preserve"> 2010</w:t>
            </w:r>
            <w:r w:rsidR="001C6F01">
              <w:rPr>
                <w:lang w:val="lv-LV"/>
              </w:rPr>
              <w:t>”</w:t>
            </w:r>
            <w:r w:rsidR="007208A0" w:rsidRPr="00091A1D">
              <w:rPr>
                <w:lang w:val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9A0DB5" w:rsidRPr="00091A1D">
              <w:rPr>
                <w:lang w:val="lv-LV" w:eastAsia="lv-LV"/>
              </w:rPr>
              <w:t xml:space="preserve">Lauksaimnieku </w:t>
            </w:r>
            <w:r w:rsidR="007208A0" w:rsidRPr="00091A1D">
              <w:rPr>
                <w:lang w:val="lv-LV" w:eastAsia="lv-LV"/>
              </w:rPr>
              <w:t>organizāciju</w:t>
            </w:r>
            <w:r w:rsidR="002C45E9">
              <w:rPr>
                <w:lang w:val="lv-LV" w:eastAsia="lv-LV"/>
              </w:rPr>
              <w:t xml:space="preserve"> </w:t>
            </w:r>
            <w:r w:rsidR="007208A0" w:rsidRPr="00091A1D">
              <w:rPr>
                <w:lang w:val="lv-LV" w:eastAsia="lv-LV"/>
              </w:rPr>
              <w:t>sadarbības padome</w:t>
            </w:r>
            <w:r w:rsidR="001C6F01">
              <w:rPr>
                <w:lang w:val="lv-LV" w:eastAsia="lv-LV"/>
              </w:rPr>
              <w:t>”</w:t>
            </w:r>
            <w:r w:rsidR="007208A0" w:rsidRPr="00091A1D">
              <w:rPr>
                <w:lang w:val="lv-LV" w:eastAsia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B57D5D" w:rsidRPr="00B57D5D">
              <w:rPr>
                <w:lang w:val="lv-LV"/>
              </w:rPr>
              <w:t xml:space="preserve">Latvijas Pārtikas </w:t>
            </w:r>
            <w:r w:rsidR="00B57D5D">
              <w:rPr>
                <w:lang w:val="lv-LV"/>
              </w:rPr>
              <w:t>uzņēmumu</w:t>
            </w:r>
            <w:r w:rsidR="002C45E9">
              <w:rPr>
                <w:lang w:val="lv-LV"/>
              </w:rPr>
              <w:t xml:space="preserve"> </w:t>
            </w:r>
            <w:r w:rsidR="00B57D5D">
              <w:rPr>
                <w:lang w:val="lv-LV"/>
              </w:rPr>
              <w:t>federācija</w:t>
            </w:r>
            <w:r w:rsidR="001C6F01">
              <w:rPr>
                <w:lang w:val="lv-LV"/>
              </w:rPr>
              <w:t>”</w:t>
            </w:r>
            <w:r w:rsidR="00B57D5D" w:rsidRPr="00B57D5D">
              <w:rPr>
                <w:lang w:val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B57D5D" w:rsidRPr="00B57D5D">
              <w:rPr>
                <w:lang w:val="lv-LV"/>
              </w:rPr>
              <w:t>Latvijas Lauksaimniecības</w:t>
            </w:r>
            <w:r w:rsidR="002C45E9">
              <w:rPr>
                <w:lang w:val="lv-LV"/>
              </w:rPr>
              <w:t xml:space="preserve"> </w:t>
            </w:r>
            <w:r w:rsidR="00B57D5D" w:rsidRPr="00B57D5D">
              <w:rPr>
                <w:lang w:val="lv-LV"/>
              </w:rPr>
              <w:t>kooperatīvu asociācija</w:t>
            </w:r>
            <w:r w:rsidR="001C6F01">
              <w:rPr>
                <w:lang w:val="lv-LV"/>
              </w:rPr>
              <w:t>” un</w:t>
            </w:r>
            <w:r w:rsidR="00B57D5D" w:rsidRPr="00091A1D">
              <w:rPr>
                <w:lang w:val="lv-LV" w:eastAsia="lv-LV"/>
              </w:rPr>
              <w:t xml:space="preserve"> </w:t>
            </w:r>
            <w:r w:rsidR="002C45E9">
              <w:rPr>
                <w:lang w:val="lv-LV"/>
              </w:rPr>
              <w:t>„</w:t>
            </w:r>
            <w:r w:rsidR="007208A0" w:rsidRPr="00091A1D">
              <w:rPr>
                <w:lang w:val="lv-LV" w:eastAsia="lv-LV"/>
              </w:rPr>
              <w:t>Zemnieku saeima</w:t>
            </w:r>
            <w:r w:rsidR="001C6F01">
              <w:rPr>
                <w:lang w:val="lv-LV" w:eastAsia="lv-LV"/>
              </w:rPr>
              <w:t>”</w:t>
            </w:r>
            <w:r w:rsidR="007208A0" w:rsidRPr="00091A1D">
              <w:rPr>
                <w:lang w:val="lv-LV" w:eastAsia="lv-LV"/>
              </w:rPr>
              <w:t>.</w:t>
            </w:r>
            <w:r w:rsidR="00D906F1">
              <w:rPr>
                <w:lang w:val="lv-LV" w:eastAsia="lv-LV"/>
              </w:rPr>
              <w:t xml:space="preserve"> </w:t>
            </w:r>
          </w:p>
          <w:p w:rsidR="00421E25" w:rsidRDefault="00D906F1" w:rsidP="00BA604C">
            <w:pPr>
              <w:ind w:left="720" w:hanging="720"/>
              <w:rPr>
                <w:lang w:val="lv-LV" w:eastAsia="lv-LV"/>
              </w:rPr>
            </w:pPr>
            <w:r>
              <w:rPr>
                <w:lang w:val="lv-LV" w:eastAsia="lv-LV"/>
              </w:rPr>
              <w:t>Par saņemtajiem iebildumiem un priekšlikumiem</w:t>
            </w:r>
          </w:p>
          <w:p w:rsidR="00BA604C" w:rsidRDefault="00D906F1" w:rsidP="00BA604C">
            <w:pPr>
              <w:ind w:left="720" w:hanging="72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tika sagatavota izziņa, k</w:t>
            </w:r>
            <w:r w:rsidR="001C6F01">
              <w:rPr>
                <w:lang w:val="lv-LV" w:eastAsia="lv-LV"/>
              </w:rPr>
              <w:t>as</w:t>
            </w:r>
            <w:r>
              <w:rPr>
                <w:lang w:val="lv-LV" w:eastAsia="lv-LV"/>
              </w:rPr>
              <w:t xml:space="preserve"> tika saskaņota</w:t>
            </w:r>
          </w:p>
          <w:p w:rsidR="00D906F1" w:rsidRPr="00091A1D" w:rsidRDefault="00D906F1" w:rsidP="00BA604C">
            <w:pPr>
              <w:ind w:left="720" w:hanging="72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elektroniski.</w:t>
            </w:r>
          </w:p>
        </w:tc>
      </w:tr>
      <w:tr w:rsidR="00660652" w:rsidRPr="0060677D" w:rsidTr="00D906F1">
        <w:trPr>
          <w:trHeight w:val="375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3.</w:t>
            </w:r>
          </w:p>
        </w:tc>
        <w:tc>
          <w:tcPr>
            <w:tcW w:w="3735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</w:pPr>
            <w:r w:rsidRPr="00091A1D">
              <w:t xml:space="preserve">Sabiedrības līdzdalības rezultāti </w:t>
            </w:r>
          </w:p>
        </w:tc>
        <w:tc>
          <w:tcPr>
            <w:tcW w:w="5038" w:type="dxa"/>
            <w:tcBorders>
              <w:top w:val="single" w:sz="4" w:space="0" w:color="auto"/>
            </w:tcBorders>
          </w:tcPr>
          <w:p w:rsidR="009A0DB5" w:rsidRPr="00091A1D" w:rsidRDefault="0079302C" w:rsidP="001C6F01">
            <w:pPr>
              <w:jc w:val="both"/>
              <w:rPr>
                <w:color w:val="000000"/>
                <w:lang w:val="lv-LV"/>
              </w:rPr>
            </w:pPr>
            <w:r>
              <w:rPr>
                <w:lang w:val="lv-LV" w:eastAsia="lv-LV"/>
              </w:rPr>
              <w:t>Nevalstiskās organizācijas</w:t>
            </w:r>
            <w:r w:rsidR="00D906F1">
              <w:rPr>
                <w:lang w:val="lv-LV" w:eastAsia="lv-LV"/>
              </w:rPr>
              <w:t xml:space="preserve"> kopumā atbalsta noteikumu projektu. Saņemtie iebildumi un priekšlikumi </w:t>
            </w:r>
            <w:r w:rsidR="001C6F01">
              <w:rPr>
                <w:lang w:val="lv-LV" w:eastAsia="lv-LV"/>
              </w:rPr>
              <w:t xml:space="preserve">daļēji </w:t>
            </w:r>
            <w:r w:rsidR="00D906F1">
              <w:rPr>
                <w:lang w:val="lv-LV" w:eastAsia="lv-LV"/>
              </w:rPr>
              <w:t>tika ņemti vērā</w:t>
            </w:r>
            <w:r w:rsidR="00324FA1">
              <w:rPr>
                <w:lang w:val="lv-LV" w:eastAsia="lv-LV"/>
              </w:rPr>
              <w:t>. Izziņā tika skaidrots, kāpēc netiek ņemti vērā priekšlikumi, k</w:t>
            </w:r>
            <w:r w:rsidR="0033579F">
              <w:rPr>
                <w:lang w:val="lv-LV" w:eastAsia="lv-LV"/>
              </w:rPr>
              <w:t>as</w:t>
            </w:r>
            <w:r w:rsidR="00324FA1">
              <w:rPr>
                <w:lang w:val="lv-LV" w:eastAsia="lv-LV"/>
              </w:rPr>
              <w:t xml:space="preserve"> ir pretrunā ar </w:t>
            </w:r>
            <w:r w:rsidR="00324FA1" w:rsidRPr="00324FA1">
              <w:rPr>
                <w:color w:val="282828"/>
                <w:lang w:val="lv-LV"/>
              </w:rPr>
              <w:t>augstāka juridiska spēka</w:t>
            </w:r>
            <w:r w:rsidR="00324FA1">
              <w:rPr>
                <w:lang w:val="lv-LV" w:eastAsia="lv-LV"/>
              </w:rPr>
              <w:t xml:space="preserve"> normatīvo aktu prasībām.</w:t>
            </w:r>
            <w:r w:rsidR="00D906F1">
              <w:rPr>
                <w:lang w:val="lv-LV" w:eastAsia="lv-LV"/>
              </w:rPr>
              <w:t xml:space="preserve"> </w:t>
            </w:r>
          </w:p>
        </w:tc>
      </w:tr>
      <w:tr w:rsidR="00660652" w:rsidRPr="00D906F1" w:rsidTr="00D906F1">
        <w:trPr>
          <w:trHeight w:val="476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4.</w:t>
            </w:r>
          </w:p>
        </w:tc>
        <w:tc>
          <w:tcPr>
            <w:tcW w:w="3735" w:type="dxa"/>
          </w:tcPr>
          <w:p w:rsidR="00660652" w:rsidRPr="00091A1D" w:rsidRDefault="00660652" w:rsidP="009C39C3">
            <w:pPr>
              <w:spacing w:before="100" w:beforeAutospacing="1" w:after="100" w:afterAutospacing="1"/>
              <w:rPr>
                <w:lang w:val="lv-LV"/>
              </w:rPr>
            </w:pPr>
            <w:r w:rsidRPr="00091A1D">
              <w:rPr>
                <w:lang w:val="lv-LV"/>
              </w:rPr>
              <w:t>Cita informācija</w:t>
            </w:r>
          </w:p>
        </w:tc>
        <w:tc>
          <w:tcPr>
            <w:tcW w:w="5038" w:type="dxa"/>
          </w:tcPr>
          <w:p w:rsidR="00660652" w:rsidRPr="00091A1D" w:rsidRDefault="00660652" w:rsidP="009C39C3">
            <w:pPr>
              <w:spacing w:before="100" w:beforeAutospacing="1" w:after="100" w:afterAutospacing="1"/>
              <w:rPr>
                <w:lang w:val="lv-LV"/>
              </w:rPr>
            </w:pPr>
            <w:r w:rsidRPr="00091A1D">
              <w:rPr>
                <w:lang w:val="lv-LV"/>
              </w:rPr>
              <w:t>Nav.</w:t>
            </w:r>
          </w:p>
        </w:tc>
      </w:tr>
    </w:tbl>
    <w:p w:rsidR="00660652" w:rsidRPr="00091A1D" w:rsidRDefault="00660652" w:rsidP="005D73DE">
      <w:pPr>
        <w:rPr>
          <w:color w:val="000000"/>
          <w:u w:val="single"/>
          <w:lang w:val="lv-LV" w:eastAsia="lv-LV"/>
        </w:rPr>
      </w:pPr>
    </w:p>
    <w:p w:rsidR="00660652" w:rsidRPr="00091A1D" w:rsidRDefault="00660652" w:rsidP="005D73DE">
      <w:pPr>
        <w:rPr>
          <w:color w:val="000000"/>
          <w:u w:val="single"/>
          <w:lang w:val="lv-LV" w:eastAsia="lv-LV"/>
        </w:rPr>
      </w:pPr>
    </w:p>
    <w:tbl>
      <w:tblPr>
        <w:tblW w:w="5000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2546"/>
        <w:gridCol w:w="6028"/>
      </w:tblGrid>
      <w:tr w:rsidR="00735F4D" w:rsidRPr="0060677D" w:rsidTr="00D906F1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735F4D" w:rsidRPr="00091A1D" w:rsidRDefault="00735F4D" w:rsidP="00A478D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091A1D">
              <w:rPr>
                <w:b/>
                <w:bCs/>
                <w:color w:val="000000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735F4D" w:rsidRPr="0060677D" w:rsidTr="00D906F1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Projekta izpildē iesaistītās institūcijas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5F4D" w:rsidRPr="00091A1D" w:rsidRDefault="009A0DB5" w:rsidP="00900FA5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A1D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  <w:r w:rsidR="00900FA5" w:rsidRPr="00091A1D">
              <w:rPr>
                <w:rFonts w:ascii="Times New Roman" w:hAnsi="Times New Roman"/>
                <w:sz w:val="24"/>
                <w:szCs w:val="24"/>
              </w:rPr>
              <w:t>,</w:t>
            </w:r>
            <w:r w:rsidRPr="00091A1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Lauksaimniecības datu centrs</w:t>
            </w:r>
            <w:r w:rsidR="00900FA5" w:rsidRPr="00091A1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="00B04249">
              <w:rPr>
                <w:rFonts w:ascii="Times New Roman" w:hAnsi="Times New Roman"/>
                <w:sz w:val="24"/>
                <w:szCs w:val="24"/>
                <w:lang w:eastAsia="lv-LV"/>
              </w:rPr>
              <w:t>valsts zinātniskais institūts „</w:t>
            </w:r>
            <w:r w:rsidR="00900FA5" w:rsidRPr="00091A1D">
              <w:rPr>
                <w:rFonts w:ascii="Times New Roman" w:hAnsi="Times New Roman"/>
                <w:sz w:val="24"/>
                <w:szCs w:val="24"/>
                <w:lang w:eastAsia="lv-LV"/>
              </w:rPr>
              <w:t>Pārtikas drošības, dzīvnieku veselības un vid</w:t>
            </w:r>
            <w:r w:rsidR="00324FA1">
              <w:rPr>
                <w:rFonts w:ascii="Times New Roman" w:hAnsi="Times New Roman"/>
                <w:sz w:val="24"/>
                <w:szCs w:val="24"/>
                <w:lang w:eastAsia="lv-LV"/>
              </w:rPr>
              <w:t>es zinātniskais institūts „BIOR</w:t>
            </w:r>
            <w:r w:rsidR="00B04249"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="002C45E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735F4D" w:rsidRPr="0060677D" w:rsidTr="00D906F1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 xml:space="preserve">Projekta izpildes ietekme uz pārvaldes funkcijām </w:t>
            </w:r>
            <w:r w:rsidRPr="00091A1D">
              <w:rPr>
                <w:color w:val="000000"/>
                <w:lang w:val="lv-LV"/>
              </w:rPr>
              <w:lastRenderedPageBreak/>
              <w:t xml:space="preserve">un institucionālo struktūru. </w:t>
            </w:r>
          </w:p>
          <w:p w:rsidR="00735F4D" w:rsidRPr="00091A1D" w:rsidRDefault="00735F4D" w:rsidP="00A478DC">
            <w:pPr>
              <w:ind w:firstLine="300"/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7E6" w:rsidRPr="00091A1D" w:rsidRDefault="00FA37E6" w:rsidP="00FA37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lastRenderedPageBreak/>
              <w:t>Normatīvā akta izpilde tiks nodrošināta, pamatojoties uz esošo institūciju līdzšinējām funkcijām.</w:t>
            </w:r>
          </w:p>
          <w:p w:rsidR="009A0DB5" w:rsidRPr="00091A1D" w:rsidRDefault="009A0DB5" w:rsidP="009A0DB5">
            <w:pPr>
              <w:ind w:left="57" w:right="57"/>
              <w:jc w:val="both"/>
              <w:rPr>
                <w:bCs/>
                <w:lang w:val="lv-LV" w:eastAsia="lv-LV"/>
              </w:rPr>
            </w:pPr>
          </w:p>
          <w:p w:rsidR="00735F4D" w:rsidRPr="00091A1D" w:rsidRDefault="00735F4D" w:rsidP="009A0DB5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35F4D" w:rsidRPr="00091A1D" w:rsidTr="00D906F1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lastRenderedPageBreak/>
              <w:t>3.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Cita informācija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5F4D" w:rsidRPr="00091A1D" w:rsidRDefault="00735F4D" w:rsidP="00A478DC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A1D">
              <w:rPr>
                <w:rFonts w:ascii="Times New Roman" w:hAnsi="Times New Roman"/>
                <w:color w:val="000000"/>
                <w:sz w:val="24"/>
                <w:szCs w:val="24"/>
              </w:rPr>
              <w:t>Nav</w:t>
            </w:r>
          </w:p>
        </w:tc>
      </w:tr>
    </w:tbl>
    <w:p w:rsidR="00735F4D" w:rsidRPr="00091A1D" w:rsidRDefault="00735F4D" w:rsidP="005D73DE">
      <w:pPr>
        <w:pStyle w:val="naisf"/>
        <w:spacing w:before="0" w:beforeAutospacing="0" w:after="0" w:afterAutospacing="0"/>
        <w:rPr>
          <w:color w:val="000000"/>
          <w:sz w:val="28"/>
          <w:lang w:val="lv-LV"/>
        </w:rPr>
      </w:pPr>
    </w:p>
    <w:p w:rsidR="00735F4D" w:rsidRPr="00091A1D" w:rsidRDefault="00735F4D" w:rsidP="0088195E">
      <w:pPr>
        <w:pStyle w:val="naisf"/>
        <w:spacing w:before="0" w:beforeAutospacing="0" w:after="0" w:afterAutospacing="0"/>
        <w:rPr>
          <w:color w:val="000000"/>
          <w:sz w:val="28"/>
          <w:lang w:val="lv-LV"/>
        </w:rPr>
      </w:pPr>
      <w:r w:rsidRPr="00091A1D">
        <w:rPr>
          <w:color w:val="000000"/>
          <w:sz w:val="28"/>
          <w:lang w:val="lv-LV"/>
        </w:rPr>
        <w:tab/>
      </w:r>
    </w:p>
    <w:p w:rsidR="00735F4D" w:rsidRPr="00B351EB" w:rsidRDefault="00735F4D" w:rsidP="00324FA1">
      <w:pPr>
        <w:pStyle w:val="Virsraksts1"/>
        <w:keepNext w:val="0"/>
        <w:widowControl w:val="0"/>
        <w:jc w:val="left"/>
        <w:rPr>
          <w:b w:val="0"/>
          <w:color w:val="000000"/>
          <w:sz w:val="24"/>
        </w:rPr>
      </w:pPr>
    </w:p>
    <w:p w:rsidR="002F1F81" w:rsidRPr="00B351EB" w:rsidRDefault="002F1F81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/>
          <w:sz w:val="24"/>
        </w:rPr>
      </w:pPr>
    </w:p>
    <w:p w:rsidR="00735F4D" w:rsidRPr="00091A1D" w:rsidRDefault="00735F4D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/>
          <w:szCs w:val="28"/>
        </w:rPr>
      </w:pPr>
      <w:r w:rsidRPr="00B351EB">
        <w:rPr>
          <w:b w:val="0"/>
          <w:color w:val="000000"/>
          <w:sz w:val="24"/>
        </w:rPr>
        <w:t>Zemkopības ministrs</w:t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  <w:t>J.Dūklavs</w:t>
      </w:r>
    </w:p>
    <w:p w:rsidR="00735F4D" w:rsidRPr="00091A1D" w:rsidRDefault="00735F4D" w:rsidP="005D73DE">
      <w:pPr>
        <w:rPr>
          <w:color w:val="000000"/>
          <w:lang w:val="lv-LV"/>
        </w:rPr>
      </w:pPr>
    </w:p>
    <w:p w:rsidR="00735F4D" w:rsidRPr="00091A1D" w:rsidRDefault="00735F4D" w:rsidP="005D73DE">
      <w:pPr>
        <w:rPr>
          <w:color w:val="000000"/>
          <w:lang w:val="lv-LV"/>
        </w:rPr>
      </w:pPr>
    </w:p>
    <w:p w:rsidR="00324FA1" w:rsidRDefault="00324FA1" w:rsidP="0065107F">
      <w:pPr>
        <w:rPr>
          <w:color w:val="000000"/>
          <w:sz w:val="20"/>
          <w:szCs w:val="20"/>
          <w:lang w:val="lv-LV"/>
        </w:rPr>
      </w:pPr>
    </w:p>
    <w:p w:rsidR="00324FA1" w:rsidRDefault="00324FA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2F1F81" w:rsidRDefault="002F1F81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B351EB" w:rsidRDefault="00B351EB" w:rsidP="0065107F">
      <w:pPr>
        <w:rPr>
          <w:color w:val="000000"/>
          <w:sz w:val="20"/>
          <w:szCs w:val="20"/>
          <w:lang w:val="lv-LV"/>
        </w:rPr>
      </w:pPr>
    </w:p>
    <w:p w:rsidR="0060677D" w:rsidRDefault="0060677D" w:rsidP="0065107F">
      <w:pPr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18.05.2015. 11:02</w:t>
      </w:r>
    </w:p>
    <w:p w:rsidR="0060677D" w:rsidRDefault="0060677D" w:rsidP="0065107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2162</w:t>
      </w:r>
      <w:r>
        <w:rPr>
          <w:sz w:val="20"/>
          <w:szCs w:val="20"/>
          <w:lang w:val="lv-LV"/>
        </w:rPr>
        <w:fldChar w:fldCharType="end"/>
      </w:r>
    </w:p>
    <w:p w:rsidR="00735F4D" w:rsidRPr="00091A1D" w:rsidRDefault="00735F4D" w:rsidP="0065107F">
      <w:pPr>
        <w:rPr>
          <w:color w:val="000000"/>
          <w:sz w:val="20"/>
          <w:szCs w:val="20"/>
          <w:lang w:val="lv-LV"/>
        </w:rPr>
      </w:pPr>
      <w:bookmarkStart w:id="2" w:name="_GoBack"/>
      <w:bookmarkEnd w:id="2"/>
      <w:r w:rsidRPr="00091A1D">
        <w:rPr>
          <w:color w:val="000000"/>
          <w:sz w:val="20"/>
          <w:szCs w:val="20"/>
          <w:lang w:val="lv-LV"/>
        </w:rPr>
        <w:t>D.Krastiņa</w:t>
      </w:r>
    </w:p>
    <w:p w:rsidR="00735F4D" w:rsidRPr="00091A1D" w:rsidRDefault="00735F4D" w:rsidP="0065107F">
      <w:pPr>
        <w:rPr>
          <w:color w:val="000000"/>
          <w:sz w:val="20"/>
          <w:szCs w:val="20"/>
          <w:lang w:val="lv-LV"/>
        </w:rPr>
      </w:pPr>
      <w:r w:rsidRPr="00091A1D">
        <w:rPr>
          <w:color w:val="000000"/>
          <w:sz w:val="20"/>
          <w:szCs w:val="20"/>
          <w:lang w:val="lv-LV"/>
        </w:rPr>
        <w:t>67027305, Daina.Krastina@zm.gov.lv</w:t>
      </w:r>
    </w:p>
    <w:sectPr w:rsidR="00735F4D" w:rsidRPr="00091A1D" w:rsidSect="00766002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F8" w:rsidRDefault="002446F8">
      <w:r>
        <w:separator/>
      </w:r>
    </w:p>
  </w:endnote>
  <w:endnote w:type="continuationSeparator" w:id="0">
    <w:p w:rsidR="002446F8" w:rsidRDefault="0024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Pr="00DF2CAB" w:rsidRDefault="00735F4D" w:rsidP="00DF2CAB">
    <w:pPr>
      <w:jc w:val="both"/>
      <w:rPr>
        <w:color w:val="000000"/>
        <w:sz w:val="20"/>
        <w:szCs w:val="20"/>
        <w:lang w:val="lv-LV"/>
      </w:rPr>
    </w:pPr>
    <w:r>
      <w:rPr>
        <w:sz w:val="20"/>
        <w:szCs w:val="20"/>
      </w:rPr>
      <w:t>Z</w:t>
    </w:r>
    <w:r w:rsidR="00DA5103">
      <w:rPr>
        <w:sz w:val="20"/>
        <w:szCs w:val="20"/>
      </w:rPr>
      <w:t>MAnot_</w:t>
    </w:r>
    <w:r w:rsidR="001A149E">
      <w:rPr>
        <w:sz w:val="20"/>
        <w:szCs w:val="20"/>
      </w:rPr>
      <w:t>1805</w:t>
    </w:r>
    <w:r w:rsidR="00B57D5D">
      <w:rPr>
        <w:sz w:val="20"/>
        <w:szCs w:val="20"/>
      </w:rPr>
      <w:t>15</w:t>
    </w:r>
    <w:r w:rsidR="00B57D5D" w:rsidRPr="00B164B6">
      <w:rPr>
        <w:sz w:val="20"/>
        <w:szCs w:val="20"/>
      </w:rPr>
      <w:t xml:space="preserve">; </w:t>
    </w:r>
    <w:r w:rsidR="00B57D5D" w:rsidRPr="00EE4E3B">
      <w:rPr>
        <w:iCs/>
        <w:sz w:val="20"/>
        <w:szCs w:val="20"/>
        <w:lang w:val="lv-LV"/>
      </w:rPr>
      <w:t>Dzīvnieku liemeņu klasifikācijas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Pr="00B57D5D" w:rsidRDefault="00735F4D" w:rsidP="0060677D">
    <w:pPr>
      <w:pStyle w:val="Paraststmeklis"/>
      <w:tabs>
        <w:tab w:val="left" w:pos="2970"/>
      </w:tabs>
      <w:spacing w:before="0" w:beforeAutospacing="0" w:after="0" w:afterAutospacing="0"/>
      <w:rPr>
        <w:iCs/>
        <w:sz w:val="20"/>
        <w:szCs w:val="20"/>
        <w:lang w:val="lv-LV"/>
      </w:rPr>
    </w:pPr>
    <w:r w:rsidRPr="00CC247C">
      <w:rPr>
        <w:sz w:val="20"/>
        <w:szCs w:val="20"/>
      </w:rPr>
      <w:t>ZMAnot_</w:t>
    </w:r>
    <w:r w:rsidR="001A149E">
      <w:rPr>
        <w:sz w:val="20"/>
        <w:szCs w:val="20"/>
      </w:rPr>
      <w:t>1805</w:t>
    </w:r>
    <w:r w:rsidR="00B57D5D">
      <w:rPr>
        <w:sz w:val="20"/>
        <w:szCs w:val="20"/>
      </w:rPr>
      <w:t>15</w:t>
    </w:r>
    <w:r w:rsidR="00B57D5D" w:rsidRPr="00B164B6">
      <w:rPr>
        <w:sz w:val="20"/>
        <w:szCs w:val="20"/>
      </w:rPr>
      <w:t xml:space="preserve">; </w:t>
    </w:r>
    <w:r w:rsidR="00B57D5D" w:rsidRPr="00EE4E3B">
      <w:rPr>
        <w:iCs/>
        <w:sz w:val="20"/>
        <w:szCs w:val="20"/>
        <w:lang w:val="lv-LV"/>
      </w:rPr>
      <w:t>Dzīvnieku liemeņu klasifikācijas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F8" w:rsidRDefault="002446F8">
      <w:r>
        <w:separator/>
      </w:r>
    </w:p>
  </w:footnote>
  <w:footnote w:type="continuationSeparator" w:id="0">
    <w:p w:rsidR="002446F8" w:rsidRDefault="0024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Default="00735F4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35F4D" w:rsidRDefault="00735F4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Default="00735F4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0677D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735F4D" w:rsidRDefault="00735F4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319"/>
    <w:multiLevelType w:val="hybridMultilevel"/>
    <w:tmpl w:val="81D8A558"/>
    <w:lvl w:ilvl="0" w:tplc="CA524A3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54C49"/>
    <w:multiLevelType w:val="hybridMultilevel"/>
    <w:tmpl w:val="B15EF0BE"/>
    <w:lvl w:ilvl="0" w:tplc="1278D9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918F6"/>
    <w:multiLevelType w:val="hybridMultilevel"/>
    <w:tmpl w:val="16C49A62"/>
    <w:lvl w:ilvl="0" w:tplc="1B305C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Times New Roman" w:hAnsi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1A5383"/>
    <w:multiLevelType w:val="hybridMultilevel"/>
    <w:tmpl w:val="93603CB4"/>
    <w:lvl w:ilvl="0" w:tplc="BC14D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A36969"/>
    <w:multiLevelType w:val="hybridMultilevel"/>
    <w:tmpl w:val="3CDE882A"/>
    <w:lvl w:ilvl="0" w:tplc="0426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B06D91"/>
    <w:multiLevelType w:val="hybridMultilevel"/>
    <w:tmpl w:val="716CCBEE"/>
    <w:lvl w:ilvl="0" w:tplc="60F03BE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732ED9"/>
    <w:multiLevelType w:val="hybridMultilevel"/>
    <w:tmpl w:val="71A2C26C"/>
    <w:lvl w:ilvl="0" w:tplc="7FF0B4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5D5D"/>
    <w:rsid w:val="000168B7"/>
    <w:rsid w:val="00022218"/>
    <w:rsid w:val="0002330F"/>
    <w:rsid w:val="00023845"/>
    <w:rsid w:val="0002456C"/>
    <w:rsid w:val="000265EE"/>
    <w:rsid w:val="00026D31"/>
    <w:rsid w:val="00030E98"/>
    <w:rsid w:val="0003130D"/>
    <w:rsid w:val="000323C9"/>
    <w:rsid w:val="000329F7"/>
    <w:rsid w:val="00032DD1"/>
    <w:rsid w:val="00034F8D"/>
    <w:rsid w:val="00035AEC"/>
    <w:rsid w:val="00035B0B"/>
    <w:rsid w:val="00037C03"/>
    <w:rsid w:val="00040105"/>
    <w:rsid w:val="00042DEB"/>
    <w:rsid w:val="00043915"/>
    <w:rsid w:val="000463AC"/>
    <w:rsid w:val="000504DB"/>
    <w:rsid w:val="0005177C"/>
    <w:rsid w:val="0005188C"/>
    <w:rsid w:val="00054536"/>
    <w:rsid w:val="00055A79"/>
    <w:rsid w:val="00056991"/>
    <w:rsid w:val="00057FBC"/>
    <w:rsid w:val="0006027E"/>
    <w:rsid w:val="000632C2"/>
    <w:rsid w:val="00064B88"/>
    <w:rsid w:val="0006719B"/>
    <w:rsid w:val="00072148"/>
    <w:rsid w:val="0007255F"/>
    <w:rsid w:val="00072622"/>
    <w:rsid w:val="00074423"/>
    <w:rsid w:val="00074AD0"/>
    <w:rsid w:val="00074D2A"/>
    <w:rsid w:val="0007562F"/>
    <w:rsid w:val="00075C44"/>
    <w:rsid w:val="0007746D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664A"/>
    <w:rsid w:val="0009058F"/>
    <w:rsid w:val="0009142B"/>
    <w:rsid w:val="000919A8"/>
    <w:rsid w:val="00091A1D"/>
    <w:rsid w:val="00093E3F"/>
    <w:rsid w:val="00095D8C"/>
    <w:rsid w:val="00096D79"/>
    <w:rsid w:val="000A0BB0"/>
    <w:rsid w:val="000A19E2"/>
    <w:rsid w:val="000A2AA7"/>
    <w:rsid w:val="000A2CED"/>
    <w:rsid w:val="000A5652"/>
    <w:rsid w:val="000A633B"/>
    <w:rsid w:val="000A67CD"/>
    <w:rsid w:val="000B076F"/>
    <w:rsid w:val="000B32EF"/>
    <w:rsid w:val="000B3D3E"/>
    <w:rsid w:val="000B5EAD"/>
    <w:rsid w:val="000B77B7"/>
    <w:rsid w:val="000B7AB8"/>
    <w:rsid w:val="000C0FA7"/>
    <w:rsid w:val="000C1E85"/>
    <w:rsid w:val="000C3707"/>
    <w:rsid w:val="000C4795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2CC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AA8"/>
    <w:rsid w:val="00105AE2"/>
    <w:rsid w:val="0010612F"/>
    <w:rsid w:val="00106322"/>
    <w:rsid w:val="0010663B"/>
    <w:rsid w:val="00106CA5"/>
    <w:rsid w:val="00106E4A"/>
    <w:rsid w:val="0011310D"/>
    <w:rsid w:val="00116784"/>
    <w:rsid w:val="00116DF8"/>
    <w:rsid w:val="001177FE"/>
    <w:rsid w:val="001178E3"/>
    <w:rsid w:val="00126428"/>
    <w:rsid w:val="001304F1"/>
    <w:rsid w:val="0013088C"/>
    <w:rsid w:val="00131D05"/>
    <w:rsid w:val="00132004"/>
    <w:rsid w:val="001324A4"/>
    <w:rsid w:val="001345CB"/>
    <w:rsid w:val="001347E9"/>
    <w:rsid w:val="00136C98"/>
    <w:rsid w:val="00137509"/>
    <w:rsid w:val="00137B2C"/>
    <w:rsid w:val="00140B4C"/>
    <w:rsid w:val="00141121"/>
    <w:rsid w:val="0014129D"/>
    <w:rsid w:val="0014319C"/>
    <w:rsid w:val="001461D6"/>
    <w:rsid w:val="001466B6"/>
    <w:rsid w:val="00147A76"/>
    <w:rsid w:val="00147BAA"/>
    <w:rsid w:val="00150011"/>
    <w:rsid w:val="0015254E"/>
    <w:rsid w:val="00153C68"/>
    <w:rsid w:val="0015551E"/>
    <w:rsid w:val="00155838"/>
    <w:rsid w:val="00155B89"/>
    <w:rsid w:val="00155ECA"/>
    <w:rsid w:val="0016014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82DFF"/>
    <w:rsid w:val="001919A5"/>
    <w:rsid w:val="00193ECF"/>
    <w:rsid w:val="00193F86"/>
    <w:rsid w:val="001942B7"/>
    <w:rsid w:val="0019798B"/>
    <w:rsid w:val="001A10EA"/>
    <w:rsid w:val="001A149E"/>
    <w:rsid w:val="001A3B92"/>
    <w:rsid w:val="001A3FFF"/>
    <w:rsid w:val="001A4BAD"/>
    <w:rsid w:val="001A6148"/>
    <w:rsid w:val="001A7C43"/>
    <w:rsid w:val="001B2F73"/>
    <w:rsid w:val="001B3B95"/>
    <w:rsid w:val="001B4882"/>
    <w:rsid w:val="001B75D9"/>
    <w:rsid w:val="001C09FC"/>
    <w:rsid w:val="001C2A17"/>
    <w:rsid w:val="001C4904"/>
    <w:rsid w:val="001C5F46"/>
    <w:rsid w:val="001C6F01"/>
    <w:rsid w:val="001C7789"/>
    <w:rsid w:val="001C7CA2"/>
    <w:rsid w:val="001D06A3"/>
    <w:rsid w:val="001D180D"/>
    <w:rsid w:val="001D1CF0"/>
    <w:rsid w:val="001D5DAF"/>
    <w:rsid w:val="001D77D5"/>
    <w:rsid w:val="001E14E1"/>
    <w:rsid w:val="001E264B"/>
    <w:rsid w:val="001E40A1"/>
    <w:rsid w:val="001E7670"/>
    <w:rsid w:val="001F1642"/>
    <w:rsid w:val="001F198F"/>
    <w:rsid w:val="001F373B"/>
    <w:rsid w:val="001F5256"/>
    <w:rsid w:val="001F5C16"/>
    <w:rsid w:val="00201F02"/>
    <w:rsid w:val="002027AF"/>
    <w:rsid w:val="00203134"/>
    <w:rsid w:val="002043DB"/>
    <w:rsid w:val="00205C1E"/>
    <w:rsid w:val="0020639A"/>
    <w:rsid w:val="00210E44"/>
    <w:rsid w:val="0021306B"/>
    <w:rsid w:val="0021364F"/>
    <w:rsid w:val="0021483F"/>
    <w:rsid w:val="002234A1"/>
    <w:rsid w:val="00224CE4"/>
    <w:rsid w:val="00230D6B"/>
    <w:rsid w:val="00231888"/>
    <w:rsid w:val="0023257C"/>
    <w:rsid w:val="0023303C"/>
    <w:rsid w:val="00241F74"/>
    <w:rsid w:val="00243F66"/>
    <w:rsid w:val="002446F8"/>
    <w:rsid w:val="0024492F"/>
    <w:rsid w:val="00245C78"/>
    <w:rsid w:val="002465D1"/>
    <w:rsid w:val="00247ADA"/>
    <w:rsid w:val="00247BF7"/>
    <w:rsid w:val="00247D93"/>
    <w:rsid w:val="002509B6"/>
    <w:rsid w:val="00252CBC"/>
    <w:rsid w:val="00252D09"/>
    <w:rsid w:val="002546AC"/>
    <w:rsid w:val="00256DD3"/>
    <w:rsid w:val="00260328"/>
    <w:rsid w:val="002606D3"/>
    <w:rsid w:val="00262617"/>
    <w:rsid w:val="002669C3"/>
    <w:rsid w:val="00266E42"/>
    <w:rsid w:val="00267A04"/>
    <w:rsid w:val="00270E29"/>
    <w:rsid w:val="00273FDF"/>
    <w:rsid w:val="002740B7"/>
    <w:rsid w:val="00274350"/>
    <w:rsid w:val="00274907"/>
    <w:rsid w:val="002759B1"/>
    <w:rsid w:val="00276098"/>
    <w:rsid w:val="002766EE"/>
    <w:rsid w:val="00281011"/>
    <w:rsid w:val="00281E8A"/>
    <w:rsid w:val="00282F68"/>
    <w:rsid w:val="002849D1"/>
    <w:rsid w:val="00286469"/>
    <w:rsid w:val="00290B2E"/>
    <w:rsid w:val="002915A2"/>
    <w:rsid w:val="00291914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4A7"/>
    <w:rsid w:val="002A7CB6"/>
    <w:rsid w:val="002B1905"/>
    <w:rsid w:val="002B24A9"/>
    <w:rsid w:val="002B25E2"/>
    <w:rsid w:val="002B3D70"/>
    <w:rsid w:val="002B4F76"/>
    <w:rsid w:val="002B7F1D"/>
    <w:rsid w:val="002C0839"/>
    <w:rsid w:val="002C11B3"/>
    <w:rsid w:val="002C2235"/>
    <w:rsid w:val="002C45E2"/>
    <w:rsid w:val="002C45E9"/>
    <w:rsid w:val="002C46AC"/>
    <w:rsid w:val="002C59C1"/>
    <w:rsid w:val="002C72FB"/>
    <w:rsid w:val="002D06D5"/>
    <w:rsid w:val="002D1A3D"/>
    <w:rsid w:val="002D1D38"/>
    <w:rsid w:val="002D280B"/>
    <w:rsid w:val="002D4981"/>
    <w:rsid w:val="002D522A"/>
    <w:rsid w:val="002E1E2F"/>
    <w:rsid w:val="002E284E"/>
    <w:rsid w:val="002E3FFA"/>
    <w:rsid w:val="002F014B"/>
    <w:rsid w:val="002F01BA"/>
    <w:rsid w:val="002F0B3C"/>
    <w:rsid w:val="002F0C7E"/>
    <w:rsid w:val="002F10A4"/>
    <w:rsid w:val="002F10C7"/>
    <w:rsid w:val="002F19B5"/>
    <w:rsid w:val="002F1F81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6FE8"/>
    <w:rsid w:val="003078B5"/>
    <w:rsid w:val="003078BF"/>
    <w:rsid w:val="00307C6C"/>
    <w:rsid w:val="00312474"/>
    <w:rsid w:val="003124EE"/>
    <w:rsid w:val="00314281"/>
    <w:rsid w:val="00315C3F"/>
    <w:rsid w:val="0031720E"/>
    <w:rsid w:val="0032141D"/>
    <w:rsid w:val="003246AF"/>
    <w:rsid w:val="00324FA1"/>
    <w:rsid w:val="00325D18"/>
    <w:rsid w:val="00326D8C"/>
    <w:rsid w:val="003309B4"/>
    <w:rsid w:val="00332007"/>
    <w:rsid w:val="0033350D"/>
    <w:rsid w:val="00333737"/>
    <w:rsid w:val="003353AA"/>
    <w:rsid w:val="0033579F"/>
    <w:rsid w:val="003379C7"/>
    <w:rsid w:val="00340EE3"/>
    <w:rsid w:val="003420C9"/>
    <w:rsid w:val="00342541"/>
    <w:rsid w:val="003431FA"/>
    <w:rsid w:val="003436A4"/>
    <w:rsid w:val="00343A27"/>
    <w:rsid w:val="00343E77"/>
    <w:rsid w:val="00344162"/>
    <w:rsid w:val="00346536"/>
    <w:rsid w:val="00347FD4"/>
    <w:rsid w:val="00353D62"/>
    <w:rsid w:val="003552B9"/>
    <w:rsid w:val="003554AA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9F5"/>
    <w:rsid w:val="00371C48"/>
    <w:rsid w:val="003750BF"/>
    <w:rsid w:val="003769E4"/>
    <w:rsid w:val="00376BBB"/>
    <w:rsid w:val="003801F8"/>
    <w:rsid w:val="0038045D"/>
    <w:rsid w:val="00381A6C"/>
    <w:rsid w:val="00382167"/>
    <w:rsid w:val="00384564"/>
    <w:rsid w:val="00386887"/>
    <w:rsid w:val="0038793B"/>
    <w:rsid w:val="00390386"/>
    <w:rsid w:val="00390C21"/>
    <w:rsid w:val="00391F20"/>
    <w:rsid w:val="00394F91"/>
    <w:rsid w:val="00396612"/>
    <w:rsid w:val="00396735"/>
    <w:rsid w:val="003A0B41"/>
    <w:rsid w:val="003A1D87"/>
    <w:rsid w:val="003A4522"/>
    <w:rsid w:val="003A58B9"/>
    <w:rsid w:val="003A5A85"/>
    <w:rsid w:val="003B28C8"/>
    <w:rsid w:val="003B4687"/>
    <w:rsid w:val="003B6C47"/>
    <w:rsid w:val="003C2517"/>
    <w:rsid w:val="003C2B26"/>
    <w:rsid w:val="003C2C1B"/>
    <w:rsid w:val="003C40EB"/>
    <w:rsid w:val="003C4A6D"/>
    <w:rsid w:val="003C4AC2"/>
    <w:rsid w:val="003C4FAD"/>
    <w:rsid w:val="003C6BCF"/>
    <w:rsid w:val="003C7CCC"/>
    <w:rsid w:val="003C7F18"/>
    <w:rsid w:val="003D0D4F"/>
    <w:rsid w:val="003D1F11"/>
    <w:rsid w:val="003D62B2"/>
    <w:rsid w:val="003D676D"/>
    <w:rsid w:val="003E10A6"/>
    <w:rsid w:val="003E1930"/>
    <w:rsid w:val="003E1A05"/>
    <w:rsid w:val="003E36E3"/>
    <w:rsid w:val="003E64C9"/>
    <w:rsid w:val="003E745F"/>
    <w:rsid w:val="003E7A43"/>
    <w:rsid w:val="003F02D7"/>
    <w:rsid w:val="003F1B23"/>
    <w:rsid w:val="003F29A1"/>
    <w:rsid w:val="003F2F3C"/>
    <w:rsid w:val="003F3FBE"/>
    <w:rsid w:val="003F4215"/>
    <w:rsid w:val="003F4446"/>
    <w:rsid w:val="003F4514"/>
    <w:rsid w:val="00401972"/>
    <w:rsid w:val="0040262E"/>
    <w:rsid w:val="00402AE9"/>
    <w:rsid w:val="0040578E"/>
    <w:rsid w:val="0040663B"/>
    <w:rsid w:val="004067FF"/>
    <w:rsid w:val="00406D15"/>
    <w:rsid w:val="004071C3"/>
    <w:rsid w:val="00410684"/>
    <w:rsid w:val="00412458"/>
    <w:rsid w:val="00413A82"/>
    <w:rsid w:val="00414016"/>
    <w:rsid w:val="00415584"/>
    <w:rsid w:val="0041773E"/>
    <w:rsid w:val="004208C4"/>
    <w:rsid w:val="00421E25"/>
    <w:rsid w:val="00421F53"/>
    <w:rsid w:val="004249A6"/>
    <w:rsid w:val="00424AE1"/>
    <w:rsid w:val="0042741C"/>
    <w:rsid w:val="00430B69"/>
    <w:rsid w:val="004311F3"/>
    <w:rsid w:val="004326DF"/>
    <w:rsid w:val="00433382"/>
    <w:rsid w:val="0043551E"/>
    <w:rsid w:val="004364EB"/>
    <w:rsid w:val="00437C04"/>
    <w:rsid w:val="00440C2A"/>
    <w:rsid w:val="004412D9"/>
    <w:rsid w:val="00443182"/>
    <w:rsid w:val="00444F15"/>
    <w:rsid w:val="0044545F"/>
    <w:rsid w:val="004470FB"/>
    <w:rsid w:val="004477F4"/>
    <w:rsid w:val="00447AB1"/>
    <w:rsid w:val="004512E6"/>
    <w:rsid w:val="00453031"/>
    <w:rsid w:val="00454E19"/>
    <w:rsid w:val="00457FF3"/>
    <w:rsid w:val="00460952"/>
    <w:rsid w:val="00461351"/>
    <w:rsid w:val="0046175A"/>
    <w:rsid w:val="00461947"/>
    <w:rsid w:val="0046268C"/>
    <w:rsid w:val="00463D9D"/>
    <w:rsid w:val="0046446B"/>
    <w:rsid w:val="004645B8"/>
    <w:rsid w:val="00467FF3"/>
    <w:rsid w:val="004706C4"/>
    <w:rsid w:val="004727CF"/>
    <w:rsid w:val="00473AB2"/>
    <w:rsid w:val="00473DBB"/>
    <w:rsid w:val="00474A28"/>
    <w:rsid w:val="00477D59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27FF"/>
    <w:rsid w:val="004B3171"/>
    <w:rsid w:val="004B34EF"/>
    <w:rsid w:val="004B6F89"/>
    <w:rsid w:val="004B7338"/>
    <w:rsid w:val="004C07F8"/>
    <w:rsid w:val="004C1820"/>
    <w:rsid w:val="004C277C"/>
    <w:rsid w:val="004C4BAD"/>
    <w:rsid w:val="004C5C71"/>
    <w:rsid w:val="004C5CB3"/>
    <w:rsid w:val="004D0202"/>
    <w:rsid w:val="004D120C"/>
    <w:rsid w:val="004D283F"/>
    <w:rsid w:val="004D29AD"/>
    <w:rsid w:val="004D2A8E"/>
    <w:rsid w:val="004D2FD5"/>
    <w:rsid w:val="004D414B"/>
    <w:rsid w:val="004E0F9E"/>
    <w:rsid w:val="004E202E"/>
    <w:rsid w:val="004E3BD5"/>
    <w:rsid w:val="004E78C9"/>
    <w:rsid w:val="004F110F"/>
    <w:rsid w:val="004F158A"/>
    <w:rsid w:val="004F1BDB"/>
    <w:rsid w:val="004F2EFC"/>
    <w:rsid w:val="004F407F"/>
    <w:rsid w:val="004F666A"/>
    <w:rsid w:val="00501BBD"/>
    <w:rsid w:val="005038E6"/>
    <w:rsid w:val="005048A0"/>
    <w:rsid w:val="00504BE6"/>
    <w:rsid w:val="00504D62"/>
    <w:rsid w:val="00505064"/>
    <w:rsid w:val="00506458"/>
    <w:rsid w:val="005077CF"/>
    <w:rsid w:val="00507A3B"/>
    <w:rsid w:val="00507E40"/>
    <w:rsid w:val="00510495"/>
    <w:rsid w:val="0051051E"/>
    <w:rsid w:val="00512A7E"/>
    <w:rsid w:val="005140EF"/>
    <w:rsid w:val="0051661B"/>
    <w:rsid w:val="00517314"/>
    <w:rsid w:val="005206CF"/>
    <w:rsid w:val="00521C50"/>
    <w:rsid w:val="00524C50"/>
    <w:rsid w:val="00526F5F"/>
    <w:rsid w:val="005322E0"/>
    <w:rsid w:val="0053651B"/>
    <w:rsid w:val="00537316"/>
    <w:rsid w:val="005402D9"/>
    <w:rsid w:val="005403CF"/>
    <w:rsid w:val="00541045"/>
    <w:rsid w:val="00541ED4"/>
    <w:rsid w:val="005422F4"/>
    <w:rsid w:val="005433EB"/>
    <w:rsid w:val="005434A2"/>
    <w:rsid w:val="005448AB"/>
    <w:rsid w:val="00546730"/>
    <w:rsid w:val="00550CD0"/>
    <w:rsid w:val="00551144"/>
    <w:rsid w:val="00551DD5"/>
    <w:rsid w:val="00552C28"/>
    <w:rsid w:val="00556FB2"/>
    <w:rsid w:val="005577C4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2591"/>
    <w:rsid w:val="00584C4B"/>
    <w:rsid w:val="005858F2"/>
    <w:rsid w:val="00585BD7"/>
    <w:rsid w:val="00585EF5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2108"/>
    <w:rsid w:val="005D29F6"/>
    <w:rsid w:val="005D2A69"/>
    <w:rsid w:val="005D5891"/>
    <w:rsid w:val="005D619A"/>
    <w:rsid w:val="005D73DE"/>
    <w:rsid w:val="005E14A7"/>
    <w:rsid w:val="005E2038"/>
    <w:rsid w:val="005E3C44"/>
    <w:rsid w:val="005E5056"/>
    <w:rsid w:val="005E61B9"/>
    <w:rsid w:val="005F1986"/>
    <w:rsid w:val="005F548A"/>
    <w:rsid w:val="005F734F"/>
    <w:rsid w:val="00602628"/>
    <w:rsid w:val="00604DA3"/>
    <w:rsid w:val="0060677D"/>
    <w:rsid w:val="0061059E"/>
    <w:rsid w:val="00613168"/>
    <w:rsid w:val="006146E5"/>
    <w:rsid w:val="006169A4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34A"/>
    <w:rsid w:val="00633C24"/>
    <w:rsid w:val="00634084"/>
    <w:rsid w:val="006342C4"/>
    <w:rsid w:val="006342D4"/>
    <w:rsid w:val="00634701"/>
    <w:rsid w:val="0063599A"/>
    <w:rsid w:val="00637747"/>
    <w:rsid w:val="006409CE"/>
    <w:rsid w:val="00645761"/>
    <w:rsid w:val="0065107F"/>
    <w:rsid w:val="00651925"/>
    <w:rsid w:val="00652A13"/>
    <w:rsid w:val="00653C1C"/>
    <w:rsid w:val="00655ACE"/>
    <w:rsid w:val="00655EBB"/>
    <w:rsid w:val="00656C23"/>
    <w:rsid w:val="00657962"/>
    <w:rsid w:val="00660652"/>
    <w:rsid w:val="00660CB0"/>
    <w:rsid w:val="0066452D"/>
    <w:rsid w:val="006662B5"/>
    <w:rsid w:val="0067321A"/>
    <w:rsid w:val="006735CE"/>
    <w:rsid w:val="00673642"/>
    <w:rsid w:val="00674D5D"/>
    <w:rsid w:val="00675331"/>
    <w:rsid w:val="00677712"/>
    <w:rsid w:val="00680B20"/>
    <w:rsid w:val="00680E5A"/>
    <w:rsid w:val="0068171E"/>
    <w:rsid w:val="00681AA8"/>
    <w:rsid w:val="00681BD1"/>
    <w:rsid w:val="00683A17"/>
    <w:rsid w:val="00684DF8"/>
    <w:rsid w:val="0069043D"/>
    <w:rsid w:val="00690D20"/>
    <w:rsid w:val="00691CB0"/>
    <w:rsid w:val="00695A98"/>
    <w:rsid w:val="0069612C"/>
    <w:rsid w:val="00696562"/>
    <w:rsid w:val="006A073E"/>
    <w:rsid w:val="006A1F3F"/>
    <w:rsid w:val="006A3CD4"/>
    <w:rsid w:val="006A401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C90"/>
    <w:rsid w:val="006B7EA9"/>
    <w:rsid w:val="006C0A3A"/>
    <w:rsid w:val="006C172A"/>
    <w:rsid w:val="006C21FF"/>
    <w:rsid w:val="006C3066"/>
    <w:rsid w:val="006C5EC6"/>
    <w:rsid w:val="006C6551"/>
    <w:rsid w:val="006D3A1F"/>
    <w:rsid w:val="006D42DC"/>
    <w:rsid w:val="006D4AD9"/>
    <w:rsid w:val="006D5174"/>
    <w:rsid w:val="006E0585"/>
    <w:rsid w:val="006E0591"/>
    <w:rsid w:val="006E3915"/>
    <w:rsid w:val="006E4A20"/>
    <w:rsid w:val="006E63AB"/>
    <w:rsid w:val="006E6F98"/>
    <w:rsid w:val="006F3D12"/>
    <w:rsid w:val="006F4812"/>
    <w:rsid w:val="006F630C"/>
    <w:rsid w:val="00701EAF"/>
    <w:rsid w:val="00703C2C"/>
    <w:rsid w:val="0070452D"/>
    <w:rsid w:val="00705B9B"/>
    <w:rsid w:val="0070698B"/>
    <w:rsid w:val="00707F0C"/>
    <w:rsid w:val="00710403"/>
    <w:rsid w:val="00710984"/>
    <w:rsid w:val="0071112B"/>
    <w:rsid w:val="007119A1"/>
    <w:rsid w:val="00711B91"/>
    <w:rsid w:val="00711D4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152DA"/>
    <w:rsid w:val="00716A48"/>
    <w:rsid w:val="007208A0"/>
    <w:rsid w:val="00721387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4405"/>
    <w:rsid w:val="007346C2"/>
    <w:rsid w:val="00735F4D"/>
    <w:rsid w:val="007409D1"/>
    <w:rsid w:val="007410CE"/>
    <w:rsid w:val="00741C8B"/>
    <w:rsid w:val="007443E2"/>
    <w:rsid w:val="00744CBE"/>
    <w:rsid w:val="00744E91"/>
    <w:rsid w:val="0074544A"/>
    <w:rsid w:val="007473F9"/>
    <w:rsid w:val="00750AF4"/>
    <w:rsid w:val="00751995"/>
    <w:rsid w:val="00751C2C"/>
    <w:rsid w:val="00752674"/>
    <w:rsid w:val="0075615A"/>
    <w:rsid w:val="007565EA"/>
    <w:rsid w:val="00757B05"/>
    <w:rsid w:val="00760A89"/>
    <w:rsid w:val="007628AB"/>
    <w:rsid w:val="00766002"/>
    <w:rsid w:val="00766603"/>
    <w:rsid w:val="007671F2"/>
    <w:rsid w:val="0076750E"/>
    <w:rsid w:val="007677EC"/>
    <w:rsid w:val="00773A0C"/>
    <w:rsid w:val="00774566"/>
    <w:rsid w:val="00775801"/>
    <w:rsid w:val="00775F62"/>
    <w:rsid w:val="0077613B"/>
    <w:rsid w:val="007762A2"/>
    <w:rsid w:val="0078058F"/>
    <w:rsid w:val="00780F76"/>
    <w:rsid w:val="00781366"/>
    <w:rsid w:val="0078183B"/>
    <w:rsid w:val="00782D80"/>
    <w:rsid w:val="00783FA1"/>
    <w:rsid w:val="00784E48"/>
    <w:rsid w:val="00785231"/>
    <w:rsid w:val="0079302C"/>
    <w:rsid w:val="00796CB9"/>
    <w:rsid w:val="007A0796"/>
    <w:rsid w:val="007A1125"/>
    <w:rsid w:val="007A2810"/>
    <w:rsid w:val="007A3791"/>
    <w:rsid w:val="007A3B9F"/>
    <w:rsid w:val="007A514C"/>
    <w:rsid w:val="007A5B59"/>
    <w:rsid w:val="007A6FA0"/>
    <w:rsid w:val="007A7E05"/>
    <w:rsid w:val="007B01BD"/>
    <w:rsid w:val="007B0576"/>
    <w:rsid w:val="007B4D27"/>
    <w:rsid w:val="007B665B"/>
    <w:rsid w:val="007C1935"/>
    <w:rsid w:val="007C3E31"/>
    <w:rsid w:val="007C4B74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7B49"/>
    <w:rsid w:val="007F7D05"/>
    <w:rsid w:val="00801836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0E9"/>
    <w:rsid w:val="008231FE"/>
    <w:rsid w:val="00825072"/>
    <w:rsid w:val="00825CFC"/>
    <w:rsid w:val="00827F71"/>
    <w:rsid w:val="00833431"/>
    <w:rsid w:val="00835193"/>
    <w:rsid w:val="00836F29"/>
    <w:rsid w:val="00837AA1"/>
    <w:rsid w:val="00843128"/>
    <w:rsid w:val="00843DF3"/>
    <w:rsid w:val="00844787"/>
    <w:rsid w:val="0084563D"/>
    <w:rsid w:val="00846711"/>
    <w:rsid w:val="00846F1D"/>
    <w:rsid w:val="00854598"/>
    <w:rsid w:val="00856738"/>
    <w:rsid w:val="00856DA5"/>
    <w:rsid w:val="00861CCC"/>
    <w:rsid w:val="00863961"/>
    <w:rsid w:val="0086556F"/>
    <w:rsid w:val="008665A4"/>
    <w:rsid w:val="00866DB7"/>
    <w:rsid w:val="0086732B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4F0F"/>
    <w:rsid w:val="00895210"/>
    <w:rsid w:val="0089539C"/>
    <w:rsid w:val="00897588"/>
    <w:rsid w:val="008A35A3"/>
    <w:rsid w:val="008A4B6E"/>
    <w:rsid w:val="008A54A5"/>
    <w:rsid w:val="008B0BB0"/>
    <w:rsid w:val="008B0F1E"/>
    <w:rsid w:val="008B248C"/>
    <w:rsid w:val="008B6260"/>
    <w:rsid w:val="008B7760"/>
    <w:rsid w:val="008C33A0"/>
    <w:rsid w:val="008C6F66"/>
    <w:rsid w:val="008D05D4"/>
    <w:rsid w:val="008D0AE3"/>
    <w:rsid w:val="008D28CB"/>
    <w:rsid w:val="008D336F"/>
    <w:rsid w:val="008D3438"/>
    <w:rsid w:val="008D52B3"/>
    <w:rsid w:val="008D5DC0"/>
    <w:rsid w:val="008D7832"/>
    <w:rsid w:val="008D7C17"/>
    <w:rsid w:val="008D7CB8"/>
    <w:rsid w:val="008E0C51"/>
    <w:rsid w:val="008E1329"/>
    <w:rsid w:val="008E1500"/>
    <w:rsid w:val="008E28DC"/>
    <w:rsid w:val="008E384F"/>
    <w:rsid w:val="008E4991"/>
    <w:rsid w:val="008E4D21"/>
    <w:rsid w:val="008E71AD"/>
    <w:rsid w:val="008E76CE"/>
    <w:rsid w:val="008E7C94"/>
    <w:rsid w:val="008E7CE3"/>
    <w:rsid w:val="008F0DDD"/>
    <w:rsid w:val="008F239E"/>
    <w:rsid w:val="008F2C3C"/>
    <w:rsid w:val="008F3459"/>
    <w:rsid w:val="008F3942"/>
    <w:rsid w:val="008F6A6A"/>
    <w:rsid w:val="008F7098"/>
    <w:rsid w:val="009003B8"/>
    <w:rsid w:val="00900FA5"/>
    <w:rsid w:val="00904639"/>
    <w:rsid w:val="0091356D"/>
    <w:rsid w:val="00914A2B"/>
    <w:rsid w:val="00914B47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4526"/>
    <w:rsid w:val="009456AA"/>
    <w:rsid w:val="0094583B"/>
    <w:rsid w:val="00945AD3"/>
    <w:rsid w:val="0095029E"/>
    <w:rsid w:val="00950658"/>
    <w:rsid w:val="00950D01"/>
    <w:rsid w:val="00951A15"/>
    <w:rsid w:val="00952E78"/>
    <w:rsid w:val="00953D50"/>
    <w:rsid w:val="0096030D"/>
    <w:rsid w:val="00962D0E"/>
    <w:rsid w:val="00962D51"/>
    <w:rsid w:val="00965105"/>
    <w:rsid w:val="00965F99"/>
    <w:rsid w:val="00966742"/>
    <w:rsid w:val="00967B46"/>
    <w:rsid w:val="00970789"/>
    <w:rsid w:val="0097195C"/>
    <w:rsid w:val="009722CB"/>
    <w:rsid w:val="00972871"/>
    <w:rsid w:val="00973C4D"/>
    <w:rsid w:val="00975D4C"/>
    <w:rsid w:val="009806E6"/>
    <w:rsid w:val="009816F5"/>
    <w:rsid w:val="00981E16"/>
    <w:rsid w:val="0098399E"/>
    <w:rsid w:val="0099066A"/>
    <w:rsid w:val="0099390A"/>
    <w:rsid w:val="00996A3D"/>
    <w:rsid w:val="009A0DB5"/>
    <w:rsid w:val="009A24CA"/>
    <w:rsid w:val="009A4113"/>
    <w:rsid w:val="009A49E1"/>
    <w:rsid w:val="009A678E"/>
    <w:rsid w:val="009A7AFC"/>
    <w:rsid w:val="009B3CB0"/>
    <w:rsid w:val="009B3D43"/>
    <w:rsid w:val="009B4F7D"/>
    <w:rsid w:val="009B7FF9"/>
    <w:rsid w:val="009C1BDB"/>
    <w:rsid w:val="009C1CA9"/>
    <w:rsid w:val="009C2A21"/>
    <w:rsid w:val="009C6158"/>
    <w:rsid w:val="009C6B02"/>
    <w:rsid w:val="009C7611"/>
    <w:rsid w:val="009C7745"/>
    <w:rsid w:val="009C78C7"/>
    <w:rsid w:val="009D0D27"/>
    <w:rsid w:val="009D15AC"/>
    <w:rsid w:val="009D29EA"/>
    <w:rsid w:val="009D2A06"/>
    <w:rsid w:val="009D2CBD"/>
    <w:rsid w:val="009D379B"/>
    <w:rsid w:val="009D3A54"/>
    <w:rsid w:val="009D6967"/>
    <w:rsid w:val="009E04D3"/>
    <w:rsid w:val="009E1934"/>
    <w:rsid w:val="009E2709"/>
    <w:rsid w:val="009E57FB"/>
    <w:rsid w:val="009E76E9"/>
    <w:rsid w:val="009F0547"/>
    <w:rsid w:val="009F3D1F"/>
    <w:rsid w:val="009F4C7E"/>
    <w:rsid w:val="009F5B68"/>
    <w:rsid w:val="00A01405"/>
    <w:rsid w:val="00A02244"/>
    <w:rsid w:val="00A03971"/>
    <w:rsid w:val="00A03DFF"/>
    <w:rsid w:val="00A069DD"/>
    <w:rsid w:val="00A06C99"/>
    <w:rsid w:val="00A07DDC"/>
    <w:rsid w:val="00A106F1"/>
    <w:rsid w:val="00A113CA"/>
    <w:rsid w:val="00A122C9"/>
    <w:rsid w:val="00A12DE1"/>
    <w:rsid w:val="00A14303"/>
    <w:rsid w:val="00A162FE"/>
    <w:rsid w:val="00A1776A"/>
    <w:rsid w:val="00A17941"/>
    <w:rsid w:val="00A17DD9"/>
    <w:rsid w:val="00A2013F"/>
    <w:rsid w:val="00A203E6"/>
    <w:rsid w:val="00A20C87"/>
    <w:rsid w:val="00A2193B"/>
    <w:rsid w:val="00A220DD"/>
    <w:rsid w:val="00A22819"/>
    <w:rsid w:val="00A262F2"/>
    <w:rsid w:val="00A26A95"/>
    <w:rsid w:val="00A26D42"/>
    <w:rsid w:val="00A32A29"/>
    <w:rsid w:val="00A3317E"/>
    <w:rsid w:val="00A37939"/>
    <w:rsid w:val="00A40717"/>
    <w:rsid w:val="00A44457"/>
    <w:rsid w:val="00A44EA9"/>
    <w:rsid w:val="00A46E81"/>
    <w:rsid w:val="00A478DC"/>
    <w:rsid w:val="00A52A1B"/>
    <w:rsid w:val="00A604F2"/>
    <w:rsid w:val="00A618F6"/>
    <w:rsid w:val="00A6353D"/>
    <w:rsid w:val="00A72476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90368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B47F3"/>
    <w:rsid w:val="00AB5A60"/>
    <w:rsid w:val="00AC0691"/>
    <w:rsid w:val="00AC084B"/>
    <w:rsid w:val="00AC2439"/>
    <w:rsid w:val="00AC5A55"/>
    <w:rsid w:val="00AC7264"/>
    <w:rsid w:val="00AD3AF0"/>
    <w:rsid w:val="00AD3FDA"/>
    <w:rsid w:val="00AE02A3"/>
    <w:rsid w:val="00AE0FB7"/>
    <w:rsid w:val="00AE10D8"/>
    <w:rsid w:val="00AE3ECB"/>
    <w:rsid w:val="00AE500B"/>
    <w:rsid w:val="00AF0836"/>
    <w:rsid w:val="00AF1735"/>
    <w:rsid w:val="00AF24A4"/>
    <w:rsid w:val="00AF66A5"/>
    <w:rsid w:val="00B00ADB"/>
    <w:rsid w:val="00B01566"/>
    <w:rsid w:val="00B02802"/>
    <w:rsid w:val="00B02ED1"/>
    <w:rsid w:val="00B0334D"/>
    <w:rsid w:val="00B03835"/>
    <w:rsid w:val="00B04249"/>
    <w:rsid w:val="00B04412"/>
    <w:rsid w:val="00B04944"/>
    <w:rsid w:val="00B05949"/>
    <w:rsid w:val="00B06C9E"/>
    <w:rsid w:val="00B13D78"/>
    <w:rsid w:val="00B14407"/>
    <w:rsid w:val="00B158D4"/>
    <w:rsid w:val="00B225BA"/>
    <w:rsid w:val="00B226E6"/>
    <w:rsid w:val="00B2516E"/>
    <w:rsid w:val="00B2551F"/>
    <w:rsid w:val="00B25C20"/>
    <w:rsid w:val="00B30E7C"/>
    <w:rsid w:val="00B3133E"/>
    <w:rsid w:val="00B351EB"/>
    <w:rsid w:val="00B3698C"/>
    <w:rsid w:val="00B36DAD"/>
    <w:rsid w:val="00B40B98"/>
    <w:rsid w:val="00B42144"/>
    <w:rsid w:val="00B463A0"/>
    <w:rsid w:val="00B470A0"/>
    <w:rsid w:val="00B47275"/>
    <w:rsid w:val="00B47A1B"/>
    <w:rsid w:val="00B47B5C"/>
    <w:rsid w:val="00B50388"/>
    <w:rsid w:val="00B51624"/>
    <w:rsid w:val="00B55EA8"/>
    <w:rsid w:val="00B5671E"/>
    <w:rsid w:val="00B57D5D"/>
    <w:rsid w:val="00B6023B"/>
    <w:rsid w:val="00B60A27"/>
    <w:rsid w:val="00B63B5F"/>
    <w:rsid w:val="00B64EEF"/>
    <w:rsid w:val="00B65FEE"/>
    <w:rsid w:val="00B66D04"/>
    <w:rsid w:val="00B67002"/>
    <w:rsid w:val="00B705C0"/>
    <w:rsid w:val="00B71D8C"/>
    <w:rsid w:val="00B72B28"/>
    <w:rsid w:val="00B736F5"/>
    <w:rsid w:val="00B75F5C"/>
    <w:rsid w:val="00B77BE8"/>
    <w:rsid w:val="00B80475"/>
    <w:rsid w:val="00B82F71"/>
    <w:rsid w:val="00B84A2A"/>
    <w:rsid w:val="00B84E28"/>
    <w:rsid w:val="00B85613"/>
    <w:rsid w:val="00B85F3C"/>
    <w:rsid w:val="00B87389"/>
    <w:rsid w:val="00B90E94"/>
    <w:rsid w:val="00B90FB8"/>
    <w:rsid w:val="00B9449B"/>
    <w:rsid w:val="00B9451B"/>
    <w:rsid w:val="00BA299F"/>
    <w:rsid w:val="00BA2FEA"/>
    <w:rsid w:val="00BA3AFE"/>
    <w:rsid w:val="00BA3C5D"/>
    <w:rsid w:val="00BA3E1C"/>
    <w:rsid w:val="00BA41FC"/>
    <w:rsid w:val="00BA604C"/>
    <w:rsid w:val="00BA6631"/>
    <w:rsid w:val="00BA7758"/>
    <w:rsid w:val="00BB2CA5"/>
    <w:rsid w:val="00BB4D9B"/>
    <w:rsid w:val="00BB5197"/>
    <w:rsid w:val="00BC0D6B"/>
    <w:rsid w:val="00BC15F0"/>
    <w:rsid w:val="00BC1700"/>
    <w:rsid w:val="00BC33D0"/>
    <w:rsid w:val="00BC5DA2"/>
    <w:rsid w:val="00BC7211"/>
    <w:rsid w:val="00BC7BCD"/>
    <w:rsid w:val="00BD03CE"/>
    <w:rsid w:val="00BD44C9"/>
    <w:rsid w:val="00BD452D"/>
    <w:rsid w:val="00BD5018"/>
    <w:rsid w:val="00BD6039"/>
    <w:rsid w:val="00BD68DA"/>
    <w:rsid w:val="00BD6E6E"/>
    <w:rsid w:val="00BD7395"/>
    <w:rsid w:val="00BE26B5"/>
    <w:rsid w:val="00BE2EDE"/>
    <w:rsid w:val="00BE4408"/>
    <w:rsid w:val="00BE4FF1"/>
    <w:rsid w:val="00BE594B"/>
    <w:rsid w:val="00BE7E71"/>
    <w:rsid w:val="00BF0AB8"/>
    <w:rsid w:val="00BF0F4F"/>
    <w:rsid w:val="00BF407A"/>
    <w:rsid w:val="00BF49C9"/>
    <w:rsid w:val="00C00446"/>
    <w:rsid w:val="00C018B4"/>
    <w:rsid w:val="00C01D97"/>
    <w:rsid w:val="00C0292C"/>
    <w:rsid w:val="00C05A12"/>
    <w:rsid w:val="00C07577"/>
    <w:rsid w:val="00C10958"/>
    <w:rsid w:val="00C11667"/>
    <w:rsid w:val="00C11917"/>
    <w:rsid w:val="00C11C1B"/>
    <w:rsid w:val="00C11E8B"/>
    <w:rsid w:val="00C124C7"/>
    <w:rsid w:val="00C135BF"/>
    <w:rsid w:val="00C146DA"/>
    <w:rsid w:val="00C14814"/>
    <w:rsid w:val="00C155EA"/>
    <w:rsid w:val="00C17F76"/>
    <w:rsid w:val="00C20792"/>
    <w:rsid w:val="00C20CD8"/>
    <w:rsid w:val="00C21624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1A66"/>
    <w:rsid w:val="00C32D09"/>
    <w:rsid w:val="00C334C9"/>
    <w:rsid w:val="00C33568"/>
    <w:rsid w:val="00C33C92"/>
    <w:rsid w:val="00C41D53"/>
    <w:rsid w:val="00C445FD"/>
    <w:rsid w:val="00C44C7B"/>
    <w:rsid w:val="00C44D04"/>
    <w:rsid w:val="00C44D1B"/>
    <w:rsid w:val="00C47EB6"/>
    <w:rsid w:val="00C47F77"/>
    <w:rsid w:val="00C5081A"/>
    <w:rsid w:val="00C50C7E"/>
    <w:rsid w:val="00C5197B"/>
    <w:rsid w:val="00C531FA"/>
    <w:rsid w:val="00C53289"/>
    <w:rsid w:val="00C534B6"/>
    <w:rsid w:val="00C5388E"/>
    <w:rsid w:val="00C547DE"/>
    <w:rsid w:val="00C55582"/>
    <w:rsid w:val="00C55925"/>
    <w:rsid w:val="00C60365"/>
    <w:rsid w:val="00C6097A"/>
    <w:rsid w:val="00C61082"/>
    <w:rsid w:val="00C61538"/>
    <w:rsid w:val="00C61A54"/>
    <w:rsid w:val="00C6287D"/>
    <w:rsid w:val="00C63C55"/>
    <w:rsid w:val="00C71547"/>
    <w:rsid w:val="00C715FC"/>
    <w:rsid w:val="00C7191B"/>
    <w:rsid w:val="00C727B6"/>
    <w:rsid w:val="00C76CD0"/>
    <w:rsid w:val="00C86BD2"/>
    <w:rsid w:val="00C86DE1"/>
    <w:rsid w:val="00C8717F"/>
    <w:rsid w:val="00C87AFB"/>
    <w:rsid w:val="00C87B21"/>
    <w:rsid w:val="00C9138E"/>
    <w:rsid w:val="00C91DA1"/>
    <w:rsid w:val="00C9293F"/>
    <w:rsid w:val="00C93329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B6F55"/>
    <w:rsid w:val="00CC005F"/>
    <w:rsid w:val="00CC1B24"/>
    <w:rsid w:val="00CC247C"/>
    <w:rsid w:val="00CC26BC"/>
    <w:rsid w:val="00CC55EC"/>
    <w:rsid w:val="00CC5A4B"/>
    <w:rsid w:val="00CC6D1C"/>
    <w:rsid w:val="00CC709B"/>
    <w:rsid w:val="00CD02E8"/>
    <w:rsid w:val="00CD0EBF"/>
    <w:rsid w:val="00CD3C3D"/>
    <w:rsid w:val="00CD4E19"/>
    <w:rsid w:val="00CD5A9C"/>
    <w:rsid w:val="00CD5AA6"/>
    <w:rsid w:val="00CD5C37"/>
    <w:rsid w:val="00CE1C82"/>
    <w:rsid w:val="00CE1E0B"/>
    <w:rsid w:val="00CE1ECC"/>
    <w:rsid w:val="00CE2A89"/>
    <w:rsid w:val="00CE3027"/>
    <w:rsid w:val="00CE6072"/>
    <w:rsid w:val="00CE6F05"/>
    <w:rsid w:val="00CF0CC9"/>
    <w:rsid w:val="00CF2337"/>
    <w:rsid w:val="00CF32C2"/>
    <w:rsid w:val="00D005C1"/>
    <w:rsid w:val="00D0116A"/>
    <w:rsid w:val="00D016CE"/>
    <w:rsid w:val="00D03915"/>
    <w:rsid w:val="00D03D95"/>
    <w:rsid w:val="00D042D0"/>
    <w:rsid w:val="00D055ED"/>
    <w:rsid w:val="00D069FC"/>
    <w:rsid w:val="00D1050C"/>
    <w:rsid w:val="00D12371"/>
    <w:rsid w:val="00D12656"/>
    <w:rsid w:val="00D133F1"/>
    <w:rsid w:val="00D16974"/>
    <w:rsid w:val="00D17E16"/>
    <w:rsid w:val="00D17F4D"/>
    <w:rsid w:val="00D20510"/>
    <w:rsid w:val="00D21018"/>
    <w:rsid w:val="00D2546F"/>
    <w:rsid w:val="00D258D9"/>
    <w:rsid w:val="00D25A3E"/>
    <w:rsid w:val="00D27E52"/>
    <w:rsid w:val="00D31091"/>
    <w:rsid w:val="00D31E5B"/>
    <w:rsid w:val="00D34862"/>
    <w:rsid w:val="00D37E6F"/>
    <w:rsid w:val="00D414A8"/>
    <w:rsid w:val="00D42AEF"/>
    <w:rsid w:val="00D45515"/>
    <w:rsid w:val="00D45C83"/>
    <w:rsid w:val="00D46E43"/>
    <w:rsid w:val="00D509B4"/>
    <w:rsid w:val="00D52BBF"/>
    <w:rsid w:val="00D533EA"/>
    <w:rsid w:val="00D54624"/>
    <w:rsid w:val="00D54AA4"/>
    <w:rsid w:val="00D56F80"/>
    <w:rsid w:val="00D57613"/>
    <w:rsid w:val="00D60B64"/>
    <w:rsid w:val="00D61306"/>
    <w:rsid w:val="00D62B78"/>
    <w:rsid w:val="00D63049"/>
    <w:rsid w:val="00D6499C"/>
    <w:rsid w:val="00D6647C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06F1"/>
    <w:rsid w:val="00D90E53"/>
    <w:rsid w:val="00D92523"/>
    <w:rsid w:val="00D93466"/>
    <w:rsid w:val="00D93D92"/>
    <w:rsid w:val="00D9475E"/>
    <w:rsid w:val="00D94986"/>
    <w:rsid w:val="00D96580"/>
    <w:rsid w:val="00D97434"/>
    <w:rsid w:val="00DA138A"/>
    <w:rsid w:val="00DA5103"/>
    <w:rsid w:val="00DB023D"/>
    <w:rsid w:val="00DB03FA"/>
    <w:rsid w:val="00DB4BF9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D771D"/>
    <w:rsid w:val="00DE180C"/>
    <w:rsid w:val="00DE295E"/>
    <w:rsid w:val="00DE36D3"/>
    <w:rsid w:val="00DE5003"/>
    <w:rsid w:val="00DE5976"/>
    <w:rsid w:val="00DE5FE6"/>
    <w:rsid w:val="00DE6046"/>
    <w:rsid w:val="00DE74D3"/>
    <w:rsid w:val="00DF0DBD"/>
    <w:rsid w:val="00DF1481"/>
    <w:rsid w:val="00DF162F"/>
    <w:rsid w:val="00DF2CAB"/>
    <w:rsid w:val="00DF2CB4"/>
    <w:rsid w:val="00DF330D"/>
    <w:rsid w:val="00DF34C1"/>
    <w:rsid w:val="00DF3C66"/>
    <w:rsid w:val="00DF3C7F"/>
    <w:rsid w:val="00DF4D99"/>
    <w:rsid w:val="00DF7713"/>
    <w:rsid w:val="00DF7C16"/>
    <w:rsid w:val="00E01B29"/>
    <w:rsid w:val="00E029E7"/>
    <w:rsid w:val="00E065E4"/>
    <w:rsid w:val="00E06F9B"/>
    <w:rsid w:val="00E07E1A"/>
    <w:rsid w:val="00E10F90"/>
    <w:rsid w:val="00E13396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47EB4"/>
    <w:rsid w:val="00E5060A"/>
    <w:rsid w:val="00E50F32"/>
    <w:rsid w:val="00E56B01"/>
    <w:rsid w:val="00E57F7B"/>
    <w:rsid w:val="00E61540"/>
    <w:rsid w:val="00E61AD5"/>
    <w:rsid w:val="00E63114"/>
    <w:rsid w:val="00E64C5D"/>
    <w:rsid w:val="00E65950"/>
    <w:rsid w:val="00E664C7"/>
    <w:rsid w:val="00E73750"/>
    <w:rsid w:val="00E741DD"/>
    <w:rsid w:val="00E74292"/>
    <w:rsid w:val="00E74E8B"/>
    <w:rsid w:val="00E800E6"/>
    <w:rsid w:val="00E81221"/>
    <w:rsid w:val="00E82751"/>
    <w:rsid w:val="00E84EDF"/>
    <w:rsid w:val="00E850A5"/>
    <w:rsid w:val="00E85136"/>
    <w:rsid w:val="00E8584F"/>
    <w:rsid w:val="00E90845"/>
    <w:rsid w:val="00E94440"/>
    <w:rsid w:val="00E94E94"/>
    <w:rsid w:val="00E952E0"/>
    <w:rsid w:val="00E9554C"/>
    <w:rsid w:val="00E96623"/>
    <w:rsid w:val="00E96929"/>
    <w:rsid w:val="00E975A7"/>
    <w:rsid w:val="00EA0B65"/>
    <w:rsid w:val="00EA2490"/>
    <w:rsid w:val="00EA2C74"/>
    <w:rsid w:val="00EA2ECC"/>
    <w:rsid w:val="00EA3FF8"/>
    <w:rsid w:val="00EA4AD5"/>
    <w:rsid w:val="00EA7534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3778"/>
    <w:rsid w:val="00EC39D3"/>
    <w:rsid w:val="00EC60D4"/>
    <w:rsid w:val="00EC74AC"/>
    <w:rsid w:val="00ED344D"/>
    <w:rsid w:val="00EE0E6E"/>
    <w:rsid w:val="00EE34B2"/>
    <w:rsid w:val="00EE5A45"/>
    <w:rsid w:val="00EE5B1D"/>
    <w:rsid w:val="00EE6AA3"/>
    <w:rsid w:val="00EF0295"/>
    <w:rsid w:val="00EF22FA"/>
    <w:rsid w:val="00EF3C41"/>
    <w:rsid w:val="00EF7F28"/>
    <w:rsid w:val="00F01AFC"/>
    <w:rsid w:val="00F040F5"/>
    <w:rsid w:val="00F0454C"/>
    <w:rsid w:val="00F04834"/>
    <w:rsid w:val="00F10386"/>
    <w:rsid w:val="00F10CA9"/>
    <w:rsid w:val="00F13546"/>
    <w:rsid w:val="00F15953"/>
    <w:rsid w:val="00F15B4A"/>
    <w:rsid w:val="00F15EDF"/>
    <w:rsid w:val="00F20FEC"/>
    <w:rsid w:val="00F21252"/>
    <w:rsid w:val="00F21D44"/>
    <w:rsid w:val="00F238D5"/>
    <w:rsid w:val="00F27286"/>
    <w:rsid w:val="00F2763C"/>
    <w:rsid w:val="00F31BD0"/>
    <w:rsid w:val="00F32B1E"/>
    <w:rsid w:val="00F34466"/>
    <w:rsid w:val="00F34B64"/>
    <w:rsid w:val="00F363E9"/>
    <w:rsid w:val="00F431E3"/>
    <w:rsid w:val="00F43267"/>
    <w:rsid w:val="00F44A5C"/>
    <w:rsid w:val="00F517A7"/>
    <w:rsid w:val="00F52401"/>
    <w:rsid w:val="00F53357"/>
    <w:rsid w:val="00F53ADF"/>
    <w:rsid w:val="00F57AC9"/>
    <w:rsid w:val="00F57B84"/>
    <w:rsid w:val="00F629B9"/>
    <w:rsid w:val="00F6312D"/>
    <w:rsid w:val="00F639BB"/>
    <w:rsid w:val="00F64F2F"/>
    <w:rsid w:val="00F652BF"/>
    <w:rsid w:val="00F660FF"/>
    <w:rsid w:val="00F67876"/>
    <w:rsid w:val="00F67FA1"/>
    <w:rsid w:val="00F707EA"/>
    <w:rsid w:val="00F72274"/>
    <w:rsid w:val="00F776DA"/>
    <w:rsid w:val="00F8042A"/>
    <w:rsid w:val="00F80D92"/>
    <w:rsid w:val="00F83BA3"/>
    <w:rsid w:val="00F8738D"/>
    <w:rsid w:val="00F902F6"/>
    <w:rsid w:val="00F9180B"/>
    <w:rsid w:val="00F918EC"/>
    <w:rsid w:val="00F924E2"/>
    <w:rsid w:val="00F93296"/>
    <w:rsid w:val="00F9556A"/>
    <w:rsid w:val="00F959A2"/>
    <w:rsid w:val="00F95C7C"/>
    <w:rsid w:val="00F973B4"/>
    <w:rsid w:val="00FA020C"/>
    <w:rsid w:val="00FA02B3"/>
    <w:rsid w:val="00FA07ED"/>
    <w:rsid w:val="00FA08DA"/>
    <w:rsid w:val="00FA0F5F"/>
    <w:rsid w:val="00FA28CA"/>
    <w:rsid w:val="00FA2FBB"/>
    <w:rsid w:val="00FA37E6"/>
    <w:rsid w:val="00FA4126"/>
    <w:rsid w:val="00FA53DE"/>
    <w:rsid w:val="00FA6BDD"/>
    <w:rsid w:val="00FA7962"/>
    <w:rsid w:val="00FB0DFB"/>
    <w:rsid w:val="00FB12AC"/>
    <w:rsid w:val="00FB20CF"/>
    <w:rsid w:val="00FB3CA3"/>
    <w:rsid w:val="00FB4839"/>
    <w:rsid w:val="00FB6B3F"/>
    <w:rsid w:val="00FC1248"/>
    <w:rsid w:val="00FC13D5"/>
    <w:rsid w:val="00FC1AAF"/>
    <w:rsid w:val="00FC25E0"/>
    <w:rsid w:val="00FC2F7E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D70BE"/>
    <w:rsid w:val="00FE13C3"/>
    <w:rsid w:val="00FE3BBD"/>
    <w:rsid w:val="00FE6202"/>
    <w:rsid w:val="00FE6D94"/>
    <w:rsid w:val="00FE72BC"/>
    <w:rsid w:val="00FF1BFF"/>
    <w:rsid w:val="00FF2716"/>
    <w:rsid w:val="00FF3355"/>
    <w:rsid w:val="00FF568C"/>
    <w:rsid w:val="00FF6B27"/>
    <w:rsid w:val="00FF7309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67860B-F441-465C-92CF-733CEED8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87654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"/>
    <w:semiHidden/>
    <w:rsid w:val="0087654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"/>
    <w:semiHidden/>
    <w:rsid w:val="00876548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"/>
    <w:semiHidden/>
    <w:rsid w:val="00876548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876548"/>
    <w:rPr>
      <w:sz w:val="24"/>
      <w:szCs w:val="24"/>
      <w:lang w:val="en-GB" w:eastAsia="en-US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s"/>
    <w:uiPriority w:val="99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876548"/>
    <w:rPr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6548"/>
    <w:rPr>
      <w:sz w:val="0"/>
      <w:szCs w:val="0"/>
      <w:lang w:val="en-GB" w:eastAsia="en-US"/>
    </w:rPr>
  </w:style>
  <w:style w:type="paragraph" w:customStyle="1" w:styleId="CharChar">
    <w:name w:val="Char Char"/>
    <w:basedOn w:val="Parast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link w:val="Pamatteksts2"/>
    <w:uiPriority w:val="99"/>
    <w:semiHidden/>
    <w:rsid w:val="00876548"/>
    <w:rPr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76548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link w:val="Nosaukums"/>
    <w:uiPriority w:val="10"/>
    <w:rsid w:val="00876548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uiPriority w:val="99"/>
    <w:rsid w:val="00966742"/>
    <w:pPr>
      <w:autoSpaceDE w:val="0"/>
      <w:autoSpaceDN w:val="0"/>
    </w:pPr>
    <w:rPr>
      <w:color w:val="000000"/>
      <w:lang w:val="ru-RU"/>
    </w:rPr>
  </w:style>
  <w:style w:type="paragraph" w:styleId="Pamatteksts3">
    <w:name w:val="Body Text 3"/>
    <w:basedOn w:val="Parasts"/>
    <w:link w:val="Pamatteksts3Rakstz"/>
    <w:rsid w:val="005577C4"/>
    <w:pPr>
      <w:spacing w:after="120"/>
    </w:pPr>
    <w:rPr>
      <w:sz w:val="16"/>
      <w:szCs w:val="16"/>
      <w:lang w:eastAsia="lv-LV"/>
    </w:rPr>
  </w:style>
  <w:style w:type="character" w:customStyle="1" w:styleId="Pamatteksts3Rakstz">
    <w:name w:val="Pamatteksts 3 Rakstz."/>
    <w:link w:val="Pamatteksts3"/>
    <w:rsid w:val="005577C4"/>
    <w:rPr>
      <w:sz w:val="16"/>
      <w:szCs w:val="16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60652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660652"/>
    <w:rPr>
      <w:sz w:val="24"/>
      <w:szCs w:val="24"/>
      <w:lang w:val="en-GB" w:eastAsia="en-US"/>
    </w:rPr>
  </w:style>
  <w:style w:type="paragraph" w:customStyle="1" w:styleId="a">
    <w:basedOn w:val="Parasts"/>
    <w:next w:val="Paraststmeklis"/>
    <w:rsid w:val="009A0DB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28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2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3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9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69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6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9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69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9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69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4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29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2R0178:20090807:LV: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ONSLEG:2002R0178:20090807:LV: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xUriServ/LexUriServ.do?uri=CONSLEG:2002R0178:20090807:LV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CONSLEG:2002R0178:20090807:LV: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2244</Words>
  <Characters>15961</Characters>
  <Application>Microsoft Office Word</Application>
  <DocSecurity>0</DocSecurity>
  <Lines>638</Lines>
  <Paragraphs>252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Dzīvnieku liemeņu klasifikācijas noteikumi</vt:lpstr>
    </vt:vector>
  </TitlesOfParts>
  <Company>Zemkopības ministrija</Company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Dzīvnieku liemeņu klasifikācijas noteikumi</dc:title>
  <dc:subject>anotācija</dc:subject>
  <dc:creator>Daina Krastiņa</dc:creator>
  <dc:description>Daina.Krastina@zm.gov.lv, 67027305</dc:description>
  <cp:lastModifiedBy>Renārs Žagars</cp:lastModifiedBy>
  <cp:revision>24</cp:revision>
  <cp:lastPrinted>2015-01-13T08:52:00Z</cp:lastPrinted>
  <dcterms:created xsi:type="dcterms:W3CDTF">2015-03-20T08:56:00Z</dcterms:created>
  <dcterms:modified xsi:type="dcterms:W3CDTF">2015-05-18T08:02:00Z</dcterms:modified>
</cp:coreProperties>
</file>