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42" w:rsidRDefault="00E06153" w:rsidP="00E06153">
      <w:pPr>
        <w:pStyle w:val="NoSpacing"/>
        <w:jc w:val="center"/>
        <w:rPr>
          <w:rFonts w:ascii="Times New Roman" w:hAnsi="Times New Roman" w:cs="Times New Roman"/>
          <w:b/>
          <w:sz w:val="24"/>
        </w:rPr>
      </w:pPr>
      <w:r>
        <w:rPr>
          <w:rFonts w:ascii="Times New Roman" w:hAnsi="Times New Roman" w:cs="Times New Roman"/>
          <w:b/>
          <w:sz w:val="24"/>
        </w:rPr>
        <w:t xml:space="preserve">Ministru kabineta </w:t>
      </w:r>
      <w:r w:rsidR="004F62EA">
        <w:rPr>
          <w:rFonts w:ascii="Times New Roman" w:hAnsi="Times New Roman" w:cs="Times New Roman"/>
          <w:b/>
          <w:sz w:val="24"/>
        </w:rPr>
        <w:t>instrukcijas projekt</w:t>
      </w:r>
      <w:r w:rsidR="00166076">
        <w:rPr>
          <w:rFonts w:ascii="Times New Roman" w:hAnsi="Times New Roman" w:cs="Times New Roman"/>
          <w:b/>
          <w:sz w:val="24"/>
        </w:rPr>
        <w:t>a</w:t>
      </w:r>
    </w:p>
    <w:p w:rsidR="00E06153" w:rsidRDefault="00906A3E" w:rsidP="00E06153">
      <w:pPr>
        <w:pStyle w:val="NoSpacing"/>
        <w:jc w:val="center"/>
        <w:rPr>
          <w:rFonts w:ascii="Times New Roman" w:hAnsi="Times New Roman" w:cs="Times New Roman"/>
          <w:b/>
          <w:sz w:val="24"/>
        </w:rPr>
      </w:pPr>
      <w:r>
        <w:rPr>
          <w:rFonts w:ascii="Times New Roman" w:hAnsi="Times New Roman" w:cs="Times New Roman"/>
          <w:b/>
          <w:sz w:val="24"/>
        </w:rPr>
        <w:t>„</w:t>
      </w:r>
      <w:r w:rsidR="00E06153">
        <w:rPr>
          <w:rFonts w:ascii="Times New Roman" w:hAnsi="Times New Roman" w:cs="Times New Roman"/>
          <w:b/>
          <w:sz w:val="24"/>
        </w:rPr>
        <w:t xml:space="preserve">Par </w:t>
      </w:r>
      <w:r w:rsidR="00CC48FD">
        <w:rPr>
          <w:rFonts w:ascii="Times New Roman" w:hAnsi="Times New Roman" w:cs="Times New Roman"/>
          <w:b/>
          <w:sz w:val="24"/>
        </w:rPr>
        <w:t>u</w:t>
      </w:r>
      <w:r w:rsidR="004F62EA">
        <w:rPr>
          <w:rFonts w:ascii="Times New Roman" w:hAnsi="Times New Roman" w:cs="Times New Roman"/>
          <w:b/>
          <w:sz w:val="24"/>
        </w:rPr>
        <w:t xml:space="preserve">zņemošās valsts atbalsta </w:t>
      </w:r>
      <w:r w:rsidR="002F0447">
        <w:rPr>
          <w:rFonts w:ascii="Times New Roman" w:hAnsi="Times New Roman" w:cs="Times New Roman"/>
          <w:b/>
          <w:sz w:val="24"/>
        </w:rPr>
        <w:t>nodrošināšanu</w:t>
      </w:r>
      <w:r w:rsidR="00E06153">
        <w:rPr>
          <w:rFonts w:ascii="Times New Roman" w:hAnsi="Times New Roman" w:cs="Times New Roman"/>
          <w:b/>
          <w:sz w:val="24"/>
        </w:rPr>
        <w:t>”</w:t>
      </w:r>
      <w:r w:rsidR="007D22F7">
        <w:rPr>
          <w:rFonts w:ascii="Times New Roman" w:hAnsi="Times New Roman" w:cs="Times New Roman"/>
          <w:b/>
          <w:sz w:val="24"/>
        </w:rPr>
        <w:t xml:space="preserve"> </w:t>
      </w:r>
      <w:r w:rsidR="00E06153">
        <w:rPr>
          <w:rFonts w:ascii="Times New Roman" w:hAnsi="Times New Roman" w:cs="Times New Roman"/>
          <w:b/>
          <w:sz w:val="24"/>
        </w:rPr>
        <w:t>sākotnējās ietekmes novērtējuma ziņojums (anotācija)</w:t>
      </w:r>
    </w:p>
    <w:p w:rsidR="00C424A6" w:rsidRDefault="00C424A6" w:rsidP="00E06153">
      <w:pPr>
        <w:pStyle w:val="NoSpacing"/>
        <w:jc w:val="center"/>
        <w:rPr>
          <w:rFonts w:ascii="Times New Roman" w:hAnsi="Times New Roman" w:cs="Times New Roman"/>
          <w:b/>
          <w:sz w:val="24"/>
        </w:rPr>
      </w:pPr>
    </w:p>
    <w:tbl>
      <w:tblPr>
        <w:tblW w:w="92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3171"/>
        <w:gridCol w:w="5643"/>
      </w:tblGrid>
      <w:tr w:rsidR="00C424A6" w:rsidTr="00CB6683">
        <w:trPr>
          <w:trHeight w:val="315"/>
        </w:trPr>
        <w:tc>
          <w:tcPr>
            <w:tcW w:w="9210" w:type="dxa"/>
            <w:gridSpan w:val="3"/>
          </w:tcPr>
          <w:p w:rsidR="00C424A6" w:rsidRPr="00C424A6" w:rsidRDefault="00C424A6" w:rsidP="00C424A6">
            <w:pPr>
              <w:pStyle w:val="NoSpacing"/>
              <w:jc w:val="center"/>
              <w:rPr>
                <w:rFonts w:ascii="Times New Roman" w:hAnsi="Times New Roman" w:cs="Times New Roman"/>
                <w:b/>
                <w:sz w:val="24"/>
              </w:rPr>
            </w:pPr>
            <w:r w:rsidRPr="00C424A6">
              <w:rPr>
                <w:rFonts w:ascii="Times New Roman" w:hAnsi="Times New Roman" w:cs="Times New Roman"/>
                <w:b/>
                <w:sz w:val="24"/>
              </w:rPr>
              <w:t>I. Tiesību akta projekta izstrādes nepieciešamība</w:t>
            </w:r>
          </w:p>
        </w:tc>
      </w:tr>
      <w:tr w:rsidR="00C424A6" w:rsidTr="00CB6683">
        <w:trPr>
          <w:trHeight w:val="3242"/>
        </w:trPr>
        <w:tc>
          <w:tcPr>
            <w:tcW w:w="396" w:type="dxa"/>
          </w:tcPr>
          <w:p w:rsidR="00C424A6" w:rsidRDefault="00C424A6" w:rsidP="00E06153">
            <w:pPr>
              <w:pStyle w:val="NoSpacing"/>
              <w:jc w:val="center"/>
              <w:rPr>
                <w:rFonts w:ascii="Times New Roman" w:hAnsi="Times New Roman" w:cs="Times New Roman"/>
                <w:sz w:val="24"/>
              </w:rPr>
            </w:pPr>
            <w:r>
              <w:rPr>
                <w:rFonts w:ascii="Times New Roman" w:hAnsi="Times New Roman" w:cs="Times New Roman"/>
                <w:sz w:val="24"/>
              </w:rPr>
              <w:t>1.</w:t>
            </w:r>
          </w:p>
        </w:tc>
        <w:tc>
          <w:tcPr>
            <w:tcW w:w="3171" w:type="dxa"/>
          </w:tcPr>
          <w:p w:rsidR="00C424A6" w:rsidRDefault="00C424A6" w:rsidP="00C424A6">
            <w:pPr>
              <w:pStyle w:val="NoSpacing"/>
              <w:rPr>
                <w:rFonts w:ascii="Times New Roman" w:hAnsi="Times New Roman" w:cs="Times New Roman"/>
                <w:sz w:val="24"/>
              </w:rPr>
            </w:pPr>
            <w:r>
              <w:rPr>
                <w:rFonts w:ascii="Times New Roman" w:hAnsi="Times New Roman" w:cs="Times New Roman"/>
                <w:sz w:val="24"/>
              </w:rPr>
              <w:t>Pamatojums</w:t>
            </w:r>
          </w:p>
        </w:tc>
        <w:tc>
          <w:tcPr>
            <w:tcW w:w="5643" w:type="dxa"/>
          </w:tcPr>
          <w:p w:rsidR="00A83CB3" w:rsidRDefault="00A83CB3" w:rsidP="00A120C2">
            <w:pPr>
              <w:pStyle w:val="NoSpacing"/>
              <w:ind w:firstLine="650"/>
              <w:jc w:val="both"/>
              <w:rPr>
                <w:rFonts w:ascii="Times New Roman" w:hAnsi="Times New Roman" w:cs="Times New Roman"/>
                <w:sz w:val="24"/>
                <w:szCs w:val="24"/>
              </w:rPr>
            </w:pPr>
            <w:r w:rsidRPr="00513C54">
              <w:rPr>
                <w:rFonts w:ascii="Times New Roman" w:hAnsi="Times New Roman" w:cs="Times New Roman"/>
                <w:sz w:val="24"/>
                <w:szCs w:val="24"/>
              </w:rPr>
              <w:t xml:space="preserve">Nacionālās drošības likuma 3.panta </w:t>
            </w:r>
            <w:r w:rsidR="005C5358" w:rsidRPr="00A1044A">
              <w:rPr>
                <w:rFonts w:ascii="Times New Roman" w:hAnsi="Times New Roman" w:cs="Times New Roman"/>
                <w:sz w:val="24"/>
                <w:szCs w:val="24"/>
              </w:rPr>
              <w:t>trešā daļa</w:t>
            </w:r>
            <w:r w:rsidRPr="00513C54">
              <w:rPr>
                <w:rFonts w:ascii="Times New Roman" w:hAnsi="Times New Roman" w:cs="Times New Roman"/>
                <w:sz w:val="24"/>
                <w:szCs w:val="24"/>
              </w:rPr>
              <w:t xml:space="preserve"> paredz, ka „</w:t>
            </w:r>
            <w:r w:rsidR="00036348">
              <w:rPr>
                <w:rFonts w:ascii="Times New Roman" w:hAnsi="Times New Roman" w:cs="Times New Roman"/>
                <w:sz w:val="24"/>
                <w:szCs w:val="24"/>
              </w:rPr>
              <w:t>n</w:t>
            </w:r>
            <w:r w:rsidRPr="00513C54">
              <w:rPr>
                <w:rFonts w:ascii="Times New Roman" w:hAnsi="Times New Roman" w:cs="Times New Roman"/>
                <w:sz w:val="24"/>
                <w:szCs w:val="24"/>
              </w:rPr>
              <w:t xml:space="preserve">acionālās drošības sistēmas darbība balstās uz </w:t>
            </w:r>
            <w:proofErr w:type="spellStart"/>
            <w:r w:rsidRPr="00513C54">
              <w:rPr>
                <w:rFonts w:ascii="Times New Roman" w:hAnsi="Times New Roman" w:cs="Times New Roman"/>
                <w:sz w:val="24"/>
                <w:szCs w:val="24"/>
              </w:rPr>
              <w:t>civilmilitāro</w:t>
            </w:r>
            <w:proofErr w:type="spellEnd"/>
            <w:r w:rsidRPr="00513C54">
              <w:rPr>
                <w:rFonts w:ascii="Times New Roman" w:hAnsi="Times New Roman" w:cs="Times New Roman"/>
                <w:sz w:val="24"/>
                <w:szCs w:val="24"/>
              </w:rPr>
              <w:t xml:space="preserve"> sadarbību. </w:t>
            </w:r>
            <w:proofErr w:type="spellStart"/>
            <w:r w:rsidRPr="00513C54">
              <w:rPr>
                <w:rFonts w:ascii="Times New Roman" w:hAnsi="Times New Roman" w:cs="Times New Roman"/>
                <w:sz w:val="24"/>
                <w:szCs w:val="24"/>
              </w:rPr>
              <w:t>Civilmilitārā</w:t>
            </w:r>
            <w:proofErr w:type="spellEnd"/>
            <w:r w:rsidRPr="00513C54">
              <w:rPr>
                <w:rFonts w:ascii="Times New Roman" w:hAnsi="Times New Roman" w:cs="Times New Roman"/>
                <w:sz w:val="24"/>
                <w:szCs w:val="24"/>
              </w:rPr>
              <w:t xml:space="preserve"> sadarbība ir plānota un saskaņota valsts pārvaldes iestāžu, sabiedrības un Nacionālo bruņoto spēku</w:t>
            </w:r>
            <w:r w:rsidR="00C15E0F">
              <w:rPr>
                <w:rFonts w:ascii="Times New Roman" w:hAnsi="Times New Roman" w:cs="Times New Roman"/>
                <w:sz w:val="24"/>
                <w:szCs w:val="24"/>
              </w:rPr>
              <w:t xml:space="preserve"> (NBS)</w:t>
            </w:r>
            <w:r w:rsidRPr="00513C54">
              <w:rPr>
                <w:rFonts w:ascii="Times New Roman" w:hAnsi="Times New Roman" w:cs="Times New Roman"/>
                <w:sz w:val="24"/>
                <w:szCs w:val="24"/>
              </w:rPr>
              <w:t xml:space="preserve"> darbība valsts apdraudējuma pārvarēšanai. </w:t>
            </w:r>
            <w:proofErr w:type="spellStart"/>
            <w:r w:rsidRPr="00513C54">
              <w:rPr>
                <w:rFonts w:ascii="Times New Roman" w:hAnsi="Times New Roman" w:cs="Times New Roman"/>
                <w:sz w:val="24"/>
                <w:szCs w:val="24"/>
              </w:rPr>
              <w:t>Civilmilitārās</w:t>
            </w:r>
            <w:proofErr w:type="spellEnd"/>
            <w:r w:rsidRPr="00513C54">
              <w:rPr>
                <w:rFonts w:ascii="Times New Roman" w:hAnsi="Times New Roman" w:cs="Times New Roman"/>
                <w:sz w:val="24"/>
                <w:szCs w:val="24"/>
              </w:rPr>
              <w:t xml:space="preserve"> sadarbības pamatprincipi ir efektīva savstarpējās sadarbības koordinācija, vienota izpratne par kopējiem mērķiem un dalīta atbildība par mērķu sasniegšanas rezultātiem”.</w:t>
            </w:r>
          </w:p>
          <w:p w:rsidR="00C424A6" w:rsidRDefault="00472E97" w:rsidP="00A120C2">
            <w:pPr>
              <w:pStyle w:val="NoSpacing"/>
              <w:ind w:firstLine="650"/>
              <w:jc w:val="both"/>
              <w:rPr>
                <w:rFonts w:ascii="Times New Roman" w:hAnsi="Times New Roman" w:cs="Times New Roman"/>
                <w:sz w:val="24"/>
              </w:rPr>
            </w:pPr>
            <w:r>
              <w:rPr>
                <w:rFonts w:ascii="Times New Roman" w:hAnsi="Times New Roman" w:cs="Times New Roman"/>
                <w:sz w:val="24"/>
              </w:rPr>
              <w:t xml:space="preserve">Ministru kabineta </w:t>
            </w:r>
            <w:r w:rsidR="00E23C46">
              <w:rPr>
                <w:rFonts w:ascii="Times New Roman" w:hAnsi="Times New Roman" w:cs="Times New Roman"/>
                <w:sz w:val="24"/>
              </w:rPr>
              <w:t>instrukcija</w:t>
            </w:r>
            <w:r>
              <w:rPr>
                <w:rFonts w:ascii="Times New Roman" w:hAnsi="Times New Roman" w:cs="Times New Roman"/>
                <w:sz w:val="24"/>
              </w:rPr>
              <w:t xml:space="preserve"> „</w:t>
            </w:r>
            <w:r w:rsidR="0076472E">
              <w:rPr>
                <w:rFonts w:ascii="Times New Roman" w:hAnsi="Times New Roman" w:cs="Times New Roman"/>
                <w:sz w:val="24"/>
              </w:rPr>
              <w:t xml:space="preserve">Par </w:t>
            </w:r>
            <w:r w:rsidR="00166076">
              <w:rPr>
                <w:rFonts w:ascii="Times New Roman" w:hAnsi="Times New Roman" w:cs="Times New Roman"/>
                <w:sz w:val="24"/>
              </w:rPr>
              <w:t>u</w:t>
            </w:r>
            <w:r w:rsidR="00E23C46">
              <w:rPr>
                <w:rFonts w:ascii="Times New Roman" w:hAnsi="Times New Roman" w:cs="Times New Roman"/>
                <w:sz w:val="24"/>
              </w:rPr>
              <w:t>zņemošās valsts atbalsta sni</w:t>
            </w:r>
            <w:r w:rsidR="00166076">
              <w:rPr>
                <w:rFonts w:ascii="Times New Roman" w:hAnsi="Times New Roman" w:cs="Times New Roman"/>
                <w:sz w:val="24"/>
              </w:rPr>
              <w:t>e</w:t>
            </w:r>
            <w:r w:rsidR="00E23C46">
              <w:rPr>
                <w:rFonts w:ascii="Times New Roman" w:hAnsi="Times New Roman" w:cs="Times New Roman"/>
                <w:sz w:val="24"/>
              </w:rPr>
              <w:t>gšanu un tā koordināciju</w:t>
            </w:r>
            <w:r>
              <w:rPr>
                <w:rFonts w:ascii="Times New Roman" w:hAnsi="Times New Roman" w:cs="Times New Roman"/>
                <w:sz w:val="24"/>
              </w:rPr>
              <w:t>” ir nepieciešam</w:t>
            </w:r>
            <w:r w:rsidR="00166076">
              <w:rPr>
                <w:rFonts w:ascii="Times New Roman" w:hAnsi="Times New Roman" w:cs="Times New Roman"/>
                <w:sz w:val="24"/>
              </w:rPr>
              <w:t>a</w:t>
            </w:r>
            <w:r>
              <w:rPr>
                <w:rFonts w:ascii="Times New Roman" w:hAnsi="Times New Roman" w:cs="Times New Roman"/>
                <w:sz w:val="24"/>
              </w:rPr>
              <w:t>, lai nodrošinātu Latvijas uzņemošās valsts a</w:t>
            </w:r>
            <w:r w:rsidR="005B7720">
              <w:rPr>
                <w:rFonts w:ascii="Times New Roman" w:hAnsi="Times New Roman" w:cs="Times New Roman"/>
                <w:sz w:val="24"/>
              </w:rPr>
              <w:t>tbalsta</w:t>
            </w:r>
            <w:r w:rsidR="0033312B">
              <w:rPr>
                <w:rFonts w:ascii="Times New Roman" w:hAnsi="Times New Roman" w:cs="Times New Roman"/>
                <w:sz w:val="24"/>
              </w:rPr>
              <w:t xml:space="preserve"> </w:t>
            </w:r>
            <w:r w:rsidR="005B7720">
              <w:rPr>
                <w:rFonts w:ascii="Times New Roman" w:hAnsi="Times New Roman" w:cs="Times New Roman"/>
                <w:sz w:val="24"/>
              </w:rPr>
              <w:t xml:space="preserve">spēju īstenošanu, </w:t>
            </w:r>
            <w:r>
              <w:rPr>
                <w:rFonts w:ascii="Times New Roman" w:hAnsi="Times New Roman" w:cs="Times New Roman"/>
                <w:sz w:val="24"/>
              </w:rPr>
              <w:t>civilo</w:t>
            </w:r>
            <w:r w:rsidR="005B7720">
              <w:rPr>
                <w:rFonts w:ascii="Times New Roman" w:hAnsi="Times New Roman" w:cs="Times New Roman"/>
                <w:sz w:val="24"/>
              </w:rPr>
              <w:t xml:space="preserve"> un militāro</w:t>
            </w:r>
            <w:r>
              <w:rPr>
                <w:rFonts w:ascii="Times New Roman" w:hAnsi="Times New Roman" w:cs="Times New Roman"/>
                <w:sz w:val="24"/>
              </w:rPr>
              <w:t xml:space="preserve"> institūciju darbību</w:t>
            </w:r>
            <w:r w:rsidR="00E637C7">
              <w:rPr>
                <w:rFonts w:ascii="Times New Roman" w:hAnsi="Times New Roman" w:cs="Times New Roman"/>
                <w:sz w:val="24"/>
              </w:rPr>
              <w:t xml:space="preserve"> gan miera laikā</w:t>
            </w:r>
            <w:r w:rsidR="002F0447">
              <w:rPr>
                <w:rFonts w:ascii="Times New Roman" w:hAnsi="Times New Roman" w:cs="Times New Roman"/>
                <w:sz w:val="24"/>
              </w:rPr>
              <w:t>, gan</w:t>
            </w:r>
            <w:proofErr w:type="gramStart"/>
            <w:r w:rsidR="002F0447">
              <w:rPr>
                <w:rFonts w:ascii="Times New Roman" w:hAnsi="Times New Roman" w:cs="Times New Roman"/>
                <w:sz w:val="24"/>
              </w:rPr>
              <w:t xml:space="preserve"> </w:t>
            </w:r>
            <w:r>
              <w:rPr>
                <w:rFonts w:ascii="Times New Roman" w:hAnsi="Times New Roman" w:cs="Times New Roman"/>
                <w:sz w:val="24"/>
              </w:rPr>
              <w:t xml:space="preserve"> </w:t>
            </w:r>
            <w:proofErr w:type="gramEnd"/>
            <w:r>
              <w:rPr>
                <w:rFonts w:ascii="Times New Roman" w:hAnsi="Times New Roman" w:cs="Times New Roman"/>
                <w:sz w:val="24"/>
              </w:rPr>
              <w:t>krīzes apstākļos, kad ir aktiv</w:t>
            </w:r>
            <w:r w:rsidR="005B7720">
              <w:rPr>
                <w:rFonts w:ascii="Times New Roman" w:hAnsi="Times New Roman" w:cs="Times New Roman"/>
                <w:sz w:val="24"/>
              </w:rPr>
              <w:t>izēts</w:t>
            </w:r>
            <w:r>
              <w:rPr>
                <w:rFonts w:ascii="Times New Roman" w:hAnsi="Times New Roman" w:cs="Times New Roman"/>
                <w:sz w:val="24"/>
              </w:rPr>
              <w:t xml:space="preserve"> Ziemeļatlantijas līguma </w:t>
            </w:r>
            <w:r w:rsidR="00166076">
              <w:rPr>
                <w:rFonts w:ascii="Times New Roman" w:hAnsi="Times New Roman" w:cs="Times New Roman"/>
                <w:sz w:val="24"/>
              </w:rPr>
              <w:t xml:space="preserve">organizācijas </w:t>
            </w:r>
            <w:r w:rsidR="000F52A8">
              <w:rPr>
                <w:rFonts w:ascii="Times New Roman" w:hAnsi="Times New Roman" w:cs="Times New Roman"/>
                <w:sz w:val="24"/>
              </w:rPr>
              <w:t xml:space="preserve">(NATO) IV </w:t>
            </w:r>
            <w:r>
              <w:rPr>
                <w:rFonts w:ascii="Times New Roman" w:hAnsi="Times New Roman" w:cs="Times New Roman"/>
                <w:sz w:val="24"/>
              </w:rPr>
              <w:t>pants „Par konsultācijām</w:t>
            </w:r>
            <w:r w:rsidR="005B7720">
              <w:rPr>
                <w:rFonts w:ascii="Times New Roman" w:hAnsi="Times New Roman" w:cs="Times New Roman"/>
                <w:sz w:val="24"/>
              </w:rPr>
              <w:t xml:space="preserve"> valsts drošības apdraudējuma gadījumā”</w:t>
            </w:r>
            <w:r w:rsidR="000F52A8">
              <w:rPr>
                <w:rFonts w:ascii="Times New Roman" w:hAnsi="Times New Roman" w:cs="Times New Roman"/>
                <w:sz w:val="24"/>
              </w:rPr>
              <w:t xml:space="preserve"> un V </w:t>
            </w:r>
            <w:r w:rsidR="005E3081">
              <w:rPr>
                <w:rFonts w:ascii="Times New Roman" w:hAnsi="Times New Roman" w:cs="Times New Roman"/>
                <w:sz w:val="24"/>
              </w:rPr>
              <w:t>pants „Par kolektīvo aizsardzību”</w:t>
            </w:r>
            <w:r w:rsidR="005B7720">
              <w:rPr>
                <w:rFonts w:ascii="Times New Roman" w:hAnsi="Times New Roman" w:cs="Times New Roman"/>
                <w:sz w:val="24"/>
              </w:rPr>
              <w:t>.</w:t>
            </w:r>
          </w:p>
          <w:p w:rsidR="00607EC3" w:rsidRPr="00513C54" w:rsidRDefault="00607EC3" w:rsidP="00A83CB3">
            <w:pPr>
              <w:pStyle w:val="NoSpacing"/>
              <w:ind w:firstLine="650"/>
              <w:jc w:val="both"/>
              <w:rPr>
                <w:rFonts w:ascii="Times New Roman" w:hAnsi="Times New Roman" w:cs="Times New Roman"/>
                <w:sz w:val="24"/>
                <w:szCs w:val="24"/>
              </w:rPr>
            </w:pPr>
          </w:p>
        </w:tc>
      </w:tr>
      <w:tr w:rsidR="00C424A6" w:rsidTr="00CB6683">
        <w:trPr>
          <w:trHeight w:val="557"/>
        </w:trPr>
        <w:tc>
          <w:tcPr>
            <w:tcW w:w="396" w:type="dxa"/>
          </w:tcPr>
          <w:p w:rsidR="00C424A6" w:rsidRDefault="00DC25DA" w:rsidP="00E06153">
            <w:pPr>
              <w:pStyle w:val="NoSpacing"/>
              <w:jc w:val="center"/>
              <w:rPr>
                <w:rFonts w:ascii="Times New Roman" w:hAnsi="Times New Roman" w:cs="Times New Roman"/>
                <w:sz w:val="24"/>
              </w:rPr>
            </w:pPr>
            <w:r>
              <w:rPr>
                <w:rFonts w:ascii="Times New Roman" w:hAnsi="Times New Roman" w:cs="Times New Roman"/>
                <w:sz w:val="24"/>
              </w:rPr>
              <w:t>2.</w:t>
            </w:r>
          </w:p>
        </w:tc>
        <w:tc>
          <w:tcPr>
            <w:tcW w:w="3171" w:type="dxa"/>
          </w:tcPr>
          <w:p w:rsidR="00C424A6" w:rsidRPr="00E3539A" w:rsidRDefault="00E3539A" w:rsidP="00A120C2">
            <w:pPr>
              <w:pStyle w:val="NoSpacing"/>
              <w:rPr>
                <w:rFonts w:ascii="Times New Roman" w:hAnsi="Times New Roman" w:cs="Times New Roman"/>
                <w:sz w:val="24"/>
              </w:rPr>
            </w:pPr>
            <w:r w:rsidRPr="00E3539A">
              <w:rPr>
                <w:rFonts w:ascii="Times New Roman" w:hAnsi="Times New Roman" w:cs="Times New Roman"/>
                <w:sz w:val="24"/>
              </w:rPr>
              <w:t>Pašreizējā situācija un problēmas, kuru risināšanai tiesību akts izstrādāts, tiesiskā regulējuma mērķis un būtība</w:t>
            </w:r>
          </w:p>
        </w:tc>
        <w:tc>
          <w:tcPr>
            <w:tcW w:w="5643" w:type="dxa"/>
          </w:tcPr>
          <w:p w:rsidR="00E3539A" w:rsidRDefault="00E97103" w:rsidP="00C06F7C">
            <w:pPr>
              <w:pStyle w:val="NoSpacing"/>
              <w:ind w:firstLine="366"/>
              <w:jc w:val="both"/>
              <w:rPr>
                <w:rFonts w:ascii="Times New Roman" w:hAnsi="Times New Roman" w:cs="Times New Roman"/>
                <w:sz w:val="24"/>
                <w:szCs w:val="24"/>
              </w:rPr>
            </w:pPr>
            <w:proofErr w:type="spellStart"/>
            <w:r w:rsidRPr="00124872">
              <w:rPr>
                <w:rFonts w:ascii="Times New Roman" w:hAnsi="Times New Roman" w:cs="Times New Roman"/>
                <w:sz w:val="24"/>
              </w:rPr>
              <w:t>Š.g</w:t>
            </w:r>
            <w:proofErr w:type="spellEnd"/>
            <w:r w:rsidRPr="00124872">
              <w:rPr>
                <w:rFonts w:ascii="Times New Roman" w:hAnsi="Times New Roman" w:cs="Times New Roman"/>
                <w:sz w:val="24"/>
              </w:rPr>
              <w:t>. 29.aprīlī Aizsardzības ministrija iesniedza Ministru kabinetā izskatīšanai informatīvo ziņojumu „</w:t>
            </w:r>
            <w:r w:rsidRPr="00124872">
              <w:rPr>
                <w:rFonts w:ascii="Times New Roman" w:hAnsi="Times New Roman" w:cs="Times New Roman"/>
                <w:sz w:val="24"/>
                <w:szCs w:val="24"/>
              </w:rPr>
              <w:t xml:space="preserve">Par Baltijas valstu mācībām uzņemošās valsts atbalstam </w:t>
            </w:r>
            <w:proofErr w:type="spellStart"/>
            <w:r w:rsidRPr="00124872">
              <w:rPr>
                <w:rFonts w:ascii="Times New Roman" w:hAnsi="Times New Roman" w:cs="Times New Roman"/>
                <w:i/>
                <w:sz w:val="24"/>
                <w:szCs w:val="24"/>
              </w:rPr>
              <w:t>Baltic</w:t>
            </w:r>
            <w:proofErr w:type="spellEnd"/>
            <w:r w:rsidRPr="00124872">
              <w:rPr>
                <w:rFonts w:ascii="Times New Roman" w:hAnsi="Times New Roman" w:cs="Times New Roman"/>
                <w:i/>
                <w:sz w:val="24"/>
                <w:szCs w:val="24"/>
              </w:rPr>
              <w:t xml:space="preserve"> </w:t>
            </w:r>
            <w:proofErr w:type="spellStart"/>
            <w:r w:rsidRPr="00124872">
              <w:rPr>
                <w:rFonts w:ascii="Times New Roman" w:hAnsi="Times New Roman" w:cs="Times New Roman"/>
                <w:i/>
                <w:sz w:val="24"/>
                <w:szCs w:val="24"/>
              </w:rPr>
              <w:t>Host</w:t>
            </w:r>
            <w:proofErr w:type="spellEnd"/>
            <w:r w:rsidRPr="00124872">
              <w:rPr>
                <w:rFonts w:ascii="Times New Roman" w:hAnsi="Times New Roman" w:cs="Times New Roman"/>
                <w:i/>
                <w:sz w:val="24"/>
                <w:szCs w:val="24"/>
              </w:rPr>
              <w:t xml:space="preserve"> 2013</w:t>
            </w:r>
            <w:r w:rsidRPr="00124872">
              <w:rPr>
                <w:rFonts w:ascii="Times New Roman" w:hAnsi="Times New Roman" w:cs="Times New Roman"/>
                <w:sz w:val="24"/>
                <w:szCs w:val="24"/>
              </w:rPr>
              <w:t>”, kurā saskaņā ar iegūtajiem mācību secinājumiem tika analizēta un aprakstīta esošā situācija uzņemošās valsts atbalsta (turpmāk – UVA) jomā Latvijā. Lai risinātu informatīvajā ziņojumā izteiktās problēmas</w:t>
            </w:r>
            <w:r w:rsidR="00166076">
              <w:rPr>
                <w:rFonts w:ascii="Times New Roman" w:hAnsi="Times New Roman" w:cs="Times New Roman"/>
                <w:sz w:val="24"/>
                <w:szCs w:val="24"/>
              </w:rPr>
              <w:t>,</w:t>
            </w:r>
            <w:r w:rsidRPr="00124872">
              <w:rPr>
                <w:rFonts w:ascii="Times New Roman" w:hAnsi="Times New Roman" w:cs="Times New Roman"/>
                <w:sz w:val="24"/>
                <w:szCs w:val="24"/>
              </w:rPr>
              <w:t xml:space="preserve"> Aizsardzības ministrija ierosināja izstrādāt UVA koncepciju, kurā tiktu definēts uzņemošās valsts atbalsts, UVA iesaistītās valsts un pašvaldību institūcijas, to pienākumi un uzdevumi UVA pasākumu plānošanā un izpildē. Saskaņā ar 2014.gada 29.aprīļa Ministru kabineta sēdes </w:t>
            </w:r>
            <w:proofErr w:type="spellStart"/>
            <w:r w:rsidRPr="00124872">
              <w:rPr>
                <w:rFonts w:ascii="Times New Roman" w:hAnsi="Times New Roman" w:cs="Times New Roman"/>
                <w:sz w:val="24"/>
                <w:szCs w:val="24"/>
              </w:rPr>
              <w:t>protokollēmuma</w:t>
            </w:r>
            <w:proofErr w:type="spellEnd"/>
            <w:r w:rsidRPr="00124872">
              <w:rPr>
                <w:rFonts w:ascii="Times New Roman" w:hAnsi="Times New Roman" w:cs="Times New Roman"/>
                <w:sz w:val="24"/>
                <w:szCs w:val="24"/>
              </w:rPr>
              <w:t xml:space="preserve"> Nr.25 57.paragrāfa </w:t>
            </w:r>
            <w:r w:rsidR="00A75413" w:rsidRPr="00124872">
              <w:rPr>
                <w:rFonts w:ascii="Times New Roman" w:hAnsi="Times New Roman" w:cs="Times New Roman"/>
                <w:sz w:val="24"/>
                <w:szCs w:val="24"/>
              </w:rPr>
              <w:t>2.1.apakšpunktu Aizsardzības ministrija sadarbībā ar iesaistītajām valsts institūcijām izstrādāja UVA koncepcijas projektu un noteikt</w:t>
            </w:r>
            <w:r w:rsidR="00166076">
              <w:rPr>
                <w:rFonts w:ascii="Times New Roman" w:hAnsi="Times New Roman" w:cs="Times New Roman"/>
                <w:sz w:val="24"/>
                <w:szCs w:val="24"/>
              </w:rPr>
              <w:t>aj</w:t>
            </w:r>
            <w:r w:rsidR="00A75413" w:rsidRPr="00124872">
              <w:rPr>
                <w:rFonts w:ascii="Times New Roman" w:hAnsi="Times New Roman" w:cs="Times New Roman"/>
                <w:sz w:val="24"/>
                <w:szCs w:val="24"/>
              </w:rPr>
              <w:t xml:space="preserve">ā kārtībā 2014.gada 25.septembrī iesniedza </w:t>
            </w:r>
            <w:r w:rsidR="00E3539A">
              <w:rPr>
                <w:rFonts w:ascii="Times New Roman" w:hAnsi="Times New Roman" w:cs="Times New Roman"/>
                <w:sz w:val="24"/>
                <w:szCs w:val="24"/>
              </w:rPr>
              <w:t>izsludināšanai</w:t>
            </w:r>
            <w:r w:rsidR="00A75413" w:rsidRPr="00124872">
              <w:rPr>
                <w:rFonts w:ascii="Times New Roman" w:hAnsi="Times New Roman" w:cs="Times New Roman"/>
                <w:sz w:val="24"/>
                <w:szCs w:val="24"/>
              </w:rPr>
              <w:t xml:space="preserve"> Valsts sekretāru sanāksmē. </w:t>
            </w:r>
          </w:p>
          <w:p w:rsidR="002F3EB9" w:rsidRPr="00124872" w:rsidRDefault="00E3539A" w:rsidP="00C06F7C">
            <w:pPr>
              <w:pStyle w:val="NoSpacing"/>
              <w:ind w:firstLine="366"/>
              <w:jc w:val="both"/>
              <w:rPr>
                <w:rFonts w:ascii="Times New Roman" w:hAnsi="Times New Roman" w:cs="Times New Roman"/>
                <w:sz w:val="24"/>
                <w:szCs w:val="24"/>
              </w:rPr>
            </w:pPr>
            <w:r>
              <w:rPr>
                <w:rFonts w:ascii="Times New Roman" w:hAnsi="Times New Roman" w:cs="Times New Roman"/>
                <w:sz w:val="24"/>
                <w:szCs w:val="24"/>
              </w:rPr>
              <w:t>Iesaistītās institūcijas iesniedza savus atzinumus</w:t>
            </w:r>
            <w:r w:rsidR="00B8783B" w:rsidRPr="00124872">
              <w:rPr>
                <w:rFonts w:ascii="Times New Roman" w:hAnsi="Times New Roman" w:cs="Times New Roman"/>
                <w:sz w:val="24"/>
                <w:szCs w:val="24"/>
              </w:rPr>
              <w:t xml:space="preserve">, kur </w:t>
            </w:r>
            <w:r>
              <w:rPr>
                <w:rFonts w:ascii="Times New Roman" w:hAnsi="Times New Roman" w:cs="Times New Roman"/>
                <w:sz w:val="24"/>
                <w:szCs w:val="24"/>
              </w:rPr>
              <w:t xml:space="preserve">Tieslietu ministrija, </w:t>
            </w:r>
            <w:proofErr w:type="spellStart"/>
            <w:r w:rsidR="00B8783B" w:rsidRPr="00124872">
              <w:rPr>
                <w:rFonts w:ascii="Times New Roman" w:hAnsi="Times New Roman" w:cs="Times New Roman"/>
                <w:sz w:val="24"/>
                <w:szCs w:val="24"/>
              </w:rPr>
              <w:t>Pārresoru</w:t>
            </w:r>
            <w:proofErr w:type="spellEnd"/>
            <w:r w:rsidR="00B8783B" w:rsidRPr="00124872">
              <w:rPr>
                <w:rFonts w:ascii="Times New Roman" w:hAnsi="Times New Roman" w:cs="Times New Roman"/>
                <w:sz w:val="24"/>
                <w:szCs w:val="24"/>
              </w:rPr>
              <w:t xml:space="preserve"> koordinācijas</w:t>
            </w:r>
            <w:r w:rsidR="00124872">
              <w:rPr>
                <w:rFonts w:ascii="Times New Roman" w:hAnsi="Times New Roman" w:cs="Times New Roman"/>
                <w:sz w:val="24"/>
                <w:szCs w:val="24"/>
              </w:rPr>
              <w:t xml:space="preserve"> </w:t>
            </w:r>
            <w:r w:rsidR="00B8783B" w:rsidRPr="00124872">
              <w:rPr>
                <w:rFonts w:ascii="Times New Roman" w:hAnsi="Times New Roman" w:cs="Times New Roman"/>
                <w:sz w:val="24"/>
                <w:szCs w:val="24"/>
              </w:rPr>
              <w:t>c</w:t>
            </w:r>
            <w:r w:rsidR="00124872">
              <w:rPr>
                <w:rFonts w:ascii="Times New Roman" w:hAnsi="Times New Roman" w:cs="Times New Roman"/>
                <w:sz w:val="24"/>
                <w:szCs w:val="24"/>
              </w:rPr>
              <w:t xml:space="preserve">entrs </w:t>
            </w:r>
            <w:r w:rsidR="00B8783B" w:rsidRPr="00124872">
              <w:rPr>
                <w:rFonts w:ascii="Times New Roman" w:hAnsi="Times New Roman" w:cs="Times New Roman"/>
                <w:sz w:val="24"/>
                <w:szCs w:val="24"/>
              </w:rPr>
              <w:t>un Valsts kanceleja izteica iebildumus par koncepcij</w:t>
            </w:r>
            <w:r>
              <w:rPr>
                <w:rFonts w:ascii="Times New Roman" w:hAnsi="Times New Roman" w:cs="Times New Roman"/>
                <w:sz w:val="24"/>
                <w:szCs w:val="24"/>
              </w:rPr>
              <w:t xml:space="preserve">u kā </w:t>
            </w:r>
            <w:r w:rsidRPr="00124872">
              <w:rPr>
                <w:rFonts w:ascii="Times New Roman" w:hAnsi="Times New Roman" w:cs="Times New Roman"/>
                <w:sz w:val="24"/>
                <w:szCs w:val="24"/>
              </w:rPr>
              <w:t>informatīvajā ziņojumā minēto problēmu risinā</w:t>
            </w:r>
            <w:r>
              <w:rPr>
                <w:rFonts w:ascii="Times New Roman" w:hAnsi="Times New Roman" w:cs="Times New Roman"/>
                <w:sz w:val="24"/>
                <w:szCs w:val="24"/>
              </w:rPr>
              <w:t>juma</w:t>
            </w:r>
            <w:r w:rsidR="00B8783B" w:rsidRPr="00124872">
              <w:rPr>
                <w:rFonts w:ascii="Times New Roman" w:hAnsi="Times New Roman" w:cs="Times New Roman"/>
                <w:sz w:val="24"/>
                <w:szCs w:val="24"/>
              </w:rPr>
              <w:t xml:space="preserve"> formu, norādot, ka </w:t>
            </w:r>
            <w:r w:rsidR="001E5264" w:rsidRPr="00124872">
              <w:rPr>
                <w:rFonts w:ascii="Times New Roman" w:hAnsi="Times New Roman" w:cs="Times New Roman"/>
                <w:sz w:val="24"/>
                <w:szCs w:val="24"/>
              </w:rPr>
              <w:t xml:space="preserve">saskaņā ar 2009.gada 13.oktobra Ministru kabineta noteikumu Nr.1178 „Attīstības plānošanas dokumentu izstrādes un ietekmes </w:t>
            </w:r>
            <w:r w:rsidR="001E5264" w:rsidRPr="00124872">
              <w:rPr>
                <w:rFonts w:ascii="Times New Roman" w:hAnsi="Times New Roman" w:cs="Times New Roman"/>
                <w:sz w:val="24"/>
                <w:szCs w:val="24"/>
              </w:rPr>
              <w:lastRenderedPageBreak/>
              <w:t>izvērtēšanas noteikumi”</w:t>
            </w:r>
            <w:r w:rsidR="002F3EB9" w:rsidRPr="00124872">
              <w:rPr>
                <w:rFonts w:ascii="Times New Roman" w:hAnsi="Times New Roman" w:cs="Times New Roman"/>
                <w:sz w:val="24"/>
                <w:szCs w:val="24"/>
              </w:rPr>
              <w:t xml:space="preserve"> </w:t>
            </w:r>
            <w:r w:rsidR="00004805">
              <w:rPr>
                <w:rFonts w:ascii="Times New Roman" w:hAnsi="Times New Roman" w:cs="Times New Roman"/>
                <w:sz w:val="24"/>
                <w:szCs w:val="24"/>
              </w:rPr>
              <w:t>projekts</w:t>
            </w:r>
            <w:r w:rsidR="002F3EB9" w:rsidRPr="00124872">
              <w:rPr>
                <w:rFonts w:ascii="Times New Roman" w:hAnsi="Times New Roman" w:cs="Times New Roman"/>
                <w:sz w:val="24"/>
                <w:szCs w:val="24"/>
              </w:rPr>
              <w:t xml:space="preserve"> nevar būt plānošanas dokuments, jo ne</w:t>
            </w:r>
            <w:r w:rsidR="001E5264" w:rsidRPr="00124872">
              <w:rPr>
                <w:rFonts w:ascii="Times New Roman" w:hAnsi="Times New Roman" w:cs="Times New Roman"/>
                <w:sz w:val="24"/>
                <w:szCs w:val="24"/>
              </w:rPr>
              <w:t>piedāv</w:t>
            </w:r>
            <w:r w:rsidR="002F3EB9" w:rsidRPr="00124872">
              <w:rPr>
                <w:rFonts w:ascii="Times New Roman" w:hAnsi="Times New Roman" w:cs="Times New Roman"/>
                <w:sz w:val="24"/>
                <w:szCs w:val="24"/>
              </w:rPr>
              <w:t xml:space="preserve">ā </w:t>
            </w:r>
            <w:r w:rsidR="001E5264" w:rsidRPr="00124872">
              <w:rPr>
                <w:rFonts w:ascii="Times New Roman" w:hAnsi="Times New Roman" w:cs="Times New Roman"/>
                <w:sz w:val="24"/>
                <w:szCs w:val="24"/>
              </w:rPr>
              <w:t>vairākus iespējamos risinājumus</w:t>
            </w:r>
            <w:r w:rsidR="002F3EB9" w:rsidRPr="00124872">
              <w:rPr>
                <w:rFonts w:ascii="Times New Roman" w:hAnsi="Times New Roman" w:cs="Times New Roman"/>
                <w:sz w:val="24"/>
                <w:szCs w:val="24"/>
              </w:rPr>
              <w:t xml:space="preserve"> un nenosaka jaunus pienākumus iesaistītajām institūcijām</w:t>
            </w:r>
            <w:r w:rsidR="001E5264" w:rsidRPr="00124872">
              <w:rPr>
                <w:rFonts w:ascii="Times New Roman" w:hAnsi="Times New Roman" w:cs="Times New Roman"/>
                <w:sz w:val="24"/>
                <w:szCs w:val="24"/>
              </w:rPr>
              <w:t xml:space="preserve">. </w:t>
            </w:r>
          </w:p>
          <w:p w:rsidR="00004805" w:rsidRDefault="00E23C46" w:rsidP="00C06F7C">
            <w:pPr>
              <w:pStyle w:val="NoSpacing"/>
              <w:ind w:firstLine="366"/>
              <w:jc w:val="both"/>
              <w:rPr>
                <w:rFonts w:ascii="Times New Roman" w:hAnsi="Times New Roman"/>
                <w:sz w:val="24"/>
                <w:szCs w:val="24"/>
              </w:rPr>
            </w:pPr>
            <w:r>
              <w:rPr>
                <w:rFonts w:ascii="Times New Roman" w:hAnsi="Times New Roman" w:cs="Times New Roman"/>
                <w:sz w:val="24"/>
                <w:szCs w:val="24"/>
              </w:rPr>
              <w:t>Lai panāktu vienošanos</w:t>
            </w:r>
            <w:r w:rsidR="00166076">
              <w:rPr>
                <w:rFonts w:ascii="Times New Roman" w:hAnsi="Times New Roman" w:cs="Times New Roman"/>
                <w:sz w:val="24"/>
                <w:szCs w:val="24"/>
              </w:rPr>
              <w:t>,</w:t>
            </w:r>
            <w:r>
              <w:rPr>
                <w:rFonts w:ascii="Times New Roman" w:hAnsi="Times New Roman" w:cs="Times New Roman"/>
                <w:sz w:val="24"/>
                <w:szCs w:val="24"/>
              </w:rPr>
              <w:t xml:space="preserve"> Aizsardzības ministrija </w:t>
            </w:r>
            <w:proofErr w:type="spellStart"/>
            <w:r>
              <w:rPr>
                <w:rFonts w:ascii="Times New Roman" w:hAnsi="Times New Roman" w:cs="Times New Roman"/>
                <w:sz w:val="24"/>
                <w:szCs w:val="24"/>
              </w:rPr>
              <w:t>š.g</w:t>
            </w:r>
            <w:proofErr w:type="spellEnd"/>
            <w:r>
              <w:rPr>
                <w:rFonts w:ascii="Times New Roman" w:hAnsi="Times New Roman" w:cs="Times New Roman"/>
                <w:sz w:val="24"/>
                <w:szCs w:val="24"/>
              </w:rPr>
              <w:t xml:space="preserve">. 3.novembrī organizēja saskaņošanas sanāksmi, kurā piedalījās pārstāvji no Ārlietu ministrijas, Iekšlietu ministrijas, Pārtikas </w:t>
            </w:r>
            <w:r w:rsidR="00C06F7C">
              <w:rPr>
                <w:rFonts w:ascii="Times New Roman" w:hAnsi="Times New Roman" w:cs="Times New Roman"/>
                <w:sz w:val="24"/>
                <w:szCs w:val="24"/>
              </w:rPr>
              <w:t xml:space="preserve">un </w:t>
            </w:r>
            <w:r>
              <w:rPr>
                <w:rFonts w:ascii="Times New Roman" w:hAnsi="Times New Roman" w:cs="Times New Roman"/>
                <w:sz w:val="24"/>
                <w:szCs w:val="24"/>
              </w:rPr>
              <w:t>veterinārā dienesta, Satiksmes ministrijas, Valsts aizsardzības militāro objektu un iepirkum</w:t>
            </w:r>
            <w:r w:rsidR="00C06F7C">
              <w:rPr>
                <w:rFonts w:ascii="Times New Roman" w:hAnsi="Times New Roman" w:cs="Times New Roman"/>
                <w:sz w:val="24"/>
                <w:szCs w:val="24"/>
              </w:rPr>
              <w:t>u</w:t>
            </w:r>
            <w:r>
              <w:rPr>
                <w:rFonts w:ascii="Times New Roman" w:hAnsi="Times New Roman" w:cs="Times New Roman"/>
                <w:sz w:val="24"/>
                <w:szCs w:val="24"/>
              </w:rPr>
              <w:t xml:space="preserve"> centra</w:t>
            </w:r>
            <w:r w:rsidR="00C06F7C">
              <w:rPr>
                <w:rFonts w:ascii="Times New Roman" w:hAnsi="Times New Roman" w:cs="Times New Roman"/>
                <w:sz w:val="24"/>
                <w:szCs w:val="24"/>
              </w:rPr>
              <w:t>, Tieslietu ministrijas, Valsts zemes dienesta, Valsts kancelejas, Neatliekamās medicīniskās palīdzības dienesta, Zemkopības ministrijas, Nodrošinājuma valsts aģentūras un Nacionālajiem bruņotajiem spēkiem.</w:t>
            </w:r>
            <w:r w:rsidR="00C06F7C">
              <w:rPr>
                <w:rFonts w:ascii="Times New Roman" w:hAnsi="Times New Roman"/>
                <w:sz w:val="24"/>
                <w:szCs w:val="24"/>
              </w:rPr>
              <w:t xml:space="preserve"> Sanāksmes gaitā </w:t>
            </w:r>
            <w:r w:rsidR="00004805">
              <w:rPr>
                <w:rFonts w:ascii="Times New Roman" w:hAnsi="Times New Roman"/>
                <w:sz w:val="24"/>
                <w:szCs w:val="24"/>
              </w:rPr>
              <w:t>tika panākta vienošanās</w:t>
            </w:r>
            <w:r w:rsidR="00C06F7C">
              <w:rPr>
                <w:rFonts w:ascii="Times New Roman" w:hAnsi="Times New Roman"/>
                <w:sz w:val="24"/>
                <w:szCs w:val="24"/>
              </w:rPr>
              <w:t>, ka piemērotākais variants ir Ministru kabineta instrukcija, kas noteiktu</w:t>
            </w:r>
            <w:r w:rsidR="00004805">
              <w:rPr>
                <w:rFonts w:ascii="Times New Roman" w:hAnsi="Times New Roman"/>
                <w:sz w:val="24"/>
                <w:szCs w:val="24"/>
              </w:rPr>
              <w:t xml:space="preserve"> vispārējus</w:t>
            </w:r>
            <w:r w:rsidR="00C06F7C">
              <w:rPr>
                <w:rFonts w:ascii="Times New Roman" w:hAnsi="Times New Roman"/>
                <w:sz w:val="24"/>
                <w:szCs w:val="24"/>
              </w:rPr>
              <w:t xml:space="preserve"> ministriju un citu iesaistīto institūciju pienākumus un uzdevumus UVA jomā</w:t>
            </w:r>
            <w:r w:rsidR="00004805">
              <w:rPr>
                <w:rFonts w:ascii="Times New Roman" w:hAnsi="Times New Roman"/>
                <w:sz w:val="24"/>
                <w:szCs w:val="24"/>
              </w:rPr>
              <w:t>.</w:t>
            </w:r>
            <w:r w:rsidR="00C06F7C">
              <w:rPr>
                <w:rFonts w:ascii="Times New Roman" w:hAnsi="Times New Roman"/>
                <w:sz w:val="24"/>
                <w:szCs w:val="24"/>
              </w:rPr>
              <w:t xml:space="preserve"> Savukārt</w:t>
            </w:r>
            <w:r w:rsidR="00166076">
              <w:rPr>
                <w:rFonts w:ascii="Times New Roman" w:hAnsi="Times New Roman"/>
                <w:sz w:val="24"/>
                <w:szCs w:val="24"/>
              </w:rPr>
              <w:t>,</w:t>
            </w:r>
            <w:r w:rsidR="00C06F7C">
              <w:rPr>
                <w:rFonts w:ascii="Times New Roman" w:hAnsi="Times New Roman"/>
                <w:sz w:val="24"/>
                <w:szCs w:val="24"/>
              </w:rPr>
              <w:t xml:space="preserve"> organizējot kārtējās mācības ar UVA elementiem, Aizsardzības ministrija </w:t>
            </w:r>
            <w:r w:rsidR="00004805">
              <w:rPr>
                <w:rFonts w:ascii="Times New Roman" w:hAnsi="Times New Roman"/>
                <w:sz w:val="24"/>
                <w:szCs w:val="24"/>
              </w:rPr>
              <w:t>katrām mācībām</w:t>
            </w:r>
            <w:r w:rsidR="00C06F7C">
              <w:rPr>
                <w:rFonts w:ascii="Times New Roman" w:hAnsi="Times New Roman"/>
                <w:sz w:val="24"/>
                <w:szCs w:val="24"/>
              </w:rPr>
              <w:t xml:space="preserve"> gatavos </w:t>
            </w:r>
            <w:r w:rsidR="00004805">
              <w:rPr>
                <w:rFonts w:ascii="Times New Roman" w:hAnsi="Times New Roman"/>
                <w:sz w:val="24"/>
                <w:szCs w:val="24"/>
              </w:rPr>
              <w:t xml:space="preserve">atsevišķu </w:t>
            </w:r>
            <w:r w:rsidR="00C06F7C">
              <w:rPr>
                <w:rFonts w:ascii="Times New Roman" w:hAnsi="Times New Roman"/>
                <w:sz w:val="24"/>
                <w:szCs w:val="24"/>
              </w:rPr>
              <w:t>Ministru kabineta rīkojum</w:t>
            </w:r>
            <w:r w:rsidR="00004805">
              <w:rPr>
                <w:rFonts w:ascii="Times New Roman" w:hAnsi="Times New Roman"/>
                <w:sz w:val="24"/>
                <w:szCs w:val="24"/>
              </w:rPr>
              <w:t>a projektu</w:t>
            </w:r>
            <w:r w:rsidR="00C06F7C">
              <w:rPr>
                <w:rFonts w:ascii="Times New Roman" w:hAnsi="Times New Roman"/>
                <w:sz w:val="24"/>
                <w:szCs w:val="24"/>
              </w:rPr>
              <w:t xml:space="preserve">, katrā konkrētā gadījumā norādot ministrijas un institūcijas, kuru iesaiste ir nepieciešama. </w:t>
            </w:r>
          </w:p>
          <w:p w:rsidR="008625AE" w:rsidRDefault="00004805" w:rsidP="008625AE">
            <w:pPr>
              <w:pStyle w:val="NoSpacing"/>
              <w:ind w:firstLine="650"/>
              <w:jc w:val="both"/>
              <w:rPr>
                <w:rFonts w:ascii="Times New Roman" w:hAnsi="Times New Roman" w:cs="Times New Roman"/>
                <w:sz w:val="24"/>
              </w:rPr>
            </w:pPr>
            <w:r>
              <w:rPr>
                <w:rFonts w:ascii="Times New Roman" w:hAnsi="Times New Roman"/>
                <w:sz w:val="24"/>
                <w:szCs w:val="24"/>
              </w:rPr>
              <w:t xml:space="preserve">Saskaņā ar sanāksmē nolemto, tika sagatavots </w:t>
            </w:r>
            <w:r>
              <w:rPr>
                <w:rFonts w:ascii="Times New Roman" w:hAnsi="Times New Roman" w:cs="Times New Roman"/>
                <w:sz w:val="24"/>
              </w:rPr>
              <w:t xml:space="preserve">Ministru kabineta instrukcijas „Par uzņemošās valsts atbalsta sniegšanu un tā koordināciju” projekts. </w:t>
            </w:r>
            <w:r w:rsidR="008625AE">
              <w:rPr>
                <w:rFonts w:ascii="Times New Roman" w:hAnsi="Times New Roman" w:cs="Times New Roman"/>
                <w:sz w:val="24"/>
              </w:rPr>
              <w:t xml:space="preserve">Instrukcija </w:t>
            </w:r>
            <w:r w:rsidR="008625AE" w:rsidRPr="002B1C2C">
              <w:rPr>
                <w:rFonts w:ascii="Times New Roman" w:hAnsi="Times New Roman" w:cs="Times New Roman"/>
                <w:sz w:val="24"/>
              </w:rPr>
              <w:t xml:space="preserve">nodrošinātu </w:t>
            </w:r>
            <w:r w:rsidR="008625AE">
              <w:rPr>
                <w:rFonts w:ascii="Times New Roman" w:hAnsi="Times New Roman" w:cs="Times New Roman"/>
                <w:sz w:val="24"/>
              </w:rPr>
              <w:t>valsts institūciju iesaisti UVA īstenošanā</w:t>
            </w:r>
            <w:r w:rsidR="008625AE" w:rsidRPr="002B1C2C">
              <w:rPr>
                <w:rFonts w:ascii="Times New Roman" w:hAnsi="Times New Roman" w:cs="Times New Roman"/>
                <w:sz w:val="24"/>
              </w:rPr>
              <w:t xml:space="preserve"> </w:t>
            </w:r>
            <w:r w:rsidR="008625AE">
              <w:rPr>
                <w:rFonts w:ascii="Times New Roman" w:hAnsi="Times New Roman" w:cs="Times New Roman"/>
                <w:sz w:val="24"/>
              </w:rPr>
              <w:t>atbilstoši noteiktajiem pienākumiem un uzdevumiem, kā arī tiktu veicinātas koordinētas Latvijas institūciju spējas reaģēt uz apdraudējuma un krīzes situācijām, nodrošinot UVA sniegšanu sabiedroto spēkiem.</w:t>
            </w:r>
          </w:p>
          <w:p w:rsidR="00E23C46" w:rsidRDefault="00E23C46" w:rsidP="00C06F7C">
            <w:pPr>
              <w:pStyle w:val="NoSpacing"/>
              <w:ind w:firstLine="366"/>
              <w:jc w:val="both"/>
              <w:rPr>
                <w:rFonts w:ascii="Times New Roman" w:hAnsi="Times New Roman" w:cs="Times New Roman"/>
                <w:sz w:val="24"/>
                <w:szCs w:val="24"/>
              </w:rPr>
            </w:pPr>
          </w:p>
          <w:p w:rsidR="007315B6" w:rsidRPr="00124872" w:rsidRDefault="007315B6" w:rsidP="00C06F7C">
            <w:pPr>
              <w:pStyle w:val="NoSpacing"/>
              <w:jc w:val="both"/>
              <w:rPr>
                <w:rFonts w:ascii="Times New Roman" w:hAnsi="Times New Roman" w:cs="Times New Roman"/>
                <w:sz w:val="24"/>
              </w:rPr>
            </w:pPr>
          </w:p>
        </w:tc>
      </w:tr>
      <w:tr w:rsidR="00A120C2" w:rsidTr="00CB6683">
        <w:trPr>
          <w:trHeight w:val="606"/>
        </w:trPr>
        <w:tc>
          <w:tcPr>
            <w:tcW w:w="396" w:type="dxa"/>
          </w:tcPr>
          <w:p w:rsidR="00A120C2" w:rsidRDefault="008625AE" w:rsidP="00E06153">
            <w:pPr>
              <w:pStyle w:val="NoSpacing"/>
              <w:jc w:val="center"/>
              <w:rPr>
                <w:rFonts w:ascii="Times New Roman" w:hAnsi="Times New Roman" w:cs="Times New Roman"/>
                <w:sz w:val="24"/>
              </w:rPr>
            </w:pPr>
            <w:r>
              <w:rPr>
                <w:rFonts w:ascii="Times New Roman" w:hAnsi="Times New Roman" w:cs="Times New Roman"/>
                <w:sz w:val="24"/>
              </w:rPr>
              <w:lastRenderedPageBreak/>
              <w:t>3</w:t>
            </w:r>
            <w:r w:rsidR="00D97129">
              <w:rPr>
                <w:rFonts w:ascii="Times New Roman" w:hAnsi="Times New Roman" w:cs="Times New Roman"/>
                <w:sz w:val="24"/>
              </w:rPr>
              <w:t>.</w:t>
            </w:r>
          </w:p>
        </w:tc>
        <w:tc>
          <w:tcPr>
            <w:tcW w:w="3171" w:type="dxa"/>
          </w:tcPr>
          <w:p w:rsidR="00A120C2" w:rsidRDefault="00D97129" w:rsidP="00D97129">
            <w:pPr>
              <w:pStyle w:val="NoSpacing"/>
              <w:rPr>
                <w:rFonts w:ascii="Times New Roman" w:hAnsi="Times New Roman" w:cs="Times New Roman"/>
                <w:sz w:val="24"/>
              </w:rPr>
            </w:pPr>
            <w:r>
              <w:rPr>
                <w:rFonts w:ascii="Times New Roman" w:hAnsi="Times New Roman" w:cs="Times New Roman"/>
                <w:sz w:val="24"/>
              </w:rPr>
              <w:t>Projekta izstrādē iesaistītās institūcijas</w:t>
            </w:r>
          </w:p>
        </w:tc>
        <w:tc>
          <w:tcPr>
            <w:tcW w:w="5643" w:type="dxa"/>
          </w:tcPr>
          <w:p w:rsidR="00A120C2" w:rsidRDefault="00D97129" w:rsidP="006E1EC2">
            <w:pPr>
              <w:pStyle w:val="NoSpacing"/>
              <w:jc w:val="both"/>
              <w:rPr>
                <w:rFonts w:ascii="Times New Roman" w:hAnsi="Times New Roman" w:cs="Times New Roman"/>
                <w:sz w:val="24"/>
              </w:rPr>
            </w:pPr>
            <w:r>
              <w:rPr>
                <w:rFonts w:ascii="Times New Roman" w:hAnsi="Times New Roman" w:cs="Times New Roman"/>
                <w:sz w:val="24"/>
              </w:rPr>
              <w:t xml:space="preserve">Ministru kabineta </w:t>
            </w:r>
            <w:r w:rsidR="00C06F7C">
              <w:rPr>
                <w:rFonts w:ascii="Times New Roman" w:hAnsi="Times New Roman" w:cs="Times New Roman"/>
                <w:sz w:val="24"/>
              </w:rPr>
              <w:t xml:space="preserve">instrukcija </w:t>
            </w:r>
            <w:r>
              <w:rPr>
                <w:rFonts w:ascii="Times New Roman" w:hAnsi="Times New Roman" w:cs="Times New Roman"/>
                <w:sz w:val="24"/>
              </w:rPr>
              <w:t>ir izstrādāt</w:t>
            </w:r>
            <w:r w:rsidR="00C06F7C">
              <w:rPr>
                <w:rFonts w:ascii="Times New Roman" w:hAnsi="Times New Roman" w:cs="Times New Roman"/>
                <w:sz w:val="24"/>
              </w:rPr>
              <w:t>a</w:t>
            </w:r>
            <w:r>
              <w:rPr>
                <w:rFonts w:ascii="Times New Roman" w:hAnsi="Times New Roman" w:cs="Times New Roman"/>
                <w:sz w:val="24"/>
              </w:rPr>
              <w:t xml:space="preserve"> Aizsardzības ministrijā</w:t>
            </w:r>
            <w:r w:rsidR="00C06F7C">
              <w:rPr>
                <w:rFonts w:ascii="Times New Roman" w:hAnsi="Times New Roman" w:cs="Times New Roman"/>
                <w:sz w:val="24"/>
              </w:rPr>
              <w:t>. Projekta izstrādē piedalījās: Ārlietu ministrija, Ekonomikas ministrija, Iekšlietu ministrija, Satiksmes ministrija, Veselības ministrija, Zemkopības ministrija, Tieslietu ministrija, Vides aizsardzības un reģionālās attīstības ministrija, Valsts policija, Neatliekamās medicīniskās palīdzības dienests, Pārtikas un veterinārais dienests, Valsts ugunsdzēsības un glābšanas dienests, Valsts robežsardze, Valsts vides dienests, Valsts ieņēmumu dienest</w:t>
            </w:r>
            <w:r w:rsidR="006E1EC2">
              <w:rPr>
                <w:rFonts w:ascii="Times New Roman" w:hAnsi="Times New Roman" w:cs="Times New Roman"/>
                <w:sz w:val="24"/>
              </w:rPr>
              <w:t>s</w:t>
            </w:r>
            <w:r w:rsidR="00C06F7C">
              <w:rPr>
                <w:rFonts w:ascii="Times New Roman" w:hAnsi="Times New Roman" w:cs="Times New Roman"/>
                <w:sz w:val="24"/>
              </w:rPr>
              <w:t>, valsts aģentūra „Civilās aviācijas aģentūra”, Nacionālie bruņotie spēki, Latvijas Ģeotelpiskās informācijas aģentūra, Valsts aizsardzības militāro objektu un iepirkumu centrs, Valsts zemes dienests, Valsts meža dienests</w:t>
            </w:r>
            <w:r w:rsidR="00435B28">
              <w:rPr>
                <w:rFonts w:ascii="Times New Roman" w:hAnsi="Times New Roman" w:cs="Times New Roman"/>
                <w:sz w:val="24"/>
              </w:rPr>
              <w:t>,</w:t>
            </w:r>
            <w:r w:rsidR="00C06F7C">
              <w:rPr>
                <w:rFonts w:ascii="Times New Roman" w:hAnsi="Times New Roman" w:cs="Times New Roman"/>
                <w:sz w:val="24"/>
              </w:rPr>
              <w:t xml:space="preserve"> Valsts tehniskās uzraudzības aģentūra, Lauksaimniec</w:t>
            </w:r>
            <w:r w:rsidR="004F3D19">
              <w:rPr>
                <w:rFonts w:ascii="Times New Roman" w:hAnsi="Times New Roman" w:cs="Times New Roman"/>
                <w:sz w:val="24"/>
              </w:rPr>
              <w:t>ības datu centrs un Nodrošinājuma valsts aģentūra.</w:t>
            </w:r>
          </w:p>
        </w:tc>
      </w:tr>
      <w:tr w:rsidR="00D97129" w:rsidTr="00CB6683">
        <w:trPr>
          <w:trHeight w:val="631"/>
        </w:trPr>
        <w:tc>
          <w:tcPr>
            <w:tcW w:w="396" w:type="dxa"/>
          </w:tcPr>
          <w:p w:rsidR="00D97129" w:rsidRDefault="008625AE" w:rsidP="00E06153">
            <w:pPr>
              <w:pStyle w:val="NoSpacing"/>
              <w:jc w:val="center"/>
              <w:rPr>
                <w:rFonts w:ascii="Times New Roman" w:hAnsi="Times New Roman" w:cs="Times New Roman"/>
                <w:sz w:val="24"/>
              </w:rPr>
            </w:pPr>
            <w:r>
              <w:rPr>
                <w:rFonts w:ascii="Times New Roman" w:hAnsi="Times New Roman" w:cs="Times New Roman"/>
                <w:sz w:val="24"/>
              </w:rPr>
              <w:lastRenderedPageBreak/>
              <w:t>4</w:t>
            </w:r>
            <w:r w:rsidR="00D97129">
              <w:rPr>
                <w:rFonts w:ascii="Times New Roman" w:hAnsi="Times New Roman" w:cs="Times New Roman"/>
                <w:sz w:val="24"/>
              </w:rPr>
              <w:t>.</w:t>
            </w:r>
          </w:p>
        </w:tc>
        <w:tc>
          <w:tcPr>
            <w:tcW w:w="3171" w:type="dxa"/>
          </w:tcPr>
          <w:p w:rsidR="00D97129" w:rsidRDefault="00D97129" w:rsidP="00DC25DA">
            <w:pPr>
              <w:pStyle w:val="NoSpacing"/>
              <w:jc w:val="both"/>
              <w:rPr>
                <w:rFonts w:ascii="Times New Roman" w:hAnsi="Times New Roman" w:cs="Times New Roman"/>
                <w:sz w:val="24"/>
              </w:rPr>
            </w:pPr>
            <w:r>
              <w:rPr>
                <w:rFonts w:ascii="Times New Roman" w:hAnsi="Times New Roman" w:cs="Times New Roman"/>
                <w:sz w:val="24"/>
              </w:rPr>
              <w:t>Cita informācija</w:t>
            </w:r>
          </w:p>
        </w:tc>
        <w:tc>
          <w:tcPr>
            <w:tcW w:w="5643" w:type="dxa"/>
          </w:tcPr>
          <w:p w:rsidR="00D97129" w:rsidRPr="0067292E" w:rsidRDefault="00435B28" w:rsidP="007F025F">
            <w:pPr>
              <w:pStyle w:val="NoSpacing"/>
              <w:jc w:val="both"/>
              <w:rPr>
                <w:rFonts w:ascii="Times New Roman" w:hAnsi="Times New Roman" w:cs="Times New Roman"/>
                <w:sz w:val="24"/>
              </w:rPr>
            </w:pPr>
            <w:r>
              <w:rPr>
                <w:rFonts w:ascii="Times New Roman" w:hAnsi="Times New Roman" w:cs="Times New Roman"/>
                <w:noProof/>
                <w:color w:val="000000"/>
                <w:sz w:val="24"/>
              </w:rPr>
              <w:t>UVA</w:t>
            </w:r>
            <w:r w:rsidR="0067292E" w:rsidRPr="0067292E">
              <w:rPr>
                <w:rFonts w:ascii="Times New Roman" w:hAnsi="Times New Roman" w:cs="Times New Roman"/>
                <w:noProof/>
                <w:color w:val="000000"/>
                <w:sz w:val="24"/>
              </w:rPr>
              <w:t xml:space="preserve"> </w:t>
            </w:r>
            <w:r w:rsidR="00004805">
              <w:rPr>
                <w:rFonts w:ascii="Times New Roman" w:hAnsi="Times New Roman" w:cs="Times New Roman"/>
                <w:noProof/>
                <w:color w:val="000000"/>
                <w:sz w:val="24"/>
              </w:rPr>
              <w:t xml:space="preserve">nodrošināšanā </w:t>
            </w:r>
            <w:r w:rsidR="0067292E" w:rsidRPr="0067292E">
              <w:rPr>
                <w:rFonts w:ascii="Times New Roman" w:hAnsi="Times New Roman" w:cs="Times New Roman"/>
                <w:noProof/>
                <w:color w:val="000000"/>
                <w:sz w:val="24"/>
              </w:rPr>
              <w:t>iesai</w:t>
            </w:r>
            <w:r>
              <w:rPr>
                <w:rFonts w:ascii="Times New Roman" w:hAnsi="Times New Roman" w:cs="Times New Roman"/>
                <w:noProof/>
                <w:color w:val="000000"/>
                <w:sz w:val="24"/>
              </w:rPr>
              <w:t>s</w:t>
            </w:r>
            <w:r w:rsidR="0067292E" w:rsidRPr="0067292E">
              <w:rPr>
                <w:rFonts w:ascii="Times New Roman" w:hAnsi="Times New Roman" w:cs="Times New Roman"/>
                <w:noProof/>
                <w:color w:val="000000"/>
                <w:sz w:val="24"/>
              </w:rPr>
              <w:t>tīt</w:t>
            </w:r>
            <w:r w:rsidR="00004805">
              <w:rPr>
                <w:rFonts w:ascii="Times New Roman" w:hAnsi="Times New Roman" w:cs="Times New Roman"/>
                <w:noProof/>
                <w:color w:val="000000"/>
                <w:sz w:val="24"/>
              </w:rPr>
              <w:t>ās</w:t>
            </w:r>
            <w:r w:rsidR="0067292E" w:rsidRPr="0067292E">
              <w:rPr>
                <w:rFonts w:ascii="Times New Roman" w:hAnsi="Times New Roman" w:cs="Times New Roman"/>
                <w:noProof/>
                <w:color w:val="000000"/>
                <w:sz w:val="24"/>
              </w:rPr>
              <w:t xml:space="preserve"> valsts budžeta iestād</w:t>
            </w:r>
            <w:r w:rsidR="00004805">
              <w:rPr>
                <w:rFonts w:ascii="Times New Roman" w:hAnsi="Times New Roman" w:cs="Times New Roman"/>
                <w:noProof/>
                <w:color w:val="000000"/>
                <w:sz w:val="24"/>
              </w:rPr>
              <w:t>es</w:t>
            </w:r>
            <w:r w:rsidR="0067292E" w:rsidRPr="0067292E">
              <w:rPr>
                <w:rFonts w:ascii="Times New Roman" w:hAnsi="Times New Roman" w:cs="Times New Roman"/>
                <w:noProof/>
                <w:color w:val="000000"/>
                <w:sz w:val="24"/>
              </w:rPr>
              <w:t xml:space="preserve"> Ministru kabineta rīkojumā noteiktos pienākumus un uzdevumus </w:t>
            </w:r>
            <w:r w:rsidR="007F025F">
              <w:rPr>
                <w:rFonts w:ascii="Times New Roman" w:hAnsi="Times New Roman" w:cs="Times New Roman"/>
                <w:noProof/>
                <w:color w:val="000000"/>
                <w:sz w:val="24"/>
              </w:rPr>
              <w:t>nodrošinās</w:t>
            </w:r>
            <w:r w:rsidR="0067292E" w:rsidRPr="0067292E">
              <w:rPr>
                <w:rFonts w:ascii="Times New Roman" w:hAnsi="Times New Roman" w:cs="Times New Roman"/>
                <w:noProof/>
                <w:color w:val="000000"/>
                <w:sz w:val="24"/>
              </w:rPr>
              <w:t xml:space="preserve"> tām piešķirto  </w:t>
            </w:r>
            <w:r>
              <w:rPr>
                <w:rFonts w:ascii="Times New Roman" w:hAnsi="Times New Roman" w:cs="Times New Roman"/>
                <w:noProof/>
                <w:color w:val="000000"/>
                <w:sz w:val="24"/>
              </w:rPr>
              <w:t xml:space="preserve">finanšu </w:t>
            </w:r>
            <w:r w:rsidR="0067292E" w:rsidRPr="0067292E">
              <w:rPr>
                <w:rFonts w:ascii="Times New Roman" w:hAnsi="Times New Roman" w:cs="Times New Roman"/>
                <w:noProof/>
                <w:color w:val="000000"/>
                <w:sz w:val="24"/>
              </w:rPr>
              <w:t>l</w:t>
            </w:r>
            <w:r>
              <w:rPr>
                <w:rFonts w:ascii="Times New Roman" w:hAnsi="Times New Roman" w:cs="Times New Roman"/>
                <w:noProof/>
                <w:color w:val="000000"/>
                <w:sz w:val="24"/>
              </w:rPr>
              <w:t>ī</w:t>
            </w:r>
            <w:r w:rsidR="0067292E" w:rsidRPr="0067292E">
              <w:rPr>
                <w:rFonts w:ascii="Times New Roman" w:hAnsi="Times New Roman" w:cs="Times New Roman"/>
                <w:noProof/>
                <w:color w:val="000000"/>
                <w:sz w:val="24"/>
              </w:rPr>
              <w:t>dzekļu ietvaros.</w:t>
            </w:r>
          </w:p>
        </w:tc>
      </w:tr>
    </w:tbl>
    <w:p w:rsidR="00887D67" w:rsidRDefault="00887D67" w:rsidP="00E06153">
      <w:pPr>
        <w:pStyle w:val="NoSpacing"/>
        <w:jc w:val="center"/>
        <w:rPr>
          <w:rFonts w:ascii="Times New Roman" w:hAnsi="Times New Roman" w:cs="Times New Roman"/>
          <w:sz w:val="24"/>
        </w:rPr>
      </w:pPr>
    </w:p>
    <w:tbl>
      <w:tblPr>
        <w:tblW w:w="93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3051"/>
        <w:gridCol w:w="5808"/>
      </w:tblGrid>
      <w:tr w:rsidR="00887D67" w:rsidTr="00887649">
        <w:trPr>
          <w:trHeight w:val="345"/>
        </w:trPr>
        <w:tc>
          <w:tcPr>
            <w:tcW w:w="9352" w:type="dxa"/>
            <w:gridSpan w:val="3"/>
          </w:tcPr>
          <w:p w:rsidR="00887D67" w:rsidRPr="00887D67" w:rsidRDefault="00887D67" w:rsidP="00E06153">
            <w:pPr>
              <w:pStyle w:val="NoSpacing"/>
              <w:jc w:val="center"/>
              <w:rPr>
                <w:rFonts w:ascii="Times New Roman" w:hAnsi="Times New Roman" w:cs="Times New Roman"/>
                <w:b/>
                <w:sz w:val="24"/>
              </w:rPr>
            </w:pPr>
            <w:r w:rsidRPr="00887D67">
              <w:rPr>
                <w:rFonts w:ascii="Times New Roman" w:hAnsi="Times New Roman" w:cs="Times New Roman"/>
                <w:b/>
                <w:sz w:val="24"/>
              </w:rPr>
              <w:t>VII. Tiesību akta projekta izpildes nodrošināšana un tā ietekme uz institūcijām</w:t>
            </w:r>
          </w:p>
        </w:tc>
      </w:tr>
      <w:tr w:rsidR="00887D67" w:rsidTr="00C85AF8">
        <w:trPr>
          <w:trHeight w:val="675"/>
        </w:trPr>
        <w:tc>
          <w:tcPr>
            <w:tcW w:w="493" w:type="dxa"/>
          </w:tcPr>
          <w:p w:rsidR="00887D67" w:rsidRDefault="00887D67" w:rsidP="00E06153">
            <w:pPr>
              <w:pStyle w:val="NoSpacing"/>
              <w:jc w:val="center"/>
              <w:rPr>
                <w:rFonts w:ascii="Times New Roman" w:hAnsi="Times New Roman" w:cs="Times New Roman"/>
                <w:sz w:val="24"/>
              </w:rPr>
            </w:pPr>
            <w:r>
              <w:rPr>
                <w:rFonts w:ascii="Times New Roman" w:hAnsi="Times New Roman" w:cs="Times New Roman"/>
                <w:sz w:val="24"/>
              </w:rPr>
              <w:t>1.</w:t>
            </w:r>
          </w:p>
        </w:tc>
        <w:tc>
          <w:tcPr>
            <w:tcW w:w="3051" w:type="dxa"/>
          </w:tcPr>
          <w:p w:rsidR="00887D67" w:rsidRDefault="00887D67" w:rsidP="00E3539A">
            <w:pPr>
              <w:pStyle w:val="NoSpacing"/>
              <w:rPr>
                <w:rFonts w:ascii="Times New Roman" w:hAnsi="Times New Roman" w:cs="Times New Roman"/>
                <w:sz w:val="24"/>
              </w:rPr>
            </w:pPr>
            <w:r>
              <w:rPr>
                <w:rFonts w:ascii="Times New Roman" w:hAnsi="Times New Roman" w:cs="Times New Roman"/>
                <w:sz w:val="24"/>
              </w:rPr>
              <w:t>Projekta izpildē iesaistītās institūcijas</w:t>
            </w:r>
          </w:p>
        </w:tc>
        <w:tc>
          <w:tcPr>
            <w:tcW w:w="5808" w:type="dxa"/>
          </w:tcPr>
          <w:p w:rsidR="00887D67" w:rsidRDefault="009A51D2" w:rsidP="006E1EC2">
            <w:pPr>
              <w:pStyle w:val="NoSpacing"/>
              <w:jc w:val="both"/>
              <w:rPr>
                <w:rFonts w:ascii="Times New Roman" w:hAnsi="Times New Roman" w:cs="Times New Roman"/>
                <w:sz w:val="24"/>
              </w:rPr>
            </w:pPr>
            <w:r>
              <w:rPr>
                <w:rFonts w:ascii="Times New Roman" w:hAnsi="Times New Roman" w:cs="Times New Roman"/>
                <w:sz w:val="24"/>
              </w:rPr>
              <w:t xml:space="preserve">Ārlietu ministrija, </w:t>
            </w:r>
            <w:r w:rsidR="00887D67">
              <w:rPr>
                <w:rFonts w:ascii="Times New Roman" w:hAnsi="Times New Roman" w:cs="Times New Roman"/>
                <w:sz w:val="24"/>
              </w:rPr>
              <w:t>Aizsardzības ministrija,</w:t>
            </w:r>
            <w:r w:rsidR="00D2542E">
              <w:rPr>
                <w:rFonts w:ascii="Times New Roman" w:hAnsi="Times New Roman" w:cs="Times New Roman"/>
                <w:sz w:val="24"/>
              </w:rPr>
              <w:t xml:space="preserve"> </w:t>
            </w:r>
            <w:r w:rsidR="00887D67">
              <w:rPr>
                <w:rFonts w:ascii="Times New Roman" w:hAnsi="Times New Roman" w:cs="Times New Roman"/>
                <w:sz w:val="24"/>
              </w:rPr>
              <w:t>Tieslietu ministrija, Nacionālie bruņotie spēki, Satiksmes ministrija, Iekšlietu ministrija, Ekonomikas ministrija, Veselības min</w:t>
            </w:r>
            <w:r>
              <w:rPr>
                <w:rFonts w:ascii="Times New Roman" w:hAnsi="Times New Roman" w:cs="Times New Roman"/>
                <w:sz w:val="24"/>
              </w:rPr>
              <w:t xml:space="preserve">istrija, Zemkopības ministrija, </w:t>
            </w:r>
            <w:r w:rsidR="00887D67">
              <w:rPr>
                <w:rFonts w:ascii="Times New Roman" w:hAnsi="Times New Roman" w:cs="Times New Roman"/>
                <w:sz w:val="24"/>
              </w:rPr>
              <w:t>valsts aģentūra „Civilās aviācijas aģentūra”, Valsts policija, Valsts robežsardze, Neatliekamās medicīniskās palīdzības dienests, Valsts ugunsdzēsības un glābšanas dienests, Valsts vides dienests, Pārtikas un veterinārais dienests, V</w:t>
            </w:r>
            <w:r w:rsidR="00E02C53">
              <w:rPr>
                <w:rFonts w:ascii="Times New Roman" w:hAnsi="Times New Roman" w:cs="Times New Roman"/>
                <w:sz w:val="24"/>
              </w:rPr>
              <w:t>alsts ieņēmum</w:t>
            </w:r>
            <w:r w:rsidR="006E1EC2">
              <w:rPr>
                <w:rFonts w:ascii="Times New Roman" w:hAnsi="Times New Roman" w:cs="Times New Roman"/>
                <w:sz w:val="24"/>
              </w:rPr>
              <w:t>u</w:t>
            </w:r>
            <w:r w:rsidR="00E02C53">
              <w:rPr>
                <w:rFonts w:ascii="Times New Roman" w:hAnsi="Times New Roman" w:cs="Times New Roman"/>
                <w:sz w:val="24"/>
              </w:rPr>
              <w:t xml:space="preserve"> dienest</w:t>
            </w:r>
            <w:r w:rsidR="006E1EC2">
              <w:rPr>
                <w:rFonts w:ascii="Times New Roman" w:hAnsi="Times New Roman" w:cs="Times New Roman"/>
                <w:sz w:val="24"/>
              </w:rPr>
              <w:t>s</w:t>
            </w:r>
            <w:r w:rsidR="004F3D19">
              <w:rPr>
                <w:rFonts w:ascii="Times New Roman" w:hAnsi="Times New Roman" w:cs="Times New Roman"/>
                <w:sz w:val="24"/>
              </w:rPr>
              <w:t>, Vides aizsardzības un reģionālās attīstības ministrija, Drošības policija, Militārais izlūkošanas un drošības dienests.</w:t>
            </w:r>
            <w:r w:rsidR="006919C6">
              <w:rPr>
                <w:rFonts w:ascii="Times New Roman" w:hAnsi="Times New Roman" w:cs="Times New Roman"/>
                <w:sz w:val="24"/>
              </w:rPr>
              <w:t xml:space="preserve"> </w:t>
            </w:r>
          </w:p>
        </w:tc>
      </w:tr>
      <w:tr w:rsidR="00887D67" w:rsidTr="00C85AF8">
        <w:trPr>
          <w:trHeight w:val="705"/>
        </w:trPr>
        <w:tc>
          <w:tcPr>
            <w:tcW w:w="493" w:type="dxa"/>
          </w:tcPr>
          <w:p w:rsidR="00887D67" w:rsidRDefault="00C02244" w:rsidP="00E06153">
            <w:pPr>
              <w:pStyle w:val="NoSpacing"/>
              <w:jc w:val="center"/>
              <w:rPr>
                <w:rFonts w:ascii="Times New Roman" w:hAnsi="Times New Roman" w:cs="Times New Roman"/>
                <w:sz w:val="24"/>
              </w:rPr>
            </w:pPr>
            <w:r>
              <w:rPr>
                <w:rFonts w:ascii="Times New Roman" w:hAnsi="Times New Roman" w:cs="Times New Roman"/>
                <w:sz w:val="24"/>
              </w:rPr>
              <w:t>2.</w:t>
            </w:r>
          </w:p>
        </w:tc>
        <w:tc>
          <w:tcPr>
            <w:tcW w:w="3051" w:type="dxa"/>
          </w:tcPr>
          <w:p w:rsidR="008625AE" w:rsidRPr="008625AE" w:rsidRDefault="008625AE" w:rsidP="008625AE">
            <w:pPr>
              <w:pStyle w:val="naisf"/>
              <w:spacing w:before="0" w:after="0"/>
              <w:ind w:left="57" w:right="57" w:firstLine="0"/>
              <w:rPr>
                <w:szCs w:val="22"/>
              </w:rPr>
            </w:pPr>
            <w:r w:rsidRPr="008625AE">
              <w:rPr>
                <w:szCs w:val="22"/>
              </w:rPr>
              <w:t xml:space="preserve">Projekta izpildes ietekme uz pārvaldes funkcijām un institucionālo struktūru. </w:t>
            </w:r>
          </w:p>
          <w:p w:rsidR="00887D67" w:rsidRDefault="008625AE" w:rsidP="008625AE">
            <w:pPr>
              <w:pStyle w:val="NoSpacing"/>
              <w:jc w:val="both"/>
              <w:rPr>
                <w:rFonts w:ascii="Times New Roman" w:hAnsi="Times New Roman" w:cs="Times New Roman"/>
                <w:sz w:val="24"/>
              </w:rPr>
            </w:pPr>
            <w:r w:rsidRPr="008625AE">
              <w:rPr>
                <w:rFonts w:ascii="Times New Roman" w:hAnsi="Times New Roman" w:cs="Times New Roman"/>
                <w:sz w:val="24"/>
              </w:rPr>
              <w:t>Jaunu institūciju izveide, esošu institūciju likvidācija vai reorganizācija, to ietekme uz institūcijas cilvēkresursiem.</w:t>
            </w:r>
          </w:p>
        </w:tc>
        <w:tc>
          <w:tcPr>
            <w:tcW w:w="5808" w:type="dxa"/>
          </w:tcPr>
          <w:p w:rsidR="00887D67" w:rsidRDefault="00913A57" w:rsidP="00004D0F">
            <w:pPr>
              <w:pStyle w:val="NoSpacing"/>
              <w:jc w:val="both"/>
              <w:rPr>
                <w:rFonts w:ascii="Times New Roman" w:hAnsi="Times New Roman" w:cs="Times New Roman"/>
                <w:sz w:val="24"/>
              </w:rPr>
            </w:pPr>
            <w:r>
              <w:rPr>
                <w:rFonts w:ascii="Times New Roman" w:hAnsi="Times New Roman" w:cs="Times New Roman"/>
                <w:sz w:val="24"/>
              </w:rPr>
              <w:t xml:space="preserve">UVA iesaistītajām valsts institūcijām </w:t>
            </w:r>
            <w:r w:rsidR="00004D0F">
              <w:rPr>
                <w:rFonts w:ascii="Times New Roman" w:hAnsi="Times New Roman" w:cs="Times New Roman"/>
                <w:sz w:val="24"/>
              </w:rPr>
              <w:t>instrukcijā</w:t>
            </w:r>
            <w:r>
              <w:rPr>
                <w:rFonts w:ascii="Times New Roman" w:hAnsi="Times New Roman" w:cs="Times New Roman"/>
                <w:sz w:val="24"/>
              </w:rPr>
              <w:t xml:space="preserve"> minētās kompetences un pienākumi ir precizēti </w:t>
            </w:r>
            <w:r w:rsidR="007F025F">
              <w:rPr>
                <w:rFonts w:ascii="Times New Roman" w:hAnsi="Times New Roman" w:cs="Times New Roman"/>
                <w:sz w:val="24"/>
              </w:rPr>
              <w:t xml:space="preserve">balstoties uz to </w:t>
            </w:r>
            <w:r>
              <w:rPr>
                <w:rFonts w:ascii="Times New Roman" w:hAnsi="Times New Roman" w:cs="Times New Roman"/>
                <w:sz w:val="24"/>
              </w:rPr>
              <w:t>esošajiem nolikumiem, tādējādi darb</w:t>
            </w:r>
            <w:r w:rsidR="007F025F">
              <w:rPr>
                <w:rFonts w:ascii="Times New Roman" w:hAnsi="Times New Roman" w:cs="Times New Roman"/>
                <w:sz w:val="24"/>
              </w:rPr>
              <w:t>ību nosakot</w:t>
            </w:r>
            <w:r>
              <w:rPr>
                <w:rFonts w:ascii="Times New Roman" w:hAnsi="Times New Roman" w:cs="Times New Roman"/>
                <w:sz w:val="24"/>
              </w:rPr>
              <w:t xml:space="preserve"> esošo funkciju ietvaros.</w:t>
            </w:r>
          </w:p>
        </w:tc>
      </w:tr>
      <w:tr w:rsidR="008621E8" w:rsidTr="00C85AF8">
        <w:trPr>
          <w:trHeight w:val="238"/>
        </w:trPr>
        <w:tc>
          <w:tcPr>
            <w:tcW w:w="493" w:type="dxa"/>
          </w:tcPr>
          <w:p w:rsidR="008621E8" w:rsidRDefault="008621E8" w:rsidP="00E06153">
            <w:pPr>
              <w:pStyle w:val="NoSpacing"/>
              <w:jc w:val="center"/>
              <w:rPr>
                <w:rFonts w:ascii="Times New Roman" w:hAnsi="Times New Roman" w:cs="Times New Roman"/>
                <w:sz w:val="24"/>
              </w:rPr>
            </w:pPr>
            <w:r>
              <w:rPr>
                <w:rFonts w:ascii="Times New Roman" w:hAnsi="Times New Roman" w:cs="Times New Roman"/>
                <w:sz w:val="24"/>
              </w:rPr>
              <w:t>6.</w:t>
            </w:r>
          </w:p>
        </w:tc>
        <w:tc>
          <w:tcPr>
            <w:tcW w:w="3051" w:type="dxa"/>
          </w:tcPr>
          <w:p w:rsidR="008621E8" w:rsidRDefault="008621E8" w:rsidP="008621E8">
            <w:pPr>
              <w:pStyle w:val="NoSpacing"/>
              <w:rPr>
                <w:rFonts w:ascii="Times New Roman" w:hAnsi="Times New Roman" w:cs="Times New Roman"/>
                <w:sz w:val="24"/>
              </w:rPr>
            </w:pPr>
            <w:r>
              <w:rPr>
                <w:rFonts w:ascii="Times New Roman" w:hAnsi="Times New Roman" w:cs="Times New Roman"/>
                <w:sz w:val="24"/>
              </w:rPr>
              <w:t>Cita informācija.</w:t>
            </w:r>
          </w:p>
        </w:tc>
        <w:tc>
          <w:tcPr>
            <w:tcW w:w="5808" w:type="dxa"/>
          </w:tcPr>
          <w:p w:rsidR="008621E8" w:rsidRDefault="008621E8" w:rsidP="008621E8">
            <w:pPr>
              <w:pStyle w:val="NoSpacing"/>
              <w:rPr>
                <w:rFonts w:ascii="Times New Roman" w:hAnsi="Times New Roman" w:cs="Times New Roman"/>
                <w:sz w:val="24"/>
              </w:rPr>
            </w:pPr>
            <w:r>
              <w:rPr>
                <w:rFonts w:ascii="Times New Roman" w:hAnsi="Times New Roman" w:cs="Times New Roman"/>
                <w:sz w:val="24"/>
              </w:rPr>
              <w:t>Nav.</w:t>
            </w:r>
          </w:p>
        </w:tc>
      </w:tr>
    </w:tbl>
    <w:p w:rsidR="00CB6683" w:rsidRDefault="00CB6683" w:rsidP="008621E8">
      <w:pPr>
        <w:rPr>
          <w:rFonts w:ascii="Times New Roman" w:hAnsi="Times New Roman" w:cs="Times New Roman"/>
          <w:b/>
          <w:sz w:val="24"/>
        </w:rPr>
      </w:pPr>
    </w:p>
    <w:p w:rsidR="008621E8" w:rsidRDefault="008621E8" w:rsidP="008621E8">
      <w:pPr>
        <w:rPr>
          <w:rFonts w:ascii="Times New Roman" w:hAnsi="Times New Roman" w:cs="Times New Roman"/>
          <w:sz w:val="24"/>
        </w:rPr>
      </w:pPr>
      <w:r>
        <w:rPr>
          <w:rFonts w:ascii="Times New Roman" w:hAnsi="Times New Roman" w:cs="Times New Roman"/>
          <w:b/>
          <w:sz w:val="24"/>
        </w:rPr>
        <w:t>Anotācijas II,</w:t>
      </w:r>
      <w:r w:rsidR="00E66A6B">
        <w:rPr>
          <w:rFonts w:ascii="Times New Roman" w:hAnsi="Times New Roman" w:cs="Times New Roman"/>
          <w:b/>
          <w:sz w:val="24"/>
        </w:rPr>
        <w:t xml:space="preserve"> III,</w:t>
      </w:r>
      <w:r>
        <w:rPr>
          <w:rFonts w:ascii="Times New Roman" w:hAnsi="Times New Roman" w:cs="Times New Roman"/>
          <w:b/>
          <w:sz w:val="24"/>
        </w:rPr>
        <w:t xml:space="preserve"> IV, V un VI sadaļa – nav attiecināms.</w:t>
      </w:r>
    </w:p>
    <w:p w:rsidR="00CB6683" w:rsidRDefault="00CB6683" w:rsidP="00B53BE9">
      <w:pPr>
        <w:tabs>
          <w:tab w:val="left" w:pos="7140"/>
        </w:tabs>
        <w:spacing w:after="0"/>
        <w:rPr>
          <w:rFonts w:ascii="Times New Roman" w:hAnsi="Times New Roman" w:cs="Times New Roman"/>
          <w:sz w:val="24"/>
        </w:rPr>
      </w:pPr>
    </w:p>
    <w:p w:rsidR="008621E8" w:rsidRPr="00CB6683" w:rsidRDefault="008621E8" w:rsidP="006E1EC2">
      <w:pPr>
        <w:tabs>
          <w:tab w:val="left" w:pos="5059"/>
          <w:tab w:val="left" w:pos="7140"/>
        </w:tabs>
        <w:spacing w:after="0"/>
        <w:rPr>
          <w:rFonts w:ascii="Times New Roman" w:hAnsi="Times New Roman" w:cs="Times New Roman"/>
          <w:sz w:val="24"/>
          <w:szCs w:val="24"/>
        </w:rPr>
      </w:pPr>
      <w:r w:rsidRPr="00CB6683">
        <w:rPr>
          <w:rFonts w:ascii="Times New Roman" w:hAnsi="Times New Roman" w:cs="Times New Roman"/>
          <w:sz w:val="24"/>
          <w:szCs w:val="24"/>
        </w:rPr>
        <w:t>Aizsardzības ministrs</w:t>
      </w:r>
      <w:r w:rsidRPr="00CB6683">
        <w:rPr>
          <w:rFonts w:ascii="Times New Roman" w:hAnsi="Times New Roman" w:cs="Times New Roman"/>
          <w:sz w:val="24"/>
          <w:szCs w:val="24"/>
        </w:rPr>
        <w:tab/>
      </w:r>
      <w:r w:rsidR="006E1EC2">
        <w:rPr>
          <w:rFonts w:ascii="Times New Roman" w:hAnsi="Times New Roman" w:cs="Times New Roman"/>
          <w:sz w:val="24"/>
          <w:szCs w:val="24"/>
        </w:rPr>
        <w:tab/>
      </w:r>
      <w:proofErr w:type="spellStart"/>
      <w:r w:rsidR="00443B27" w:rsidRPr="00CB6683">
        <w:rPr>
          <w:rFonts w:ascii="Times New Roman" w:hAnsi="Times New Roman" w:cs="Times New Roman"/>
          <w:sz w:val="24"/>
          <w:szCs w:val="24"/>
        </w:rPr>
        <w:t>R.Vējonis</w:t>
      </w:r>
      <w:proofErr w:type="spellEnd"/>
    </w:p>
    <w:p w:rsidR="00424F5E" w:rsidRPr="00CB6683" w:rsidRDefault="00424F5E" w:rsidP="006B418F">
      <w:pPr>
        <w:tabs>
          <w:tab w:val="left" w:pos="7230"/>
        </w:tabs>
        <w:spacing w:after="0"/>
        <w:rPr>
          <w:rFonts w:ascii="Times New Roman" w:hAnsi="Times New Roman" w:cs="Times New Roman"/>
          <w:sz w:val="24"/>
          <w:szCs w:val="24"/>
        </w:rPr>
      </w:pPr>
    </w:p>
    <w:p w:rsidR="00CB6683" w:rsidRPr="00CB6683" w:rsidRDefault="00CB6683" w:rsidP="006B418F">
      <w:pPr>
        <w:tabs>
          <w:tab w:val="left" w:pos="7230"/>
        </w:tabs>
        <w:spacing w:after="0"/>
        <w:rPr>
          <w:rFonts w:ascii="Times New Roman" w:hAnsi="Times New Roman" w:cs="Times New Roman"/>
          <w:sz w:val="24"/>
          <w:szCs w:val="24"/>
        </w:rPr>
      </w:pPr>
    </w:p>
    <w:p w:rsidR="000F63F8" w:rsidRPr="00CB6683" w:rsidRDefault="003600EF" w:rsidP="00880EFB">
      <w:pPr>
        <w:tabs>
          <w:tab w:val="left" w:pos="6237"/>
        </w:tabs>
        <w:spacing w:after="0"/>
        <w:rPr>
          <w:rFonts w:ascii="Times New Roman" w:hAnsi="Times New Roman" w:cs="Times New Roman"/>
          <w:sz w:val="24"/>
          <w:szCs w:val="24"/>
        </w:rPr>
      </w:pPr>
      <w:r>
        <w:rPr>
          <w:rFonts w:ascii="Times New Roman" w:hAnsi="Times New Roman" w:cs="Times New Roman"/>
          <w:sz w:val="24"/>
          <w:szCs w:val="24"/>
        </w:rPr>
        <w:t>Vīza: valsts sekretār</w:t>
      </w:r>
      <w:r w:rsidR="002F0447">
        <w:rPr>
          <w:rFonts w:ascii="Times New Roman" w:hAnsi="Times New Roman" w:cs="Times New Roman"/>
          <w:sz w:val="24"/>
          <w:szCs w:val="24"/>
        </w:rPr>
        <w:t>s</w:t>
      </w:r>
      <w:r w:rsidR="00266DC9">
        <w:rPr>
          <w:rFonts w:ascii="Times New Roman" w:hAnsi="Times New Roman" w:cs="Times New Roman"/>
          <w:sz w:val="24"/>
          <w:szCs w:val="24"/>
        </w:rPr>
        <w:tab/>
      </w:r>
      <w:r w:rsidR="00266DC9">
        <w:rPr>
          <w:rFonts w:ascii="Times New Roman" w:hAnsi="Times New Roman" w:cs="Times New Roman"/>
          <w:sz w:val="24"/>
          <w:szCs w:val="24"/>
        </w:rPr>
        <w:tab/>
      </w:r>
      <w:r w:rsidR="00266DC9">
        <w:rPr>
          <w:rFonts w:ascii="Times New Roman" w:hAnsi="Times New Roman" w:cs="Times New Roman"/>
          <w:sz w:val="24"/>
          <w:szCs w:val="24"/>
        </w:rPr>
        <w:tab/>
      </w:r>
      <w:r w:rsidR="00443B27" w:rsidRPr="00CB6683">
        <w:rPr>
          <w:rFonts w:ascii="Times New Roman" w:hAnsi="Times New Roman" w:cs="Times New Roman"/>
          <w:sz w:val="24"/>
          <w:szCs w:val="24"/>
        </w:rPr>
        <w:t>J.</w:t>
      </w:r>
      <w:r w:rsidR="002F0447">
        <w:rPr>
          <w:rFonts w:ascii="Times New Roman" w:hAnsi="Times New Roman" w:cs="Times New Roman"/>
          <w:sz w:val="24"/>
          <w:szCs w:val="24"/>
        </w:rPr>
        <w:t>Sārts</w:t>
      </w:r>
    </w:p>
    <w:p w:rsidR="00424F5E" w:rsidRPr="00CB6683" w:rsidRDefault="00424F5E" w:rsidP="00424F5E">
      <w:pPr>
        <w:pStyle w:val="NoSpacing"/>
        <w:rPr>
          <w:rFonts w:ascii="Times New Roman" w:hAnsi="Times New Roman" w:cs="Times New Roman"/>
          <w:sz w:val="24"/>
          <w:szCs w:val="24"/>
        </w:rPr>
      </w:pPr>
    </w:p>
    <w:p w:rsidR="00CB6683" w:rsidRPr="00CB6683" w:rsidRDefault="00CB6683" w:rsidP="00424F5E">
      <w:pPr>
        <w:pStyle w:val="NoSpacing"/>
        <w:rPr>
          <w:rFonts w:ascii="Times New Roman" w:hAnsi="Times New Roman" w:cs="Times New Roman"/>
          <w:sz w:val="24"/>
          <w:szCs w:val="24"/>
        </w:rPr>
      </w:pPr>
    </w:p>
    <w:p w:rsidR="00CB6683" w:rsidRPr="00CB6683" w:rsidRDefault="00CB6683" w:rsidP="00424F5E">
      <w:pPr>
        <w:pStyle w:val="NoSpacing"/>
        <w:rPr>
          <w:rFonts w:ascii="Times New Roman" w:hAnsi="Times New Roman" w:cs="Times New Roman"/>
          <w:sz w:val="24"/>
          <w:szCs w:val="24"/>
        </w:rPr>
      </w:pPr>
    </w:p>
    <w:p w:rsidR="00CB6683" w:rsidRPr="00CB6683" w:rsidRDefault="00CB6683" w:rsidP="00424F5E">
      <w:pPr>
        <w:pStyle w:val="NoSpacing"/>
        <w:rPr>
          <w:rFonts w:ascii="Times New Roman" w:hAnsi="Times New Roman" w:cs="Times New Roman"/>
          <w:sz w:val="20"/>
          <w:szCs w:val="24"/>
        </w:rPr>
      </w:pPr>
    </w:p>
    <w:p w:rsidR="00424F5E" w:rsidRPr="00CB6683" w:rsidRDefault="00880EFB" w:rsidP="00424F5E">
      <w:pPr>
        <w:pStyle w:val="NoSpacing"/>
        <w:rPr>
          <w:rFonts w:ascii="Times New Roman" w:hAnsi="Times New Roman" w:cs="Times New Roman"/>
          <w:sz w:val="20"/>
          <w:szCs w:val="24"/>
        </w:rPr>
      </w:pPr>
      <w:r>
        <w:rPr>
          <w:rFonts w:ascii="Times New Roman" w:hAnsi="Times New Roman" w:cs="Times New Roman"/>
          <w:sz w:val="20"/>
          <w:szCs w:val="24"/>
        </w:rPr>
        <w:t>02</w:t>
      </w:r>
      <w:r w:rsidR="00424F5E" w:rsidRPr="00CB6683">
        <w:rPr>
          <w:rFonts w:ascii="Times New Roman" w:hAnsi="Times New Roman" w:cs="Times New Roman"/>
          <w:sz w:val="20"/>
          <w:szCs w:val="24"/>
        </w:rPr>
        <w:t>.</w:t>
      </w:r>
      <w:r w:rsidR="002F0447">
        <w:rPr>
          <w:rFonts w:ascii="Times New Roman" w:hAnsi="Times New Roman" w:cs="Times New Roman"/>
          <w:sz w:val="20"/>
          <w:szCs w:val="24"/>
        </w:rPr>
        <w:t>0</w:t>
      </w:r>
      <w:r>
        <w:rPr>
          <w:rFonts w:ascii="Times New Roman" w:hAnsi="Times New Roman" w:cs="Times New Roman"/>
          <w:sz w:val="20"/>
          <w:szCs w:val="24"/>
        </w:rPr>
        <w:t>2</w:t>
      </w:r>
      <w:r w:rsidR="00424F5E" w:rsidRPr="00CB6683">
        <w:rPr>
          <w:rFonts w:ascii="Times New Roman" w:hAnsi="Times New Roman" w:cs="Times New Roman"/>
          <w:sz w:val="20"/>
          <w:szCs w:val="24"/>
        </w:rPr>
        <w:t>.</w:t>
      </w:r>
      <w:r w:rsidR="002F0447" w:rsidRPr="00CB6683">
        <w:rPr>
          <w:rFonts w:ascii="Times New Roman" w:hAnsi="Times New Roman" w:cs="Times New Roman"/>
          <w:sz w:val="20"/>
          <w:szCs w:val="24"/>
        </w:rPr>
        <w:t>201</w:t>
      </w:r>
      <w:r w:rsidR="002F0447">
        <w:rPr>
          <w:rFonts w:ascii="Times New Roman" w:hAnsi="Times New Roman" w:cs="Times New Roman"/>
          <w:sz w:val="20"/>
          <w:szCs w:val="24"/>
        </w:rPr>
        <w:t>5</w:t>
      </w:r>
      <w:r w:rsidR="00424F5E" w:rsidRPr="00CB6683">
        <w:rPr>
          <w:rFonts w:ascii="Times New Roman" w:hAnsi="Times New Roman" w:cs="Times New Roman"/>
          <w:sz w:val="20"/>
          <w:szCs w:val="24"/>
        </w:rPr>
        <w:t xml:space="preserve">. </w:t>
      </w:r>
      <w:r w:rsidR="002F0447">
        <w:rPr>
          <w:rFonts w:ascii="Times New Roman" w:hAnsi="Times New Roman" w:cs="Times New Roman"/>
          <w:sz w:val="20"/>
          <w:szCs w:val="24"/>
        </w:rPr>
        <w:t>1</w:t>
      </w:r>
      <w:r>
        <w:rPr>
          <w:rFonts w:ascii="Times New Roman" w:hAnsi="Times New Roman" w:cs="Times New Roman"/>
          <w:sz w:val="20"/>
          <w:szCs w:val="24"/>
        </w:rPr>
        <w:t>4</w:t>
      </w:r>
      <w:r w:rsidR="002F0447">
        <w:rPr>
          <w:rFonts w:ascii="Times New Roman" w:hAnsi="Times New Roman" w:cs="Times New Roman"/>
          <w:sz w:val="20"/>
          <w:szCs w:val="24"/>
        </w:rPr>
        <w:t>:34</w:t>
      </w:r>
    </w:p>
    <w:p w:rsidR="00424F5E" w:rsidRPr="00CB6683" w:rsidRDefault="002F0447" w:rsidP="00424F5E">
      <w:pPr>
        <w:pStyle w:val="NoSpacing"/>
        <w:rPr>
          <w:rFonts w:ascii="Times New Roman" w:hAnsi="Times New Roman" w:cs="Times New Roman"/>
          <w:sz w:val="20"/>
          <w:szCs w:val="24"/>
        </w:rPr>
      </w:pPr>
      <w:r>
        <w:rPr>
          <w:rFonts w:ascii="Times New Roman" w:hAnsi="Times New Roman" w:cs="Times New Roman"/>
          <w:sz w:val="20"/>
          <w:szCs w:val="24"/>
        </w:rPr>
        <w:t>7</w:t>
      </w:r>
      <w:r w:rsidR="00880EFB">
        <w:rPr>
          <w:rFonts w:ascii="Times New Roman" w:hAnsi="Times New Roman" w:cs="Times New Roman"/>
          <w:sz w:val="20"/>
          <w:szCs w:val="24"/>
        </w:rPr>
        <w:t>2</w:t>
      </w:r>
      <w:r w:rsidR="00844655">
        <w:rPr>
          <w:rFonts w:ascii="Times New Roman" w:hAnsi="Times New Roman" w:cs="Times New Roman"/>
          <w:sz w:val="20"/>
          <w:szCs w:val="24"/>
        </w:rPr>
        <w:t>8</w:t>
      </w:r>
      <w:bookmarkStart w:id="0" w:name="_GoBack"/>
      <w:bookmarkEnd w:id="0"/>
    </w:p>
    <w:p w:rsidR="00424F5E" w:rsidRPr="00CB6683" w:rsidRDefault="00424F5E" w:rsidP="00424F5E">
      <w:pPr>
        <w:pStyle w:val="NoSpacing"/>
        <w:rPr>
          <w:rFonts w:ascii="Times New Roman" w:hAnsi="Times New Roman" w:cs="Times New Roman"/>
          <w:sz w:val="20"/>
          <w:szCs w:val="24"/>
        </w:rPr>
      </w:pPr>
      <w:r w:rsidRPr="00CB6683">
        <w:rPr>
          <w:rFonts w:ascii="Times New Roman" w:hAnsi="Times New Roman" w:cs="Times New Roman"/>
          <w:sz w:val="20"/>
          <w:szCs w:val="24"/>
        </w:rPr>
        <w:t>V.Otzulis</w:t>
      </w:r>
    </w:p>
    <w:p w:rsidR="00424F5E" w:rsidRPr="00CB6683" w:rsidRDefault="00424F5E" w:rsidP="00424F5E">
      <w:pPr>
        <w:pStyle w:val="NoSpacing"/>
        <w:rPr>
          <w:rFonts w:ascii="Times New Roman" w:hAnsi="Times New Roman" w:cs="Times New Roman"/>
          <w:sz w:val="20"/>
          <w:szCs w:val="24"/>
        </w:rPr>
      </w:pPr>
      <w:r w:rsidRPr="00CB6683">
        <w:rPr>
          <w:rFonts w:ascii="Times New Roman" w:hAnsi="Times New Roman" w:cs="Times New Roman"/>
          <w:sz w:val="20"/>
          <w:szCs w:val="24"/>
        </w:rPr>
        <w:t>Valdis.otzulis@mod.gov.lv</w:t>
      </w:r>
    </w:p>
    <w:p w:rsidR="00E06153" w:rsidRPr="00CB6683" w:rsidRDefault="000F63F8" w:rsidP="00424F5E">
      <w:pPr>
        <w:pStyle w:val="NoSpacing"/>
        <w:rPr>
          <w:sz w:val="24"/>
          <w:szCs w:val="24"/>
        </w:rPr>
      </w:pPr>
      <w:proofErr w:type="spellStart"/>
      <w:r w:rsidRPr="00CB6683">
        <w:rPr>
          <w:rFonts w:ascii="Times New Roman" w:hAnsi="Times New Roman" w:cs="Times New Roman"/>
          <w:sz w:val="20"/>
          <w:szCs w:val="24"/>
        </w:rPr>
        <w:t>Tālr</w:t>
      </w:r>
      <w:proofErr w:type="spellEnd"/>
      <w:r w:rsidRPr="00CB6683">
        <w:rPr>
          <w:rFonts w:ascii="Times New Roman" w:hAnsi="Times New Roman" w:cs="Times New Roman"/>
          <w:sz w:val="20"/>
          <w:szCs w:val="24"/>
        </w:rPr>
        <w:t>: 67335153; fakss 67335130</w:t>
      </w:r>
      <w:r w:rsidRPr="00CB6683">
        <w:rPr>
          <w:sz w:val="24"/>
          <w:szCs w:val="24"/>
        </w:rPr>
        <w:tab/>
      </w:r>
    </w:p>
    <w:sectPr w:rsidR="00E06153" w:rsidRPr="00CB6683" w:rsidSect="00CB6683">
      <w:headerReference w:type="default" r:id="rId9"/>
      <w:footerReference w:type="default" r:id="rId10"/>
      <w:footerReference w:type="first" r:id="rId11"/>
      <w:pgSz w:w="11906" w:h="16838"/>
      <w:pgMar w:top="1372" w:right="1797" w:bottom="1440" w:left="1797" w:header="709" w:footer="6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3C" w:rsidRDefault="00986E3C" w:rsidP="00986E3C">
      <w:pPr>
        <w:spacing w:after="0" w:line="240" w:lineRule="auto"/>
      </w:pPr>
      <w:r>
        <w:separator/>
      </w:r>
    </w:p>
  </w:endnote>
  <w:endnote w:type="continuationSeparator" w:id="0">
    <w:p w:rsidR="00986E3C" w:rsidRDefault="00986E3C" w:rsidP="0098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F8" w:rsidRPr="000F63F8" w:rsidRDefault="00A21008" w:rsidP="00434413">
    <w:pPr>
      <w:pStyle w:val="Footer"/>
      <w:tabs>
        <w:tab w:val="clear" w:pos="8306"/>
        <w:tab w:val="right" w:pos="9214"/>
      </w:tabs>
      <w:ind w:right="-902"/>
      <w:jc w:val="both"/>
      <w:rPr>
        <w:rFonts w:ascii="Times New Roman" w:hAnsi="Times New Roman" w:cs="Times New Roman"/>
        <w:sz w:val="20"/>
        <w:szCs w:val="20"/>
      </w:rPr>
    </w:pPr>
    <w:r>
      <w:rPr>
        <w:rFonts w:ascii="Times New Roman" w:hAnsi="Times New Roman" w:cs="Times New Roman"/>
        <w:sz w:val="20"/>
        <w:szCs w:val="20"/>
      </w:rPr>
      <w:t>AI</w:t>
    </w:r>
    <w:r w:rsidR="000F63F8" w:rsidRPr="000F63F8">
      <w:rPr>
        <w:rFonts w:ascii="Times New Roman" w:hAnsi="Times New Roman" w:cs="Times New Roman"/>
        <w:sz w:val="20"/>
        <w:szCs w:val="20"/>
      </w:rPr>
      <w:t>Manot_</w:t>
    </w:r>
    <w:r w:rsidR="00880EFB">
      <w:rPr>
        <w:rFonts w:ascii="Times New Roman" w:hAnsi="Times New Roman" w:cs="Times New Roman"/>
        <w:sz w:val="20"/>
        <w:szCs w:val="20"/>
      </w:rPr>
      <w:t>0202</w:t>
    </w:r>
    <w:r w:rsidR="002F0447" w:rsidRPr="000F63F8">
      <w:rPr>
        <w:rFonts w:ascii="Times New Roman" w:hAnsi="Times New Roman" w:cs="Times New Roman"/>
        <w:sz w:val="20"/>
        <w:szCs w:val="20"/>
      </w:rPr>
      <w:t>1</w:t>
    </w:r>
    <w:r w:rsidR="002F0447">
      <w:rPr>
        <w:rFonts w:ascii="Times New Roman" w:hAnsi="Times New Roman" w:cs="Times New Roman"/>
        <w:sz w:val="20"/>
        <w:szCs w:val="20"/>
      </w:rPr>
      <w:t>5</w:t>
    </w:r>
    <w:r w:rsidR="000F63F8" w:rsidRPr="000F63F8">
      <w:rPr>
        <w:rFonts w:ascii="Times New Roman" w:hAnsi="Times New Roman" w:cs="Times New Roman"/>
        <w:sz w:val="20"/>
        <w:szCs w:val="20"/>
      </w:rPr>
      <w:t>_</w:t>
    </w:r>
    <w:r w:rsidR="00443B27">
      <w:rPr>
        <w:rFonts w:ascii="Times New Roman" w:hAnsi="Times New Roman" w:cs="Times New Roman"/>
        <w:sz w:val="20"/>
        <w:szCs w:val="20"/>
      </w:rPr>
      <w:t>UVA</w:t>
    </w:r>
    <w:r w:rsidR="000F63F8" w:rsidRPr="000F63F8">
      <w:rPr>
        <w:rFonts w:ascii="Times New Roman" w:hAnsi="Times New Roman" w:cs="Times New Roman"/>
        <w:sz w:val="20"/>
        <w:szCs w:val="20"/>
      </w:rPr>
      <w:t xml:space="preserve">; Ministru kabineta </w:t>
    </w:r>
    <w:r w:rsidR="004F62EA">
      <w:rPr>
        <w:rFonts w:ascii="Times New Roman" w:hAnsi="Times New Roman" w:cs="Times New Roman"/>
        <w:sz w:val="20"/>
        <w:szCs w:val="20"/>
      </w:rPr>
      <w:t>instrukcijas „</w:t>
    </w:r>
    <w:r w:rsidR="000F63F8" w:rsidRPr="000F63F8">
      <w:rPr>
        <w:rFonts w:ascii="Times New Roman" w:hAnsi="Times New Roman" w:cs="Times New Roman"/>
        <w:sz w:val="20"/>
        <w:szCs w:val="20"/>
      </w:rPr>
      <w:t xml:space="preserve">Par </w:t>
    </w:r>
    <w:r w:rsidR="00CC48FD">
      <w:rPr>
        <w:rFonts w:ascii="Times New Roman" w:hAnsi="Times New Roman" w:cs="Times New Roman"/>
        <w:sz w:val="20"/>
        <w:szCs w:val="20"/>
      </w:rPr>
      <w:t>u</w:t>
    </w:r>
    <w:r w:rsidR="004F62EA">
      <w:rPr>
        <w:rFonts w:ascii="Times New Roman" w:hAnsi="Times New Roman" w:cs="Times New Roman"/>
        <w:sz w:val="20"/>
        <w:szCs w:val="20"/>
      </w:rPr>
      <w:t xml:space="preserve">zņemošās valsts atbalsta </w:t>
    </w:r>
    <w:r w:rsidR="002F0447">
      <w:rPr>
        <w:rFonts w:ascii="Times New Roman" w:hAnsi="Times New Roman" w:cs="Times New Roman"/>
        <w:sz w:val="20"/>
        <w:szCs w:val="20"/>
      </w:rPr>
      <w:t>nodrošināšanu</w:t>
    </w:r>
    <w:r w:rsidR="000F63F8" w:rsidRPr="000F63F8">
      <w:rPr>
        <w:rFonts w:ascii="Times New Roman" w:hAnsi="Times New Roman" w:cs="Times New Roman"/>
        <w:sz w:val="20"/>
        <w:szCs w:val="20"/>
      </w:rPr>
      <w:t>” projekts</w:t>
    </w:r>
    <w:r w:rsidR="004F62EA">
      <w:rPr>
        <w:rFonts w:ascii="Times New Roman" w:hAnsi="Times New Roman" w:cs="Times New Roman"/>
        <w:sz w:val="20"/>
        <w:szCs w:val="20"/>
      </w:rPr>
      <w:t>.</w:t>
    </w:r>
  </w:p>
  <w:p w:rsidR="00434413" w:rsidRPr="00E02C53" w:rsidRDefault="00434413" w:rsidP="00434413">
    <w:pPr>
      <w:pStyle w:val="Footer"/>
      <w:jc w:val="center"/>
      <w:rPr>
        <w:rFonts w:ascii="Times New Roman" w:hAnsi="Times New Roman" w:cs="Times New Roman"/>
        <w:sz w:val="24"/>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EA" w:rsidRPr="000F63F8" w:rsidRDefault="00A21008" w:rsidP="004F62EA">
    <w:pPr>
      <w:pStyle w:val="Footer"/>
      <w:tabs>
        <w:tab w:val="clear" w:pos="8306"/>
        <w:tab w:val="right" w:pos="9214"/>
      </w:tabs>
      <w:ind w:right="-902"/>
      <w:jc w:val="both"/>
      <w:rPr>
        <w:rFonts w:ascii="Times New Roman" w:hAnsi="Times New Roman" w:cs="Times New Roman"/>
        <w:sz w:val="20"/>
        <w:szCs w:val="20"/>
      </w:rPr>
    </w:pPr>
    <w:r>
      <w:rPr>
        <w:rFonts w:ascii="Times New Roman" w:hAnsi="Times New Roman" w:cs="Times New Roman"/>
        <w:sz w:val="20"/>
        <w:szCs w:val="20"/>
      </w:rPr>
      <w:t>AI</w:t>
    </w:r>
    <w:r w:rsidR="004F62EA" w:rsidRPr="000F63F8">
      <w:rPr>
        <w:rFonts w:ascii="Times New Roman" w:hAnsi="Times New Roman" w:cs="Times New Roman"/>
        <w:sz w:val="20"/>
        <w:szCs w:val="20"/>
      </w:rPr>
      <w:t>Manot_</w:t>
    </w:r>
    <w:r w:rsidR="00880EFB">
      <w:rPr>
        <w:rFonts w:ascii="Times New Roman" w:hAnsi="Times New Roman" w:cs="Times New Roman"/>
        <w:sz w:val="20"/>
        <w:szCs w:val="20"/>
      </w:rPr>
      <w:t>02</w:t>
    </w:r>
    <w:r w:rsidR="002F0447">
      <w:rPr>
        <w:rFonts w:ascii="Times New Roman" w:hAnsi="Times New Roman" w:cs="Times New Roman"/>
        <w:sz w:val="20"/>
        <w:szCs w:val="20"/>
      </w:rPr>
      <w:t>0</w:t>
    </w:r>
    <w:r w:rsidR="00880EFB">
      <w:rPr>
        <w:rFonts w:ascii="Times New Roman" w:hAnsi="Times New Roman" w:cs="Times New Roman"/>
        <w:sz w:val="20"/>
        <w:szCs w:val="20"/>
      </w:rPr>
      <w:t>2</w:t>
    </w:r>
    <w:r w:rsidR="002F0447">
      <w:rPr>
        <w:rFonts w:ascii="Times New Roman" w:hAnsi="Times New Roman" w:cs="Times New Roman"/>
        <w:sz w:val="20"/>
        <w:szCs w:val="20"/>
      </w:rPr>
      <w:t>15</w:t>
    </w:r>
    <w:r w:rsidR="004F62EA" w:rsidRPr="000F63F8">
      <w:rPr>
        <w:rFonts w:ascii="Times New Roman" w:hAnsi="Times New Roman" w:cs="Times New Roman"/>
        <w:sz w:val="20"/>
        <w:szCs w:val="20"/>
      </w:rPr>
      <w:t>_</w:t>
    </w:r>
    <w:r w:rsidR="004F62EA">
      <w:rPr>
        <w:rFonts w:ascii="Times New Roman" w:hAnsi="Times New Roman" w:cs="Times New Roman"/>
        <w:sz w:val="20"/>
        <w:szCs w:val="20"/>
      </w:rPr>
      <w:t>UVA</w:t>
    </w:r>
    <w:r w:rsidR="004F62EA" w:rsidRPr="000F63F8">
      <w:rPr>
        <w:rFonts w:ascii="Times New Roman" w:hAnsi="Times New Roman" w:cs="Times New Roman"/>
        <w:sz w:val="20"/>
        <w:szCs w:val="20"/>
      </w:rPr>
      <w:t xml:space="preserve">; Ministru kabineta </w:t>
    </w:r>
    <w:r w:rsidR="004F62EA">
      <w:rPr>
        <w:rFonts w:ascii="Times New Roman" w:hAnsi="Times New Roman" w:cs="Times New Roman"/>
        <w:sz w:val="20"/>
        <w:szCs w:val="20"/>
      </w:rPr>
      <w:t>instrukcijas „</w:t>
    </w:r>
    <w:r w:rsidR="004F62EA" w:rsidRPr="000F63F8">
      <w:rPr>
        <w:rFonts w:ascii="Times New Roman" w:hAnsi="Times New Roman" w:cs="Times New Roman"/>
        <w:sz w:val="20"/>
        <w:szCs w:val="20"/>
      </w:rPr>
      <w:t xml:space="preserve">Par </w:t>
    </w:r>
    <w:r w:rsidR="004F62EA">
      <w:rPr>
        <w:rFonts w:ascii="Times New Roman" w:hAnsi="Times New Roman" w:cs="Times New Roman"/>
        <w:sz w:val="20"/>
        <w:szCs w:val="20"/>
      </w:rPr>
      <w:t xml:space="preserve">Uzņemošās valsts atbalsta </w:t>
    </w:r>
    <w:r w:rsidR="002F0447">
      <w:rPr>
        <w:rFonts w:ascii="Times New Roman" w:hAnsi="Times New Roman" w:cs="Times New Roman"/>
        <w:sz w:val="20"/>
        <w:szCs w:val="20"/>
      </w:rPr>
      <w:t>nodrošināšanu</w:t>
    </w:r>
    <w:r w:rsidR="004F62EA" w:rsidRPr="000F63F8">
      <w:rPr>
        <w:rFonts w:ascii="Times New Roman" w:hAnsi="Times New Roman" w:cs="Times New Roman"/>
        <w:sz w:val="20"/>
        <w:szCs w:val="20"/>
      </w:rPr>
      <w:t>” projekts</w:t>
    </w:r>
    <w:r w:rsidR="004F62EA">
      <w:rPr>
        <w:rFonts w:ascii="Times New Roman" w:hAnsi="Times New Roman" w:cs="Times New Roman"/>
        <w:sz w:val="20"/>
        <w:szCs w:val="20"/>
      </w:rPr>
      <w:t>.</w:t>
    </w:r>
  </w:p>
  <w:p w:rsidR="00434413" w:rsidRPr="00E02C53" w:rsidRDefault="00434413" w:rsidP="00434413">
    <w:pPr>
      <w:pStyle w:val="Footer"/>
      <w:jc w:val="center"/>
      <w:rPr>
        <w:rFonts w:ascii="Times New Roman" w:hAnsi="Times New Roman" w:cs="Times New Roman"/>
        <w:sz w:val="24"/>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3C" w:rsidRDefault="00986E3C" w:rsidP="00986E3C">
      <w:pPr>
        <w:spacing w:after="0" w:line="240" w:lineRule="auto"/>
      </w:pPr>
      <w:r>
        <w:separator/>
      </w:r>
    </w:p>
  </w:footnote>
  <w:footnote w:type="continuationSeparator" w:id="0">
    <w:p w:rsidR="00986E3C" w:rsidRDefault="00986E3C" w:rsidP="00986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029929"/>
      <w:docPartObj>
        <w:docPartGallery w:val="Page Numbers (Top of Page)"/>
        <w:docPartUnique/>
      </w:docPartObj>
    </w:sdtPr>
    <w:sdtEndPr>
      <w:rPr>
        <w:noProof/>
      </w:rPr>
    </w:sdtEndPr>
    <w:sdtContent>
      <w:p w:rsidR="00434413" w:rsidRDefault="00986E3C" w:rsidP="00434413">
        <w:pPr>
          <w:pStyle w:val="Footer"/>
          <w:jc w:val="center"/>
          <w:rPr>
            <w:rFonts w:ascii="Times New Roman" w:hAnsi="Times New Roman" w:cs="Times New Roman"/>
            <w:noProof/>
            <w:sz w:val="24"/>
            <w:szCs w:val="24"/>
          </w:rPr>
        </w:pPr>
        <w:r w:rsidRPr="00377DAA">
          <w:rPr>
            <w:rFonts w:ascii="Times New Roman" w:hAnsi="Times New Roman" w:cs="Times New Roman"/>
            <w:sz w:val="24"/>
            <w:szCs w:val="24"/>
          </w:rPr>
          <w:fldChar w:fldCharType="begin"/>
        </w:r>
        <w:r w:rsidRPr="00377DAA">
          <w:rPr>
            <w:rFonts w:ascii="Times New Roman" w:hAnsi="Times New Roman" w:cs="Times New Roman"/>
            <w:sz w:val="24"/>
            <w:szCs w:val="24"/>
          </w:rPr>
          <w:instrText xml:space="preserve"> PAGE   \* MERGEFORMAT </w:instrText>
        </w:r>
        <w:r w:rsidRPr="00377DAA">
          <w:rPr>
            <w:rFonts w:ascii="Times New Roman" w:hAnsi="Times New Roman" w:cs="Times New Roman"/>
            <w:sz w:val="24"/>
            <w:szCs w:val="24"/>
          </w:rPr>
          <w:fldChar w:fldCharType="separate"/>
        </w:r>
        <w:r w:rsidR="00844655">
          <w:rPr>
            <w:rFonts w:ascii="Times New Roman" w:hAnsi="Times New Roman" w:cs="Times New Roman"/>
            <w:noProof/>
            <w:sz w:val="24"/>
            <w:szCs w:val="24"/>
          </w:rPr>
          <w:t>3</w:t>
        </w:r>
        <w:r w:rsidRPr="00377DAA">
          <w:rPr>
            <w:rFonts w:ascii="Times New Roman" w:hAnsi="Times New Roman" w:cs="Times New Roman"/>
            <w:noProof/>
            <w:sz w:val="24"/>
            <w:szCs w:val="24"/>
          </w:rPr>
          <w:fldChar w:fldCharType="end"/>
        </w:r>
      </w:p>
      <w:p w:rsidR="00986E3C" w:rsidRDefault="00DF3260">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6F59"/>
    <w:multiLevelType w:val="hybridMultilevel"/>
    <w:tmpl w:val="8DA097D8"/>
    <w:lvl w:ilvl="0" w:tplc="936AF048">
      <w:start w:val="1"/>
      <w:numFmt w:val="decimal"/>
      <w:lvlText w:val="2.%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nsid w:val="217549D6"/>
    <w:multiLevelType w:val="hybridMultilevel"/>
    <w:tmpl w:val="0B88C798"/>
    <w:lvl w:ilvl="0" w:tplc="B6963B5E">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AB4750"/>
    <w:multiLevelType w:val="hybridMultilevel"/>
    <w:tmpl w:val="1F16E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FC1C54"/>
    <w:multiLevelType w:val="hybridMultilevel"/>
    <w:tmpl w:val="024EC61E"/>
    <w:lvl w:ilvl="0" w:tplc="BAD03FD2">
      <w:start w:val="1"/>
      <w:numFmt w:val="decimal"/>
      <w:lvlText w:val="5.%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nsid w:val="45841B75"/>
    <w:multiLevelType w:val="hybridMultilevel"/>
    <w:tmpl w:val="FB66353A"/>
    <w:lvl w:ilvl="0" w:tplc="0426000F">
      <w:start w:val="1"/>
      <w:numFmt w:val="decimal"/>
      <w:lvlText w:val="%1."/>
      <w:lvlJc w:val="left"/>
      <w:pPr>
        <w:ind w:left="859" w:hanging="360"/>
      </w:p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5">
    <w:nsid w:val="47AC551F"/>
    <w:multiLevelType w:val="hybridMultilevel"/>
    <w:tmpl w:val="B4B632FA"/>
    <w:lvl w:ilvl="0" w:tplc="936AF048">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513A14"/>
    <w:multiLevelType w:val="hybridMultilevel"/>
    <w:tmpl w:val="8F8694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2D533B7"/>
    <w:multiLevelType w:val="hybridMultilevel"/>
    <w:tmpl w:val="3ED49AC0"/>
    <w:lvl w:ilvl="0" w:tplc="0426000F">
      <w:start w:val="1"/>
      <w:numFmt w:val="decimal"/>
      <w:lvlText w:val="%1."/>
      <w:lvlJc w:val="left"/>
      <w:pPr>
        <w:ind w:left="1370" w:hanging="360"/>
      </w:pPr>
    </w:lvl>
    <w:lvl w:ilvl="1" w:tplc="04260019" w:tentative="1">
      <w:start w:val="1"/>
      <w:numFmt w:val="lowerLetter"/>
      <w:lvlText w:val="%2."/>
      <w:lvlJc w:val="left"/>
      <w:pPr>
        <w:ind w:left="2090" w:hanging="360"/>
      </w:pPr>
    </w:lvl>
    <w:lvl w:ilvl="2" w:tplc="0426001B" w:tentative="1">
      <w:start w:val="1"/>
      <w:numFmt w:val="lowerRoman"/>
      <w:lvlText w:val="%3."/>
      <w:lvlJc w:val="right"/>
      <w:pPr>
        <w:ind w:left="2810" w:hanging="180"/>
      </w:pPr>
    </w:lvl>
    <w:lvl w:ilvl="3" w:tplc="0426000F" w:tentative="1">
      <w:start w:val="1"/>
      <w:numFmt w:val="decimal"/>
      <w:lvlText w:val="%4."/>
      <w:lvlJc w:val="left"/>
      <w:pPr>
        <w:ind w:left="3530" w:hanging="360"/>
      </w:pPr>
    </w:lvl>
    <w:lvl w:ilvl="4" w:tplc="04260019" w:tentative="1">
      <w:start w:val="1"/>
      <w:numFmt w:val="lowerLetter"/>
      <w:lvlText w:val="%5."/>
      <w:lvlJc w:val="left"/>
      <w:pPr>
        <w:ind w:left="4250" w:hanging="360"/>
      </w:pPr>
    </w:lvl>
    <w:lvl w:ilvl="5" w:tplc="0426001B" w:tentative="1">
      <w:start w:val="1"/>
      <w:numFmt w:val="lowerRoman"/>
      <w:lvlText w:val="%6."/>
      <w:lvlJc w:val="right"/>
      <w:pPr>
        <w:ind w:left="4970" w:hanging="180"/>
      </w:pPr>
    </w:lvl>
    <w:lvl w:ilvl="6" w:tplc="0426000F" w:tentative="1">
      <w:start w:val="1"/>
      <w:numFmt w:val="decimal"/>
      <w:lvlText w:val="%7."/>
      <w:lvlJc w:val="left"/>
      <w:pPr>
        <w:ind w:left="5690" w:hanging="360"/>
      </w:pPr>
    </w:lvl>
    <w:lvl w:ilvl="7" w:tplc="04260019" w:tentative="1">
      <w:start w:val="1"/>
      <w:numFmt w:val="lowerLetter"/>
      <w:lvlText w:val="%8."/>
      <w:lvlJc w:val="left"/>
      <w:pPr>
        <w:ind w:left="6410" w:hanging="360"/>
      </w:pPr>
    </w:lvl>
    <w:lvl w:ilvl="8" w:tplc="0426001B" w:tentative="1">
      <w:start w:val="1"/>
      <w:numFmt w:val="lowerRoman"/>
      <w:lvlText w:val="%9."/>
      <w:lvlJc w:val="right"/>
      <w:pPr>
        <w:ind w:left="7130" w:hanging="180"/>
      </w:pPr>
    </w:lvl>
  </w:abstractNum>
  <w:abstractNum w:abstractNumId="8">
    <w:nsid w:val="768E7D0D"/>
    <w:multiLevelType w:val="hybridMultilevel"/>
    <w:tmpl w:val="A872A4E6"/>
    <w:lvl w:ilvl="0" w:tplc="4A783BAC">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C6A46EE"/>
    <w:multiLevelType w:val="hybridMultilevel"/>
    <w:tmpl w:val="E548AC2A"/>
    <w:lvl w:ilvl="0" w:tplc="4EA8D9E4">
      <w:start w:val="1"/>
      <w:numFmt w:val="decimal"/>
      <w:lvlText w:val="6.%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6"/>
  </w:num>
  <w:num w:numId="2">
    <w:abstractNumId w:val="4"/>
  </w:num>
  <w:num w:numId="3">
    <w:abstractNumId w:val="8"/>
  </w:num>
  <w:num w:numId="4">
    <w:abstractNumId w:val="5"/>
  </w:num>
  <w:num w:numId="5">
    <w:abstractNumId w:val="0"/>
  </w:num>
  <w:num w:numId="6">
    <w:abstractNumId w:val="1"/>
  </w:num>
  <w:num w:numId="7">
    <w:abstractNumId w:val="3"/>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53"/>
    <w:rsid w:val="00003D3E"/>
    <w:rsid w:val="00004805"/>
    <w:rsid w:val="00004D0F"/>
    <w:rsid w:val="00017FCA"/>
    <w:rsid w:val="00026F32"/>
    <w:rsid w:val="00036348"/>
    <w:rsid w:val="00050A61"/>
    <w:rsid w:val="00056FEA"/>
    <w:rsid w:val="00081069"/>
    <w:rsid w:val="00091CA0"/>
    <w:rsid w:val="000B2C8C"/>
    <w:rsid w:val="000C2355"/>
    <w:rsid w:val="000D029B"/>
    <w:rsid w:val="000D306C"/>
    <w:rsid w:val="000F52A8"/>
    <w:rsid w:val="000F63F8"/>
    <w:rsid w:val="00107864"/>
    <w:rsid w:val="00124872"/>
    <w:rsid w:val="00130468"/>
    <w:rsid w:val="00137DD2"/>
    <w:rsid w:val="00166076"/>
    <w:rsid w:val="001809C8"/>
    <w:rsid w:val="001E36C5"/>
    <w:rsid w:val="001E5264"/>
    <w:rsid w:val="00224303"/>
    <w:rsid w:val="00251AE8"/>
    <w:rsid w:val="00266DC9"/>
    <w:rsid w:val="00295272"/>
    <w:rsid w:val="002B1C2C"/>
    <w:rsid w:val="002B2B20"/>
    <w:rsid w:val="002B74CB"/>
    <w:rsid w:val="002C2290"/>
    <w:rsid w:val="002D2B6C"/>
    <w:rsid w:val="002E70FD"/>
    <w:rsid w:val="002F0447"/>
    <w:rsid w:val="002F3EB9"/>
    <w:rsid w:val="0031128F"/>
    <w:rsid w:val="00323ABA"/>
    <w:rsid w:val="0033312B"/>
    <w:rsid w:val="00334A18"/>
    <w:rsid w:val="00352389"/>
    <w:rsid w:val="00352829"/>
    <w:rsid w:val="00355942"/>
    <w:rsid w:val="003600EF"/>
    <w:rsid w:val="0037171E"/>
    <w:rsid w:val="00377DAA"/>
    <w:rsid w:val="00387013"/>
    <w:rsid w:val="003A4EA9"/>
    <w:rsid w:val="003B4A6C"/>
    <w:rsid w:val="003D795A"/>
    <w:rsid w:val="003E6CD0"/>
    <w:rsid w:val="003E7B02"/>
    <w:rsid w:val="003F5AAD"/>
    <w:rsid w:val="00402CF5"/>
    <w:rsid w:val="00424F5E"/>
    <w:rsid w:val="00433F0F"/>
    <w:rsid w:val="00434413"/>
    <w:rsid w:val="00435B28"/>
    <w:rsid w:val="00443B27"/>
    <w:rsid w:val="0046189E"/>
    <w:rsid w:val="00472E97"/>
    <w:rsid w:val="004D1DA4"/>
    <w:rsid w:val="004E039E"/>
    <w:rsid w:val="004E1200"/>
    <w:rsid w:val="004F35C0"/>
    <w:rsid w:val="004F3D19"/>
    <w:rsid w:val="004F62EA"/>
    <w:rsid w:val="00506A39"/>
    <w:rsid w:val="00513C54"/>
    <w:rsid w:val="00517323"/>
    <w:rsid w:val="0054426A"/>
    <w:rsid w:val="00561F05"/>
    <w:rsid w:val="00596A36"/>
    <w:rsid w:val="00596EC7"/>
    <w:rsid w:val="005971A3"/>
    <w:rsid w:val="005A4C3B"/>
    <w:rsid w:val="005B7720"/>
    <w:rsid w:val="005C5358"/>
    <w:rsid w:val="005C7A73"/>
    <w:rsid w:val="005E3081"/>
    <w:rsid w:val="00607EC3"/>
    <w:rsid w:val="00616E73"/>
    <w:rsid w:val="00617505"/>
    <w:rsid w:val="00650D07"/>
    <w:rsid w:val="00666B38"/>
    <w:rsid w:val="0067292E"/>
    <w:rsid w:val="006919C6"/>
    <w:rsid w:val="006B418F"/>
    <w:rsid w:val="006C576B"/>
    <w:rsid w:val="006D02C3"/>
    <w:rsid w:val="006D05DE"/>
    <w:rsid w:val="006E1EC2"/>
    <w:rsid w:val="00707786"/>
    <w:rsid w:val="007315B6"/>
    <w:rsid w:val="00752D32"/>
    <w:rsid w:val="0076472E"/>
    <w:rsid w:val="0076526E"/>
    <w:rsid w:val="00765EEF"/>
    <w:rsid w:val="0077125F"/>
    <w:rsid w:val="00772458"/>
    <w:rsid w:val="00777905"/>
    <w:rsid w:val="007A0D19"/>
    <w:rsid w:val="007A6F7B"/>
    <w:rsid w:val="007B7E38"/>
    <w:rsid w:val="007C1DD7"/>
    <w:rsid w:val="007D22F7"/>
    <w:rsid w:val="007D2FAA"/>
    <w:rsid w:val="007F025F"/>
    <w:rsid w:val="00844655"/>
    <w:rsid w:val="00845962"/>
    <w:rsid w:val="008502A1"/>
    <w:rsid w:val="008621E8"/>
    <w:rsid w:val="008625AE"/>
    <w:rsid w:val="00874B7F"/>
    <w:rsid w:val="00880EFB"/>
    <w:rsid w:val="00887649"/>
    <w:rsid w:val="00887D67"/>
    <w:rsid w:val="008963E0"/>
    <w:rsid w:val="00896CC0"/>
    <w:rsid w:val="008A72E4"/>
    <w:rsid w:val="008D5299"/>
    <w:rsid w:val="008F1A54"/>
    <w:rsid w:val="00906A3E"/>
    <w:rsid w:val="00913A57"/>
    <w:rsid w:val="00983691"/>
    <w:rsid w:val="00986E3C"/>
    <w:rsid w:val="009A51D2"/>
    <w:rsid w:val="009C0CE6"/>
    <w:rsid w:val="009D1089"/>
    <w:rsid w:val="00A1044A"/>
    <w:rsid w:val="00A120C2"/>
    <w:rsid w:val="00A21008"/>
    <w:rsid w:val="00A210FD"/>
    <w:rsid w:val="00A75413"/>
    <w:rsid w:val="00A83CB3"/>
    <w:rsid w:val="00AD6969"/>
    <w:rsid w:val="00B2572D"/>
    <w:rsid w:val="00B51DB3"/>
    <w:rsid w:val="00B53BE9"/>
    <w:rsid w:val="00B7008C"/>
    <w:rsid w:val="00B835D1"/>
    <w:rsid w:val="00B8783B"/>
    <w:rsid w:val="00BA4FB9"/>
    <w:rsid w:val="00BC3E64"/>
    <w:rsid w:val="00BD4327"/>
    <w:rsid w:val="00BE7337"/>
    <w:rsid w:val="00BF202D"/>
    <w:rsid w:val="00C02244"/>
    <w:rsid w:val="00C06F7C"/>
    <w:rsid w:val="00C15E0F"/>
    <w:rsid w:val="00C270EF"/>
    <w:rsid w:val="00C376DF"/>
    <w:rsid w:val="00C424A6"/>
    <w:rsid w:val="00C471E7"/>
    <w:rsid w:val="00C47F83"/>
    <w:rsid w:val="00C503DF"/>
    <w:rsid w:val="00C623C5"/>
    <w:rsid w:val="00C85AF8"/>
    <w:rsid w:val="00C96D6E"/>
    <w:rsid w:val="00CA7208"/>
    <w:rsid w:val="00CB6683"/>
    <w:rsid w:val="00CB6A15"/>
    <w:rsid w:val="00CC48FD"/>
    <w:rsid w:val="00CD5430"/>
    <w:rsid w:val="00CE2077"/>
    <w:rsid w:val="00CE4926"/>
    <w:rsid w:val="00D047FD"/>
    <w:rsid w:val="00D23D11"/>
    <w:rsid w:val="00D2542E"/>
    <w:rsid w:val="00D47D4A"/>
    <w:rsid w:val="00D52473"/>
    <w:rsid w:val="00D60479"/>
    <w:rsid w:val="00D77DCB"/>
    <w:rsid w:val="00D82B91"/>
    <w:rsid w:val="00D854A1"/>
    <w:rsid w:val="00D97129"/>
    <w:rsid w:val="00DB1988"/>
    <w:rsid w:val="00DB7DD0"/>
    <w:rsid w:val="00DC25DA"/>
    <w:rsid w:val="00DD6931"/>
    <w:rsid w:val="00E02C53"/>
    <w:rsid w:val="00E06153"/>
    <w:rsid w:val="00E23C46"/>
    <w:rsid w:val="00E3539A"/>
    <w:rsid w:val="00E55AFB"/>
    <w:rsid w:val="00E637C7"/>
    <w:rsid w:val="00E66A6B"/>
    <w:rsid w:val="00E838FE"/>
    <w:rsid w:val="00E97103"/>
    <w:rsid w:val="00EC7511"/>
    <w:rsid w:val="00EE3C3B"/>
    <w:rsid w:val="00EE423A"/>
    <w:rsid w:val="00F23235"/>
    <w:rsid w:val="00F60ACC"/>
    <w:rsid w:val="00F82DC4"/>
    <w:rsid w:val="00F93464"/>
    <w:rsid w:val="00FA36AD"/>
    <w:rsid w:val="00FB249D"/>
    <w:rsid w:val="00FC1B16"/>
    <w:rsid w:val="00FC3B8F"/>
    <w:rsid w:val="00FC4A70"/>
    <w:rsid w:val="00FE0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153"/>
    <w:pPr>
      <w:spacing w:after="0" w:line="240" w:lineRule="auto"/>
    </w:pPr>
  </w:style>
  <w:style w:type="paragraph" w:styleId="Header">
    <w:name w:val="header"/>
    <w:basedOn w:val="Normal"/>
    <w:link w:val="HeaderChar"/>
    <w:unhideWhenUsed/>
    <w:rsid w:val="00986E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E3C"/>
  </w:style>
  <w:style w:type="paragraph" w:styleId="Footer">
    <w:name w:val="footer"/>
    <w:basedOn w:val="Normal"/>
    <w:link w:val="FooterChar"/>
    <w:uiPriority w:val="99"/>
    <w:unhideWhenUsed/>
    <w:rsid w:val="00986E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E3C"/>
  </w:style>
  <w:style w:type="paragraph" w:styleId="FootnoteText">
    <w:name w:val="footnote text"/>
    <w:basedOn w:val="Normal"/>
    <w:link w:val="FootnoteTextChar"/>
    <w:rsid w:val="00607EC3"/>
    <w:pPr>
      <w:spacing w:after="0" w:line="240" w:lineRule="auto"/>
    </w:pPr>
    <w:rPr>
      <w:rFonts w:ascii="Times New Roman" w:eastAsia="Times New Roman" w:hAnsi="Times New Roman" w:cs="Arial Unicode MS"/>
      <w:sz w:val="20"/>
      <w:szCs w:val="20"/>
      <w:lang w:bidi="lo-LA"/>
    </w:rPr>
  </w:style>
  <w:style w:type="character" w:customStyle="1" w:styleId="FootnoteTextChar">
    <w:name w:val="Footnote Text Char"/>
    <w:basedOn w:val="DefaultParagraphFont"/>
    <w:link w:val="FootnoteText"/>
    <w:rsid w:val="00607EC3"/>
    <w:rPr>
      <w:rFonts w:ascii="Times New Roman" w:eastAsia="Times New Roman" w:hAnsi="Times New Roman" w:cs="Arial Unicode MS"/>
      <w:sz w:val="20"/>
      <w:szCs w:val="20"/>
      <w:lang w:bidi="lo-LA"/>
    </w:rPr>
  </w:style>
  <w:style w:type="character" w:styleId="FootnoteReference">
    <w:name w:val="footnote reference"/>
    <w:basedOn w:val="DefaultParagraphFont"/>
    <w:rsid w:val="00607EC3"/>
    <w:rPr>
      <w:vertAlign w:val="superscript"/>
    </w:rPr>
  </w:style>
  <w:style w:type="paragraph" w:styleId="BalloonText">
    <w:name w:val="Balloon Text"/>
    <w:basedOn w:val="Normal"/>
    <w:link w:val="BalloonTextChar"/>
    <w:uiPriority w:val="99"/>
    <w:semiHidden/>
    <w:unhideWhenUsed/>
    <w:rsid w:val="000F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F8"/>
    <w:rPr>
      <w:rFonts w:ascii="Tahoma" w:hAnsi="Tahoma" w:cs="Tahoma"/>
      <w:sz w:val="16"/>
      <w:szCs w:val="16"/>
    </w:rPr>
  </w:style>
  <w:style w:type="character" w:styleId="CommentReference">
    <w:name w:val="annotation reference"/>
    <w:basedOn w:val="DefaultParagraphFont"/>
    <w:uiPriority w:val="99"/>
    <w:semiHidden/>
    <w:unhideWhenUsed/>
    <w:rsid w:val="00FC4A70"/>
    <w:rPr>
      <w:sz w:val="16"/>
      <w:szCs w:val="16"/>
    </w:rPr>
  </w:style>
  <w:style w:type="paragraph" w:styleId="CommentText">
    <w:name w:val="annotation text"/>
    <w:basedOn w:val="Normal"/>
    <w:link w:val="CommentTextChar"/>
    <w:uiPriority w:val="99"/>
    <w:semiHidden/>
    <w:unhideWhenUsed/>
    <w:rsid w:val="00FC4A70"/>
    <w:pPr>
      <w:spacing w:line="240" w:lineRule="auto"/>
    </w:pPr>
    <w:rPr>
      <w:sz w:val="20"/>
      <w:szCs w:val="20"/>
    </w:rPr>
  </w:style>
  <w:style w:type="character" w:customStyle="1" w:styleId="CommentTextChar">
    <w:name w:val="Comment Text Char"/>
    <w:basedOn w:val="DefaultParagraphFont"/>
    <w:link w:val="CommentText"/>
    <w:uiPriority w:val="99"/>
    <w:semiHidden/>
    <w:rsid w:val="00FC4A70"/>
    <w:rPr>
      <w:sz w:val="20"/>
      <w:szCs w:val="20"/>
    </w:rPr>
  </w:style>
  <w:style w:type="paragraph" w:styleId="CommentSubject">
    <w:name w:val="annotation subject"/>
    <w:basedOn w:val="CommentText"/>
    <w:next w:val="CommentText"/>
    <w:link w:val="CommentSubjectChar"/>
    <w:uiPriority w:val="99"/>
    <w:semiHidden/>
    <w:unhideWhenUsed/>
    <w:rsid w:val="00FC4A70"/>
    <w:rPr>
      <w:b/>
      <w:bCs/>
    </w:rPr>
  </w:style>
  <w:style w:type="character" w:customStyle="1" w:styleId="CommentSubjectChar">
    <w:name w:val="Comment Subject Char"/>
    <w:basedOn w:val="CommentTextChar"/>
    <w:link w:val="CommentSubject"/>
    <w:uiPriority w:val="99"/>
    <w:semiHidden/>
    <w:rsid w:val="00FC4A70"/>
    <w:rPr>
      <w:b/>
      <w:bCs/>
      <w:sz w:val="20"/>
      <w:szCs w:val="20"/>
    </w:rPr>
  </w:style>
  <w:style w:type="paragraph" w:customStyle="1" w:styleId="naisf">
    <w:name w:val="naisf"/>
    <w:basedOn w:val="Normal"/>
    <w:rsid w:val="008625AE"/>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153"/>
    <w:pPr>
      <w:spacing w:after="0" w:line="240" w:lineRule="auto"/>
    </w:pPr>
  </w:style>
  <w:style w:type="paragraph" w:styleId="Header">
    <w:name w:val="header"/>
    <w:basedOn w:val="Normal"/>
    <w:link w:val="HeaderChar"/>
    <w:unhideWhenUsed/>
    <w:rsid w:val="00986E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E3C"/>
  </w:style>
  <w:style w:type="paragraph" w:styleId="Footer">
    <w:name w:val="footer"/>
    <w:basedOn w:val="Normal"/>
    <w:link w:val="FooterChar"/>
    <w:uiPriority w:val="99"/>
    <w:unhideWhenUsed/>
    <w:rsid w:val="00986E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E3C"/>
  </w:style>
  <w:style w:type="paragraph" w:styleId="FootnoteText">
    <w:name w:val="footnote text"/>
    <w:basedOn w:val="Normal"/>
    <w:link w:val="FootnoteTextChar"/>
    <w:rsid w:val="00607EC3"/>
    <w:pPr>
      <w:spacing w:after="0" w:line="240" w:lineRule="auto"/>
    </w:pPr>
    <w:rPr>
      <w:rFonts w:ascii="Times New Roman" w:eastAsia="Times New Roman" w:hAnsi="Times New Roman" w:cs="Arial Unicode MS"/>
      <w:sz w:val="20"/>
      <w:szCs w:val="20"/>
      <w:lang w:bidi="lo-LA"/>
    </w:rPr>
  </w:style>
  <w:style w:type="character" w:customStyle="1" w:styleId="FootnoteTextChar">
    <w:name w:val="Footnote Text Char"/>
    <w:basedOn w:val="DefaultParagraphFont"/>
    <w:link w:val="FootnoteText"/>
    <w:rsid w:val="00607EC3"/>
    <w:rPr>
      <w:rFonts w:ascii="Times New Roman" w:eastAsia="Times New Roman" w:hAnsi="Times New Roman" w:cs="Arial Unicode MS"/>
      <w:sz w:val="20"/>
      <w:szCs w:val="20"/>
      <w:lang w:bidi="lo-LA"/>
    </w:rPr>
  </w:style>
  <w:style w:type="character" w:styleId="FootnoteReference">
    <w:name w:val="footnote reference"/>
    <w:basedOn w:val="DefaultParagraphFont"/>
    <w:rsid w:val="00607EC3"/>
    <w:rPr>
      <w:vertAlign w:val="superscript"/>
    </w:rPr>
  </w:style>
  <w:style w:type="paragraph" w:styleId="BalloonText">
    <w:name w:val="Balloon Text"/>
    <w:basedOn w:val="Normal"/>
    <w:link w:val="BalloonTextChar"/>
    <w:uiPriority w:val="99"/>
    <w:semiHidden/>
    <w:unhideWhenUsed/>
    <w:rsid w:val="000F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F8"/>
    <w:rPr>
      <w:rFonts w:ascii="Tahoma" w:hAnsi="Tahoma" w:cs="Tahoma"/>
      <w:sz w:val="16"/>
      <w:szCs w:val="16"/>
    </w:rPr>
  </w:style>
  <w:style w:type="character" w:styleId="CommentReference">
    <w:name w:val="annotation reference"/>
    <w:basedOn w:val="DefaultParagraphFont"/>
    <w:uiPriority w:val="99"/>
    <w:semiHidden/>
    <w:unhideWhenUsed/>
    <w:rsid w:val="00FC4A70"/>
    <w:rPr>
      <w:sz w:val="16"/>
      <w:szCs w:val="16"/>
    </w:rPr>
  </w:style>
  <w:style w:type="paragraph" w:styleId="CommentText">
    <w:name w:val="annotation text"/>
    <w:basedOn w:val="Normal"/>
    <w:link w:val="CommentTextChar"/>
    <w:uiPriority w:val="99"/>
    <w:semiHidden/>
    <w:unhideWhenUsed/>
    <w:rsid w:val="00FC4A70"/>
    <w:pPr>
      <w:spacing w:line="240" w:lineRule="auto"/>
    </w:pPr>
    <w:rPr>
      <w:sz w:val="20"/>
      <w:szCs w:val="20"/>
    </w:rPr>
  </w:style>
  <w:style w:type="character" w:customStyle="1" w:styleId="CommentTextChar">
    <w:name w:val="Comment Text Char"/>
    <w:basedOn w:val="DefaultParagraphFont"/>
    <w:link w:val="CommentText"/>
    <w:uiPriority w:val="99"/>
    <w:semiHidden/>
    <w:rsid w:val="00FC4A70"/>
    <w:rPr>
      <w:sz w:val="20"/>
      <w:szCs w:val="20"/>
    </w:rPr>
  </w:style>
  <w:style w:type="paragraph" w:styleId="CommentSubject">
    <w:name w:val="annotation subject"/>
    <w:basedOn w:val="CommentText"/>
    <w:next w:val="CommentText"/>
    <w:link w:val="CommentSubjectChar"/>
    <w:uiPriority w:val="99"/>
    <w:semiHidden/>
    <w:unhideWhenUsed/>
    <w:rsid w:val="00FC4A70"/>
    <w:rPr>
      <w:b/>
      <w:bCs/>
    </w:rPr>
  </w:style>
  <w:style w:type="character" w:customStyle="1" w:styleId="CommentSubjectChar">
    <w:name w:val="Comment Subject Char"/>
    <w:basedOn w:val="CommentTextChar"/>
    <w:link w:val="CommentSubject"/>
    <w:uiPriority w:val="99"/>
    <w:semiHidden/>
    <w:rsid w:val="00FC4A70"/>
    <w:rPr>
      <w:b/>
      <w:bCs/>
      <w:sz w:val="20"/>
      <w:szCs w:val="20"/>
    </w:rPr>
  </w:style>
  <w:style w:type="paragraph" w:customStyle="1" w:styleId="naisf">
    <w:name w:val="naisf"/>
    <w:basedOn w:val="Normal"/>
    <w:rsid w:val="008625AE"/>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AAA6-4444-44E5-9A75-E7C7FF01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4110</Words>
  <Characters>2343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AiManot_291214_UVA</vt:lpstr>
    </vt:vector>
  </TitlesOfParts>
  <Manager>Krīzes vadības departaments</Manager>
  <Company>Aizsardzības ministrija</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AiManot_020215_UVA</dc:title>
  <dc:subject>Ministru kabineta instrukcijas projekta „ Par uzņemošās valsts atbalsta sniegšanu un tā koordināciju" sākotnējās ietekmes novērtējuma ziņojums</dc:subject>
  <dc:creator>Valdis Otzulis</dc:creator>
  <dc:description>Valdis.otzulis@mod.gov.lv_x000d_
Tālr: 67335153; fakss 67335130</dc:description>
  <cp:lastModifiedBy>Valdis Otzulis</cp:lastModifiedBy>
  <cp:revision>5</cp:revision>
  <cp:lastPrinted>2013-02-27T08:04:00Z</cp:lastPrinted>
  <dcterms:created xsi:type="dcterms:W3CDTF">2015-02-02T12:57:00Z</dcterms:created>
  <dcterms:modified xsi:type="dcterms:W3CDTF">2015-02-02T12:58:00Z</dcterms:modified>
</cp:coreProperties>
</file>