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43" w:rsidRDefault="00EF4F43" w:rsidP="00EF4F43">
      <w:pPr>
        <w:jc w:val="center"/>
        <w:rPr>
          <w:b/>
          <w:sz w:val="26"/>
          <w:szCs w:val="26"/>
        </w:rPr>
      </w:pPr>
      <w:r>
        <w:rPr>
          <w:b/>
          <w:sz w:val="26"/>
          <w:szCs w:val="26"/>
        </w:rPr>
        <w:t>Ministru kabineta rīkojuma „</w:t>
      </w:r>
      <w:r w:rsidR="001C3051" w:rsidRPr="003213FD">
        <w:rPr>
          <w:b/>
          <w:sz w:val="26"/>
          <w:szCs w:val="26"/>
          <w:lang w:eastAsia="en-US"/>
        </w:rPr>
        <w:t>Par finansējuma Latvijas prezidentūras Eiropas Savienības Padomē nodrošināšanai izlietojumu</w:t>
      </w:r>
      <w:r>
        <w:rPr>
          <w:rFonts w:eastAsia="SimSun"/>
          <w:b/>
          <w:bCs/>
          <w:kern w:val="2"/>
          <w:sz w:val="26"/>
          <w:szCs w:val="26"/>
          <w:lang w:eastAsia="ar-SA"/>
        </w:rPr>
        <w:t>” projekta</w:t>
      </w:r>
      <w:r>
        <w:rPr>
          <w:b/>
          <w:sz w:val="26"/>
          <w:szCs w:val="26"/>
        </w:rPr>
        <w:t xml:space="preserve"> sākotnējās ietekmes novērtējuma ziņojums (anotācija)</w:t>
      </w:r>
    </w:p>
    <w:p w:rsidR="0048563A" w:rsidRDefault="0048563A" w:rsidP="00EF4F43">
      <w:pPr>
        <w:jc w:val="center"/>
        <w:rPr>
          <w:rFonts w:eastAsia="SimSun"/>
          <w:b/>
          <w:bCs/>
          <w:kern w:val="2"/>
          <w:sz w:val="26"/>
          <w:szCs w:val="26"/>
          <w:lang w:eastAsia="ar-SA"/>
        </w:rPr>
      </w:pPr>
    </w:p>
    <w:tbl>
      <w:tblPr>
        <w:tblpPr w:leftFromText="180" w:rightFromText="180" w:bottomFromText="200" w:vertAnchor="text" w:horzAnchor="margin" w:tblpXSpec="center" w:tblpY="149"/>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9"/>
        <w:gridCol w:w="2847"/>
        <w:gridCol w:w="5836"/>
      </w:tblGrid>
      <w:tr w:rsidR="001E4925" w:rsidRPr="00150BFD" w:rsidTr="00E3648B">
        <w:trPr>
          <w:trHeight w:val="42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E4925" w:rsidRPr="00150BFD" w:rsidRDefault="001E4925" w:rsidP="000A1B23">
            <w:pPr>
              <w:pStyle w:val="naisnod"/>
              <w:spacing w:before="0" w:beforeAutospacing="0" w:after="0" w:afterAutospacing="0" w:line="276" w:lineRule="auto"/>
              <w:ind w:left="57" w:right="57"/>
              <w:jc w:val="center"/>
              <w:rPr>
                <w:b/>
                <w:sz w:val="26"/>
                <w:szCs w:val="26"/>
                <w:lang w:eastAsia="en-US"/>
              </w:rPr>
            </w:pPr>
            <w:r w:rsidRPr="00150BFD">
              <w:rPr>
                <w:b/>
                <w:sz w:val="26"/>
                <w:szCs w:val="26"/>
                <w:lang w:eastAsia="en-US"/>
              </w:rPr>
              <w:t>I. Tiesību akta projekta izstrādes nepieciešamība</w:t>
            </w:r>
          </w:p>
        </w:tc>
      </w:tr>
      <w:tr w:rsidR="001E4925" w:rsidRPr="00150BFD" w:rsidTr="00E3648B">
        <w:trPr>
          <w:trHeight w:val="423"/>
        </w:trPr>
        <w:tc>
          <w:tcPr>
            <w:tcW w:w="297" w:type="pct"/>
            <w:tcBorders>
              <w:top w:val="single" w:sz="4" w:space="0" w:color="auto"/>
              <w:left w:val="single" w:sz="4" w:space="0" w:color="auto"/>
              <w:bottom w:val="single" w:sz="4" w:space="0" w:color="auto"/>
              <w:right w:val="single" w:sz="4" w:space="0" w:color="auto"/>
            </w:tcBorders>
            <w:hideMark/>
          </w:tcPr>
          <w:p w:rsidR="001E4925" w:rsidRPr="00150BFD" w:rsidRDefault="001E4925" w:rsidP="0048563A">
            <w:pPr>
              <w:pStyle w:val="naiskr"/>
              <w:spacing w:before="60" w:beforeAutospacing="0" w:after="60" w:afterAutospacing="0"/>
              <w:ind w:left="57" w:right="57"/>
              <w:jc w:val="center"/>
              <w:rPr>
                <w:sz w:val="26"/>
                <w:szCs w:val="26"/>
                <w:lang w:eastAsia="en-US"/>
              </w:rPr>
            </w:pPr>
            <w:r w:rsidRPr="00150BFD">
              <w:rPr>
                <w:sz w:val="26"/>
                <w:szCs w:val="26"/>
                <w:lang w:eastAsia="en-US"/>
              </w:rPr>
              <w:t>1.</w:t>
            </w:r>
          </w:p>
        </w:tc>
        <w:tc>
          <w:tcPr>
            <w:tcW w:w="1542" w:type="pct"/>
            <w:tcBorders>
              <w:top w:val="single" w:sz="4" w:space="0" w:color="auto"/>
              <w:left w:val="single" w:sz="4" w:space="0" w:color="auto"/>
              <w:bottom w:val="single" w:sz="4" w:space="0" w:color="auto"/>
              <w:right w:val="single" w:sz="4" w:space="0" w:color="auto"/>
            </w:tcBorders>
            <w:hideMark/>
          </w:tcPr>
          <w:p w:rsidR="001E4925" w:rsidRPr="00150BFD" w:rsidRDefault="001E4925" w:rsidP="0048563A">
            <w:pPr>
              <w:pStyle w:val="naiskr"/>
              <w:spacing w:before="60" w:beforeAutospacing="0" w:after="60" w:afterAutospacing="0"/>
              <w:ind w:left="57" w:right="57"/>
              <w:jc w:val="both"/>
              <w:rPr>
                <w:sz w:val="26"/>
                <w:szCs w:val="26"/>
                <w:lang w:eastAsia="en-US"/>
              </w:rPr>
            </w:pPr>
            <w:r w:rsidRPr="00150BFD">
              <w:rPr>
                <w:sz w:val="26"/>
                <w:szCs w:val="26"/>
                <w:lang w:eastAsia="en-US"/>
              </w:rPr>
              <w:t>Pamatojums</w:t>
            </w:r>
          </w:p>
        </w:tc>
        <w:tc>
          <w:tcPr>
            <w:tcW w:w="3161" w:type="pct"/>
            <w:tcBorders>
              <w:top w:val="single" w:sz="4" w:space="0" w:color="auto"/>
              <w:left w:val="single" w:sz="4" w:space="0" w:color="auto"/>
              <w:bottom w:val="single" w:sz="4" w:space="0" w:color="auto"/>
              <w:right w:val="single" w:sz="4" w:space="0" w:color="auto"/>
            </w:tcBorders>
            <w:hideMark/>
          </w:tcPr>
          <w:p w:rsidR="001E4925" w:rsidRPr="00150BFD" w:rsidRDefault="00133848" w:rsidP="0014331E">
            <w:pPr>
              <w:spacing w:before="60" w:after="60"/>
              <w:ind w:left="11" w:right="57" w:firstLine="0"/>
              <w:jc w:val="both"/>
              <w:rPr>
                <w:sz w:val="26"/>
                <w:szCs w:val="26"/>
                <w:shd w:val="clear" w:color="auto" w:fill="FFFFFF"/>
                <w:lang w:eastAsia="en-US"/>
              </w:rPr>
            </w:pPr>
            <w:r w:rsidRPr="00281297">
              <w:rPr>
                <w:sz w:val="26"/>
                <w:szCs w:val="26"/>
              </w:rPr>
              <w:t>Ministru kabineta 2012.gada 17.janvāra noteikumu Nr.65 „Latvijas prezidentūras Eiropas Savienī</w:t>
            </w:r>
            <w:r>
              <w:rPr>
                <w:sz w:val="26"/>
                <w:szCs w:val="26"/>
              </w:rPr>
              <w:t>bas Padomē sekretariāta nolikum</w:t>
            </w:r>
            <w:r w:rsidR="002520EA">
              <w:rPr>
                <w:sz w:val="26"/>
                <w:szCs w:val="26"/>
              </w:rPr>
              <w:t>s</w:t>
            </w:r>
            <w:r w:rsidRPr="00281297">
              <w:rPr>
                <w:sz w:val="26"/>
                <w:szCs w:val="26"/>
              </w:rPr>
              <w:t>”</w:t>
            </w:r>
            <w:r>
              <w:rPr>
                <w:sz w:val="26"/>
                <w:szCs w:val="26"/>
              </w:rPr>
              <w:t xml:space="preserve"> </w:t>
            </w:r>
            <w:r w:rsidR="00E21395">
              <w:rPr>
                <w:sz w:val="26"/>
                <w:szCs w:val="26"/>
              </w:rPr>
              <w:t>5.4.</w:t>
            </w:r>
            <w:r>
              <w:rPr>
                <w:sz w:val="26"/>
                <w:szCs w:val="26"/>
              </w:rPr>
              <w:t>apakšpunkts</w:t>
            </w:r>
            <w:r w:rsidR="00304BAB">
              <w:rPr>
                <w:sz w:val="26"/>
                <w:szCs w:val="26"/>
              </w:rPr>
              <w:t>.</w:t>
            </w:r>
            <w:r>
              <w:rPr>
                <w:sz w:val="26"/>
                <w:szCs w:val="26"/>
              </w:rPr>
              <w:t xml:space="preserve"> </w:t>
            </w:r>
          </w:p>
        </w:tc>
      </w:tr>
      <w:tr w:rsidR="001E4925" w:rsidRPr="00BF48E2" w:rsidTr="00E3648B">
        <w:trPr>
          <w:trHeight w:val="481"/>
        </w:trPr>
        <w:tc>
          <w:tcPr>
            <w:tcW w:w="297" w:type="pct"/>
            <w:tcBorders>
              <w:top w:val="single" w:sz="4" w:space="0" w:color="auto"/>
              <w:left w:val="single" w:sz="4" w:space="0" w:color="auto"/>
              <w:bottom w:val="single" w:sz="4" w:space="0" w:color="auto"/>
              <w:right w:val="single" w:sz="4" w:space="0" w:color="auto"/>
            </w:tcBorders>
            <w:hideMark/>
          </w:tcPr>
          <w:p w:rsidR="001E4925" w:rsidRPr="00150BFD" w:rsidRDefault="001E4925" w:rsidP="0048563A">
            <w:pPr>
              <w:pStyle w:val="naiskr"/>
              <w:spacing w:before="60" w:beforeAutospacing="0" w:after="60" w:afterAutospacing="0"/>
              <w:ind w:left="57" w:right="57"/>
              <w:jc w:val="center"/>
              <w:rPr>
                <w:sz w:val="26"/>
                <w:szCs w:val="26"/>
                <w:lang w:eastAsia="en-US"/>
              </w:rPr>
            </w:pPr>
            <w:r w:rsidRPr="00150BFD">
              <w:rPr>
                <w:sz w:val="26"/>
                <w:szCs w:val="26"/>
                <w:lang w:eastAsia="en-US"/>
              </w:rPr>
              <w:t>2.</w:t>
            </w:r>
          </w:p>
        </w:tc>
        <w:tc>
          <w:tcPr>
            <w:tcW w:w="1542" w:type="pct"/>
            <w:tcBorders>
              <w:top w:val="single" w:sz="4" w:space="0" w:color="auto"/>
              <w:left w:val="single" w:sz="4" w:space="0" w:color="auto"/>
              <w:bottom w:val="single" w:sz="4" w:space="0" w:color="auto"/>
              <w:right w:val="single" w:sz="4" w:space="0" w:color="auto"/>
            </w:tcBorders>
            <w:hideMark/>
          </w:tcPr>
          <w:p w:rsidR="001E4925" w:rsidRPr="00150BFD" w:rsidRDefault="001E4925" w:rsidP="0048563A">
            <w:pPr>
              <w:pStyle w:val="naiskr"/>
              <w:tabs>
                <w:tab w:val="left" w:pos="170"/>
              </w:tabs>
              <w:spacing w:before="60" w:beforeAutospacing="0" w:after="60" w:afterAutospacing="0"/>
              <w:ind w:left="57" w:right="57"/>
              <w:rPr>
                <w:sz w:val="26"/>
                <w:szCs w:val="26"/>
                <w:lang w:eastAsia="en-US"/>
              </w:rPr>
            </w:pPr>
            <w:r w:rsidRPr="00150BFD">
              <w:rPr>
                <w:sz w:val="26"/>
                <w:szCs w:val="26"/>
                <w:lang w:eastAsia="en-US"/>
              </w:rPr>
              <w:t>Pašreizējā situācija un problēmas, kuru risināšanai tiesību akta projekts izstrādāts, tiesiskā regulējuma mērķis un būtība</w:t>
            </w:r>
          </w:p>
        </w:tc>
        <w:tc>
          <w:tcPr>
            <w:tcW w:w="3161" w:type="pct"/>
            <w:tcBorders>
              <w:top w:val="single" w:sz="4" w:space="0" w:color="auto"/>
              <w:left w:val="single" w:sz="4" w:space="0" w:color="auto"/>
              <w:bottom w:val="single" w:sz="4" w:space="0" w:color="auto"/>
              <w:right w:val="single" w:sz="4" w:space="0" w:color="auto"/>
            </w:tcBorders>
            <w:hideMark/>
          </w:tcPr>
          <w:p w:rsidR="0014331E" w:rsidRPr="0014331E" w:rsidRDefault="0014331E" w:rsidP="0014331E">
            <w:pPr>
              <w:ind w:firstLine="0"/>
              <w:jc w:val="both"/>
              <w:rPr>
                <w:sz w:val="26"/>
                <w:szCs w:val="26"/>
                <w:lang w:eastAsia="en-US"/>
              </w:rPr>
            </w:pPr>
            <w:r w:rsidRPr="0014331E">
              <w:rPr>
                <w:sz w:val="26"/>
                <w:szCs w:val="26"/>
                <w:lang w:eastAsia="en-US"/>
              </w:rPr>
              <w:t xml:space="preserve">Latvijas prezidentūras Eiropas Savienības Padomē (turpmāk – prezidentūra) norises nodrošināšanai finansējums tam paredzētajā apmērā no 74.resora „Gadskārtējā valsts budžeta izpildes procesā pārdalāmais finansējums” tika pārdalīts un iekļauts ministriju vai citu centrālo iestāžu (turpmāk  – iestādes) 2015.gada budžetā programmā 96.00.00 „Latvijas prezidentūras Eiropas Savienības Padomē nodrošināšana 2015.gadā”, saskaņā ar Ministru kabineta rīkojumiem (aprēķinot ietekmi sekojošajiem gadiem līdz 2015.gadam (ieskaitot)), saskaņā ar Ministru kabineta 2012.gada 12.jūlija rīkojumu Nr.334 „Par papildu finansējumu, lai sagatavotu un nodrošinātu Latvijas prezidentūru Eiropas Savienības Padomē 2015.gadā”; Ministru kabineta 2012.gada 29.augsuta rīkojumu Nr.413 „Par papildu nepieciešamo finansējumu Latvijas prezidentūras Eiropas Savienības Padomē 2015.gadā sagatavošanai un nodrošināšanai”, Ministru kabineta 2013.gada 28.augusta rīkojumu Nr.402 „Par Latvijas prezidentūrai Eiropas Savienības Padomē 2015.gadā nepieciešamo amata vietu finansējuma ietekmi uz ministriju un Ministru kabineta bāzes izdevumiem 2015.gadā”, Ministru kabineta 2014.gada 15.jūlija rīkojumu Nr.357 „Par nepieciešamo finansējumu Latvijas prezidentūras Eiropas Savienības Padomē 2015.gadā sagatavošanai un nodrošināšanai 2014.gadam”, Ministru kabineta 2014.gada 17.septembra rīkojumu Nr.513 „Par nepieciešamo finansējumu 2015.gadam, lai nodrošinātu Latvijas prezidentūru Eiropas Savienības Padomē” un 2014.gada 14.novembra rīkojumu Nr.653 „Par nepieciešamo finansējumu 2015.gadam Latvijas prezidentūras nodrošināšanai Eiropas Savienības Padomē”, norādot detalizētus finansējuma mērķus. </w:t>
            </w:r>
          </w:p>
          <w:p w:rsidR="0014331E" w:rsidRPr="0014331E" w:rsidRDefault="0014331E" w:rsidP="0014331E">
            <w:pPr>
              <w:ind w:firstLine="0"/>
              <w:jc w:val="both"/>
              <w:rPr>
                <w:sz w:val="26"/>
                <w:szCs w:val="26"/>
                <w:lang w:eastAsia="en-US"/>
              </w:rPr>
            </w:pPr>
            <w:r w:rsidRPr="0014331E">
              <w:rPr>
                <w:sz w:val="26"/>
                <w:szCs w:val="26"/>
                <w:lang w:eastAsia="en-US"/>
              </w:rPr>
              <w:t xml:space="preserve">Prezidentūras nodrošināšanai paredzētais budžeta finansējums tika veidots saskaņā ar Ministru kabineta 2014.gada 23.maija sēdē apstiprinātā Valsts kancelejas un Ārlietu ministrijas precizētā informatīvā ziņojuma „Latvijas prezidentūras Eiropas Savienības padomē </w:t>
            </w:r>
            <w:r w:rsidRPr="0014331E">
              <w:rPr>
                <w:sz w:val="26"/>
                <w:szCs w:val="26"/>
                <w:lang w:eastAsia="en-US"/>
              </w:rPr>
              <w:lastRenderedPageBreak/>
              <w:t xml:space="preserve">budžeta veidošanas principi un vadlīnijas” metodoloģiju, Ministru kabineta 2013.gada 13.augusta noteikumiem Nr.589 „Noteikumi par papildu atlīdzības noteikšanu amatpersonām (darbiniekiem), kuras ir iesaistītas Latvijas prezidentūras Eiropas Savienības Padomē 2015.gadā sagatavošanā un norisē”, iestāžu aprēķiniem par prezidentūrā paredzētajiem uzdevumiem un Ministru kabineta 2014.gadā 12.augustā sēdē apstiprināto  provizorisko Latvijas prezidentūras Eiropas Savienības Padomē laikā Latvijā notiekošo pasākumu kalendāru. </w:t>
            </w:r>
          </w:p>
          <w:p w:rsidR="0014331E" w:rsidRPr="0014331E" w:rsidRDefault="0014331E" w:rsidP="0014331E">
            <w:pPr>
              <w:ind w:firstLine="0"/>
              <w:jc w:val="both"/>
              <w:rPr>
                <w:sz w:val="26"/>
                <w:szCs w:val="26"/>
                <w:lang w:eastAsia="en-US"/>
              </w:rPr>
            </w:pPr>
            <w:r w:rsidRPr="0014331E">
              <w:rPr>
                <w:sz w:val="26"/>
                <w:szCs w:val="26"/>
                <w:lang w:eastAsia="en-US"/>
              </w:rPr>
              <w:t xml:space="preserve">Ministru kabineta 2014.gada 23.decembra sēdē tika apstiprināts </w:t>
            </w:r>
            <w:r w:rsidR="00505CBC">
              <w:rPr>
                <w:sz w:val="26"/>
                <w:szCs w:val="26"/>
                <w:lang w:eastAsia="en-US"/>
              </w:rPr>
              <w:t>prezidentūras</w:t>
            </w:r>
            <w:r w:rsidRPr="0014331E">
              <w:rPr>
                <w:sz w:val="26"/>
                <w:szCs w:val="26"/>
                <w:lang w:eastAsia="en-US"/>
              </w:rPr>
              <w:t xml:space="preserve"> laikā Latvijā notiekošo pasākumu precizētais kalendārs, papildinot kalendāru ar diskutējamo </w:t>
            </w:r>
            <w:r w:rsidR="00DF4D18">
              <w:rPr>
                <w:sz w:val="26"/>
                <w:szCs w:val="26"/>
                <w:lang w:eastAsia="en-US"/>
              </w:rPr>
              <w:t xml:space="preserve">prezidentūras </w:t>
            </w:r>
            <w:r w:rsidRPr="0014331E">
              <w:rPr>
                <w:sz w:val="26"/>
                <w:szCs w:val="26"/>
                <w:lang w:eastAsia="en-US"/>
              </w:rPr>
              <w:t>pasākumu sarakstu un nosakot, ka par šo pasākumu saturu un organizēšanu atbild konkrētās ministrijas, kā arī tās piedalās pasākumu nodrošināšanā ar ministrijām prezidentūras nodrošināšanai piešķirtajiem budžeta līdzekļiem.</w:t>
            </w:r>
          </w:p>
          <w:p w:rsidR="00E0765C" w:rsidRPr="00BF48E2" w:rsidRDefault="0014331E" w:rsidP="009547DE">
            <w:pPr>
              <w:suppressAutoHyphens/>
              <w:spacing w:after="120"/>
              <w:ind w:firstLine="0"/>
              <w:jc w:val="both"/>
              <w:rPr>
                <w:sz w:val="26"/>
                <w:szCs w:val="26"/>
                <w:lang w:eastAsia="ar-SA"/>
              </w:rPr>
            </w:pPr>
            <w:r w:rsidRPr="0014331E">
              <w:rPr>
                <w:sz w:val="26"/>
                <w:szCs w:val="26"/>
                <w:lang w:eastAsia="ar-SA"/>
              </w:rPr>
              <w:t>Ņemot vērā augstāk minēto</w:t>
            </w:r>
            <w:r w:rsidR="00DF4D18">
              <w:rPr>
                <w:sz w:val="26"/>
                <w:szCs w:val="26"/>
                <w:lang w:eastAsia="ar-SA"/>
              </w:rPr>
              <w:t>,</w:t>
            </w:r>
            <w:r w:rsidRPr="0014331E">
              <w:rPr>
                <w:sz w:val="26"/>
                <w:szCs w:val="26"/>
                <w:lang w:eastAsia="ar-SA"/>
              </w:rPr>
              <w:t xml:space="preserve"> 2015.gada marta – jūnija mēnesī – prezidentūras pasākumu intensīvajā norises periodā</w:t>
            </w:r>
            <w:r w:rsidR="00505CBC">
              <w:rPr>
                <w:sz w:val="26"/>
                <w:szCs w:val="26"/>
                <w:lang w:eastAsia="ar-SA"/>
              </w:rPr>
              <w:t xml:space="preserve"> –</w:t>
            </w:r>
            <w:r w:rsidRPr="0014331E">
              <w:rPr>
                <w:sz w:val="26"/>
                <w:szCs w:val="26"/>
                <w:lang w:eastAsia="ar-SA"/>
              </w:rPr>
              <w:t xml:space="preserve"> būtu lietderīgi iestāžu vadītājiem atļaut, izvērtējot pamatojumu, novirzīt līdzekļus </w:t>
            </w:r>
            <w:r w:rsidR="00E0765C" w:rsidRPr="003213FD">
              <w:rPr>
                <w:sz w:val="26"/>
                <w:szCs w:val="26"/>
              </w:rPr>
              <w:t>izdevumu pozīcijās “Atlīdzība”, “Preces  un pakalpojumi” un “Pamatkapitāla  izveide”</w:t>
            </w:r>
            <w:r w:rsidR="00E0765C">
              <w:rPr>
                <w:sz w:val="26"/>
                <w:szCs w:val="26"/>
              </w:rPr>
              <w:t xml:space="preserve"> </w:t>
            </w:r>
            <w:r w:rsidR="00E0765C" w:rsidRPr="003213FD">
              <w:rPr>
                <w:sz w:val="26"/>
                <w:szCs w:val="26"/>
              </w:rPr>
              <w:t>arī citu izdevumu segšanai</w:t>
            </w:r>
            <w:r w:rsidR="00E0765C" w:rsidRPr="0014331E">
              <w:rPr>
                <w:sz w:val="26"/>
                <w:szCs w:val="26"/>
                <w:lang w:eastAsia="ar-SA"/>
              </w:rPr>
              <w:t xml:space="preserve"> prezidentūras kalendārā apsti</w:t>
            </w:r>
            <w:r w:rsidR="00E0765C">
              <w:rPr>
                <w:sz w:val="26"/>
                <w:szCs w:val="26"/>
                <w:lang w:eastAsia="ar-SA"/>
              </w:rPr>
              <w:t>prināto pasākumu nodrošināšanai,</w:t>
            </w:r>
            <w:r w:rsidR="00E0765C">
              <w:rPr>
                <w:sz w:val="26"/>
                <w:szCs w:val="26"/>
              </w:rPr>
              <w:t xml:space="preserve"> ja ir izveidojusies</w:t>
            </w:r>
            <w:r w:rsidR="00E0765C" w:rsidRPr="003213FD">
              <w:rPr>
                <w:sz w:val="26"/>
                <w:szCs w:val="26"/>
              </w:rPr>
              <w:t xml:space="preserve"> finanšu līdzekļu ekonomij</w:t>
            </w:r>
            <w:r w:rsidR="00E0765C">
              <w:rPr>
                <w:sz w:val="26"/>
                <w:szCs w:val="26"/>
              </w:rPr>
              <w:t>a</w:t>
            </w:r>
            <w:r w:rsidR="00E0765C">
              <w:rPr>
                <w:sz w:val="26"/>
                <w:szCs w:val="26"/>
                <w:lang w:eastAsia="ar-SA"/>
              </w:rPr>
              <w:t xml:space="preserve"> un</w:t>
            </w:r>
            <w:r w:rsidRPr="0014331E">
              <w:rPr>
                <w:sz w:val="26"/>
                <w:szCs w:val="26"/>
                <w:lang w:eastAsia="ar-SA"/>
              </w:rPr>
              <w:t xml:space="preserve"> tiek ievērots</w:t>
            </w:r>
            <w:r w:rsidR="00DF4D18">
              <w:rPr>
                <w:sz w:val="26"/>
                <w:szCs w:val="26"/>
                <w:lang w:eastAsia="ar-SA"/>
              </w:rPr>
              <w:t xml:space="preserve"> likumā „Par valsts budžetu 2015.gadam </w:t>
            </w:r>
            <w:r w:rsidRPr="0014331E">
              <w:rPr>
                <w:sz w:val="26"/>
                <w:szCs w:val="26"/>
                <w:lang w:eastAsia="ar-SA"/>
              </w:rPr>
              <w:t xml:space="preserve">apstiprinātais finansējuma apjoms budžeta programmā 96.00.00 „Latvijas prezidentūras Eiropas Savienības </w:t>
            </w:r>
            <w:r w:rsidR="00DF4D18">
              <w:rPr>
                <w:sz w:val="26"/>
                <w:szCs w:val="26"/>
                <w:lang w:eastAsia="ar-SA"/>
              </w:rPr>
              <w:t>Padomē nodrošināšana 2015.gadā”, minētā likuma 33.panta nosacījumi</w:t>
            </w:r>
            <w:r w:rsidR="00E0765C">
              <w:rPr>
                <w:sz w:val="26"/>
                <w:szCs w:val="26"/>
                <w:lang w:eastAsia="ar-SA"/>
              </w:rPr>
              <w:t xml:space="preserve">, </w:t>
            </w:r>
            <w:r w:rsidR="009547DE" w:rsidRPr="009547DE">
              <w:rPr>
                <w:sz w:val="26"/>
                <w:szCs w:val="26"/>
                <w:lang w:eastAsia="ar-SA"/>
              </w:rPr>
              <w:t>kā arī iestādes iepirkumu rezultātā noslēgtie līgumi</w:t>
            </w:r>
            <w:r w:rsidR="009547DE">
              <w:rPr>
                <w:sz w:val="26"/>
                <w:szCs w:val="26"/>
                <w:lang w:eastAsia="ar-SA"/>
              </w:rPr>
              <w:t xml:space="preserve"> </w:t>
            </w:r>
            <w:r w:rsidR="00DF4D18" w:rsidRPr="009547DE">
              <w:rPr>
                <w:sz w:val="26"/>
                <w:szCs w:val="26"/>
                <w:lang w:eastAsia="ar-SA"/>
              </w:rPr>
              <w:t>preču un pakalpojumu iegādei</w:t>
            </w:r>
            <w:r w:rsidR="009547DE">
              <w:rPr>
                <w:sz w:val="26"/>
                <w:szCs w:val="26"/>
                <w:lang w:eastAsia="ar-SA"/>
              </w:rPr>
              <w:t>.</w:t>
            </w:r>
          </w:p>
        </w:tc>
      </w:tr>
      <w:tr w:rsidR="001E4925" w:rsidRPr="00150BFD" w:rsidTr="00E3648B">
        <w:trPr>
          <w:trHeight w:val="485"/>
        </w:trPr>
        <w:tc>
          <w:tcPr>
            <w:tcW w:w="297" w:type="pct"/>
            <w:tcBorders>
              <w:top w:val="single" w:sz="4" w:space="0" w:color="auto"/>
              <w:left w:val="single" w:sz="4" w:space="0" w:color="auto"/>
              <w:bottom w:val="single" w:sz="4" w:space="0" w:color="auto"/>
              <w:right w:val="single" w:sz="4" w:space="0" w:color="auto"/>
            </w:tcBorders>
            <w:hideMark/>
          </w:tcPr>
          <w:p w:rsidR="001E4925" w:rsidRPr="00150BFD" w:rsidRDefault="001E4925" w:rsidP="0048563A">
            <w:pPr>
              <w:pStyle w:val="naiskr"/>
              <w:spacing w:before="60" w:beforeAutospacing="0" w:after="60" w:afterAutospacing="0"/>
              <w:ind w:left="57" w:right="57"/>
              <w:jc w:val="center"/>
              <w:rPr>
                <w:sz w:val="26"/>
                <w:szCs w:val="26"/>
                <w:lang w:eastAsia="en-US"/>
              </w:rPr>
            </w:pPr>
            <w:r w:rsidRPr="00150BFD">
              <w:rPr>
                <w:sz w:val="26"/>
                <w:szCs w:val="26"/>
                <w:lang w:eastAsia="en-US"/>
              </w:rPr>
              <w:lastRenderedPageBreak/>
              <w:t>3.</w:t>
            </w:r>
          </w:p>
        </w:tc>
        <w:tc>
          <w:tcPr>
            <w:tcW w:w="1542" w:type="pct"/>
            <w:tcBorders>
              <w:top w:val="single" w:sz="4" w:space="0" w:color="auto"/>
              <w:left w:val="single" w:sz="4" w:space="0" w:color="auto"/>
              <w:bottom w:val="single" w:sz="4" w:space="0" w:color="auto"/>
              <w:right w:val="single" w:sz="4" w:space="0" w:color="auto"/>
            </w:tcBorders>
            <w:hideMark/>
          </w:tcPr>
          <w:p w:rsidR="001E4925" w:rsidRPr="00150BFD" w:rsidRDefault="001E4925" w:rsidP="0048563A">
            <w:pPr>
              <w:pStyle w:val="naiskr"/>
              <w:spacing w:before="60" w:beforeAutospacing="0" w:after="60" w:afterAutospacing="0"/>
              <w:ind w:left="57" w:right="57"/>
              <w:rPr>
                <w:sz w:val="26"/>
                <w:szCs w:val="26"/>
                <w:lang w:eastAsia="en-US"/>
              </w:rPr>
            </w:pPr>
            <w:r w:rsidRPr="00150BFD">
              <w:rPr>
                <w:sz w:val="26"/>
                <w:szCs w:val="26"/>
                <w:lang w:eastAsia="en-US"/>
              </w:rPr>
              <w:t>Projekta izstrādē iesaistītās institūcijas</w:t>
            </w:r>
          </w:p>
        </w:tc>
        <w:tc>
          <w:tcPr>
            <w:tcW w:w="3161" w:type="pct"/>
            <w:tcBorders>
              <w:top w:val="single" w:sz="4" w:space="0" w:color="auto"/>
              <w:left w:val="single" w:sz="4" w:space="0" w:color="auto"/>
              <w:bottom w:val="single" w:sz="4" w:space="0" w:color="auto"/>
              <w:right w:val="single" w:sz="4" w:space="0" w:color="auto"/>
            </w:tcBorders>
            <w:hideMark/>
          </w:tcPr>
          <w:p w:rsidR="001E4925" w:rsidRPr="00AA0CFC" w:rsidRDefault="00A25B6F" w:rsidP="00C716DD">
            <w:pPr>
              <w:spacing w:before="60" w:after="60"/>
              <w:ind w:left="11" w:right="57" w:firstLine="0"/>
              <w:jc w:val="both"/>
              <w:rPr>
                <w:sz w:val="26"/>
                <w:szCs w:val="26"/>
                <w:lang w:eastAsia="en-US"/>
              </w:rPr>
            </w:pPr>
            <w:r>
              <w:rPr>
                <w:sz w:val="26"/>
                <w:szCs w:val="26"/>
                <w:lang w:eastAsia="en-US"/>
              </w:rPr>
              <w:t>Ārlietu ministrija (</w:t>
            </w:r>
            <w:r w:rsidR="00EF4F43" w:rsidRPr="00AA0CFC">
              <w:rPr>
                <w:sz w:val="26"/>
                <w:szCs w:val="26"/>
                <w:lang w:eastAsia="en-US"/>
              </w:rPr>
              <w:t>Latvijas prezidentūras Eiropas Savienības Padomē sekretariāts</w:t>
            </w:r>
            <w:r>
              <w:rPr>
                <w:sz w:val="26"/>
                <w:szCs w:val="26"/>
                <w:lang w:eastAsia="en-US"/>
              </w:rPr>
              <w:t>)</w:t>
            </w:r>
            <w:r w:rsidR="008E5FB5">
              <w:rPr>
                <w:sz w:val="26"/>
                <w:szCs w:val="26"/>
                <w:lang w:eastAsia="en-US"/>
              </w:rPr>
              <w:t xml:space="preserve"> un Finanšu ministrija.</w:t>
            </w:r>
          </w:p>
        </w:tc>
      </w:tr>
      <w:tr w:rsidR="001E4925" w:rsidRPr="00150BFD" w:rsidTr="00E3648B">
        <w:trPr>
          <w:trHeight w:val="318"/>
        </w:trPr>
        <w:tc>
          <w:tcPr>
            <w:tcW w:w="297" w:type="pct"/>
            <w:tcBorders>
              <w:top w:val="single" w:sz="4" w:space="0" w:color="auto"/>
              <w:left w:val="single" w:sz="4" w:space="0" w:color="auto"/>
              <w:bottom w:val="single" w:sz="4" w:space="0" w:color="auto"/>
              <w:right w:val="single" w:sz="4" w:space="0" w:color="auto"/>
            </w:tcBorders>
            <w:hideMark/>
          </w:tcPr>
          <w:p w:rsidR="000517DC" w:rsidRPr="00150BFD" w:rsidRDefault="00BA0CBC" w:rsidP="0048563A">
            <w:pPr>
              <w:pStyle w:val="naiskr"/>
              <w:spacing w:before="60" w:beforeAutospacing="0" w:after="60" w:afterAutospacing="0"/>
              <w:ind w:right="57"/>
              <w:rPr>
                <w:sz w:val="26"/>
                <w:szCs w:val="26"/>
                <w:lang w:eastAsia="en-US"/>
              </w:rPr>
            </w:pPr>
            <w:r w:rsidRPr="00150BFD">
              <w:rPr>
                <w:sz w:val="26"/>
                <w:szCs w:val="26"/>
                <w:lang w:eastAsia="en-US"/>
              </w:rPr>
              <w:t xml:space="preserve">   4.</w:t>
            </w:r>
          </w:p>
        </w:tc>
        <w:tc>
          <w:tcPr>
            <w:tcW w:w="1542" w:type="pct"/>
            <w:tcBorders>
              <w:top w:val="single" w:sz="4" w:space="0" w:color="auto"/>
              <w:left w:val="single" w:sz="4" w:space="0" w:color="auto"/>
              <w:bottom w:val="single" w:sz="4" w:space="0" w:color="auto"/>
              <w:right w:val="single" w:sz="4" w:space="0" w:color="auto"/>
            </w:tcBorders>
            <w:hideMark/>
          </w:tcPr>
          <w:p w:rsidR="001E4925" w:rsidRPr="00150BFD" w:rsidRDefault="001E4925" w:rsidP="0048563A">
            <w:pPr>
              <w:pStyle w:val="naiskr"/>
              <w:spacing w:before="60" w:beforeAutospacing="0" w:after="60" w:afterAutospacing="0"/>
              <w:ind w:left="57" w:right="57"/>
              <w:rPr>
                <w:sz w:val="26"/>
                <w:szCs w:val="26"/>
                <w:lang w:eastAsia="en-US"/>
              </w:rPr>
            </w:pPr>
            <w:r w:rsidRPr="00150BFD">
              <w:rPr>
                <w:sz w:val="26"/>
                <w:szCs w:val="26"/>
                <w:lang w:eastAsia="en-US"/>
              </w:rPr>
              <w:t>Cita informācija</w:t>
            </w:r>
          </w:p>
        </w:tc>
        <w:tc>
          <w:tcPr>
            <w:tcW w:w="3161" w:type="pct"/>
            <w:tcBorders>
              <w:top w:val="single" w:sz="4" w:space="0" w:color="auto"/>
              <w:left w:val="single" w:sz="4" w:space="0" w:color="auto"/>
              <w:bottom w:val="single" w:sz="4" w:space="0" w:color="auto"/>
              <w:right w:val="single" w:sz="4" w:space="0" w:color="auto"/>
            </w:tcBorders>
            <w:hideMark/>
          </w:tcPr>
          <w:p w:rsidR="001E4925" w:rsidRPr="00150BFD" w:rsidRDefault="00B338E8" w:rsidP="00C716DD">
            <w:pPr>
              <w:pStyle w:val="naiskr"/>
              <w:spacing w:before="60" w:beforeAutospacing="0" w:after="60" w:afterAutospacing="0"/>
              <w:ind w:left="11" w:right="57"/>
              <w:rPr>
                <w:sz w:val="26"/>
                <w:szCs w:val="26"/>
                <w:lang w:eastAsia="en-US"/>
              </w:rPr>
            </w:pPr>
            <w:r w:rsidRPr="00150BFD">
              <w:rPr>
                <w:sz w:val="26"/>
                <w:szCs w:val="26"/>
                <w:lang w:eastAsia="en-US"/>
              </w:rPr>
              <w:t>Nav.</w:t>
            </w:r>
          </w:p>
        </w:tc>
      </w:tr>
    </w:tbl>
    <w:p w:rsidR="001E4925" w:rsidRDefault="001E4925" w:rsidP="00E3648B">
      <w:pPr>
        <w:ind w:firstLine="0"/>
        <w:rPr>
          <w:sz w:val="24"/>
          <w:szCs w:val="24"/>
          <w:lang w:eastAsia="en-US"/>
        </w:rPr>
      </w:pPr>
    </w:p>
    <w:tbl>
      <w:tblPr>
        <w:tblW w:w="9251"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1"/>
        <w:gridCol w:w="3650"/>
        <w:gridCol w:w="5050"/>
      </w:tblGrid>
      <w:tr w:rsidR="000C75A6" w:rsidRPr="000C75A6" w:rsidTr="000C75A6">
        <w:trPr>
          <w:trHeight w:val="381"/>
          <w:jc w:val="center"/>
        </w:trPr>
        <w:tc>
          <w:tcPr>
            <w:tcW w:w="9251" w:type="dxa"/>
            <w:gridSpan w:val="3"/>
            <w:tcBorders>
              <w:top w:val="single" w:sz="4" w:space="0" w:color="auto"/>
              <w:left w:val="single" w:sz="4" w:space="0" w:color="auto"/>
              <w:bottom w:val="single" w:sz="4" w:space="0" w:color="auto"/>
              <w:right w:val="single" w:sz="4" w:space="0" w:color="auto"/>
            </w:tcBorders>
            <w:vAlign w:val="center"/>
            <w:hideMark/>
          </w:tcPr>
          <w:p w:rsidR="000C75A6" w:rsidRPr="000C75A6" w:rsidRDefault="000C75A6" w:rsidP="000C75A6">
            <w:pPr>
              <w:spacing w:line="276" w:lineRule="auto"/>
              <w:ind w:left="57" w:right="57" w:firstLine="0"/>
              <w:jc w:val="center"/>
              <w:rPr>
                <w:sz w:val="26"/>
                <w:szCs w:val="26"/>
                <w:lang w:eastAsia="en-US"/>
              </w:rPr>
            </w:pPr>
            <w:r w:rsidRPr="000C75A6">
              <w:rPr>
                <w:b/>
                <w:sz w:val="26"/>
                <w:szCs w:val="26"/>
                <w:lang w:eastAsia="en-US"/>
              </w:rPr>
              <w:t>VII. Tiesību akta projekta izpildes nodrošināšana un tās ietekme uz institūcijām</w:t>
            </w:r>
          </w:p>
        </w:tc>
      </w:tr>
      <w:tr w:rsidR="000C75A6" w:rsidRPr="000C75A6" w:rsidTr="000C75A6">
        <w:trPr>
          <w:trHeight w:val="427"/>
          <w:jc w:val="center"/>
        </w:trPr>
        <w:tc>
          <w:tcPr>
            <w:tcW w:w="551" w:type="dxa"/>
            <w:tcBorders>
              <w:top w:val="single" w:sz="4" w:space="0" w:color="auto"/>
              <w:left w:val="single" w:sz="4" w:space="0" w:color="auto"/>
              <w:bottom w:val="single" w:sz="4" w:space="0" w:color="auto"/>
              <w:right w:val="single" w:sz="4" w:space="0" w:color="auto"/>
            </w:tcBorders>
            <w:hideMark/>
          </w:tcPr>
          <w:p w:rsidR="000C75A6" w:rsidRPr="000C75A6" w:rsidRDefault="000C75A6" w:rsidP="000C75A6">
            <w:pPr>
              <w:spacing w:line="276" w:lineRule="auto"/>
              <w:ind w:left="57" w:right="57" w:firstLine="0"/>
              <w:jc w:val="center"/>
              <w:rPr>
                <w:sz w:val="26"/>
                <w:szCs w:val="26"/>
                <w:lang w:eastAsia="en-US"/>
              </w:rPr>
            </w:pPr>
            <w:r w:rsidRPr="000C75A6">
              <w:rPr>
                <w:sz w:val="26"/>
                <w:szCs w:val="26"/>
                <w:lang w:eastAsia="en-US"/>
              </w:rPr>
              <w:t>1.</w:t>
            </w:r>
          </w:p>
        </w:tc>
        <w:tc>
          <w:tcPr>
            <w:tcW w:w="3650" w:type="dxa"/>
            <w:tcBorders>
              <w:top w:val="single" w:sz="4" w:space="0" w:color="auto"/>
              <w:left w:val="single" w:sz="4" w:space="0" w:color="auto"/>
              <w:bottom w:val="single" w:sz="4" w:space="0" w:color="auto"/>
              <w:right w:val="single" w:sz="4" w:space="0" w:color="auto"/>
            </w:tcBorders>
            <w:hideMark/>
          </w:tcPr>
          <w:p w:rsidR="000C75A6" w:rsidRPr="000C75A6" w:rsidRDefault="000C75A6" w:rsidP="000C75A6">
            <w:pPr>
              <w:ind w:left="57" w:right="57" w:firstLine="0"/>
              <w:rPr>
                <w:sz w:val="26"/>
                <w:szCs w:val="26"/>
                <w:lang w:eastAsia="en-US"/>
              </w:rPr>
            </w:pPr>
            <w:r w:rsidRPr="000C75A6">
              <w:rPr>
                <w:sz w:val="26"/>
                <w:szCs w:val="26"/>
                <w:lang w:eastAsia="en-US"/>
              </w:rPr>
              <w:t>Projekta izpildē iesaistītās institūcijas</w:t>
            </w:r>
          </w:p>
        </w:tc>
        <w:tc>
          <w:tcPr>
            <w:tcW w:w="5050" w:type="dxa"/>
            <w:tcBorders>
              <w:top w:val="single" w:sz="4" w:space="0" w:color="auto"/>
              <w:left w:val="single" w:sz="4" w:space="0" w:color="auto"/>
              <w:bottom w:val="single" w:sz="4" w:space="0" w:color="auto"/>
              <w:right w:val="single" w:sz="4" w:space="0" w:color="auto"/>
            </w:tcBorders>
            <w:hideMark/>
          </w:tcPr>
          <w:p w:rsidR="000C75A6" w:rsidRPr="000C75A6" w:rsidRDefault="00C716DD" w:rsidP="00C716DD">
            <w:pPr>
              <w:shd w:val="clear" w:color="auto" w:fill="FFFFFF"/>
              <w:ind w:left="43" w:right="123" w:firstLine="0"/>
              <w:jc w:val="both"/>
              <w:rPr>
                <w:rFonts w:eastAsia="Calibri"/>
                <w:sz w:val="26"/>
                <w:szCs w:val="26"/>
              </w:rPr>
            </w:pPr>
            <w:bookmarkStart w:id="0" w:name="p69"/>
            <w:bookmarkStart w:id="1" w:name="p68"/>
            <w:bookmarkStart w:id="2" w:name="p67"/>
            <w:bookmarkStart w:id="3" w:name="p66"/>
            <w:bookmarkEnd w:id="0"/>
            <w:bookmarkEnd w:id="1"/>
            <w:bookmarkEnd w:id="2"/>
            <w:bookmarkEnd w:id="3"/>
            <w:r>
              <w:rPr>
                <w:rFonts w:eastAsia="Calibri"/>
                <w:sz w:val="26"/>
                <w:szCs w:val="26"/>
                <w:lang w:eastAsia="en-US"/>
              </w:rPr>
              <w:t xml:space="preserve">Ministrijas un citas centrālās </w:t>
            </w:r>
            <w:r>
              <w:rPr>
                <w:sz w:val="26"/>
                <w:szCs w:val="26"/>
              </w:rPr>
              <w:t>valsts iestādes.</w:t>
            </w:r>
          </w:p>
        </w:tc>
      </w:tr>
      <w:tr w:rsidR="000C75A6" w:rsidRPr="000C75A6" w:rsidTr="000C75A6">
        <w:trPr>
          <w:trHeight w:val="463"/>
          <w:jc w:val="center"/>
        </w:trPr>
        <w:tc>
          <w:tcPr>
            <w:tcW w:w="551" w:type="dxa"/>
            <w:tcBorders>
              <w:top w:val="single" w:sz="4" w:space="0" w:color="auto"/>
              <w:left w:val="single" w:sz="4" w:space="0" w:color="auto"/>
              <w:bottom w:val="single" w:sz="4" w:space="0" w:color="auto"/>
              <w:right w:val="single" w:sz="4" w:space="0" w:color="auto"/>
            </w:tcBorders>
            <w:hideMark/>
          </w:tcPr>
          <w:p w:rsidR="000C75A6" w:rsidRPr="000C75A6" w:rsidRDefault="000C75A6" w:rsidP="000C75A6">
            <w:pPr>
              <w:spacing w:line="276" w:lineRule="auto"/>
              <w:ind w:left="57" w:right="57" w:firstLine="0"/>
              <w:jc w:val="center"/>
              <w:rPr>
                <w:sz w:val="26"/>
                <w:szCs w:val="26"/>
                <w:lang w:eastAsia="en-US"/>
              </w:rPr>
            </w:pPr>
            <w:r w:rsidRPr="000C75A6">
              <w:rPr>
                <w:sz w:val="26"/>
                <w:szCs w:val="26"/>
                <w:lang w:eastAsia="en-US"/>
              </w:rPr>
              <w:t>2.</w:t>
            </w:r>
          </w:p>
        </w:tc>
        <w:tc>
          <w:tcPr>
            <w:tcW w:w="3650" w:type="dxa"/>
            <w:tcBorders>
              <w:top w:val="single" w:sz="4" w:space="0" w:color="auto"/>
              <w:left w:val="single" w:sz="4" w:space="0" w:color="auto"/>
              <w:bottom w:val="single" w:sz="4" w:space="0" w:color="auto"/>
              <w:right w:val="single" w:sz="4" w:space="0" w:color="auto"/>
            </w:tcBorders>
            <w:hideMark/>
          </w:tcPr>
          <w:p w:rsidR="000C75A6" w:rsidRPr="000C75A6" w:rsidRDefault="000C75A6" w:rsidP="000C75A6">
            <w:pPr>
              <w:ind w:left="57" w:right="57" w:firstLine="0"/>
              <w:rPr>
                <w:sz w:val="26"/>
                <w:szCs w:val="26"/>
                <w:lang w:eastAsia="en-US"/>
              </w:rPr>
            </w:pPr>
            <w:r w:rsidRPr="000C75A6">
              <w:rPr>
                <w:sz w:val="26"/>
                <w:szCs w:val="26"/>
                <w:lang w:eastAsia="en-US"/>
              </w:rPr>
              <w:t>Projekta izpildes ietekme uz pār</w:t>
            </w:r>
            <w:r w:rsidRPr="000C75A6">
              <w:rPr>
                <w:sz w:val="26"/>
                <w:szCs w:val="26"/>
                <w:lang w:eastAsia="en-US"/>
              </w:rPr>
              <w:softHyphen/>
              <w:t>valdes funkcijām un institucionālo struktūru.</w:t>
            </w:r>
          </w:p>
          <w:p w:rsidR="000C75A6" w:rsidRPr="000C75A6" w:rsidRDefault="000C75A6" w:rsidP="000C75A6">
            <w:pPr>
              <w:ind w:left="57" w:right="57" w:firstLine="0"/>
              <w:rPr>
                <w:sz w:val="26"/>
                <w:szCs w:val="26"/>
                <w:lang w:eastAsia="en-US"/>
              </w:rPr>
            </w:pPr>
            <w:r w:rsidRPr="000C75A6">
              <w:rPr>
                <w:sz w:val="26"/>
                <w:szCs w:val="26"/>
                <w:lang w:eastAsia="en-US"/>
              </w:rPr>
              <w:lastRenderedPageBreak/>
              <w:t>Jaunu institūciju izveide, esošu institūciju likvidācija vai reorga</w:t>
            </w:r>
            <w:r w:rsidRPr="000C75A6">
              <w:rPr>
                <w:sz w:val="26"/>
                <w:szCs w:val="26"/>
                <w:lang w:eastAsia="en-US"/>
              </w:rPr>
              <w:softHyphen/>
              <w:t>nizācija, to ietekme uz institūcijas cilvēkresursiem.</w:t>
            </w:r>
          </w:p>
        </w:tc>
        <w:tc>
          <w:tcPr>
            <w:tcW w:w="5050" w:type="dxa"/>
            <w:tcBorders>
              <w:top w:val="single" w:sz="4" w:space="0" w:color="auto"/>
              <w:left w:val="single" w:sz="4" w:space="0" w:color="auto"/>
              <w:bottom w:val="single" w:sz="4" w:space="0" w:color="auto"/>
              <w:right w:val="single" w:sz="4" w:space="0" w:color="auto"/>
            </w:tcBorders>
          </w:tcPr>
          <w:p w:rsidR="000C75A6" w:rsidRPr="000C75A6" w:rsidRDefault="000C75A6" w:rsidP="000C75A6">
            <w:pPr>
              <w:shd w:val="clear" w:color="auto" w:fill="FFFFFF"/>
              <w:ind w:left="43" w:right="123" w:firstLine="0"/>
              <w:jc w:val="both"/>
              <w:rPr>
                <w:rFonts w:eastAsia="Calibri"/>
                <w:sz w:val="26"/>
                <w:szCs w:val="26"/>
              </w:rPr>
            </w:pPr>
            <w:r w:rsidRPr="000C75A6">
              <w:rPr>
                <w:rFonts w:eastAsia="Calibri"/>
                <w:sz w:val="26"/>
                <w:szCs w:val="26"/>
                <w:lang w:eastAsia="en-US"/>
              </w:rPr>
              <w:lastRenderedPageBreak/>
              <w:t>Projekta izpilde notiks esošo pārvaldes funkciju ietvaros.</w:t>
            </w:r>
          </w:p>
          <w:p w:rsidR="000C75A6" w:rsidRPr="000C75A6" w:rsidRDefault="000C75A6" w:rsidP="000C75A6">
            <w:pPr>
              <w:shd w:val="clear" w:color="auto" w:fill="FFFFFF"/>
              <w:ind w:left="43" w:right="123" w:firstLine="0"/>
              <w:jc w:val="both"/>
              <w:rPr>
                <w:rFonts w:eastAsia="Calibri"/>
                <w:sz w:val="26"/>
                <w:szCs w:val="26"/>
              </w:rPr>
            </w:pPr>
          </w:p>
        </w:tc>
      </w:tr>
      <w:tr w:rsidR="000C75A6" w:rsidRPr="000C75A6" w:rsidTr="000C75A6">
        <w:trPr>
          <w:trHeight w:val="343"/>
          <w:jc w:val="center"/>
        </w:trPr>
        <w:tc>
          <w:tcPr>
            <w:tcW w:w="551" w:type="dxa"/>
            <w:tcBorders>
              <w:top w:val="single" w:sz="4" w:space="0" w:color="auto"/>
              <w:left w:val="single" w:sz="4" w:space="0" w:color="auto"/>
              <w:bottom w:val="single" w:sz="4" w:space="0" w:color="auto"/>
              <w:right w:val="single" w:sz="4" w:space="0" w:color="auto"/>
            </w:tcBorders>
            <w:hideMark/>
          </w:tcPr>
          <w:p w:rsidR="000C75A6" w:rsidRPr="000C75A6" w:rsidRDefault="000C75A6" w:rsidP="000C75A6">
            <w:pPr>
              <w:spacing w:line="276" w:lineRule="auto"/>
              <w:ind w:left="57" w:right="57" w:firstLine="0"/>
              <w:jc w:val="center"/>
              <w:rPr>
                <w:sz w:val="26"/>
                <w:szCs w:val="26"/>
                <w:lang w:eastAsia="en-US"/>
              </w:rPr>
            </w:pPr>
            <w:r w:rsidRPr="000C75A6">
              <w:rPr>
                <w:sz w:val="26"/>
                <w:szCs w:val="26"/>
                <w:lang w:eastAsia="en-US"/>
              </w:rPr>
              <w:lastRenderedPageBreak/>
              <w:t>3.</w:t>
            </w:r>
          </w:p>
        </w:tc>
        <w:tc>
          <w:tcPr>
            <w:tcW w:w="3650" w:type="dxa"/>
            <w:tcBorders>
              <w:top w:val="single" w:sz="4" w:space="0" w:color="auto"/>
              <w:left w:val="single" w:sz="4" w:space="0" w:color="auto"/>
              <w:bottom w:val="single" w:sz="4" w:space="0" w:color="auto"/>
              <w:right w:val="single" w:sz="4" w:space="0" w:color="auto"/>
            </w:tcBorders>
            <w:hideMark/>
          </w:tcPr>
          <w:p w:rsidR="000C75A6" w:rsidRPr="000C75A6" w:rsidRDefault="000C75A6" w:rsidP="000C75A6">
            <w:pPr>
              <w:spacing w:line="276" w:lineRule="auto"/>
              <w:ind w:left="57" w:right="57" w:firstLine="0"/>
              <w:rPr>
                <w:sz w:val="26"/>
                <w:szCs w:val="26"/>
                <w:lang w:eastAsia="en-US"/>
              </w:rPr>
            </w:pPr>
            <w:r w:rsidRPr="000C75A6">
              <w:rPr>
                <w:sz w:val="26"/>
                <w:szCs w:val="26"/>
                <w:lang w:eastAsia="en-US"/>
              </w:rPr>
              <w:t>Cita informācija</w:t>
            </w:r>
          </w:p>
        </w:tc>
        <w:tc>
          <w:tcPr>
            <w:tcW w:w="5050" w:type="dxa"/>
            <w:tcBorders>
              <w:top w:val="single" w:sz="4" w:space="0" w:color="auto"/>
              <w:left w:val="single" w:sz="4" w:space="0" w:color="auto"/>
              <w:bottom w:val="single" w:sz="4" w:space="0" w:color="auto"/>
              <w:right w:val="single" w:sz="4" w:space="0" w:color="auto"/>
            </w:tcBorders>
            <w:hideMark/>
          </w:tcPr>
          <w:p w:rsidR="000C75A6" w:rsidRPr="000C75A6" w:rsidRDefault="000C75A6" w:rsidP="000C75A6">
            <w:pPr>
              <w:ind w:left="43" w:right="123" w:firstLine="0"/>
              <w:jc w:val="both"/>
              <w:rPr>
                <w:rFonts w:eastAsia="Calibri"/>
                <w:sz w:val="26"/>
                <w:szCs w:val="26"/>
              </w:rPr>
            </w:pPr>
            <w:r w:rsidRPr="000C75A6">
              <w:rPr>
                <w:rFonts w:eastAsia="Calibri"/>
                <w:sz w:val="26"/>
                <w:szCs w:val="26"/>
                <w:lang w:eastAsia="en-US"/>
              </w:rPr>
              <w:t>Nav.</w:t>
            </w:r>
          </w:p>
        </w:tc>
      </w:tr>
    </w:tbl>
    <w:p w:rsidR="000C75A6" w:rsidRDefault="000C75A6" w:rsidP="00E3648B">
      <w:pPr>
        <w:ind w:firstLine="0"/>
        <w:rPr>
          <w:sz w:val="24"/>
          <w:szCs w:val="24"/>
          <w:lang w:eastAsia="en-US"/>
        </w:rPr>
      </w:pPr>
    </w:p>
    <w:p w:rsidR="000C75A6" w:rsidRDefault="000C75A6" w:rsidP="00E3648B">
      <w:pPr>
        <w:ind w:firstLine="0"/>
        <w:rPr>
          <w:sz w:val="24"/>
          <w:szCs w:val="24"/>
          <w:lang w:eastAsia="en-US"/>
        </w:rPr>
      </w:pPr>
    </w:p>
    <w:p w:rsidR="00150BFD" w:rsidRPr="00150BFD" w:rsidRDefault="00150BFD" w:rsidP="00603736">
      <w:pPr>
        <w:ind w:firstLine="0"/>
        <w:jc w:val="both"/>
        <w:rPr>
          <w:sz w:val="26"/>
          <w:szCs w:val="26"/>
        </w:rPr>
      </w:pPr>
      <w:r w:rsidRPr="00150BFD">
        <w:rPr>
          <w:sz w:val="26"/>
          <w:szCs w:val="26"/>
        </w:rPr>
        <w:t>Anotācijas II, III, IV, V</w:t>
      </w:r>
      <w:r w:rsidR="00E043D2">
        <w:rPr>
          <w:sz w:val="26"/>
          <w:szCs w:val="26"/>
        </w:rPr>
        <w:t xml:space="preserve"> un V</w:t>
      </w:r>
      <w:r w:rsidR="00C56B3F">
        <w:rPr>
          <w:sz w:val="26"/>
          <w:szCs w:val="26"/>
        </w:rPr>
        <w:t>I</w:t>
      </w:r>
      <w:r w:rsidR="00E043D2">
        <w:rPr>
          <w:sz w:val="26"/>
          <w:szCs w:val="26"/>
        </w:rPr>
        <w:t xml:space="preserve"> </w:t>
      </w:r>
      <w:r w:rsidRPr="00150BFD">
        <w:rPr>
          <w:sz w:val="26"/>
          <w:szCs w:val="26"/>
        </w:rPr>
        <w:t xml:space="preserve">sadaļa </w:t>
      </w:r>
      <w:r w:rsidR="00E043D2">
        <w:rPr>
          <w:sz w:val="26"/>
          <w:szCs w:val="26"/>
        </w:rPr>
        <w:t>– projekts šīs jomas neskar.</w:t>
      </w:r>
    </w:p>
    <w:p w:rsidR="001E4925" w:rsidRDefault="001E4925" w:rsidP="001E4925">
      <w:pPr>
        <w:rPr>
          <w:sz w:val="24"/>
          <w:szCs w:val="24"/>
          <w:lang w:eastAsia="en-US"/>
        </w:rPr>
      </w:pPr>
    </w:p>
    <w:p w:rsidR="001E4925" w:rsidRDefault="001E4925" w:rsidP="0077287C">
      <w:pPr>
        <w:ind w:firstLine="0"/>
        <w:rPr>
          <w:sz w:val="24"/>
          <w:szCs w:val="24"/>
          <w:lang w:eastAsia="en-US"/>
        </w:rPr>
      </w:pPr>
    </w:p>
    <w:p w:rsidR="001E4925" w:rsidRDefault="001E4925" w:rsidP="001E4925">
      <w:pPr>
        <w:ind w:firstLine="0"/>
        <w:jc w:val="both"/>
        <w:rPr>
          <w:sz w:val="28"/>
          <w:szCs w:val="28"/>
        </w:rPr>
      </w:pPr>
    </w:p>
    <w:p w:rsidR="00D571D9" w:rsidRPr="00D571D9" w:rsidRDefault="00D571D9" w:rsidP="00DF1D48">
      <w:pPr>
        <w:tabs>
          <w:tab w:val="right" w:pos="9072"/>
        </w:tabs>
        <w:ind w:firstLine="0"/>
        <w:jc w:val="both"/>
        <w:rPr>
          <w:sz w:val="26"/>
          <w:szCs w:val="26"/>
        </w:rPr>
      </w:pPr>
      <w:r w:rsidRPr="00F95C8E">
        <w:rPr>
          <w:sz w:val="26"/>
          <w:szCs w:val="26"/>
        </w:rPr>
        <w:t xml:space="preserve">Ārlietu ministrs </w:t>
      </w:r>
      <w:r w:rsidRPr="00F95C8E">
        <w:rPr>
          <w:sz w:val="26"/>
          <w:szCs w:val="26"/>
        </w:rPr>
        <w:tab/>
      </w:r>
      <w:proofErr w:type="spellStart"/>
      <w:r w:rsidRPr="00F95C8E">
        <w:rPr>
          <w:sz w:val="26"/>
          <w:szCs w:val="26"/>
        </w:rPr>
        <w:t>E.Rinkēvičs</w:t>
      </w:r>
      <w:proofErr w:type="spellEnd"/>
    </w:p>
    <w:p w:rsidR="00D571D9" w:rsidRPr="00D571D9" w:rsidRDefault="00D571D9" w:rsidP="00D571D9">
      <w:pPr>
        <w:jc w:val="both"/>
        <w:rPr>
          <w:sz w:val="26"/>
          <w:szCs w:val="26"/>
        </w:rPr>
      </w:pPr>
    </w:p>
    <w:p w:rsidR="00D571D9" w:rsidRPr="00D571D9" w:rsidRDefault="00D571D9" w:rsidP="00D571D9">
      <w:pPr>
        <w:jc w:val="both"/>
        <w:rPr>
          <w:sz w:val="26"/>
          <w:szCs w:val="26"/>
        </w:rPr>
      </w:pPr>
    </w:p>
    <w:p w:rsidR="00D571D9" w:rsidRPr="00D571D9" w:rsidRDefault="00D571D9" w:rsidP="00D571D9">
      <w:pPr>
        <w:ind w:firstLine="0"/>
        <w:jc w:val="both"/>
        <w:rPr>
          <w:sz w:val="26"/>
          <w:szCs w:val="26"/>
        </w:rPr>
      </w:pPr>
      <w:r w:rsidRPr="00D571D9">
        <w:rPr>
          <w:sz w:val="26"/>
          <w:szCs w:val="26"/>
        </w:rPr>
        <w:t>Vīzas:</w:t>
      </w:r>
    </w:p>
    <w:p w:rsidR="00D571D9" w:rsidRPr="00D571D9" w:rsidRDefault="00E21395" w:rsidP="00DF1D48">
      <w:pPr>
        <w:tabs>
          <w:tab w:val="right" w:pos="9072"/>
        </w:tabs>
        <w:ind w:firstLine="0"/>
        <w:jc w:val="both"/>
        <w:rPr>
          <w:sz w:val="26"/>
          <w:szCs w:val="26"/>
        </w:rPr>
      </w:pPr>
      <w:r>
        <w:rPr>
          <w:sz w:val="26"/>
          <w:szCs w:val="26"/>
        </w:rPr>
        <w:t>valsts sekretār</w:t>
      </w:r>
      <w:r w:rsidR="00CD626A">
        <w:rPr>
          <w:sz w:val="26"/>
          <w:szCs w:val="26"/>
        </w:rPr>
        <w:t>s</w:t>
      </w:r>
      <w:r>
        <w:rPr>
          <w:sz w:val="26"/>
          <w:szCs w:val="26"/>
        </w:rPr>
        <w:t xml:space="preserve"> </w:t>
      </w:r>
      <w:r w:rsidR="00D571D9" w:rsidRPr="00D571D9">
        <w:rPr>
          <w:sz w:val="26"/>
          <w:szCs w:val="26"/>
        </w:rPr>
        <w:t xml:space="preserve"> </w:t>
      </w:r>
      <w:r w:rsidR="00D571D9" w:rsidRPr="00D571D9">
        <w:rPr>
          <w:sz w:val="26"/>
          <w:szCs w:val="26"/>
        </w:rPr>
        <w:tab/>
      </w:r>
      <w:proofErr w:type="spellStart"/>
      <w:r w:rsidR="00CD626A">
        <w:rPr>
          <w:sz w:val="26"/>
          <w:szCs w:val="26"/>
        </w:rPr>
        <w:t>A.Pildegovičs</w:t>
      </w:r>
      <w:proofErr w:type="spellEnd"/>
    </w:p>
    <w:p w:rsidR="00D571D9" w:rsidRPr="00D571D9" w:rsidRDefault="00D571D9" w:rsidP="00D571D9">
      <w:pPr>
        <w:ind w:firstLine="0"/>
        <w:jc w:val="both"/>
        <w:rPr>
          <w:sz w:val="26"/>
          <w:szCs w:val="26"/>
        </w:rPr>
      </w:pPr>
    </w:p>
    <w:p w:rsidR="00CD626A" w:rsidRDefault="00CD626A" w:rsidP="00DF1D48">
      <w:pPr>
        <w:tabs>
          <w:tab w:val="right" w:pos="9072"/>
        </w:tabs>
        <w:ind w:firstLine="0"/>
        <w:jc w:val="both"/>
        <w:rPr>
          <w:sz w:val="26"/>
          <w:szCs w:val="26"/>
        </w:rPr>
      </w:pPr>
    </w:p>
    <w:p w:rsidR="00D571D9" w:rsidRPr="00D571D9" w:rsidRDefault="00CD626A" w:rsidP="00DF1D48">
      <w:pPr>
        <w:tabs>
          <w:tab w:val="right" w:pos="9072"/>
        </w:tabs>
        <w:ind w:firstLine="0"/>
        <w:jc w:val="both"/>
        <w:rPr>
          <w:sz w:val="26"/>
          <w:szCs w:val="26"/>
        </w:rPr>
      </w:pPr>
      <w:r>
        <w:rPr>
          <w:sz w:val="26"/>
          <w:szCs w:val="26"/>
        </w:rPr>
        <w:t>valsts sekretāra vietniece Eiropas lietās</w:t>
      </w:r>
      <w:r w:rsidR="00D571D9" w:rsidRPr="00D571D9">
        <w:rPr>
          <w:sz w:val="26"/>
          <w:szCs w:val="26"/>
        </w:rPr>
        <w:t xml:space="preserve"> </w:t>
      </w:r>
      <w:r w:rsidR="00D571D9" w:rsidRPr="00D571D9">
        <w:rPr>
          <w:sz w:val="26"/>
          <w:szCs w:val="26"/>
        </w:rPr>
        <w:tab/>
      </w:r>
      <w:r>
        <w:rPr>
          <w:sz w:val="26"/>
          <w:szCs w:val="26"/>
        </w:rPr>
        <w:t>I.Skujiņa</w:t>
      </w:r>
    </w:p>
    <w:p w:rsidR="00D571D9" w:rsidRPr="00D571D9" w:rsidRDefault="00D571D9" w:rsidP="00D571D9">
      <w:pPr>
        <w:ind w:firstLine="0"/>
      </w:pPr>
    </w:p>
    <w:p w:rsidR="00D571D9" w:rsidRDefault="00D571D9" w:rsidP="00D571D9">
      <w:pPr>
        <w:ind w:firstLine="0"/>
      </w:pPr>
    </w:p>
    <w:p w:rsidR="00D571D9" w:rsidRDefault="00D571D9" w:rsidP="00D571D9">
      <w:pPr>
        <w:ind w:firstLine="0"/>
      </w:pPr>
    </w:p>
    <w:p w:rsidR="00D571D9" w:rsidRPr="00D571D9" w:rsidRDefault="00387496" w:rsidP="00D571D9">
      <w:pPr>
        <w:ind w:firstLine="0"/>
      </w:pPr>
      <w:r>
        <w:t>06.03</w:t>
      </w:r>
      <w:r w:rsidR="00D571D9" w:rsidRPr="00D571D9">
        <w:t>.201</w:t>
      </w:r>
      <w:r w:rsidR="00CD626A">
        <w:t>5</w:t>
      </w:r>
      <w:r w:rsidR="00D571D9">
        <w:t xml:space="preserve">. </w:t>
      </w:r>
      <w:r>
        <w:t>14</w:t>
      </w:r>
      <w:r w:rsidR="004821C7">
        <w:t>:</w:t>
      </w:r>
      <w:r w:rsidR="002B18E5">
        <w:t>44</w:t>
      </w:r>
    </w:p>
    <w:p w:rsidR="00D571D9" w:rsidRPr="00D571D9" w:rsidRDefault="008E5FB5" w:rsidP="00D571D9">
      <w:pPr>
        <w:ind w:firstLine="0"/>
      </w:pPr>
      <w:r>
        <w:t>55</w:t>
      </w:r>
      <w:r w:rsidR="009547DE">
        <w:t>1</w:t>
      </w:r>
      <w:bookmarkStart w:id="4" w:name="_GoBack"/>
      <w:bookmarkEnd w:id="4"/>
    </w:p>
    <w:p w:rsidR="00D571D9" w:rsidRPr="00D571D9" w:rsidRDefault="00571BF1" w:rsidP="00D571D9">
      <w:pPr>
        <w:ind w:firstLine="0"/>
      </w:pPr>
      <w:proofErr w:type="spellStart"/>
      <w:r>
        <w:t>Dz.Liepiņa</w:t>
      </w:r>
      <w:proofErr w:type="spellEnd"/>
    </w:p>
    <w:p w:rsidR="00D571D9" w:rsidRPr="00D571D9" w:rsidRDefault="00D571D9" w:rsidP="00D571D9">
      <w:pPr>
        <w:ind w:firstLine="0"/>
        <w:rPr>
          <w:color w:val="0000FF"/>
          <w:u w:val="single"/>
        </w:rPr>
      </w:pPr>
      <w:r w:rsidRPr="00D571D9">
        <w:t>670117</w:t>
      </w:r>
      <w:r w:rsidR="00571BF1">
        <w:t>59</w:t>
      </w:r>
      <w:r w:rsidRPr="00D571D9">
        <w:t xml:space="preserve">, </w:t>
      </w:r>
      <w:r w:rsidR="00571BF1">
        <w:t>dzidra.liepina</w:t>
      </w:r>
      <w:r>
        <w:t>@es2015.lv</w:t>
      </w:r>
    </w:p>
    <w:p w:rsidR="006A3F54" w:rsidRPr="001E4925" w:rsidRDefault="006A3F54" w:rsidP="001E4925">
      <w:pPr>
        <w:ind w:firstLine="0"/>
        <w:jc w:val="both"/>
        <w:rPr>
          <w:sz w:val="28"/>
          <w:szCs w:val="28"/>
        </w:rPr>
      </w:pPr>
    </w:p>
    <w:sectPr w:rsidR="006A3F54" w:rsidRPr="001E4925" w:rsidSect="00BA0CBC">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66" w:rsidRDefault="00651766" w:rsidP="00BA0CBC">
      <w:r>
        <w:separator/>
      </w:r>
    </w:p>
  </w:endnote>
  <w:endnote w:type="continuationSeparator" w:id="0">
    <w:p w:rsidR="00651766" w:rsidRDefault="00651766" w:rsidP="00BA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BC" w:rsidRPr="00F1244C" w:rsidRDefault="00F1244C" w:rsidP="00F1244C">
    <w:pPr>
      <w:ind w:firstLine="0"/>
      <w:jc w:val="both"/>
      <w:rPr>
        <w:rFonts w:eastAsia="SimSun"/>
        <w:bCs/>
        <w:kern w:val="1"/>
        <w:lang w:eastAsia="ar-SA"/>
      </w:rPr>
    </w:pPr>
    <w:r w:rsidRPr="00137801">
      <w:t>AMAnot_</w:t>
    </w:r>
    <w:r w:rsidR="00387496">
      <w:t>0603</w:t>
    </w:r>
    <w:r>
      <w:t>15_PRES_budzets</w:t>
    </w:r>
    <w:r w:rsidRPr="00137801">
      <w:t xml:space="preserve">; </w:t>
    </w:r>
    <w:r w:rsidRPr="00EF4F43">
      <w:t xml:space="preserve">Ministru kabineta </w:t>
    </w:r>
    <w:r w:rsidRPr="00F1244C">
      <w:t>rīkojuma „</w:t>
    </w:r>
    <w:r w:rsidRPr="00F1244C">
      <w:rPr>
        <w:lang w:eastAsia="en-US"/>
      </w:rPr>
      <w:t>Par finansējuma Latvijas prezidentūras Eiropas Savienības Padomē nodrošināšanai izlietojumu</w:t>
    </w:r>
    <w:r w:rsidRPr="00F1244C">
      <w:rPr>
        <w:rFonts w:eastAsia="SimSun"/>
        <w:bCs/>
        <w:kern w:val="2"/>
        <w:lang w:eastAsia="ar-SA"/>
      </w:rPr>
      <w:t>” projekta</w:t>
    </w:r>
    <w:r w:rsidRPr="00F1244C">
      <w:t xml:space="preserve"> </w:t>
    </w:r>
    <w:r w:rsidRPr="00EF4F43">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BC" w:rsidRPr="00EF4F43" w:rsidRDefault="00137801" w:rsidP="00137801">
    <w:pPr>
      <w:ind w:firstLine="0"/>
      <w:jc w:val="both"/>
      <w:rPr>
        <w:rFonts w:eastAsia="SimSun"/>
        <w:bCs/>
        <w:kern w:val="1"/>
        <w:lang w:eastAsia="ar-SA"/>
      </w:rPr>
    </w:pPr>
    <w:r w:rsidRPr="00137801">
      <w:t>AMAnot_</w:t>
    </w:r>
    <w:r w:rsidR="00387496">
      <w:t>0603</w:t>
    </w:r>
    <w:r w:rsidR="00F1244C">
      <w:t>15</w:t>
    </w:r>
    <w:r>
      <w:t>_</w:t>
    </w:r>
    <w:r w:rsidR="00F1244C">
      <w:t>PRES_</w:t>
    </w:r>
    <w:r w:rsidR="00DA5D92">
      <w:t>budz</w:t>
    </w:r>
    <w:r w:rsidR="00A0404C">
      <w:t>ets</w:t>
    </w:r>
    <w:r w:rsidRPr="00137801">
      <w:t xml:space="preserve">; </w:t>
    </w:r>
    <w:r w:rsidR="00EF4F43" w:rsidRPr="00EF4F43">
      <w:t xml:space="preserve">Ministru kabineta </w:t>
    </w:r>
    <w:r w:rsidR="00EF4F43" w:rsidRPr="00F1244C">
      <w:t>rīkojuma „</w:t>
    </w:r>
    <w:r w:rsidR="00F1244C" w:rsidRPr="00F1244C">
      <w:rPr>
        <w:lang w:eastAsia="en-US"/>
      </w:rPr>
      <w:t>Par finansējuma Latvijas prezidentūras Eiropas Savienības Padomē nodrošināšanai izlietojumu</w:t>
    </w:r>
    <w:r w:rsidR="00EF4F43" w:rsidRPr="00F1244C">
      <w:rPr>
        <w:rFonts w:eastAsia="SimSun"/>
        <w:bCs/>
        <w:kern w:val="2"/>
        <w:lang w:eastAsia="ar-SA"/>
      </w:rPr>
      <w:t>” projekta</w:t>
    </w:r>
    <w:r w:rsidR="00EF4F43" w:rsidRPr="00F1244C">
      <w:t xml:space="preserve"> </w:t>
    </w:r>
    <w:r w:rsidR="00EF4F43" w:rsidRPr="00EF4F43">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66" w:rsidRDefault="00651766" w:rsidP="00BA0CBC">
      <w:r>
        <w:separator/>
      </w:r>
    </w:p>
  </w:footnote>
  <w:footnote w:type="continuationSeparator" w:id="0">
    <w:p w:rsidR="00651766" w:rsidRDefault="00651766" w:rsidP="00BA0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77726"/>
      <w:docPartObj>
        <w:docPartGallery w:val="Page Numbers (Top of Page)"/>
        <w:docPartUnique/>
      </w:docPartObj>
    </w:sdtPr>
    <w:sdtEndPr>
      <w:rPr>
        <w:noProof/>
        <w:sz w:val="24"/>
        <w:szCs w:val="24"/>
      </w:rPr>
    </w:sdtEndPr>
    <w:sdtContent>
      <w:p w:rsidR="00BA0CBC" w:rsidRPr="009374E6" w:rsidRDefault="00BA0CBC">
        <w:pPr>
          <w:pStyle w:val="Header"/>
          <w:jc w:val="center"/>
          <w:rPr>
            <w:sz w:val="24"/>
            <w:szCs w:val="24"/>
          </w:rPr>
        </w:pPr>
        <w:r w:rsidRPr="009374E6">
          <w:rPr>
            <w:sz w:val="24"/>
            <w:szCs w:val="24"/>
          </w:rPr>
          <w:fldChar w:fldCharType="begin"/>
        </w:r>
        <w:r w:rsidRPr="009374E6">
          <w:rPr>
            <w:sz w:val="24"/>
            <w:szCs w:val="24"/>
          </w:rPr>
          <w:instrText xml:space="preserve"> PAGE   \* MERGEFORMAT </w:instrText>
        </w:r>
        <w:r w:rsidRPr="009374E6">
          <w:rPr>
            <w:sz w:val="24"/>
            <w:szCs w:val="24"/>
          </w:rPr>
          <w:fldChar w:fldCharType="separate"/>
        </w:r>
        <w:r w:rsidR="00387496">
          <w:rPr>
            <w:noProof/>
            <w:sz w:val="24"/>
            <w:szCs w:val="24"/>
          </w:rPr>
          <w:t>3</w:t>
        </w:r>
        <w:r w:rsidRPr="009374E6">
          <w:rPr>
            <w:noProof/>
            <w:sz w:val="24"/>
            <w:szCs w:val="24"/>
          </w:rPr>
          <w:fldChar w:fldCharType="end"/>
        </w:r>
      </w:p>
    </w:sdtContent>
  </w:sdt>
  <w:p w:rsidR="00BA0CBC" w:rsidRDefault="00BA0CBC">
    <w:pPr>
      <w:pStyle w:val="Header"/>
    </w:pPr>
  </w:p>
  <w:p w:rsidR="00B502B6" w:rsidRDefault="00B502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6564"/>
    <w:multiLevelType w:val="hybridMultilevel"/>
    <w:tmpl w:val="EE38757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DDD5252"/>
    <w:multiLevelType w:val="hybridMultilevel"/>
    <w:tmpl w:val="AA90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25"/>
    <w:rsid w:val="0000702F"/>
    <w:rsid w:val="0001576A"/>
    <w:rsid w:val="00031731"/>
    <w:rsid w:val="0005112F"/>
    <w:rsid w:val="000517DC"/>
    <w:rsid w:val="00055416"/>
    <w:rsid w:val="000B299E"/>
    <w:rsid w:val="000C1873"/>
    <w:rsid w:val="000C75A6"/>
    <w:rsid w:val="000E1BD6"/>
    <w:rsid w:val="00133848"/>
    <w:rsid w:val="00137801"/>
    <w:rsid w:val="0014331E"/>
    <w:rsid w:val="00150BFD"/>
    <w:rsid w:val="001A277C"/>
    <w:rsid w:val="001A609D"/>
    <w:rsid w:val="001C3051"/>
    <w:rsid w:val="001E4925"/>
    <w:rsid w:val="001F480C"/>
    <w:rsid w:val="001F6358"/>
    <w:rsid w:val="0022102F"/>
    <w:rsid w:val="002520EA"/>
    <w:rsid w:val="002B18E5"/>
    <w:rsid w:val="002D6D7C"/>
    <w:rsid w:val="00304BAB"/>
    <w:rsid w:val="00337EBE"/>
    <w:rsid w:val="00347E6A"/>
    <w:rsid w:val="003500F1"/>
    <w:rsid w:val="00366DF7"/>
    <w:rsid w:val="00374DEF"/>
    <w:rsid w:val="00376B02"/>
    <w:rsid w:val="00387496"/>
    <w:rsid w:val="003A21E2"/>
    <w:rsid w:val="003B039E"/>
    <w:rsid w:val="003C16DD"/>
    <w:rsid w:val="00401C6F"/>
    <w:rsid w:val="00431519"/>
    <w:rsid w:val="00433792"/>
    <w:rsid w:val="00445600"/>
    <w:rsid w:val="004802B5"/>
    <w:rsid w:val="004821C7"/>
    <w:rsid w:val="0048563A"/>
    <w:rsid w:val="00492861"/>
    <w:rsid w:val="004F0BF3"/>
    <w:rsid w:val="00501257"/>
    <w:rsid w:val="00502AA1"/>
    <w:rsid w:val="00505CBC"/>
    <w:rsid w:val="0057040B"/>
    <w:rsid w:val="00571BF1"/>
    <w:rsid w:val="00592C4A"/>
    <w:rsid w:val="005977CE"/>
    <w:rsid w:val="005B721A"/>
    <w:rsid w:val="005D479B"/>
    <w:rsid w:val="005E35BC"/>
    <w:rsid w:val="00603736"/>
    <w:rsid w:val="00611D65"/>
    <w:rsid w:val="00630E58"/>
    <w:rsid w:val="00642394"/>
    <w:rsid w:val="006434CB"/>
    <w:rsid w:val="00651766"/>
    <w:rsid w:val="00676191"/>
    <w:rsid w:val="0069090B"/>
    <w:rsid w:val="0069364A"/>
    <w:rsid w:val="00695B8F"/>
    <w:rsid w:val="006A3F54"/>
    <w:rsid w:val="006F742C"/>
    <w:rsid w:val="007153A5"/>
    <w:rsid w:val="0071762D"/>
    <w:rsid w:val="00745455"/>
    <w:rsid w:val="00754291"/>
    <w:rsid w:val="0077287C"/>
    <w:rsid w:val="00791C3C"/>
    <w:rsid w:val="007B694D"/>
    <w:rsid w:val="00804234"/>
    <w:rsid w:val="00805E28"/>
    <w:rsid w:val="008522AC"/>
    <w:rsid w:val="00861441"/>
    <w:rsid w:val="00873B0B"/>
    <w:rsid w:val="008C245A"/>
    <w:rsid w:val="008D6615"/>
    <w:rsid w:val="008E5FB5"/>
    <w:rsid w:val="009004DF"/>
    <w:rsid w:val="00912E22"/>
    <w:rsid w:val="00922BF7"/>
    <w:rsid w:val="00932E95"/>
    <w:rsid w:val="009374E6"/>
    <w:rsid w:val="009547DE"/>
    <w:rsid w:val="009B16DB"/>
    <w:rsid w:val="009D17C8"/>
    <w:rsid w:val="009F0348"/>
    <w:rsid w:val="00A03C5B"/>
    <w:rsid w:val="00A0404C"/>
    <w:rsid w:val="00A15B23"/>
    <w:rsid w:val="00A25B6F"/>
    <w:rsid w:val="00A31A85"/>
    <w:rsid w:val="00A513E7"/>
    <w:rsid w:val="00A550E7"/>
    <w:rsid w:val="00A77484"/>
    <w:rsid w:val="00A82102"/>
    <w:rsid w:val="00AA0CFC"/>
    <w:rsid w:val="00AA6756"/>
    <w:rsid w:val="00AB663D"/>
    <w:rsid w:val="00AB7D2B"/>
    <w:rsid w:val="00AF3202"/>
    <w:rsid w:val="00B04354"/>
    <w:rsid w:val="00B338E8"/>
    <w:rsid w:val="00B34DDF"/>
    <w:rsid w:val="00B502B6"/>
    <w:rsid w:val="00B54A81"/>
    <w:rsid w:val="00B761B9"/>
    <w:rsid w:val="00BA0CBC"/>
    <w:rsid w:val="00BA257D"/>
    <w:rsid w:val="00BD2851"/>
    <w:rsid w:val="00BD3E2B"/>
    <w:rsid w:val="00BE1AF4"/>
    <w:rsid w:val="00BF48E2"/>
    <w:rsid w:val="00C20388"/>
    <w:rsid w:val="00C32AE7"/>
    <w:rsid w:val="00C50572"/>
    <w:rsid w:val="00C54512"/>
    <w:rsid w:val="00C56B3F"/>
    <w:rsid w:val="00C66AAF"/>
    <w:rsid w:val="00C716DD"/>
    <w:rsid w:val="00C7554C"/>
    <w:rsid w:val="00C932EB"/>
    <w:rsid w:val="00CD626A"/>
    <w:rsid w:val="00CF18B2"/>
    <w:rsid w:val="00D07517"/>
    <w:rsid w:val="00D1543E"/>
    <w:rsid w:val="00D178A1"/>
    <w:rsid w:val="00D43008"/>
    <w:rsid w:val="00D571D9"/>
    <w:rsid w:val="00D748DB"/>
    <w:rsid w:val="00DA5D92"/>
    <w:rsid w:val="00DB1D92"/>
    <w:rsid w:val="00DE1CC9"/>
    <w:rsid w:val="00DE53B8"/>
    <w:rsid w:val="00DF1D48"/>
    <w:rsid w:val="00DF4D18"/>
    <w:rsid w:val="00E043D2"/>
    <w:rsid w:val="00E0765C"/>
    <w:rsid w:val="00E11FDE"/>
    <w:rsid w:val="00E21395"/>
    <w:rsid w:val="00E3648B"/>
    <w:rsid w:val="00E44ED2"/>
    <w:rsid w:val="00E71D2B"/>
    <w:rsid w:val="00E7203E"/>
    <w:rsid w:val="00E94400"/>
    <w:rsid w:val="00E97466"/>
    <w:rsid w:val="00EF4F43"/>
    <w:rsid w:val="00F057CA"/>
    <w:rsid w:val="00F1244C"/>
    <w:rsid w:val="00F17769"/>
    <w:rsid w:val="00F25617"/>
    <w:rsid w:val="00F74971"/>
    <w:rsid w:val="00F95C8E"/>
    <w:rsid w:val="00FA0846"/>
    <w:rsid w:val="00FC085B"/>
    <w:rsid w:val="00FF45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40"/>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lv-LV"/>
    </w:rPr>
  </w:style>
  <w:style w:type="paragraph" w:styleId="Heading3">
    <w:name w:val="heading 3"/>
    <w:basedOn w:val="Normal"/>
    <w:link w:val="Heading3Char"/>
    <w:uiPriority w:val="9"/>
    <w:unhideWhenUsed/>
    <w:qFormat/>
    <w:rsid w:val="001E4925"/>
    <w:pPr>
      <w:spacing w:before="100" w:beforeAutospacing="1" w:after="100" w:afterAutospacing="1"/>
      <w:ind w:firstLine="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4925"/>
    <w:rPr>
      <w:b/>
      <w:bCs/>
      <w:sz w:val="27"/>
      <w:szCs w:val="27"/>
      <w:lang w:eastAsia="lv-LV"/>
    </w:rPr>
  </w:style>
  <w:style w:type="paragraph" w:customStyle="1" w:styleId="naisf">
    <w:name w:val="naisf"/>
    <w:basedOn w:val="Normal"/>
    <w:rsid w:val="001E4925"/>
    <w:pPr>
      <w:spacing w:before="100" w:beforeAutospacing="1" w:after="100" w:afterAutospacing="1"/>
      <w:ind w:firstLine="0"/>
    </w:pPr>
    <w:rPr>
      <w:sz w:val="24"/>
      <w:szCs w:val="24"/>
    </w:rPr>
  </w:style>
  <w:style w:type="paragraph" w:customStyle="1" w:styleId="naisnod">
    <w:name w:val="naisnod"/>
    <w:basedOn w:val="Normal"/>
    <w:rsid w:val="001E4925"/>
    <w:pPr>
      <w:spacing w:before="100" w:beforeAutospacing="1" w:after="100" w:afterAutospacing="1"/>
      <w:ind w:firstLine="0"/>
    </w:pPr>
    <w:rPr>
      <w:sz w:val="24"/>
      <w:szCs w:val="24"/>
    </w:rPr>
  </w:style>
  <w:style w:type="paragraph" w:customStyle="1" w:styleId="naiskr">
    <w:name w:val="naiskr"/>
    <w:basedOn w:val="Normal"/>
    <w:rsid w:val="001E4925"/>
    <w:pPr>
      <w:spacing w:before="100" w:beforeAutospacing="1" w:after="100" w:afterAutospacing="1"/>
      <w:ind w:firstLine="0"/>
    </w:pPr>
    <w:rPr>
      <w:sz w:val="24"/>
      <w:szCs w:val="24"/>
    </w:rPr>
  </w:style>
  <w:style w:type="paragraph" w:styleId="ListParagraph">
    <w:name w:val="List Paragraph"/>
    <w:basedOn w:val="Normal"/>
    <w:uiPriority w:val="34"/>
    <w:qFormat/>
    <w:rsid w:val="000517DC"/>
    <w:pPr>
      <w:spacing w:after="200" w:line="276" w:lineRule="auto"/>
      <w:ind w:left="720" w:firstLine="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BA0CBC"/>
    <w:pPr>
      <w:tabs>
        <w:tab w:val="center" w:pos="4153"/>
        <w:tab w:val="right" w:pos="8306"/>
      </w:tabs>
    </w:pPr>
  </w:style>
  <w:style w:type="character" w:customStyle="1" w:styleId="HeaderChar">
    <w:name w:val="Header Char"/>
    <w:basedOn w:val="DefaultParagraphFont"/>
    <w:link w:val="Header"/>
    <w:uiPriority w:val="99"/>
    <w:rsid w:val="00BA0CBC"/>
    <w:rPr>
      <w:sz w:val="20"/>
      <w:szCs w:val="20"/>
      <w:lang w:eastAsia="lv-LV"/>
    </w:rPr>
  </w:style>
  <w:style w:type="paragraph" w:styleId="Footer">
    <w:name w:val="footer"/>
    <w:basedOn w:val="Normal"/>
    <w:link w:val="FooterChar"/>
    <w:uiPriority w:val="99"/>
    <w:unhideWhenUsed/>
    <w:rsid w:val="00BA0CBC"/>
    <w:pPr>
      <w:tabs>
        <w:tab w:val="center" w:pos="4153"/>
        <w:tab w:val="right" w:pos="8306"/>
      </w:tabs>
    </w:pPr>
  </w:style>
  <w:style w:type="character" w:customStyle="1" w:styleId="FooterChar">
    <w:name w:val="Footer Char"/>
    <w:basedOn w:val="DefaultParagraphFont"/>
    <w:link w:val="Footer"/>
    <w:uiPriority w:val="99"/>
    <w:rsid w:val="00BA0CBC"/>
    <w:rPr>
      <w:sz w:val="20"/>
      <w:szCs w:val="20"/>
      <w:lang w:eastAsia="lv-LV"/>
    </w:rPr>
  </w:style>
  <w:style w:type="paragraph" w:styleId="BalloonText">
    <w:name w:val="Balloon Text"/>
    <w:basedOn w:val="Normal"/>
    <w:link w:val="BalloonTextChar"/>
    <w:uiPriority w:val="99"/>
    <w:semiHidden/>
    <w:unhideWhenUsed/>
    <w:rsid w:val="00BA0CBC"/>
    <w:rPr>
      <w:rFonts w:ascii="Tahoma" w:hAnsi="Tahoma" w:cs="Tahoma"/>
      <w:sz w:val="16"/>
      <w:szCs w:val="16"/>
    </w:rPr>
  </w:style>
  <w:style w:type="character" w:customStyle="1" w:styleId="BalloonTextChar">
    <w:name w:val="Balloon Text Char"/>
    <w:basedOn w:val="DefaultParagraphFont"/>
    <w:link w:val="BalloonText"/>
    <w:uiPriority w:val="99"/>
    <w:semiHidden/>
    <w:rsid w:val="00BA0CBC"/>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40"/>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lv-LV"/>
    </w:rPr>
  </w:style>
  <w:style w:type="paragraph" w:styleId="Heading3">
    <w:name w:val="heading 3"/>
    <w:basedOn w:val="Normal"/>
    <w:link w:val="Heading3Char"/>
    <w:uiPriority w:val="9"/>
    <w:unhideWhenUsed/>
    <w:qFormat/>
    <w:rsid w:val="001E4925"/>
    <w:pPr>
      <w:spacing w:before="100" w:beforeAutospacing="1" w:after="100" w:afterAutospacing="1"/>
      <w:ind w:firstLine="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4925"/>
    <w:rPr>
      <w:b/>
      <w:bCs/>
      <w:sz w:val="27"/>
      <w:szCs w:val="27"/>
      <w:lang w:eastAsia="lv-LV"/>
    </w:rPr>
  </w:style>
  <w:style w:type="paragraph" w:customStyle="1" w:styleId="naisf">
    <w:name w:val="naisf"/>
    <w:basedOn w:val="Normal"/>
    <w:rsid w:val="001E4925"/>
    <w:pPr>
      <w:spacing w:before="100" w:beforeAutospacing="1" w:after="100" w:afterAutospacing="1"/>
      <w:ind w:firstLine="0"/>
    </w:pPr>
    <w:rPr>
      <w:sz w:val="24"/>
      <w:szCs w:val="24"/>
    </w:rPr>
  </w:style>
  <w:style w:type="paragraph" w:customStyle="1" w:styleId="naisnod">
    <w:name w:val="naisnod"/>
    <w:basedOn w:val="Normal"/>
    <w:rsid w:val="001E4925"/>
    <w:pPr>
      <w:spacing w:before="100" w:beforeAutospacing="1" w:after="100" w:afterAutospacing="1"/>
      <w:ind w:firstLine="0"/>
    </w:pPr>
    <w:rPr>
      <w:sz w:val="24"/>
      <w:szCs w:val="24"/>
    </w:rPr>
  </w:style>
  <w:style w:type="paragraph" w:customStyle="1" w:styleId="naiskr">
    <w:name w:val="naiskr"/>
    <w:basedOn w:val="Normal"/>
    <w:rsid w:val="001E4925"/>
    <w:pPr>
      <w:spacing w:before="100" w:beforeAutospacing="1" w:after="100" w:afterAutospacing="1"/>
      <w:ind w:firstLine="0"/>
    </w:pPr>
    <w:rPr>
      <w:sz w:val="24"/>
      <w:szCs w:val="24"/>
    </w:rPr>
  </w:style>
  <w:style w:type="paragraph" w:styleId="ListParagraph">
    <w:name w:val="List Paragraph"/>
    <w:basedOn w:val="Normal"/>
    <w:uiPriority w:val="34"/>
    <w:qFormat/>
    <w:rsid w:val="000517DC"/>
    <w:pPr>
      <w:spacing w:after="200" w:line="276" w:lineRule="auto"/>
      <w:ind w:left="720" w:firstLine="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BA0CBC"/>
    <w:pPr>
      <w:tabs>
        <w:tab w:val="center" w:pos="4153"/>
        <w:tab w:val="right" w:pos="8306"/>
      </w:tabs>
    </w:pPr>
  </w:style>
  <w:style w:type="character" w:customStyle="1" w:styleId="HeaderChar">
    <w:name w:val="Header Char"/>
    <w:basedOn w:val="DefaultParagraphFont"/>
    <w:link w:val="Header"/>
    <w:uiPriority w:val="99"/>
    <w:rsid w:val="00BA0CBC"/>
    <w:rPr>
      <w:sz w:val="20"/>
      <w:szCs w:val="20"/>
      <w:lang w:eastAsia="lv-LV"/>
    </w:rPr>
  </w:style>
  <w:style w:type="paragraph" w:styleId="Footer">
    <w:name w:val="footer"/>
    <w:basedOn w:val="Normal"/>
    <w:link w:val="FooterChar"/>
    <w:uiPriority w:val="99"/>
    <w:unhideWhenUsed/>
    <w:rsid w:val="00BA0CBC"/>
    <w:pPr>
      <w:tabs>
        <w:tab w:val="center" w:pos="4153"/>
        <w:tab w:val="right" w:pos="8306"/>
      </w:tabs>
    </w:pPr>
  </w:style>
  <w:style w:type="character" w:customStyle="1" w:styleId="FooterChar">
    <w:name w:val="Footer Char"/>
    <w:basedOn w:val="DefaultParagraphFont"/>
    <w:link w:val="Footer"/>
    <w:uiPriority w:val="99"/>
    <w:rsid w:val="00BA0CBC"/>
    <w:rPr>
      <w:sz w:val="20"/>
      <w:szCs w:val="20"/>
      <w:lang w:eastAsia="lv-LV"/>
    </w:rPr>
  </w:style>
  <w:style w:type="paragraph" w:styleId="BalloonText">
    <w:name w:val="Balloon Text"/>
    <w:basedOn w:val="Normal"/>
    <w:link w:val="BalloonTextChar"/>
    <w:uiPriority w:val="99"/>
    <w:semiHidden/>
    <w:unhideWhenUsed/>
    <w:rsid w:val="00BA0CBC"/>
    <w:rPr>
      <w:rFonts w:ascii="Tahoma" w:hAnsi="Tahoma" w:cs="Tahoma"/>
      <w:sz w:val="16"/>
      <w:szCs w:val="16"/>
    </w:rPr>
  </w:style>
  <w:style w:type="character" w:customStyle="1" w:styleId="BalloonTextChar">
    <w:name w:val="Balloon Text Char"/>
    <w:basedOn w:val="DefaultParagraphFont"/>
    <w:link w:val="BalloonText"/>
    <w:uiPriority w:val="99"/>
    <w:semiHidden/>
    <w:rsid w:val="00BA0CBC"/>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26046">
      <w:bodyDiv w:val="1"/>
      <w:marLeft w:val="0"/>
      <w:marRight w:val="0"/>
      <w:marTop w:val="0"/>
      <w:marBottom w:val="0"/>
      <w:divBdr>
        <w:top w:val="none" w:sz="0" w:space="0" w:color="auto"/>
        <w:left w:val="none" w:sz="0" w:space="0" w:color="auto"/>
        <w:bottom w:val="none" w:sz="0" w:space="0" w:color="auto"/>
        <w:right w:val="none" w:sz="0" w:space="0" w:color="auto"/>
      </w:divBdr>
    </w:div>
    <w:div w:id="1319921418">
      <w:bodyDiv w:val="1"/>
      <w:marLeft w:val="0"/>
      <w:marRight w:val="0"/>
      <w:marTop w:val="0"/>
      <w:marBottom w:val="0"/>
      <w:divBdr>
        <w:top w:val="none" w:sz="0" w:space="0" w:color="auto"/>
        <w:left w:val="none" w:sz="0" w:space="0" w:color="auto"/>
        <w:bottom w:val="none" w:sz="0" w:space="0" w:color="auto"/>
        <w:right w:val="none" w:sz="0" w:space="0" w:color="auto"/>
      </w:divBdr>
    </w:div>
    <w:div w:id="19651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1291C-4BAF-4035-ACCE-32D99C88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3200</Words>
  <Characters>1825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LV PRES 2015</vt:lpstr>
      <vt:lpstr>LV PRES 2015</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PRES 2015</dc:title>
  <dc:creator>dzidra.liepina@es2015.lv</dc:creator>
  <cp:lastModifiedBy>Liga Kalsone</cp:lastModifiedBy>
  <cp:revision>3</cp:revision>
  <cp:lastPrinted>2015-02-23T11:42:00Z</cp:lastPrinted>
  <dcterms:created xsi:type="dcterms:W3CDTF">2015-03-06T12:47:00Z</dcterms:created>
  <dcterms:modified xsi:type="dcterms:W3CDTF">2015-03-06T12:49:00Z</dcterms:modified>
</cp:coreProperties>
</file>