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E9" w:rsidRDefault="00E520E9" w:rsidP="00E520E9">
      <w:pPr>
        <w:ind w:firstLine="720"/>
        <w:jc w:val="center"/>
        <w:rPr>
          <w:b/>
          <w:sz w:val="26"/>
          <w:szCs w:val="26"/>
        </w:rPr>
      </w:pPr>
      <w:r w:rsidRPr="009E48A7">
        <w:rPr>
          <w:b/>
          <w:sz w:val="26"/>
          <w:szCs w:val="26"/>
        </w:rPr>
        <w:t>Ministru kabineta noteikumu projekta „Grozījumi Ministru kabineta 2009.gada 27.oktobra noteikumos Nr.1227 „Noteikumi par regulējamiem sabiedrisko pakalpojumu veidiem”” sākotnējās ietekmes novērtējuma ziņojums (anotācija)</w:t>
      </w:r>
      <w:r>
        <w:rPr>
          <w:b/>
          <w:sz w:val="26"/>
          <w:szCs w:val="26"/>
        </w:rPr>
        <w:t xml:space="preserve"> </w:t>
      </w:r>
    </w:p>
    <w:p w:rsidR="00E520E9" w:rsidRPr="009E48A7" w:rsidRDefault="00E520E9" w:rsidP="00E520E9">
      <w:pPr>
        <w:ind w:firstLine="720"/>
        <w:jc w:val="center"/>
        <w:rPr>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E520E9" w:rsidRPr="007C52FA" w:rsidTr="0067516C">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520E9" w:rsidRPr="007C52FA" w:rsidRDefault="00E520E9" w:rsidP="0067516C">
            <w:pPr>
              <w:ind w:firstLine="300"/>
              <w:jc w:val="center"/>
              <w:rPr>
                <w:b/>
                <w:bCs/>
                <w:sz w:val="26"/>
                <w:szCs w:val="26"/>
                <w:lang w:eastAsia="lv-LV"/>
              </w:rPr>
            </w:pPr>
            <w:r w:rsidRPr="007C52FA">
              <w:rPr>
                <w:b/>
                <w:bCs/>
                <w:sz w:val="26"/>
                <w:szCs w:val="26"/>
                <w:lang w:eastAsia="lv-LV"/>
              </w:rPr>
              <w:t>I. Tiesību akta projekta izstrādes nepieciešamība</w:t>
            </w:r>
          </w:p>
        </w:tc>
      </w:tr>
      <w:tr w:rsidR="00E520E9" w:rsidRPr="007C52FA" w:rsidTr="0067516C">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jc w:val="both"/>
              <w:rPr>
                <w:iCs/>
                <w:sz w:val="26"/>
                <w:szCs w:val="26"/>
              </w:rPr>
            </w:pPr>
            <w:r w:rsidRPr="007C52FA">
              <w:rPr>
                <w:iCs/>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jc w:val="both"/>
              <w:rPr>
                <w:iCs/>
                <w:sz w:val="26"/>
                <w:szCs w:val="26"/>
              </w:rPr>
            </w:pPr>
            <w:r w:rsidRPr="007C52FA">
              <w:rPr>
                <w:iCs/>
                <w:sz w:val="26"/>
                <w:szCs w:val="26"/>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520E9" w:rsidRPr="00B11E75" w:rsidRDefault="00E520E9" w:rsidP="0067516C">
            <w:pPr>
              <w:pStyle w:val="Parastais"/>
              <w:ind w:firstLine="654"/>
              <w:jc w:val="both"/>
              <w:rPr>
                <w:sz w:val="26"/>
                <w:szCs w:val="26"/>
              </w:rPr>
            </w:pPr>
            <w:r>
              <w:rPr>
                <w:sz w:val="26"/>
                <w:szCs w:val="26"/>
              </w:rPr>
              <w:t>1</w:t>
            </w:r>
            <w:r w:rsidRPr="00EF4083">
              <w:rPr>
                <w:sz w:val="26"/>
                <w:szCs w:val="26"/>
              </w:rPr>
              <w:t>. Saeima 2013.gada 6.novembrī pieņēma likumu „Grozījumi Elektroenerģijas tirgus likumā”, mainot terminu „koģenerācijas elektrostacija</w:t>
            </w:r>
            <w:r>
              <w:rPr>
                <w:sz w:val="26"/>
                <w:szCs w:val="26"/>
              </w:rPr>
              <w:t xml:space="preserve">s” uz „koģenerācijas stacijas”. </w:t>
            </w:r>
            <w:r w:rsidRPr="00B11E75">
              <w:rPr>
                <w:sz w:val="26"/>
                <w:szCs w:val="26"/>
              </w:rPr>
              <w:t xml:space="preserve">Līdz ar to ir nepieciešams precizēt </w:t>
            </w:r>
            <w:r w:rsidRPr="00B11E75">
              <w:rPr>
                <w:bCs/>
                <w:sz w:val="26"/>
                <w:szCs w:val="26"/>
              </w:rPr>
              <w:t>Ministru kabineta 2009.gada 27.oktobra noteikumu Nr.1227 „Noteikumi par regulējamiem sabiedrisko pakalpojumu veidiem” (turpmāk – Noteikumi) regulējumu attiecībā uz siltumenerģijas un elektroenerģijas ražošanu koģenerācijā</w:t>
            </w:r>
            <w:r w:rsidRPr="00B11E75">
              <w:rPr>
                <w:sz w:val="26"/>
                <w:szCs w:val="26"/>
              </w:rPr>
              <w:t xml:space="preserve">. </w:t>
            </w:r>
          </w:p>
          <w:p w:rsidR="00E520E9" w:rsidRPr="00EF4083" w:rsidRDefault="00E520E9" w:rsidP="0067516C">
            <w:pPr>
              <w:pStyle w:val="Parastais"/>
              <w:ind w:firstLine="654"/>
              <w:jc w:val="both"/>
              <w:rPr>
                <w:sz w:val="26"/>
                <w:szCs w:val="26"/>
              </w:rPr>
            </w:pPr>
            <w:r>
              <w:rPr>
                <w:sz w:val="26"/>
                <w:szCs w:val="26"/>
              </w:rPr>
              <w:t>2</w:t>
            </w:r>
            <w:r w:rsidRPr="00EF4083">
              <w:rPr>
                <w:sz w:val="26"/>
                <w:szCs w:val="26"/>
              </w:rPr>
              <w:t>. Saeima 2014.gada 13.martā pieņēma likumu „Grozījumi Enerģētikas likumā”, papildinot Enerģētikas likumu ar normām par sašķidrinātās dabasgāzes pakalpojumu. Saskaņā ar Enerģētikas likuma 7.panta pirmo un otro daļu Sabiedrisko pakalpojumu regulēšanas komisija (turpmāk -  Regulators) licencē sašķidrinātās dabasgāzes pakalpojuma sniegšanu. Līdz ar to ir nepieciešams veikt grozījumu</w:t>
            </w:r>
            <w:r w:rsidRPr="00EF4083">
              <w:rPr>
                <w:bCs/>
                <w:sz w:val="26"/>
                <w:szCs w:val="26"/>
              </w:rPr>
              <w:t xml:space="preserve"> Noteikumos, papildinot dabasgāzes apgādē regulējamo sabiedrisko pakalpojumu veidus.</w:t>
            </w:r>
          </w:p>
          <w:p w:rsidR="00E520E9" w:rsidRDefault="00E520E9" w:rsidP="0067516C">
            <w:pPr>
              <w:pStyle w:val="Parastais"/>
              <w:ind w:firstLine="654"/>
              <w:jc w:val="both"/>
              <w:rPr>
                <w:bCs/>
                <w:sz w:val="26"/>
                <w:szCs w:val="26"/>
              </w:rPr>
            </w:pPr>
            <w:r>
              <w:rPr>
                <w:sz w:val="26"/>
                <w:szCs w:val="26"/>
              </w:rPr>
              <w:t>3</w:t>
            </w:r>
            <w:r w:rsidRPr="00EF4083">
              <w:rPr>
                <w:sz w:val="26"/>
                <w:szCs w:val="26"/>
              </w:rPr>
              <w:t xml:space="preserve">. Ar 2013.gada 21.marta likumu „Grozījumi Pasta likumā” no Pasta likuma 17.panta otrās daļas ir izslēgts 4.punkts, kas paredzēja, ka </w:t>
            </w:r>
            <w:r w:rsidRPr="00EF4083">
              <w:rPr>
                <w:bCs/>
                <w:sz w:val="26"/>
                <w:szCs w:val="26"/>
              </w:rPr>
              <w:t>naudas pārvedumi un pārskaitījumu pakalpojumi, kurus sniedz, izmantojot pas</w:t>
            </w:r>
            <w:r>
              <w:rPr>
                <w:bCs/>
                <w:sz w:val="26"/>
                <w:szCs w:val="26"/>
              </w:rPr>
              <w:t xml:space="preserve">ta tīklu, ir pasta pakalpojums. </w:t>
            </w:r>
            <w:r w:rsidRPr="00EF4083">
              <w:rPr>
                <w:bCs/>
                <w:sz w:val="26"/>
                <w:szCs w:val="26"/>
              </w:rPr>
              <w:t xml:space="preserve">Ņemot vērā, ka </w:t>
            </w:r>
            <w:r>
              <w:rPr>
                <w:bCs/>
                <w:sz w:val="26"/>
                <w:szCs w:val="26"/>
              </w:rPr>
              <w:t>naudas pārvedumi ir izslēgti no pasta nozares pakalpojumu apraksta</w:t>
            </w:r>
            <w:r w:rsidRPr="00EF4083">
              <w:rPr>
                <w:bCs/>
                <w:sz w:val="26"/>
                <w:szCs w:val="26"/>
              </w:rPr>
              <w:t>, ir nepieciešams veikt grozījumu Noteikumos, tādējādi precizējot pasta nozarē regulējamos sabiedriskos pakalpojumus.</w:t>
            </w:r>
            <w:r>
              <w:rPr>
                <w:bCs/>
                <w:sz w:val="26"/>
                <w:szCs w:val="26"/>
              </w:rPr>
              <w:t xml:space="preserve"> </w:t>
            </w:r>
          </w:p>
          <w:p w:rsidR="00E520E9" w:rsidRPr="0030689D" w:rsidRDefault="00E520E9" w:rsidP="0067516C">
            <w:pPr>
              <w:pStyle w:val="Parastais"/>
              <w:ind w:firstLine="720"/>
              <w:jc w:val="both"/>
              <w:rPr>
                <w:bCs/>
                <w:color w:val="000000"/>
                <w:sz w:val="26"/>
                <w:szCs w:val="26"/>
              </w:rPr>
            </w:pPr>
            <w:r w:rsidRPr="00A60887">
              <w:rPr>
                <w:bCs/>
                <w:color w:val="000000"/>
                <w:sz w:val="26"/>
                <w:szCs w:val="26"/>
              </w:rPr>
              <w:t xml:space="preserve">4. Ūdenssaimniecības nozarē, līdzīgi kā tas jau ilgstoši notiek enerģētikas nozarē siltumenerģijas apgādē, nepieciešams noteikt kritēriju, kas būtiski samazinātu administratīvo slogu sabiedrisko pakalpojumu sniedzējiem, kas sniedz neliela apjoma ūdenssaimniecības </w:t>
            </w:r>
            <w:r w:rsidRPr="00A60887">
              <w:rPr>
                <w:bCs/>
                <w:color w:val="000000"/>
                <w:sz w:val="26"/>
                <w:szCs w:val="26"/>
              </w:rPr>
              <w:lastRenderedPageBreak/>
              <w:t>pakalpojumus mazam pakalpojumu lietotāju skaitam. Neadekvāts administratīvais slogs, kas saistīts ar attiecīgu izmaksu iekļaušanu ūdenssaimniecības pakalpojumu tarifā, ir pretējs arī ūdenssaimniecības pakalpojumu lietotāju interesēm.</w:t>
            </w:r>
          </w:p>
          <w:p w:rsidR="00E520E9" w:rsidRPr="007C52FA" w:rsidRDefault="00E520E9" w:rsidP="0067516C">
            <w:pPr>
              <w:pStyle w:val="naisf"/>
              <w:spacing w:before="0" w:after="0"/>
              <w:ind w:left="70" w:firstLine="425"/>
              <w:jc w:val="both"/>
              <w:rPr>
                <w:sz w:val="26"/>
                <w:szCs w:val="26"/>
              </w:rPr>
            </w:pPr>
            <w:r>
              <w:rPr>
                <w:sz w:val="26"/>
                <w:szCs w:val="26"/>
              </w:rPr>
              <w:t>5</w:t>
            </w:r>
            <w:r w:rsidRPr="00EF4083">
              <w:rPr>
                <w:sz w:val="26"/>
                <w:szCs w:val="26"/>
              </w:rPr>
              <w:t>. Saeima 2014.gada 27.martā pieņēma likumu „Grozījumi Atkritumu apsaimniekošanas likumā”, ar kuru ir svītrots vārds „izgāztuves” no pantiem, kuros bija saglabājies regulējums saistībā ar atkritumu apglabāšanu, jo šobrīd sadzīves atkritumu apglabāšana notiek tikai sadzīves atkritumu poligonos.</w:t>
            </w:r>
          </w:p>
        </w:tc>
      </w:tr>
      <w:tr w:rsidR="00E520E9" w:rsidRPr="007C52FA" w:rsidTr="0067516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jc w:val="both"/>
              <w:rPr>
                <w:iCs/>
                <w:sz w:val="26"/>
                <w:szCs w:val="26"/>
              </w:rPr>
            </w:pPr>
            <w:r w:rsidRPr="007C52FA">
              <w:rPr>
                <w:iCs/>
                <w:sz w:val="26"/>
                <w:szCs w:val="26"/>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iCs/>
                <w:sz w:val="26"/>
                <w:szCs w:val="26"/>
              </w:rPr>
            </w:pPr>
            <w:r w:rsidRPr="007C52FA">
              <w:rPr>
                <w:iCs/>
                <w:sz w:val="26"/>
                <w:szCs w:val="26"/>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E520E9" w:rsidRPr="00EF4083" w:rsidRDefault="00E520E9" w:rsidP="0067516C">
            <w:pPr>
              <w:pStyle w:val="naisf"/>
              <w:spacing w:before="0" w:after="0"/>
              <w:ind w:firstLine="720"/>
              <w:jc w:val="both"/>
              <w:rPr>
                <w:sz w:val="26"/>
                <w:szCs w:val="26"/>
              </w:rPr>
            </w:pPr>
            <w:r w:rsidRPr="00EF4083">
              <w:rPr>
                <w:sz w:val="26"/>
                <w:szCs w:val="26"/>
              </w:rPr>
              <w:t>1. Saskaņā ar mainīto terminu Elektroenerģijas tirgus likumā, nepieciešams veikt redakcionālu grozījumu Noteikumos aizstājot vārdus „koģenerācijas elektrostacija” ar vārdiem „koģenerācijas stacija”.</w:t>
            </w:r>
          </w:p>
          <w:p w:rsidR="00E520E9" w:rsidRPr="00EF4083" w:rsidRDefault="00E520E9" w:rsidP="0067516C">
            <w:pPr>
              <w:pStyle w:val="naisf"/>
              <w:spacing w:before="0" w:after="0"/>
              <w:ind w:left="68" w:firstLine="720"/>
              <w:jc w:val="both"/>
              <w:rPr>
                <w:sz w:val="26"/>
                <w:szCs w:val="26"/>
              </w:rPr>
            </w:pPr>
            <w:r w:rsidRPr="00EF4083">
              <w:rPr>
                <w:sz w:val="26"/>
                <w:szCs w:val="26"/>
              </w:rPr>
              <w:t xml:space="preserve">2. Saskaņā ar Noteikumu 2.2.apakšpunktu pašlaik elektroenerģijas apgādē ir jāregulē elektroenerģijas un siltumenerģijas ražošana koģenerācijā, kur koģenerācijas iekārtu kopējā uzstādītā elektriskā jauda koģenerācijas elektrostacijā ir lielāka par vienu megavatu. </w:t>
            </w:r>
          </w:p>
          <w:p w:rsidR="00E520E9" w:rsidRPr="00EF4083" w:rsidRDefault="00E520E9" w:rsidP="0067516C">
            <w:pPr>
              <w:pStyle w:val="naisf"/>
              <w:spacing w:before="0" w:after="0"/>
              <w:ind w:left="68" w:firstLine="720"/>
              <w:jc w:val="both"/>
              <w:rPr>
                <w:sz w:val="26"/>
                <w:szCs w:val="26"/>
              </w:rPr>
            </w:pPr>
            <w:r w:rsidRPr="00EF4083">
              <w:rPr>
                <w:sz w:val="26"/>
                <w:szCs w:val="26"/>
              </w:rPr>
              <w:t>Saskaņā ar Noteikumu 3.1.apakšpunktu siltumenerģijas apgādē nepieciešams regulēt siltumenerģijas ražošanu iekārtās ar kopējo uzstādīto siltuma jaudu, kas lielāka par vienu megavatu, ja lietotājiem nodotais siltumenerģijas apjoms pārsniedz 5000 megavatstundu gadā.</w:t>
            </w:r>
          </w:p>
          <w:p w:rsidR="00E520E9" w:rsidRPr="00EF4083" w:rsidRDefault="00E520E9" w:rsidP="0067516C">
            <w:pPr>
              <w:pStyle w:val="naisf"/>
              <w:spacing w:before="0" w:after="0"/>
              <w:ind w:firstLine="720"/>
              <w:jc w:val="both"/>
              <w:rPr>
                <w:sz w:val="26"/>
                <w:szCs w:val="26"/>
              </w:rPr>
            </w:pPr>
            <w:r w:rsidRPr="00EF4083">
              <w:rPr>
                <w:sz w:val="26"/>
                <w:szCs w:val="26"/>
              </w:rPr>
              <w:t xml:space="preserve">Noteikumus nepieciešams precizēt, lai novērstu dažādas Noteikumu 2.2.apakšpunkta un 3.1.apakšpunkta interpretācijas iespējas saistībā ar siltumapgādi. Tāpēc  Noteikumu 3.1.apakšpunkts papildināms ar precizējumu, ka šajā apakšpunktā norādītie kritēriji attiecināmi arī uz koģenerāciju, attiecīgi svītrojot 2.2.apakšpunktā norādi uz siltumenerģijas ražošanu koģenerācijā. Grozījums nemaina pastāvošo tiesiskā regulējuma būtību, bet precizē praksē jau piemērojamo kārtību. </w:t>
            </w:r>
          </w:p>
          <w:p w:rsidR="00E520E9" w:rsidRPr="00EF4083" w:rsidRDefault="00E520E9" w:rsidP="0067516C">
            <w:pPr>
              <w:pStyle w:val="naisf"/>
              <w:spacing w:before="0" w:after="0"/>
              <w:ind w:firstLine="720"/>
              <w:jc w:val="both"/>
              <w:rPr>
                <w:sz w:val="26"/>
                <w:szCs w:val="26"/>
              </w:rPr>
            </w:pPr>
            <w:r w:rsidRPr="00EF4083">
              <w:rPr>
                <w:sz w:val="26"/>
                <w:szCs w:val="26"/>
              </w:rPr>
              <w:t xml:space="preserve">3. Saeima 2014.gada 13.martā pieņēma likumu „Grozījumi Enerģētikas likumā”, papildinot Enerģētikas likumu ar normām par </w:t>
            </w:r>
            <w:r w:rsidRPr="00EF4083">
              <w:rPr>
                <w:sz w:val="26"/>
                <w:szCs w:val="26"/>
              </w:rPr>
              <w:lastRenderedPageBreak/>
              <w:t>sašķidrinātās dabasgāzes pakalpojumu un nosakot Regulatoram virkni pienākumu attiecībā uz sašķidrinātās dabasgāzes pakalpojuma sniegšanas uzraudzību, tostarp licencēšanu.</w:t>
            </w:r>
          </w:p>
          <w:p w:rsidR="00E520E9" w:rsidRPr="00EF4083" w:rsidRDefault="00E520E9" w:rsidP="0067516C">
            <w:pPr>
              <w:pStyle w:val="naisf"/>
              <w:spacing w:before="0" w:after="0"/>
              <w:ind w:firstLine="720"/>
              <w:jc w:val="both"/>
              <w:rPr>
                <w:sz w:val="26"/>
                <w:szCs w:val="26"/>
              </w:rPr>
            </w:pPr>
            <w:r w:rsidRPr="00EF4083">
              <w:rPr>
                <w:sz w:val="26"/>
                <w:szCs w:val="26"/>
              </w:rPr>
              <w:t>Saskaņā ar Enerģētikas likuma 1.panta 1.punktu enerģija šā likuma izpratnē ir prece ar noteiktu vērtību – iegūtā elektroenerģija vai siltumenerģija, kā arī dabasgāze, tostarp sašķidrinātā dabasgāze. Tātad sašķidrinātās dabasgāzes pakalpojuma sniegšana ietilpst dabasgāzes apgādē. Savukārt minētā likuma 1.panta 48.punkts nosaka, ka sašķidrinātās dabasgāzes pakalpojums ir dabasgāzes šķidrināšana vai sašķidrinātās dabasgāzes saņemšana, izkraušana, uzglabāšana un pārvēršana gāzveida stāvoklī turpmākai piegādei uz dabasgāzes pārvades sistēmu vai enerģijas lietotājam.</w:t>
            </w:r>
          </w:p>
          <w:p w:rsidR="00E520E9" w:rsidRPr="00EF4083" w:rsidRDefault="00E520E9" w:rsidP="0067516C">
            <w:pPr>
              <w:pStyle w:val="naisf"/>
              <w:spacing w:before="0" w:after="0"/>
              <w:ind w:firstLine="720"/>
              <w:jc w:val="both"/>
              <w:rPr>
                <w:sz w:val="26"/>
                <w:szCs w:val="26"/>
              </w:rPr>
            </w:pPr>
            <w:r w:rsidRPr="00EF4083">
              <w:rPr>
                <w:sz w:val="26"/>
                <w:szCs w:val="26"/>
              </w:rPr>
              <w:t>Ņemot vērā minēto, ir nepieciešams papildināt Noteikumu 4.punktu ar 4.5.apakšpunktu par sašķidrinātās dabasgāzes pakalpojumu.</w:t>
            </w:r>
          </w:p>
          <w:p w:rsidR="00E520E9" w:rsidRPr="00EF4083" w:rsidRDefault="00E520E9" w:rsidP="0067516C">
            <w:pPr>
              <w:pStyle w:val="naisf"/>
              <w:spacing w:before="0" w:after="0"/>
              <w:ind w:firstLine="720"/>
              <w:jc w:val="both"/>
              <w:rPr>
                <w:sz w:val="26"/>
                <w:szCs w:val="26"/>
              </w:rPr>
            </w:pPr>
            <w:r w:rsidRPr="00EF4083">
              <w:rPr>
                <w:sz w:val="26"/>
                <w:szCs w:val="26"/>
              </w:rPr>
              <w:t>Sašķidrinātās dabasgāzes piegādei enerģijas lietotājam var tikt izmantotas dažādas tehnoloģijas, proti:</w:t>
            </w:r>
          </w:p>
          <w:p w:rsidR="00E520E9" w:rsidRPr="00EF4083" w:rsidRDefault="00E520E9" w:rsidP="0067516C">
            <w:pPr>
              <w:pStyle w:val="naisf"/>
              <w:spacing w:before="0" w:after="0"/>
              <w:ind w:firstLine="720"/>
              <w:jc w:val="both"/>
              <w:rPr>
                <w:sz w:val="26"/>
                <w:szCs w:val="26"/>
              </w:rPr>
            </w:pPr>
            <w:r>
              <w:rPr>
                <w:sz w:val="26"/>
                <w:szCs w:val="26"/>
              </w:rPr>
              <w:t>1)</w:t>
            </w:r>
            <w:r w:rsidRPr="00EF4083">
              <w:rPr>
                <w:sz w:val="26"/>
                <w:szCs w:val="26"/>
              </w:rPr>
              <w:t>sašķidrinātās dabasgāzes pārvēršana gāzveida stāvoklī terminālā un piegāde enerģijas lietotājam, izmantojot pārvades sistēmas pakalpojumus (kas saistās ar trešās puses pieejas pienākumu izpildi no iesaistīto operatoru puses);</w:t>
            </w:r>
          </w:p>
          <w:p w:rsidR="00E520E9" w:rsidRPr="00EF4083" w:rsidRDefault="00E520E9" w:rsidP="0067516C">
            <w:pPr>
              <w:pStyle w:val="naisf"/>
              <w:spacing w:before="0" w:after="0"/>
              <w:ind w:firstLine="720"/>
              <w:jc w:val="both"/>
              <w:rPr>
                <w:sz w:val="26"/>
                <w:szCs w:val="26"/>
              </w:rPr>
            </w:pPr>
            <w:r>
              <w:rPr>
                <w:sz w:val="26"/>
                <w:szCs w:val="26"/>
              </w:rPr>
              <w:t>2)</w:t>
            </w:r>
            <w:r w:rsidRPr="00EF4083">
              <w:rPr>
                <w:sz w:val="26"/>
                <w:szCs w:val="26"/>
              </w:rPr>
              <w:t>sašķidrinātās dabasgāzes iepildīšana sauszemes vai  nelielas kravnesības tankkuģos ar sekojošu piegādi pa sauszemes vai ūdens ceļiem enerģijas lietotājiem, kas neizmanto pārvades sistēmas pakalpojumus, bet, piemēram, to īpašumā vai lietošanā esošas sašķidrinātās dabasgāzes iekārtas, kas ļauj saņemt un lietot sašķidrināto dabasgāzi līdzīgi, kā tas šobrīd notiek ar sašķidrināto naftas gāzi.</w:t>
            </w:r>
          </w:p>
          <w:p w:rsidR="00E520E9" w:rsidRPr="00EF4083" w:rsidRDefault="00E520E9" w:rsidP="0067516C">
            <w:pPr>
              <w:pStyle w:val="naisf"/>
              <w:spacing w:before="0" w:after="0"/>
              <w:ind w:firstLine="720"/>
              <w:jc w:val="both"/>
              <w:rPr>
                <w:sz w:val="26"/>
                <w:szCs w:val="26"/>
              </w:rPr>
            </w:pPr>
            <w:r w:rsidRPr="00EF4083">
              <w:rPr>
                <w:sz w:val="26"/>
                <w:szCs w:val="26"/>
              </w:rPr>
              <w:t xml:space="preserve">Atšķirīgi ir arī enerģijas lietotāji. Šobrīd Latvijā dabasgāzi pamatā izmanto tikai enerģijas un siltuma ražošanai vai kā kurināmo tehnoloģisko procesu nodrošināšanai. Savukārt Eiropas Savienības stratēģijā „Ceļvedis uz Eiropas </w:t>
            </w:r>
            <w:r w:rsidRPr="00EF4083">
              <w:rPr>
                <w:sz w:val="26"/>
                <w:szCs w:val="26"/>
              </w:rPr>
              <w:lastRenderedPageBreak/>
              <w:t xml:space="preserve">vienoto transporta telpu — virzība uz konkurētspējīgu un </w:t>
            </w:r>
            <w:proofErr w:type="spellStart"/>
            <w:r w:rsidRPr="00EF4083">
              <w:rPr>
                <w:sz w:val="26"/>
                <w:szCs w:val="26"/>
              </w:rPr>
              <w:t>resursefektīvu</w:t>
            </w:r>
            <w:proofErr w:type="spellEnd"/>
            <w:r w:rsidRPr="00EF4083">
              <w:rPr>
                <w:sz w:val="26"/>
                <w:szCs w:val="26"/>
              </w:rPr>
              <w:t xml:space="preserve"> transporta sistēmu” (</w:t>
            </w:r>
            <w:r w:rsidRPr="00864F66">
              <w:rPr>
                <w:i/>
                <w:sz w:val="26"/>
                <w:szCs w:val="26"/>
              </w:rPr>
              <w:t xml:space="preserve">WHITE PAPER </w:t>
            </w:r>
            <w:proofErr w:type="spellStart"/>
            <w:r w:rsidRPr="00864F66">
              <w:rPr>
                <w:i/>
                <w:sz w:val="26"/>
                <w:szCs w:val="26"/>
              </w:rPr>
              <w:t>Roadmap</w:t>
            </w:r>
            <w:proofErr w:type="spellEnd"/>
            <w:r w:rsidRPr="00864F66">
              <w:rPr>
                <w:i/>
                <w:sz w:val="26"/>
                <w:szCs w:val="26"/>
              </w:rPr>
              <w:t xml:space="preserve"> to a </w:t>
            </w:r>
            <w:proofErr w:type="spellStart"/>
            <w:r w:rsidRPr="00864F66">
              <w:rPr>
                <w:i/>
                <w:sz w:val="26"/>
                <w:szCs w:val="26"/>
              </w:rPr>
              <w:t>Single</w:t>
            </w:r>
            <w:proofErr w:type="spellEnd"/>
            <w:r w:rsidRPr="00864F66">
              <w:rPr>
                <w:i/>
                <w:sz w:val="26"/>
                <w:szCs w:val="26"/>
              </w:rPr>
              <w:t xml:space="preserve"> </w:t>
            </w:r>
            <w:proofErr w:type="spellStart"/>
            <w:r w:rsidRPr="00864F66">
              <w:rPr>
                <w:i/>
                <w:sz w:val="26"/>
                <w:szCs w:val="26"/>
              </w:rPr>
              <w:t>European</w:t>
            </w:r>
            <w:proofErr w:type="spellEnd"/>
            <w:r w:rsidRPr="00864F66">
              <w:rPr>
                <w:i/>
                <w:sz w:val="26"/>
                <w:szCs w:val="26"/>
              </w:rPr>
              <w:t xml:space="preserve"> </w:t>
            </w:r>
            <w:proofErr w:type="spellStart"/>
            <w:r w:rsidRPr="00864F66">
              <w:rPr>
                <w:i/>
                <w:sz w:val="26"/>
                <w:szCs w:val="26"/>
              </w:rPr>
              <w:t>Transport</w:t>
            </w:r>
            <w:proofErr w:type="spellEnd"/>
            <w:r w:rsidRPr="00864F66">
              <w:rPr>
                <w:i/>
                <w:sz w:val="26"/>
                <w:szCs w:val="26"/>
              </w:rPr>
              <w:t xml:space="preserve"> </w:t>
            </w:r>
            <w:proofErr w:type="spellStart"/>
            <w:r w:rsidRPr="00864F66">
              <w:rPr>
                <w:i/>
                <w:sz w:val="26"/>
                <w:szCs w:val="26"/>
              </w:rPr>
              <w:t>Area</w:t>
            </w:r>
            <w:proofErr w:type="spellEnd"/>
            <w:r w:rsidRPr="00864F66">
              <w:rPr>
                <w:i/>
                <w:sz w:val="26"/>
                <w:szCs w:val="26"/>
              </w:rPr>
              <w:t xml:space="preserve"> – </w:t>
            </w:r>
            <w:proofErr w:type="spellStart"/>
            <w:r w:rsidRPr="00864F66">
              <w:rPr>
                <w:i/>
                <w:sz w:val="26"/>
                <w:szCs w:val="26"/>
              </w:rPr>
              <w:t>Towards</w:t>
            </w:r>
            <w:proofErr w:type="spellEnd"/>
            <w:r w:rsidRPr="00864F66">
              <w:rPr>
                <w:i/>
                <w:sz w:val="26"/>
                <w:szCs w:val="26"/>
              </w:rPr>
              <w:t xml:space="preserve"> a </w:t>
            </w:r>
            <w:proofErr w:type="spellStart"/>
            <w:r w:rsidRPr="00864F66">
              <w:rPr>
                <w:i/>
                <w:sz w:val="26"/>
                <w:szCs w:val="26"/>
              </w:rPr>
              <w:t>competitive</w:t>
            </w:r>
            <w:proofErr w:type="spellEnd"/>
            <w:r w:rsidRPr="00864F66">
              <w:rPr>
                <w:i/>
                <w:sz w:val="26"/>
                <w:szCs w:val="26"/>
              </w:rPr>
              <w:t xml:space="preserve"> </w:t>
            </w:r>
            <w:proofErr w:type="spellStart"/>
            <w:r w:rsidRPr="00864F66">
              <w:rPr>
                <w:i/>
                <w:sz w:val="26"/>
                <w:szCs w:val="26"/>
              </w:rPr>
              <w:t>and</w:t>
            </w:r>
            <w:proofErr w:type="spellEnd"/>
            <w:r w:rsidRPr="00864F66">
              <w:rPr>
                <w:i/>
                <w:sz w:val="26"/>
                <w:szCs w:val="26"/>
              </w:rPr>
              <w:t xml:space="preserve"> </w:t>
            </w:r>
            <w:proofErr w:type="spellStart"/>
            <w:r w:rsidRPr="00864F66">
              <w:rPr>
                <w:i/>
                <w:sz w:val="26"/>
                <w:szCs w:val="26"/>
              </w:rPr>
              <w:t>resource</w:t>
            </w:r>
            <w:proofErr w:type="spellEnd"/>
            <w:r w:rsidRPr="00864F66">
              <w:rPr>
                <w:i/>
                <w:sz w:val="26"/>
                <w:szCs w:val="26"/>
              </w:rPr>
              <w:t xml:space="preserve"> </w:t>
            </w:r>
            <w:proofErr w:type="spellStart"/>
            <w:r w:rsidRPr="00864F66">
              <w:rPr>
                <w:i/>
                <w:sz w:val="26"/>
                <w:szCs w:val="26"/>
              </w:rPr>
              <w:t>efficient</w:t>
            </w:r>
            <w:proofErr w:type="spellEnd"/>
            <w:r w:rsidRPr="00864F66">
              <w:rPr>
                <w:i/>
                <w:sz w:val="26"/>
                <w:szCs w:val="26"/>
              </w:rPr>
              <w:t xml:space="preserve"> </w:t>
            </w:r>
            <w:proofErr w:type="spellStart"/>
            <w:r w:rsidRPr="00864F66">
              <w:rPr>
                <w:i/>
                <w:sz w:val="26"/>
                <w:szCs w:val="26"/>
              </w:rPr>
              <w:t>transport</w:t>
            </w:r>
            <w:proofErr w:type="spellEnd"/>
            <w:r w:rsidRPr="00864F66">
              <w:rPr>
                <w:i/>
                <w:sz w:val="26"/>
                <w:szCs w:val="26"/>
              </w:rPr>
              <w:t xml:space="preserve"> </w:t>
            </w:r>
            <w:proofErr w:type="spellStart"/>
            <w:r w:rsidRPr="00864F66">
              <w:rPr>
                <w:i/>
                <w:sz w:val="26"/>
                <w:szCs w:val="26"/>
              </w:rPr>
              <w:t>system</w:t>
            </w:r>
            <w:proofErr w:type="spellEnd"/>
            <w:r w:rsidRPr="00EF4083">
              <w:rPr>
                <w:sz w:val="26"/>
                <w:szCs w:val="26"/>
              </w:rPr>
              <w:t>) ir paredzēta arvien plašāka dabasgāzes un sašķidrinātās dabasgāzes izmantošana kā degviela sauszemes un ūdens transportam. Ievērojot faktu, ka Latvijā dabasgāzes kompresoru stacijas transporta uzpildīšanai vairs nepastāv, visticamākā minētās stratēģijas īstenošanas tehnoloģija varētu būt dabasgāzes uzpildes staciju izveide gar transporta maģistrālēm, kurām sašķidrinātā dabasgāze tiktu piegādāta cisternās tālākai iepildīšanai transportlīdzekļos gāzveida vai sašķidrinātās dabasgāzes formā.</w:t>
            </w:r>
          </w:p>
          <w:p w:rsidR="00E520E9" w:rsidRPr="00EF4083" w:rsidRDefault="00E520E9" w:rsidP="0067516C">
            <w:pPr>
              <w:pStyle w:val="naisf"/>
              <w:spacing w:before="0" w:after="0"/>
              <w:ind w:firstLine="720"/>
              <w:jc w:val="both"/>
              <w:rPr>
                <w:sz w:val="26"/>
                <w:szCs w:val="26"/>
              </w:rPr>
            </w:pPr>
            <w:r w:rsidRPr="00EF4083">
              <w:rPr>
                <w:sz w:val="26"/>
                <w:szCs w:val="26"/>
              </w:rPr>
              <w:t>No dabasgāzes tirgus attīstības un tā uzraudzības viedokļa būtiski ir regulēt tādu pakalpojumu sniegšanu, kas ir saistīta ar infrastruktūru, attiecībā uz kuru saskaņā ar Eiropas Parlamenta un Padomes 2009.gada 13.jūlija direktīvu 2009/73/EK par kopīgiem noteikumiem attiecībā uz dabasgāzes iekšējo tirgu un par direktīvas 2003/55/EK atcelšanu un Enerģētikas likumu ir jānodrošina vienlīdzīga trešo pušu pieeja.</w:t>
            </w:r>
          </w:p>
          <w:p w:rsidR="00E520E9" w:rsidRDefault="00E520E9" w:rsidP="0067516C">
            <w:pPr>
              <w:pStyle w:val="naisf"/>
              <w:spacing w:before="0" w:after="0"/>
              <w:ind w:firstLine="720"/>
              <w:jc w:val="both"/>
              <w:rPr>
                <w:sz w:val="26"/>
                <w:szCs w:val="26"/>
              </w:rPr>
            </w:pPr>
            <w:r w:rsidRPr="00EF4083">
              <w:rPr>
                <w:sz w:val="26"/>
                <w:szCs w:val="26"/>
              </w:rPr>
              <w:t xml:space="preserve"> Ņemot vērā iepriekš minēto, kā arī to, ka jau šobrīd saskaņā ar  Noteikumu 4.4.apakšpunktu Regulators neuzrauga dabasgāzes tirdzniecību automobiļu gāzes uzpildes kompresoru stacijās,  nebūtu regulējama sašķidrinātās dabasgāzes tieša piegāde enerģijas lietotājiem. </w:t>
            </w:r>
            <w:r>
              <w:rPr>
                <w:sz w:val="26"/>
                <w:szCs w:val="26"/>
              </w:rPr>
              <w:t xml:space="preserve"> </w:t>
            </w:r>
          </w:p>
          <w:p w:rsidR="00E520E9" w:rsidRPr="00A60887" w:rsidRDefault="00E520E9" w:rsidP="0067516C">
            <w:pPr>
              <w:pStyle w:val="naisf"/>
              <w:spacing w:before="0" w:after="0"/>
              <w:ind w:firstLine="720"/>
              <w:jc w:val="both"/>
              <w:rPr>
                <w:color w:val="000000"/>
                <w:sz w:val="26"/>
                <w:szCs w:val="26"/>
              </w:rPr>
            </w:pPr>
            <w:r w:rsidRPr="00EF4083">
              <w:rPr>
                <w:sz w:val="26"/>
                <w:szCs w:val="26"/>
              </w:rPr>
              <w:t xml:space="preserve">4. Noteikumu 7.5.apakšpunkts nosaka, ka pasta nozarē regulējamais sabiedriskais pakalpojums ir naudas pārvedumi un pārskaitījumu pakalpojumi, kurus sniedz, izmantojot pasta tīklu. No spēkā esošā Pasta likuma regulējuma izriet, ka naudas pārvedumi un pārskaitījumu pakalpojumi, kurus sniedz, izmantojot pasta tīklu, vairs nav </w:t>
            </w:r>
            <w:r>
              <w:rPr>
                <w:sz w:val="26"/>
                <w:szCs w:val="26"/>
              </w:rPr>
              <w:t>iekļauti</w:t>
            </w:r>
            <w:r w:rsidRPr="00EF4083">
              <w:rPr>
                <w:sz w:val="26"/>
                <w:szCs w:val="26"/>
              </w:rPr>
              <w:t xml:space="preserve"> regulējam</w:t>
            </w:r>
            <w:r>
              <w:rPr>
                <w:sz w:val="26"/>
                <w:szCs w:val="26"/>
              </w:rPr>
              <w:t>o</w:t>
            </w:r>
            <w:r w:rsidRPr="00EF4083">
              <w:rPr>
                <w:sz w:val="26"/>
                <w:szCs w:val="26"/>
              </w:rPr>
              <w:t xml:space="preserve"> sabiedrisko pakalpojumu</w:t>
            </w:r>
            <w:r>
              <w:rPr>
                <w:sz w:val="26"/>
                <w:szCs w:val="26"/>
              </w:rPr>
              <w:t xml:space="preserve"> veidu</w:t>
            </w:r>
            <w:r w:rsidRPr="00EF4083">
              <w:rPr>
                <w:sz w:val="26"/>
                <w:szCs w:val="26"/>
              </w:rPr>
              <w:t xml:space="preserve"> </w:t>
            </w:r>
            <w:r>
              <w:rPr>
                <w:sz w:val="26"/>
                <w:szCs w:val="26"/>
              </w:rPr>
              <w:t xml:space="preserve">aprakstā </w:t>
            </w:r>
            <w:r w:rsidRPr="00EF4083">
              <w:rPr>
                <w:sz w:val="26"/>
                <w:szCs w:val="26"/>
              </w:rPr>
              <w:t>pasta nozarē, līdz ar to no Noteikumiem ir svītrojams 7.5.apakšpunkts.</w:t>
            </w:r>
            <w:r>
              <w:rPr>
                <w:sz w:val="26"/>
                <w:szCs w:val="26"/>
              </w:rPr>
              <w:t xml:space="preserve"> </w:t>
            </w:r>
            <w:r w:rsidRPr="00A60887">
              <w:rPr>
                <w:color w:val="000000"/>
                <w:sz w:val="26"/>
                <w:szCs w:val="26"/>
              </w:rPr>
              <w:t xml:space="preserve">Regulators savas </w:t>
            </w:r>
            <w:r w:rsidRPr="00A60887">
              <w:rPr>
                <w:color w:val="000000"/>
                <w:sz w:val="26"/>
                <w:szCs w:val="26"/>
              </w:rPr>
              <w:lastRenderedPageBreak/>
              <w:t>kompetences ietvaros atbilstoši normatīvajos aktos noteiktajam regulē pasta sūtījuma veidu - vēstuļu korespondences sūtījums.</w:t>
            </w:r>
          </w:p>
          <w:p w:rsidR="00E520E9" w:rsidRPr="00A60887" w:rsidRDefault="00E520E9" w:rsidP="0067516C">
            <w:pPr>
              <w:pStyle w:val="Parastais"/>
              <w:ind w:firstLine="708"/>
              <w:jc w:val="both"/>
              <w:rPr>
                <w:color w:val="000000"/>
                <w:sz w:val="26"/>
                <w:szCs w:val="26"/>
              </w:rPr>
            </w:pPr>
            <w:r w:rsidRPr="00A60887">
              <w:rPr>
                <w:color w:val="000000"/>
                <w:sz w:val="26"/>
                <w:szCs w:val="26"/>
              </w:rPr>
              <w:t xml:space="preserve">5. Noteikumu projekts paredz, ka regulēt nepieciešams tādu sabiedrisko pakalpojumu sniegšanu, ja komersanta sniegto sabiedrisko ūdenssaimniecības pakalpojumu apjoms vismaz vienā ūdenssaimniecības nozares sabiedriskā pakalpojuma veidā pārsniedz 100 000 m³ gadā. </w:t>
            </w:r>
          </w:p>
          <w:p w:rsidR="00E520E9" w:rsidRPr="00A60887" w:rsidRDefault="00E520E9" w:rsidP="0067516C">
            <w:pPr>
              <w:pStyle w:val="Parastais"/>
              <w:ind w:firstLine="708"/>
              <w:jc w:val="both"/>
              <w:rPr>
                <w:color w:val="000000"/>
                <w:sz w:val="26"/>
                <w:szCs w:val="26"/>
              </w:rPr>
            </w:pPr>
            <w:r w:rsidRPr="00A60887">
              <w:rPr>
                <w:bCs/>
                <w:color w:val="000000"/>
                <w:sz w:val="26"/>
                <w:szCs w:val="26"/>
              </w:rPr>
              <w:t xml:space="preserve">Tāpat kā siltumapgādē, arī ūdenssaimniecības nozarē likuma „Par pašvaldībām” 15.panta pirmais punkts nosaka pašvaldībām autonomo funkciju </w:t>
            </w:r>
            <w:r w:rsidRPr="00A60887">
              <w:rPr>
                <w:color w:val="000000"/>
                <w:sz w:val="26"/>
                <w:szCs w:val="26"/>
              </w:rPr>
              <w:t>organizēt iedzīvotājiem komunālos pakalpojumus (ūdensapgāde un kanalizācija; siltumapgāde; sadzīves atkritumu apsaimniekošana; notekūdeņu savākšana, novadīšana un attīrīšana) neatkarīgi no tā, kā īpašumā atrodas dzīvojamais fonds.</w:t>
            </w:r>
          </w:p>
          <w:p w:rsidR="00E520E9" w:rsidRPr="00A60887" w:rsidRDefault="00E520E9" w:rsidP="0067516C">
            <w:pPr>
              <w:pStyle w:val="Parastais"/>
              <w:ind w:firstLine="708"/>
              <w:jc w:val="both"/>
              <w:rPr>
                <w:color w:val="000000"/>
                <w:sz w:val="26"/>
                <w:szCs w:val="26"/>
              </w:rPr>
            </w:pPr>
            <w:r w:rsidRPr="00A60887">
              <w:rPr>
                <w:color w:val="000000"/>
                <w:sz w:val="26"/>
                <w:szCs w:val="26"/>
              </w:rPr>
              <w:t xml:space="preserve">Jau šobrīd pašvaldības organizē, uzrauga un nosaka maksu par ūdensapgādes un kanalizācijas pakalpojumiem gadījumos, ja šos pakalpojumus sniedz pašvaldība. </w:t>
            </w:r>
          </w:p>
          <w:p w:rsidR="00E520E9" w:rsidRPr="00E83EA2" w:rsidRDefault="00E520E9" w:rsidP="0067516C">
            <w:pPr>
              <w:pStyle w:val="CommentText"/>
              <w:ind w:firstLine="796"/>
              <w:jc w:val="both"/>
              <w:rPr>
                <w:color w:val="17365D"/>
                <w:sz w:val="26"/>
                <w:szCs w:val="26"/>
              </w:rPr>
            </w:pPr>
            <w:r w:rsidRPr="00A60887">
              <w:rPr>
                <w:color w:val="000000"/>
                <w:sz w:val="26"/>
                <w:szCs w:val="26"/>
              </w:rPr>
              <w:t>Kritērija ieviešana var veicināt procesu, kad   ūdenssaimniecības nozares komersantu, kas sniedz neliela apjoma ūdenssaimniecības pakalpojumus, darbības zonas tiktu pievienotas lielākām komersantu darbības zonām, tādā veidā optimizējot pakalpojumu sniegšanas izmaksas un sasniedzot noteikto kritēriju komersantiem ir iespējas kļūt par tādu sabiedrisko pakalpojumu sniedzējiem, kuru sniegšanu regulē Regulators.</w:t>
            </w:r>
          </w:p>
          <w:p w:rsidR="00E520E9" w:rsidRPr="007C52FA" w:rsidRDefault="00E520E9" w:rsidP="0067516C">
            <w:pPr>
              <w:pStyle w:val="naisf"/>
              <w:spacing w:before="0" w:after="0"/>
              <w:ind w:firstLine="720"/>
              <w:jc w:val="both"/>
              <w:rPr>
                <w:sz w:val="26"/>
                <w:szCs w:val="26"/>
              </w:rPr>
            </w:pPr>
            <w:r>
              <w:rPr>
                <w:sz w:val="26"/>
                <w:szCs w:val="26"/>
              </w:rPr>
              <w:t>6</w:t>
            </w:r>
            <w:r w:rsidRPr="00EF4083">
              <w:rPr>
                <w:sz w:val="26"/>
                <w:szCs w:val="26"/>
              </w:rPr>
              <w:t xml:space="preserve">. Noteikumu 10.punkts nosaka, ka sadzīves atkritumu apsaimniekošanas nozarē nepieciešams regulēt sadzīves atkritumu apglabāšanu atkritumu poligonos un izgāztuvēs. Atbilstoši Atkritumu apsaimniekošanas valsts plānam 2013.-2020.gadam, Latvijā ir izveidots atkritumu apglabāšanas poligonu tīkls, slēgtas visas izgāztuves, vairākas no tām ir </w:t>
            </w:r>
            <w:proofErr w:type="spellStart"/>
            <w:r w:rsidRPr="00EF4083">
              <w:rPr>
                <w:sz w:val="26"/>
                <w:szCs w:val="26"/>
              </w:rPr>
              <w:t>rekultivētas</w:t>
            </w:r>
            <w:proofErr w:type="spellEnd"/>
            <w:r w:rsidRPr="00EF4083">
              <w:rPr>
                <w:sz w:val="26"/>
                <w:szCs w:val="26"/>
              </w:rPr>
              <w:t>, bet atkritumu apglabāšana tajās vairs nenotiek. Līdz ar to no Noteikumiem ir svītrojams vārds „izgāztuves”.</w:t>
            </w:r>
          </w:p>
        </w:tc>
      </w:tr>
      <w:tr w:rsidR="00E520E9" w:rsidRPr="007C52FA" w:rsidTr="0067516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sz w:val="26"/>
                <w:szCs w:val="26"/>
                <w:lang w:eastAsia="lv-LV"/>
              </w:rPr>
            </w:pPr>
            <w:r w:rsidRPr="007C52FA">
              <w:rPr>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iCs/>
                <w:sz w:val="26"/>
                <w:szCs w:val="26"/>
              </w:rPr>
            </w:pPr>
            <w:r w:rsidRPr="007C52FA">
              <w:rPr>
                <w:iCs/>
                <w:sz w:val="26"/>
                <w:szCs w:val="26"/>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iCs/>
                <w:sz w:val="26"/>
                <w:szCs w:val="26"/>
              </w:rPr>
            </w:pPr>
            <w:r w:rsidRPr="00EF4083">
              <w:rPr>
                <w:iCs/>
                <w:sz w:val="26"/>
                <w:szCs w:val="26"/>
              </w:rPr>
              <w:t>Sabiedrisko pakalpojumu regulēšanas komisija</w:t>
            </w:r>
          </w:p>
        </w:tc>
      </w:tr>
      <w:tr w:rsidR="00E520E9" w:rsidRPr="007C52FA" w:rsidTr="0067516C">
        <w:tc>
          <w:tcPr>
            <w:tcW w:w="250"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sz w:val="26"/>
                <w:szCs w:val="26"/>
                <w:lang w:eastAsia="lv-LV"/>
              </w:rPr>
            </w:pPr>
            <w:r w:rsidRPr="007C52FA">
              <w:rPr>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iCs/>
                <w:sz w:val="26"/>
                <w:szCs w:val="26"/>
              </w:rPr>
            </w:pPr>
            <w:r w:rsidRPr="007C52FA">
              <w:rPr>
                <w:iCs/>
                <w:sz w:val="26"/>
                <w:szCs w:val="26"/>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jc w:val="both"/>
              <w:rPr>
                <w:iCs/>
                <w:sz w:val="26"/>
                <w:szCs w:val="26"/>
              </w:rPr>
            </w:pPr>
            <w:r w:rsidRPr="007C52FA">
              <w:rPr>
                <w:iCs/>
                <w:sz w:val="26"/>
                <w:szCs w:val="26"/>
              </w:rPr>
              <w:t>Nav</w:t>
            </w:r>
          </w:p>
        </w:tc>
      </w:tr>
    </w:tbl>
    <w:p w:rsidR="00E520E9" w:rsidRDefault="00E520E9" w:rsidP="00E520E9"/>
    <w:p w:rsidR="00E520E9" w:rsidRDefault="00E520E9" w:rsidP="00E520E9"/>
    <w:p w:rsidR="00E520E9" w:rsidRPr="007C52FA" w:rsidRDefault="00E520E9" w:rsidP="00E520E9">
      <w:pPr>
        <w:rPr>
          <w:vanish/>
          <w:sz w:val="26"/>
          <w:szCs w:val="26"/>
          <w:lang w:eastAsia="lv-LV"/>
        </w:rPr>
      </w:pPr>
    </w:p>
    <w:tbl>
      <w:tblPr>
        <w:tblW w:w="5080"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2637"/>
        <w:gridCol w:w="5440"/>
      </w:tblGrid>
      <w:tr w:rsidR="00E520E9" w:rsidRPr="007C52FA" w:rsidTr="0067516C">
        <w:trPr>
          <w:trHeight w:val="53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E520E9" w:rsidRPr="007C52FA" w:rsidRDefault="00E520E9" w:rsidP="0067516C">
            <w:pPr>
              <w:ind w:firstLine="300"/>
              <w:jc w:val="center"/>
              <w:rPr>
                <w:b/>
                <w:bCs/>
                <w:sz w:val="26"/>
                <w:szCs w:val="26"/>
                <w:lang w:eastAsia="lv-LV"/>
              </w:rPr>
            </w:pPr>
            <w:r w:rsidRPr="007C52FA">
              <w:rPr>
                <w:b/>
                <w:bCs/>
                <w:sz w:val="26"/>
                <w:szCs w:val="26"/>
                <w:lang w:eastAsia="lv-LV"/>
              </w:rPr>
              <w:t>II. Tiesību akta projekta ietekme uz sabiedrību, tautsaimniecības attīstību un administratīvo slogu</w:t>
            </w:r>
          </w:p>
        </w:tc>
      </w:tr>
      <w:tr w:rsidR="00E520E9" w:rsidRPr="007C52FA" w:rsidTr="0067516C">
        <w:trPr>
          <w:trHeight w:val="448"/>
        </w:trPr>
        <w:tc>
          <w:tcPr>
            <w:tcW w:w="248"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iCs/>
                <w:sz w:val="26"/>
                <w:szCs w:val="26"/>
              </w:rPr>
            </w:pPr>
            <w:r w:rsidRPr="007C52FA">
              <w:rPr>
                <w:iCs/>
                <w:sz w:val="26"/>
                <w:szCs w:val="26"/>
              </w:rPr>
              <w:t>1.</w:t>
            </w:r>
          </w:p>
        </w:tc>
        <w:tc>
          <w:tcPr>
            <w:tcW w:w="1543"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iCs/>
                <w:sz w:val="26"/>
                <w:szCs w:val="26"/>
              </w:rPr>
            </w:pPr>
            <w:r w:rsidRPr="007C52FA">
              <w:rPr>
                <w:iCs/>
                <w:sz w:val="26"/>
                <w:szCs w:val="26"/>
              </w:rPr>
              <w:t xml:space="preserve">Sabiedrības </w:t>
            </w:r>
            <w:proofErr w:type="spellStart"/>
            <w:r w:rsidRPr="007C52FA">
              <w:rPr>
                <w:iCs/>
                <w:sz w:val="26"/>
                <w:szCs w:val="26"/>
              </w:rPr>
              <w:t>mērķgrupas</w:t>
            </w:r>
            <w:proofErr w:type="spellEnd"/>
            <w:r w:rsidRPr="007C52FA">
              <w:rPr>
                <w:iCs/>
                <w:sz w:val="26"/>
                <w:szCs w:val="26"/>
              </w:rPr>
              <w:t>, kuras tiesiskais regulējums ietekmē vai varētu ietekmēt</w:t>
            </w:r>
          </w:p>
        </w:tc>
        <w:tc>
          <w:tcPr>
            <w:tcW w:w="3184" w:type="pct"/>
            <w:tcBorders>
              <w:top w:val="outset" w:sz="6" w:space="0" w:color="414142"/>
              <w:left w:val="outset" w:sz="6" w:space="0" w:color="414142"/>
              <w:bottom w:val="outset" w:sz="6" w:space="0" w:color="414142"/>
              <w:right w:val="outset" w:sz="6" w:space="0" w:color="414142"/>
            </w:tcBorders>
            <w:hideMark/>
          </w:tcPr>
          <w:p w:rsidR="00E520E9" w:rsidRPr="00A60887" w:rsidRDefault="00E520E9" w:rsidP="0067516C">
            <w:pPr>
              <w:jc w:val="both"/>
              <w:rPr>
                <w:color w:val="000000"/>
                <w:sz w:val="26"/>
                <w:szCs w:val="26"/>
              </w:rPr>
            </w:pPr>
            <w:r w:rsidRPr="00EF4083">
              <w:rPr>
                <w:sz w:val="26"/>
                <w:szCs w:val="26"/>
              </w:rPr>
              <w:t>Sašķidrinātās dabasgāzes pakalpojuma sniedzēji un lietotāji.</w:t>
            </w:r>
            <w:r w:rsidRPr="00681E2A">
              <w:rPr>
                <w:sz w:val="26"/>
                <w:szCs w:val="26"/>
              </w:rPr>
              <w:t xml:space="preserve"> </w:t>
            </w:r>
            <w:r w:rsidRPr="00A60887">
              <w:rPr>
                <w:bCs/>
                <w:color w:val="000000"/>
                <w:sz w:val="26"/>
                <w:szCs w:val="26"/>
              </w:rPr>
              <w:t>Latvijā līdz šim sašķidrinātās dabasgāzes pakalpojums nav sniegts, nav arī informācijas, cik šāda pakalpojuma sniedzēji varētu būt nākotnē.</w:t>
            </w:r>
          </w:p>
          <w:p w:rsidR="00E520E9" w:rsidRPr="007C52FA" w:rsidRDefault="00E520E9" w:rsidP="0067516C">
            <w:pPr>
              <w:jc w:val="both"/>
              <w:rPr>
                <w:sz w:val="26"/>
                <w:szCs w:val="26"/>
              </w:rPr>
            </w:pPr>
            <w:r w:rsidRPr="00A60887">
              <w:rPr>
                <w:color w:val="000000"/>
                <w:sz w:val="26"/>
                <w:szCs w:val="26"/>
              </w:rPr>
              <w:t xml:space="preserve">Ūdenssaimniecības pakalpojumu sniedzēji un lietotāji.  </w:t>
            </w:r>
            <w:r w:rsidRPr="00064B3B">
              <w:rPr>
                <w:color w:val="000000"/>
                <w:sz w:val="26"/>
                <w:szCs w:val="26"/>
              </w:rPr>
              <w:t>Latvijā ir 78 komersanti, kuru sniegto ūdenssaimniecības  pakalpojumu apjoms ir zem 100 000 m³ gadā.</w:t>
            </w:r>
          </w:p>
        </w:tc>
      </w:tr>
      <w:tr w:rsidR="00E520E9" w:rsidRPr="007C52FA" w:rsidTr="0067516C">
        <w:trPr>
          <w:trHeight w:val="492"/>
        </w:trPr>
        <w:tc>
          <w:tcPr>
            <w:tcW w:w="248"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iCs/>
                <w:sz w:val="26"/>
                <w:szCs w:val="26"/>
              </w:rPr>
            </w:pPr>
            <w:r w:rsidRPr="007C52FA">
              <w:rPr>
                <w:iCs/>
                <w:sz w:val="26"/>
                <w:szCs w:val="26"/>
              </w:rPr>
              <w:t>2.</w:t>
            </w:r>
          </w:p>
        </w:tc>
        <w:tc>
          <w:tcPr>
            <w:tcW w:w="1543"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iCs/>
                <w:sz w:val="26"/>
                <w:szCs w:val="26"/>
              </w:rPr>
            </w:pPr>
            <w:r w:rsidRPr="007C52FA">
              <w:rPr>
                <w:iCs/>
                <w:sz w:val="26"/>
                <w:szCs w:val="26"/>
              </w:rPr>
              <w:t>Tiesiskā regulējuma ietekme uz tautsaimniecību un administratīvo slogu</w:t>
            </w:r>
          </w:p>
        </w:tc>
        <w:tc>
          <w:tcPr>
            <w:tcW w:w="3184" w:type="pct"/>
            <w:tcBorders>
              <w:top w:val="outset" w:sz="6" w:space="0" w:color="414142"/>
              <w:left w:val="outset" w:sz="6" w:space="0" w:color="414142"/>
              <w:bottom w:val="outset" w:sz="6" w:space="0" w:color="414142"/>
              <w:right w:val="outset" w:sz="6" w:space="0" w:color="414142"/>
            </w:tcBorders>
            <w:hideMark/>
          </w:tcPr>
          <w:p w:rsidR="00E520E9" w:rsidRPr="00A60887" w:rsidRDefault="00E520E9" w:rsidP="0067516C">
            <w:pPr>
              <w:jc w:val="both"/>
              <w:rPr>
                <w:color w:val="000000"/>
                <w:sz w:val="26"/>
                <w:szCs w:val="26"/>
              </w:rPr>
            </w:pPr>
            <w:r w:rsidRPr="00A60887">
              <w:rPr>
                <w:color w:val="000000"/>
                <w:sz w:val="26"/>
                <w:szCs w:val="26"/>
              </w:rPr>
              <w:t>MK noteikumu projekta 3. punkts neparedz informācijas sniegšanas prasības, taču netieši ietver sevī administratīvo izmaksu rašanos, jo ar noteikumu projekta stāšanos spēkā sašķidrinātās dabasgāzes pakalpojuma sniedzējiem būs informācijas sniegšanas pienākums, kas izriet no likuma “Par sabiedrisko pakalpojumu regulatoriem”25.panta pirmās daļas un Enerģētikas likuma 5.panta piektās daļas prasībām. Tomēr pašreizējā stadijā nav iespējams precīzi noteikt potenciālo dokumentu skaitu, tajos iekļauto informācijas sniegšanas pienākumu apjomu, kā arī nav zināms sašķidrinātās dabasgāzes pakalpojumu sniedzēju skaits, tādējādi nav iespējams veikt administratīvo izmaksu aprēķinu.</w:t>
            </w:r>
          </w:p>
          <w:p w:rsidR="00E520E9" w:rsidRPr="00A159E6" w:rsidRDefault="00E520E9" w:rsidP="0067516C">
            <w:pPr>
              <w:jc w:val="both"/>
              <w:rPr>
                <w:iCs/>
                <w:color w:val="17365D"/>
                <w:sz w:val="26"/>
                <w:szCs w:val="26"/>
              </w:rPr>
            </w:pPr>
            <w:r w:rsidRPr="00A60887">
              <w:rPr>
                <w:color w:val="000000"/>
                <w:sz w:val="26"/>
                <w:szCs w:val="26"/>
              </w:rPr>
              <w:t xml:space="preserve">Noteikumu projekts ievērojami atvieglos administratīvo slogu maza apjoma ūdenssaimniecības pakalpojumu sniedzējiem. </w:t>
            </w:r>
            <w:r w:rsidRPr="00064B3B">
              <w:rPr>
                <w:color w:val="000000"/>
                <w:sz w:val="26"/>
                <w:szCs w:val="26"/>
              </w:rPr>
              <w:t xml:space="preserve">Turpmāk maza apjoma ūdenssaimniecības pakalpojuma sniedzējiem nebūs jāiegulda resursi un jāizstrādā tarifu projekts iesniegšanai Regulatoram saskaņā ar likuma “Par sabiedrisko pakalpojumu regulatoriem” 19.panta pirmo daļu; nevajadzēs gatavot  un sniegt ikgadējās atskaites un informāciju par izmaiņām savā darbībā; nebūs jāmaksā valsts nodeva par sabiedrisko pakalpojumu regulēšanu saskaņā ar  likuma “Par </w:t>
            </w:r>
            <w:r w:rsidRPr="00064B3B">
              <w:rPr>
                <w:color w:val="000000"/>
                <w:sz w:val="26"/>
                <w:szCs w:val="26"/>
              </w:rPr>
              <w:lastRenderedPageBreak/>
              <w:t>sabiedrisko pakalpojumu regulatoriem” 30.panta pirmo daļu. Tā kā katram komersantam ir atšķirīgs izmaksu apjoms, nav iespējams veikt administratīvo izmaksu ietaupījuma aprēķinu.</w:t>
            </w:r>
          </w:p>
        </w:tc>
      </w:tr>
      <w:tr w:rsidR="00E520E9" w:rsidRPr="007C52FA" w:rsidTr="0067516C">
        <w:trPr>
          <w:trHeight w:val="492"/>
        </w:trPr>
        <w:tc>
          <w:tcPr>
            <w:tcW w:w="248"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sz w:val="26"/>
                <w:szCs w:val="26"/>
                <w:lang w:eastAsia="lv-LV"/>
              </w:rPr>
            </w:pPr>
            <w:r w:rsidRPr="007C52FA">
              <w:rPr>
                <w:sz w:val="26"/>
                <w:szCs w:val="26"/>
                <w:lang w:eastAsia="lv-LV"/>
              </w:rPr>
              <w:lastRenderedPageBreak/>
              <w:t>3.</w:t>
            </w:r>
          </w:p>
        </w:tc>
        <w:tc>
          <w:tcPr>
            <w:tcW w:w="1543"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iCs/>
                <w:sz w:val="26"/>
                <w:szCs w:val="26"/>
              </w:rPr>
            </w:pPr>
            <w:r w:rsidRPr="007C52FA">
              <w:rPr>
                <w:iCs/>
                <w:sz w:val="26"/>
                <w:szCs w:val="26"/>
              </w:rPr>
              <w:t>Administratīvo izmaksu monetārs novērtējums</w:t>
            </w:r>
          </w:p>
        </w:tc>
        <w:tc>
          <w:tcPr>
            <w:tcW w:w="3184"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iCs/>
                <w:sz w:val="26"/>
                <w:szCs w:val="26"/>
              </w:rPr>
            </w:pPr>
            <w:r>
              <w:rPr>
                <w:sz w:val="26"/>
                <w:szCs w:val="26"/>
              </w:rPr>
              <w:t>Projekts šo jomu neskar</w:t>
            </w:r>
          </w:p>
        </w:tc>
      </w:tr>
      <w:tr w:rsidR="00E520E9" w:rsidRPr="007C52FA" w:rsidTr="0067516C">
        <w:trPr>
          <w:trHeight w:val="332"/>
        </w:trPr>
        <w:tc>
          <w:tcPr>
            <w:tcW w:w="248"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sz w:val="26"/>
                <w:szCs w:val="26"/>
                <w:lang w:eastAsia="lv-LV"/>
              </w:rPr>
            </w:pPr>
            <w:r w:rsidRPr="007C52FA">
              <w:rPr>
                <w:sz w:val="26"/>
                <w:szCs w:val="26"/>
                <w:lang w:eastAsia="lv-LV"/>
              </w:rPr>
              <w:t>4.</w:t>
            </w:r>
          </w:p>
        </w:tc>
        <w:tc>
          <w:tcPr>
            <w:tcW w:w="1543" w:type="pct"/>
            <w:tcBorders>
              <w:top w:val="outset" w:sz="6" w:space="0" w:color="414142"/>
              <w:left w:val="outset" w:sz="6" w:space="0" w:color="414142"/>
              <w:bottom w:val="outset" w:sz="6" w:space="0" w:color="414142"/>
              <w:right w:val="outset" w:sz="6" w:space="0" w:color="414142"/>
            </w:tcBorders>
            <w:hideMark/>
          </w:tcPr>
          <w:p w:rsidR="00E520E9" w:rsidRPr="007C52FA" w:rsidRDefault="00E520E9" w:rsidP="0067516C">
            <w:pPr>
              <w:rPr>
                <w:iCs/>
                <w:sz w:val="26"/>
                <w:szCs w:val="26"/>
              </w:rPr>
            </w:pPr>
            <w:r w:rsidRPr="007C52FA">
              <w:rPr>
                <w:iCs/>
                <w:sz w:val="26"/>
                <w:szCs w:val="26"/>
              </w:rPr>
              <w:t>Cita informācija</w:t>
            </w:r>
          </w:p>
        </w:tc>
        <w:tc>
          <w:tcPr>
            <w:tcW w:w="3184" w:type="pct"/>
            <w:tcBorders>
              <w:top w:val="outset" w:sz="6" w:space="0" w:color="414142"/>
              <w:left w:val="outset" w:sz="6" w:space="0" w:color="414142"/>
              <w:bottom w:val="outset" w:sz="6" w:space="0" w:color="414142"/>
              <w:right w:val="outset" w:sz="6" w:space="0" w:color="414142"/>
            </w:tcBorders>
            <w:hideMark/>
          </w:tcPr>
          <w:p w:rsidR="00E520E9" w:rsidRPr="0030689D" w:rsidRDefault="00E520E9" w:rsidP="0067516C">
            <w:pPr>
              <w:jc w:val="both"/>
              <w:rPr>
                <w:iCs/>
                <w:color w:val="000000"/>
                <w:sz w:val="26"/>
                <w:szCs w:val="26"/>
              </w:rPr>
            </w:pPr>
            <w:r w:rsidRPr="00A60887">
              <w:rPr>
                <w:color w:val="000000"/>
                <w:sz w:val="26"/>
                <w:szCs w:val="26"/>
              </w:rPr>
              <w:t>Nav</w:t>
            </w:r>
          </w:p>
        </w:tc>
      </w:tr>
    </w:tbl>
    <w:p w:rsidR="00E7662E" w:rsidRDefault="00E7662E"/>
    <w:p w:rsidR="00E520E9" w:rsidRDefault="00E520E9">
      <w:bookmarkStart w:id="0" w:name="_GoBack"/>
      <w:bookmarkEnd w:id="0"/>
    </w:p>
    <w:p w:rsidR="00E520E9" w:rsidRDefault="00E520E9"/>
    <w:tbl>
      <w:tblPr>
        <w:tblW w:w="5258"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
        <w:gridCol w:w="36"/>
        <w:gridCol w:w="2256"/>
        <w:gridCol w:w="1102"/>
        <w:gridCol w:w="1309"/>
        <w:gridCol w:w="1230"/>
        <w:gridCol w:w="1355"/>
        <w:gridCol w:w="1292"/>
        <w:gridCol w:w="143"/>
        <w:gridCol w:w="9"/>
      </w:tblGrid>
      <w:tr w:rsidR="00E520E9" w:rsidRPr="007C52FA" w:rsidTr="00E520E9">
        <w:trPr>
          <w:gridAfter w:val="2"/>
          <w:wAfter w:w="86" w:type="pct"/>
          <w:trHeight w:val="405"/>
        </w:trPr>
        <w:tc>
          <w:tcPr>
            <w:tcW w:w="4914" w:type="pct"/>
            <w:gridSpan w:val="8"/>
            <w:tcBorders>
              <w:top w:val="outset" w:sz="6" w:space="0" w:color="414142"/>
              <w:left w:val="outset" w:sz="6" w:space="0" w:color="414142"/>
              <w:bottom w:val="outset" w:sz="6" w:space="0" w:color="414142"/>
              <w:right w:val="outset" w:sz="6" w:space="0" w:color="414142"/>
            </w:tcBorders>
            <w:vAlign w:val="center"/>
            <w:hideMark/>
          </w:tcPr>
          <w:p w:rsidR="00E520E9" w:rsidRPr="007C52FA" w:rsidRDefault="00E520E9" w:rsidP="0067516C">
            <w:pPr>
              <w:ind w:firstLine="300"/>
              <w:jc w:val="center"/>
              <w:rPr>
                <w:b/>
                <w:bCs/>
                <w:sz w:val="26"/>
                <w:szCs w:val="26"/>
                <w:lang w:eastAsia="lv-LV"/>
              </w:rPr>
            </w:pPr>
            <w:r w:rsidRPr="00EF4083">
              <w:rPr>
                <w:b/>
                <w:bCs/>
                <w:sz w:val="26"/>
                <w:szCs w:val="26"/>
              </w:rPr>
              <w:t>III. Tiesību akta projekta ietekme uz valsts budžetu un pašvaldību budžetiem</w:t>
            </w:r>
          </w:p>
        </w:tc>
      </w:tr>
      <w:tr w:rsidR="00E520E9" w:rsidRPr="00864F66"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vMerge w:val="restart"/>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spacing w:line="312" w:lineRule="auto"/>
              <w:ind w:firstLine="300"/>
              <w:jc w:val="center"/>
              <w:rPr>
                <w:b/>
                <w:bCs/>
              </w:rPr>
            </w:pPr>
            <w:r w:rsidRPr="00864F66">
              <w:rPr>
                <w:b/>
                <w:bCs/>
              </w:rPr>
              <w:t>Rādītāji</w:t>
            </w:r>
          </w:p>
        </w:tc>
        <w:tc>
          <w:tcPr>
            <w:tcW w:w="13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spacing w:line="312" w:lineRule="auto"/>
              <w:ind w:firstLine="300"/>
              <w:jc w:val="center"/>
              <w:rPr>
                <w:b/>
                <w:bCs/>
              </w:rPr>
            </w:pPr>
            <w:r>
              <w:rPr>
                <w:b/>
                <w:bCs/>
              </w:rPr>
              <w:t>2014</w:t>
            </w:r>
          </w:p>
        </w:tc>
        <w:tc>
          <w:tcPr>
            <w:tcW w:w="2289" w:type="pct"/>
            <w:gridSpan w:val="5"/>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spacing w:line="312" w:lineRule="auto"/>
              <w:ind w:firstLine="300"/>
              <w:jc w:val="center"/>
            </w:pPr>
            <w:r w:rsidRPr="00864F66">
              <w:t>Turpmākie trīs gadi (</w:t>
            </w:r>
            <w:proofErr w:type="spellStart"/>
            <w:r w:rsidRPr="00864F66">
              <w:rPr>
                <w:i/>
                <w:iCs/>
              </w:rPr>
              <w:t>euro</w:t>
            </w:r>
            <w:proofErr w:type="spellEnd"/>
            <w:r w:rsidRPr="00864F66">
              <w:t>)</w:t>
            </w:r>
          </w:p>
        </w:tc>
      </w:tr>
      <w:tr w:rsidR="00E520E9" w:rsidRPr="00864F66"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vMerge/>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rPr>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rPr>
                <w:b/>
                <w:bCs/>
              </w:rPr>
            </w:pPr>
          </w:p>
        </w:tc>
        <w:tc>
          <w:tcPr>
            <w:tcW w:w="699" w:type="pct"/>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spacing w:line="312" w:lineRule="auto"/>
              <w:ind w:firstLine="300"/>
              <w:jc w:val="center"/>
              <w:rPr>
                <w:b/>
                <w:bCs/>
              </w:rPr>
            </w:pPr>
            <w:r>
              <w:rPr>
                <w:b/>
                <w:bCs/>
              </w:rPr>
              <w:t>2015</w:t>
            </w:r>
          </w:p>
        </w:tc>
        <w:tc>
          <w:tcPr>
            <w:tcW w:w="770" w:type="pct"/>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spacing w:line="312" w:lineRule="auto"/>
              <w:ind w:firstLine="300"/>
              <w:jc w:val="center"/>
              <w:rPr>
                <w:b/>
                <w:bCs/>
              </w:rPr>
            </w:pPr>
            <w:r>
              <w:rPr>
                <w:b/>
                <w:bCs/>
              </w:rPr>
              <w:t>2016</w:t>
            </w:r>
          </w:p>
        </w:tc>
        <w:tc>
          <w:tcPr>
            <w:tcW w:w="820" w:type="pct"/>
            <w:gridSpan w:val="3"/>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spacing w:line="312" w:lineRule="auto"/>
              <w:ind w:firstLine="300"/>
              <w:jc w:val="center"/>
              <w:rPr>
                <w:b/>
                <w:bCs/>
              </w:rPr>
            </w:pPr>
            <w:r>
              <w:rPr>
                <w:b/>
                <w:bCs/>
              </w:rPr>
              <w:t>2017</w:t>
            </w:r>
          </w:p>
        </w:tc>
      </w:tr>
      <w:tr w:rsidR="00E520E9" w:rsidRPr="00864F66"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vMerge/>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rPr>
                <w:b/>
                <w:bCs/>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spacing w:line="312" w:lineRule="auto"/>
            </w:pPr>
            <w:r w:rsidRPr="00864F66">
              <w:t>saskaņā ar valsts budžetu kārtējam gadam</w:t>
            </w:r>
          </w:p>
        </w:tc>
        <w:tc>
          <w:tcPr>
            <w:tcW w:w="744" w:type="pct"/>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spacing w:line="312" w:lineRule="auto"/>
            </w:pPr>
            <w:r w:rsidRPr="00864F66">
              <w:t>izmaiņas kārtējā gadā, salīdzinot ar valsts budžetu kārtējam gadam</w:t>
            </w:r>
          </w:p>
        </w:tc>
        <w:tc>
          <w:tcPr>
            <w:tcW w:w="699" w:type="pct"/>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spacing w:line="312" w:lineRule="auto"/>
            </w:pPr>
            <w:r w:rsidRPr="00864F66">
              <w:t>izmaiņas, salīdzinot ar kārtējo (n) gadu</w:t>
            </w:r>
          </w:p>
        </w:tc>
        <w:tc>
          <w:tcPr>
            <w:tcW w:w="770" w:type="pct"/>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spacing w:line="312" w:lineRule="auto"/>
            </w:pPr>
            <w:r w:rsidRPr="00864F66">
              <w:t>izmaiņas, salīdzinot ar kārtējo (n) gadu</w:t>
            </w:r>
          </w:p>
        </w:tc>
        <w:tc>
          <w:tcPr>
            <w:tcW w:w="820" w:type="pct"/>
            <w:gridSpan w:val="3"/>
            <w:tcBorders>
              <w:top w:val="outset" w:sz="6" w:space="0" w:color="auto"/>
              <w:left w:val="outset" w:sz="6" w:space="0" w:color="auto"/>
              <w:bottom w:val="outset" w:sz="6" w:space="0" w:color="auto"/>
              <w:right w:val="outset" w:sz="6" w:space="0" w:color="auto"/>
            </w:tcBorders>
            <w:vAlign w:val="center"/>
            <w:hideMark/>
          </w:tcPr>
          <w:p w:rsidR="00E520E9" w:rsidRPr="00864F66" w:rsidRDefault="00E520E9" w:rsidP="0067516C">
            <w:pPr>
              <w:spacing w:line="312" w:lineRule="auto"/>
            </w:pPr>
            <w:r w:rsidRPr="00864F66">
              <w:t>izmaiņas, salīdzinot ar kārtējo (n) gadu</w:t>
            </w:r>
          </w:p>
        </w:tc>
      </w:tr>
      <w:tr w:rsidR="00E520E9" w:rsidRPr="00EF4083"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vAlign w:val="center"/>
            <w:hideMark/>
          </w:tcPr>
          <w:p w:rsidR="00E520E9" w:rsidRPr="00EF4083" w:rsidRDefault="00E520E9" w:rsidP="0067516C">
            <w:pPr>
              <w:spacing w:line="312" w:lineRule="auto"/>
              <w:ind w:firstLine="300"/>
              <w:jc w:val="center"/>
              <w:rPr>
                <w:sz w:val="26"/>
                <w:szCs w:val="26"/>
              </w:rPr>
            </w:pPr>
            <w:r w:rsidRPr="00EF4083">
              <w:rPr>
                <w:sz w:val="26"/>
                <w:szCs w:val="26"/>
              </w:rPr>
              <w:t>1</w:t>
            </w:r>
          </w:p>
        </w:tc>
        <w:tc>
          <w:tcPr>
            <w:tcW w:w="626" w:type="pct"/>
            <w:tcBorders>
              <w:top w:val="outset" w:sz="6" w:space="0" w:color="auto"/>
              <w:left w:val="outset" w:sz="6" w:space="0" w:color="auto"/>
              <w:bottom w:val="outset" w:sz="6" w:space="0" w:color="auto"/>
              <w:right w:val="outset" w:sz="6" w:space="0" w:color="auto"/>
            </w:tcBorders>
            <w:vAlign w:val="center"/>
            <w:hideMark/>
          </w:tcPr>
          <w:p w:rsidR="00E520E9" w:rsidRPr="00EF4083" w:rsidRDefault="00E520E9" w:rsidP="0067516C">
            <w:pPr>
              <w:spacing w:line="312" w:lineRule="auto"/>
              <w:ind w:firstLine="300"/>
              <w:jc w:val="center"/>
              <w:rPr>
                <w:sz w:val="26"/>
                <w:szCs w:val="26"/>
              </w:rPr>
            </w:pPr>
            <w:r w:rsidRPr="00EF4083">
              <w:rPr>
                <w:sz w:val="26"/>
                <w:szCs w:val="26"/>
              </w:rPr>
              <w:t>2</w:t>
            </w:r>
          </w:p>
        </w:tc>
        <w:tc>
          <w:tcPr>
            <w:tcW w:w="744" w:type="pct"/>
            <w:tcBorders>
              <w:top w:val="outset" w:sz="6" w:space="0" w:color="auto"/>
              <w:left w:val="outset" w:sz="6" w:space="0" w:color="auto"/>
              <w:bottom w:val="outset" w:sz="6" w:space="0" w:color="auto"/>
              <w:right w:val="outset" w:sz="6" w:space="0" w:color="auto"/>
            </w:tcBorders>
            <w:vAlign w:val="center"/>
            <w:hideMark/>
          </w:tcPr>
          <w:p w:rsidR="00E520E9" w:rsidRPr="00EF4083" w:rsidRDefault="00E520E9" w:rsidP="0067516C">
            <w:pPr>
              <w:spacing w:line="312" w:lineRule="auto"/>
              <w:ind w:firstLine="300"/>
              <w:jc w:val="center"/>
              <w:rPr>
                <w:sz w:val="26"/>
                <w:szCs w:val="26"/>
              </w:rPr>
            </w:pPr>
            <w:r w:rsidRPr="00EF4083">
              <w:rPr>
                <w:sz w:val="26"/>
                <w:szCs w:val="26"/>
              </w:rPr>
              <w:t>3</w:t>
            </w:r>
          </w:p>
        </w:tc>
        <w:tc>
          <w:tcPr>
            <w:tcW w:w="699" w:type="pct"/>
            <w:tcBorders>
              <w:top w:val="outset" w:sz="6" w:space="0" w:color="auto"/>
              <w:left w:val="outset" w:sz="6" w:space="0" w:color="auto"/>
              <w:bottom w:val="outset" w:sz="6" w:space="0" w:color="auto"/>
              <w:right w:val="outset" w:sz="6" w:space="0" w:color="auto"/>
            </w:tcBorders>
            <w:vAlign w:val="center"/>
            <w:hideMark/>
          </w:tcPr>
          <w:p w:rsidR="00E520E9" w:rsidRPr="00EF4083" w:rsidRDefault="00E520E9" w:rsidP="0067516C">
            <w:pPr>
              <w:spacing w:line="312" w:lineRule="auto"/>
              <w:ind w:firstLine="300"/>
              <w:jc w:val="center"/>
              <w:rPr>
                <w:sz w:val="26"/>
                <w:szCs w:val="26"/>
              </w:rPr>
            </w:pPr>
            <w:r w:rsidRPr="00EF4083">
              <w:rPr>
                <w:sz w:val="26"/>
                <w:szCs w:val="26"/>
              </w:rPr>
              <w:t>4</w:t>
            </w:r>
          </w:p>
        </w:tc>
        <w:tc>
          <w:tcPr>
            <w:tcW w:w="770" w:type="pct"/>
            <w:tcBorders>
              <w:top w:val="outset" w:sz="6" w:space="0" w:color="auto"/>
              <w:left w:val="outset" w:sz="6" w:space="0" w:color="auto"/>
              <w:bottom w:val="outset" w:sz="6" w:space="0" w:color="auto"/>
              <w:right w:val="outset" w:sz="6" w:space="0" w:color="auto"/>
            </w:tcBorders>
            <w:vAlign w:val="center"/>
            <w:hideMark/>
          </w:tcPr>
          <w:p w:rsidR="00E520E9" w:rsidRPr="00EF4083" w:rsidRDefault="00E520E9" w:rsidP="0067516C">
            <w:pPr>
              <w:spacing w:line="312" w:lineRule="auto"/>
              <w:ind w:firstLine="300"/>
              <w:jc w:val="center"/>
              <w:rPr>
                <w:sz w:val="26"/>
                <w:szCs w:val="26"/>
              </w:rPr>
            </w:pPr>
            <w:r w:rsidRPr="00EF4083">
              <w:rPr>
                <w:sz w:val="26"/>
                <w:szCs w:val="26"/>
              </w:rPr>
              <w:t>5</w:t>
            </w:r>
          </w:p>
        </w:tc>
        <w:tc>
          <w:tcPr>
            <w:tcW w:w="820" w:type="pct"/>
            <w:gridSpan w:val="3"/>
            <w:tcBorders>
              <w:top w:val="outset" w:sz="6" w:space="0" w:color="auto"/>
              <w:left w:val="outset" w:sz="6" w:space="0" w:color="auto"/>
              <w:bottom w:val="outset" w:sz="6" w:space="0" w:color="auto"/>
              <w:right w:val="outset" w:sz="6" w:space="0" w:color="auto"/>
            </w:tcBorders>
            <w:vAlign w:val="center"/>
            <w:hideMark/>
          </w:tcPr>
          <w:p w:rsidR="00E520E9" w:rsidRPr="00EF4083" w:rsidRDefault="00E520E9" w:rsidP="0067516C">
            <w:pPr>
              <w:spacing w:line="312" w:lineRule="auto"/>
              <w:ind w:firstLine="300"/>
              <w:jc w:val="center"/>
              <w:rPr>
                <w:sz w:val="26"/>
                <w:szCs w:val="26"/>
              </w:rPr>
            </w:pPr>
            <w:r w:rsidRPr="00EF4083">
              <w:rPr>
                <w:sz w:val="26"/>
                <w:szCs w:val="26"/>
              </w:rPr>
              <w:t>6</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1. Budžeta ieņēmumi:</w:t>
            </w:r>
          </w:p>
        </w:tc>
        <w:tc>
          <w:tcPr>
            <w:tcW w:w="626"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1.1. valsts pamatbudžets, tai skaitā ieņēmumi no maksas pakalpojumiem un citi pašu ieņēmumi</w:t>
            </w:r>
          </w:p>
        </w:tc>
        <w:tc>
          <w:tcPr>
            <w:tcW w:w="626"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1.2. valsts speciālais budžets</w:t>
            </w:r>
          </w:p>
        </w:tc>
        <w:tc>
          <w:tcPr>
            <w:tcW w:w="626"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1.3. pašvaldību budžets</w:t>
            </w:r>
          </w:p>
        </w:tc>
        <w:tc>
          <w:tcPr>
            <w:tcW w:w="626"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2. Budžeta izdevumi:</w:t>
            </w:r>
          </w:p>
        </w:tc>
        <w:tc>
          <w:tcPr>
            <w:tcW w:w="626"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lastRenderedPageBreak/>
              <w:t>2.1. valsts pamatbudžets</w:t>
            </w:r>
          </w:p>
        </w:tc>
        <w:tc>
          <w:tcPr>
            <w:tcW w:w="626"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2.2. valsts speciālais budžets</w:t>
            </w:r>
          </w:p>
        </w:tc>
        <w:tc>
          <w:tcPr>
            <w:tcW w:w="626"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2.3. pašvaldību budžets</w:t>
            </w:r>
          </w:p>
        </w:tc>
        <w:tc>
          <w:tcPr>
            <w:tcW w:w="626"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3. Finansiālā ietekme:</w:t>
            </w:r>
          </w:p>
        </w:tc>
        <w:tc>
          <w:tcPr>
            <w:tcW w:w="626" w:type="pct"/>
            <w:tcBorders>
              <w:top w:val="outset" w:sz="6" w:space="0" w:color="auto"/>
              <w:left w:val="outset" w:sz="6" w:space="0" w:color="auto"/>
              <w:bottom w:val="outset" w:sz="6" w:space="0" w:color="auto"/>
              <w:right w:val="outset" w:sz="6" w:space="0" w:color="auto"/>
            </w:tcBorders>
            <w:vAlign w:val="center"/>
            <w:hideMark/>
          </w:tcPr>
          <w:p w:rsidR="00E520E9" w:rsidRPr="00B11E75" w:rsidRDefault="00E520E9" w:rsidP="0067516C">
            <w:pPr>
              <w:jc w:val="center"/>
              <w:rPr>
                <w:sz w:val="26"/>
                <w:szCs w:val="26"/>
              </w:rPr>
            </w:pPr>
            <w:r w:rsidRPr="00B11E75">
              <w:rPr>
                <w:sz w:val="26"/>
                <w:szCs w:val="26"/>
              </w:rPr>
              <w:t>0</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3.1. valsts pamatbudžets</w:t>
            </w:r>
          </w:p>
        </w:tc>
        <w:tc>
          <w:tcPr>
            <w:tcW w:w="626"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3.2. speciālais budžets</w:t>
            </w:r>
          </w:p>
        </w:tc>
        <w:tc>
          <w:tcPr>
            <w:tcW w:w="626"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3.3. pašvaldību budžets</w:t>
            </w:r>
          </w:p>
        </w:tc>
        <w:tc>
          <w:tcPr>
            <w:tcW w:w="626"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vMerge w:val="restar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4. Finanšu līdzekļi papildu izdevumu finansēšanai (kompensējošu izdevumu samazinājumu norāda ar "+" zīmi)</w:t>
            </w:r>
          </w:p>
        </w:tc>
        <w:tc>
          <w:tcPr>
            <w:tcW w:w="626" w:type="pct"/>
            <w:vMerge w:val="restar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spacing w:line="312" w:lineRule="auto"/>
              <w:ind w:firstLine="300"/>
              <w:jc w:val="center"/>
              <w:rPr>
                <w:sz w:val="26"/>
                <w:szCs w:val="26"/>
              </w:rPr>
            </w:pPr>
            <w:r w:rsidRPr="00B11E75">
              <w:rPr>
                <w:sz w:val="26"/>
                <w:szCs w:val="26"/>
              </w:rPr>
              <w:t>X</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vMerge/>
            <w:tcBorders>
              <w:top w:val="outset" w:sz="6" w:space="0" w:color="auto"/>
              <w:left w:val="outset" w:sz="6" w:space="0" w:color="auto"/>
              <w:bottom w:val="outset" w:sz="6" w:space="0" w:color="auto"/>
              <w:right w:val="outset" w:sz="6" w:space="0" w:color="auto"/>
            </w:tcBorders>
            <w:vAlign w:val="center"/>
            <w:hideMark/>
          </w:tcPr>
          <w:p w:rsidR="00E520E9" w:rsidRPr="00EF4083" w:rsidRDefault="00E520E9" w:rsidP="0067516C">
            <w:pPr>
              <w:rPr>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0E9" w:rsidRPr="00B11E75" w:rsidRDefault="00E520E9" w:rsidP="0067516C">
            <w:pPr>
              <w:rPr>
                <w:sz w:val="26"/>
                <w:szCs w:val="26"/>
              </w:rPr>
            </w:pP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vMerge/>
            <w:tcBorders>
              <w:top w:val="outset" w:sz="6" w:space="0" w:color="auto"/>
              <w:left w:val="outset" w:sz="6" w:space="0" w:color="auto"/>
              <w:bottom w:val="outset" w:sz="6" w:space="0" w:color="auto"/>
              <w:right w:val="outset" w:sz="6" w:space="0" w:color="auto"/>
            </w:tcBorders>
            <w:vAlign w:val="center"/>
            <w:hideMark/>
          </w:tcPr>
          <w:p w:rsidR="00E520E9" w:rsidRPr="00EF4083" w:rsidRDefault="00E520E9" w:rsidP="0067516C">
            <w:pPr>
              <w:rPr>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0E9" w:rsidRPr="00B11E75" w:rsidRDefault="00E520E9" w:rsidP="0067516C">
            <w:pPr>
              <w:rPr>
                <w:sz w:val="26"/>
                <w:szCs w:val="26"/>
              </w:rPr>
            </w:pP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5. Precizēta finansiālā ietekme:</w:t>
            </w:r>
          </w:p>
        </w:tc>
        <w:tc>
          <w:tcPr>
            <w:tcW w:w="626" w:type="pct"/>
            <w:vMerge w:val="restar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spacing w:line="312" w:lineRule="auto"/>
              <w:ind w:firstLine="300"/>
              <w:jc w:val="center"/>
              <w:rPr>
                <w:sz w:val="26"/>
                <w:szCs w:val="26"/>
              </w:rPr>
            </w:pPr>
            <w:r w:rsidRPr="00B11E75">
              <w:rPr>
                <w:sz w:val="26"/>
                <w:szCs w:val="26"/>
              </w:rPr>
              <w:t>X</w:t>
            </w: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139"/>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0E9" w:rsidRPr="00B11E75" w:rsidRDefault="00E520E9" w:rsidP="0067516C">
            <w:pPr>
              <w:rPr>
                <w:sz w:val="26"/>
                <w:szCs w:val="26"/>
              </w:rPr>
            </w:pP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565"/>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0E9" w:rsidRPr="00B11E75" w:rsidRDefault="00E520E9" w:rsidP="0067516C">
            <w:pPr>
              <w:rPr>
                <w:sz w:val="26"/>
                <w:szCs w:val="26"/>
              </w:rPr>
            </w:pP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B11E75"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581"/>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20E9" w:rsidRPr="00B11E75" w:rsidRDefault="00E520E9" w:rsidP="0067516C">
            <w:pPr>
              <w:rPr>
                <w:sz w:val="26"/>
                <w:szCs w:val="26"/>
              </w:rPr>
            </w:pPr>
          </w:p>
        </w:tc>
        <w:tc>
          <w:tcPr>
            <w:tcW w:w="744"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699"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770" w:type="pct"/>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c>
          <w:tcPr>
            <w:tcW w:w="820" w:type="pct"/>
            <w:gridSpan w:val="3"/>
            <w:tcBorders>
              <w:top w:val="outset" w:sz="6" w:space="0" w:color="auto"/>
              <w:left w:val="outset" w:sz="6" w:space="0" w:color="auto"/>
              <w:bottom w:val="outset" w:sz="6" w:space="0" w:color="auto"/>
              <w:right w:val="outset" w:sz="6" w:space="0" w:color="auto"/>
            </w:tcBorders>
            <w:hideMark/>
          </w:tcPr>
          <w:p w:rsidR="00E520E9" w:rsidRPr="00B11E75" w:rsidRDefault="00E520E9" w:rsidP="0067516C">
            <w:pPr>
              <w:jc w:val="center"/>
              <w:rPr>
                <w:sz w:val="26"/>
                <w:szCs w:val="26"/>
              </w:rPr>
            </w:pPr>
            <w:r w:rsidRPr="00B11E75">
              <w:rPr>
                <w:sz w:val="26"/>
                <w:szCs w:val="26"/>
              </w:rPr>
              <w:t>0</w:t>
            </w:r>
          </w:p>
        </w:tc>
      </w:tr>
      <w:tr w:rsidR="00E520E9" w:rsidRPr="00EF4083"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2888"/>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 xml:space="preserve">6. Detalizēts ieņēmumu un izdevumu aprēķins (ja nepieciešams, detalizētu ieņēmumu un izdevumu aprēķinu var pievienot anotācijas </w:t>
            </w:r>
            <w:r w:rsidRPr="00EF4083">
              <w:rPr>
                <w:sz w:val="26"/>
                <w:szCs w:val="26"/>
              </w:rPr>
              <w:lastRenderedPageBreak/>
              <w:t>pielikumā):</w:t>
            </w:r>
          </w:p>
        </w:tc>
        <w:tc>
          <w:tcPr>
            <w:tcW w:w="3659"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20E9" w:rsidRPr="00EF4083" w:rsidRDefault="00E520E9" w:rsidP="0067516C">
            <w:pPr>
              <w:rPr>
                <w:sz w:val="26"/>
                <w:szCs w:val="26"/>
              </w:rPr>
            </w:pPr>
            <w:r w:rsidRPr="00EF4083">
              <w:rPr>
                <w:sz w:val="26"/>
                <w:szCs w:val="26"/>
              </w:rPr>
              <w:lastRenderedPageBreak/>
              <w:t> </w:t>
            </w:r>
          </w:p>
        </w:tc>
      </w:tr>
      <w:tr w:rsidR="00E520E9" w:rsidRPr="00EF4083"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581"/>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lastRenderedPageBreak/>
              <w:t>6.1. detalizēts ieņēmumu aprēķins</w:t>
            </w:r>
          </w:p>
        </w:tc>
        <w:tc>
          <w:tcPr>
            <w:tcW w:w="3659" w:type="pct"/>
            <w:gridSpan w:val="7"/>
            <w:vMerge/>
            <w:tcBorders>
              <w:top w:val="outset" w:sz="6" w:space="0" w:color="auto"/>
              <w:left w:val="outset" w:sz="6" w:space="0" w:color="auto"/>
              <w:bottom w:val="outset" w:sz="6" w:space="0" w:color="auto"/>
              <w:right w:val="outset" w:sz="6" w:space="0" w:color="auto"/>
            </w:tcBorders>
            <w:vAlign w:val="center"/>
            <w:hideMark/>
          </w:tcPr>
          <w:p w:rsidR="00E520E9" w:rsidRPr="00EF4083" w:rsidRDefault="00E520E9" w:rsidP="0067516C">
            <w:pPr>
              <w:rPr>
                <w:sz w:val="26"/>
                <w:szCs w:val="26"/>
              </w:rPr>
            </w:pPr>
          </w:p>
        </w:tc>
      </w:tr>
      <w:tr w:rsidR="00E520E9" w:rsidRPr="00EF4083"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581"/>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67516C">
            <w:pPr>
              <w:rPr>
                <w:sz w:val="26"/>
                <w:szCs w:val="26"/>
              </w:rPr>
            </w:pPr>
            <w:r w:rsidRPr="00EF4083">
              <w:rPr>
                <w:sz w:val="26"/>
                <w:szCs w:val="26"/>
              </w:rPr>
              <w:t>6.2. detalizēts izdevumu aprēķins</w:t>
            </w:r>
          </w:p>
        </w:tc>
        <w:tc>
          <w:tcPr>
            <w:tcW w:w="3659" w:type="pct"/>
            <w:gridSpan w:val="7"/>
            <w:vMerge/>
            <w:tcBorders>
              <w:top w:val="outset" w:sz="6" w:space="0" w:color="auto"/>
              <w:left w:val="outset" w:sz="6" w:space="0" w:color="auto"/>
              <w:bottom w:val="outset" w:sz="6" w:space="0" w:color="auto"/>
              <w:right w:val="outset" w:sz="6" w:space="0" w:color="auto"/>
            </w:tcBorders>
            <w:vAlign w:val="center"/>
            <w:hideMark/>
          </w:tcPr>
          <w:p w:rsidR="00E520E9" w:rsidRPr="00EF4083" w:rsidRDefault="00E520E9" w:rsidP="0067516C">
            <w:pPr>
              <w:rPr>
                <w:sz w:val="26"/>
                <w:szCs w:val="26"/>
              </w:rPr>
            </w:pPr>
          </w:p>
        </w:tc>
      </w:tr>
      <w:tr w:rsidR="00E520E9" w:rsidRPr="0030689D" w:rsidTr="00E520E9">
        <w:tblPrEx>
          <w:jc w:val="center"/>
          <w:tblCellSpacing w:w="15" w:type="dxa"/>
          <w:tblBorders>
            <w:top w:val="outset" w:sz="6" w:space="0" w:color="auto"/>
            <w:left w:val="outset" w:sz="6" w:space="0" w:color="auto"/>
            <w:bottom w:val="outset" w:sz="6" w:space="0" w:color="auto"/>
            <w:right w:val="outset" w:sz="6" w:space="0" w:color="auto"/>
          </w:tblBorders>
        </w:tblPrEx>
        <w:trPr>
          <w:gridBefore w:val="2"/>
          <w:wBefore w:w="59" w:type="pct"/>
          <w:trHeight w:val="535"/>
          <w:tblCellSpacing w:w="15" w:type="dxa"/>
          <w:jc w:val="center"/>
        </w:trPr>
        <w:tc>
          <w:tcPr>
            <w:tcW w:w="1282" w:type="pct"/>
            <w:tcBorders>
              <w:top w:val="outset" w:sz="6" w:space="0" w:color="auto"/>
              <w:left w:val="outset" w:sz="6" w:space="0" w:color="auto"/>
              <w:bottom w:val="outset" w:sz="6" w:space="0" w:color="auto"/>
              <w:right w:val="outset" w:sz="6" w:space="0" w:color="auto"/>
            </w:tcBorders>
            <w:hideMark/>
          </w:tcPr>
          <w:p w:rsidR="00E520E9" w:rsidRPr="00EF4083" w:rsidRDefault="00E520E9" w:rsidP="00E520E9">
            <w:pPr>
              <w:rPr>
                <w:sz w:val="26"/>
                <w:szCs w:val="26"/>
              </w:rPr>
            </w:pPr>
            <w:r w:rsidRPr="00EF4083">
              <w:rPr>
                <w:sz w:val="26"/>
                <w:szCs w:val="26"/>
              </w:rPr>
              <w:t>7. Cita informācija</w:t>
            </w:r>
          </w:p>
        </w:tc>
        <w:tc>
          <w:tcPr>
            <w:tcW w:w="3659" w:type="pct"/>
            <w:gridSpan w:val="7"/>
            <w:tcBorders>
              <w:top w:val="outset" w:sz="6" w:space="0" w:color="auto"/>
              <w:left w:val="outset" w:sz="6" w:space="0" w:color="auto"/>
              <w:bottom w:val="outset" w:sz="6" w:space="0" w:color="auto"/>
              <w:right w:val="outset" w:sz="6" w:space="0" w:color="auto"/>
            </w:tcBorders>
            <w:hideMark/>
          </w:tcPr>
          <w:p w:rsidR="00E520E9" w:rsidRDefault="00E520E9" w:rsidP="00E520E9">
            <w:pPr>
              <w:pStyle w:val="ListParagraph"/>
              <w:spacing w:after="0" w:line="240" w:lineRule="auto"/>
              <w:ind w:left="0" w:firstLine="720"/>
              <w:jc w:val="both"/>
              <w:rPr>
                <w:sz w:val="26"/>
                <w:szCs w:val="26"/>
              </w:rPr>
            </w:pPr>
            <w:r>
              <w:rPr>
                <w:sz w:val="26"/>
                <w:szCs w:val="26"/>
              </w:rPr>
              <w:t>1.</w:t>
            </w:r>
            <w:r w:rsidRPr="006F12A8">
              <w:rPr>
                <w:sz w:val="26"/>
                <w:szCs w:val="26"/>
              </w:rPr>
              <w:t>Saskaņā ar likuma „Par sabiedrisko pakalpojumu regulatoriem” 30.panta pirmo un otro daļu sašķidrinātās dabasgāzes pakalpojuma sniedzēji iemaksās valsts nodevu par sabiedrisko pakalpojumu regulēšanu.</w:t>
            </w:r>
            <w:r>
              <w:rPr>
                <w:sz w:val="26"/>
                <w:szCs w:val="26"/>
              </w:rPr>
              <w:t xml:space="preserve"> </w:t>
            </w:r>
            <w:r w:rsidRPr="00B11E75">
              <w:rPr>
                <w:sz w:val="26"/>
                <w:szCs w:val="26"/>
              </w:rPr>
              <w:t>Minētā valsts nodeva iemaksājama valsts budžetā un tā izmantojama vienīgi Sabiedrisko pakalpojumu regulēšanas komisijas darbības nodrošināšanai.</w:t>
            </w:r>
            <w:r w:rsidRPr="006F12A8">
              <w:rPr>
                <w:sz w:val="26"/>
                <w:szCs w:val="26"/>
              </w:rPr>
              <w:t xml:space="preserve"> Ministru kabineta 2009.gada 22.decembra noteikumu Nr.1623 „Noteikumi par valsts nodevas likmi par sabiedrisko pakalpojumu regulēšanu un nodevas maksāšanas kārtību” 2.punkts paredz, ka minētās nodevas likme ir 0,17 procentu no komersanta sniegtā attiecīgā sabiedriskā pakalpojuma veida neto apgrozījuma iepriekšējā kalendāra gadā. Ņemot vērā to, ka nav zināms, cik </w:t>
            </w:r>
            <w:r>
              <w:rPr>
                <w:sz w:val="26"/>
                <w:szCs w:val="26"/>
              </w:rPr>
              <w:t xml:space="preserve">daudz </w:t>
            </w:r>
            <w:r w:rsidRPr="006F12A8">
              <w:rPr>
                <w:sz w:val="26"/>
                <w:szCs w:val="26"/>
              </w:rPr>
              <w:t>komersant</w:t>
            </w:r>
            <w:r>
              <w:rPr>
                <w:sz w:val="26"/>
                <w:szCs w:val="26"/>
              </w:rPr>
              <w:t>u</w:t>
            </w:r>
            <w:r w:rsidRPr="006F12A8">
              <w:rPr>
                <w:sz w:val="26"/>
                <w:szCs w:val="26"/>
              </w:rPr>
              <w:t xml:space="preserve"> sniegs sašķidrinātās dabasgāzes pakalpojumu un kāds varētu būt komersantu sniegtā sašķidrinātās dabasgāzes pakalpojuma neto apgrozījums, pašlaik nav iespējams aprēķināt ietekmi uz valsts budžetu.</w:t>
            </w:r>
            <w:r>
              <w:rPr>
                <w:sz w:val="26"/>
                <w:szCs w:val="26"/>
              </w:rPr>
              <w:t xml:space="preserve"> </w:t>
            </w:r>
          </w:p>
          <w:p w:rsidR="00E520E9" w:rsidRPr="0030689D" w:rsidRDefault="00E520E9" w:rsidP="00E520E9">
            <w:pPr>
              <w:pStyle w:val="ListParagraph"/>
              <w:spacing w:after="0" w:line="240" w:lineRule="auto"/>
              <w:ind w:left="0" w:firstLine="720"/>
              <w:jc w:val="both"/>
              <w:rPr>
                <w:color w:val="000000"/>
                <w:sz w:val="26"/>
                <w:szCs w:val="26"/>
              </w:rPr>
            </w:pPr>
            <w:r w:rsidRPr="00A60887">
              <w:rPr>
                <w:color w:val="000000"/>
                <w:sz w:val="26"/>
                <w:szCs w:val="26"/>
              </w:rPr>
              <w:t>2. No kopējā regulējamo ūdenssaimniecības pakalpojumu neto apgrozījuma ūdenssaimniecības pakalpojumu sniedzēju, kuri sniedz ūdenssaimniecības pakalpojumus zem 100 000 m</w:t>
            </w:r>
            <w:r w:rsidRPr="00A60887">
              <w:rPr>
                <w:color w:val="000000"/>
                <w:sz w:val="26"/>
                <w:szCs w:val="26"/>
                <w:vertAlign w:val="superscript"/>
              </w:rPr>
              <w:t>3</w:t>
            </w:r>
            <w:r w:rsidRPr="00A60887">
              <w:rPr>
                <w:color w:val="000000"/>
                <w:sz w:val="26"/>
                <w:szCs w:val="26"/>
              </w:rPr>
              <w:t xml:space="preserve"> gadā, neto apgrozījums veido 3,5 % , kas neatstās būtisku ietekmi uz valsts nodevas apmēru un valsts budžetu.</w:t>
            </w:r>
            <w:r>
              <w:rPr>
                <w:color w:val="000000"/>
                <w:sz w:val="26"/>
                <w:szCs w:val="26"/>
              </w:rPr>
              <w:t xml:space="preserve"> </w:t>
            </w:r>
          </w:p>
        </w:tc>
      </w:tr>
      <w:tr w:rsidR="00E520E9" w:rsidRPr="007C52FA" w:rsidTr="00E520E9">
        <w:trPr>
          <w:gridBefore w:val="1"/>
          <w:gridAfter w:val="1"/>
          <w:wBefore w:w="38" w:type="pct"/>
          <w:wAfter w:w="5" w:type="pct"/>
          <w:trHeight w:val="123"/>
        </w:trPr>
        <w:tc>
          <w:tcPr>
            <w:tcW w:w="4957" w:type="pct"/>
            <w:gridSpan w:val="8"/>
            <w:tcBorders>
              <w:top w:val="single" w:sz="4" w:space="0" w:color="auto"/>
              <w:left w:val="nil"/>
              <w:bottom w:val="nil"/>
              <w:right w:val="nil"/>
            </w:tcBorders>
          </w:tcPr>
          <w:p w:rsidR="00E520E9" w:rsidRDefault="00E520E9" w:rsidP="0067516C">
            <w:pPr>
              <w:tabs>
                <w:tab w:val="left" w:pos="990"/>
              </w:tabs>
              <w:rPr>
                <w:sz w:val="26"/>
                <w:szCs w:val="26"/>
                <w:lang w:eastAsia="lv-LV"/>
              </w:rPr>
            </w:pPr>
          </w:p>
          <w:p w:rsidR="00E520E9" w:rsidRDefault="00E520E9" w:rsidP="0067516C">
            <w:pPr>
              <w:tabs>
                <w:tab w:val="left" w:pos="990"/>
              </w:tabs>
              <w:rPr>
                <w:sz w:val="26"/>
                <w:szCs w:val="26"/>
                <w:lang w:eastAsia="lv-LV"/>
              </w:rPr>
            </w:pPr>
            <w:r w:rsidRPr="0009018A">
              <w:rPr>
                <w:sz w:val="26"/>
                <w:szCs w:val="26"/>
                <w:lang w:eastAsia="lv-LV"/>
              </w:rPr>
              <w:t>Anotācijas IV</w:t>
            </w:r>
            <w:r>
              <w:rPr>
                <w:sz w:val="26"/>
                <w:szCs w:val="26"/>
                <w:lang w:eastAsia="lv-LV"/>
              </w:rPr>
              <w:t xml:space="preserve"> un</w:t>
            </w:r>
            <w:r w:rsidR="006712DA">
              <w:rPr>
                <w:sz w:val="26"/>
                <w:szCs w:val="26"/>
                <w:lang w:eastAsia="lv-LV"/>
              </w:rPr>
              <w:t xml:space="preserve"> V sadaļa – p</w:t>
            </w:r>
            <w:r w:rsidRPr="0009018A">
              <w:rPr>
                <w:sz w:val="26"/>
                <w:szCs w:val="26"/>
                <w:lang w:eastAsia="lv-LV"/>
              </w:rPr>
              <w:t xml:space="preserve">rojekts </w:t>
            </w:r>
            <w:r w:rsidR="006712DA">
              <w:rPr>
                <w:sz w:val="26"/>
                <w:szCs w:val="26"/>
                <w:lang w:eastAsia="lv-LV"/>
              </w:rPr>
              <w:t xml:space="preserve">šīs jomas neskar. </w:t>
            </w:r>
          </w:p>
          <w:p w:rsidR="006712DA" w:rsidRDefault="006712DA" w:rsidP="0067516C">
            <w:pPr>
              <w:tabs>
                <w:tab w:val="left" w:pos="990"/>
              </w:tabs>
              <w:rPr>
                <w:sz w:val="26"/>
                <w:szCs w:val="26"/>
                <w:lang w:eastAsia="lv-LV"/>
              </w:rPr>
            </w:pPr>
          </w:p>
          <w:p w:rsidR="00E520E9" w:rsidRDefault="00E520E9" w:rsidP="0067516C">
            <w:pPr>
              <w:tabs>
                <w:tab w:val="left" w:pos="990"/>
              </w:tabs>
              <w:rPr>
                <w:sz w:val="26"/>
                <w:szCs w:val="26"/>
                <w:lang w:eastAsia="lv-LV"/>
              </w:rPr>
            </w:pPr>
          </w:p>
          <w:tbl>
            <w:tblPr>
              <w:tblW w:w="5000" w:type="pct"/>
              <w:tblCellMar>
                <w:left w:w="0" w:type="dxa"/>
                <w:right w:w="0" w:type="dxa"/>
              </w:tblCellMar>
              <w:tblLook w:val="04A0" w:firstRow="1" w:lastRow="0" w:firstColumn="1" w:lastColumn="0" w:noHBand="0" w:noVBand="1"/>
            </w:tblPr>
            <w:tblGrid>
              <w:gridCol w:w="432"/>
              <w:gridCol w:w="2593"/>
              <w:gridCol w:w="5618"/>
            </w:tblGrid>
            <w:tr w:rsidR="00E520E9" w:rsidTr="0067516C">
              <w:trPr>
                <w:trHeight w:val="405"/>
              </w:trPr>
              <w:tc>
                <w:tcPr>
                  <w:tcW w:w="0" w:type="auto"/>
                  <w:gridSpan w:val="3"/>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E520E9" w:rsidRDefault="00E520E9" w:rsidP="0067516C">
                  <w:pPr>
                    <w:ind w:firstLine="300"/>
                    <w:jc w:val="center"/>
                    <w:rPr>
                      <w:rFonts w:eastAsia="Calibri"/>
                      <w:b/>
                      <w:bCs/>
                      <w:sz w:val="26"/>
                      <w:szCs w:val="26"/>
                      <w:lang w:eastAsia="lv-LV"/>
                    </w:rPr>
                  </w:pPr>
                  <w:r>
                    <w:rPr>
                      <w:b/>
                      <w:bCs/>
                      <w:sz w:val="26"/>
                      <w:szCs w:val="26"/>
                      <w:lang w:eastAsia="lv-LV"/>
                    </w:rPr>
                    <w:lastRenderedPageBreak/>
                    <w:t>VI. Sabiedrības līdzdalība un komunikācijas aktivitātes</w:t>
                  </w:r>
                </w:p>
              </w:tc>
            </w:tr>
            <w:tr w:rsidR="00E520E9" w:rsidTr="0067516C">
              <w:trPr>
                <w:trHeight w:val="520"/>
              </w:trPr>
              <w:tc>
                <w:tcPr>
                  <w:tcW w:w="2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lang w:eastAsia="lv-LV"/>
                    </w:rPr>
                  </w:pPr>
                  <w:r>
                    <w:rPr>
                      <w:sz w:val="26"/>
                      <w:szCs w:val="26"/>
                      <w:lang w:eastAsia="lv-LV"/>
                    </w:rPr>
                    <w:t>1.</w:t>
                  </w:r>
                </w:p>
              </w:tc>
              <w:tc>
                <w:tcPr>
                  <w:tcW w:w="1500" w:type="pct"/>
                  <w:tcBorders>
                    <w:top w:val="nil"/>
                    <w:left w:val="nil"/>
                    <w:bottom w:val="outset" w:sz="8" w:space="0" w:color="414142"/>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rPr>
                  </w:pPr>
                  <w:r>
                    <w:rPr>
                      <w:sz w:val="26"/>
                      <w:szCs w:val="26"/>
                    </w:rPr>
                    <w:t>Plānotās sabiedrības līdzdalības un komunikācijas aktivitātes saistībā ar projektu</w:t>
                  </w:r>
                </w:p>
              </w:tc>
              <w:tc>
                <w:tcPr>
                  <w:tcW w:w="3250" w:type="pct"/>
                  <w:tcBorders>
                    <w:top w:val="nil"/>
                    <w:left w:val="nil"/>
                    <w:bottom w:val="outset" w:sz="8" w:space="0" w:color="414142"/>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rPr>
                  </w:pPr>
                  <w:r>
                    <w:rPr>
                      <w:color w:val="000000"/>
                      <w:sz w:val="25"/>
                      <w:szCs w:val="25"/>
                    </w:rPr>
                    <w:t xml:space="preserve">Noteikumu projekts tiks ievietots Ekonomikas ministrijas mājas lapā </w:t>
                  </w:r>
                  <w:hyperlink r:id="rId8" w:history="1">
                    <w:r>
                      <w:rPr>
                        <w:rStyle w:val="Hyperlink"/>
                        <w:sz w:val="25"/>
                        <w:szCs w:val="25"/>
                      </w:rPr>
                      <w:t>www.em.gov.lv</w:t>
                    </w:r>
                  </w:hyperlink>
                  <w:r>
                    <w:rPr>
                      <w:color w:val="000000"/>
                      <w:sz w:val="25"/>
                      <w:szCs w:val="25"/>
                    </w:rPr>
                    <w:t xml:space="preserve">. </w:t>
                  </w:r>
                </w:p>
              </w:tc>
            </w:tr>
            <w:tr w:rsidR="00E520E9" w:rsidTr="0067516C">
              <w:trPr>
                <w:trHeight w:val="318"/>
              </w:trPr>
              <w:tc>
                <w:tcPr>
                  <w:tcW w:w="2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lang w:eastAsia="lv-LV"/>
                    </w:rPr>
                  </w:pPr>
                  <w:r>
                    <w:rPr>
                      <w:sz w:val="26"/>
                      <w:szCs w:val="26"/>
                      <w:lang w:eastAsia="lv-LV"/>
                    </w:rPr>
                    <w:t>2.</w:t>
                  </w:r>
                </w:p>
              </w:tc>
              <w:tc>
                <w:tcPr>
                  <w:tcW w:w="1500" w:type="pct"/>
                  <w:tcBorders>
                    <w:top w:val="nil"/>
                    <w:left w:val="nil"/>
                    <w:bottom w:val="outset" w:sz="8" w:space="0" w:color="414142"/>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rPr>
                  </w:pPr>
                  <w:r>
                    <w:rPr>
                      <w:sz w:val="26"/>
                      <w:szCs w:val="26"/>
                    </w:rPr>
                    <w:t>Sabiedrības līdzdalība projekta izstrādē</w:t>
                  </w:r>
                </w:p>
              </w:tc>
              <w:tc>
                <w:tcPr>
                  <w:tcW w:w="3250" w:type="pct"/>
                  <w:tcBorders>
                    <w:top w:val="nil"/>
                    <w:left w:val="nil"/>
                    <w:bottom w:val="outset" w:sz="8" w:space="0" w:color="414142"/>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rPr>
                  </w:pPr>
                  <w:r>
                    <w:rPr>
                      <w:sz w:val="25"/>
                      <w:szCs w:val="25"/>
                    </w:rPr>
                    <w:t>Projekts šo jomu neskar</w:t>
                  </w:r>
                </w:p>
              </w:tc>
            </w:tr>
            <w:tr w:rsidR="00E520E9" w:rsidTr="0067516C">
              <w:trPr>
                <w:trHeight w:val="448"/>
              </w:trPr>
              <w:tc>
                <w:tcPr>
                  <w:tcW w:w="2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lang w:eastAsia="lv-LV"/>
                    </w:rPr>
                  </w:pPr>
                  <w:r>
                    <w:rPr>
                      <w:sz w:val="26"/>
                      <w:szCs w:val="26"/>
                      <w:lang w:eastAsia="lv-LV"/>
                    </w:rPr>
                    <w:t>3.</w:t>
                  </w:r>
                </w:p>
              </w:tc>
              <w:tc>
                <w:tcPr>
                  <w:tcW w:w="1500" w:type="pct"/>
                  <w:tcBorders>
                    <w:top w:val="nil"/>
                    <w:left w:val="nil"/>
                    <w:bottom w:val="outset" w:sz="8" w:space="0" w:color="414142"/>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rPr>
                  </w:pPr>
                  <w:r>
                    <w:rPr>
                      <w:sz w:val="26"/>
                      <w:szCs w:val="26"/>
                    </w:rPr>
                    <w:t>Sabiedrības līdzdalības rezultāti</w:t>
                  </w:r>
                </w:p>
              </w:tc>
              <w:tc>
                <w:tcPr>
                  <w:tcW w:w="3250" w:type="pct"/>
                  <w:tcBorders>
                    <w:top w:val="nil"/>
                    <w:left w:val="nil"/>
                    <w:bottom w:val="outset" w:sz="8" w:space="0" w:color="414142"/>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rPr>
                  </w:pPr>
                  <w:r>
                    <w:rPr>
                      <w:color w:val="000000"/>
                      <w:sz w:val="25"/>
                      <w:szCs w:val="25"/>
                      <w:lang w:eastAsia="lv-LV"/>
                    </w:rPr>
                    <w:t>Projekts šo jomu neskar</w:t>
                  </w:r>
                </w:p>
              </w:tc>
            </w:tr>
            <w:tr w:rsidR="00E520E9" w:rsidTr="0067516C">
              <w:trPr>
                <w:trHeight w:val="448"/>
              </w:trPr>
              <w:tc>
                <w:tcPr>
                  <w:tcW w:w="2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lang w:eastAsia="lv-LV"/>
                    </w:rPr>
                  </w:pPr>
                  <w:r>
                    <w:rPr>
                      <w:sz w:val="26"/>
                      <w:szCs w:val="26"/>
                      <w:lang w:eastAsia="lv-LV"/>
                    </w:rPr>
                    <w:t>4.</w:t>
                  </w:r>
                </w:p>
              </w:tc>
              <w:tc>
                <w:tcPr>
                  <w:tcW w:w="1500" w:type="pct"/>
                  <w:tcBorders>
                    <w:top w:val="nil"/>
                    <w:left w:val="nil"/>
                    <w:bottom w:val="outset" w:sz="8" w:space="0" w:color="414142"/>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rPr>
                  </w:pPr>
                  <w:r>
                    <w:rPr>
                      <w:sz w:val="26"/>
                      <w:szCs w:val="26"/>
                    </w:rPr>
                    <w:t>Cita informācija</w:t>
                  </w:r>
                </w:p>
              </w:tc>
              <w:tc>
                <w:tcPr>
                  <w:tcW w:w="3250" w:type="pct"/>
                  <w:tcBorders>
                    <w:top w:val="nil"/>
                    <w:left w:val="nil"/>
                    <w:bottom w:val="outset" w:sz="8" w:space="0" w:color="414142"/>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rPr>
                  </w:pPr>
                  <w:r>
                    <w:rPr>
                      <w:sz w:val="26"/>
                      <w:szCs w:val="26"/>
                    </w:rPr>
                    <w:t>Nav</w:t>
                  </w:r>
                </w:p>
              </w:tc>
            </w:tr>
          </w:tbl>
          <w:p w:rsidR="00E520E9" w:rsidRDefault="00E520E9" w:rsidP="0067516C">
            <w:pPr>
              <w:tabs>
                <w:tab w:val="left" w:pos="990"/>
              </w:tabs>
              <w:rPr>
                <w:sz w:val="26"/>
                <w:szCs w:val="26"/>
                <w:lang w:eastAsia="lv-LV"/>
              </w:rPr>
            </w:pPr>
          </w:p>
          <w:tbl>
            <w:tblPr>
              <w:tblW w:w="5000" w:type="pct"/>
              <w:tblCellMar>
                <w:left w:w="0" w:type="dxa"/>
                <w:right w:w="0" w:type="dxa"/>
              </w:tblCellMar>
              <w:tblLook w:val="04A0" w:firstRow="1" w:lastRow="0" w:firstColumn="1" w:lastColumn="0" w:noHBand="0" w:noVBand="1"/>
            </w:tblPr>
            <w:tblGrid>
              <w:gridCol w:w="433"/>
              <w:gridCol w:w="2596"/>
              <w:gridCol w:w="5624"/>
            </w:tblGrid>
            <w:tr w:rsidR="00E520E9" w:rsidTr="0067516C">
              <w:trPr>
                <w:trHeight w:val="405"/>
              </w:trPr>
              <w:tc>
                <w:tcPr>
                  <w:tcW w:w="5000" w:type="pct"/>
                  <w:gridSpan w:val="3"/>
                  <w:tcBorders>
                    <w:top w:val="single" w:sz="4" w:space="0" w:color="auto"/>
                    <w:left w:val="single" w:sz="4" w:space="0" w:color="auto"/>
                    <w:bottom w:val="outset" w:sz="8" w:space="0" w:color="414142"/>
                    <w:right w:val="single" w:sz="4" w:space="0" w:color="auto"/>
                  </w:tcBorders>
                  <w:tcMar>
                    <w:top w:w="30" w:type="dxa"/>
                    <w:left w:w="30" w:type="dxa"/>
                    <w:bottom w:w="30" w:type="dxa"/>
                    <w:right w:w="30" w:type="dxa"/>
                  </w:tcMar>
                  <w:vAlign w:val="center"/>
                  <w:hideMark/>
                </w:tcPr>
                <w:p w:rsidR="00E520E9" w:rsidRDefault="00E520E9" w:rsidP="0067516C">
                  <w:pPr>
                    <w:ind w:firstLine="300"/>
                    <w:jc w:val="center"/>
                    <w:rPr>
                      <w:rFonts w:eastAsia="Calibri"/>
                      <w:b/>
                      <w:bCs/>
                      <w:sz w:val="26"/>
                      <w:szCs w:val="26"/>
                      <w:lang w:eastAsia="lv-LV"/>
                    </w:rPr>
                  </w:pPr>
                  <w:r w:rsidRPr="00FE084D">
                    <w:rPr>
                      <w:b/>
                      <w:bCs/>
                      <w:sz w:val="26"/>
                      <w:szCs w:val="26"/>
                    </w:rPr>
                    <w:t>VII. Tiesību akta projekta izpildes nodrošināšana un tās ietekme uz</w:t>
                  </w:r>
                  <w:r w:rsidRPr="00EF4083">
                    <w:rPr>
                      <w:b/>
                      <w:bCs/>
                      <w:sz w:val="26"/>
                      <w:szCs w:val="26"/>
                    </w:rPr>
                    <w:t xml:space="preserve"> institūcijām</w:t>
                  </w:r>
                </w:p>
              </w:tc>
            </w:tr>
            <w:tr w:rsidR="00E520E9" w:rsidTr="00E520E9">
              <w:trPr>
                <w:trHeight w:val="520"/>
              </w:trPr>
              <w:tc>
                <w:tcPr>
                  <w:tcW w:w="250" w:type="pct"/>
                  <w:tcBorders>
                    <w:top w:val="nil"/>
                    <w:left w:val="single" w:sz="4" w:space="0" w:color="auto"/>
                    <w:bottom w:val="single" w:sz="4" w:space="0" w:color="auto"/>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lang w:eastAsia="lv-LV"/>
                    </w:rPr>
                  </w:pPr>
                  <w:r>
                    <w:rPr>
                      <w:sz w:val="26"/>
                      <w:szCs w:val="26"/>
                      <w:lang w:eastAsia="lv-LV"/>
                    </w:rPr>
                    <w:t>1.</w:t>
                  </w:r>
                </w:p>
              </w:tc>
              <w:tc>
                <w:tcPr>
                  <w:tcW w:w="1500" w:type="pct"/>
                  <w:tcBorders>
                    <w:top w:val="nil"/>
                    <w:left w:val="nil"/>
                    <w:bottom w:val="single" w:sz="4" w:space="0" w:color="auto"/>
                    <w:right w:val="outset" w:sz="8" w:space="0" w:color="414142"/>
                  </w:tcBorders>
                  <w:tcMar>
                    <w:top w:w="30" w:type="dxa"/>
                    <w:left w:w="30" w:type="dxa"/>
                    <w:bottom w:w="30" w:type="dxa"/>
                    <w:right w:w="30" w:type="dxa"/>
                  </w:tcMar>
                  <w:hideMark/>
                </w:tcPr>
                <w:p w:rsidR="00E520E9" w:rsidRDefault="00E520E9" w:rsidP="0067516C">
                  <w:pPr>
                    <w:rPr>
                      <w:rFonts w:eastAsia="Calibri"/>
                      <w:sz w:val="26"/>
                      <w:szCs w:val="26"/>
                    </w:rPr>
                  </w:pPr>
                  <w:r w:rsidRPr="00EF4083">
                    <w:rPr>
                      <w:sz w:val="26"/>
                      <w:szCs w:val="26"/>
                    </w:rPr>
                    <w:t>Projekta izpildē iesaistītās institūcijas</w:t>
                  </w:r>
                </w:p>
              </w:tc>
              <w:tc>
                <w:tcPr>
                  <w:tcW w:w="3250" w:type="pct"/>
                  <w:tcBorders>
                    <w:top w:val="nil"/>
                    <w:left w:val="nil"/>
                    <w:bottom w:val="single" w:sz="4" w:space="0" w:color="auto"/>
                    <w:right w:val="single" w:sz="4" w:space="0" w:color="auto"/>
                  </w:tcBorders>
                  <w:tcMar>
                    <w:top w:w="30" w:type="dxa"/>
                    <w:left w:w="30" w:type="dxa"/>
                    <w:bottom w:w="30" w:type="dxa"/>
                    <w:right w:w="30" w:type="dxa"/>
                  </w:tcMar>
                  <w:hideMark/>
                </w:tcPr>
                <w:p w:rsidR="00E520E9" w:rsidRDefault="00E520E9" w:rsidP="0067516C">
                  <w:pPr>
                    <w:rPr>
                      <w:rFonts w:eastAsia="Calibri"/>
                      <w:sz w:val="26"/>
                      <w:szCs w:val="26"/>
                    </w:rPr>
                  </w:pPr>
                  <w:r w:rsidRPr="00EF4083">
                    <w:rPr>
                      <w:sz w:val="26"/>
                      <w:szCs w:val="26"/>
                    </w:rPr>
                    <w:t>Sabiedrisko pakalpojumu regulēšanas komisija</w:t>
                  </w:r>
                </w:p>
              </w:tc>
            </w:tr>
            <w:tr w:rsidR="00E520E9" w:rsidTr="00E520E9">
              <w:trPr>
                <w:trHeight w:val="318"/>
              </w:trPr>
              <w:tc>
                <w:tcPr>
                  <w:tcW w:w="2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E520E9" w:rsidRDefault="00E520E9" w:rsidP="0067516C">
                  <w:pPr>
                    <w:rPr>
                      <w:rFonts w:eastAsia="Calibri"/>
                      <w:sz w:val="26"/>
                      <w:szCs w:val="26"/>
                      <w:lang w:eastAsia="lv-LV"/>
                    </w:rPr>
                  </w:pPr>
                  <w:r>
                    <w:rPr>
                      <w:sz w:val="26"/>
                      <w:szCs w:val="26"/>
                      <w:lang w:eastAsia="lv-LV"/>
                    </w:rPr>
                    <w:t>2.</w:t>
                  </w:r>
                </w:p>
              </w:tc>
              <w:tc>
                <w:tcPr>
                  <w:tcW w:w="150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E520E9" w:rsidRPr="00EF4083" w:rsidRDefault="00E520E9" w:rsidP="0067516C">
                  <w:pPr>
                    <w:rPr>
                      <w:sz w:val="26"/>
                      <w:szCs w:val="26"/>
                    </w:rPr>
                  </w:pPr>
                  <w:r w:rsidRPr="00EF4083">
                    <w:rPr>
                      <w:sz w:val="26"/>
                      <w:szCs w:val="26"/>
                    </w:rPr>
                    <w:t xml:space="preserve">Projekta izpildes ietekme uz pārvaldes funkcijām un institucionālo struktūru. </w:t>
                  </w:r>
                </w:p>
                <w:p w:rsidR="00E520E9" w:rsidRDefault="00E520E9" w:rsidP="0067516C">
                  <w:pPr>
                    <w:rPr>
                      <w:rFonts w:eastAsia="Calibri"/>
                      <w:sz w:val="26"/>
                      <w:szCs w:val="26"/>
                    </w:rPr>
                  </w:pPr>
                  <w:r w:rsidRPr="00EF4083">
                    <w:rPr>
                      <w:sz w:val="26"/>
                      <w:szCs w:val="26"/>
                    </w:rPr>
                    <w:t>Jaunu institūciju izveide, esošu institūciju likvidācija vai reorganizācija, to ietekme uz institūcijas cilvēkresursiem</w:t>
                  </w:r>
                </w:p>
              </w:tc>
              <w:tc>
                <w:tcPr>
                  <w:tcW w:w="32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E520E9" w:rsidRDefault="00E520E9" w:rsidP="0067516C">
                  <w:pPr>
                    <w:rPr>
                      <w:rFonts w:eastAsia="Calibri"/>
                      <w:sz w:val="26"/>
                      <w:szCs w:val="26"/>
                    </w:rPr>
                  </w:pPr>
                  <w:r w:rsidRPr="00EF4083">
                    <w:rPr>
                      <w:sz w:val="26"/>
                      <w:szCs w:val="26"/>
                    </w:rPr>
                    <w:t>Noteikumu projekta izpildi nodrošinās Sabiedrisko pakalpojumu regulēšanas komisijas darbības ietvaros.</w:t>
                  </w:r>
                </w:p>
              </w:tc>
            </w:tr>
            <w:tr w:rsidR="00E520E9" w:rsidTr="00E520E9">
              <w:trPr>
                <w:trHeight w:val="448"/>
              </w:trPr>
              <w:tc>
                <w:tcPr>
                  <w:tcW w:w="250" w:type="pct"/>
                  <w:tcBorders>
                    <w:top w:val="single" w:sz="4" w:space="0" w:color="auto"/>
                    <w:left w:val="outset" w:sz="8" w:space="0" w:color="414142"/>
                    <w:bottom w:val="outset" w:sz="8" w:space="0" w:color="414142"/>
                    <w:right w:val="single" w:sz="4" w:space="0" w:color="auto"/>
                  </w:tcBorders>
                  <w:tcMar>
                    <w:top w:w="30" w:type="dxa"/>
                    <w:left w:w="30" w:type="dxa"/>
                    <w:bottom w:w="30" w:type="dxa"/>
                    <w:right w:w="30" w:type="dxa"/>
                  </w:tcMar>
                  <w:hideMark/>
                </w:tcPr>
                <w:p w:rsidR="00E520E9" w:rsidRDefault="00E520E9" w:rsidP="0067516C">
                  <w:pPr>
                    <w:rPr>
                      <w:rFonts w:eastAsia="Calibri"/>
                      <w:sz w:val="26"/>
                      <w:szCs w:val="26"/>
                      <w:lang w:eastAsia="lv-LV"/>
                    </w:rPr>
                  </w:pPr>
                  <w:r>
                    <w:rPr>
                      <w:sz w:val="26"/>
                      <w:szCs w:val="26"/>
                      <w:lang w:eastAsia="lv-LV"/>
                    </w:rPr>
                    <w:t>3.</w:t>
                  </w:r>
                </w:p>
              </w:tc>
              <w:tc>
                <w:tcPr>
                  <w:tcW w:w="150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E520E9" w:rsidRDefault="00E520E9" w:rsidP="0067516C">
                  <w:pPr>
                    <w:rPr>
                      <w:rFonts w:eastAsia="Calibri"/>
                      <w:sz w:val="26"/>
                      <w:szCs w:val="26"/>
                    </w:rPr>
                  </w:pPr>
                  <w:r w:rsidRPr="00EF4083">
                    <w:rPr>
                      <w:sz w:val="26"/>
                      <w:szCs w:val="26"/>
                    </w:rPr>
                    <w:t>Cita informācija</w:t>
                  </w:r>
                </w:p>
              </w:tc>
              <w:tc>
                <w:tcPr>
                  <w:tcW w:w="32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E520E9" w:rsidRDefault="00E520E9" w:rsidP="0067516C">
                  <w:pPr>
                    <w:rPr>
                      <w:rFonts w:eastAsia="Calibri"/>
                      <w:sz w:val="26"/>
                      <w:szCs w:val="26"/>
                    </w:rPr>
                  </w:pPr>
                  <w:r w:rsidRPr="00EF4083">
                    <w:rPr>
                      <w:sz w:val="26"/>
                      <w:szCs w:val="26"/>
                    </w:rPr>
                    <w:t>Nav</w:t>
                  </w:r>
                </w:p>
              </w:tc>
            </w:tr>
          </w:tbl>
          <w:p w:rsidR="00E520E9" w:rsidRPr="007C52FA" w:rsidRDefault="00E520E9" w:rsidP="0067516C">
            <w:pPr>
              <w:tabs>
                <w:tab w:val="left" w:pos="990"/>
              </w:tabs>
              <w:rPr>
                <w:sz w:val="26"/>
                <w:szCs w:val="26"/>
                <w:lang w:eastAsia="lv-LV"/>
              </w:rPr>
            </w:pPr>
            <w:r>
              <w:rPr>
                <w:sz w:val="26"/>
                <w:szCs w:val="26"/>
                <w:lang w:eastAsia="lv-LV"/>
              </w:rPr>
              <w:t xml:space="preserve"> </w:t>
            </w:r>
          </w:p>
        </w:tc>
      </w:tr>
    </w:tbl>
    <w:p w:rsidR="00E520E9" w:rsidRPr="00E520E9" w:rsidRDefault="00E520E9" w:rsidP="00E520E9">
      <w:pPr>
        <w:pStyle w:val="naisf"/>
        <w:tabs>
          <w:tab w:val="left" w:pos="5760"/>
        </w:tabs>
        <w:spacing w:before="160" w:after="0"/>
        <w:rPr>
          <w:sz w:val="26"/>
          <w:szCs w:val="26"/>
        </w:rPr>
      </w:pPr>
      <w:r w:rsidRPr="00E520E9">
        <w:rPr>
          <w:sz w:val="26"/>
          <w:szCs w:val="26"/>
        </w:rPr>
        <w:lastRenderedPageBreak/>
        <w:t>Iesniedz</w:t>
      </w:r>
      <w:r>
        <w:rPr>
          <w:sz w:val="26"/>
          <w:szCs w:val="26"/>
        </w:rPr>
        <w:t xml:space="preserve">ējs:  </w:t>
      </w:r>
    </w:p>
    <w:p w:rsidR="00E520E9" w:rsidRPr="00E520E9" w:rsidRDefault="00E520E9" w:rsidP="00E520E9">
      <w:pPr>
        <w:pStyle w:val="Parastais"/>
        <w:keepLines/>
        <w:widowControl w:val="0"/>
        <w:tabs>
          <w:tab w:val="left" w:pos="6635"/>
        </w:tabs>
        <w:spacing w:before="120" w:after="120"/>
        <w:rPr>
          <w:sz w:val="26"/>
          <w:szCs w:val="26"/>
          <w:lang w:eastAsia="en-US"/>
        </w:rPr>
      </w:pPr>
      <w:r w:rsidRPr="00E520E9">
        <w:rPr>
          <w:sz w:val="26"/>
          <w:szCs w:val="26"/>
        </w:rPr>
        <w:t xml:space="preserve">ekonomikas ministre                                                               </w:t>
      </w:r>
      <w:proofErr w:type="spellStart"/>
      <w:r w:rsidRPr="00E520E9">
        <w:rPr>
          <w:sz w:val="26"/>
          <w:szCs w:val="26"/>
          <w:lang w:eastAsia="en-US"/>
        </w:rPr>
        <w:t>D.Reizniece-Ozola</w:t>
      </w:r>
      <w:proofErr w:type="spellEnd"/>
      <w:r w:rsidRPr="00E520E9">
        <w:rPr>
          <w:sz w:val="26"/>
          <w:szCs w:val="26"/>
          <w:lang w:eastAsia="en-US"/>
        </w:rPr>
        <w:t xml:space="preserve">  </w:t>
      </w:r>
    </w:p>
    <w:p w:rsidR="00E520E9" w:rsidRPr="00E520E9" w:rsidRDefault="00E520E9" w:rsidP="00E520E9">
      <w:pPr>
        <w:pStyle w:val="Parastais"/>
        <w:keepLines/>
        <w:widowControl w:val="0"/>
        <w:tabs>
          <w:tab w:val="left" w:pos="6635"/>
        </w:tabs>
        <w:spacing w:after="120"/>
        <w:rPr>
          <w:sz w:val="26"/>
          <w:szCs w:val="26"/>
          <w:lang w:eastAsia="en-US"/>
        </w:rPr>
      </w:pPr>
    </w:p>
    <w:p w:rsidR="00E520E9" w:rsidRPr="00E520E9" w:rsidRDefault="00E520E9" w:rsidP="00E520E9">
      <w:pPr>
        <w:pStyle w:val="Parastais"/>
        <w:keepLines/>
        <w:widowControl w:val="0"/>
        <w:tabs>
          <w:tab w:val="left" w:pos="6635"/>
        </w:tabs>
        <w:spacing w:after="120"/>
        <w:rPr>
          <w:sz w:val="26"/>
          <w:szCs w:val="26"/>
          <w:lang w:eastAsia="en-US"/>
        </w:rPr>
      </w:pPr>
      <w:r w:rsidRPr="00E520E9">
        <w:rPr>
          <w:sz w:val="26"/>
          <w:szCs w:val="26"/>
          <w:lang w:eastAsia="en-US"/>
        </w:rPr>
        <w:t xml:space="preserve">Vīza: </w:t>
      </w:r>
    </w:p>
    <w:p w:rsidR="00E520E9" w:rsidRPr="00E520E9" w:rsidRDefault="00E520E9" w:rsidP="00E520E9">
      <w:pPr>
        <w:pStyle w:val="Parastais"/>
        <w:keepLines/>
        <w:widowControl w:val="0"/>
        <w:tabs>
          <w:tab w:val="left" w:pos="6635"/>
        </w:tabs>
        <w:spacing w:after="120"/>
        <w:rPr>
          <w:sz w:val="26"/>
          <w:szCs w:val="26"/>
          <w:lang w:eastAsia="en-US"/>
        </w:rPr>
      </w:pPr>
      <w:r w:rsidRPr="00E520E9">
        <w:rPr>
          <w:sz w:val="26"/>
          <w:szCs w:val="26"/>
          <w:lang w:eastAsia="en-US"/>
        </w:rPr>
        <w:t>valsts sekretārs                                                                                M.Lazdovskis</w:t>
      </w:r>
    </w:p>
    <w:p w:rsidR="00E520E9" w:rsidRDefault="00BE4439" w:rsidP="00BE4439">
      <w:pPr>
        <w:tabs>
          <w:tab w:val="left" w:pos="3064"/>
        </w:tabs>
        <w:jc w:val="both"/>
        <w:rPr>
          <w:sz w:val="20"/>
          <w:szCs w:val="20"/>
        </w:rPr>
      </w:pPr>
      <w:r>
        <w:rPr>
          <w:sz w:val="20"/>
          <w:szCs w:val="20"/>
        </w:rPr>
        <w:tab/>
      </w:r>
    </w:p>
    <w:p w:rsidR="00E520E9" w:rsidRDefault="00E520E9" w:rsidP="00E520E9">
      <w:pPr>
        <w:pStyle w:val="naisf"/>
        <w:spacing w:before="0" w:after="0"/>
        <w:rPr>
          <w:sz w:val="20"/>
          <w:szCs w:val="20"/>
        </w:rPr>
      </w:pPr>
      <w:r w:rsidRPr="008F6773">
        <w:rPr>
          <w:sz w:val="20"/>
          <w:szCs w:val="20"/>
        </w:rPr>
        <w:fldChar w:fldCharType="begin"/>
      </w:r>
      <w:r w:rsidRPr="008F6773">
        <w:rPr>
          <w:sz w:val="20"/>
          <w:szCs w:val="20"/>
        </w:rPr>
        <w:instrText xml:space="preserve"> TIME \@ "dd.MM.yyyy H:mm" </w:instrText>
      </w:r>
      <w:r w:rsidRPr="008F6773">
        <w:rPr>
          <w:sz w:val="20"/>
          <w:szCs w:val="20"/>
        </w:rPr>
        <w:fldChar w:fldCharType="separate"/>
      </w:r>
      <w:r w:rsidR="00CF3258">
        <w:rPr>
          <w:noProof/>
          <w:sz w:val="20"/>
          <w:szCs w:val="20"/>
        </w:rPr>
        <w:t>13.01.2015 14:53</w:t>
      </w:r>
      <w:r w:rsidRPr="008F6773">
        <w:rPr>
          <w:sz w:val="20"/>
          <w:szCs w:val="20"/>
        </w:rPr>
        <w:fldChar w:fldCharType="end"/>
      </w:r>
      <w:r>
        <w:rPr>
          <w:sz w:val="20"/>
          <w:szCs w:val="20"/>
        </w:rPr>
        <w:t xml:space="preserve"> </w:t>
      </w:r>
    </w:p>
    <w:p w:rsidR="00E520E9" w:rsidRPr="008F6773" w:rsidRDefault="006712DA" w:rsidP="00E520E9">
      <w:pPr>
        <w:pStyle w:val="naisf"/>
        <w:spacing w:before="0" w:after="0"/>
        <w:rPr>
          <w:sz w:val="20"/>
          <w:szCs w:val="20"/>
        </w:rPr>
      </w:pPr>
      <w:r>
        <w:rPr>
          <w:sz w:val="20"/>
          <w:szCs w:val="20"/>
        </w:rPr>
        <w:t>1860</w:t>
      </w:r>
    </w:p>
    <w:p w:rsidR="00E520E9" w:rsidRPr="007C52FA" w:rsidRDefault="00E520E9" w:rsidP="00E520E9">
      <w:pPr>
        <w:rPr>
          <w:b/>
          <w:bCs/>
          <w:sz w:val="20"/>
        </w:rPr>
      </w:pPr>
      <w:r>
        <w:rPr>
          <w:sz w:val="20"/>
        </w:rPr>
        <w:t>M.Ivanova</w:t>
      </w:r>
      <w:r w:rsidRPr="00AB2B46">
        <w:rPr>
          <w:sz w:val="20"/>
        </w:rPr>
        <w:t>, 67013</w:t>
      </w:r>
      <w:r>
        <w:rPr>
          <w:sz w:val="20"/>
        </w:rPr>
        <w:t>156</w:t>
      </w:r>
      <w:r w:rsidRPr="00AB2B46">
        <w:rPr>
          <w:sz w:val="20"/>
        </w:rPr>
        <w:br/>
      </w:r>
      <w:hyperlink r:id="rId9" w:history="1">
        <w:r w:rsidRPr="0043726B">
          <w:rPr>
            <w:rStyle w:val="Hyperlink"/>
            <w:sz w:val="20"/>
          </w:rPr>
          <w:t>Margarita.Ivanova@em.gov.lv</w:t>
        </w:r>
      </w:hyperlink>
      <w:r>
        <w:rPr>
          <w:sz w:val="20"/>
        </w:rPr>
        <w:t xml:space="preserve"> </w:t>
      </w:r>
    </w:p>
    <w:p w:rsidR="00E520E9" w:rsidRDefault="00E520E9"/>
    <w:sectPr w:rsidR="00E520E9" w:rsidSect="003909E8">
      <w:headerReference w:type="default" r:id="rId10"/>
      <w:footerReference w:type="default" r:id="rId11"/>
      <w:footerReference w:type="first" r:id="rId12"/>
      <w:pgSz w:w="11906" w:h="16838"/>
      <w:pgMar w:top="1440" w:right="1800" w:bottom="1440" w:left="1800" w:header="136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E9" w:rsidRDefault="00E520E9" w:rsidP="00E520E9">
      <w:r>
        <w:separator/>
      </w:r>
    </w:p>
  </w:endnote>
  <w:endnote w:type="continuationSeparator" w:id="0">
    <w:p w:rsidR="00E520E9" w:rsidRDefault="00E520E9" w:rsidP="00E5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E9" w:rsidRDefault="006712DA" w:rsidP="00E520E9">
    <w:pPr>
      <w:pStyle w:val="Footer"/>
      <w:jc w:val="both"/>
    </w:pPr>
    <w:r>
      <w:rPr>
        <w:sz w:val="20"/>
        <w:szCs w:val="20"/>
      </w:rPr>
      <w:t>EMAnot_13</w:t>
    </w:r>
    <w:r w:rsidR="00E520E9">
      <w:rPr>
        <w:sz w:val="20"/>
        <w:szCs w:val="20"/>
      </w:rPr>
      <w:t>01</w:t>
    </w:r>
    <w:r w:rsidR="00E520E9" w:rsidRPr="00985C5C">
      <w:rPr>
        <w:sz w:val="20"/>
        <w:szCs w:val="20"/>
      </w:rPr>
      <w:t>201</w:t>
    </w:r>
    <w:r w:rsidR="00E520E9">
      <w:rPr>
        <w:sz w:val="20"/>
        <w:szCs w:val="20"/>
      </w:rPr>
      <w:t>5_groz1227_756</w:t>
    </w:r>
    <w:r w:rsidR="00E520E9" w:rsidRPr="00985C5C">
      <w:rPr>
        <w:sz w:val="20"/>
        <w:szCs w:val="20"/>
      </w:rPr>
      <w:t xml:space="preserve">; </w:t>
    </w:r>
    <w:r w:rsidR="00E520E9" w:rsidRPr="001C0956">
      <w:rPr>
        <w:sz w:val="20"/>
        <w:szCs w:val="20"/>
      </w:rPr>
      <w:t>Ministru kabineta noteikumu projekta „Grozījumi Ministru kabineta 2009.gada 27.oktobra noteikumos Nr.1227 „Noteikumi par regulējamiem sabiedrisko pakalpojumu veidiem”” sākotnējās ietekmes novērtējuma ziņojums (anotācija)</w:t>
    </w:r>
  </w:p>
  <w:p w:rsidR="00E520E9" w:rsidRDefault="00E52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E9" w:rsidRPr="006712DA" w:rsidRDefault="006712DA" w:rsidP="00E520E9">
    <w:pPr>
      <w:pStyle w:val="Footer"/>
      <w:jc w:val="both"/>
      <w:rPr>
        <w:sz w:val="20"/>
        <w:szCs w:val="20"/>
      </w:rPr>
    </w:pPr>
    <w:r>
      <w:rPr>
        <w:sz w:val="20"/>
        <w:szCs w:val="20"/>
      </w:rPr>
      <w:t>EMAnot_13</w:t>
    </w:r>
    <w:r w:rsidR="00E520E9">
      <w:rPr>
        <w:sz w:val="20"/>
        <w:szCs w:val="20"/>
      </w:rPr>
      <w:t>01</w:t>
    </w:r>
    <w:r w:rsidR="00E520E9" w:rsidRPr="00985C5C">
      <w:rPr>
        <w:sz w:val="20"/>
        <w:szCs w:val="20"/>
      </w:rPr>
      <w:t>201</w:t>
    </w:r>
    <w:r w:rsidR="00E520E9">
      <w:rPr>
        <w:sz w:val="20"/>
        <w:szCs w:val="20"/>
      </w:rPr>
      <w:t>5_groz1227_756</w:t>
    </w:r>
    <w:r w:rsidR="00E520E9" w:rsidRPr="00985C5C">
      <w:rPr>
        <w:sz w:val="20"/>
        <w:szCs w:val="20"/>
      </w:rPr>
      <w:t xml:space="preserve">; </w:t>
    </w:r>
    <w:r w:rsidR="00E520E9" w:rsidRPr="001C0956">
      <w:rPr>
        <w:sz w:val="20"/>
        <w:szCs w:val="20"/>
      </w:rPr>
      <w:t>Ministru kabineta noteikumu projekta „Grozījumi Ministru kabineta 2009.gada 27.oktobra noteikumos Nr.1227 „Noteikumi par regulējamiem sabiedrisko pakalpojumu veidiem”” sākotnējās ietekmes novērtējuma ziņojums (anotācija)</w:t>
    </w:r>
  </w:p>
  <w:p w:rsidR="00E520E9" w:rsidRDefault="00E520E9">
    <w:pPr>
      <w:pStyle w:val="Footer"/>
    </w:pPr>
  </w:p>
  <w:p w:rsidR="00E520E9" w:rsidRDefault="00E52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E9" w:rsidRDefault="00E520E9" w:rsidP="00E520E9">
      <w:r>
        <w:separator/>
      </w:r>
    </w:p>
  </w:footnote>
  <w:footnote w:type="continuationSeparator" w:id="0">
    <w:p w:rsidR="00E520E9" w:rsidRDefault="00E520E9" w:rsidP="00E5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5301"/>
      <w:docPartObj>
        <w:docPartGallery w:val="Page Numbers (Top of Page)"/>
        <w:docPartUnique/>
      </w:docPartObj>
    </w:sdtPr>
    <w:sdtEndPr>
      <w:rPr>
        <w:noProof/>
      </w:rPr>
    </w:sdtEndPr>
    <w:sdtContent>
      <w:p w:rsidR="00E520E9" w:rsidRDefault="00E520E9">
        <w:pPr>
          <w:pStyle w:val="Header"/>
          <w:jc w:val="center"/>
        </w:pPr>
        <w:r>
          <w:fldChar w:fldCharType="begin"/>
        </w:r>
        <w:r>
          <w:instrText xml:space="preserve"> PAGE   \* MERGEFORMAT </w:instrText>
        </w:r>
        <w:r>
          <w:fldChar w:fldCharType="separate"/>
        </w:r>
        <w:r w:rsidR="00CF3258">
          <w:rPr>
            <w:noProof/>
          </w:rPr>
          <w:t>10</w:t>
        </w:r>
        <w:r>
          <w:rPr>
            <w:noProof/>
          </w:rPr>
          <w:fldChar w:fldCharType="end"/>
        </w:r>
      </w:p>
    </w:sdtContent>
  </w:sdt>
  <w:p w:rsidR="00E520E9" w:rsidRDefault="00E52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E9"/>
    <w:rsid w:val="002E187F"/>
    <w:rsid w:val="003909E8"/>
    <w:rsid w:val="00433C03"/>
    <w:rsid w:val="006712DA"/>
    <w:rsid w:val="00800191"/>
    <w:rsid w:val="009E4984"/>
    <w:rsid w:val="00A34240"/>
    <w:rsid w:val="00BE4439"/>
    <w:rsid w:val="00CF3258"/>
    <w:rsid w:val="00E51E9D"/>
    <w:rsid w:val="00E520E9"/>
    <w:rsid w:val="00E766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E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520E9"/>
    <w:pPr>
      <w:spacing w:before="280" w:after="280"/>
    </w:pPr>
  </w:style>
  <w:style w:type="paragraph" w:customStyle="1" w:styleId="Parastais">
    <w:name w:val="Parastais"/>
    <w:qFormat/>
    <w:rsid w:val="00E520E9"/>
    <w:pPr>
      <w:spacing w:after="0"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E520E9"/>
    <w:pPr>
      <w:suppressAutoHyphens w:val="0"/>
    </w:pPr>
    <w:rPr>
      <w:rFonts w:eastAsia="Calibri"/>
      <w:sz w:val="20"/>
      <w:szCs w:val="20"/>
      <w:lang w:eastAsia="lv-LV"/>
    </w:rPr>
  </w:style>
  <w:style w:type="character" w:customStyle="1" w:styleId="CommentTextChar">
    <w:name w:val="Comment Text Char"/>
    <w:basedOn w:val="DefaultParagraphFont"/>
    <w:link w:val="CommentText"/>
    <w:uiPriority w:val="99"/>
    <w:rsid w:val="00E520E9"/>
    <w:rPr>
      <w:rFonts w:ascii="Times New Roman" w:eastAsia="Calibri" w:hAnsi="Times New Roman" w:cs="Times New Roman"/>
      <w:sz w:val="20"/>
      <w:szCs w:val="20"/>
      <w:lang w:eastAsia="lv-LV"/>
    </w:rPr>
  </w:style>
  <w:style w:type="paragraph" w:styleId="ListParagraph">
    <w:name w:val="List Paragraph"/>
    <w:basedOn w:val="Normal"/>
    <w:uiPriority w:val="34"/>
    <w:qFormat/>
    <w:rsid w:val="00E520E9"/>
    <w:pPr>
      <w:suppressAutoHyphens w:val="0"/>
      <w:spacing w:after="200" w:line="276" w:lineRule="auto"/>
      <w:ind w:left="720"/>
      <w:contextualSpacing/>
    </w:pPr>
    <w:rPr>
      <w:rFonts w:eastAsia="Calibri"/>
      <w:szCs w:val="22"/>
      <w:lang w:eastAsia="en-US"/>
    </w:rPr>
  </w:style>
  <w:style w:type="character" w:styleId="Hyperlink">
    <w:name w:val="Hyperlink"/>
    <w:rsid w:val="00E520E9"/>
    <w:rPr>
      <w:rFonts w:cs="Times New Roman"/>
      <w:color w:val="0000FF"/>
      <w:u w:val="single"/>
    </w:rPr>
  </w:style>
  <w:style w:type="paragraph" w:styleId="Header">
    <w:name w:val="header"/>
    <w:basedOn w:val="Normal"/>
    <w:link w:val="HeaderChar"/>
    <w:uiPriority w:val="99"/>
    <w:unhideWhenUsed/>
    <w:rsid w:val="00E520E9"/>
    <w:pPr>
      <w:tabs>
        <w:tab w:val="center" w:pos="4153"/>
        <w:tab w:val="right" w:pos="8306"/>
      </w:tabs>
    </w:pPr>
  </w:style>
  <w:style w:type="character" w:customStyle="1" w:styleId="HeaderChar">
    <w:name w:val="Header Char"/>
    <w:basedOn w:val="DefaultParagraphFont"/>
    <w:link w:val="Header"/>
    <w:uiPriority w:val="99"/>
    <w:rsid w:val="00E520E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520E9"/>
    <w:pPr>
      <w:tabs>
        <w:tab w:val="center" w:pos="4153"/>
        <w:tab w:val="right" w:pos="8306"/>
      </w:tabs>
    </w:pPr>
  </w:style>
  <w:style w:type="character" w:customStyle="1" w:styleId="FooterChar">
    <w:name w:val="Footer Char"/>
    <w:basedOn w:val="DefaultParagraphFont"/>
    <w:link w:val="Footer"/>
    <w:uiPriority w:val="99"/>
    <w:rsid w:val="00E520E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E520E9"/>
    <w:rPr>
      <w:rFonts w:ascii="Tahoma" w:hAnsi="Tahoma" w:cs="Tahoma"/>
      <w:sz w:val="16"/>
      <w:szCs w:val="16"/>
    </w:rPr>
  </w:style>
  <w:style w:type="character" w:customStyle="1" w:styleId="BalloonTextChar">
    <w:name w:val="Balloon Text Char"/>
    <w:basedOn w:val="DefaultParagraphFont"/>
    <w:link w:val="BalloonText"/>
    <w:uiPriority w:val="99"/>
    <w:semiHidden/>
    <w:rsid w:val="00E520E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E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520E9"/>
    <w:pPr>
      <w:spacing w:before="280" w:after="280"/>
    </w:pPr>
  </w:style>
  <w:style w:type="paragraph" w:customStyle="1" w:styleId="Parastais">
    <w:name w:val="Parastais"/>
    <w:qFormat/>
    <w:rsid w:val="00E520E9"/>
    <w:pPr>
      <w:spacing w:after="0"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E520E9"/>
    <w:pPr>
      <w:suppressAutoHyphens w:val="0"/>
    </w:pPr>
    <w:rPr>
      <w:rFonts w:eastAsia="Calibri"/>
      <w:sz w:val="20"/>
      <w:szCs w:val="20"/>
      <w:lang w:eastAsia="lv-LV"/>
    </w:rPr>
  </w:style>
  <w:style w:type="character" w:customStyle="1" w:styleId="CommentTextChar">
    <w:name w:val="Comment Text Char"/>
    <w:basedOn w:val="DefaultParagraphFont"/>
    <w:link w:val="CommentText"/>
    <w:uiPriority w:val="99"/>
    <w:rsid w:val="00E520E9"/>
    <w:rPr>
      <w:rFonts w:ascii="Times New Roman" w:eastAsia="Calibri" w:hAnsi="Times New Roman" w:cs="Times New Roman"/>
      <w:sz w:val="20"/>
      <w:szCs w:val="20"/>
      <w:lang w:eastAsia="lv-LV"/>
    </w:rPr>
  </w:style>
  <w:style w:type="paragraph" w:styleId="ListParagraph">
    <w:name w:val="List Paragraph"/>
    <w:basedOn w:val="Normal"/>
    <w:uiPriority w:val="34"/>
    <w:qFormat/>
    <w:rsid w:val="00E520E9"/>
    <w:pPr>
      <w:suppressAutoHyphens w:val="0"/>
      <w:spacing w:after="200" w:line="276" w:lineRule="auto"/>
      <w:ind w:left="720"/>
      <w:contextualSpacing/>
    </w:pPr>
    <w:rPr>
      <w:rFonts w:eastAsia="Calibri"/>
      <w:szCs w:val="22"/>
      <w:lang w:eastAsia="en-US"/>
    </w:rPr>
  </w:style>
  <w:style w:type="character" w:styleId="Hyperlink">
    <w:name w:val="Hyperlink"/>
    <w:rsid w:val="00E520E9"/>
    <w:rPr>
      <w:rFonts w:cs="Times New Roman"/>
      <w:color w:val="0000FF"/>
      <w:u w:val="single"/>
    </w:rPr>
  </w:style>
  <w:style w:type="paragraph" w:styleId="Header">
    <w:name w:val="header"/>
    <w:basedOn w:val="Normal"/>
    <w:link w:val="HeaderChar"/>
    <w:uiPriority w:val="99"/>
    <w:unhideWhenUsed/>
    <w:rsid w:val="00E520E9"/>
    <w:pPr>
      <w:tabs>
        <w:tab w:val="center" w:pos="4153"/>
        <w:tab w:val="right" w:pos="8306"/>
      </w:tabs>
    </w:pPr>
  </w:style>
  <w:style w:type="character" w:customStyle="1" w:styleId="HeaderChar">
    <w:name w:val="Header Char"/>
    <w:basedOn w:val="DefaultParagraphFont"/>
    <w:link w:val="Header"/>
    <w:uiPriority w:val="99"/>
    <w:rsid w:val="00E520E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520E9"/>
    <w:pPr>
      <w:tabs>
        <w:tab w:val="center" w:pos="4153"/>
        <w:tab w:val="right" w:pos="8306"/>
      </w:tabs>
    </w:pPr>
  </w:style>
  <w:style w:type="character" w:customStyle="1" w:styleId="FooterChar">
    <w:name w:val="Footer Char"/>
    <w:basedOn w:val="DefaultParagraphFont"/>
    <w:link w:val="Footer"/>
    <w:uiPriority w:val="99"/>
    <w:rsid w:val="00E520E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E520E9"/>
    <w:rPr>
      <w:rFonts w:ascii="Tahoma" w:hAnsi="Tahoma" w:cs="Tahoma"/>
      <w:sz w:val="16"/>
      <w:szCs w:val="16"/>
    </w:rPr>
  </w:style>
  <w:style w:type="character" w:customStyle="1" w:styleId="BalloonTextChar">
    <w:name w:val="Balloon Text Char"/>
    <w:basedOn w:val="DefaultParagraphFont"/>
    <w:link w:val="BalloonText"/>
    <w:uiPriority w:val="99"/>
    <w:semiHidden/>
    <w:rsid w:val="00E520E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arita.Ivanov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7D1E-D9FD-4CB1-A8CE-D28FC75D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9885</Words>
  <Characters>5635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27.oktobra noteikumos Nr.1227 „Noteikumi par regulējamiem sabiedrisko pakalpojumu veidiem”” sākotnējās ietekmes novērtējuma ziņojums (anotācija)</vt:lpstr>
    </vt:vector>
  </TitlesOfParts>
  <Company>LR Ekonomikas ministrija</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27.oktobra noteikumos Nr.1227 „Noteikumi par regulējamiem sabiedrisko pakalpojumu veidiem”” sākotnējās ietekmes novērtējuma ziņojums (anotācija)</dc:title>
  <dc:subject>Noteikumu projekta anotācija</dc:subject>
  <dc:creator>Margarita Ivanova</dc:creator>
  <dc:description>Margarita.Ivanova@em.gov.lv 
67013156</dc:description>
  <cp:lastModifiedBy>Margarita Ivanova</cp:lastModifiedBy>
  <cp:revision>11</cp:revision>
  <cp:lastPrinted>2015-01-07T09:14:00Z</cp:lastPrinted>
  <dcterms:created xsi:type="dcterms:W3CDTF">2015-01-07T09:14:00Z</dcterms:created>
  <dcterms:modified xsi:type="dcterms:W3CDTF">2015-01-13T12:53:00Z</dcterms:modified>
</cp:coreProperties>
</file>