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DC" w:rsidRPr="007E1183" w:rsidRDefault="008F11DC" w:rsidP="008F11DC">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7E1183">
        <w:rPr>
          <w:b/>
          <w:sz w:val="28"/>
          <w:szCs w:val="28"/>
          <w:lang w:val="lv-LV"/>
        </w:rPr>
        <w:t xml:space="preserve">Ministru kabineta noteikumu projekta </w:t>
      </w:r>
    </w:p>
    <w:p w:rsidR="008F11DC" w:rsidRPr="007E1183" w:rsidRDefault="008F11DC" w:rsidP="008F11DC">
      <w:pPr>
        <w:jc w:val="center"/>
        <w:rPr>
          <w:b/>
          <w:bCs/>
          <w:sz w:val="28"/>
          <w:szCs w:val="28"/>
          <w:lang w:val="lv-LV"/>
        </w:rPr>
      </w:pPr>
      <w:r w:rsidRPr="007E1183">
        <w:rPr>
          <w:b/>
          <w:sz w:val="28"/>
          <w:szCs w:val="28"/>
          <w:lang w:val="lv-LV"/>
        </w:rPr>
        <w:t>„</w:t>
      </w:r>
      <w:r w:rsidRPr="007E1183">
        <w:rPr>
          <w:b/>
          <w:bCs/>
          <w:sz w:val="28"/>
          <w:szCs w:val="28"/>
          <w:lang w:val="lv-LV"/>
        </w:rPr>
        <w:t>Noteikumi par Latvijas būvnormatīvu LBN 405-15 „Būvju tehniskā apsekošana”</w:t>
      </w:r>
      <w:r w:rsidRPr="007E1183">
        <w:rPr>
          <w:b/>
          <w:sz w:val="28"/>
          <w:szCs w:val="28"/>
          <w:lang w:val="lv-LV"/>
        </w:rPr>
        <w:t xml:space="preserve">” sākotnējās ietekmes novērtējuma </w:t>
      </w:r>
      <w:smartTag w:uri="schemas-tilde-lv/tildestengine" w:element="veidnes">
        <w:smartTagPr>
          <w:attr w:name="text" w:val="ziņojums"/>
          <w:attr w:name="baseform" w:val="ziņojums"/>
          <w:attr w:name="id" w:val="-1"/>
        </w:smartTagPr>
        <w:r w:rsidRPr="007E1183">
          <w:rPr>
            <w:b/>
            <w:sz w:val="28"/>
            <w:szCs w:val="28"/>
            <w:lang w:val="lv-LV"/>
          </w:rPr>
          <w:t>ziņojums</w:t>
        </w:r>
      </w:smartTag>
      <w:r w:rsidRPr="007E1183">
        <w:rPr>
          <w:b/>
          <w:sz w:val="28"/>
          <w:szCs w:val="28"/>
          <w:lang w:val="lv-LV"/>
        </w:rPr>
        <w:t xml:space="preserve"> (</w:t>
      </w:r>
      <w:r w:rsidRPr="007E1183">
        <w:rPr>
          <w:b/>
          <w:bCs/>
          <w:sz w:val="28"/>
          <w:szCs w:val="28"/>
          <w:lang w:val="lv-LV"/>
        </w:rPr>
        <w:t>anotācija)</w:t>
      </w:r>
      <w:bookmarkEnd w:id="0"/>
      <w:bookmarkEnd w:id="1"/>
      <w:bookmarkEnd w:id="2"/>
      <w:bookmarkEnd w:id="3"/>
      <w:bookmarkEnd w:id="4"/>
    </w:p>
    <w:p w:rsidR="008F11DC" w:rsidRPr="007E1183" w:rsidRDefault="008F11DC" w:rsidP="008F11DC">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8F11DC" w:rsidRPr="008F11DC" w:rsidTr="00AC1D6B">
        <w:tc>
          <w:tcPr>
            <w:tcW w:w="9062" w:type="dxa"/>
            <w:gridSpan w:val="3"/>
            <w:vAlign w:val="center"/>
          </w:tcPr>
          <w:p w:rsidR="008F11DC" w:rsidRPr="007E1183" w:rsidRDefault="008F11DC" w:rsidP="00AC1D6B">
            <w:pPr>
              <w:jc w:val="center"/>
              <w:rPr>
                <w:sz w:val="26"/>
                <w:szCs w:val="26"/>
                <w:lang w:val="lv-LV"/>
              </w:rPr>
            </w:pPr>
            <w:r w:rsidRPr="007E1183">
              <w:rPr>
                <w:b/>
                <w:sz w:val="26"/>
                <w:szCs w:val="26"/>
                <w:lang w:val="lv-LV"/>
              </w:rPr>
              <w:t>I. Tiesību akta projekta izstrādes nepieciešamība</w:t>
            </w:r>
          </w:p>
        </w:tc>
      </w:tr>
      <w:tr w:rsidR="008F11DC" w:rsidRPr="008F11DC" w:rsidTr="00AC1D6B">
        <w:trPr>
          <w:trHeight w:val="439"/>
        </w:trPr>
        <w:tc>
          <w:tcPr>
            <w:tcW w:w="524" w:type="dxa"/>
          </w:tcPr>
          <w:p w:rsidR="008F11DC" w:rsidRPr="007E1183" w:rsidRDefault="008F11DC" w:rsidP="00AC1D6B">
            <w:pPr>
              <w:ind w:left="57" w:right="57"/>
              <w:rPr>
                <w:sz w:val="26"/>
                <w:szCs w:val="26"/>
                <w:lang w:val="lv-LV"/>
              </w:rPr>
            </w:pPr>
            <w:r w:rsidRPr="007E1183">
              <w:rPr>
                <w:sz w:val="26"/>
                <w:szCs w:val="26"/>
                <w:lang w:val="lv-LV"/>
              </w:rPr>
              <w:t> 1.</w:t>
            </w:r>
          </w:p>
        </w:tc>
        <w:tc>
          <w:tcPr>
            <w:tcW w:w="3177" w:type="dxa"/>
          </w:tcPr>
          <w:p w:rsidR="008F11DC" w:rsidRPr="007E1183" w:rsidRDefault="008F11DC" w:rsidP="00AC1D6B">
            <w:pPr>
              <w:ind w:left="57" w:right="57"/>
              <w:rPr>
                <w:sz w:val="26"/>
                <w:szCs w:val="26"/>
                <w:lang w:val="lv-LV"/>
              </w:rPr>
            </w:pPr>
            <w:r w:rsidRPr="007E1183">
              <w:rPr>
                <w:sz w:val="26"/>
                <w:szCs w:val="26"/>
                <w:lang w:val="lv-LV"/>
              </w:rPr>
              <w:t>Pamatojums</w:t>
            </w:r>
          </w:p>
        </w:tc>
        <w:tc>
          <w:tcPr>
            <w:tcW w:w="5361" w:type="dxa"/>
          </w:tcPr>
          <w:p w:rsidR="008F11DC" w:rsidRPr="007E1183" w:rsidRDefault="008F11DC" w:rsidP="00AC1D6B">
            <w:pPr>
              <w:ind w:left="57" w:right="57"/>
              <w:jc w:val="both"/>
              <w:rPr>
                <w:sz w:val="26"/>
                <w:szCs w:val="26"/>
                <w:lang w:val="lv-LV"/>
              </w:rPr>
            </w:pPr>
            <w:r w:rsidRPr="007E1183">
              <w:rPr>
                <w:sz w:val="26"/>
                <w:szCs w:val="26"/>
                <w:lang w:val="lv-LV"/>
              </w:rPr>
              <w:t xml:space="preserve"> Ministru kabineta noteikumu projekts „</w:t>
            </w:r>
            <w:r w:rsidRPr="007E1183">
              <w:rPr>
                <w:bCs/>
                <w:sz w:val="26"/>
                <w:szCs w:val="26"/>
                <w:lang w:val="lv-LV"/>
              </w:rPr>
              <w:t>Noteikumi par Latvijas būvnormatīvu LBN 405-15 „Būvju tehniskā apsekošana””</w:t>
            </w:r>
            <w:r w:rsidRPr="007E1183">
              <w:rPr>
                <w:sz w:val="26"/>
                <w:szCs w:val="26"/>
                <w:lang w:val="lv-LV"/>
              </w:rPr>
              <w:t xml:space="preserve"> (turpmāk – būvnormatīvs) tiek izdots saskaņā ar </w:t>
            </w:r>
            <w:r w:rsidRPr="007E1183">
              <w:rPr>
                <w:rFonts w:eastAsia="SimSun"/>
                <w:sz w:val="26"/>
                <w:szCs w:val="26"/>
                <w:lang w:val="lv-LV" w:eastAsia="zh-CN"/>
              </w:rPr>
              <w:t>Būvniecības likuma 5.panta pirmās daļas 3.punktu</w:t>
            </w:r>
            <w:r w:rsidRPr="007E1183">
              <w:rPr>
                <w:sz w:val="26"/>
                <w:szCs w:val="26"/>
                <w:lang w:val="lv-LV"/>
              </w:rPr>
              <w:t xml:space="preserve">, kā arī, lai nodrošinātu Būvniecības </w:t>
            </w:r>
            <w:r w:rsidRPr="007E1183">
              <w:rPr>
                <w:bCs/>
                <w:sz w:val="26"/>
                <w:szCs w:val="26"/>
                <w:lang w:val="lv-LV"/>
              </w:rPr>
              <w:t>likuma pārejas noteikumu 2.punkta izpildi.</w:t>
            </w:r>
          </w:p>
          <w:p w:rsidR="008F11DC" w:rsidRPr="007E1183" w:rsidRDefault="008F11DC" w:rsidP="00AC1D6B">
            <w:pPr>
              <w:ind w:left="57" w:right="57" w:firstLine="284"/>
              <w:jc w:val="both"/>
              <w:rPr>
                <w:sz w:val="26"/>
                <w:szCs w:val="26"/>
                <w:lang w:val="lv-LV"/>
              </w:rPr>
            </w:pPr>
          </w:p>
        </w:tc>
      </w:tr>
      <w:tr w:rsidR="008F11DC" w:rsidRPr="008F11DC" w:rsidTr="00AC1D6B">
        <w:trPr>
          <w:trHeight w:val="977"/>
        </w:trPr>
        <w:tc>
          <w:tcPr>
            <w:tcW w:w="524" w:type="dxa"/>
          </w:tcPr>
          <w:p w:rsidR="008F11DC" w:rsidRPr="007E1183" w:rsidRDefault="008F11DC" w:rsidP="00AC1D6B">
            <w:pPr>
              <w:ind w:left="57" w:right="57"/>
              <w:rPr>
                <w:sz w:val="26"/>
                <w:szCs w:val="26"/>
                <w:lang w:val="lv-LV"/>
              </w:rPr>
            </w:pPr>
            <w:r w:rsidRPr="007E1183">
              <w:rPr>
                <w:sz w:val="26"/>
                <w:szCs w:val="26"/>
                <w:lang w:val="lv-LV"/>
              </w:rPr>
              <w:t> 2.</w:t>
            </w:r>
          </w:p>
        </w:tc>
        <w:tc>
          <w:tcPr>
            <w:tcW w:w="3177" w:type="dxa"/>
          </w:tcPr>
          <w:p w:rsidR="008F11DC" w:rsidRPr="007E1183" w:rsidRDefault="008F11DC" w:rsidP="00AC1D6B">
            <w:pPr>
              <w:ind w:left="57" w:right="57"/>
              <w:rPr>
                <w:sz w:val="26"/>
                <w:szCs w:val="26"/>
                <w:lang w:val="lv-LV"/>
              </w:rPr>
            </w:pPr>
            <w:r w:rsidRPr="007E1183">
              <w:rPr>
                <w:sz w:val="26"/>
                <w:szCs w:val="26"/>
                <w:lang w:val="lv-LV"/>
              </w:rPr>
              <w:t>Pašreizējā situācija un problēmas, kuru risināšanai tiesību akta projekts izstrādāts, tiesiskā regulējuma mērķis un būtība</w:t>
            </w:r>
          </w:p>
        </w:tc>
        <w:tc>
          <w:tcPr>
            <w:tcW w:w="5361" w:type="dxa"/>
          </w:tcPr>
          <w:p w:rsidR="008F11DC" w:rsidRPr="007E1183" w:rsidRDefault="008F11DC" w:rsidP="003C24C9">
            <w:pPr>
              <w:pStyle w:val="naiskr"/>
              <w:spacing w:before="0" w:after="0"/>
              <w:ind w:left="57" w:right="57"/>
              <w:jc w:val="both"/>
              <w:rPr>
                <w:sz w:val="26"/>
                <w:szCs w:val="26"/>
              </w:rPr>
            </w:pPr>
            <w:r w:rsidRPr="007E1183">
              <w:rPr>
                <w:sz w:val="26"/>
                <w:szCs w:val="26"/>
              </w:rPr>
              <w:t xml:space="preserve">Atbilstoši Būvniecības likuma pārejas noteikumu 2. punktam Latvijas būvnormatīvs </w:t>
            </w:r>
            <w:r w:rsidRPr="007E1183">
              <w:rPr>
                <w:bCs/>
                <w:sz w:val="26"/>
                <w:szCs w:val="26"/>
              </w:rPr>
              <w:t>LBN 405-15 „Būvju tehniskā apsekošana”</w:t>
            </w:r>
            <w:r w:rsidRPr="007E1183">
              <w:rPr>
                <w:sz w:val="26"/>
                <w:szCs w:val="26"/>
              </w:rPr>
              <w:t xml:space="preserve"> ir piemērojams ne ilgāk kā līdz 2015.gada 1.jūlijam. Līdz ar to, līdz šīm laikam ir nepieciešams izdot jaunu atbilstošu būvnormatīvu, lai noteiktu būvju tehniskās apsekošanas darbu kārtību un saturu.         Jaunais būvnormatīvs pēc būtības nemaina līdz šim noteikto būvju tehniskās apsekošanas kārtību.</w:t>
            </w:r>
          </w:p>
          <w:p w:rsidR="008F11DC" w:rsidRPr="007E1183" w:rsidRDefault="008F11DC" w:rsidP="003C24C9">
            <w:pPr>
              <w:pStyle w:val="naiskr"/>
              <w:spacing w:before="0" w:after="0"/>
              <w:ind w:left="57" w:right="57"/>
              <w:jc w:val="both"/>
              <w:rPr>
                <w:sz w:val="26"/>
                <w:szCs w:val="26"/>
              </w:rPr>
            </w:pPr>
            <w:r w:rsidRPr="007E1183">
              <w:rPr>
                <w:sz w:val="26"/>
                <w:szCs w:val="26"/>
              </w:rPr>
              <w:t>Būvnormatīvs nosaka, ka būvi apseko:</w:t>
            </w:r>
          </w:p>
          <w:p w:rsidR="008F11DC" w:rsidRPr="003C24C9" w:rsidRDefault="008F11DC" w:rsidP="003C24C9">
            <w:pPr>
              <w:pStyle w:val="naiskr"/>
              <w:spacing w:before="0" w:after="0"/>
              <w:ind w:left="57" w:right="57"/>
              <w:jc w:val="both"/>
              <w:rPr>
                <w:sz w:val="26"/>
                <w:szCs w:val="26"/>
              </w:rPr>
            </w:pPr>
            <w:r w:rsidRPr="007E1183">
              <w:rPr>
                <w:sz w:val="26"/>
                <w:szCs w:val="26"/>
              </w:rPr>
              <w:t xml:space="preserve">1) periodiski būves ekspluatācijas laikā atbilstoši tās lietošanas veidam saskaņā ar būvju tehnisko uzturēšanu regulējošiem normatīvajiem aktiem. Tā, piemēram, </w:t>
            </w:r>
            <w:r>
              <w:rPr>
                <w:sz w:val="26"/>
                <w:szCs w:val="26"/>
              </w:rPr>
              <w:t>p</w:t>
            </w:r>
            <w:r w:rsidRPr="007E1183">
              <w:rPr>
                <w:sz w:val="26"/>
                <w:szCs w:val="26"/>
              </w:rPr>
              <w:t xml:space="preserve">rasība periodiski apsekot daudzdzīvokļu dzīvojamās mājas un tajā esošo iekārtu un inženiertīklus </w:t>
            </w:r>
            <w:r>
              <w:rPr>
                <w:sz w:val="26"/>
                <w:szCs w:val="26"/>
              </w:rPr>
              <w:t>ir jā</w:t>
            </w:r>
            <w:r w:rsidRPr="007E1183">
              <w:rPr>
                <w:sz w:val="26"/>
                <w:szCs w:val="26"/>
              </w:rPr>
              <w:t xml:space="preserve">veic saskaņā ar dzīvojamo māju pārvaldīšanas jomas </w:t>
            </w:r>
            <w:r w:rsidRPr="003C24C9">
              <w:rPr>
                <w:sz w:val="26"/>
                <w:szCs w:val="26"/>
              </w:rPr>
              <w:t>normatīvajiem aktiem, bet otrās vai trešās grupas publiskas ēkas apsekošanu reizi 10 gados ir jāveic saskaņā ar ēku būvnoteikumiem. Būves vizuālo apskati saskaņā ar Būvniecības likuma 21.pantu var veikt būvinspektors, kontrolējot ekspluatācijā pieņemtas būves drošumu, kuras laikā fiksē un novērtē redzamos bojājumus un sagatavo atzinumu par būves pārbaudi. Apskates rezultāti var būt pamats detalizētai būves, tās daļas vai iebūvēto būvizstrādājumu tehniskajai izpētei.</w:t>
            </w:r>
          </w:p>
          <w:p w:rsidR="008F11DC" w:rsidRPr="003C24C9" w:rsidRDefault="008F11DC" w:rsidP="003C24C9">
            <w:pPr>
              <w:ind w:left="57" w:right="57"/>
              <w:jc w:val="both"/>
              <w:rPr>
                <w:sz w:val="26"/>
                <w:szCs w:val="26"/>
                <w:lang w:val="lv-LV"/>
              </w:rPr>
            </w:pPr>
            <w:r w:rsidRPr="003C24C9">
              <w:rPr>
                <w:sz w:val="26"/>
                <w:szCs w:val="26"/>
                <w:lang w:val="lv-LV"/>
              </w:rPr>
              <w:t>2) pirms būves atjaunošanas, pārbūves vai restaurācijas būvprojekta izstrādes, arī pirms būvprojekta minimālā sastāvā sagatavošanas vai p</w:t>
            </w:r>
            <w:r w:rsidRPr="003C24C9">
              <w:rPr>
                <w:rFonts w:eastAsia="Calibri"/>
                <w:sz w:val="26"/>
                <w:szCs w:val="26"/>
                <w:lang w:val="lv-LV"/>
              </w:rPr>
              <w:t>irms dokumentu izstrādes vienkāršotai ēkas fasādes atjaunošanai</w:t>
            </w:r>
            <w:r w:rsidRPr="003C24C9">
              <w:rPr>
                <w:sz w:val="26"/>
                <w:szCs w:val="26"/>
                <w:lang w:val="lv-LV"/>
              </w:rPr>
              <w:t>, lai noteiktu būves bojājumu apjomu, kā arī atbilstību būves izmantošanas mērķim un spēkā esošajiem normatīvajiem aktiem;</w:t>
            </w:r>
          </w:p>
          <w:p w:rsidR="008F11DC" w:rsidRPr="003C24C9" w:rsidRDefault="008F11DC" w:rsidP="003C24C9">
            <w:pPr>
              <w:ind w:left="57" w:right="57"/>
              <w:jc w:val="both"/>
              <w:rPr>
                <w:sz w:val="26"/>
                <w:szCs w:val="26"/>
                <w:lang w:val="lv-LV"/>
              </w:rPr>
            </w:pPr>
            <w:r w:rsidRPr="003C24C9">
              <w:rPr>
                <w:sz w:val="26"/>
                <w:szCs w:val="26"/>
                <w:lang w:val="lv-LV"/>
              </w:rPr>
              <w:lastRenderedPageBreak/>
              <w:t>3) pirms būvdarbu atsākšanas (pēc pārtraukuma);</w:t>
            </w:r>
          </w:p>
          <w:p w:rsidR="008F11DC" w:rsidRPr="003C24C9" w:rsidRDefault="008F11DC" w:rsidP="003C24C9">
            <w:pPr>
              <w:ind w:left="57" w:right="57"/>
              <w:jc w:val="both"/>
              <w:rPr>
                <w:sz w:val="26"/>
                <w:szCs w:val="26"/>
                <w:lang w:val="lv-LV"/>
              </w:rPr>
            </w:pPr>
            <w:r w:rsidRPr="003C24C9">
              <w:rPr>
                <w:sz w:val="26"/>
                <w:szCs w:val="26"/>
                <w:lang w:val="lv-LV"/>
              </w:rPr>
              <w:t>4) citos gadījumos, ja jānosaka būves tehniskais stāvoklis.</w:t>
            </w:r>
          </w:p>
          <w:p w:rsidR="008F11DC" w:rsidRPr="003C24C9" w:rsidRDefault="008F11DC" w:rsidP="003C24C9">
            <w:pPr>
              <w:pStyle w:val="naiskr"/>
              <w:spacing w:before="0" w:after="0"/>
              <w:ind w:left="57" w:right="57"/>
              <w:jc w:val="both"/>
              <w:rPr>
                <w:sz w:val="26"/>
                <w:szCs w:val="26"/>
              </w:rPr>
            </w:pPr>
            <w:r w:rsidRPr="003C24C9">
              <w:rPr>
                <w:sz w:val="26"/>
                <w:szCs w:val="26"/>
              </w:rPr>
              <w:t>Veicamo darbu apjomu pasūtītājs nosaka apsekošanas uzdevumā.</w:t>
            </w:r>
          </w:p>
          <w:p w:rsidR="008F11DC" w:rsidRPr="003C24C9" w:rsidRDefault="008F11DC" w:rsidP="003C24C9">
            <w:pPr>
              <w:ind w:left="57" w:right="57"/>
              <w:jc w:val="both"/>
              <w:rPr>
                <w:sz w:val="26"/>
                <w:szCs w:val="26"/>
                <w:lang w:val="lv-LV"/>
              </w:rPr>
            </w:pPr>
            <w:r w:rsidRPr="003C24C9">
              <w:rPr>
                <w:sz w:val="26"/>
                <w:szCs w:val="26"/>
                <w:lang w:val="lv-LV"/>
              </w:rPr>
              <w:t xml:space="preserve">Būves apseko </w:t>
            </w:r>
            <w:proofErr w:type="spellStart"/>
            <w:r w:rsidRPr="003C24C9">
              <w:rPr>
                <w:sz w:val="26"/>
                <w:szCs w:val="26"/>
                <w:lang w:val="lv-LV"/>
              </w:rPr>
              <w:t>būvspeciālists</w:t>
            </w:r>
            <w:proofErr w:type="spellEnd"/>
            <w:r w:rsidRPr="003C24C9">
              <w:rPr>
                <w:sz w:val="26"/>
                <w:szCs w:val="26"/>
                <w:lang w:val="lv-LV"/>
              </w:rPr>
              <w:t xml:space="preserve"> atbilstoši </w:t>
            </w:r>
            <w:proofErr w:type="spellStart"/>
            <w:r w:rsidRPr="003C24C9">
              <w:rPr>
                <w:sz w:val="26"/>
                <w:szCs w:val="26"/>
                <w:lang w:val="lv-LV"/>
              </w:rPr>
              <w:t>būvspeciālistu</w:t>
            </w:r>
            <w:proofErr w:type="spellEnd"/>
            <w:r w:rsidRPr="003C24C9">
              <w:rPr>
                <w:sz w:val="26"/>
                <w:szCs w:val="26"/>
                <w:lang w:val="lv-LV"/>
              </w:rPr>
              <w:t xml:space="preserve"> kompetences novērtēšanas un patstāvīgās prakses uzraudzības normatīvajā aktā noteiktai attiecīgās sfēras </w:t>
            </w:r>
            <w:proofErr w:type="spellStart"/>
            <w:r w:rsidRPr="003C24C9">
              <w:rPr>
                <w:sz w:val="26"/>
                <w:szCs w:val="26"/>
                <w:lang w:val="lv-LV"/>
              </w:rPr>
              <w:t>būvspeciālista</w:t>
            </w:r>
            <w:proofErr w:type="spellEnd"/>
            <w:r w:rsidRPr="003C24C9">
              <w:rPr>
                <w:sz w:val="26"/>
                <w:szCs w:val="26"/>
                <w:lang w:val="lv-LV"/>
              </w:rPr>
              <w:t xml:space="preserve"> kompetencei vai būvkomersantu reģistrā reģistrēta juridiskā persona, kura nodarbina attiecīgu </w:t>
            </w:r>
            <w:proofErr w:type="spellStart"/>
            <w:r w:rsidRPr="003C24C9">
              <w:rPr>
                <w:sz w:val="26"/>
                <w:szCs w:val="26"/>
                <w:lang w:val="lv-LV"/>
              </w:rPr>
              <w:t>būvspeciālistu</w:t>
            </w:r>
            <w:proofErr w:type="spellEnd"/>
            <w:r w:rsidRPr="003C24C9">
              <w:rPr>
                <w:sz w:val="26"/>
                <w:szCs w:val="26"/>
                <w:lang w:val="lv-LV"/>
              </w:rPr>
              <w:t xml:space="preserve">. Apsekošanas rezultāti ir jāapkopo tehniskās apsekošanas atzinumā, kura forma ir dota būvnormatīva pielikumā. </w:t>
            </w:r>
            <w:r w:rsidR="003C24C9" w:rsidRPr="003C24C9">
              <w:rPr>
                <w:sz w:val="26"/>
                <w:szCs w:val="26"/>
                <w:lang w:val="lv-LV"/>
              </w:rPr>
              <w:t xml:space="preserve">Pilna tehniskā apsekošana ir jāveic vienmēr, lai arī vizuālās apskates laikā nav konstatēti redzami bojājumi. Bieži, būvdarbu laikā, atsedzot konstrukcijas, </w:t>
            </w:r>
            <w:proofErr w:type="spellStart"/>
            <w:r w:rsidR="003C24C9" w:rsidRPr="003C24C9">
              <w:rPr>
                <w:sz w:val="26"/>
                <w:szCs w:val="26"/>
                <w:lang w:val="lv-LV"/>
              </w:rPr>
              <w:t>bojākumi</w:t>
            </w:r>
            <w:proofErr w:type="spellEnd"/>
            <w:r w:rsidR="003C24C9" w:rsidRPr="003C24C9">
              <w:rPr>
                <w:sz w:val="26"/>
                <w:szCs w:val="26"/>
                <w:lang w:val="lv-LV"/>
              </w:rPr>
              <w:t xml:space="preserve"> ir redzami, līdz ar to sadārdzinās būvdarbi, jo atklājas vēl papildus bojājumi, kas sākotnēji netika ievērtēti.</w:t>
            </w:r>
          </w:p>
          <w:p w:rsidR="008F11DC" w:rsidRPr="007E1183" w:rsidRDefault="008F11DC" w:rsidP="003C24C9">
            <w:pPr>
              <w:ind w:left="57" w:right="57"/>
              <w:jc w:val="both"/>
              <w:rPr>
                <w:sz w:val="26"/>
                <w:szCs w:val="26"/>
                <w:lang w:val="lv-LV"/>
              </w:rPr>
            </w:pPr>
            <w:r w:rsidRPr="003C24C9">
              <w:rPr>
                <w:sz w:val="26"/>
                <w:szCs w:val="26"/>
                <w:lang w:val="lv-LV"/>
              </w:rPr>
              <w:t xml:space="preserve">Atzinumam var pievienot šādus apsekošanas </w:t>
            </w:r>
            <w:r w:rsidRPr="007E1183">
              <w:rPr>
                <w:sz w:val="26"/>
                <w:szCs w:val="26"/>
                <w:lang w:val="lv-LV"/>
              </w:rPr>
              <w:t>gaitā izstrādātos materiālus:</w:t>
            </w:r>
          </w:p>
          <w:p w:rsidR="008F11DC" w:rsidRPr="007E1183" w:rsidRDefault="008F11DC" w:rsidP="003C24C9">
            <w:pPr>
              <w:ind w:left="57" w:right="57"/>
              <w:jc w:val="both"/>
              <w:rPr>
                <w:sz w:val="26"/>
                <w:szCs w:val="26"/>
                <w:lang w:val="lv-LV"/>
              </w:rPr>
            </w:pPr>
            <w:r w:rsidRPr="007E1183">
              <w:rPr>
                <w:sz w:val="26"/>
                <w:szCs w:val="26"/>
                <w:lang w:val="lv-LV"/>
              </w:rPr>
              <w:t>1) konstrukciju apsekošanas kartogrammas (novietne, stāvu plāni, griezumi, fasādes);</w:t>
            </w:r>
          </w:p>
          <w:p w:rsidR="008F11DC" w:rsidRPr="007E1183" w:rsidRDefault="008F11DC" w:rsidP="003C24C9">
            <w:pPr>
              <w:ind w:left="57" w:right="57"/>
              <w:jc w:val="both"/>
              <w:rPr>
                <w:sz w:val="26"/>
                <w:szCs w:val="26"/>
                <w:lang w:val="lv-LV"/>
              </w:rPr>
            </w:pPr>
            <w:r w:rsidRPr="007E1183">
              <w:rPr>
                <w:sz w:val="26"/>
                <w:szCs w:val="26"/>
                <w:lang w:val="lv-LV"/>
              </w:rPr>
              <w:t>2) uzmērījumu skices, atsevišķu būves daļu, būvizstrādājumu vai elementu (grunts, būvkonstrukcijas, inženierkomunikācijas, apdare) detalizētus apsekošanas zīmējumus;</w:t>
            </w:r>
          </w:p>
          <w:p w:rsidR="008F11DC" w:rsidRPr="007E1183" w:rsidRDefault="008F11DC" w:rsidP="003C24C9">
            <w:pPr>
              <w:ind w:left="57" w:right="57"/>
              <w:jc w:val="both"/>
              <w:rPr>
                <w:sz w:val="26"/>
                <w:szCs w:val="26"/>
                <w:lang w:val="lv-LV"/>
              </w:rPr>
            </w:pPr>
            <w:r w:rsidRPr="007E1183">
              <w:rPr>
                <w:sz w:val="26"/>
                <w:szCs w:val="26"/>
                <w:lang w:val="lv-LV"/>
              </w:rPr>
              <w:t>3) fotoattēlus ar aprakstiem un komentāriem (būve, tās fragmenti, detaļas un raksturīgākie bojājumi, atsegumu detaļas);</w:t>
            </w:r>
          </w:p>
          <w:p w:rsidR="008F11DC" w:rsidRPr="007E1183" w:rsidRDefault="008F11DC" w:rsidP="003C24C9">
            <w:pPr>
              <w:ind w:left="57" w:right="57"/>
              <w:jc w:val="both"/>
              <w:rPr>
                <w:sz w:val="26"/>
                <w:szCs w:val="26"/>
                <w:lang w:val="lv-LV"/>
              </w:rPr>
            </w:pPr>
            <w:r w:rsidRPr="007E1183">
              <w:rPr>
                <w:sz w:val="26"/>
                <w:szCs w:val="26"/>
                <w:lang w:val="lv-LV"/>
              </w:rPr>
              <w:t>4) specializēto dienestu sastādītos aktus un citus dokumentus (monitoringa rezultātus, laboratorijas analīzes, ekspertu atzinumus).</w:t>
            </w:r>
          </w:p>
          <w:p w:rsidR="008F11DC" w:rsidRPr="007E1183" w:rsidRDefault="008F11DC" w:rsidP="003C24C9">
            <w:pPr>
              <w:pStyle w:val="naiskr"/>
              <w:spacing w:before="0" w:after="0"/>
              <w:ind w:left="57" w:right="57"/>
              <w:jc w:val="both"/>
              <w:rPr>
                <w:strike/>
                <w:sz w:val="26"/>
                <w:szCs w:val="26"/>
              </w:rPr>
            </w:pPr>
            <w:bookmarkStart w:id="5" w:name="n3"/>
            <w:bookmarkStart w:id="6" w:name="n4"/>
            <w:bookmarkStart w:id="7" w:name="p-302268"/>
            <w:bookmarkStart w:id="8" w:name="p15"/>
            <w:bookmarkEnd w:id="5"/>
            <w:bookmarkEnd w:id="6"/>
            <w:bookmarkEnd w:id="7"/>
            <w:bookmarkEnd w:id="8"/>
            <w:r w:rsidRPr="007E1183">
              <w:rPr>
                <w:sz w:val="26"/>
                <w:szCs w:val="26"/>
              </w:rPr>
              <w:t>Ar būvnormatīva spēkā stāšanos spēku zaudēs 20</w:t>
            </w:r>
            <w:r>
              <w:rPr>
                <w:sz w:val="26"/>
                <w:szCs w:val="26"/>
              </w:rPr>
              <w:t>0</w:t>
            </w:r>
            <w:r w:rsidRPr="007E1183">
              <w:rPr>
                <w:sz w:val="26"/>
                <w:szCs w:val="26"/>
              </w:rPr>
              <w:t>1.gada 16.oktobra Ministru kabineta noteikumi Nr.444 „Noteikumi par Latvijas būvnormatīvu LBN 405-01 „Būvju tehniskā apsekošana””.</w:t>
            </w:r>
          </w:p>
          <w:p w:rsidR="008F11DC" w:rsidRPr="007E1183" w:rsidRDefault="008F11DC" w:rsidP="00AC1D6B">
            <w:pPr>
              <w:pStyle w:val="naiskr"/>
              <w:spacing w:before="0" w:after="0"/>
              <w:ind w:left="57" w:right="57" w:firstLine="284"/>
              <w:jc w:val="both"/>
              <w:rPr>
                <w:strike/>
                <w:sz w:val="26"/>
                <w:szCs w:val="26"/>
              </w:rPr>
            </w:pPr>
          </w:p>
        </w:tc>
      </w:tr>
      <w:tr w:rsidR="008F11DC" w:rsidRPr="003C24C9" w:rsidTr="00AC1D6B">
        <w:trPr>
          <w:trHeight w:val="706"/>
        </w:trPr>
        <w:tc>
          <w:tcPr>
            <w:tcW w:w="524" w:type="dxa"/>
          </w:tcPr>
          <w:p w:rsidR="008F11DC" w:rsidRPr="007E1183" w:rsidRDefault="008F11DC" w:rsidP="00AC1D6B">
            <w:pPr>
              <w:ind w:left="57" w:right="57"/>
              <w:rPr>
                <w:sz w:val="26"/>
                <w:szCs w:val="26"/>
                <w:lang w:val="lv-LV"/>
              </w:rPr>
            </w:pPr>
            <w:r w:rsidRPr="007E1183">
              <w:rPr>
                <w:sz w:val="26"/>
                <w:szCs w:val="26"/>
                <w:lang w:val="lv-LV"/>
              </w:rPr>
              <w:lastRenderedPageBreak/>
              <w:t> 3.</w:t>
            </w:r>
          </w:p>
        </w:tc>
        <w:tc>
          <w:tcPr>
            <w:tcW w:w="3177" w:type="dxa"/>
          </w:tcPr>
          <w:p w:rsidR="008F11DC" w:rsidRPr="007E1183" w:rsidRDefault="008F11DC" w:rsidP="00AC1D6B">
            <w:pPr>
              <w:ind w:left="57" w:right="57"/>
              <w:rPr>
                <w:sz w:val="26"/>
                <w:szCs w:val="26"/>
                <w:lang w:val="lv-LV"/>
              </w:rPr>
            </w:pPr>
            <w:r w:rsidRPr="007E1183">
              <w:rPr>
                <w:sz w:val="26"/>
                <w:szCs w:val="26"/>
                <w:lang w:val="lv-LV"/>
              </w:rPr>
              <w:t>Projekta izstrādē iesaistītās institūcijas</w:t>
            </w:r>
          </w:p>
        </w:tc>
        <w:tc>
          <w:tcPr>
            <w:tcW w:w="5361" w:type="dxa"/>
          </w:tcPr>
          <w:p w:rsidR="008F11DC" w:rsidRPr="007E1183" w:rsidRDefault="003C24C9" w:rsidP="003C24C9">
            <w:pPr>
              <w:ind w:left="57" w:right="57"/>
              <w:jc w:val="both"/>
              <w:rPr>
                <w:sz w:val="26"/>
                <w:szCs w:val="26"/>
                <w:lang w:val="lv-LV"/>
              </w:rPr>
            </w:pPr>
            <w:r>
              <w:rPr>
                <w:sz w:val="26"/>
                <w:szCs w:val="26"/>
                <w:lang w:val="lv-LV"/>
              </w:rPr>
              <w:t>Noteikumu projekta izstrādē netika iesaistītas citas institūcijas</w:t>
            </w:r>
          </w:p>
        </w:tc>
      </w:tr>
      <w:tr w:rsidR="008F11DC" w:rsidRPr="007E1183" w:rsidTr="00AC1D6B">
        <w:trPr>
          <w:trHeight w:val="384"/>
        </w:trPr>
        <w:tc>
          <w:tcPr>
            <w:tcW w:w="524" w:type="dxa"/>
          </w:tcPr>
          <w:p w:rsidR="008F11DC" w:rsidRPr="007E1183" w:rsidRDefault="008F11DC" w:rsidP="00AC1D6B">
            <w:pPr>
              <w:ind w:left="57" w:right="57"/>
              <w:rPr>
                <w:sz w:val="26"/>
                <w:szCs w:val="26"/>
                <w:lang w:val="lv-LV"/>
              </w:rPr>
            </w:pPr>
            <w:r w:rsidRPr="007E1183">
              <w:rPr>
                <w:sz w:val="26"/>
                <w:szCs w:val="26"/>
                <w:lang w:val="lv-LV"/>
              </w:rPr>
              <w:t> 4.</w:t>
            </w:r>
          </w:p>
        </w:tc>
        <w:tc>
          <w:tcPr>
            <w:tcW w:w="3177" w:type="dxa"/>
          </w:tcPr>
          <w:p w:rsidR="008F11DC" w:rsidRPr="007E1183" w:rsidRDefault="008F11DC" w:rsidP="00AC1D6B">
            <w:pPr>
              <w:ind w:left="57" w:right="57"/>
              <w:rPr>
                <w:sz w:val="26"/>
                <w:szCs w:val="26"/>
                <w:lang w:val="lv-LV"/>
              </w:rPr>
            </w:pPr>
            <w:r w:rsidRPr="007E1183">
              <w:rPr>
                <w:sz w:val="26"/>
                <w:szCs w:val="26"/>
                <w:lang w:val="lv-LV"/>
              </w:rPr>
              <w:t>Cita informācija</w:t>
            </w:r>
          </w:p>
        </w:tc>
        <w:tc>
          <w:tcPr>
            <w:tcW w:w="5361" w:type="dxa"/>
          </w:tcPr>
          <w:p w:rsidR="008F11DC" w:rsidRPr="007E1183" w:rsidRDefault="008F11DC" w:rsidP="003C24C9">
            <w:pPr>
              <w:pStyle w:val="naiskr"/>
              <w:spacing w:before="0" w:after="0"/>
              <w:ind w:left="57" w:right="57"/>
              <w:jc w:val="both"/>
              <w:rPr>
                <w:sz w:val="26"/>
                <w:szCs w:val="26"/>
              </w:rPr>
            </w:pPr>
            <w:r w:rsidRPr="007E1183">
              <w:rPr>
                <w:sz w:val="26"/>
                <w:szCs w:val="26"/>
              </w:rPr>
              <w:t>Nav</w:t>
            </w:r>
          </w:p>
        </w:tc>
      </w:tr>
    </w:tbl>
    <w:p w:rsidR="008F11DC" w:rsidRPr="007E1183" w:rsidRDefault="008F11DC" w:rsidP="008F11DC">
      <w:pPr>
        <w:ind w:left="57" w:right="57"/>
        <w:rPr>
          <w:sz w:val="26"/>
          <w:szCs w:val="26"/>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8F11DC" w:rsidRPr="008F11DC" w:rsidTr="00AC1D6B">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8F11DC" w:rsidRPr="007E1183" w:rsidRDefault="008F11DC" w:rsidP="00AC1D6B">
            <w:pPr>
              <w:ind w:left="57" w:right="57"/>
              <w:jc w:val="center"/>
              <w:rPr>
                <w:b/>
                <w:sz w:val="26"/>
                <w:szCs w:val="26"/>
                <w:lang w:val="lv-LV"/>
              </w:rPr>
            </w:pPr>
            <w:r w:rsidRPr="007E1183">
              <w:rPr>
                <w:b/>
                <w:sz w:val="26"/>
                <w:szCs w:val="26"/>
                <w:lang w:val="lv-LV"/>
              </w:rPr>
              <w:t>II. Tiesību akta projekta ietekme uz sabiedrību tautsaimniecības attīstību un administratīvo slogu</w:t>
            </w:r>
          </w:p>
        </w:tc>
      </w:tr>
      <w:tr w:rsidR="008F11DC" w:rsidRPr="007E1183" w:rsidTr="00AC1D6B">
        <w:trPr>
          <w:trHeight w:val="467"/>
        </w:trPr>
        <w:tc>
          <w:tcPr>
            <w:tcW w:w="52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lastRenderedPageBreak/>
              <w:t> 1.</w:t>
            </w:r>
          </w:p>
        </w:tc>
        <w:tc>
          <w:tcPr>
            <w:tcW w:w="315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 xml:space="preserve"> Sabiedrības </w:t>
            </w:r>
            <w:proofErr w:type="spellStart"/>
            <w:r w:rsidRPr="007E1183">
              <w:rPr>
                <w:sz w:val="26"/>
                <w:szCs w:val="26"/>
                <w:lang w:val="lv-LV"/>
              </w:rPr>
              <w:t>mērķgrupas</w:t>
            </w:r>
            <w:proofErr w:type="spellEnd"/>
            <w:r w:rsidRPr="007E1183">
              <w:rPr>
                <w:sz w:val="26"/>
                <w:szCs w:val="26"/>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8F11DC" w:rsidRPr="007E1183" w:rsidRDefault="008F11DC" w:rsidP="003C24C9">
            <w:pPr>
              <w:ind w:left="57" w:right="57"/>
              <w:jc w:val="both"/>
              <w:rPr>
                <w:iCs/>
                <w:sz w:val="26"/>
                <w:szCs w:val="26"/>
                <w:lang w:val="lv-LV"/>
              </w:rPr>
            </w:pPr>
            <w:r w:rsidRPr="007E1183">
              <w:rPr>
                <w:iCs/>
                <w:sz w:val="26"/>
                <w:szCs w:val="26"/>
                <w:lang w:val="lv-LV"/>
              </w:rPr>
              <w:t xml:space="preserve">Būvnormatīva regulējums var ietekmēt jebkuru personu, kura ierosinās un veiks būvniecību. Regulējums attiecas uz būvniecības nozarē strādājošajiem </w:t>
            </w:r>
            <w:proofErr w:type="spellStart"/>
            <w:r w:rsidRPr="007E1183">
              <w:rPr>
                <w:iCs/>
                <w:sz w:val="26"/>
                <w:szCs w:val="26"/>
                <w:lang w:val="lv-LV"/>
              </w:rPr>
              <w:t>būvspeciālistiem</w:t>
            </w:r>
            <w:proofErr w:type="spellEnd"/>
            <w:r w:rsidRPr="007E1183">
              <w:rPr>
                <w:iCs/>
                <w:sz w:val="26"/>
                <w:szCs w:val="26"/>
                <w:lang w:val="lv-LV"/>
              </w:rPr>
              <w:t>.</w:t>
            </w:r>
          </w:p>
          <w:p w:rsidR="008F11DC" w:rsidRPr="007E1183" w:rsidRDefault="008F11DC" w:rsidP="003C24C9">
            <w:pPr>
              <w:ind w:left="57" w:right="57"/>
              <w:jc w:val="both"/>
              <w:rPr>
                <w:sz w:val="26"/>
                <w:szCs w:val="26"/>
                <w:lang w:val="lv-LV"/>
              </w:rPr>
            </w:pPr>
          </w:p>
        </w:tc>
      </w:tr>
      <w:tr w:rsidR="008F11DC" w:rsidRPr="008F11DC" w:rsidTr="00AC1D6B">
        <w:trPr>
          <w:trHeight w:val="523"/>
        </w:trPr>
        <w:tc>
          <w:tcPr>
            <w:tcW w:w="52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 2.</w:t>
            </w:r>
          </w:p>
        </w:tc>
        <w:tc>
          <w:tcPr>
            <w:tcW w:w="315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8F11DC" w:rsidRPr="007E1183" w:rsidRDefault="008F11DC" w:rsidP="003C24C9">
            <w:pPr>
              <w:ind w:left="57" w:right="57"/>
              <w:jc w:val="both"/>
              <w:rPr>
                <w:sz w:val="26"/>
                <w:szCs w:val="26"/>
                <w:lang w:val="lv-LV"/>
              </w:rPr>
            </w:pPr>
            <w:r w:rsidRPr="007E1183">
              <w:rPr>
                <w:sz w:val="26"/>
                <w:szCs w:val="26"/>
                <w:lang w:val="lv-LV"/>
              </w:rPr>
              <w:t xml:space="preserve">Šīs sadaļas 1.punktā minētajām sabiedrības </w:t>
            </w:r>
            <w:proofErr w:type="spellStart"/>
            <w:r w:rsidRPr="007E1183">
              <w:rPr>
                <w:sz w:val="26"/>
                <w:szCs w:val="26"/>
                <w:lang w:val="lv-LV"/>
              </w:rPr>
              <w:t>mērķgrupām</w:t>
            </w:r>
            <w:proofErr w:type="spellEnd"/>
            <w:r w:rsidRPr="007E1183">
              <w:rPr>
                <w:sz w:val="26"/>
                <w:szCs w:val="26"/>
                <w:lang w:val="lv-LV"/>
              </w:rPr>
              <w:t xml:space="preserve"> projekta tiesiskais regulējums nemaina tiesības un pienākumus, kā arī veicamās darbības.</w:t>
            </w:r>
          </w:p>
          <w:p w:rsidR="008F11DC" w:rsidRPr="007E1183" w:rsidRDefault="008F11DC" w:rsidP="003C24C9">
            <w:pPr>
              <w:ind w:left="57" w:right="57"/>
              <w:jc w:val="both"/>
              <w:rPr>
                <w:sz w:val="26"/>
                <w:szCs w:val="26"/>
                <w:lang w:val="lv-LV"/>
              </w:rPr>
            </w:pPr>
          </w:p>
        </w:tc>
      </w:tr>
      <w:tr w:rsidR="008F11DC" w:rsidRPr="007E1183" w:rsidTr="00AC1D6B">
        <w:trPr>
          <w:trHeight w:val="517"/>
        </w:trPr>
        <w:tc>
          <w:tcPr>
            <w:tcW w:w="52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 3.</w:t>
            </w:r>
          </w:p>
        </w:tc>
        <w:tc>
          <w:tcPr>
            <w:tcW w:w="315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8F11DC" w:rsidRPr="007E1183" w:rsidRDefault="008F11DC" w:rsidP="003C24C9">
            <w:pPr>
              <w:ind w:left="57" w:right="57"/>
              <w:jc w:val="both"/>
              <w:rPr>
                <w:sz w:val="26"/>
                <w:szCs w:val="26"/>
                <w:lang w:val="lv-LV"/>
              </w:rPr>
            </w:pPr>
            <w:r w:rsidRPr="007E1183">
              <w:rPr>
                <w:sz w:val="26"/>
                <w:szCs w:val="26"/>
                <w:lang w:val="lv-LV"/>
              </w:rPr>
              <w:t>Projekts šo jomu neskar</w:t>
            </w:r>
          </w:p>
        </w:tc>
      </w:tr>
      <w:tr w:rsidR="008F11DC" w:rsidRPr="007E1183" w:rsidTr="00AC1D6B">
        <w:tc>
          <w:tcPr>
            <w:tcW w:w="52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 4.</w:t>
            </w:r>
          </w:p>
        </w:tc>
        <w:tc>
          <w:tcPr>
            <w:tcW w:w="3153" w:type="dxa"/>
            <w:tcBorders>
              <w:top w:val="single" w:sz="4" w:space="0" w:color="auto"/>
              <w:left w:val="single" w:sz="4" w:space="0" w:color="auto"/>
              <w:bottom w:val="single" w:sz="4" w:space="0" w:color="auto"/>
              <w:right w:val="single" w:sz="4" w:space="0" w:color="auto"/>
            </w:tcBorders>
            <w:hideMark/>
          </w:tcPr>
          <w:p w:rsidR="008F11DC" w:rsidRPr="007E1183" w:rsidRDefault="008F11DC" w:rsidP="00AC1D6B">
            <w:pPr>
              <w:ind w:left="57" w:right="57"/>
              <w:rPr>
                <w:sz w:val="26"/>
                <w:szCs w:val="26"/>
                <w:lang w:val="lv-LV"/>
              </w:rPr>
            </w:pPr>
            <w:r w:rsidRPr="007E1183">
              <w:rPr>
                <w:sz w:val="26"/>
                <w:szCs w:val="26"/>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8F11DC" w:rsidRPr="007E1183" w:rsidRDefault="008F11DC" w:rsidP="003C24C9">
            <w:pPr>
              <w:ind w:left="57" w:right="57"/>
              <w:jc w:val="both"/>
              <w:rPr>
                <w:sz w:val="26"/>
                <w:szCs w:val="26"/>
                <w:lang w:val="lv-LV"/>
              </w:rPr>
            </w:pPr>
            <w:r w:rsidRPr="007E1183">
              <w:rPr>
                <w:sz w:val="26"/>
                <w:szCs w:val="26"/>
                <w:lang w:val="lv-LV"/>
              </w:rPr>
              <w:t>Nav</w:t>
            </w:r>
          </w:p>
        </w:tc>
      </w:tr>
    </w:tbl>
    <w:p w:rsidR="008F11DC" w:rsidRPr="007E1183" w:rsidRDefault="008F11DC" w:rsidP="008F11DC">
      <w:pPr>
        <w:ind w:left="57" w:right="57"/>
        <w:rPr>
          <w:sz w:val="26"/>
          <w:szCs w:val="26"/>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8F11DC" w:rsidRPr="008F11DC" w:rsidTr="00AC1D6B">
        <w:trPr>
          <w:jc w:val="center"/>
        </w:trPr>
        <w:tc>
          <w:tcPr>
            <w:tcW w:w="9215" w:type="dxa"/>
            <w:gridSpan w:val="3"/>
          </w:tcPr>
          <w:p w:rsidR="008F11DC" w:rsidRPr="007E1183" w:rsidRDefault="008F11DC" w:rsidP="00AC1D6B">
            <w:pPr>
              <w:pStyle w:val="naisnod"/>
              <w:spacing w:before="0" w:after="0"/>
              <w:ind w:left="57" w:right="57"/>
              <w:rPr>
                <w:sz w:val="26"/>
                <w:szCs w:val="26"/>
              </w:rPr>
            </w:pPr>
            <w:r w:rsidRPr="007E1183">
              <w:rPr>
                <w:sz w:val="26"/>
                <w:szCs w:val="26"/>
              </w:rPr>
              <w:t>VI. Sabiedrības līdzdalība un komunikācijas aktivitātes</w:t>
            </w:r>
          </w:p>
        </w:tc>
      </w:tr>
      <w:tr w:rsidR="008F11DC" w:rsidRPr="008F11DC" w:rsidTr="00AC1D6B">
        <w:trPr>
          <w:trHeight w:val="553"/>
          <w:jc w:val="center"/>
        </w:trPr>
        <w:tc>
          <w:tcPr>
            <w:tcW w:w="567" w:type="dxa"/>
          </w:tcPr>
          <w:p w:rsidR="008F11DC" w:rsidRPr="007E1183" w:rsidRDefault="008F11DC" w:rsidP="00AC1D6B">
            <w:pPr>
              <w:pStyle w:val="naiskr"/>
              <w:spacing w:before="0" w:after="0"/>
              <w:ind w:left="57" w:right="57"/>
              <w:rPr>
                <w:bCs/>
                <w:sz w:val="26"/>
                <w:szCs w:val="26"/>
              </w:rPr>
            </w:pPr>
            <w:r w:rsidRPr="007E1183">
              <w:rPr>
                <w:bCs/>
                <w:sz w:val="26"/>
                <w:szCs w:val="26"/>
              </w:rPr>
              <w:t>1.</w:t>
            </w:r>
          </w:p>
        </w:tc>
        <w:tc>
          <w:tcPr>
            <w:tcW w:w="2934" w:type="dxa"/>
          </w:tcPr>
          <w:p w:rsidR="008F11DC" w:rsidRPr="007E1183" w:rsidRDefault="008F11DC" w:rsidP="00AC1D6B">
            <w:pPr>
              <w:pStyle w:val="naiskr"/>
              <w:tabs>
                <w:tab w:val="left" w:pos="170"/>
              </w:tabs>
              <w:spacing w:before="0" w:after="0"/>
              <w:ind w:left="57" w:right="57"/>
              <w:rPr>
                <w:sz w:val="26"/>
                <w:szCs w:val="26"/>
              </w:rPr>
            </w:pPr>
            <w:r w:rsidRPr="007E1183">
              <w:rPr>
                <w:sz w:val="26"/>
                <w:szCs w:val="26"/>
              </w:rPr>
              <w:t>Plānotās sabiedrības līdzdalības un komunikācijas aktivitātes saistībā ar projektu</w:t>
            </w:r>
          </w:p>
        </w:tc>
        <w:tc>
          <w:tcPr>
            <w:tcW w:w="5714" w:type="dxa"/>
          </w:tcPr>
          <w:p w:rsidR="008F11DC" w:rsidRPr="007E1183" w:rsidRDefault="008F11DC" w:rsidP="00AC1D6B">
            <w:pPr>
              <w:pStyle w:val="naiskr"/>
              <w:spacing w:before="0" w:after="0"/>
              <w:ind w:left="57" w:right="57"/>
              <w:jc w:val="both"/>
              <w:rPr>
                <w:iCs/>
                <w:sz w:val="26"/>
                <w:szCs w:val="26"/>
              </w:rPr>
            </w:pPr>
            <w:r w:rsidRPr="007E1183">
              <w:rPr>
                <w:iCs/>
                <w:sz w:val="26"/>
                <w:szCs w:val="26"/>
              </w:rPr>
              <w:t>Par noteikumu projekta pārstrādi sabiedrība tika informēta Ekonomikas ministrijas rīkotajos semināros par jauno būvniecības regulējumu. Noteikumu projekts sabiedrībai publiski ir pieejams Ekonomikas ministrijas mājās lapā internetā, kā arī pēc izsludināšanas Valsts sekretāra sanāksmē būs pieejams Ministru kabineta mājās lapā internetā.</w:t>
            </w:r>
          </w:p>
          <w:p w:rsidR="008F11DC" w:rsidRPr="007E1183" w:rsidRDefault="008F11DC" w:rsidP="00AC1D6B">
            <w:pPr>
              <w:pStyle w:val="naiskr"/>
              <w:spacing w:before="0" w:after="0"/>
              <w:ind w:left="57" w:right="57"/>
              <w:jc w:val="both"/>
              <w:rPr>
                <w:iCs/>
                <w:sz w:val="26"/>
                <w:szCs w:val="26"/>
              </w:rPr>
            </w:pPr>
            <w:r w:rsidRPr="007E1183">
              <w:rPr>
                <w:iCs/>
                <w:sz w:val="26"/>
                <w:szCs w:val="26"/>
              </w:rPr>
              <w:t>Ministru kabineta 2009.gada 25.augusta noteikumu Nr.970 „Sabiedrības līdzdalības kārtība attīstības plānošanas procesā” 13.punktā minētās darbības nav jāveic, jo noteikumu projektā paredzētais tiesiskais regulējums nemaina līdzšinējo spēkā esošo regulējumu.</w:t>
            </w:r>
          </w:p>
        </w:tc>
      </w:tr>
      <w:tr w:rsidR="008F11DC" w:rsidRPr="008F11DC" w:rsidTr="00AC1D6B">
        <w:trPr>
          <w:trHeight w:val="339"/>
          <w:jc w:val="center"/>
        </w:trPr>
        <w:tc>
          <w:tcPr>
            <w:tcW w:w="567" w:type="dxa"/>
          </w:tcPr>
          <w:p w:rsidR="008F11DC" w:rsidRPr="007E1183" w:rsidRDefault="008F11DC" w:rsidP="00AC1D6B">
            <w:pPr>
              <w:pStyle w:val="naiskr"/>
              <w:spacing w:before="0" w:after="0"/>
              <w:ind w:left="57" w:right="57"/>
              <w:rPr>
                <w:bCs/>
                <w:sz w:val="26"/>
                <w:szCs w:val="26"/>
              </w:rPr>
            </w:pPr>
            <w:r w:rsidRPr="007E1183">
              <w:rPr>
                <w:bCs/>
                <w:sz w:val="26"/>
                <w:szCs w:val="26"/>
              </w:rPr>
              <w:t>2.</w:t>
            </w:r>
          </w:p>
        </w:tc>
        <w:tc>
          <w:tcPr>
            <w:tcW w:w="2934" w:type="dxa"/>
          </w:tcPr>
          <w:p w:rsidR="008F11DC" w:rsidRPr="007E1183" w:rsidRDefault="008F11DC" w:rsidP="00AC1D6B">
            <w:pPr>
              <w:pStyle w:val="naiskr"/>
              <w:spacing w:before="0" w:after="0"/>
              <w:ind w:left="57" w:right="57"/>
              <w:rPr>
                <w:sz w:val="26"/>
                <w:szCs w:val="26"/>
              </w:rPr>
            </w:pPr>
            <w:r w:rsidRPr="007E1183">
              <w:rPr>
                <w:sz w:val="26"/>
                <w:szCs w:val="26"/>
              </w:rPr>
              <w:t xml:space="preserve">Sabiedrības līdzdalība projekta izstrādē </w:t>
            </w:r>
          </w:p>
        </w:tc>
        <w:tc>
          <w:tcPr>
            <w:tcW w:w="5714" w:type="dxa"/>
          </w:tcPr>
          <w:p w:rsidR="008F11DC" w:rsidRPr="007E1183" w:rsidRDefault="008F11DC" w:rsidP="00AC1D6B">
            <w:pPr>
              <w:pStyle w:val="naiskr"/>
              <w:spacing w:before="0" w:after="0"/>
              <w:ind w:left="57" w:right="57"/>
              <w:jc w:val="both"/>
              <w:rPr>
                <w:sz w:val="26"/>
                <w:szCs w:val="26"/>
              </w:rPr>
            </w:pPr>
            <w:r w:rsidRPr="007E1183">
              <w:rPr>
                <w:sz w:val="26"/>
                <w:szCs w:val="26"/>
              </w:rPr>
              <w:t>Sabiedrības priekšlikumi vai iebildumi nav saņemti.</w:t>
            </w:r>
          </w:p>
        </w:tc>
      </w:tr>
      <w:tr w:rsidR="008F11DC" w:rsidRPr="008F11DC" w:rsidTr="00AC1D6B">
        <w:trPr>
          <w:trHeight w:val="375"/>
          <w:jc w:val="center"/>
        </w:trPr>
        <w:tc>
          <w:tcPr>
            <w:tcW w:w="567" w:type="dxa"/>
          </w:tcPr>
          <w:p w:rsidR="008F11DC" w:rsidRPr="007E1183" w:rsidRDefault="008F11DC" w:rsidP="00AC1D6B">
            <w:pPr>
              <w:pStyle w:val="naiskr"/>
              <w:spacing w:before="0" w:after="0"/>
              <w:ind w:left="57" w:right="57"/>
              <w:rPr>
                <w:bCs/>
                <w:sz w:val="26"/>
                <w:szCs w:val="26"/>
              </w:rPr>
            </w:pPr>
            <w:r w:rsidRPr="007E1183">
              <w:rPr>
                <w:bCs/>
                <w:sz w:val="26"/>
                <w:szCs w:val="26"/>
              </w:rPr>
              <w:t>3.</w:t>
            </w:r>
          </w:p>
        </w:tc>
        <w:tc>
          <w:tcPr>
            <w:tcW w:w="2934" w:type="dxa"/>
          </w:tcPr>
          <w:p w:rsidR="008F11DC" w:rsidRPr="007E1183" w:rsidRDefault="008F11DC" w:rsidP="00AC1D6B">
            <w:pPr>
              <w:pStyle w:val="naiskr"/>
              <w:spacing w:before="0" w:after="0"/>
              <w:ind w:left="57" w:right="57"/>
              <w:rPr>
                <w:sz w:val="26"/>
                <w:szCs w:val="26"/>
              </w:rPr>
            </w:pPr>
            <w:r w:rsidRPr="007E1183">
              <w:rPr>
                <w:sz w:val="26"/>
                <w:szCs w:val="26"/>
              </w:rPr>
              <w:t xml:space="preserve">Sabiedrības līdzdalības rezultāti </w:t>
            </w:r>
          </w:p>
        </w:tc>
        <w:tc>
          <w:tcPr>
            <w:tcW w:w="5714" w:type="dxa"/>
          </w:tcPr>
          <w:p w:rsidR="008F11DC" w:rsidRPr="007E1183" w:rsidRDefault="008F11DC" w:rsidP="00AC1D6B">
            <w:pPr>
              <w:pStyle w:val="naiskr"/>
              <w:spacing w:before="0" w:after="0"/>
              <w:ind w:left="57" w:right="57"/>
              <w:jc w:val="both"/>
              <w:rPr>
                <w:sz w:val="26"/>
                <w:szCs w:val="26"/>
              </w:rPr>
            </w:pPr>
            <w:r w:rsidRPr="007E1183">
              <w:rPr>
                <w:sz w:val="26"/>
                <w:szCs w:val="26"/>
              </w:rPr>
              <w:t>Sadaļa tiks precizēta atbilstoši saņemtajiem atzinumiem.</w:t>
            </w:r>
          </w:p>
        </w:tc>
      </w:tr>
      <w:tr w:rsidR="008F11DC" w:rsidRPr="007E1183" w:rsidTr="00AC1D6B">
        <w:trPr>
          <w:trHeight w:val="476"/>
          <w:jc w:val="center"/>
        </w:trPr>
        <w:tc>
          <w:tcPr>
            <w:tcW w:w="567" w:type="dxa"/>
          </w:tcPr>
          <w:p w:rsidR="008F11DC" w:rsidRPr="007E1183" w:rsidRDefault="008F11DC" w:rsidP="00AC1D6B">
            <w:pPr>
              <w:pStyle w:val="naiskr"/>
              <w:spacing w:before="0" w:after="0"/>
              <w:ind w:left="57" w:right="57"/>
              <w:rPr>
                <w:bCs/>
                <w:sz w:val="26"/>
                <w:szCs w:val="26"/>
              </w:rPr>
            </w:pPr>
            <w:r w:rsidRPr="007E1183">
              <w:rPr>
                <w:bCs/>
                <w:sz w:val="26"/>
                <w:szCs w:val="26"/>
              </w:rPr>
              <w:t>4.</w:t>
            </w:r>
          </w:p>
        </w:tc>
        <w:tc>
          <w:tcPr>
            <w:tcW w:w="2934" w:type="dxa"/>
          </w:tcPr>
          <w:p w:rsidR="008F11DC" w:rsidRPr="007E1183" w:rsidRDefault="008F11DC" w:rsidP="00AC1D6B">
            <w:pPr>
              <w:pStyle w:val="naiskr"/>
              <w:spacing w:before="0" w:after="0"/>
              <w:ind w:left="57" w:right="57"/>
              <w:rPr>
                <w:sz w:val="26"/>
                <w:szCs w:val="26"/>
              </w:rPr>
            </w:pPr>
            <w:r w:rsidRPr="007E1183">
              <w:rPr>
                <w:sz w:val="26"/>
                <w:szCs w:val="26"/>
              </w:rPr>
              <w:t>Cita informācija</w:t>
            </w:r>
          </w:p>
        </w:tc>
        <w:tc>
          <w:tcPr>
            <w:tcW w:w="5714" w:type="dxa"/>
          </w:tcPr>
          <w:p w:rsidR="008F11DC" w:rsidRPr="007E1183" w:rsidRDefault="003C24C9" w:rsidP="003C24C9">
            <w:pPr>
              <w:pStyle w:val="naiskr"/>
              <w:spacing w:before="0" w:after="0"/>
              <w:ind w:left="57" w:right="57"/>
              <w:jc w:val="both"/>
              <w:rPr>
                <w:sz w:val="26"/>
                <w:szCs w:val="26"/>
              </w:rPr>
            </w:pPr>
            <w:r>
              <w:rPr>
                <w:sz w:val="26"/>
                <w:szCs w:val="26"/>
              </w:rPr>
              <w:t>Nav</w:t>
            </w:r>
          </w:p>
        </w:tc>
      </w:tr>
    </w:tbl>
    <w:p w:rsidR="008F11DC" w:rsidRPr="007E1183" w:rsidRDefault="008F11DC" w:rsidP="008F11DC">
      <w:pPr>
        <w:pStyle w:val="naisf"/>
        <w:tabs>
          <w:tab w:val="left" w:pos="6710"/>
        </w:tabs>
        <w:spacing w:before="120" w:after="240"/>
        <w:rPr>
          <w:i/>
          <w:sz w:val="26"/>
          <w:szCs w:val="26"/>
        </w:rPr>
      </w:pPr>
      <w:r w:rsidRPr="007E1183">
        <w:rPr>
          <w:i/>
          <w:sz w:val="26"/>
          <w:szCs w:val="26"/>
        </w:rPr>
        <w:t>Anotācijas III, IV un V, VII sadaļa - projekts šīs jomas neskar.</w:t>
      </w:r>
    </w:p>
    <w:p w:rsidR="008F11DC" w:rsidRPr="007E1183" w:rsidRDefault="008F11DC" w:rsidP="008F11DC">
      <w:pPr>
        <w:tabs>
          <w:tab w:val="right" w:pos="9072"/>
        </w:tabs>
        <w:jc w:val="both"/>
        <w:rPr>
          <w:sz w:val="28"/>
          <w:szCs w:val="28"/>
          <w:lang w:val="lv-LV"/>
        </w:rPr>
      </w:pPr>
      <w:r w:rsidRPr="007E1183">
        <w:rPr>
          <w:sz w:val="28"/>
          <w:szCs w:val="28"/>
          <w:lang w:val="lv-LV"/>
        </w:rPr>
        <w:t>Ekonomikas ministre</w:t>
      </w:r>
      <w:r w:rsidRPr="007E1183">
        <w:rPr>
          <w:sz w:val="28"/>
          <w:szCs w:val="28"/>
          <w:lang w:val="lv-LV"/>
        </w:rPr>
        <w:tab/>
      </w:r>
      <w:proofErr w:type="spellStart"/>
      <w:r w:rsidRPr="007E1183">
        <w:rPr>
          <w:sz w:val="28"/>
          <w:szCs w:val="28"/>
          <w:lang w:val="lv-LV"/>
        </w:rPr>
        <w:t>D.Reizniece</w:t>
      </w:r>
      <w:proofErr w:type="spellEnd"/>
      <w:r w:rsidRPr="007E1183">
        <w:rPr>
          <w:sz w:val="28"/>
          <w:szCs w:val="28"/>
          <w:lang w:val="lv-LV"/>
        </w:rPr>
        <w:t>-Ozola</w:t>
      </w:r>
    </w:p>
    <w:p w:rsidR="008F11DC" w:rsidRPr="007E1183" w:rsidRDefault="008F11DC" w:rsidP="008F11DC">
      <w:pPr>
        <w:rPr>
          <w:sz w:val="28"/>
          <w:szCs w:val="28"/>
          <w:lang w:val="lv-LV"/>
        </w:rPr>
      </w:pPr>
    </w:p>
    <w:p w:rsidR="008F11DC" w:rsidRPr="007E1183" w:rsidRDefault="008F11DC" w:rsidP="008F11DC">
      <w:pPr>
        <w:rPr>
          <w:sz w:val="28"/>
          <w:szCs w:val="28"/>
          <w:lang w:val="lv-LV"/>
        </w:rPr>
      </w:pPr>
      <w:r w:rsidRPr="007E1183">
        <w:rPr>
          <w:sz w:val="28"/>
          <w:szCs w:val="28"/>
          <w:lang w:val="lv-LV"/>
        </w:rPr>
        <w:t>Vīza:</w:t>
      </w:r>
    </w:p>
    <w:p w:rsidR="008F11DC" w:rsidRPr="007E1183" w:rsidRDefault="008F11DC" w:rsidP="008F11DC">
      <w:pPr>
        <w:tabs>
          <w:tab w:val="right" w:pos="9072"/>
        </w:tabs>
        <w:rPr>
          <w:sz w:val="28"/>
          <w:szCs w:val="28"/>
          <w:lang w:val="lv-LV"/>
        </w:rPr>
      </w:pPr>
      <w:r w:rsidRPr="007E1183">
        <w:rPr>
          <w:sz w:val="28"/>
          <w:szCs w:val="28"/>
          <w:lang w:val="lv-LV"/>
        </w:rPr>
        <w:t>Valsts sekretāra</w:t>
      </w:r>
    </w:p>
    <w:p w:rsidR="008F11DC" w:rsidRPr="007E1183" w:rsidRDefault="008F11DC" w:rsidP="008F11DC">
      <w:pPr>
        <w:tabs>
          <w:tab w:val="right" w:pos="9072"/>
        </w:tabs>
        <w:rPr>
          <w:sz w:val="28"/>
          <w:szCs w:val="28"/>
          <w:lang w:val="lv-LV"/>
        </w:rPr>
      </w:pPr>
      <w:r w:rsidRPr="007E1183">
        <w:rPr>
          <w:sz w:val="28"/>
          <w:szCs w:val="28"/>
          <w:lang w:val="lv-LV"/>
        </w:rPr>
        <w:t>pienākumu izpildītājs,</w:t>
      </w:r>
    </w:p>
    <w:p w:rsidR="008F11DC" w:rsidRPr="007E1183" w:rsidRDefault="008F11DC" w:rsidP="008F11DC">
      <w:pPr>
        <w:tabs>
          <w:tab w:val="right" w:pos="9072"/>
        </w:tabs>
        <w:rPr>
          <w:sz w:val="28"/>
          <w:szCs w:val="28"/>
          <w:lang w:val="lv-LV"/>
        </w:rPr>
      </w:pPr>
      <w:r w:rsidRPr="007E1183">
        <w:rPr>
          <w:sz w:val="28"/>
          <w:szCs w:val="28"/>
          <w:lang w:val="lv-LV"/>
        </w:rPr>
        <w:t xml:space="preserve">valsts sekretāra vietnieks </w:t>
      </w:r>
      <w:r w:rsidRPr="007E1183">
        <w:rPr>
          <w:sz w:val="28"/>
          <w:szCs w:val="28"/>
          <w:lang w:val="lv-LV"/>
        </w:rPr>
        <w:tab/>
      </w:r>
      <w:proofErr w:type="spellStart"/>
      <w:r w:rsidRPr="007E1183">
        <w:rPr>
          <w:sz w:val="28"/>
          <w:szCs w:val="28"/>
          <w:lang w:val="lv-LV"/>
        </w:rPr>
        <w:t>J.Spiridonovs</w:t>
      </w:r>
      <w:proofErr w:type="spellEnd"/>
    </w:p>
    <w:p w:rsidR="008F11DC" w:rsidRPr="007E1183" w:rsidRDefault="008F11DC" w:rsidP="008F11DC">
      <w:pPr>
        <w:rPr>
          <w:sz w:val="28"/>
          <w:szCs w:val="28"/>
          <w:lang w:val="lv-LV"/>
        </w:rPr>
      </w:pPr>
    </w:p>
    <w:p w:rsidR="008F11DC" w:rsidRPr="00A462BC" w:rsidRDefault="008F11DC" w:rsidP="008F11DC">
      <w:pPr>
        <w:keepLines/>
        <w:widowControl w:val="0"/>
        <w:jc w:val="both"/>
        <w:rPr>
          <w:sz w:val="20"/>
          <w:lang w:val="lv-LV"/>
        </w:rPr>
      </w:pPr>
      <w:r w:rsidRPr="00A462BC">
        <w:rPr>
          <w:sz w:val="20"/>
          <w:lang w:val="lv-LV"/>
        </w:rPr>
        <w:fldChar w:fldCharType="begin"/>
      </w:r>
      <w:r w:rsidRPr="00A462BC">
        <w:rPr>
          <w:sz w:val="20"/>
          <w:lang w:val="lv-LV"/>
        </w:rPr>
        <w:instrText xml:space="preserve"> DATE  \@ "dd.MM.yyyy. H:mm"  \* MERGEFORMAT </w:instrText>
      </w:r>
      <w:r w:rsidRPr="00A462BC">
        <w:rPr>
          <w:sz w:val="20"/>
          <w:lang w:val="lv-LV"/>
        </w:rPr>
        <w:fldChar w:fldCharType="separate"/>
      </w:r>
      <w:r w:rsidR="003C24C9">
        <w:rPr>
          <w:noProof/>
          <w:sz w:val="20"/>
          <w:lang w:val="lv-LV"/>
        </w:rPr>
        <w:t>25.06.2015. 9:42</w:t>
      </w:r>
      <w:r w:rsidRPr="00A462BC">
        <w:rPr>
          <w:sz w:val="20"/>
          <w:lang w:val="lv-LV"/>
        </w:rPr>
        <w:fldChar w:fldCharType="end"/>
      </w:r>
    </w:p>
    <w:p w:rsidR="008F11DC" w:rsidRPr="00A462BC" w:rsidRDefault="008F11DC" w:rsidP="008F11DC">
      <w:pPr>
        <w:tabs>
          <w:tab w:val="left" w:pos="1080"/>
        </w:tabs>
        <w:ind w:right="71"/>
        <w:jc w:val="both"/>
        <w:rPr>
          <w:sz w:val="20"/>
          <w:lang w:val="lv-LV"/>
        </w:rPr>
      </w:pPr>
      <w:r w:rsidRPr="00A462BC">
        <w:rPr>
          <w:sz w:val="20"/>
          <w:lang w:val="lv-LV"/>
        </w:rPr>
        <w:fldChar w:fldCharType="begin"/>
      </w:r>
      <w:r w:rsidRPr="00A462BC">
        <w:rPr>
          <w:sz w:val="20"/>
          <w:lang w:val="lv-LV"/>
        </w:rPr>
        <w:instrText xml:space="preserve"> NUMWORDS   \* MERGEFORMAT </w:instrText>
      </w:r>
      <w:r w:rsidRPr="00A462BC">
        <w:rPr>
          <w:sz w:val="20"/>
          <w:lang w:val="lv-LV"/>
        </w:rPr>
        <w:fldChar w:fldCharType="separate"/>
      </w:r>
      <w:r w:rsidR="003C24C9">
        <w:rPr>
          <w:noProof/>
          <w:sz w:val="20"/>
          <w:lang w:val="lv-LV"/>
        </w:rPr>
        <w:t>693</w:t>
      </w:r>
      <w:r w:rsidRPr="00A462BC">
        <w:rPr>
          <w:sz w:val="20"/>
          <w:lang w:val="lv-LV"/>
        </w:rPr>
        <w:fldChar w:fldCharType="end"/>
      </w:r>
      <w:bookmarkStart w:id="9" w:name="_GoBack"/>
      <w:bookmarkEnd w:id="9"/>
    </w:p>
    <w:p w:rsidR="008F11DC" w:rsidRPr="00A462BC" w:rsidRDefault="008F11DC" w:rsidP="008F11DC">
      <w:pPr>
        <w:tabs>
          <w:tab w:val="left" w:pos="1080"/>
        </w:tabs>
        <w:ind w:right="71"/>
        <w:jc w:val="both"/>
        <w:rPr>
          <w:sz w:val="20"/>
          <w:lang w:val="lv-LV"/>
        </w:rPr>
      </w:pPr>
      <w:proofErr w:type="spellStart"/>
      <w:r w:rsidRPr="00A462BC">
        <w:rPr>
          <w:sz w:val="20"/>
          <w:lang w:val="lv-LV"/>
        </w:rPr>
        <w:t>E.Bučinska</w:t>
      </w:r>
      <w:proofErr w:type="spellEnd"/>
      <w:r w:rsidRPr="00A462BC">
        <w:rPr>
          <w:sz w:val="20"/>
          <w:lang w:val="lv-LV"/>
        </w:rPr>
        <w:t>,</w:t>
      </w:r>
    </w:p>
    <w:p w:rsidR="00665D9B" w:rsidRPr="008F11DC" w:rsidRDefault="008F11DC" w:rsidP="003C24C9">
      <w:pPr>
        <w:tabs>
          <w:tab w:val="left" w:pos="1080"/>
        </w:tabs>
        <w:ind w:right="71"/>
        <w:jc w:val="both"/>
        <w:rPr>
          <w:lang w:val="de-DE"/>
        </w:rPr>
      </w:pPr>
      <w:r w:rsidRPr="00A462BC">
        <w:rPr>
          <w:sz w:val="20"/>
          <w:lang w:val="lv-LV"/>
        </w:rPr>
        <w:t xml:space="preserve">67013032, </w:t>
      </w:r>
      <w:hyperlink r:id="rId6" w:history="1">
        <w:r w:rsidRPr="00A462BC">
          <w:rPr>
            <w:rStyle w:val="Hyperlink"/>
            <w:color w:val="auto"/>
            <w:sz w:val="20"/>
            <w:lang w:val="lv-LV"/>
          </w:rPr>
          <w:t>Elga.Bucinska@em.gov.lv</w:t>
        </w:r>
      </w:hyperlink>
      <w:r w:rsidRPr="00A462BC">
        <w:rPr>
          <w:sz w:val="20"/>
          <w:lang w:val="lv-LV"/>
        </w:rPr>
        <w:t xml:space="preserve"> </w:t>
      </w:r>
    </w:p>
    <w:sectPr w:rsidR="00665D9B" w:rsidRPr="008F11DC" w:rsidSect="00FD2D53">
      <w:headerReference w:type="default" r:id="rId7"/>
      <w:footerReference w:type="default" r:id="rId8"/>
      <w:footerReference w:type="first" r:id="rId9"/>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F" w:rsidRDefault="00B715DF" w:rsidP="003C24C9">
      <w:r>
        <w:separator/>
      </w:r>
    </w:p>
  </w:endnote>
  <w:endnote w:type="continuationSeparator" w:id="0">
    <w:p w:rsidR="00B715DF" w:rsidRDefault="00B715DF" w:rsidP="003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91" w:rsidRPr="00A66663" w:rsidRDefault="00B715DF" w:rsidP="00671491">
    <w:pPr>
      <w:jc w:val="both"/>
      <w:rPr>
        <w:sz w:val="20"/>
        <w:lang w:val="lv-LV"/>
      </w:rPr>
    </w:pPr>
    <w:r w:rsidRPr="00A66663">
      <w:rPr>
        <w:sz w:val="20"/>
      </w:rPr>
      <w:fldChar w:fldCharType="begin"/>
    </w:r>
    <w:r w:rsidRPr="00A66663">
      <w:rPr>
        <w:sz w:val="20"/>
      </w:rPr>
      <w:instrText xml:space="preserve"> FILENAME   \* MERGEFORMAT </w:instrText>
    </w:r>
    <w:r w:rsidRPr="00A66663">
      <w:rPr>
        <w:sz w:val="20"/>
      </w:rPr>
      <w:fldChar w:fldCharType="separate"/>
    </w:r>
    <w:r w:rsidR="003C24C9" w:rsidRPr="003C24C9">
      <w:rPr>
        <w:noProof/>
        <w:sz w:val="20"/>
        <w:lang w:val="lv-LV"/>
      </w:rPr>
      <w:t>EManot_250615_LBN405</w:t>
    </w:r>
    <w:r w:rsidRPr="00A66663">
      <w:rPr>
        <w:noProof/>
        <w:sz w:val="20"/>
        <w:lang w:val="lv-LV"/>
      </w:rPr>
      <w:fldChar w:fldCharType="end"/>
    </w:r>
    <w:r w:rsidRPr="00A66663">
      <w:rPr>
        <w:sz w:val="20"/>
        <w:lang w:val="lv-LV"/>
      </w:rPr>
      <w:t>; Ministru kabineta noteikumu projek</w:t>
    </w:r>
    <w:r w:rsidRPr="00A66663">
      <w:rPr>
        <w:sz w:val="20"/>
        <w:lang w:val="lv-LV"/>
      </w:rPr>
      <w:t>ta „Noteikumi par Latvijas būvnormatīvu LBN </w:t>
    </w:r>
    <w:r w:rsidRPr="00A66663">
      <w:rPr>
        <w:bCs/>
        <w:sz w:val="20"/>
        <w:lang w:val="lv-LV"/>
      </w:rPr>
      <w:t>405-15 „Būvju tehniskā apsekošana”</w:t>
    </w:r>
    <w:r w:rsidRPr="00A66663">
      <w:rPr>
        <w:sz w:val="20"/>
        <w:lang w:val="lv-LV"/>
      </w:rPr>
      <w:t>” sākotnējās ietekmes novērtējuma ziņojums (anotācija)</w:t>
    </w:r>
  </w:p>
  <w:p w:rsidR="00727BC6" w:rsidRPr="00513873" w:rsidRDefault="00B715DF" w:rsidP="0051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36" w:rsidRPr="00A66663" w:rsidRDefault="00B715DF" w:rsidP="00CF2836">
    <w:pPr>
      <w:jc w:val="both"/>
      <w:rPr>
        <w:sz w:val="20"/>
        <w:lang w:val="lv-LV"/>
      </w:rPr>
    </w:pPr>
    <w:r w:rsidRPr="00A66663">
      <w:rPr>
        <w:sz w:val="20"/>
      </w:rPr>
      <w:fldChar w:fldCharType="begin"/>
    </w:r>
    <w:r w:rsidRPr="00A66663">
      <w:rPr>
        <w:sz w:val="20"/>
      </w:rPr>
      <w:instrText xml:space="preserve"> FILENAME   \* MERGEFORMAT </w:instrText>
    </w:r>
    <w:r w:rsidRPr="00A66663">
      <w:rPr>
        <w:sz w:val="20"/>
      </w:rPr>
      <w:fldChar w:fldCharType="separate"/>
    </w:r>
    <w:r w:rsidR="003C24C9" w:rsidRPr="003C24C9">
      <w:rPr>
        <w:noProof/>
        <w:sz w:val="20"/>
        <w:lang w:val="lv-LV"/>
      </w:rPr>
      <w:t>EManot_250615_LBN405</w:t>
    </w:r>
    <w:r w:rsidRPr="00A66663">
      <w:rPr>
        <w:noProof/>
        <w:sz w:val="20"/>
        <w:lang w:val="lv-LV"/>
      </w:rPr>
      <w:fldChar w:fldCharType="end"/>
    </w:r>
    <w:r w:rsidRPr="00A66663">
      <w:rPr>
        <w:sz w:val="20"/>
        <w:lang w:val="lv-LV"/>
      </w:rPr>
      <w:t xml:space="preserve">; Ministru kabineta noteikumu projekta „Noteikumi par Latvijas </w:t>
    </w:r>
    <w:r w:rsidRPr="00A66663">
      <w:rPr>
        <w:sz w:val="20"/>
        <w:lang w:val="lv-LV"/>
      </w:rPr>
      <w:t>būvnormatīvu LBN </w:t>
    </w:r>
    <w:r w:rsidRPr="00A66663">
      <w:rPr>
        <w:bCs/>
        <w:sz w:val="20"/>
        <w:lang w:val="lv-LV"/>
      </w:rPr>
      <w:t>405-15 „Būvju tehniskā apsekošana”</w:t>
    </w:r>
    <w:r w:rsidRPr="00A66663">
      <w:rPr>
        <w:sz w:val="20"/>
        <w:lang w:val="lv-LV"/>
      </w:rPr>
      <w:t>” sākotnējās ietekmes novērtējuma ziņojums (anotācija)</w:t>
    </w:r>
  </w:p>
  <w:p w:rsidR="00727BC6" w:rsidRPr="00EE3404" w:rsidRDefault="00B715DF" w:rsidP="00EE3404">
    <w:pPr>
      <w:jc w:val="both"/>
      <w:rPr>
        <w:sz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F" w:rsidRDefault="00B715DF" w:rsidP="003C24C9">
      <w:r>
        <w:separator/>
      </w:r>
    </w:p>
  </w:footnote>
  <w:footnote w:type="continuationSeparator" w:id="0">
    <w:p w:rsidR="00B715DF" w:rsidRDefault="00B715DF" w:rsidP="003C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B715DF">
    <w:pPr>
      <w:pStyle w:val="Header"/>
      <w:jc w:val="center"/>
      <w:rPr>
        <w:sz w:val="24"/>
      </w:rPr>
    </w:pPr>
    <w:r>
      <w:rPr>
        <w:sz w:val="24"/>
      </w:rPr>
      <w:fldChar w:fldCharType="begin"/>
    </w:r>
    <w:r>
      <w:rPr>
        <w:sz w:val="24"/>
      </w:rPr>
      <w:instrText xml:space="preserve"> PAGE   \* MERGEFORMAT </w:instrText>
    </w:r>
    <w:r>
      <w:rPr>
        <w:sz w:val="24"/>
      </w:rPr>
      <w:fldChar w:fldCharType="separate"/>
    </w:r>
    <w:r w:rsidR="003C24C9">
      <w:rPr>
        <w:noProof/>
        <w:sz w:val="24"/>
      </w:rPr>
      <w:t>3</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C"/>
    <w:rsid w:val="003C24C9"/>
    <w:rsid w:val="00665D9B"/>
    <w:rsid w:val="00812D36"/>
    <w:rsid w:val="008F11DC"/>
    <w:rsid w:val="00B71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B336EC7-9F4E-41EC-83DB-123BCE6F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DC"/>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11DC"/>
    <w:pPr>
      <w:spacing w:before="100" w:after="100"/>
    </w:pPr>
    <w:rPr>
      <w:lang w:val="lv-LV"/>
    </w:rPr>
  </w:style>
  <w:style w:type="paragraph" w:styleId="Header">
    <w:name w:val="header"/>
    <w:basedOn w:val="Normal"/>
    <w:link w:val="HeaderChar"/>
    <w:uiPriority w:val="99"/>
    <w:rsid w:val="008F11DC"/>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8F11DC"/>
    <w:rPr>
      <w:rFonts w:ascii="Times New Roman" w:eastAsia="Times New Roman" w:hAnsi="Times New Roman" w:cs="Times New Roman"/>
      <w:szCs w:val="20"/>
      <w:lang w:eastAsia="lv-LV"/>
    </w:rPr>
  </w:style>
  <w:style w:type="character" w:styleId="Hyperlink">
    <w:name w:val="Hyperlink"/>
    <w:basedOn w:val="DefaultParagraphFont"/>
    <w:uiPriority w:val="99"/>
    <w:rsid w:val="008F11DC"/>
    <w:rPr>
      <w:color w:val="0000FF"/>
      <w:u w:val="single"/>
    </w:rPr>
  </w:style>
  <w:style w:type="paragraph" w:customStyle="1" w:styleId="naiskr">
    <w:name w:val="naiskr"/>
    <w:basedOn w:val="Normal"/>
    <w:rsid w:val="008F11DC"/>
    <w:pPr>
      <w:spacing w:before="75" w:after="75"/>
    </w:pPr>
    <w:rPr>
      <w:szCs w:val="24"/>
      <w:lang w:val="lv-LV"/>
    </w:rPr>
  </w:style>
  <w:style w:type="paragraph" w:customStyle="1" w:styleId="naisnod">
    <w:name w:val="naisnod"/>
    <w:basedOn w:val="Normal"/>
    <w:rsid w:val="008F11DC"/>
    <w:pPr>
      <w:spacing w:before="150" w:after="150"/>
      <w:jc w:val="center"/>
    </w:pPr>
    <w:rPr>
      <w:b/>
      <w:bCs/>
      <w:szCs w:val="24"/>
      <w:lang w:val="lv-LV"/>
    </w:rPr>
  </w:style>
  <w:style w:type="paragraph" w:styleId="Footer">
    <w:name w:val="footer"/>
    <w:basedOn w:val="Normal"/>
    <w:link w:val="FooterChar"/>
    <w:uiPriority w:val="99"/>
    <w:unhideWhenUsed/>
    <w:rsid w:val="008F11DC"/>
    <w:pPr>
      <w:tabs>
        <w:tab w:val="center" w:pos="4153"/>
        <w:tab w:val="right" w:pos="8306"/>
      </w:tabs>
    </w:pPr>
  </w:style>
  <w:style w:type="character" w:customStyle="1" w:styleId="FooterChar">
    <w:name w:val="Footer Char"/>
    <w:basedOn w:val="DefaultParagraphFont"/>
    <w:link w:val="Footer"/>
    <w:uiPriority w:val="99"/>
    <w:rsid w:val="008F11DC"/>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5266</Characters>
  <Application>Microsoft Office Word</Application>
  <DocSecurity>0</DocSecurity>
  <Lines>181</Lines>
  <Paragraphs>75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cp:revision>
  <dcterms:created xsi:type="dcterms:W3CDTF">2015-06-25T06:44:00Z</dcterms:created>
  <dcterms:modified xsi:type="dcterms:W3CDTF">2015-06-25T06:44:00Z</dcterms:modified>
</cp:coreProperties>
</file>