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4333" w14:textId="079EF6CF" w:rsidR="006A5C8C" w:rsidRPr="006A5C8C" w:rsidRDefault="006A5C8C" w:rsidP="00B33759">
      <w:pPr>
        <w:keepNext/>
        <w:ind w:right="45"/>
        <w:jc w:val="right"/>
        <w:outlineLvl w:val="2"/>
        <w:rPr>
          <w:rFonts w:eastAsia="Times New Roman" w:cs="Times New Roman"/>
          <w:b/>
          <w:szCs w:val="28"/>
        </w:rPr>
      </w:pPr>
      <w:bookmarkStart w:id="0" w:name="130801"/>
      <w:bookmarkStart w:id="1" w:name="201468"/>
      <w:bookmarkEnd w:id="0"/>
      <w:bookmarkEnd w:id="1"/>
      <w:r w:rsidRPr="006A5C8C">
        <w:rPr>
          <w:rFonts w:eastAsia="Times New Roman" w:cs="Times New Roman"/>
          <w:b/>
          <w:szCs w:val="28"/>
        </w:rPr>
        <w:t xml:space="preserve">Ekonomikas ministrijas iesniegtajā redakcijā </w:t>
      </w:r>
    </w:p>
    <w:p w14:paraId="41DAF2BC" w14:textId="77777777" w:rsidR="006A5C8C" w:rsidRDefault="006A5C8C" w:rsidP="00B33759">
      <w:pPr>
        <w:keepNext/>
        <w:ind w:right="45"/>
        <w:jc w:val="right"/>
        <w:outlineLvl w:val="2"/>
        <w:rPr>
          <w:rFonts w:eastAsia="Times New Roman" w:cs="Times New Roman"/>
          <w:szCs w:val="28"/>
        </w:rPr>
      </w:pPr>
    </w:p>
    <w:p w14:paraId="6C90C1A8" w14:textId="77777777" w:rsidR="00FE24FB" w:rsidRPr="00360155" w:rsidRDefault="00FE24FB" w:rsidP="00B33759">
      <w:pPr>
        <w:keepNext/>
        <w:ind w:right="45"/>
        <w:jc w:val="right"/>
        <w:outlineLvl w:val="2"/>
        <w:rPr>
          <w:rFonts w:eastAsia="Times New Roman" w:cs="Times New Roman"/>
          <w:szCs w:val="28"/>
        </w:rPr>
      </w:pPr>
      <w:r w:rsidRPr="00360155">
        <w:rPr>
          <w:rFonts w:eastAsia="Times New Roman" w:cs="Times New Roman"/>
          <w:szCs w:val="28"/>
        </w:rPr>
        <w:t xml:space="preserve">Apstiprināts </w:t>
      </w:r>
    </w:p>
    <w:p w14:paraId="6C90C1A9" w14:textId="77777777" w:rsidR="00FE24FB" w:rsidRPr="00360155" w:rsidRDefault="00FE24FB" w:rsidP="00B33759">
      <w:pPr>
        <w:keepNext/>
        <w:ind w:right="45"/>
        <w:jc w:val="right"/>
        <w:outlineLvl w:val="2"/>
        <w:rPr>
          <w:rFonts w:eastAsia="Times New Roman" w:cs="Times New Roman"/>
          <w:szCs w:val="28"/>
        </w:rPr>
      </w:pPr>
      <w:r w:rsidRPr="00360155">
        <w:rPr>
          <w:rFonts w:eastAsia="Times New Roman" w:cs="Times New Roman"/>
          <w:szCs w:val="28"/>
        </w:rPr>
        <w:t>ar Ministru kabineta</w:t>
      </w:r>
    </w:p>
    <w:p w14:paraId="556E43E2" w14:textId="3FA67927" w:rsidR="00B33759" w:rsidRPr="00CD757F" w:rsidRDefault="00B33759" w:rsidP="00B33759">
      <w:pPr>
        <w:jc w:val="right"/>
      </w:pPr>
      <w:r w:rsidRPr="00CD757F">
        <w:t>2015. gada  </w:t>
      </w:r>
      <w:r w:rsidR="0071079A">
        <w:rPr>
          <w:szCs w:val="28"/>
        </w:rPr>
        <w:t>30. jūnij</w:t>
      </w:r>
      <w:r w:rsidR="0071079A">
        <w:rPr>
          <w:szCs w:val="28"/>
        </w:rPr>
        <w:t>a</w:t>
      </w:r>
    </w:p>
    <w:p w14:paraId="022F1C35" w14:textId="582D64BD" w:rsidR="00B33759" w:rsidRPr="00CD757F" w:rsidRDefault="00B33759" w:rsidP="00B33759">
      <w:pPr>
        <w:jc w:val="right"/>
      </w:pPr>
      <w:r w:rsidRPr="00CD757F">
        <w:t>noteikumiem Nr. </w:t>
      </w:r>
      <w:r w:rsidR="0071079A">
        <w:t>337</w:t>
      </w:r>
      <w:bookmarkStart w:id="2" w:name="_GoBack"/>
      <w:bookmarkEnd w:id="2"/>
    </w:p>
    <w:p w14:paraId="6C90C1AD" w14:textId="77777777" w:rsidR="00FE24FB" w:rsidRPr="00360155" w:rsidRDefault="00FE24FB" w:rsidP="00B33759">
      <w:pPr>
        <w:jc w:val="center"/>
        <w:rPr>
          <w:rFonts w:eastAsia="Times New Roman" w:cs="Times New Roman"/>
          <w:b/>
          <w:bCs/>
          <w:szCs w:val="28"/>
          <w:lang w:eastAsia="lv-LV"/>
        </w:rPr>
      </w:pPr>
    </w:p>
    <w:p w14:paraId="6C90C1AE" w14:textId="77777777" w:rsidR="00FE24FB" w:rsidRPr="00360155" w:rsidRDefault="00FE24FB" w:rsidP="00B33759">
      <w:pPr>
        <w:jc w:val="center"/>
        <w:rPr>
          <w:rFonts w:eastAsia="Times New Roman" w:cs="Times New Roman"/>
          <w:b/>
          <w:bCs/>
          <w:szCs w:val="28"/>
          <w:lang w:eastAsia="lv-LV"/>
        </w:rPr>
      </w:pPr>
      <w:r w:rsidRPr="00360155">
        <w:rPr>
          <w:rFonts w:eastAsia="Times New Roman" w:cs="Times New Roman"/>
          <w:b/>
          <w:bCs/>
          <w:szCs w:val="28"/>
          <w:lang w:eastAsia="lv-LV"/>
        </w:rPr>
        <w:t>Latvijas būvnormatīvs LBN 405-15 „Būvju tehniskā apsekošana”</w:t>
      </w:r>
    </w:p>
    <w:p w14:paraId="6C90C1B0" w14:textId="77777777" w:rsidR="00FE24FB" w:rsidRPr="00360155" w:rsidRDefault="00FE24FB" w:rsidP="00B33759">
      <w:pPr>
        <w:ind w:firstLine="300"/>
        <w:jc w:val="both"/>
        <w:rPr>
          <w:rFonts w:eastAsia="Times New Roman" w:cs="Times New Roman"/>
          <w:szCs w:val="28"/>
          <w:lang w:eastAsia="lv-LV"/>
        </w:rPr>
      </w:pPr>
      <w:bookmarkStart w:id="3" w:name="p-162783"/>
      <w:bookmarkEnd w:id="3"/>
      <w:r w:rsidRPr="00360155">
        <w:rPr>
          <w:rFonts w:eastAsia="Times New Roman" w:cs="Times New Roman"/>
          <w:szCs w:val="28"/>
          <w:lang w:eastAsia="lv-LV"/>
        </w:rPr>
        <w:tab/>
      </w:r>
    </w:p>
    <w:p w14:paraId="6C90C1B1"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1. Būvnormatīvs nosaka būvju tehniskās apsekošanas (turpmāk — apsekošana) darbu kārtību un saturu.</w:t>
      </w:r>
    </w:p>
    <w:p w14:paraId="6C90C1B2" w14:textId="77777777" w:rsidR="00FE24FB" w:rsidRPr="00360155" w:rsidRDefault="00FE24FB" w:rsidP="00B33759">
      <w:pPr>
        <w:ind w:firstLine="300"/>
        <w:jc w:val="both"/>
        <w:rPr>
          <w:rFonts w:eastAsia="Times New Roman" w:cs="Times New Roman"/>
          <w:szCs w:val="28"/>
          <w:lang w:eastAsia="lv-LV"/>
        </w:rPr>
      </w:pPr>
      <w:bookmarkStart w:id="4" w:name="p-155136"/>
      <w:bookmarkEnd w:id="4"/>
    </w:p>
    <w:p w14:paraId="6C90C1B3"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 xml:space="preserve">2. Apsekošanas mērķis ir noteikt būves atbilstību </w:t>
      </w:r>
      <w:hyperlink r:id="rId7" w:tgtFrame="_blank" w:history="1">
        <w:r w:rsidRPr="00360155">
          <w:rPr>
            <w:rFonts w:eastAsia="Times New Roman" w:cs="Times New Roman"/>
            <w:szCs w:val="28"/>
            <w:lang w:eastAsia="lv-LV"/>
          </w:rPr>
          <w:t>Būvniecības likuma</w:t>
        </w:r>
      </w:hyperlink>
      <w:r w:rsidRPr="00360155">
        <w:rPr>
          <w:rFonts w:eastAsia="Times New Roman" w:cs="Times New Roman"/>
          <w:szCs w:val="28"/>
          <w:lang w:eastAsia="lv-LV"/>
        </w:rPr>
        <w:t xml:space="preserve"> </w:t>
      </w:r>
      <w:hyperlink r:id="rId8" w:anchor="p9" w:tgtFrame="_blank" w:history="1">
        <w:r w:rsidRPr="00360155">
          <w:rPr>
            <w:rFonts w:eastAsia="Times New Roman" w:cs="Times New Roman"/>
            <w:szCs w:val="28"/>
            <w:lang w:eastAsia="lv-LV"/>
          </w:rPr>
          <w:t>9.panta</w:t>
        </w:r>
      </w:hyperlink>
      <w:r w:rsidRPr="00360155">
        <w:rPr>
          <w:rFonts w:eastAsia="Times New Roman" w:cs="Times New Roman"/>
          <w:szCs w:val="28"/>
          <w:lang w:eastAsia="lv-LV"/>
        </w:rPr>
        <w:t xml:space="preserve"> otrajā daļā minētajām būves būtiskajām prasībām. </w:t>
      </w:r>
    </w:p>
    <w:p w14:paraId="6C90C1B4" w14:textId="77777777" w:rsidR="00FE24FB" w:rsidRPr="00360155" w:rsidRDefault="00FE24FB" w:rsidP="00B33759">
      <w:pPr>
        <w:ind w:firstLine="300"/>
        <w:jc w:val="both"/>
        <w:rPr>
          <w:rFonts w:eastAsia="Times New Roman" w:cs="Times New Roman"/>
          <w:szCs w:val="28"/>
          <w:lang w:eastAsia="lv-LV"/>
        </w:rPr>
      </w:pPr>
    </w:p>
    <w:p w14:paraId="6C90C1B5" w14:textId="77777777" w:rsidR="00FE24FB" w:rsidRPr="00360155" w:rsidRDefault="00FE24FB" w:rsidP="00B33759">
      <w:pPr>
        <w:ind w:firstLine="720"/>
        <w:jc w:val="both"/>
        <w:rPr>
          <w:rFonts w:cs="Times New Roman"/>
          <w:szCs w:val="28"/>
        </w:rPr>
      </w:pPr>
      <w:r w:rsidRPr="00360155">
        <w:rPr>
          <w:rFonts w:eastAsia="Times New Roman" w:cs="Times New Roman"/>
          <w:szCs w:val="28"/>
          <w:lang w:eastAsia="lv-LV"/>
        </w:rPr>
        <w:t xml:space="preserve">3. Gadījumos, kad būves ekspluatācijas ietvaros jāveic periodiska būves apsekošana, apsekojumā jāvērtē būves mehāniskā stiprība un stabilitāte, būves lietošanas drošība, kā arī jau esošie ugunsdrošības risinājumi, </w:t>
      </w:r>
      <w:r w:rsidRPr="00360155">
        <w:rPr>
          <w:rFonts w:cs="Times New Roman"/>
          <w:szCs w:val="28"/>
        </w:rPr>
        <w:t>lai nodrošinātu būves saglabāšanu visā tās ekspluatācijas laikā un nepieļautu apdraudējuma iestāšanos.</w:t>
      </w:r>
    </w:p>
    <w:p w14:paraId="6C90C1B6" w14:textId="77777777" w:rsidR="00FE24FB" w:rsidRPr="00360155" w:rsidRDefault="00FE24FB" w:rsidP="00B33759">
      <w:pPr>
        <w:ind w:firstLine="720"/>
        <w:jc w:val="both"/>
        <w:rPr>
          <w:rFonts w:eastAsia="Times New Roman" w:cs="Times New Roman"/>
          <w:szCs w:val="28"/>
          <w:lang w:eastAsia="lv-LV"/>
        </w:rPr>
      </w:pPr>
    </w:p>
    <w:p w14:paraId="6C90C1B7"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4. Būvi apseko:</w:t>
      </w:r>
    </w:p>
    <w:p w14:paraId="6C90C1B8"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 xml:space="preserve">4.1. periodiski būves ekspluatācijas laikā atbilstoši tās lietošanas veidam saskaņā ar būvju tehnisko uzturēšanu regulējošiem normatīvajiem aktiem un standartiem; </w:t>
      </w:r>
    </w:p>
    <w:p w14:paraId="6C90C1B9"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 xml:space="preserve">4.2. </w:t>
      </w:r>
      <w:r w:rsidRPr="00360155">
        <w:rPr>
          <w:szCs w:val="28"/>
          <w:lang w:eastAsia="lv-LV"/>
        </w:rPr>
        <w:t>pirms būves atjaunošanas, pārbūves vai restaurācijas būvprojekta izstrādes, arī pirms būvprojekta minimālā sastāvā sagatavošanas vai p</w:t>
      </w:r>
      <w:r w:rsidRPr="00360155">
        <w:rPr>
          <w:rFonts w:eastAsia="Calibri"/>
          <w:szCs w:val="28"/>
        </w:rPr>
        <w:t>irms dokumentu izstrādes vienkāršotai ēkas fasādes atjaunošanai</w:t>
      </w:r>
      <w:r w:rsidRPr="00360155">
        <w:rPr>
          <w:szCs w:val="28"/>
          <w:lang w:eastAsia="lv-LV"/>
        </w:rPr>
        <w:t>, lai noteiktu būves bojājumu apjomu, kā arī atbilstību būves izmantošanas mērķim un spēkā esošajiem normatīvajiem aktiem;</w:t>
      </w:r>
      <w:r w:rsidRPr="00360155">
        <w:rPr>
          <w:rFonts w:eastAsia="Times New Roman" w:cs="Times New Roman"/>
          <w:szCs w:val="28"/>
          <w:lang w:eastAsia="lv-LV"/>
        </w:rPr>
        <w:tab/>
      </w:r>
    </w:p>
    <w:p w14:paraId="6C90C1BA"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4.3. pirms būvdarbu atsākšanas (pēc pārtraukuma);</w:t>
      </w:r>
    </w:p>
    <w:p w14:paraId="6C90C1BB"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4.4. citos gadījumos, ja jānosaka būves tehniskais stāvoklis.</w:t>
      </w:r>
    </w:p>
    <w:p w14:paraId="6C90C1BC" w14:textId="77777777" w:rsidR="00FE24FB" w:rsidRPr="00360155" w:rsidRDefault="00FE24FB" w:rsidP="00B33759">
      <w:pPr>
        <w:ind w:firstLine="300"/>
        <w:jc w:val="both"/>
        <w:rPr>
          <w:rFonts w:eastAsia="Times New Roman" w:cs="Times New Roman"/>
          <w:szCs w:val="28"/>
          <w:lang w:eastAsia="lv-LV"/>
        </w:rPr>
      </w:pPr>
      <w:bookmarkStart w:id="5" w:name="p-162786"/>
      <w:bookmarkStart w:id="6" w:name="p5"/>
      <w:bookmarkEnd w:id="5"/>
      <w:bookmarkEnd w:id="6"/>
    </w:p>
    <w:p w14:paraId="6C90C1BD" w14:textId="77777777" w:rsidR="00FE24FB" w:rsidRPr="00360155" w:rsidRDefault="00FE24FB" w:rsidP="00B33759">
      <w:pPr>
        <w:ind w:firstLine="720"/>
        <w:jc w:val="both"/>
        <w:rPr>
          <w:rFonts w:eastAsia="Times New Roman" w:cs="Times New Roman"/>
          <w:szCs w:val="28"/>
          <w:lang w:eastAsia="lv-LV"/>
        </w:rPr>
      </w:pPr>
      <w:bookmarkStart w:id="7" w:name="p226"/>
      <w:bookmarkStart w:id="8" w:name="p-529063"/>
      <w:bookmarkEnd w:id="7"/>
      <w:bookmarkEnd w:id="8"/>
      <w:r w:rsidRPr="00360155">
        <w:rPr>
          <w:rFonts w:eastAsia="Times New Roman" w:cs="Times New Roman"/>
          <w:szCs w:val="28"/>
          <w:lang w:eastAsia="lv-LV"/>
        </w:rPr>
        <w:t xml:space="preserve">5. Apsekojot būves, ievēro normatīvos aktus un piemērojamos standartus, </w:t>
      </w:r>
      <w:r w:rsidRPr="00360155">
        <w:rPr>
          <w:szCs w:val="28"/>
        </w:rPr>
        <w:t xml:space="preserve">kuru sarakstu interneta vietnē </w:t>
      </w:r>
      <w:r w:rsidRPr="00360155">
        <w:rPr>
          <w:rFonts w:eastAsia="Times New Roman" w:cs="Times New Roman"/>
          <w:szCs w:val="28"/>
          <w:lang w:eastAsia="lv-LV"/>
        </w:rPr>
        <w:t xml:space="preserve">www.lvs.lv </w:t>
      </w:r>
      <w:r w:rsidRPr="00360155">
        <w:rPr>
          <w:szCs w:val="28"/>
        </w:rPr>
        <w:t xml:space="preserve">ir publicējusi nacionālā standartizācijas institūcija. </w:t>
      </w:r>
    </w:p>
    <w:p w14:paraId="6C90C1BE" w14:textId="77777777" w:rsidR="00FE24FB" w:rsidRPr="00360155" w:rsidRDefault="00FE24FB" w:rsidP="00B33759">
      <w:pPr>
        <w:ind w:firstLine="300"/>
        <w:jc w:val="both"/>
        <w:rPr>
          <w:rFonts w:eastAsia="Times New Roman" w:cs="Times New Roman"/>
          <w:szCs w:val="28"/>
          <w:lang w:eastAsia="lv-LV"/>
        </w:rPr>
      </w:pPr>
    </w:p>
    <w:p w14:paraId="6C90C1BF"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 xml:space="preserve">6. Būves apseko </w:t>
      </w:r>
      <w:proofErr w:type="spellStart"/>
      <w:r w:rsidRPr="00360155">
        <w:rPr>
          <w:rFonts w:eastAsia="Times New Roman" w:cs="Times New Roman"/>
          <w:szCs w:val="28"/>
          <w:lang w:eastAsia="lv-LV"/>
        </w:rPr>
        <w:t>būvspeciālists</w:t>
      </w:r>
      <w:proofErr w:type="spellEnd"/>
      <w:r w:rsidRPr="00360155">
        <w:rPr>
          <w:rFonts w:eastAsia="Times New Roman" w:cs="Times New Roman"/>
          <w:szCs w:val="28"/>
          <w:lang w:eastAsia="lv-LV"/>
        </w:rPr>
        <w:t xml:space="preserve"> atbilstoši</w:t>
      </w:r>
      <w:r w:rsidRPr="00360155">
        <w:rPr>
          <w:szCs w:val="28"/>
        </w:rPr>
        <w:t xml:space="preserve"> </w:t>
      </w:r>
      <w:proofErr w:type="spellStart"/>
      <w:r w:rsidRPr="00360155">
        <w:rPr>
          <w:rFonts w:eastAsia="Times New Roman" w:cs="Times New Roman"/>
          <w:szCs w:val="28"/>
          <w:lang w:eastAsia="lv-LV"/>
        </w:rPr>
        <w:t>būvspeciālistu</w:t>
      </w:r>
      <w:proofErr w:type="spellEnd"/>
      <w:r w:rsidRPr="00360155">
        <w:rPr>
          <w:rFonts w:eastAsia="Times New Roman" w:cs="Times New Roman"/>
          <w:szCs w:val="28"/>
          <w:lang w:eastAsia="lv-LV"/>
        </w:rPr>
        <w:t xml:space="preserve"> kompetences novērtēšanas un patstāvīgās prakses uzraudzības normatīvajā aktā noteiktai attiecīgās sfēras </w:t>
      </w:r>
      <w:proofErr w:type="spellStart"/>
      <w:r w:rsidRPr="00360155">
        <w:rPr>
          <w:rFonts w:eastAsia="Times New Roman" w:cs="Times New Roman"/>
          <w:szCs w:val="28"/>
          <w:lang w:eastAsia="lv-LV"/>
        </w:rPr>
        <w:t>būvspeciālista</w:t>
      </w:r>
      <w:proofErr w:type="spellEnd"/>
      <w:r w:rsidRPr="00360155">
        <w:rPr>
          <w:rFonts w:eastAsia="Times New Roman" w:cs="Times New Roman"/>
          <w:szCs w:val="28"/>
          <w:lang w:eastAsia="lv-LV"/>
        </w:rPr>
        <w:t xml:space="preserve"> kompetencei vai </w:t>
      </w:r>
      <w:proofErr w:type="spellStart"/>
      <w:r w:rsidRPr="00360155">
        <w:rPr>
          <w:rFonts w:eastAsia="Times New Roman" w:cs="Times New Roman"/>
          <w:szCs w:val="28"/>
          <w:lang w:eastAsia="lv-LV"/>
        </w:rPr>
        <w:t>būvkomersantu</w:t>
      </w:r>
      <w:proofErr w:type="spellEnd"/>
      <w:r w:rsidRPr="00360155">
        <w:rPr>
          <w:rFonts w:eastAsia="Times New Roman" w:cs="Times New Roman"/>
          <w:szCs w:val="28"/>
          <w:lang w:eastAsia="lv-LV"/>
        </w:rPr>
        <w:t xml:space="preserve"> reģistrā reģistrēta juridiskā persona, kura nodarbina attiecīgu </w:t>
      </w:r>
      <w:proofErr w:type="spellStart"/>
      <w:r w:rsidRPr="00360155">
        <w:rPr>
          <w:rFonts w:eastAsia="Times New Roman" w:cs="Times New Roman"/>
          <w:szCs w:val="28"/>
          <w:lang w:eastAsia="lv-LV"/>
        </w:rPr>
        <w:t>būvspeciālistu</w:t>
      </w:r>
      <w:proofErr w:type="spellEnd"/>
      <w:r w:rsidRPr="00360155">
        <w:rPr>
          <w:rFonts w:eastAsia="Times New Roman" w:cs="Times New Roman"/>
          <w:szCs w:val="28"/>
          <w:lang w:eastAsia="lv-LV"/>
        </w:rPr>
        <w:t xml:space="preserve"> (turpmāk — apsekotājs). Apsekotājam ir pienākums kvalitatīvi veikt apsekošanu. </w:t>
      </w:r>
    </w:p>
    <w:p w14:paraId="6C90C1C0" w14:textId="77777777" w:rsidR="00FE24FB" w:rsidRPr="00360155" w:rsidRDefault="00FE24FB" w:rsidP="00B33759">
      <w:pPr>
        <w:ind w:firstLine="300"/>
        <w:jc w:val="both"/>
        <w:rPr>
          <w:rFonts w:eastAsia="Times New Roman" w:cs="Times New Roman"/>
          <w:szCs w:val="28"/>
          <w:lang w:eastAsia="lv-LV"/>
        </w:rPr>
      </w:pPr>
    </w:p>
    <w:p w14:paraId="6C90C1C1"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r>
    </w:p>
    <w:p w14:paraId="6C90C1C2"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lastRenderedPageBreak/>
        <w:t>7. Būves vizuālo apskati (turpmāk — apskate) var veikt būvinspektors, kontrolējot ekspluatācijā pieņemtas būves drošumu, kuras laikā fiksē un novērtē redzamos bojājumus un sagatavo atzinumu par būves pārbaudi, kā arī dzīvojamās mājas pārvaldītājs, veicot d</w:t>
      </w:r>
      <w:r w:rsidRPr="00360155">
        <w:rPr>
          <w:rFonts w:cs="Times New Roman"/>
          <w:szCs w:val="28"/>
        </w:rPr>
        <w:t xml:space="preserve">zīvojamās mājas, tajā esošo iekārtu un inženiertīklu tehniskā stāvokļa apsekošanu, kuru rezultātus fiksē dzīvojamās mājas apsekošanas reģistrācijas žurnālā. </w:t>
      </w:r>
      <w:r w:rsidRPr="00360155">
        <w:rPr>
          <w:rFonts w:eastAsia="Times New Roman" w:cs="Times New Roman"/>
          <w:szCs w:val="28"/>
          <w:lang w:eastAsia="lv-LV"/>
        </w:rPr>
        <w:t>Apskates rezultāti var būt pamats detalizētai būves, tās daļas vai iebūvēto būvizstrādājumu tehniskajai izpētei (turpmāk — izpēte).</w:t>
      </w:r>
    </w:p>
    <w:p w14:paraId="6C90C1C3" w14:textId="77777777" w:rsidR="00FE24FB" w:rsidRPr="00360155" w:rsidRDefault="00FE24FB" w:rsidP="00B33759">
      <w:pPr>
        <w:pStyle w:val="tv213"/>
        <w:shd w:val="clear" w:color="auto" w:fill="FFFFFF"/>
        <w:spacing w:before="0" w:beforeAutospacing="0" w:after="0" w:afterAutospacing="0"/>
        <w:ind w:firstLine="300"/>
        <w:jc w:val="both"/>
        <w:rPr>
          <w:rFonts w:ascii="Arial" w:hAnsi="Arial" w:cs="Arial"/>
          <w:sz w:val="20"/>
          <w:szCs w:val="20"/>
        </w:rPr>
      </w:pPr>
    </w:p>
    <w:p w14:paraId="6C90C1C4"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 xml:space="preserve">8. Apsekošanas pamats ir būves apskate, kuras laikā fiksē un novērtē redzamos būves bojājumus. </w:t>
      </w:r>
      <w:bookmarkStart w:id="9" w:name="p-162787"/>
      <w:bookmarkStart w:id="10" w:name="p7.1"/>
      <w:bookmarkStart w:id="11" w:name="p-162790"/>
      <w:bookmarkStart w:id="12" w:name="p7.2"/>
      <w:bookmarkEnd w:id="9"/>
      <w:bookmarkEnd w:id="10"/>
      <w:bookmarkEnd w:id="11"/>
      <w:bookmarkEnd w:id="12"/>
      <w:r w:rsidRPr="00360155">
        <w:rPr>
          <w:rFonts w:eastAsia="Times New Roman" w:cs="Times New Roman"/>
          <w:szCs w:val="28"/>
          <w:lang w:eastAsia="lv-LV"/>
        </w:rPr>
        <w:t>Apskates laikā veiktos fotofiksācijas materiālus pievieno tehniskās apsekošanas atzinumam (turpmāk — atzinums).</w:t>
      </w:r>
    </w:p>
    <w:p w14:paraId="6C90C1C5" w14:textId="77777777" w:rsidR="00FE24FB" w:rsidRPr="00360155" w:rsidRDefault="00FE24FB" w:rsidP="00B33759">
      <w:pPr>
        <w:ind w:firstLine="300"/>
        <w:jc w:val="both"/>
        <w:rPr>
          <w:rFonts w:eastAsia="Times New Roman" w:cs="Times New Roman"/>
          <w:szCs w:val="28"/>
          <w:lang w:eastAsia="lv-LV"/>
        </w:rPr>
      </w:pPr>
    </w:p>
    <w:p w14:paraId="6C90C1C6" w14:textId="77777777" w:rsidR="00FE24FB" w:rsidRPr="00360155" w:rsidRDefault="00FE24FB" w:rsidP="00B33759">
      <w:pPr>
        <w:ind w:firstLine="300"/>
        <w:jc w:val="both"/>
        <w:rPr>
          <w:rFonts w:eastAsia="Times New Roman" w:cs="Times New Roman"/>
          <w:szCs w:val="28"/>
          <w:lang w:eastAsia="lv-LV"/>
        </w:rPr>
      </w:pPr>
      <w:bookmarkStart w:id="13" w:name="p-155142"/>
      <w:bookmarkStart w:id="14" w:name="p8"/>
      <w:bookmarkEnd w:id="13"/>
      <w:bookmarkEnd w:id="14"/>
      <w:r w:rsidRPr="00360155">
        <w:rPr>
          <w:rFonts w:eastAsia="Times New Roman" w:cs="Times New Roman"/>
          <w:szCs w:val="28"/>
          <w:lang w:eastAsia="lv-LV"/>
        </w:rPr>
        <w:tab/>
        <w:t xml:space="preserve">9. Ja nepieciešams precizēt apstākļus, papildus veic būves </w:t>
      </w:r>
      <w:proofErr w:type="spellStart"/>
      <w:r w:rsidRPr="00360155">
        <w:rPr>
          <w:rFonts w:eastAsia="Times New Roman" w:cs="Times New Roman"/>
          <w:szCs w:val="28"/>
          <w:lang w:eastAsia="lv-LV"/>
        </w:rPr>
        <w:t>ģeotehnisko</w:t>
      </w:r>
      <w:proofErr w:type="spellEnd"/>
      <w:r w:rsidRPr="00360155">
        <w:rPr>
          <w:rFonts w:eastAsia="Times New Roman" w:cs="Times New Roman"/>
          <w:szCs w:val="28"/>
          <w:lang w:eastAsia="lv-LV"/>
        </w:rPr>
        <w:t xml:space="preserve"> un hidroģeoloģisko apsekošanu.</w:t>
      </w:r>
    </w:p>
    <w:p w14:paraId="6C90C1C7" w14:textId="77777777" w:rsidR="00FE24FB" w:rsidRPr="00360155" w:rsidRDefault="00FE24FB" w:rsidP="00B33759">
      <w:pPr>
        <w:ind w:firstLine="300"/>
        <w:jc w:val="both"/>
        <w:rPr>
          <w:rFonts w:eastAsia="Times New Roman" w:cs="Times New Roman"/>
          <w:szCs w:val="28"/>
          <w:lang w:eastAsia="lv-LV"/>
        </w:rPr>
      </w:pPr>
      <w:bookmarkStart w:id="15" w:name="p-155143"/>
      <w:bookmarkStart w:id="16" w:name="p9"/>
      <w:bookmarkEnd w:id="15"/>
      <w:bookmarkEnd w:id="16"/>
    </w:p>
    <w:p w14:paraId="6C90C1C8"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10. Apsekošanas nosacījumus, pasūtītāja un apsekotāja tiesības un pienākumus pasūtītājs un apsekotājs nosaka savstarpējā līgumā. Līguma neatņemama sastāvdaļa ir apsekošanas uzdevums.</w:t>
      </w:r>
    </w:p>
    <w:p w14:paraId="6C90C1C9" w14:textId="77777777" w:rsidR="00FE24FB" w:rsidRPr="00360155" w:rsidRDefault="00FE24FB" w:rsidP="00B33759">
      <w:pPr>
        <w:ind w:firstLine="300"/>
        <w:jc w:val="both"/>
        <w:rPr>
          <w:rFonts w:eastAsia="Times New Roman" w:cs="Times New Roman"/>
          <w:szCs w:val="28"/>
          <w:lang w:eastAsia="lv-LV"/>
        </w:rPr>
      </w:pPr>
      <w:bookmarkStart w:id="17" w:name="p-155144"/>
      <w:bookmarkStart w:id="18" w:name="p10"/>
      <w:bookmarkEnd w:id="17"/>
      <w:bookmarkEnd w:id="18"/>
    </w:p>
    <w:p w14:paraId="6C90C1CA"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 xml:space="preserve">11. Apsekošanas uzdevumu sastāda apsekotājs kopīgi ar </w:t>
      </w:r>
      <w:bookmarkStart w:id="19" w:name="p-155145"/>
      <w:bookmarkStart w:id="20" w:name="p11"/>
      <w:bookmarkEnd w:id="19"/>
      <w:bookmarkEnd w:id="20"/>
      <w:r w:rsidRPr="00360155">
        <w:rPr>
          <w:rFonts w:eastAsia="Times New Roman" w:cs="Times New Roman"/>
          <w:szCs w:val="28"/>
          <w:lang w:eastAsia="lv-LV"/>
        </w:rPr>
        <w:t>pasūtītāju.</w:t>
      </w:r>
    </w:p>
    <w:p w14:paraId="6C90C1CB"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r>
    </w:p>
    <w:p w14:paraId="6C90C1CC"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12. Apsekošanas uzdevumā norāda objektā veicamo apsekošanas darbu apjomu un, ja nepieciešams, to detalizācijas pakāpi, apsekošanas gaitā izstrādājamos teksta, grafiskos, fotofiksācijas un citus materiālus,</w:t>
      </w:r>
      <w:r w:rsidRPr="00360155">
        <w:rPr>
          <w:sz w:val="24"/>
          <w:szCs w:val="24"/>
        </w:rPr>
        <w:t xml:space="preserve"> </w:t>
      </w:r>
      <w:r w:rsidRPr="00360155">
        <w:rPr>
          <w:szCs w:val="28"/>
        </w:rPr>
        <w:t>kā arī, ja nepieciešams, norāda atzinumā sagatavot priekšlikumus par konstatēto nepilnību novēršanu.</w:t>
      </w:r>
    </w:p>
    <w:p w14:paraId="6C90C1CD" w14:textId="77777777" w:rsidR="00FE24FB" w:rsidRPr="00B33759" w:rsidRDefault="00FE24FB" w:rsidP="00B33759">
      <w:pPr>
        <w:ind w:firstLine="300"/>
        <w:jc w:val="both"/>
        <w:rPr>
          <w:rFonts w:eastAsia="Times New Roman" w:cs="Times New Roman"/>
          <w:sz w:val="16"/>
          <w:szCs w:val="16"/>
          <w:lang w:eastAsia="lv-LV"/>
        </w:rPr>
      </w:pPr>
      <w:r w:rsidRPr="00B33759">
        <w:rPr>
          <w:rFonts w:eastAsia="Times New Roman" w:cs="Times New Roman"/>
          <w:sz w:val="16"/>
          <w:szCs w:val="16"/>
          <w:lang w:eastAsia="lv-LV"/>
        </w:rPr>
        <w:tab/>
      </w:r>
    </w:p>
    <w:p w14:paraId="6C90C1CE"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13. Atkarībā no apsekošanas darbu apjoma un to detalizācijas pakāpes apsekošanas objekta vai apsekošanas priekšmeta specifikas izpētei lieto atbilstošas metodes:</w:t>
      </w:r>
    </w:p>
    <w:p w14:paraId="6C90C1CF"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 xml:space="preserve">13.1. veic ar apsekošanas objekta vai apsekošanas priekšmeta fiziskajām īpašībām saistītās darbības — veido atsegumus, </w:t>
      </w:r>
      <w:proofErr w:type="spellStart"/>
      <w:r w:rsidRPr="00360155">
        <w:rPr>
          <w:rFonts w:eastAsia="Times New Roman" w:cs="Times New Roman"/>
          <w:szCs w:val="28"/>
          <w:lang w:eastAsia="lv-LV"/>
        </w:rPr>
        <w:t>skatrakumus</w:t>
      </w:r>
      <w:proofErr w:type="spellEnd"/>
      <w:r w:rsidRPr="00360155">
        <w:rPr>
          <w:rFonts w:eastAsia="Times New Roman" w:cs="Times New Roman"/>
          <w:szCs w:val="28"/>
          <w:lang w:eastAsia="lv-LV"/>
        </w:rPr>
        <w:t xml:space="preserve"> vai urbumus, veic zondāžas, uzmērīšanu un fotofiksāciju, kā arī citas nepieciešamās darbības;</w:t>
      </w:r>
    </w:p>
    <w:p w14:paraId="6C90C1D0"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13.2. konstrukciju nestspējas noteikšanai izmanto kontroles mērinstrumentus, lieto speciālas materiālu nesagraujošās metodes un pārbauda materiālu stiprību laboratorijā;</w:t>
      </w:r>
    </w:p>
    <w:p w14:paraId="6C90C1D1"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 xml:space="preserve">13.3. konstrukciju ārdošo sēnīšu bioloģiskos bojājumus mūra un koka daļās nosaka, veicot paraugu </w:t>
      </w:r>
      <w:proofErr w:type="spellStart"/>
      <w:r w:rsidRPr="00360155">
        <w:rPr>
          <w:rFonts w:eastAsia="Times New Roman" w:cs="Times New Roman"/>
          <w:szCs w:val="28"/>
          <w:lang w:eastAsia="lv-LV"/>
        </w:rPr>
        <w:t>mikoloģisko</w:t>
      </w:r>
      <w:proofErr w:type="spellEnd"/>
      <w:r w:rsidRPr="00360155">
        <w:rPr>
          <w:rFonts w:eastAsia="Times New Roman" w:cs="Times New Roman"/>
          <w:szCs w:val="28"/>
          <w:lang w:eastAsia="lv-LV"/>
        </w:rPr>
        <w:t xml:space="preserve"> pārbaudi laboratorijā;</w:t>
      </w:r>
    </w:p>
    <w:p w14:paraId="6C90C1D2"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13.4. deformāciju novērtēšanai būves konstrukcijās veic plaisu attīstības dinamikas instrumentālos novērojumus (monitoringu);</w:t>
      </w:r>
    </w:p>
    <w:p w14:paraId="6C90C1D3"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13.5. konstrukciju detalizētai izpētei apseko segto konstrukciju defektus un bojājumus;</w:t>
      </w:r>
    </w:p>
    <w:p w14:paraId="6C90C1D4"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 xml:space="preserve">13.6. atsevišķas pārseguma zonas vai elementus pārbauda ar </w:t>
      </w:r>
      <w:proofErr w:type="spellStart"/>
      <w:r w:rsidRPr="00360155">
        <w:rPr>
          <w:rFonts w:eastAsia="Times New Roman" w:cs="Times New Roman"/>
          <w:szCs w:val="28"/>
          <w:lang w:eastAsia="lv-LV"/>
        </w:rPr>
        <w:t>kontrolslogošanu</w:t>
      </w:r>
      <w:proofErr w:type="spellEnd"/>
      <w:r w:rsidRPr="00360155">
        <w:rPr>
          <w:rFonts w:eastAsia="Times New Roman" w:cs="Times New Roman"/>
          <w:szCs w:val="28"/>
          <w:lang w:eastAsia="lv-LV"/>
        </w:rPr>
        <w:t>. Pārbaudes rezultātus apkopo pārskatā;</w:t>
      </w:r>
    </w:p>
    <w:p w14:paraId="6C90C1D5"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lastRenderedPageBreak/>
        <w:tab/>
        <w:t xml:space="preserve">13.7. apkures ierīcēm (krāsnīm, kamīniem, </w:t>
      </w:r>
      <w:proofErr w:type="spellStart"/>
      <w:r w:rsidRPr="00360155">
        <w:rPr>
          <w:rFonts w:eastAsia="Times New Roman" w:cs="Times New Roman"/>
          <w:szCs w:val="28"/>
          <w:lang w:eastAsia="lv-LV"/>
        </w:rPr>
        <w:t>sildmūriem</w:t>
      </w:r>
      <w:proofErr w:type="spellEnd"/>
      <w:r w:rsidRPr="00360155">
        <w:rPr>
          <w:rFonts w:eastAsia="Times New Roman" w:cs="Times New Roman"/>
          <w:szCs w:val="28"/>
          <w:lang w:eastAsia="lv-LV"/>
        </w:rPr>
        <w:t>, virtuves pavardiem un to sastāvdaļām) nosaka tehnisko nolietojumu un atbilstību normatīvajos aktos noteiktajām ugunsdrošības prasībām;</w:t>
      </w:r>
    </w:p>
    <w:p w14:paraId="6C90C1D6"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13.8. konstrukciju un materiālu ugunsizturības efektivitātes noteikšanai izmanto mērinstrumentus vai pārbauda materiālu paraugus laboratorijā;</w:t>
      </w:r>
    </w:p>
    <w:p w14:paraId="6C90C1D7" w14:textId="77777777" w:rsidR="00FE24FB" w:rsidRPr="00360155" w:rsidRDefault="00FE24FB" w:rsidP="00B33759">
      <w:pPr>
        <w:ind w:firstLine="284"/>
        <w:jc w:val="both"/>
        <w:rPr>
          <w:rFonts w:eastAsia="Times New Roman" w:cs="Times New Roman"/>
          <w:szCs w:val="28"/>
          <w:lang w:eastAsia="lv-LV"/>
        </w:rPr>
      </w:pPr>
      <w:r w:rsidRPr="00360155">
        <w:rPr>
          <w:rFonts w:eastAsia="Times New Roman" w:cs="Times New Roman"/>
          <w:szCs w:val="28"/>
          <w:lang w:eastAsia="lv-LV"/>
        </w:rPr>
        <w:tab/>
        <w:t xml:space="preserve">13.9. ņem vērā ekspluatācijas organizāciju informāciju un </w:t>
      </w:r>
      <w:proofErr w:type="spellStart"/>
      <w:r w:rsidRPr="00360155">
        <w:rPr>
          <w:rFonts w:eastAsia="Times New Roman" w:cs="Times New Roman"/>
          <w:szCs w:val="28"/>
          <w:lang w:eastAsia="lv-LV"/>
        </w:rPr>
        <w:t>izpildshēmas</w:t>
      </w:r>
      <w:proofErr w:type="spellEnd"/>
      <w:r w:rsidRPr="00360155">
        <w:rPr>
          <w:rFonts w:eastAsia="Times New Roman" w:cs="Times New Roman"/>
          <w:szCs w:val="28"/>
          <w:lang w:eastAsia="lv-LV"/>
        </w:rPr>
        <w:t xml:space="preserve">, kā arī inženiertīklu hidraulisko un </w:t>
      </w:r>
      <w:proofErr w:type="spellStart"/>
      <w:r w:rsidRPr="00360155">
        <w:rPr>
          <w:rFonts w:eastAsia="Times New Roman" w:cs="Times New Roman"/>
          <w:szCs w:val="28"/>
          <w:lang w:eastAsia="lv-LV"/>
        </w:rPr>
        <w:t>siltumtehnisko</w:t>
      </w:r>
      <w:proofErr w:type="spellEnd"/>
      <w:r w:rsidRPr="00360155">
        <w:rPr>
          <w:rFonts w:eastAsia="Times New Roman" w:cs="Times New Roman"/>
          <w:szCs w:val="28"/>
          <w:lang w:eastAsia="lv-LV"/>
        </w:rPr>
        <w:t xml:space="preserve"> pārbaužu materiālus.</w:t>
      </w:r>
    </w:p>
    <w:p w14:paraId="6C90C1D8" w14:textId="77777777" w:rsidR="00FE24FB" w:rsidRPr="00B33759" w:rsidRDefault="00FE24FB" w:rsidP="00B33759">
      <w:pPr>
        <w:ind w:firstLine="300"/>
        <w:jc w:val="both"/>
        <w:rPr>
          <w:rFonts w:eastAsia="Times New Roman" w:cs="Times New Roman"/>
          <w:sz w:val="16"/>
          <w:szCs w:val="16"/>
          <w:lang w:eastAsia="lv-LV"/>
        </w:rPr>
      </w:pPr>
      <w:bookmarkStart w:id="21" w:name="p-162793"/>
      <w:bookmarkStart w:id="22" w:name="p12.1"/>
      <w:bookmarkEnd w:id="21"/>
      <w:bookmarkEnd w:id="22"/>
    </w:p>
    <w:p w14:paraId="6C90C1D9"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14. Šī būvnormatīva 13.punktā norādītās metodes un to apjomu apsekotājs izvēlās patstāvīgi.</w:t>
      </w:r>
    </w:p>
    <w:p w14:paraId="6C90C1DA" w14:textId="77777777" w:rsidR="00FE24FB" w:rsidRPr="00B33759" w:rsidRDefault="00FE24FB" w:rsidP="00B33759">
      <w:pPr>
        <w:ind w:firstLine="300"/>
        <w:jc w:val="both"/>
        <w:rPr>
          <w:rFonts w:eastAsia="Times New Roman" w:cs="Times New Roman"/>
          <w:sz w:val="16"/>
          <w:szCs w:val="16"/>
          <w:lang w:eastAsia="lv-LV"/>
        </w:rPr>
      </w:pPr>
      <w:bookmarkStart w:id="23" w:name="p-155147"/>
      <w:bookmarkStart w:id="24" w:name="p13"/>
      <w:bookmarkEnd w:id="23"/>
      <w:bookmarkEnd w:id="24"/>
    </w:p>
    <w:p w14:paraId="6C90C1DB" w14:textId="77777777" w:rsidR="00FE24FB" w:rsidRPr="00360155" w:rsidRDefault="00FE24FB" w:rsidP="00B33759">
      <w:pPr>
        <w:pStyle w:val="tv2131"/>
        <w:spacing w:line="240" w:lineRule="auto"/>
        <w:ind w:firstLine="720"/>
        <w:jc w:val="both"/>
        <w:rPr>
          <w:color w:val="auto"/>
          <w:szCs w:val="28"/>
        </w:rPr>
      </w:pPr>
      <w:bookmarkStart w:id="25" w:name="p-162801"/>
      <w:bookmarkStart w:id="26" w:name="p14"/>
      <w:bookmarkEnd w:id="25"/>
      <w:bookmarkEnd w:id="26"/>
      <w:r w:rsidRPr="00360155">
        <w:rPr>
          <w:color w:val="auto"/>
          <w:sz w:val="28"/>
          <w:szCs w:val="28"/>
        </w:rPr>
        <w:t xml:space="preserve">15. Gāzes apgādes sistēmu, elektroapgādes sistēmu, ugunsdzēsības sistēmu, gaisa virsspiediena un dūmu izvades sistēmu, iezemējuma un zibensaizsardzības ietaišu, vājstrāvas ietaišu un liftu tehnisko izpēti veic specializētie dienesti atbilstoši savai kompetencei. </w:t>
      </w:r>
    </w:p>
    <w:p w14:paraId="6C90C1DC" w14:textId="77777777" w:rsidR="00FE24FB" w:rsidRPr="00B33759" w:rsidRDefault="00FE24FB" w:rsidP="00B33759">
      <w:pPr>
        <w:ind w:firstLine="300"/>
        <w:jc w:val="both"/>
        <w:rPr>
          <w:rFonts w:eastAsia="Times New Roman" w:cs="Times New Roman"/>
          <w:sz w:val="16"/>
          <w:szCs w:val="16"/>
          <w:lang w:eastAsia="lv-LV"/>
        </w:rPr>
      </w:pPr>
    </w:p>
    <w:p w14:paraId="6C90C1DD"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 xml:space="preserve">16. Lai veiktu detalizētu izpēti valsts aizsargājamos kultūras pieminekļos, atsegumu, zondāžas, </w:t>
      </w:r>
      <w:proofErr w:type="spellStart"/>
      <w:r w:rsidRPr="00360155">
        <w:rPr>
          <w:rFonts w:eastAsia="Times New Roman" w:cs="Times New Roman"/>
          <w:szCs w:val="28"/>
          <w:lang w:eastAsia="lv-LV"/>
        </w:rPr>
        <w:t>skatrakumu</w:t>
      </w:r>
      <w:proofErr w:type="spellEnd"/>
      <w:r w:rsidRPr="00360155">
        <w:rPr>
          <w:rFonts w:eastAsia="Times New Roman" w:cs="Times New Roman"/>
          <w:szCs w:val="28"/>
          <w:lang w:eastAsia="lv-LV"/>
        </w:rPr>
        <w:t xml:space="preserve"> vai urbumu izdarīšanai nepieciešama Valsts kultūras pieminekļu aizsardzības inspekcijas rakstveida atļauja. Ja būves apsekošanas gaitā atklājas arhitektūras detaļas ar māksliniecisku vērtību, apsekotāja un pasūtītāja pienākums ir ziņot par to Valsts kultūras pieminekļu aizsardzības inspekcijai.</w:t>
      </w:r>
    </w:p>
    <w:p w14:paraId="6C90C1DE" w14:textId="77777777" w:rsidR="00FE24FB" w:rsidRPr="00B33759" w:rsidRDefault="00FE24FB" w:rsidP="00B33759">
      <w:pPr>
        <w:ind w:firstLine="300"/>
        <w:jc w:val="both"/>
        <w:rPr>
          <w:rFonts w:eastAsia="Times New Roman" w:cs="Times New Roman"/>
          <w:sz w:val="16"/>
          <w:szCs w:val="16"/>
          <w:lang w:eastAsia="lv-LV"/>
        </w:rPr>
      </w:pPr>
      <w:bookmarkStart w:id="27" w:name="p-162796"/>
      <w:bookmarkStart w:id="28" w:name="p15"/>
      <w:bookmarkEnd w:id="27"/>
      <w:bookmarkEnd w:id="28"/>
    </w:p>
    <w:p w14:paraId="6C90C1DF"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 xml:space="preserve">17. Apsekošanas rezultātus apsekotājs apkopo atzinumā, kura saturs noteikts šī būvnormatīva pielikumā. </w:t>
      </w:r>
    </w:p>
    <w:p w14:paraId="6C90C1E0" w14:textId="77777777" w:rsidR="00FE24FB" w:rsidRPr="00360155" w:rsidRDefault="00FE24FB" w:rsidP="00B33759">
      <w:pPr>
        <w:ind w:firstLine="300"/>
        <w:jc w:val="both"/>
        <w:rPr>
          <w:rFonts w:eastAsia="Times New Roman" w:cs="Times New Roman"/>
          <w:szCs w:val="28"/>
          <w:lang w:eastAsia="lv-LV"/>
        </w:rPr>
      </w:pPr>
    </w:p>
    <w:p w14:paraId="6C90C1E1" w14:textId="77777777" w:rsidR="00FE24FB" w:rsidRPr="00360155" w:rsidRDefault="00FE24FB" w:rsidP="00B33759">
      <w:pPr>
        <w:ind w:firstLine="720"/>
        <w:jc w:val="both"/>
        <w:rPr>
          <w:rFonts w:eastAsia="Times New Roman" w:cs="Times New Roman"/>
          <w:szCs w:val="28"/>
          <w:lang w:eastAsia="lv-LV"/>
        </w:rPr>
      </w:pPr>
      <w:r w:rsidRPr="00360155">
        <w:rPr>
          <w:rFonts w:eastAsia="Times New Roman" w:cs="Times New Roman"/>
          <w:szCs w:val="28"/>
          <w:lang w:eastAsia="lv-LV"/>
        </w:rPr>
        <w:t>18. Ņemot vērā apsekošanas uzdevumā noteikto apsekošanas objekta vai apsekošanas priekšmeta specifiku un veikto izpēti, aizpilda tikai atbilstošās atzinuma sadaļas vai papildina esošās sadaļas. Atbilstoši apsekošanas uzdevumam atzinumam pievieno šādus apsekošanas gaitā izstrādātos materiālus:</w:t>
      </w:r>
    </w:p>
    <w:p w14:paraId="6C90C1E2"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18.1. konstrukciju apsekošanas kartogrammas (novietne, stāvu plāni, griezumi, fasādes);</w:t>
      </w:r>
    </w:p>
    <w:p w14:paraId="6C90C1E3"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18.2. uzmērījumu skices, atsevišķu būves daļu, būvizstrādājumu vai elementu (grunts, būvkonstrukcijas, inženierkomunikācijas, apdare) detalizētus apsekošanas zīmējumus;</w:t>
      </w:r>
    </w:p>
    <w:p w14:paraId="6C90C1E4"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18.3. fotoattēlus ar aprakstiem un komentāriem (būve, tās fragmenti, detaļas un raksturīgākie bojājumi, atsegumu detaļas);</w:t>
      </w:r>
    </w:p>
    <w:p w14:paraId="6C90C1E5"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18.4. specializēto dienestu sastādītos aktus un citus dokumentus (monitoringa rezultātus, laboratorijas analīzes, ekspertu atzinumus).</w:t>
      </w:r>
    </w:p>
    <w:p w14:paraId="6C90C1E6" w14:textId="77777777" w:rsidR="00FE24FB" w:rsidRPr="00B33759" w:rsidRDefault="00FE24FB" w:rsidP="00B33759">
      <w:pPr>
        <w:ind w:firstLine="300"/>
        <w:jc w:val="both"/>
        <w:rPr>
          <w:rFonts w:eastAsia="Times New Roman" w:cs="Times New Roman"/>
          <w:sz w:val="16"/>
          <w:szCs w:val="16"/>
          <w:lang w:eastAsia="lv-LV"/>
        </w:rPr>
      </w:pPr>
      <w:bookmarkStart w:id="29" w:name="p-155150"/>
      <w:bookmarkStart w:id="30" w:name="p16"/>
      <w:bookmarkEnd w:id="29"/>
      <w:bookmarkEnd w:id="30"/>
    </w:p>
    <w:p w14:paraId="6C90C1E7" w14:textId="77777777" w:rsidR="00FE24FB" w:rsidRPr="00360155" w:rsidRDefault="00FE24FB" w:rsidP="00B33759">
      <w:pPr>
        <w:ind w:firstLine="300"/>
        <w:jc w:val="both"/>
        <w:rPr>
          <w:rFonts w:eastAsia="Times New Roman" w:cs="Times New Roman"/>
          <w:szCs w:val="28"/>
          <w:lang w:eastAsia="lv-LV"/>
        </w:rPr>
      </w:pPr>
      <w:r w:rsidRPr="00360155">
        <w:rPr>
          <w:rFonts w:eastAsia="Times New Roman" w:cs="Times New Roman"/>
          <w:szCs w:val="28"/>
          <w:lang w:eastAsia="lv-LV"/>
        </w:rPr>
        <w:tab/>
        <w:t>19. Atzinumu noformē atbilstoši šī būvnormatīva 12.punktā minētajam apsekošanas uzdevumam.</w:t>
      </w:r>
    </w:p>
    <w:p w14:paraId="6C90C1EA" w14:textId="77777777" w:rsidR="00FE24FB" w:rsidRDefault="00FE24FB" w:rsidP="00B33759">
      <w:pPr>
        <w:tabs>
          <w:tab w:val="right" w:pos="9072"/>
        </w:tabs>
        <w:ind w:firstLine="720"/>
        <w:rPr>
          <w:rFonts w:cs="Times New Roman"/>
          <w:szCs w:val="28"/>
        </w:rPr>
      </w:pPr>
    </w:p>
    <w:p w14:paraId="50A95158" w14:textId="77777777" w:rsidR="00B33759" w:rsidRPr="00360155" w:rsidRDefault="00B33759" w:rsidP="00B33759">
      <w:pPr>
        <w:tabs>
          <w:tab w:val="right" w:pos="9072"/>
        </w:tabs>
        <w:ind w:firstLine="720"/>
        <w:rPr>
          <w:rFonts w:cs="Times New Roman"/>
          <w:szCs w:val="28"/>
        </w:rPr>
      </w:pPr>
    </w:p>
    <w:p w14:paraId="6C90C210" w14:textId="03A7E49D" w:rsidR="00FE24FB" w:rsidRDefault="006A5C8C" w:rsidP="00B33759">
      <w:pPr>
        <w:ind w:firstLine="709"/>
        <w:rPr>
          <w:rFonts w:cs="Times New Roman"/>
          <w:szCs w:val="28"/>
        </w:rPr>
      </w:pPr>
      <w:r>
        <w:rPr>
          <w:rFonts w:cs="Times New Roman"/>
          <w:szCs w:val="28"/>
        </w:rPr>
        <w:t xml:space="preserve">Ekonomikas ministra vietā – </w:t>
      </w:r>
    </w:p>
    <w:p w14:paraId="6C90C211" w14:textId="0AA26F8B" w:rsidR="003A58A6" w:rsidRPr="00360155" w:rsidRDefault="006A5C8C" w:rsidP="00B33759">
      <w:pPr>
        <w:ind w:firstLine="709"/>
      </w:pPr>
      <w:r>
        <w:rPr>
          <w:rFonts w:cs="Times New Roman"/>
          <w:szCs w:val="28"/>
        </w:rPr>
        <w:t>veselības ministrs</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Guntis Belēvičs</w:t>
      </w:r>
    </w:p>
    <w:sectPr w:rsidR="003A58A6" w:rsidRPr="00360155" w:rsidSect="00A84D20">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C214" w14:textId="77777777" w:rsidR="00C93C00" w:rsidRDefault="00C93C00" w:rsidP="00360155">
      <w:r>
        <w:separator/>
      </w:r>
    </w:p>
  </w:endnote>
  <w:endnote w:type="continuationSeparator" w:id="0">
    <w:p w14:paraId="6C90C215" w14:textId="77777777" w:rsidR="00C93C00" w:rsidRDefault="00C93C00" w:rsidP="0036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F9DE" w14:textId="77777777" w:rsidR="00D65A68" w:rsidRPr="00B33759" w:rsidRDefault="00D65A68" w:rsidP="00D65A68">
    <w:pPr>
      <w:pStyle w:val="Footer"/>
      <w:tabs>
        <w:tab w:val="clear" w:pos="8306"/>
        <w:tab w:val="right" w:pos="9072"/>
      </w:tabs>
      <w:jc w:val="both"/>
      <w:rPr>
        <w:sz w:val="16"/>
        <w:szCs w:val="16"/>
      </w:rPr>
    </w:pPr>
    <w:r w:rsidRPr="00B33759">
      <w:rPr>
        <w:sz w:val="16"/>
        <w:szCs w:val="16"/>
      </w:rPr>
      <w:t>N13</w:t>
    </w:r>
    <w:r>
      <w:rPr>
        <w:sz w:val="16"/>
        <w:szCs w:val="16"/>
      </w:rPr>
      <w:t>2</w:t>
    </w:r>
    <w:r w:rsidRPr="00B33759">
      <w:rPr>
        <w:sz w:val="16"/>
        <w:szCs w:val="16"/>
      </w:rPr>
      <w:t>2_5p_EM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C219" w14:textId="657412F7" w:rsidR="00391B30" w:rsidRPr="00B33759" w:rsidRDefault="00B33759" w:rsidP="00391B30">
    <w:pPr>
      <w:pStyle w:val="Footer"/>
      <w:tabs>
        <w:tab w:val="clear" w:pos="8306"/>
        <w:tab w:val="right" w:pos="9072"/>
      </w:tabs>
      <w:jc w:val="both"/>
      <w:rPr>
        <w:sz w:val="16"/>
        <w:szCs w:val="16"/>
      </w:rPr>
    </w:pPr>
    <w:r w:rsidRPr="00B33759">
      <w:rPr>
        <w:sz w:val="16"/>
        <w:szCs w:val="16"/>
      </w:rPr>
      <w:t>N13</w:t>
    </w:r>
    <w:r w:rsidR="00D65A68">
      <w:rPr>
        <w:sz w:val="16"/>
        <w:szCs w:val="16"/>
      </w:rPr>
      <w:t>2</w:t>
    </w:r>
    <w:r w:rsidRPr="00B33759">
      <w:rPr>
        <w:sz w:val="16"/>
        <w:szCs w:val="16"/>
      </w:rPr>
      <w:t>2_5p_EM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C212" w14:textId="77777777" w:rsidR="00C93C00" w:rsidRDefault="00C93C00" w:rsidP="00360155">
      <w:r>
        <w:separator/>
      </w:r>
    </w:p>
  </w:footnote>
  <w:footnote w:type="continuationSeparator" w:id="0">
    <w:p w14:paraId="6C90C213" w14:textId="77777777" w:rsidR="00C93C00" w:rsidRDefault="00C93C00" w:rsidP="0036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68028"/>
      <w:docPartObj>
        <w:docPartGallery w:val="Page Numbers (Top of Page)"/>
        <w:docPartUnique/>
      </w:docPartObj>
    </w:sdtPr>
    <w:sdtEndPr>
      <w:rPr>
        <w:noProof/>
        <w:sz w:val="20"/>
        <w:szCs w:val="20"/>
      </w:rPr>
    </w:sdtEndPr>
    <w:sdtContent>
      <w:p w14:paraId="6C90C216" w14:textId="77777777" w:rsidR="00A84D20" w:rsidRPr="00A84D20" w:rsidRDefault="00A538FA">
        <w:pPr>
          <w:pStyle w:val="Header"/>
          <w:jc w:val="center"/>
          <w:rPr>
            <w:sz w:val="20"/>
            <w:szCs w:val="20"/>
          </w:rPr>
        </w:pPr>
        <w:r w:rsidRPr="00A84D20">
          <w:rPr>
            <w:sz w:val="20"/>
            <w:szCs w:val="20"/>
          </w:rPr>
          <w:fldChar w:fldCharType="begin"/>
        </w:r>
        <w:r w:rsidRPr="00A84D20">
          <w:rPr>
            <w:sz w:val="20"/>
            <w:szCs w:val="20"/>
          </w:rPr>
          <w:instrText xml:space="preserve"> PAGE   \* MERGEFORMAT </w:instrText>
        </w:r>
        <w:r w:rsidRPr="00A84D20">
          <w:rPr>
            <w:sz w:val="20"/>
            <w:szCs w:val="20"/>
          </w:rPr>
          <w:fldChar w:fldCharType="separate"/>
        </w:r>
        <w:r w:rsidR="0071079A">
          <w:rPr>
            <w:noProof/>
            <w:sz w:val="20"/>
            <w:szCs w:val="20"/>
          </w:rPr>
          <w:t>3</w:t>
        </w:r>
        <w:r w:rsidRPr="00A84D20">
          <w:rPr>
            <w:noProof/>
            <w:sz w:val="20"/>
            <w:szCs w:val="20"/>
          </w:rPr>
          <w:fldChar w:fldCharType="end"/>
        </w:r>
      </w:p>
    </w:sdtContent>
  </w:sdt>
  <w:p w14:paraId="6C90C217" w14:textId="77777777" w:rsidR="00A84D20" w:rsidRDefault="00364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FB"/>
    <w:rsid w:val="00360155"/>
    <w:rsid w:val="003A58A6"/>
    <w:rsid w:val="006A5C8C"/>
    <w:rsid w:val="0071079A"/>
    <w:rsid w:val="00901E4F"/>
    <w:rsid w:val="00964083"/>
    <w:rsid w:val="00A538FA"/>
    <w:rsid w:val="00B33759"/>
    <w:rsid w:val="00C93C00"/>
    <w:rsid w:val="00D65A68"/>
    <w:rsid w:val="00FD5656"/>
    <w:rsid w:val="00FE2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FB"/>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FB"/>
    <w:pPr>
      <w:tabs>
        <w:tab w:val="center" w:pos="4153"/>
        <w:tab w:val="right" w:pos="8306"/>
      </w:tabs>
    </w:pPr>
  </w:style>
  <w:style w:type="character" w:customStyle="1" w:styleId="HeaderChar">
    <w:name w:val="Header Char"/>
    <w:basedOn w:val="DefaultParagraphFont"/>
    <w:link w:val="Header"/>
    <w:uiPriority w:val="99"/>
    <w:rsid w:val="00FE24FB"/>
    <w:rPr>
      <w:rFonts w:ascii="Times New Roman" w:hAnsi="Times New Roman"/>
      <w:sz w:val="28"/>
    </w:rPr>
  </w:style>
  <w:style w:type="paragraph" w:styleId="Footer">
    <w:name w:val="footer"/>
    <w:basedOn w:val="Normal"/>
    <w:link w:val="FooterChar"/>
    <w:uiPriority w:val="99"/>
    <w:unhideWhenUsed/>
    <w:rsid w:val="00FE24FB"/>
    <w:pPr>
      <w:tabs>
        <w:tab w:val="center" w:pos="4153"/>
        <w:tab w:val="right" w:pos="8306"/>
      </w:tabs>
    </w:pPr>
  </w:style>
  <w:style w:type="character" w:customStyle="1" w:styleId="FooterChar">
    <w:name w:val="Footer Char"/>
    <w:basedOn w:val="DefaultParagraphFont"/>
    <w:link w:val="Footer"/>
    <w:uiPriority w:val="99"/>
    <w:rsid w:val="00FE24FB"/>
    <w:rPr>
      <w:rFonts w:ascii="Times New Roman" w:hAnsi="Times New Roman"/>
      <w:sz w:val="28"/>
    </w:rPr>
  </w:style>
  <w:style w:type="character" w:styleId="Hyperlink">
    <w:name w:val="Hyperlink"/>
    <w:basedOn w:val="DefaultParagraphFont"/>
    <w:uiPriority w:val="99"/>
    <w:unhideWhenUsed/>
    <w:rsid w:val="00FE24FB"/>
    <w:rPr>
      <w:color w:val="0000FF"/>
      <w:u w:val="single"/>
    </w:rPr>
  </w:style>
  <w:style w:type="paragraph" w:customStyle="1" w:styleId="tv2131">
    <w:name w:val="tv2131"/>
    <w:basedOn w:val="Normal"/>
    <w:rsid w:val="00FE24FB"/>
    <w:pPr>
      <w:spacing w:line="360" w:lineRule="auto"/>
      <w:ind w:firstLine="300"/>
    </w:pPr>
    <w:rPr>
      <w:rFonts w:eastAsia="Times New Roman" w:cs="Times New Roman"/>
      <w:color w:val="414142"/>
      <w:sz w:val="20"/>
      <w:szCs w:val="20"/>
      <w:lang w:eastAsia="lv-LV"/>
    </w:rPr>
  </w:style>
  <w:style w:type="paragraph" w:customStyle="1" w:styleId="tv213">
    <w:name w:val="tv213"/>
    <w:basedOn w:val="Normal"/>
    <w:rsid w:val="00FE24FB"/>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FD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FB"/>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FB"/>
    <w:pPr>
      <w:tabs>
        <w:tab w:val="center" w:pos="4153"/>
        <w:tab w:val="right" w:pos="8306"/>
      </w:tabs>
    </w:pPr>
  </w:style>
  <w:style w:type="character" w:customStyle="1" w:styleId="HeaderChar">
    <w:name w:val="Header Char"/>
    <w:basedOn w:val="DefaultParagraphFont"/>
    <w:link w:val="Header"/>
    <w:uiPriority w:val="99"/>
    <w:rsid w:val="00FE24FB"/>
    <w:rPr>
      <w:rFonts w:ascii="Times New Roman" w:hAnsi="Times New Roman"/>
      <w:sz w:val="28"/>
    </w:rPr>
  </w:style>
  <w:style w:type="paragraph" w:styleId="Footer">
    <w:name w:val="footer"/>
    <w:basedOn w:val="Normal"/>
    <w:link w:val="FooterChar"/>
    <w:uiPriority w:val="99"/>
    <w:unhideWhenUsed/>
    <w:rsid w:val="00FE24FB"/>
    <w:pPr>
      <w:tabs>
        <w:tab w:val="center" w:pos="4153"/>
        <w:tab w:val="right" w:pos="8306"/>
      </w:tabs>
    </w:pPr>
  </w:style>
  <w:style w:type="character" w:customStyle="1" w:styleId="FooterChar">
    <w:name w:val="Footer Char"/>
    <w:basedOn w:val="DefaultParagraphFont"/>
    <w:link w:val="Footer"/>
    <w:uiPriority w:val="99"/>
    <w:rsid w:val="00FE24FB"/>
    <w:rPr>
      <w:rFonts w:ascii="Times New Roman" w:hAnsi="Times New Roman"/>
      <w:sz w:val="28"/>
    </w:rPr>
  </w:style>
  <w:style w:type="character" w:styleId="Hyperlink">
    <w:name w:val="Hyperlink"/>
    <w:basedOn w:val="DefaultParagraphFont"/>
    <w:uiPriority w:val="99"/>
    <w:unhideWhenUsed/>
    <w:rsid w:val="00FE24FB"/>
    <w:rPr>
      <w:color w:val="0000FF"/>
      <w:u w:val="single"/>
    </w:rPr>
  </w:style>
  <w:style w:type="paragraph" w:customStyle="1" w:styleId="tv2131">
    <w:name w:val="tv2131"/>
    <w:basedOn w:val="Normal"/>
    <w:rsid w:val="00FE24FB"/>
    <w:pPr>
      <w:spacing w:line="360" w:lineRule="auto"/>
      <w:ind w:firstLine="300"/>
    </w:pPr>
    <w:rPr>
      <w:rFonts w:eastAsia="Times New Roman" w:cs="Times New Roman"/>
      <w:color w:val="414142"/>
      <w:sz w:val="20"/>
      <w:szCs w:val="20"/>
      <w:lang w:eastAsia="lv-LV"/>
    </w:rPr>
  </w:style>
  <w:style w:type="paragraph" w:customStyle="1" w:styleId="tv213">
    <w:name w:val="tv213"/>
    <w:basedOn w:val="Normal"/>
    <w:rsid w:val="00FE24FB"/>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FD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58572-buvniec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likumi.lv/ta/id/258572-buvniecibas-liku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4354</Words>
  <Characters>2483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Leontīne Babkina</cp:lastModifiedBy>
  <cp:revision>10</cp:revision>
  <cp:lastPrinted>2015-06-29T05:28:00Z</cp:lastPrinted>
  <dcterms:created xsi:type="dcterms:W3CDTF">2015-06-25T08:56:00Z</dcterms:created>
  <dcterms:modified xsi:type="dcterms:W3CDTF">2015-06-30T11:52:00Z</dcterms:modified>
</cp:coreProperties>
</file>