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18CBE" w14:textId="2B014B1D" w:rsidR="008C1A04" w:rsidRPr="00D3540C" w:rsidRDefault="00D3540C" w:rsidP="004310EB">
      <w:pPr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D3540C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2FC4C689" w14:textId="77777777" w:rsidR="00D3540C" w:rsidRDefault="00D3540C" w:rsidP="004310E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A218CBF" w14:textId="2B10DA0C" w:rsidR="002B628E" w:rsidRPr="002B628E" w:rsidRDefault="002B628E" w:rsidP="004310E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6</w:t>
      </w:r>
      <w:r w:rsidRPr="002B628E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4310E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2B628E">
        <w:rPr>
          <w:rFonts w:eastAsia="Times New Roman" w:cs="Times New Roman"/>
          <w:color w:val="000000" w:themeColor="text1"/>
          <w:szCs w:val="28"/>
          <w:lang w:eastAsia="lv-LV"/>
        </w:rPr>
        <w:t>pielikums</w:t>
      </w:r>
    </w:p>
    <w:p w14:paraId="3A218CC0" w14:textId="77777777" w:rsidR="002B628E" w:rsidRPr="002B628E" w:rsidRDefault="002B628E" w:rsidP="004310E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2B628E">
        <w:rPr>
          <w:rFonts w:eastAsia="Times New Roman" w:cs="Times New Roman"/>
          <w:color w:val="000000" w:themeColor="text1"/>
          <w:szCs w:val="28"/>
          <w:lang w:eastAsia="lv-LV"/>
        </w:rPr>
        <w:t>Latvijas būvnormatīvam LBN 208-15</w:t>
      </w:r>
    </w:p>
    <w:p w14:paraId="3A218CC1" w14:textId="5B428C94" w:rsidR="002B628E" w:rsidRPr="002B628E" w:rsidRDefault="004310EB" w:rsidP="004310E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2B628E" w:rsidRPr="002B628E">
        <w:rPr>
          <w:rFonts w:eastAsia="Times New Roman" w:cs="Times New Roman"/>
          <w:color w:val="000000" w:themeColor="text1"/>
          <w:szCs w:val="28"/>
          <w:lang w:eastAsia="lv-LV"/>
        </w:rPr>
        <w:t>Publiskas būves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</w:p>
    <w:p w14:paraId="3A218CC2" w14:textId="694C06E5" w:rsidR="002B628E" w:rsidRPr="002B628E" w:rsidRDefault="002B628E" w:rsidP="004310E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proofErr w:type="gramStart"/>
      <w:r w:rsidRPr="002B628E">
        <w:rPr>
          <w:rFonts w:eastAsia="Times New Roman" w:cs="Times New Roman"/>
          <w:color w:val="000000" w:themeColor="text1"/>
          <w:szCs w:val="28"/>
          <w:lang w:eastAsia="lv-LV"/>
        </w:rPr>
        <w:t>(</w:t>
      </w:r>
      <w:proofErr w:type="gramEnd"/>
      <w:r w:rsidR="004310EB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Pr="002B628E">
        <w:rPr>
          <w:rFonts w:eastAsia="Times New Roman" w:cs="Times New Roman"/>
          <w:color w:val="000000" w:themeColor="text1"/>
          <w:szCs w:val="28"/>
          <w:lang w:eastAsia="lv-LV"/>
        </w:rPr>
        <w:t>pstiprināts ar Ministru kabineta</w:t>
      </w:r>
    </w:p>
    <w:p w14:paraId="4B81372C" w14:textId="1764670F" w:rsidR="004310EB" w:rsidRPr="00CD757F" w:rsidRDefault="004310EB" w:rsidP="004310EB">
      <w:pPr>
        <w:jc w:val="right"/>
      </w:pPr>
      <w:r w:rsidRPr="00CD757F">
        <w:t>2015. gada  </w:t>
      </w:r>
      <w:r w:rsidR="00401507">
        <w:rPr>
          <w:szCs w:val="28"/>
        </w:rPr>
        <w:t>30. jūnij</w:t>
      </w:r>
      <w:r w:rsidR="00401507">
        <w:rPr>
          <w:szCs w:val="28"/>
        </w:rPr>
        <w:t>a</w:t>
      </w:r>
    </w:p>
    <w:p w14:paraId="372E6794" w14:textId="59A94168" w:rsidR="004310EB" w:rsidRPr="00CD757F" w:rsidRDefault="004310EB" w:rsidP="004310EB">
      <w:pPr>
        <w:jc w:val="right"/>
      </w:pPr>
      <w:r w:rsidRPr="00CD757F">
        <w:t>noteikumiem Nr. </w:t>
      </w:r>
      <w:r w:rsidR="00401507">
        <w:t>331</w:t>
      </w:r>
      <w:bookmarkStart w:id="0" w:name="_GoBack"/>
      <w:bookmarkEnd w:id="0"/>
      <w:r>
        <w:t>)</w:t>
      </w:r>
    </w:p>
    <w:p w14:paraId="3A218CC5" w14:textId="77777777" w:rsidR="008C1A04" w:rsidRDefault="008C1A04" w:rsidP="004310E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14:paraId="3A218CC6" w14:textId="77777777" w:rsidR="00CC57AD" w:rsidRDefault="00CC57AD" w:rsidP="004310E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5A4B9A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Papildu prasības automātiskajām un neautomātiskajām ugunsdzēsības sistēmām</w:t>
      </w:r>
    </w:p>
    <w:p w14:paraId="289DD66D" w14:textId="77777777" w:rsidR="004310EB" w:rsidRDefault="004310EB" w:rsidP="004310E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14:paraId="3A218CC7" w14:textId="77777777" w:rsidR="00CC57AD" w:rsidRDefault="005A4B9A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1" w:name="p-440168"/>
      <w:bookmarkEnd w:id="1"/>
      <w:r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CC57AD" w:rsidRPr="005A4B9A">
        <w:rPr>
          <w:rFonts w:eastAsia="Times New Roman" w:cs="Times New Roman"/>
          <w:color w:val="000000" w:themeColor="text1"/>
          <w:szCs w:val="28"/>
          <w:lang w:eastAsia="lv-LV"/>
        </w:rPr>
        <w:t>Ugunsdzēsības krānus var izvietot atklāti, bez skapīšiem.</w:t>
      </w:r>
    </w:p>
    <w:p w14:paraId="3A218CC8" w14:textId="77777777" w:rsidR="00CC57AD" w:rsidRPr="005A4B9A" w:rsidRDefault="005A4B9A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</w:t>
      </w:r>
      <w:r w:rsidR="00CC57AD" w:rsidRPr="005A4B9A">
        <w:rPr>
          <w:rFonts w:eastAsia="Times New Roman" w:cs="Times New Roman"/>
          <w:color w:val="000000" w:themeColor="text1"/>
          <w:szCs w:val="28"/>
          <w:lang w:eastAsia="lv-LV"/>
        </w:rPr>
        <w:t xml:space="preserve">Projektējot automātiskās un neautomātiskās ugunsdzēsības sistēmas skatuvēs ar </w:t>
      </w:r>
      <w:proofErr w:type="spellStart"/>
      <w:r w:rsidR="00CC57AD" w:rsidRPr="005A4B9A">
        <w:rPr>
          <w:rFonts w:eastAsia="Times New Roman" w:cs="Times New Roman"/>
          <w:color w:val="000000" w:themeColor="text1"/>
          <w:szCs w:val="28"/>
          <w:lang w:eastAsia="lv-LV"/>
        </w:rPr>
        <w:t>šņorbēniņiem</w:t>
      </w:r>
      <w:proofErr w:type="spellEnd"/>
      <w:r w:rsidR="00CC57AD" w:rsidRPr="005A4B9A">
        <w:rPr>
          <w:rFonts w:eastAsia="Times New Roman" w:cs="Times New Roman"/>
          <w:color w:val="000000" w:themeColor="text1"/>
          <w:szCs w:val="28"/>
          <w:lang w:eastAsia="lv-LV"/>
        </w:rPr>
        <w:t>, jāievēro šādas prasības:</w:t>
      </w:r>
    </w:p>
    <w:p w14:paraId="3A218CC9" w14:textId="77777777" w:rsidR="00CC57AD" w:rsidRPr="005A4B9A" w:rsidRDefault="00CC57AD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2.1.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 xml:space="preserve">automātiskās ugunsdzēsības sistēmas viens ūdens </w:t>
      </w:r>
      <w:proofErr w:type="spellStart"/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sprinklers</w:t>
      </w:r>
      <w:proofErr w:type="spellEnd"/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 xml:space="preserve"> vai </w:t>
      </w:r>
      <w:proofErr w:type="spellStart"/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drenčers</w:t>
      </w:r>
      <w:proofErr w:type="spellEnd"/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 xml:space="preserve"> aizsargā ne vairāk kā 9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m</w:t>
      </w:r>
      <w:r w:rsidRPr="005A4B9A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2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 platības;</w:t>
      </w:r>
    </w:p>
    <w:p w14:paraId="3A218CCA" w14:textId="77777777" w:rsidR="00CC57AD" w:rsidRPr="005A4B9A" w:rsidRDefault="00CC57AD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2.2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neautomātiskā ūdens ugunsdzēsības aizsega smidzināšanas intensitāte ir vismaz 0,5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l uz vienu metru skatuves portāla platuma, ja skatuves portāla augstums ir līdz 7,5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m, un 0,7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l uz vienu metru skatuves portāla platuma, ja skatuves portāls ir augstāks par 7,5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m;</w:t>
      </w:r>
    </w:p>
    <w:p w14:paraId="3A218CCB" w14:textId="77777777" w:rsidR="00CC57AD" w:rsidRPr="005A4B9A" w:rsidRDefault="00CC57AD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2.3.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automātiskās ugunsdzēsības sistēmas smidzināšanas intensitāte ir vismaz 0,1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l uz 1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m</w:t>
      </w:r>
      <w:r w:rsidRPr="005A4B9A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2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platības;</w:t>
      </w:r>
    </w:p>
    <w:p w14:paraId="3A218CCC" w14:textId="77777777" w:rsidR="008E43D0" w:rsidRDefault="00CC57AD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2.4.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iekšējam ūdensapgādes tīklam jānodrošina summārais aprēķinātais ūdens patēriņš, kas nepieciešams vienlaicīgai darbībai skatuvē (virs skatuves planšetes) esošajām automātiskajām ugunsaizsardzības sistēmām, neautomātiskajām ugunsdzēsības sistēmām un ugunsdzēsības krāniem.</w:t>
      </w:r>
    </w:p>
    <w:p w14:paraId="3A218CCD" w14:textId="77777777" w:rsidR="00CC57AD" w:rsidRPr="005A4B9A" w:rsidRDefault="00CC57AD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3.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 xml:space="preserve">Neautomātiskajam ūdens ugunsdzēsības aizsegam, kas aizsargā ailas starp skatuvi ar </w:t>
      </w:r>
      <w:proofErr w:type="spellStart"/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šņorbēniņiem</w:t>
      </w:r>
      <w:proofErr w:type="spellEnd"/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 xml:space="preserve"> un zāli ar 800 un vairāk stacionārām sēdvietām, ir manuālā tālvadība (elektriskā vai hidrauliskā vadība):</w:t>
      </w:r>
    </w:p>
    <w:p w14:paraId="3A218CCE" w14:textId="77777777" w:rsidR="00CC57AD" w:rsidRPr="005A4B9A" w:rsidRDefault="00CC57AD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3.1.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no skatuves planšetes;</w:t>
      </w:r>
    </w:p>
    <w:p w14:paraId="3A218CCF" w14:textId="77777777" w:rsidR="00CC57AD" w:rsidRPr="005A4B9A" w:rsidRDefault="00CC57AD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3.2.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no dežūrtelpas;</w:t>
      </w:r>
    </w:p>
    <w:p w14:paraId="3A218CD0" w14:textId="77777777" w:rsidR="008E43D0" w:rsidRDefault="00CC57AD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3.3.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no sūkņu vai vadības mezglu telpas.</w:t>
      </w:r>
    </w:p>
    <w:p w14:paraId="3A218CD1" w14:textId="77777777" w:rsidR="00CC57AD" w:rsidRPr="005A4B9A" w:rsidRDefault="00CC57AD" w:rsidP="004310EB">
      <w:pPr>
        <w:shd w:val="clear" w:color="auto" w:fill="FFFFFF"/>
        <w:ind w:firstLine="284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4.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 xml:space="preserve">Kultūras un izklaides iestādēs ar zāli, kurā ir 800 un vairāk stacionāru sēdvietu un skatuve ar </w:t>
      </w:r>
      <w:proofErr w:type="spellStart"/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šņorbēniņiem</w:t>
      </w:r>
      <w:proofErr w:type="spellEnd"/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, automātiskās ugunsdzēsības sistēmas spiedvadā starp ugunsdzēsības sūkņiem un sadales (vadības) ierīcēm paredz divus ievadus ar diametru 80</w:t>
      </w:r>
      <w:r w:rsidR="005A4B9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 xml:space="preserve">mm, kas paredzēti ūdens padošanai sistēmā no pārvietojamajiem ugunsdzēsības sūkņiem. Ievadus aprīko ar pretvārstiem un ugunsdzēsības šļūteņu </w:t>
      </w:r>
      <w:proofErr w:type="spellStart"/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standartsavienojumiem</w:t>
      </w:r>
      <w:proofErr w:type="spellEnd"/>
      <w:r w:rsidRPr="005A4B9A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3A218CD2" w14:textId="77777777" w:rsidR="008E43D0" w:rsidRDefault="008E43D0" w:rsidP="004310EB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557EBD5D" w14:textId="77777777" w:rsidR="00D3540C" w:rsidRDefault="00D3540C" w:rsidP="004310EB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</w:p>
    <w:p w14:paraId="7A337E03" w14:textId="77777777" w:rsidR="00D3540C" w:rsidRDefault="00D3540C" w:rsidP="004310EB">
      <w:pPr>
        <w:tabs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Ekonomikas ministra vietā – </w:t>
      </w:r>
    </w:p>
    <w:p w14:paraId="3A218CDF" w14:textId="4A37DFF3" w:rsidR="0030378B" w:rsidRPr="005A4B9A" w:rsidRDefault="00D3540C" w:rsidP="004310EB">
      <w:pPr>
        <w:tabs>
          <w:tab w:val="left" w:pos="6840"/>
        </w:tabs>
        <w:ind w:firstLine="709"/>
        <w:jc w:val="both"/>
        <w:rPr>
          <w:rFonts w:eastAsia="Times New Roman"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Cs w:val="28"/>
        </w:rPr>
        <w:t>veselības ministrs</w:t>
      </w:r>
      <w:proofErr w:type="gramStart"/>
      <w:r>
        <w:rPr>
          <w:rFonts w:cs="Times New Roman"/>
          <w:color w:val="000000" w:themeColor="text1"/>
          <w:szCs w:val="28"/>
        </w:rPr>
        <w:t xml:space="preserve">                                                          </w:t>
      </w:r>
      <w:proofErr w:type="gramEnd"/>
      <w:r>
        <w:rPr>
          <w:rFonts w:cs="Times New Roman"/>
          <w:color w:val="000000" w:themeColor="text1"/>
          <w:szCs w:val="28"/>
        </w:rPr>
        <w:t>Guntis Belēvičs</w:t>
      </w:r>
    </w:p>
    <w:sectPr w:rsidR="0030378B" w:rsidRPr="005A4B9A" w:rsidSect="005A4B9A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8CE2" w14:textId="77777777" w:rsidR="00D0486A" w:rsidRDefault="00D0486A" w:rsidP="005A4B9A">
      <w:r>
        <w:separator/>
      </w:r>
    </w:p>
  </w:endnote>
  <w:endnote w:type="continuationSeparator" w:id="0">
    <w:p w14:paraId="3A218CE3" w14:textId="77777777" w:rsidR="00D0486A" w:rsidRDefault="00D0486A" w:rsidP="005A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D133" w14:textId="56E92821" w:rsidR="004310EB" w:rsidRPr="007831B5" w:rsidRDefault="004310EB" w:rsidP="004310EB">
    <w:pPr>
      <w:pStyle w:val="Footer"/>
      <w:rPr>
        <w:sz w:val="16"/>
        <w:szCs w:val="16"/>
      </w:rPr>
    </w:pPr>
    <w:r w:rsidRPr="007831B5">
      <w:rPr>
        <w:sz w:val="16"/>
        <w:szCs w:val="16"/>
      </w:rPr>
      <w:t>N1323_5p</w:t>
    </w:r>
    <w:r>
      <w:rPr>
        <w:sz w:val="16"/>
        <w:szCs w:val="16"/>
      </w:rPr>
      <w:t>6</w:t>
    </w:r>
    <w:r w:rsidRPr="007831B5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18CE0" w14:textId="77777777" w:rsidR="00D0486A" w:rsidRDefault="00D0486A" w:rsidP="005A4B9A">
      <w:r>
        <w:separator/>
      </w:r>
    </w:p>
  </w:footnote>
  <w:footnote w:type="continuationSeparator" w:id="0">
    <w:p w14:paraId="3A218CE1" w14:textId="77777777" w:rsidR="00D0486A" w:rsidRDefault="00D0486A" w:rsidP="005A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038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18CE4" w14:textId="77777777" w:rsidR="005A4B9A" w:rsidRDefault="005A4B9A" w:rsidP="005A4B9A">
        <w:pPr>
          <w:pStyle w:val="Header"/>
          <w:jc w:val="center"/>
        </w:pPr>
        <w:r w:rsidRPr="005A4B9A">
          <w:rPr>
            <w:sz w:val="22"/>
          </w:rPr>
          <w:fldChar w:fldCharType="begin"/>
        </w:r>
        <w:r w:rsidRPr="005A4B9A">
          <w:rPr>
            <w:sz w:val="22"/>
          </w:rPr>
          <w:instrText xml:space="preserve"> PAGE   \* MERGEFORMAT </w:instrText>
        </w:r>
        <w:r w:rsidRPr="005A4B9A">
          <w:rPr>
            <w:sz w:val="22"/>
          </w:rPr>
          <w:fldChar w:fldCharType="separate"/>
        </w:r>
        <w:r w:rsidR="004310EB">
          <w:rPr>
            <w:noProof/>
            <w:sz w:val="22"/>
          </w:rPr>
          <w:t>2</w:t>
        </w:r>
        <w:r w:rsidRPr="005A4B9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AD"/>
    <w:rsid w:val="000B21A6"/>
    <w:rsid w:val="002B628E"/>
    <w:rsid w:val="0030378B"/>
    <w:rsid w:val="00401507"/>
    <w:rsid w:val="004310EB"/>
    <w:rsid w:val="005A4B9A"/>
    <w:rsid w:val="008C1A04"/>
    <w:rsid w:val="008E43D0"/>
    <w:rsid w:val="00921596"/>
    <w:rsid w:val="00CC57AD"/>
    <w:rsid w:val="00D0486A"/>
    <w:rsid w:val="00D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8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B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B9A"/>
  </w:style>
  <w:style w:type="paragraph" w:styleId="Footer">
    <w:name w:val="footer"/>
    <w:basedOn w:val="Normal"/>
    <w:link w:val="FooterChar"/>
    <w:uiPriority w:val="99"/>
    <w:unhideWhenUsed/>
    <w:rsid w:val="005A4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B9A"/>
  </w:style>
  <w:style w:type="character" w:styleId="Hyperlink">
    <w:name w:val="Hyperlink"/>
    <w:basedOn w:val="DefaultParagraphFont"/>
    <w:uiPriority w:val="99"/>
    <w:unhideWhenUsed/>
    <w:rsid w:val="008E43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B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B9A"/>
  </w:style>
  <w:style w:type="paragraph" w:styleId="Footer">
    <w:name w:val="footer"/>
    <w:basedOn w:val="Normal"/>
    <w:link w:val="FooterChar"/>
    <w:uiPriority w:val="99"/>
    <w:unhideWhenUsed/>
    <w:rsid w:val="005A4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B9A"/>
  </w:style>
  <w:style w:type="character" w:styleId="Hyperlink">
    <w:name w:val="Hyperlink"/>
    <w:basedOn w:val="DefaultParagraphFont"/>
    <w:uiPriority w:val="99"/>
    <w:unhideWhenUsed/>
    <w:rsid w:val="008E43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208-15 "Publiskas būves"</vt:lpstr>
    </vt:vector>
  </TitlesOfParts>
  <Company>EM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208-15 "Publiskas būves"</dc:title>
  <dc:subject>6.pielikums</dc:subject>
  <dc:creator>Avota</dc:creator>
  <dc:description>67013262, Evija.Avota@em.gov.lv</dc:description>
  <cp:lastModifiedBy>Leontīne Babkina</cp:lastModifiedBy>
  <cp:revision>7</cp:revision>
  <cp:lastPrinted>2015-06-27T11:50:00Z</cp:lastPrinted>
  <dcterms:created xsi:type="dcterms:W3CDTF">2015-04-13T11:05:00Z</dcterms:created>
  <dcterms:modified xsi:type="dcterms:W3CDTF">2015-06-30T11:13:00Z</dcterms:modified>
</cp:coreProperties>
</file>