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9AFF" w14:textId="77777777" w:rsidR="00CC1A56" w:rsidRPr="00857C5B" w:rsidRDefault="005D1946" w:rsidP="00F23F1D">
      <w:pPr>
        <w:pStyle w:val="tv2121"/>
        <w:spacing w:before="0" w:line="240" w:lineRule="auto"/>
        <w:rPr>
          <w:rFonts w:ascii="Times New Roman" w:hAnsi="Times New Roman"/>
          <w:sz w:val="28"/>
          <w:szCs w:val="28"/>
        </w:rPr>
      </w:pPr>
      <w:bookmarkStart w:id="0" w:name="_GoBack"/>
      <w:bookmarkEnd w:id="0"/>
      <w:r w:rsidRPr="005D1946">
        <w:rPr>
          <w:rFonts w:ascii="Times New Roman" w:hAnsi="Times New Roman"/>
          <w:bCs w:val="0"/>
          <w:sz w:val="28"/>
          <w:szCs w:val="28"/>
        </w:rPr>
        <w:t>Ministru kabineta noteikumu projekta „</w:t>
      </w:r>
      <w:r w:rsidR="00CE7F5E" w:rsidRPr="00CE7F5E">
        <w:rPr>
          <w:rFonts w:ascii="Times New Roman" w:hAnsi="Times New Roman"/>
          <w:bCs w:val="0"/>
          <w:sz w:val="28"/>
          <w:szCs w:val="28"/>
        </w:rPr>
        <w:t>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w:t>
      </w:r>
      <w:r w:rsidRPr="005D1946">
        <w:rPr>
          <w:rFonts w:ascii="Times New Roman" w:hAnsi="Times New Roman"/>
          <w:bCs w:val="0"/>
          <w:sz w:val="28"/>
          <w:szCs w:val="28"/>
        </w:rPr>
        <w:t>” sākotnējās ietekmes novērtējuma ziņojums (anotācija)</w:t>
      </w:r>
    </w:p>
    <w:p w14:paraId="45B7E7E0" w14:textId="77777777" w:rsidR="00CC1A56" w:rsidRPr="00D21AB5" w:rsidRDefault="00CC1A56" w:rsidP="00CC1A56">
      <w:pPr>
        <w:pStyle w:val="naisf"/>
        <w:spacing w:before="0" w:beforeAutospacing="0" w:after="0" w:afterAutospacing="0"/>
        <w:jc w:val="right"/>
        <w:rPr>
          <w:sz w:val="25"/>
          <w:szCs w:val="25"/>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21AB5" w14:paraId="3C83B97A" w14:textId="77777777" w:rsidTr="001E645F">
        <w:trPr>
          <w:trHeight w:val="419"/>
        </w:trPr>
        <w:tc>
          <w:tcPr>
            <w:tcW w:w="5000" w:type="pct"/>
            <w:gridSpan w:val="3"/>
            <w:vAlign w:val="center"/>
          </w:tcPr>
          <w:p w14:paraId="3B4761E7" w14:textId="77777777" w:rsidR="00CC1A56" w:rsidRPr="00D21AB5" w:rsidRDefault="00CC1A56" w:rsidP="007D385B">
            <w:pPr>
              <w:pStyle w:val="naisnod"/>
              <w:spacing w:before="0" w:beforeAutospacing="0" w:after="0" w:afterAutospacing="0"/>
              <w:ind w:left="57" w:right="57"/>
              <w:jc w:val="center"/>
              <w:rPr>
                <w:b/>
                <w:sz w:val="25"/>
                <w:szCs w:val="25"/>
              </w:rPr>
            </w:pPr>
            <w:r w:rsidRPr="00D21AB5">
              <w:rPr>
                <w:b/>
                <w:sz w:val="25"/>
                <w:szCs w:val="25"/>
              </w:rPr>
              <w:t>I. Tiesību akta projekta izstrādes nepieciešamība</w:t>
            </w:r>
          </w:p>
        </w:tc>
      </w:tr>
      <w:tr w:rsidR="00CC1A56" w:rsidRPr="00D21AB5" w14:paraId="0B0F3BB7" w14:textId="77777777" w:rsidTr="001E645F">
        <w:trPr>
          <w:trHeight w:val="415"/>
        </w:trPr>
        <w:tc>
          <w:tcPr>
            <w:tcW w:w="227" w:type="pct"/>
          </w:tcPr>
          <w:p w14:paraId="246F6001" w14:textId="77777777" w:rsidR="00CC1A56" w:rsidRPr="00D21AB5" w:rsidRDefault="00CC1A56" w:rsidP="007D385B">
            <w:pPr>
              <w:pStyle w:val="naiskr"/>
              <w:spacing w:before="0" w:beforeAutospacing="0" w:after="0" w:afterAutospacing="0"/>
              <w:ind w:left="57" w:right="57"/>
              <w:jc w:val="center"/>
              <w:rPr>
                <w:sz w:val="25"/>
                <w:szCs w:val="25"/>
              </w:rPr>
            </w:pPr>
            <w:r w:rsidRPr="00D21AB5">
              <w:rPr>
                <w:sz w:val="25"/>
                <w:szCs w:val="25"/>
              </w:rPr>
              <w:t>1.</w:t>
            </w:r>
          </w:p>
        </w:tc>
        <w:tc>
          <w:tcPr>
            <w:tcW w:w="1566" w:type="pct"/>
          </w:tcPr>
          <w:p w14:paraId="5FC2C24E" w14:textId="77777777" w:rsidR="00CC1A56" w:rsidRPr="00D21AB5" w:rsidRDefault="00CC1A56" w:rsidP="007D385B">
            <w:pPr>
              <w:pStyle w:val="naiskr"/>
              <w:spacing w:before="0" w:beforeAutospacing="0" w:after="0" w:afterAutospacing="0"/>
              <w:ind w:left="57" w:right="57"/>
              <w:rPr>
                <w:sz w:val="25"/>
                <w:szCs w:val="25"/>
              </w:rPr>
            </w:pPr>
            <w:r w:rsidRPr="00D21AB5">
              <w:rPr>
                <w:sz w:val="25"/>
                <w:szCs w:val="25"/>
              </w:rPr>
              <w:t>Pamatojums</w:t>
            </w:r>
          </w:p>
        </w:tc>
        <w:tc>
          <w:tcPr>
            <w:tcW w:w="3207" w:type="pct"/>
          </w:tcPr>
          <w:p w14:paraId="5069EF54" w14:textId="5B69C297" w:rsidR="00CC1A56" w:rsidRPr="00D21AB5" w:rsidRDefault="000479EB" w:rsidP="00541FAB">
            <w:pPr>
              <w:spacing w:after="0" w:line="240" w:lineRule="auto"/>
              <w:ind w:left="57" w:right="57"/>
              <w:jc w:val="both"/>
              <w:rPr>
                <w:rFonts w:ascii="Times New Roman" w:hAnsi="Times New Roman" w:cs="Times New Roman"/>
                <w:sz w:val="25"/>
                <w:szCs w:val="25"/>
                <w:shd w:val="clear" w:color="auto" w:fill="FFFFFF"/>
              </w:rPr>
            </w:pPr>
            <w:r w:rsidRPr="00D21AB5">
              <w:rPr>
                <w:rFonts w:ascii="Times New Roman" w:hAnsi="Times New Roman" w:cs="Times New Roman"/>
                <w:sz w:val="25"/>
                <w:szCs w:val="25"/>
              </w:rPr>
              <w:t xml:space="preserve">Ministru kabineta </w:t>
            </w:r>
            <w:r w:rsidR="00201E67" w:rsidRPr="000D1074">
              <w:rPr>
                <w:rFonts w:ascii="Times New Roman" w:hAnsi="Times New Roman" w:cs="Times New Roman"/>
                <w:sz w:val="25"/>
                <w:szCs w:val="25"/>
              </w:rPr>
              <w:t>(turpmāk – MK)</w:t>
            </w:r>
            <w:r w:rsidR="00201E67">
              <w:rPr>
                <w:rFonts w:ascii="Times New Roman" w:hAnsi="Times New Roman" w:cs="Times New Roman"/>
                <w:sz w:val="25"/>
                <w:szCs w:val="25"/>
              </w:rPr>
              <w:t xml:space="preserve"> </w:t>
            </w:r>
            <w:r w:rsidRPr="00D21AB5">
              <w:rPr>
                <w:rFonts w:ascii="Times New Roman" w:hAnsi="Times New Roman" w:cs="Times New Roman"/>
                <w:sz w:val="25"/>
                <w:szCs w:val="25"/>
              </w:rPr>
              <w:t xml:space="preserve">2015.gada 31.marta </w:t>
            </w:r>
            <w:proofErr w:type="spellStart"/>
            <w:r w:rsidRPr="00D21AB5">
              <w:rPr>
                <w:rFonts w:ascii="Times New Roman" w:hAnsi="Times New Roman" w:cs="Times New Roman"/>
                <w:sz w:val="25"/>
                <w:szCs w:val="25"/>
              </w:rPr>
              <w:t>protokollēmum</w:t>
            </w:r>
            <w:r w:rsidR="00541FAB">
              <w:rPr>
                <w:rFonts w:ascii="Times New Roman" w:hAnsi="Times New Roman" w:cs="Times New Roman"/>
                <w:sz w:val="25"/>
                <w:szCs w:val="25"/>
              </w:rPr>
              <w:t>a</w:t>
            </w:r>
            <w:proofErr w:type="spellEnd"/>
            <w:r w:rsidRPr="00D21AB5">
              <w:rPr>
                <w:rFonts w:ascii="Times New Roman" w:hAnsi="Times New Roman" w:cs="Times New Roman"/>
                <w:sz w:val="25"/>
                <w:szCs w:val="25"/>
              </w:rPr>
              <w:t xml:space="preserve"> Nr.17 (43 §) 4.punkts.</w:t>
            </w:r>
          </w:p>
        </w:tc>
      </w:tr>
      <w:tr w:rsidR="00CC1A56" w:rsidRPr="00D21AB5" w14:paraId="598EF566" w14:textId="77777777" w:rsidTr="001E645F">
        <w:trPr>
          <w:trHeight w:val="472"/>
        </w:trPr>
        <w:tc>
          <w:tcPr>
            <w:tcW w:w="227" w:type="pct"/>
          </w:tcPr>
          <w:p w14:paraId="627298EB" w14:textId="77777777" w:rsidR="00CC1A56" w:rsidRPr="00D21AB5" w:rsidRDefault="00CC1A56" w:rsidP="007D385B">
            <w:pPr>
              <w:pStyle w:val="naiskr"/>
              <w:spacing w:before="0" w:beforeAutospacing="0" w:after="0" w:afterAutospacing="0"/>
              <w:ind w:left="57" w:right="57"/>
              <w:jc w:val="center"/>
              <w:rPr>
                <w:sz w:val="25"/>
                <w:szCs w:val="25"/>
              </w:rPr>
            </w:pPr>
            <w:r w:rsidRPr="00D21AB5">
              <w:rPr>
                <w:sz w:val="25"/>
                <w:szCs w:val="25"/>
              </w:rPr>
              <w:t>2.</w:t>
            </w:r>
          </w:p>
        </w:tc>
        <w:tc>
          <w:tcPr>
            <w:tcW w:w="1566" w:type="pct"/>
          </w:tcPr>
          <w:p w14:paraId="61616D79" w14:textId="77777777" w:rsidR="00CC1A56" w:rsidRPr="00D21AB5" w:rsidRDefault="00CC1A56" w:rsidP="007D385B">
            <w:pPr>
              <w:pStyle w:val="naiskr"/>
              <w:tabs>
                <w:tab w:val="left" w:pos="170"/>
              </w:tabs>
              <w:spacing w:before="0" w:beforeAutospacing="0" w:after="0" w:afterAutospacing="0"/>
              <w:ind w:left="57" w:right="57"/>
              <w:rPr>
                <w:sz w:val="25"/>
                <w:szCs w:val="25"/>
              </w:rPr>
            </w:pPr>
            <w:r w:rsidRPr="00D21AB5">
              <w:rPr>
                <w:sz w:val="25"/>
                <w:szCs w:val="25"/>
              </w:rPr>
              <w:t>Pašreizējā situācija un problēmas, kuru risināšanai tiesību akta projekts izstrādāts, tiesiskā regulējuma mērķis un būtība</w:t>
            </w:r>
          </w:p>
        </w:tc>
        <w:tc>
          <w:tcPr>
            <w:tcW w:w="3207" w:type="pct"/>
          </w:tcPr>
          <w:p w14:paraId="65096EEE" w14:textId="5153B386" w:rsidR="00201E67" w:rsidRPr="00201E67" w:rsidRDefault="00201E67" w:rsidP="00D06741">
            <w:pPr>
              <w:tabs>
                <w:tab w:val="left" w:pos="423"/>
                <w:tab w:val="left" w:pos="6444"/>
              </w:tabs>
              <w:spacing w:after="0" w:line="240" w:lineRule="auto"/>
              <w:ind w:right="141" w:firstLine="281"/>
              <w:jc w:val="both"/>
              <w:rPr>
                <w:rFonts w:ascii="Times New Roman" w:hAnsi="Times New Roman" w:cs="Times New Roman"/>
                <w:b/>
                <w:sz w:val="25"/>
                <w:szCs w:val="25"/>
                <w:shd w:val="clear" w:color="auto" w:fill="FFFFFF"/>
              </w:rPr>
            </w:pPr>
            <w:r w:rsidRPr="00731BA9">
              <w:rPr>
                <w:rFonts w:ascii="Times New Roman" w:hAnsi="Times New Roman" w:cs="Times New Roman"/>
                <w:sz w:val="25"/>
                <w:szCs w:val="25"/>
                <w:shd w:val="clear" w:color="auto" w:fill="FFFFFF"/>
              </w:rPr>
              <w:t>MK noteikumu projekta</w:t>
            </w:r>
            <w:r w:rsidRPr="00201E67">
              <w:rPr>
                <w:rFonts w:ascii="Times New Roman" w:hAnsi="Times New Roman" w:cs="Times New Roman"/>
                <w:b/>
                <w:sz w:val="25"/>
                <w:szCs w:val="25"/>
                <w:shd w:val="clear" w:color="auto" w:fill="FFFFFF"/>
              </w:rPr>
              <w:t xml:space="preserve"> </w:t>
            </w:r>
            <w:r w:rsidRPr="000D1074">
              <w:rPr>
                <w:rFonts w:ascii="Times New Roman" w:hAnsi="Times New Roman" w:cs="Times New Roman"/>
                <w:sz w:val="25"/>
                <w:szCs w:val="25"/>
                <w:shd w:val="clear" w:color="auto" w:fill="FFFFFF"/>
              </w:rPr>
              <w:t xml:space="preserve">„Grozījumi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(turpmāk - noteikumu projekts) mērķis ir noteikt iespēju </w:t>
            </w:r>
            <w:r w:rsidR="00D06741" w:rsidRPr="000D1074">
              <w:rPr>
                <w:rFonts w:ascii="Times New Roman" w:hAnsi="Times New Roman" w:cs="Times New Roman"/>
                <w:sz w:val="25"/>
                <w:szCs w:val="25"/>
                <w:shd w:val="clear" w:color="auto" w:fill="FFFFFF"/>
              </w:rPr>
              <w:t xml:space="preserve">veikt </w:t>
            </w:r>
            <w:r w:rsidR="009C6A78" w:rsidRPr="000D1074">
              <w:rPr>
                <w:rFonts w:ascii="Times New Roman" w:hAnsi="Times New Roman" w:cs="Times New Roman"/>
                <w:sz w:val="25"/>
                <w:szCs w:val="25"/>
                <w:shd w:val="clear" w:color="auto" w:fill="FFFFFF"/>
              </w:rPr>
              <w:t>noslēguma</w:t>
            </w:r>
            <w:r w:rsidR="00D06741" w:rsidRPr="000D1074">
              <w:rPr>
                <w:rFonts w:ascii="Times New Roman" w:hAnsi="Times New Roman" w:cs="Times New Roman"/>
                <w:sz w:val="25"/>
                <w:szCs w:val="25"/>
                <w:shd w:val="clear" w:color="auto" w:fill="FFFFFF"/>
              </w:rPr>
              <w:t xml:space="preserve"> maksājumu pirms projekta pabeigšanas</w:t>
            </w:r>
            <w:r w:rsidR="003F75CE" w:rsidRPr="000D1074">
              <w:rPr>
                <w:rFonts w:ascii="Times New Roman" w:hAnsi="Times New Roman" w:cs="Times New Roman"/>
                <w:sz w:val="25"/>
                <w:szCs w:val="25"/>
                <w:shd w:val="clear" w:color="auto" w:fill="FFFFFF"/>
              </w:rPr>
              <w:t xml:space="preserve">, </w:t>
            </w:r>
            <w:r w:rsidR="009C6A78" w:rsidRPr="000D1074">
              <w:rPr>
                <w:rFonts w:ascii="Times New Roman" w:hAnsi="Times New Roman" w:cs="Times New Roman"/>
                <w:sz w:val="25"/>
                <w:szCs w:val="25"/>
                <w:shd w:val="clear" w:color="auto" w:fill="FFFFFF"/>
              </w:rPr>
              <w:t xml:space="preserve">ja šāda iespēja būtu paredzēta </w:t>
            </w:r>
            <w:r w:rsidRPr="000D1074">
              <w:rPr>
                <w:rFonts w:ascii="Times New Roman" w:hAnsi="Times New Roman" w:cs="Times New Roman"/>
                <w:sz w:val="25"/>
                <w:szCs w:val="25"/>
                <w:shd w:val="clear" w:color="auto" w:fill="FFFFFF"/>
              </w:rPr>
              <w:t>attiecīg</w:t>
            </w:r>
            <w:r w:rsidR="009C6A78" w:rsidRPr="000D1074">
              <w:rPr>
                <w:rFonts w:ascii="Times New Roman" w:hAnsi="Times New Roman" w:cs="Times New Roman"/>
                <w:sz w:val="25"/>
                <w:szCs w:val="25"/>
                <w:shd w:val="clear" w:color="auto" w:fill="FFFFFF"/>
              </w:rPr>
              <w:t>ajos</w:t>
            </w:r>
            <w:r w:rsidRPr="000D1074">
              <w:rPr>
                <w:rFonts w:ascii="Times New Roman" w:hAnsi="Times New Roman" w:cs="Times New Roman"/>
                <w:sz w:val="25"/>
                <w:szCs w:val="25"/>
                <w:shd w:val="clear" w:color="auto" w:fill="FFFFFF"/>
              </w:rPr>
              <w:t xml:space="preserve"> MK noteikumos par aktivitātes īstenošanu.</w:t>
            </w:r>
          </w:p>
          <w:p w14:paraId="663196B0" w14:textId="7F06CB3E" w:rsidR="00F4438A" w:rsidRDefault="000479EB" w:rsidP="000479EB">
            <w:pPr>
              <w:tabs>
                <w:tab w:val="left" w:pos="423"/>
                <w:tab w:val="left" w:pos="6444"/>
              </w:tabs>
              <w:spacing w:after="0" w:line="240" w:lineRule="auto"/>
              <w:ind w:right="141" w:firstLine="281"/>
              <w:jc w:val="both"/>
              <w:rPr>
                <w:rFonts w:ascii="Times New Roman" w:hAnsi="Times New Roman" w:cs="Times New Roman"/>
                <w:sz w:val="25"/>
                <w:szCs w:val="25"/>
                <w:shd w:val="clear" w:color="auto" w:fill="FFFFFF"/>
              </w:rPr>
            </w:pPr>
            <w:r w:rsidRPr="00D21AB5">
              <w:rPr>
                <w:rFonts w:ascii="Times New Roman" w:hAnsi="Times New Roman" w:cs="Times New Roman"/>
                <w:sz w:val="25"/>
                <w:szCs w:val="25"/>
                <w:shd w:val="clear" w:color="auto" w:fill="FFFFFF"/>
              </w:rPr>
              <w:t xml:space="preserve">Šobrīd </w:t>
            </w:r>
            <w:r w:rsidR="008D024C" w:rsidRPr="00D21AB5">
              <w:rPr>
                <w:rFonts w:ascii="Times New Roman" w:hAnsi="Times New Roman" w:cs="Times New Roman"/>
                <w:sz w:val="25"/>
                <w:szCs w:val="25"/>
                <w:shd w:val="clear" w:color="auto" w:fill="FFFFFF"/>
              </w:rPr>
              <w:t xml:space="preserve">apzināti </w:t>
            </w:r>
            <w:r w:rsidRPr="00D21AB5">
              <w:rPr>
                <w:rFonts w:ascii="Times New Roman" w:hAnsi="Times New Roman" w:cs="Times New Roman"/>
                <w:sz w:val="25"/>
                <w:szCs w:val="25"/>
                <w:shd w:val="clear" w:color="auto" w:fill="FFFFFF"/>
              </w:rPr>
              <w:t>divi Eiropas Savienības (turpmāk – ES) fondu lielie projekti - “Infrastruktūras attīstība Krievu salā ostas aktivitāšu pārcelšanai no pilsētas centra” un “VSIA „Paula Stradiņa klīniskā universitātes slimnīca” jaunā A korpusa 1.kārtas būvniecība””</w:t>
            </w:r>
            <w:r w:rsidR="008526A3">
              <w:rPr>
                <w:rFonts w:ascii="Times New Roman" w:hAnsi="Times New Roman" w:cs="Times New Roman"/>
                <w:sz w:val="25"/>
                <w:szCs w:val="25"/>
                <w:shd w:val="clear" w:color="auto" w:fill="FFFFFF"/>
              </w:rPr>
              <w:t xml:space="preserve"> </w:t>
            </w:r>
            <w:r w:rsidR="008526A3" w:rsidRPr="000D1074">
              <w:rPr>
                <w:rFonts w:ascii="Times New Roman" w:hAnsi="Times New Roman" w:cs="Times New Roman"/>
                <w:sz w:val="25"/>
                <w:szCs w:val="25"/>
                <w:shd w:val="clear" w:color="auto" w:fill="FFFFFF"/>
              </w:rPr>
              <w:t>(</w:t>
            </w:r>
            <w:r w:rsidR="00F603A4" w:rsidRPr="000D1074">
              <w:rPr>
                <w:rFonts w:ascii="Times New Roman" w:hAnsi="Times New Roman" w:cs="Times New Roman"/>
                <w:sz w:val="25"/>
                <w:szCs w:val="25"/>
                <w:shd w:val="clear" w:color="auto" w:fill="FFFFFF"/>
              </w:rPr>
              <w:t xml:space="preserve">atbilstoši MK 2015.gada 31.marta </w:t>
            </w:r>
            <w:proofErr w:type="spellStart"/>
            <w:r w:rsidR="00F603A4" w:rsidRPr="000D1074">
              <w:rPr>
                <w:rFonts w:ascii="Times New Roman" w:hAnsi="Times New Roman" w:cs="Times New Roman"/>
                <w:sz w:val="25"/>
                <w:szCs w:val="25"/>
                <w:shd w:val="clear" w:color="auto" w:fill="FFFFFF"/>
              </w:rPr>
              <w:t>protokollēmuma</w:t>
            </w:r>
            <w:proofErr w:type="spellEnd"/>
            <w:r w:rsidR="00F603A4" w:rsidRPr="000D1074">
              <w:rPr>
                <w:rFonts w:ascii="Times New Roman" w:hAnsi="Times New Roman" w:cs="Times New Roman"/>
                <w:sz w:val="25"/>
                <w:szCs w:val="25"/>
                <w:shd w:val="clear" w:color="auto" w:fill="FFFFFF"/>
              </w:rPr>
              <w:t xml:space="preserve"> Nr.17 43.§ </w:t>
            </w:r>
            <w:r w:rsidR="003B44B9">
              <w:rPr>
                <w:rFonts w:ascii="Times New Roman" w:hAnsi="Times New Roman" w:cs="Times New Roman"/>
                <w:sz w:val="25"/>
                <w:szCs w:val="25"/>
                <w:shd w:val="clear" w:color="auto" w:fill="FFFFFF"/>
              </w:rPr>
              <w:t>4</w:t>
            </w:r>
            <w:r w:rsidR="00F603A4" w:rsidRPr="000D1074">
              <w:rPr>
                <w:rFonts w:ascii="Times New Roman" w:hAnsi="Times New Roman" w:cs="Times New Roman"/>
                <w:sz w:val="25"/>
                <w:szCs w:val="25"/>
                <w:shd w:val="clear" w:color="auto" w:fill="FFFFFF"/>
              </w:rPr>
              <w:t xml:space="preserve">.punktam Veselības ministrijai </w:t>
            </w:r>
            <w:r w:rsidR="00F603A4" w:rsidRPr="000D1074">
              <w:t xml:space="preserve"> </w:t>
            </w:r>
            <w:r w:rsidR="00F603A4" w:rsidRPr="000D1074">
              <w:rPr>
                <w:rFonts w:ascii="Times New Roman" w:hAnsi="Times New Roman" w:cs="Times New Roman"/>
                <w:sz w:val="25"/>
                <w:szCs w:val="25"/>
              </w:rPr>
              <w:t>jāizstrādā</w:t>
            </w:r>
            <w:r w:rsidR="00F603A4" w:rsidRPr="000D1074">
              <w:t xml:space="preserve"> </w:t>
            </w:r>
            <w:r w:rsidR="00F603A4" w:rsidRPr="000D1074">
              <w:rPr>
                <w:rFonts w:ascii="Times New Roman" w:hAnsi="Times New Roman" w:cs="Times New Roman"/>
                <w:sz w:val="25"/>
                <w:szCs w:val="25"/>
                <w:shd w:val="clear" w:color="auto" w:fill="FFFFFF"/>
              </w:rPr>
              <w:t>lielā projekta iesniegum</w:t>
            </w:r>
            <w:r w:rsidR="00541FAB" w:rsidRPr="000D1074">
              <w:rPr>
                <w:rFonts w:ascii="Times New Roman" w:hAnsi="Times New Roman" w:cs="Times New Roman"/>
                <w:sz w:val="25"/>
                <w:szCs w:val="25"/>
                <w:shd w:val="clear" w:color="auto" w:fill="FFFFFF"/>
              </w:rPr>
              <w:t>s</w:t>
            </w:r>
            <w:r w:rsidR="00F603A4" w:rsidRPr="000D1074">
              <w:rPr>
                <w:rFonts w:ascii="Times New Roman" w:hAnsi="Times New Roman" w:cs="Times New Roman"/>
                <w:sz w:val="25"/>
                <w:szCs w:val="25"/>
                <w:shd w:val="clear" w:color="auto" w:fill="FFFFFF"/>
              </w:rPr>
              <w:t xml:space="preserve"> un sadarbībā ar Finanšu ministriju </w:t>
            </w:r>
            <w:r w:rsidR="00F603A4" w:rsidRPr="000D1074">
              <w:t xml:space="preserve"> </w:t>
            </w:r>
            <w:r w:rsidR="00F603A4" w:rsidRPr="000D1074">
              <w:rPr>
                <w:rFonts w:ascii="Times New Roman" w:hAnsi="Times New Roman" w:cs="Times New Roman"/>
                <w:sz w:val="25"/>
                <w:szCs w:val="25"/>
                <w:shd w:val="clear" w:color="auto" w:fill="FFFFFF"/>
              </w:rPr>
              <w:t>līdz 2015.gada 30.jūnijam jāiesniedz tas izvērtēšanai Eiropas Komisijai)</w:t>
            </w:r>
            <w:r w:rsidRPr="000D1074">
              <w:rPr>
                <w:rFonts w:ascii="Times New Roman" w:hAnsi="Times New Roman" w:cs="Times New Roman"/>
                <w:sz w:val="25"/>
                <w:szCs w:val="25"/>
                <w:shd w:val="clear" w:color="auto" w:fill="FFFFFF"/>
              </w:rPr>
              <w:t>,</w:t>
            </w:r>
            <w:r w:rsidRPr="00D21AB5">
              <w:rPr>
                <w:rFonts w:ascii="Times New Roman" w:hAnsi="Times New Roman" w:cs="Times New Roman"/>
                <w:sz w:val="25"/>
                <w:szCs w:val="25"/>
                <w:shd w:val="clear" w:color="auto" w:fill="FFFFFF"/>
              </w:rPr>
              <w:t xml:space="preserve"> kuri nebūs pilnībā pabeigti līdz 2015.</w:t>
            </w:r>
            <w:r w:rsidR="00191C3E" w:rsidRPr="00D21AB5">
              <w:rPr>
                <w:rFonts w:ascii="Times New Roman" w:hAnsi="Times New Roman" w:cs="Times New Roman"/>
                <w:sz w:val="25"/>
                <w:szCs w:val="25"/>
                <w:shd w:val="clear" w:color="auto" w:fill="FFFFFF"/>
              </w:rPr>
              <w:t>gada 31.decembrim</w:t>
            </w:r>
            <w:r w:rsidRPr="00D21AB5">
              <w:rPr>
                <w:rFonts w:ascii="Times New Roman" w:hAnsi="Times New Roman" w:cs="Times New Roman"/>
                <w:sz w:val="25"/>
                <w:szCs w:val="25"/>
                <w:shd w:val="clear" w:color="auto" w:fill="FFFFFF"/>
              </w:rPr>
              <w:t xml:space="preserve">, t.i., līdz </w:t>
            </w:r>
            <w:r w:rsidR="008D024C" w:rsidRPr="00D21AB5">
              <w:rPr>
                <w:rFonts w:ascii="Times New Roman" w:hAnsi="Times New Roman" w:cs="Times New Roman"/>
                <w:sz w:val="25"/>
                <w:szCs w:val="25"/>
                <w:shd w:val="clear" w:color="auto" w:fill="FFFFFF"/>
              </w:rPr>
              <w:t>ES</w:t>
            </w:r>
            <w:r w:rsidRPr="00D21AB5">
              <w:rPr>
                <w:rFonts w:ascii="Times New Roman" w:hAnsi="Times New Roman" w:cs="Times New Roman"/>
                <w:sz w:val="25"/>
                <w:szCs w:val="25"/>
                <w:shd w:val="clear" w:color="auto" w:fill="FFFFFF"/>
              </w:rPr>
              <w:t xml:space="preserve"> Padomes 2006</w:t>
            </w:r>
            <w:r w:rsidR="00191C3E" w:rsidRPr="00D21AB5">
              <w:rPr>
                <w:rFonts w:ascii="Times New Roman" w:hAnsi="Times New Roman" w:cs="Times New Roman"/>
                <w:sz w:val="25"/>
                <w:szCs w:val="25"/>
                <w:shd w:val="clear" w:color="auto" w:fill="FFFFFF"/>
              </w:rPr>
              <w:t>.gada 11.jūlija</w:t>
            </w:r>
            <w:r w:rsidRPr="00D21AB5">
              <w:rPr>
                <w:rFonts w:ascii="Times New Roman" w:hAnsi="Times New Roman" w:cs="Times New Roman"/>
                <w:sz w:val="25"/>
                <w:szCs w:val="25"/>
                <w:shd w:val="clear" w:color="auto" w:fill="FFFFFF"/>
              </w:rPr>
              <w:t xml:space="preserve"> regulas Nr.1083/2006</w:t>
            </w:r>
            <w:r w:rsidR="002233BC" w:rsidRPr="00D21AB5">
              <w:rPr>
                <w:rFonts w:ascii="Times New Roman" w:hAnsi="Times New Roman" w:cs="Times New Roman"/>
                <w:sz w:val="25"/>
                <w:szCs w:val="25"/>
                <w:shd w:val="clear" w:color="auto" w:fill="FFFFFF"/>
              </w:rPr>
              <w:t>,</w:t>
            </w:r>
            <w:r w:rsidRPr="00D21AB5">
              <w:rPr>
                <w:rFonts w:ascii="Times New Roman" w:hAnsi="Times New Roman" w:cs="Times New Roman"/>
                <w:sz w:val="25"/>
                <w:szCs w:val="25"/>
                <w:shd w:val="clear" w:color="auto" w:fill="FFFFFF"/>
              </w:rPr>
              <w:t xml:space="preserve"> ar ko paredz vispārīgus noteikumus par Eiropas Reģionālās attīstības fondu, Eiropas Sociālo fondu un Kohēzijas fondu un atceļ Regulu (EK) Nr.1260/1999</w:t>
            </w:r>
            <w:r w:rsidR="00271DEC" w:rsidRPr="00D21AB5">
              <w:rPr>
                <w:rFonts w:ascii="Times New Roman" w:hAnsi="Times New Roman" w:cs="Times New Roman"/>
                <w:sz w:val="25"/>
                <w:szCs w:val="25"/>
                <w:shd w:val="clear" w:color="auto" w:fill="FFFFFF"/>
              </w:rPr>
              <w:t xml:space="preserve"> (turpmāk – Regula Nr.1083/2006)</w:t>
            </w:r>
            <w:r w:rsidR="002233BC" w:rsidRPr="00D21AB5">
              <w:rPr>
                <w:rFonts w:ascii="Times New Roman" w:hAnsi="Times New Roman" w:cs="Times New Roman"/>
                <w:sz w:val="25"/>
                <w:szCs w:val="25"/>
                <w:shd w:val="clear" w:color="auto" w:fill="FFFFFF"/>
              </w:rPr>
              <w:t>,</w:t>
            </w:r>
            <w:r w:rsidRPr="00D21AB5">
              <w:rPr>
                <w:rFonts w:ascii="Times New Roman" w:hAnsi="Times New Roman" w:cs="Times New Roman"/>
                <w:sz w:val="25"/>
                <w:szCs w:val="25"/>
                <w:shd w:val="clear" w:color="auto" w:fill="FFFFFF"/>
              </w:rPr>
              <w:t xml:space="preserve"> 56.panta 1.punktā noteikt</w:t>
            </w:r>
            <w:r w:rsidR="00390ABF" w:rsidRPr="00D21AB5">
              <w:rPr>
                <w:rFonts w:ascii="Times New Roman" w:hAnsi="Times New Roman" w:cs="Times New Roman"/>
                <w:sz w:val="25"/>
                <w:szCs w:val="25"/>
                <w:shd w:val="clear" w:color="auto" w:fill="FFFFFF"/>
              </w:rPr>
              <w:t>a</w:t>
            </w:r>
            <w:r w:rsidRPr="00D21AB5">
              <w:rPr>
                <w:rFonts w:ascii="Times New Roman" w:hAnsi="Times New Roman" w:cs="Times New Roman"/>
                <w:sz w:val="25"/>
                <w:szCs w:val="25"/>
                <w:shd w:val="clear" w:color="auto" w:fill="FFFFFF"/>
              </w:rPr>
              <w:t>jam termiņam</w:t>
            </w:r>
            <w:r w:rsidR="00466C2F" w:rsidRPr="00D21AB5">
              <w:rPr>
                <w:rFonts w:ascii="Times New Roman" w:hAnsi="Times New Roman" w:cs="Times New Roman"/>
                <w:sz w:val="25"/>
                <w:szCs w:val="25"/>
                <w:shd w:val="clear" w:color="auto" w:fill="FFFFFF"/>
              </w:rPr>
              <w:t xml:space="preserve">, </w:t>
            </w:r>
            <w:r w:rsidRPr="00D21AB5">
              <w:rPr>
                <w:rFonts w:ascii="Times New Roman" w:hAnsi="Times New Roman" w:cs="Times New Roman"/>
                <w:sz w:val="25"/>
                <w:szCs w:val="25"/>
                <w:shd w:val="clear" w:color="auto" w:fill="FFFFFF"/>
              </w:rPr>
              <w:t>līdz kuram ir attiecināmi izdevumi.</w:t>
            </w:r>
            <w:r w:rsidR="000A3181">
              <w:rPr>
                <w:rFonts w:ascii="Times New Roman" w:hAnsi="Times New Roman" w:cs="Times New Roman"/>
                <w:sz w:val="25"/>
                <w:szCs w:val="25"/>
                <w:shd w:val="clear" w:color="auto" w:fill="FFFFFF"/>
              </w:rPr>
              <w:t xml:space="preserve"> </w:t>
            </w:r>
            <w:r w:rsidR="00896525">
              <w:rPr>
                <w:rFonts w:ascii="Times New Roman" w:hAnsi="Times New Roman" w:cs="Times New Roman"/>
                <w:sz w:val="25"/>
                <w:szCs w:val="25"/>
                <w:shd w:val="clear" w:color="auto" w:fill="FFFFFF"/>
              </w:rPr>
              <w:t xml:space="preserve">Minēto projektu funkcionalitātes nodrošināšanu </w:t>
            </w:r>
            <w:r w:rsidRPr="00D21AB5">
              <w:rPr>
                <w:rFonts w:ascii="Times New Roman" w:hAnsi="Times New Roman" w:cs="Times New Roman"/>
                <w:sz w:val="25"/>
                <w:szCs w:val="25"/>
                <w:shd w:val="clear" w:color="auto" w:fill="FFFFFF"/>
              </w:rPr>
              <w:t xml:space="preserve">finansējuma saņēmēji plāno </w:t>
            </w:r>
            <w:r w:rsidR="008D024C" w:rsidRPr="00D21AB5">
              <w:rPr>
                <w:rFonts w:ascii="Times New Roman" w:hAnsi="Times New Roman" w:cs="Times New Roman"/>
                <w:sz w:val="25"/>
                <w:szCs w:val="25"/>
                <w:shd w:val="clear" w:color="auto" w:fill="FFFFFF"/>
              </w:rPr>
              <w:t>at</w:t>
            </w:r>
            <w:r w:rsidR="00271DEC" w:rsidRPr="00D21AB5">
              <w:rPr>
                <w:rFonts w:ascii="Times New Roman" w:hAnsi="Times New Roman" w:cs="Times New Roman"/>
                <w:sz w:val="25"/>
                <w:szCs w:val="25"/>
                <w:shd w:val="clear" w:color="auto" w:fill="FFFFFF"/>
              </w:rPr>
              <w:t>t</w:t>
            </w:r>
            <w:r w:rsidR="008D024C" w:rsidRPr="00D21AB5">
              <w:rPr>
                <w:rFonts w:ascii="Times New Roman" w:hAnsi="Times New Roman" w:cs="Times New Roman"/>
                <w:sz w:val="25"/>
                <w:szCs w:val="25"/>
                <w:shd w:val="clear" w:color="auto" w:fill="FFFFFF"/>
              </w:rPr>
              <w:t xml:space="preserve">iecīgi </w:t>
            </w:r>
            <w:r w:rsidRPr="00D21AB5">
              <w:rPr>
                <w:rFonts w:ascii="Times New Roman" w:hAnsi="Times New Roman" w:cs="Times New Roman"/>
                <w:sz w:val="25"/>
                <w:szCs w:val="25"/>
                <w:shd w:val="clear" w:color="auto" w:fill="FFFFFF"/>
              </w:rPr>
              <w:t>ne ātrāk kā 2018.gada beigās un 2017.gadā. Saskaņā ar Eiropas Komisijas</w:t>
            </w:r>
            <w:r w:rsidR="008D024C" w:rsidRPr="00D21AB5">
              <w:rPr>
                <w:rFonts w:ascii="Times New Roman" w:hAnsi="Times New Roman" w:cs="Times New Roman"/>
                <w:sz w:val="25"/>
                <w:szCs w:val="25"/>
                <w:shd w:val="clear" w:color="auto" w:fill="FFFFFF"/>
              </w:rPr>
              <w:t xml:space="preserve"> (turpmāk – EK)</w:t>
            </w:r>
            <w:r w:rsidRPr="00D21AB5">
              <w:rPr>
                <w:rFonts w:ascii="Times New Roman" w:hAnsi="Times New Roman" w:cs="Times New Roman"/>
                <w:sz w:val="25"/>
                <w:szCs w:val="25"/>
                <w:shd w:val="clear" w:color="auto" w:fill="FFFFFF"/>
              </w:rPr>
              <w:t xml:space="preserve"> slēgšanas pamatnostādņu 2007.-2013.gada periodam (apstiprinātas 2013</w:t>
            </w:r>
            <w:r w:rsidR="00191C3E" w:rsidRPr="00D21AB5">
              <w:rPr>
                <w:rFonts w:ascii="Times New Roman" w:hAnsi="Times New Roman" w:cs="Times New Roman"/>
                <w:sz w:val="25"/>
                <w:szCs w:val="25"/>
                <w:shd w:val="clear" w:color="auto" w:fill="FFFFFF"/>
              </w:rPr>
              <w:t>.gada 20.martā</w:t>
            </w:r>
            <w:r w:rsidRPr="00D21AB5">
              <w:rPr>
                <w:rFonts w:ascii="Times New Roman" w:hAnsi="Times New Roman" w:cs="Times New Roman"/>
                <w:sz w:val="25"/>
                <w:szCs w:val="25"/>
                <w:shd w:val="clear" w:color="auto" w:fill="FFFFFF"/>
              </w:rPr>
              <w:t>) (turpmāk – EK slēgšanas pamatnostādnes</w:t>
            </w:r>
            <w:r w:rsidRPr="000D05E7">
              <w:rPr>
                <w:rFonts w:ascii="Times New Roman" w:hAnsi="Times New Roman" w:cs="Times New Roman"/>
                <w:sz w:val="25"/>
                <w:szCs w:val="25"/>
                <w:shd w:val="clear" w:color="auto" w:fill="FFFFFF"/>
              </w:rPr>
              <w:t>)</w:t>
            </w:r>
            <w:r w:rsidR="000D05E7" w:rsidRPr="000D05E7">
              <w:rPr>
                <w:rFonts w:ascii="Times New Roman" w:hAnsi="Times New Roman" w:cs="Times New Roman"/>
                <w:b/>
                <w:sz w:val="25"/>
                <w:szCs w:val="25"/>
                <w:shd w:val="clear" w:color="auto" w:fill="FFFFFF"/>
              </w:rPr>
              <w:t xml:space="preserve"> </w:t>
            </w:r>
            <w:r w:rsidRPr="00D21AB5">
              <w:rPr>
                <w:rFonts w:ascii="Times New Roman" w:hAnsi="Times New Roman" w:cs="Times New Roman"/>
                <w:sz w:val="25"/>
                <w:szCs w:val="25"/>
                <w:shd w:val="clear" w:color="auto" w:fill="FFFFFF"/>
              </w:rPr>
              <w:t xml:space="preserve">3.5.apakšpunktu šādi projekti uzskatāmi par “nefunkcionējošiem projektiem”. Saskaņā ar EK slēgšanas pamatnostādnēm, </w:t>
            </w:r>
            <w:r w:rsidR="008D024C" w:rsidRPr="00D21AB5">
              <w:rPr>
                <w:rFonts w:ascii="Times New Roman" w:hAnsi="Times New Roman" w:cs="Times New Roman"/>
                <w:sz w:val="25"/>
                <w:szCs w:val="25"/>
                <w:shd w:val="clear" w:color="auto" w:fill="FFFFFF"/>
              </w:rPr>
              <w:t>tiek paredzēta</w:t>
            </w:r>
            <w:r w:rsidRPr="00D21AB5">
              <w:rPr>
                <w:rFonts w:ascii="Times New Roman" w:hAnsi="Times New Roman" w:cs="Times New Roman"/>
                <w:sz w:val="25"/>
                <w:szCs w:val="25"/>
                <w:shd w:val="clear" w:color="auto" w:fill="FFFFFF"/>
              </w:rPr>
              <w:t xml:space="preserve"> </w:t>
            </w:r>
            <w:r w:rsidR="008D024C" w:rsidRPr="00D21AB5">
              <w:rPr>
                <w:rFonts w:ascii="Times New Roman" w:hAnsi="Times New Roman" w:cs="Times New Roman"/>
                <w:sz w:val="25"/>
                <w:szCs w:val="25"/>
                <w:shd w:val="clear" w:color="auto" w:fill="FFFFFF"/>
              </w:rPr>
              <w:t xml:space="preserve">iespēja </w:t>
            </w:r>
            <w:r w:rsidRPr="00D21AB5">
              <w:rPr>
                <w:rFonts w:ascii="Times New Roman" w:hAnsi="Times New Roman" w:cs="Times New Roman"/>
                <w:sz w:val="25"/>
                <w:szCs w:val="25"/>
                <w:shd w:val="clear" w:color="auto" w:fill="FFFFFF"/>
              </w:rPr>
              <w:t xml:space="preserve">saglabāt ES līdzfinansējumu par tādiem “nefunkcionējošu” projektu izdevumiem, kas veikti līdz </w:t>
            </w:r>
            <w:r w:rsidR="00191C3E" w:rsidRPr="00D21AB5">
              <w:rPr>
                <w:rFonts w:ascii="Times New Roman" w:hAnsi="Times New Roman" w:cs="Times New Roman"/>
                <w:sz w:val="25"/>
                <w:szCs w:val="25"/>
                <w:shd w:val="clear" w:color="auto" w:fill="FFFFFF"/>
              </w:rPr>
              <w:t>2015.gada 31.decembrim</w:t>
            </w:r>
            <w:r w:rsidR="00191C3E" w:rsidRPr="00D21AB5" w:rsidDel="00191C3E">
              <w:rPr>
                <w:rFonts w:ascii="Times New Roman" w:hAnsi="Times New Roman" w:cs="Times New Roman"/>
                <w:sz w:val="25"/>
                <w:szCs w:val="25"/>
                <w:shd w:val="clear" w:color="auto" w:fill="FFFFFF"/>
              </w:rPr>
              <w:t xml:space="preserve"> </w:t>
            </w:r>
            <w:r w:rsidRPr="00D21AB5">
              <w:rPr>
                <w:rFonts w:ascii="Times New Roman" w:hAnsi="Times New Roman" w:cs="Times New Roman"/>
                <w:sz w:val="25"/>
                <w:szCs w:val="25"/>
                <w:shd w:val="clear" w:color="auto" w:fill="FFFFFF"/>
              </w:rPr>
              <w:t>un iekļauti EK noslēguma dekl</w:t>
            </w:r>
            <w:r w:rsidR="00390ABF" w:rsidRPr="00D21AB5">
              <w:rPr>
                <w:rFonts w:ascii="Times New Roman" w:hAnsi="Times New Roman" w:cs="Times New Roman"/>
                <w:sz w:val="25"/>
                <w:szCs w:val="25"/>
                <w:shd w:val="clear" w:color="auto" w:fill="FFFFFF"/>
              </w:rPr>
              <w:t>ar</w:t>
            </w:r>
            <w:r w:rsidRPr="00D21AB5">
              <w:rPr>
                <w:rFonts w:ascii="Times New Roman" w:hAnsi="Times New Roman" w:cs="Times New Roman"/>
                <w:sz w:val="25"/>
                <w:szCs w:val="25"/>
                <w:shd w:val="clear" w:color="auto" w:fill="FFFFFF"/>
              </w:rPr>
              <w:t xml:space="preserve">ācijā, ja šie projekti ir pabeigti </w:t>
            </w:r>
            <w:r w:rsidRPr="00D21AB5">
              <w:rPr>
                <w:rFonts w:ascii="Times New Roman" w:hAnsi="Times New Roman" w:cs="Times New Roman"/>
                <w:sz w:val="25"/>
                <w:szCs w:val="25"/>
                <w:shd w:val="clear" w:color="auto" w:fill="FFFFFF"/>
              </w:rPr>
              <w:lastRenderedPageBreak/>
              <w:t>un to funkcionalitāte ir nodrošināta</w:t>
            </w:r>
            <w:r w:rsidR="0032569A" w:rsidRPr="00C64CB5">
              <w:rPr>
                <w:rFonts w:ascii="Times New Roman" w:hAnsi="Times New Roman" w:cs="Times New Roman"/>
                <w:sz w:val="25"/>
                <w:szCs w:val="25"/>
                <w:shd w:val="clear" w:color="auto" w:fill="FFFFFF"/>
              </w:rPr>
              <w:t xml:space="preserve"> (tai skaitā nodrošināta projekta mērķa sasniegšana)</w:t>
            </w:r>
            <w:r w:rsidRPr="00C64CB5">
              <w:rPr>
                <w:rFonts w:ascii="Times New Roman" w:hAnsi="Times New Roman" w:cs="Times New Roman"/>
                <w:sz w:val="25"/>
                <w:szCs w:val="25"/>
                <w:shd w:val="clear" w:color="auto" w:fill="FFFFFF"/>
              </w:rPr>
              <w:t xml:space="preserve"> </w:t>
            </w:r>
            <w:r w:rsidRPr="00D21AB5">
              <w:rPr>
                <w:rFonts w:ascii="Times New Roman" w:hAnsi="Times New Roman" w:cs="Times New Roman"/>
                <w:sz w:val="25"/>
                <w:szCs w:val="25"/>
                <w:shd w:val="clear" w:color="auto" w:fill="FFFFFF"/>
              </w:rPr>
              <w:t>ne vēlāk kā līdz 2019</w:t>
            </w:r>
            <w:r w:rsidR="00191C3E" w:rsidRPr="00D21AB5">
              <w:rPr>
                <w:rFonts w:ascii="Times New Roman" w:hAnsi="Times New Roman" w:cs="Times New Roman"/>
                <w:sz w:val="25"/>
                <w:szCs w:val="25"/>
                <w:shd w:val="clear" w:color="auto" w:fill="FFFFFF"/>
              </w:rPr>
              <w:t>.gada 31.</w:t>
            </w:r>
            <w:r w:rsidR="00642790" w:rsidRPr="00673E46">
              <w:rPr>
                <w:rFonts w:ascii="Times New Roman" w:hAnsi="Times New Roman" w:cs="Times New Roman"/>
                <w:sz w:val="25"/>
                <w:szCs w:val="25"/>
                <w:shd w:val="clear" w:color="auto" w:fill="FFFFFF"/>
              </w:rPr>
              <w:t>martam</w:t>
            </w:r>
            <w:r w:rsidRPr="00673E46">
              <w:rPr>
                <w:rFonts w:ascii="Times New Roman" w:hAnsi="Times New Roman" w:cs="Times New Roman"/>
                <w:sz w:val="25"/>
                <w:szCs w:val="25"/>
                <w:shd w:val="clear" w:color="auto" w:fill="FFFFFF"/>
              </w:rPr>
              <w:t>, t.</w:t>
            </w:r>
            <w:r w:rsidRPr="00D21AB5">
              <w:rPr>
                <w:rFonts w:ascii="Times New Roman" w:hAnsi="Times New Roman" w:cs="Times New Roman"/>
                <w:sz w:val="25"/>
                <w:szCs w:val="25"/>
                <w:shd w:val="clear" w:color="auto" w:fill="FFFFFF"/>
              </w:rPr>
              <w:t xml:space="preserve">i., </w:t>
            </w:r>
            <w:r w:rsidR="007442E5">
              <w:rPr>
                <w:rFonts w:ascii="Times New Roman" w:hAnsi="Times New Roman" w:cs="Times New Roman"/>
                <w:sz w:val="25"/>
                <w:szCs w:val="25"/>
                <w:shd w:val="clear" w:color="auto" w:fill="FFFFFF"/>
              </w:rPr>
              <w:t>div</w:t>
            </w:r>
            <w:r w:rsidR="003E1FE4">
              <w:rPr>
                <w:rFonts w:ascii="Times New Roman" w:hAnsi="Times New Roman" w:cs="Times New Roman"/>
                <w:sz w:val="25"/>
                <w:szCs w:val="25"/>
                <w:shd w:val="clear" w:color="auto" w:fill="FFFFFF"/>
              </w:rPr>
              <w:t>us</w:t>
            </w:r>
            <w:r w:rsidR="007442E5">
              <w:rPr>
                <w:rFonts w:ascii="Times New Roman" w:hAnsi="Times New Roman" w:cs="Times New Roman"/>
                <w:sz w:val="25"/>
                <w:szCs w:val="25"/>
                <w:shd w:val="clear" w:color="auto" w:fill="FFFFFF"/>
              </w:rPr>
              <w:t xml:space="preserve"> gad</w:t>
            </w:r>
            <w:r w:rsidR="003E1FE4">
              <w:rPr>
                <w:rFonts w:ascii="Times New Roman" w:hAnsi="Times New Roman" w:cs="Times New Roman"/>
                <w:sz w:val="25"/>
                <w:szCs w:val="25"/>
                <w:shd w:val="clear" w:color="auto" w:fill="FFFFFF"/>
              </w:rPr>
              <w:t>us</w:t>
            </w:r>
            <w:r w:rsidR="007442E5">
              <w:rPr>
                <w:rFonts w:ascii="Times New Roman" w:hAnsi="Times New Roman" w:cs="Times New Roman"/>
                <w:sz w:val="25"/>
                <w:szCs w:val="25"/>
                <w:shd w:val="clear" w:color="auto" w:fill="FFFFFF"/>
              </w:rPr>
              <w:t xml:space="preserve"> </w:t>
            </w:r>
            <w:r w:rsidRPr="00D21AB5">
              <w:rPr>
                <w:rFonts w:ascii="Times New Roman" w:hAnsi="Times New Roman" w:cs="Times New Roman"/>
                <w:sz w:val="25"/>
                <w:szCs w:val="25"/>
                <w:shd w:val="clear" w:color="auto" w:fill="FFFFFF"/>
              </w:rPr>
              <w:t xml:space="preserve">pēc slēgšanas dokumentu </w:t>
            </w:r>
            <w:r w:rsidR="008D024C" w:rsidRPr="00D21AB5">
              <w:rPr>
                <w:rFonts w:ascii="Times New Roman" w:hAnsi="Times New Roman" w:cs="Times New Roman"/>
                <w:sz w:val="25"/>
                <w:szCs w:val="25"/>
                <w:shd w:val="clear" w:color="auto" w:fill="FFFFFF"/>
              </w:rPr>
              <w:t xml:space="preserve">iesniegšanas </w:t>
            </w:r>
            <w:r w:rsidR="00E133E8">
              <w:rPr>
                <w:rFonts w:ascii="Times New Roman" w:hAnsi="Times New Roman" w:cs="Times New Roman"/>
                <w:sz w:val="25"/>
                <w:szCs w:val="25"/>
                <w:shd w:val="clear" w:color="auto" w:fill="FFFFFF"/>
              </w:rPr>
              <w:t xml:space="preserve">termiņa </w:t>
            </w:r>
            <w:r w:rsidRPr="00D21AB5">
              <w:rPr>
                <w:rFonts w:ascii="Times New Roman" w:hAnsi="Times New Roman" w:cs="Times New Roman"/>
                <w:sz w:val="25"/>
                <w:szCs w:val="25"/>
                <w:shd w:val="clear" w:color="auto" w:fill="FFFFFF"/>
              </w:rPr>
              <w:t>EK. Savukārt, atbilstoši Regulas Nr.1083/2006 78</w:t>
            </w:r>
            <w:r w:rsidRPr="00673E46">
              <w:rPr>
                <w:rFonts w:ascii="Times New Roman" w:hAnsi="Times New Roman" w:cs="Times New Roman"/>
                <w:sz w:val="25"/>
                <w:szCs w:val="25"/>
                <w:shd w:val="clear" w:color="auto" w:fill="FFFFFF"/>
              </w:rPr>
              <w:t>.panta 1.punktam un EK slēgšanas pamatnostādņu 3.8.</w:t>
            </w:r>
            <w:r w:rsidR="00201E67" w:rsidRPr="00673E46">
              <w:rPr>
                <w:rFonts w:ascii="Times New Roman" w:hAnsi="Times New Roman" w:cs="Times New Roman"/>
                <w:sz w:val="25"/>
                <w:szCs w:val="25"/>
                <w:shd w:val="clear" w:color="auto" w:fill="FFFFFF"/>
              </w:rPr>
              <w:t>apakš</w:t>
            </w:r>
            <w:r w:rsidRPr="00673E46">
              <w:rPr>
                <w:rFonts w:ascii="Times New Roman" w:hAnsi="Times New Roman" w:cs="Times New Roman"/>
                <w:sz w:val="25"/>
                <w:szCs w:val="25"/>
                <w:shd w:val="clear" w:color="auto" w:fill="FFFFFF"/>
              </w:rPr>
              <w:t>punktam</w:t>
            </w:r>
            <w:r w:rsidRPr="00D21AB5">
              <w:rPr>
                <w:rFonts w:ascii="Times New Roman" w:hAnsi="Times New Roman" w:cs="Times New Roman"/>
                <w:sz w:val="25"/>
                <w:szCs w:val="25"/>
                <w:shd w:val="clear" w:color="auto" w:fill="FFFFFF"/>
              </w:rPr>
              <w:t xml:space="preserve"> </w:t>
            </w:r>
            <w:r w:rsidR="008D024C" w:rsidRPr="00D21AB5">
              <w:rPr>
                <w:rFonts w:ascii="Times New Roman" w:hAnsi="Times New Roman" w:cs="Times New Roman"/>
                <w:sz w:val="25"/>
                <w:szCs w:val="25"/>
                <w:shd w:val="clear" w:color="auto" w:fill="FFFFFF"/>
              </w:rPr>
              <w:t>ES</w:t>
            </w:r>
            <w:r w:rsidRPr="00D21AB5">
              <w:rPr>
                <w:rFonts w:ascii="Times New Roman" w:hAnsi="Times New Roman" w:cs="Times New Roman"/>
                <w:sz w:val="25"/>
                <w:szCs w:val="25"/>
                <w:shd w:val="clear" w:color="auto" w:fill="FFFFFF"/>
              </w:rPr>
              <w:t xml:space="preserve"> līdzfinansētajā projektā, kas īstenots kā valsts atbalsta projekts atbilstoši EK lēmumam, valsts atbalstam ir jābūt izmaksātam finansējuma saņēmējam pirms slēgšanas dokumentu iesniegšana</w:t>
            </w:r>
            <w:r w:rsidR="003E1FE4">
              <w:rPr>
                <w:rFonts w:ascii="Times New Roman" w:hAnsi="Times New Roman" w:cs="Times New Roman"/>
                <w:sz w:val="25"/>
                <w:szCs w:val="25"/>
                <w:shd w:val="clear" w:color="auto" w:fill="FFFFFF"/>
              </w:rPr>
              <w:t>s</w:t>
            </w:r>
            <w:r w:rsidRPr="00D21AB5">
              <w:rPr>
                <w:rFonts w:ascii="Times New Roman" w:hAnsi="Times New Roman" w:cs="Times New Roman"/>
                <w:sz w:val="25"/>
                <w:szCs w:val="25"/>
                <w:shd w:val="clear" w:color="auto" w:fill="FFFFFF"/>
              </w:rPr>
              <w:t xml:space="preserve"> </w:t>
            </w:r>
            <w:r w:rsidR="008D024C" w:rsidRPr="00D21AB5">
              <w:rPr>
                <w:rFonts w:ascii="Times New Roman" w:hAnsi="Times New Roman" w:cs="Times New Roman"/>
                <w:sz w:val="25"/>
                <w:szCs w:val="25"/>
                <w:shd w:val="clear" w:color="auto" w:fill="FFFFFF"/>
              </w:rPr>
              <w:t>EK</w:t>
            </w:r>
            <w:r w:rsidRPr="00D21AB5">
              <w:rPr>
                <w:rFonts w:ascii="Times New Roman" w:hAnsi="Times New Roman" w:cs="Times New Roman"/>
                <w:sz w:val="25"/>
                <w:szCs w:val="25"/>
                <w:shd w:val="clear" w:color="auto" w:fill="FFFFFF"/>
              </w:rPr>
              <w:t>, t.i.</w:t>
            </w:r>
            <w:r w:rsidR="003E1FE4">
              <w:rPr>
                <w:rFonts w:ascii="Times New Roman" w:hAnsi="Times New Roman" w:cs="Times New Roman"/>
                <w:sz w:val="25"/>
                <w:szCs w:val="25"/>
                <w:shd w:val="clear" w:color="auto" w:fill="FFFFFF"/>
              </w:rPr>
              <w:t>,</w:t>
            </w:r>
            <w:r w:rsidRPr="00D21AB5">
              <w:rPr>
                <w:rFonts w:ascii="Times New Roman" w:hAnsi="Times New Roman" w:cs="Times New Roman"/>
                <w:sz w:val="25"/>
                <w:szCs w:val="25"/>
                <w:shd w:val="clear" w:color="auto" w:fill="FFFFFF"/>
              </w:rPr>
              <w:t xml:space="preserve"> līdz 2017.gada 31.martam. Līdz ar to visi maksājum</w:t>
            </w:r>
            <w:r w:rsidR="008D024C" w:rsidRPr="00D21AB5">
              <w:rPr>
                <w:rFonts w:ascii="Times New Roman" w:hAnsi="Times New Roman" w:cs="Times New Roman"/>
                <w:sz w:val="25"/>
                <w:szCs w:val="25"/>
                <w:shd w:val="clear" w:color="auto" w:fill="FFFFFF"/>
              </w:rPr>
              <w:t>u</w:t>
            </w:r>
            <w:r w:rsidR="00BF066A" w:rsidRPr="00D21AB5">
              <w:rPr>
                <w:rFonts w:ascii="Times New Roman" w:hAnsi="Times New Roman" w:cs="Times New Roman"/>
                <w:sz w:val="25"/>
                <w:szCs w:val="25"/>
                <w:shd w:val="clear" w:color="auto" w:fill="FFFFFF"/>
              </w:rPr>
              <w:t xml:space="preserve"> pieprasījumi </w:t>
            </w:r>
            <w:r w:rsidR="00234C4B" w:rsidRPr="00D21AB5">
              <w:rPr>
                <w:rFonts w:ascii="Times New Roman" w:hAnsi="Times New Roman" w:cs="Times New Roman"/>
                <w:sz w:val="25"/>
                <w:szCs w:val="25"/>
                <w:shd w:val="clear" w:color="auto" w:fill="FFFFFF"/>
              </w:rPr>
              <w:t>par izdevumiem</w:t>
            </w:r>
            <w:r w:rsidRPr="00D21AB5">
              <w:rPr>
                <w:rFonts w:ascii="Times New Roman" w:hAnsi="Times New Roman" w:cs="Times New Roman"/>
                <w:sz w:val="25"/>
                <w:szCs w:val="25"/>
                <w:shd w:val="clear" w:color="auto" w:fill="FFFFFF"/>
              </w:rPr>
              <w:t xml:space="preserve">, ko finansējuma saņēmējs </w:t>
            </w:r>
            <w:r w:rsidR="007C1C46" w:rsidRPr="00D21AB5">
              <w:rPr>
                <w:rFonts w:ascii="Times New Roman" w:hAnsi="Times New Roman" w:cs="Times New Roman"/>
                <w:sz w:val="25"/>
                <w:szCs w:val="25"/>
                <w:shd w:val="clear" w:color="auto" w:fill="FFFFFF"/>
              </w:rPr>
              <w:t xml:space="preserve">šajos projektos </w:t>
            </w:r>
            <w:r w:rsidRPr="00D21AB5">
              <w:rPr>
                <w:rFonts w:ascii="Times New Roman" w:hAnsi="Times New Roman" w:cs="Times New Roman"/>
                <w:sz w:val="25"/>
                <w:szCs w:val="25"/>
                <w:shd w:val="clear" w:color="auto" w:fill="FFFFFF"/>
              </w:rPr>
              <w:t xml:space="preserve">ir veicis līdz </w:t>
            </w:r>
            <w:r w:rsidR="00191C3E" w:rsidRPr="00D21AB5">
              <w:rPr>
                <w:rFonts w:ascii="Times New Roman" w:hAnsi="Times New Roman" w:cs="Times New Roman"/>
                <w:sz w:val="25"/>
                <w:szCs w:val="25"/>
                <w:shd w:val="clear" w:color="auto" w:fill="FFFFFF"/>
              </w:rPr>
              <w:t>2015.gada 31.decembrim</w:t>
            </w:r>
            <w:r w:rsidR="00BF066A" w:rsidRPr="00D21AB5">
              <w:rPr>
                <w:rFonts w:ascii="Times New Roman" w:hAnsi="Times New Roman" w:cs="Times New Roman"/>
                <w:sz w:val="25"/>
                <w:szCs w:val="25"/>
                <w:shd w:val="clear" w:color="auto" w:fill="FFFFFF"/>
              </w:rPr>
              <w:t>,</w:t>
            </w:r>
            <w:r w:rsidRPr="00D21AB5">
              <w:rPr>
                <w:rFonts w:ascii="Times New Roman" w:hAnsi="Times New Roman" w:cs="Times New Roman"/>
                <w:sz w:val="25"/>
                <w:szCs w:val="25"/>
                <w:shd w:val="clear" w:color="auto" w:fill="FFFFFF"/>
              </w:rPr>
              <w:t xml:space="preserve"> sadarbības iestādei vai atbildīgajai iestādei</w:t>
            </w:r>
            <w:r w:rsidR="00060F5A" w:rsidRPr="00D21AB5">
              <w:rPr>
                <w:rFonts w:ascii="Times New Roman" w:hAnsi="Times New Roman" w:cs="Times New Roman"/>
                <w:sz w:val="25"/>
                <w:szCs w:val="25"/>
                <w:shd w:val="clear" w:color="auto" w:fill="FFFFFF"/>
              </w:rPr>
              <w:t xml:space="preserve"> ir jāiesniedz </w:t>
            </w:r>
            <w:r w:rsidRPr="00D21AB5">
              <w:rPr>
                <w:rFonts w:ascii="Times New Roman" w:hAnsi="Times New Roman" w:cs="Times New Roman"/>
                <w:sz w:val="25"/>
                <w:szCs w:val="25"/>
                <w:shd w:val="clear" w:color="auto" w:fill="FFFFFF"/>
              </w:rPr>
              <w:t>maksājumu iestād</w:t>
            </w:r>
            <w:r w:rsidR="005550D3" w:rsidRPr="00D21AB5">
              <w:rPr>
                <w:rFonts w:ascii="Times New Roman" w:hAnsi="Times New Roman" w:cs="Times New Roman"/>
                <w:sz w:val="25"/>
                <w:szCs w:val="25"/>
                <w:shd w:val="clear" w:color="auto" w:fill="FFFFFF"/>
              </w:rPr>
              <w:t>ē</w:t>
            </w:r>
            <w:r w:rsidRPr="00D21AB5">
              <w:rPr>
                <w:rFonts w:ascii="Times New Roman" w:hAnsi="Times New Roman" w:cs="Times New Roman"/>
                <w:sz w:val="25"/>
                <w:szCs w:val="25"/>
                <w:shd w:val="clear" w:color="auto" w:fill="FFFFFF"/>
              </w:rPr>
              <w:t xml:space="preserve"> līdz  </w:t>
            </w:r>
            <w:r w:rsidR="00BD3647" w:rsidRPr="00D21AB5">
              <w:rPr>
                <w:rFonts w:ascii="Times New Roman" w:hAnsi="Times New Roman" w:cs="Times New Roman"/>
                <w:sz w:val="25"/>
                <w:szCs w:val="25"/>
                <w:shd w:val="clear" w:color="auto" w:fill="FFFFFF"/>
              </w:rPr>
              <w:t>MK</w:t>
            </w:r>
            <w:r w:rsidRPr="00D21AB5">
              <w:rPr>
                <w:rFonts w:ascii="Times New Roman" w:hAnsi="Times New Roman" w:cs="Times New Roman"/>
                <w:sz w:val="25"/>
                <w:szCs w:val="25"/>
                <w:shd w:val="clear" w:color="auto" w:fill="FFFFFF"/>
              </w:rPr>
              <w:t xml:space="preserve"> 2010.gada 9.novembra noteikumos Nr.1041 „Kārtība, kādā paredzami valsts budžeta līdzekļi Eiropas Savienības struktūrfondu un Kohēzijas fonda līdzfinansēto projektu īstenošanai, kā arī maksājumu veikšanas un izdevumu deklarācijas sagatavošanas kārtība” (</w:t>
            </w:r>
            <w:r w:rsidR="002F797A">
              <w:rPr>
                <w:rFonts w:ascii="Times New Roman" w:hAnsi="Times New Roman" w:cs="Times New Roman"/>
                <w:sz w:val="25"/>
                <w:szCs w:val="25"/>
                <w:shd w:val="clear" w:color="auto" w:fill="FFFFFF"/>
              </w:rPr>
              <w:t xml:space="preserve">turpmāk – MK noteikumi Nr.1041) </w:t>
            </w:r>
            <w:r w:rsidRPr="00D21AB5">
              <w:rPr>
                <w:rFonts w:ascii="Times New Roman" w:hAnsi="Times New Roman" w:cs="Times New Roman"/>
                <w:sz w:val="25"/>
                <w:szCs w:val="25"/>
                <w:shd w:val="clear" w:color="auto" w:fill="FFFFFF"/>
              </w:rPr>
              <w:t xml:space="preserve">30.2.apakšpunktā </w:t>
            </w:r>
            <w:r w:rsidR="008D4D1C" w:rsidRPr="00D21AB5">
              <w:rPr>
                <w:rFonts w:ascii="Times New Roman" w:hAnsi="Times New Roman" w:cs="Times New Roman"/>
                <w:sz w:val="25"/>
                <w:szCs w:val="25"/>
                <w:shd w:val="clear" w:color="auto" w:fill="FFFFFF"/>
              </w:rPr>
              <w:t>noteiktajam</w:t>
            </w:r>
            <w:r w:rsidRPr="00D21AB5">
              <w:rPr>
                <w:rFonts w:ascii="Times New Roman" w:hAnsi="Times New Roman" w:cs="Times New Roman"/>
                <w:sz w:val="25"/>
                <w:szCs w:val="25"/>
                <w:shd w:val="clear" w:color="auto" w:fill="FFFFFF"/>
              </w:rPr>
              <w:t xml:space="preserve"> termiņ</w:t>
            </w:r>
            <w:r w:rsidR="008D4D1C" w:rsidRPr="00D21AB5">
              <w:rPr>
                <w:rFonts w:ascii="Times New Roman" w:hAnsi="Times New Roman" w:cs="Times New Roman"/>
                <w:sz w:val="25"/>
                <w:szCs w:val="25"/>
                <w:shd w:val="clear" w:color="auto" w:fill="FFFFFF"/>
              </w:rPr>
              <w:t>am</w:t>
            </w:r>
            <w:r w:rsidR="005E781A" w:rsidRPr="00D21AB5">
              <w:rPr>
                <w:rFonts w:ascii="Times New Roman" w:hAnsi="Times New Roman" w:cs="Times New Roman"/>
                <w:sz w:val="25"/>
                <w:szCs w:val="25"/>
                <w:shd w:val="clear" w:color="auto" w:fill="FFFFFF"/>
              </w:rPr>
              <w:t>.</w:t>
            </w:r>
            <w:r w:rsidR="00896E5F" w:rsidRPr="00D21AB5">
              <w:rPr>
                <w:rFonts w:ascii="Times New Roman" w:hAnsi="Times New Roman" w:cs="Times New Roman"/>
                <w:sz w:val="25"/>
                <w:szCs w:val="25"/>
                <w:shd w:val="clear" w:color="auto" w:fill="FFFFFF"/>
              </w:rPr>
              <w:t xml:space="preserve"> </w:t>
            </w:r>
          </w:p>
          <w:p w14:paraId="47547046" w14:textId="176EDBBF" w:rsidR="000479EB" w:rsidRPr="00D21AB5" w:rsidRDefault="000479EB" w:rsidP="000479EB">
            <w:pPr>
              <w:tabs>
                <w:tab w:val="left" w:pos="423"/>
                <w:tab w:val="left" w:pos="6444"/>
              </w:tabs>
              <w:spacing w:after="0" w:line="240" w:lineRule="auto"/>
              <w:ind w:right="141" w:firstLine="281"/>
              <w:jc w:val="both"/>
              <w:rPr>
                <w:rFonts w:ascii="Times New Roman" w:hAnsi="Times New Roman" w:cs="Times New Roman"/>
                <w:sz w:val="25"/>
                <w:szCs w:val="25"/>
                <w:shd w:val="clear" w:color="auto" w:fill="FFFFFF"/>
              </w:rPr>
            </w:pPr>
            <w:r w:rsidRPr="00D21AB5">
              <w:rPr>
                <w:rFonts w:ascii="Times New Roman" w:hAnsi="Times New Roman" w:cs="Times New Roman"/>
                <w:sz w:val="25"/>
                <w:szCs w:val="25"/>
                <w:shd w:val="clear" w:color="auto" w:fill="FFFFFF"/>
              </w:rPr>
              <w:t>Lai deklarētu EK augstāk minēto nefunkcionējošo projektu ietvaros līdz 2015.</w:t>
            </w:r>
            <w:r w:rsidR="00201E67">
              <w:rPr>
                <w:rFonts w:ascii="Times New Roman" w:hAnsi="Times New Roman" w:cs="Times New Roman"/>
                <w:sz w:val="25"/>
                <w:szCs w:val="25"/>
                <w:shd w:val="clear" w:color="auto" w:fill="FFFFFF"/>
              </w:rPr>
              <w:t>gada 31.decembrim</w:t>
            </w:r>
            <w:r w:rsidRPr="00D21AB5">
              <w:rPr>
                <w:rFonts w:ascii="Times New Roman" w:hAnsi="Times New Roman" w:cs="Times New Roman"/>
                <w:sz w:val="25"/>
                <w:szCs w:val="25"/>
                <w:shd w:val="clear" w:color="auto" w:fill="FFFFFF"/>
              </w:rPr>
              <w:t xml:space="preserve"> veiktos attiecināmos izdevumus maksimāli iespējamā apjomā</w:t>
            </w:r>
            <w:r w:rsidR="00791217" w:rsidRPr="00D21AB5">
              <w:rPr>
                <w:rFonts w:ascii="Times New Roman" w:hAnsi="Times New Roman" w:cs="Times New Roman"/>
                <w:sz w:val="25"/>
                <w:szCs w:val="25"/>
                <w:shd w:val="clear" w:color="auto" w:fill="FFFFFF"/>
              </w:rPr>
              <w:t>,</w:t>
            </w:r>
            <w:r w:rsidRPr="00D21AB5">
              <w:rPr>
                <w:rFonts w:ascii="Times New Roman" w:hAnsi="Times New Roman" w:cs="Times New Roman"/>
                <w:sz w:val="25"/>
                <w:szCs w:val="25"/>
                <w:shd w:val="clear" w:color="auto" w:fill="FFFFFF"/>
              </w:rPr>
              <w:t xml:space="preserve"> MK noteikumu Nr.1041 16.3.apakšpunktu </w:t>
            </w:r>
            <w:r w:rsidR="002233BC" w:rsidRPr="00D21AB5">
              <w:rPr>
                <w:rFonts w:ascii="Times New Roman" w:hAnsi="Times New Roman" w:cs="Times New Roman"/>
                <w:sz w:val="25"/>
                <w:szCs w:val="25"/>
                <w:shd w:val="clear" w:color="auto" w:fill="FFFFFF"/>
              </w:rPr>
              <w:t xml:space="preserve">nepieciešams </w:t>
            </w:r>
            <w:r w:rsidRPr="00D21AB5">
              <w:rPr>
                <w:rFonts w:ascii="Times New Roman" w:hAnsi="Times New Roman" w:cs="Times New Roman"/>
                <w:sz w:val="25"/>
                <w:szCs w:val="25"/>
                <w:shd w:val="clear" w:color="auto" w:fill="FFFFFF"/>
              </w:rPr>
              <w:t>papildināt, norādot, ka izņēmuma gadījumā noslēguma maksājumu var veikt arī pirms projekta īstenošanas beigām</w:t>
            </w:r>
            <w:r w:rsidR="002233BC" w:rsidRPr="00D21AB5">
              <w:rPr>
                <w:rFonts w:ascii="Times New Roman" w:hAnsi="Times New Roman" w:cs="Times New Roman"/>
                <w:sz w:val="25"/>
                <w:szCs w:val="25"/>
                <w:shd w:val="clear" w:color="auto" w:fill="FFFFFF"/>
              </w:rPr>
              <w:t>, tai skaitā</w:t>
            </w:r>
            <w:r w:rsidRPr="00D21AB5">
              <w:rPr>
                <w:rFonts w:ascii="Times New Roman" w:hAnsi="Times New Roman" w:cs="Times New Roman"/>
                <w:sz w:val="25"/>
                <w:szCs w:val="25"/>
                <w:shd w:val="clear" w:color="auto" w:fill="FFFFFF"/>
              </w:rPr>
              <w:t xml:space="preserve"> tā funkcionalitātes nodrošināšanas, ja šāda īpaša izņēmuma kārtība ir noteikta MK noteikumos par aktivitātes īstenošanu, kur atrunāti arī šāda noslēguma maksājuma nosacījumi, t.sk. nodrošinājums, ja attiecināms.</w:t>
            </w:r>
            <w:r w:rsidR="00437A93" w:rsidRPr="00D21AB5">
              <w:rPr>
                <w:rFonts w:ascii="Times New Roman" w:hAnsi="Times New Roman" w:cs="Times New Roman"/>
                <w:sz w:val="25"/>
                <w:szCs w:val="25"/>
                <w:shd w:val="clear" w:color="auto" w:fill="FFFFFF"/>
              </w:rPr>
              <w:t xml:space="preserve"> Ja grozījumi netiks </w:t>
            </w:r>
            <w:r w:rsidR="002233BC" w:rsidRPr="00D21AB5">
              <w:rPr>
                <w:rFonts w:ascii="Times New Roman" w:hAnsi="Times New Roman" w:cs="Times New Roman"/>
                <w:sz w:val="25"/>
                <w:szCs w:val="25"/>
                <w:shd w:val="clear" w:color="auto" w:fill="FFFFFF"/>
              </w:rPr>
              <w:t>izdarīti</w:t>
            </w:r>
            <w:r w:rsidR="00437A93" w:rsidRPr="00D21AB5">
              <w:rPr>
                <w:rFonts w:ascii="Times New Roman" w:hAnsi="Times New Roman" w:cs="Times New Roman"/>
                <w:sz w:val="25"/>
                <w:szCs w:val="25"/>
                <w:shd w:val="clear" w:color="auto" w:fill="FFFFFF"/>
              </w:rPr>
              <w:t xml:space="preserve">, iepriekš minēto nefunkcionējošo projektu izdevumi netiks attiecināti no ES fondu finansējuma. </w:t>
            </w:r>
          </w:p>
          <w:p w14:paraId="6C6E2BB0" w14:textId="31AC90D4" w:rsidR="009E766E" w:rsidRPr="00D21AB5" w:rsidRDefault="002233BC" w:rsidP="003B44B9">
            <w:pPr>
              <w:tabs>
                <w:tab w:val="left" w:pos="423"/>
                <w:tab w:val="left" w:pos="6444"/>
              </w:tabs>
              <w:spacing w:after="0" w:line="240" w:lineRule="auto"/>
              <w:ind w:right="141" w:firstLine="281"/>
              <w:jc w:val="both"/>
              <w:rPr>
                <w:rFonts w:ascii="Times New Roman" w:hAnsi="Times New Roman" w:cs="Times New Roman"/>
                <w:sz w:val="25"/>
                <w:szCs w:val="25"/>
                <w:shd w:val="clear" w:color="auto" w:fill="FFFFFF"/>
              </w:rPr>
            </w:pPr>
            <w:r w:rsidRPr="00D21AB5">
              <w:rPr>
                <w:rFonts w:ascii="Times New Roman" w:hAnsi="Times New Roman" w:cs="Times New Roman"/>
                <w:sz w:val="25"/>
                <w:szCs w:val="25"/>
                <w:shd w:val="clear" w:color="auto" w:fill="FFFFFF"/>
              </w:rPr>
              <w:t xml:space="preserve">Otrkārt, </w:t>
            </w:r>
            <w:r w:rsidR="000479EB" w:rsidRPr="00D21AB5">
              <w:rPr>
                <w:rFonts w:ascii="Times New Roman" w:hAnsi="Times New Roman" w:cs="Times New Roman"/>
                <w:sz w:val="25"/>
                <w:szCs w:val="25"/>
                <w:shd w:val="clear" w:color="auto" w:fill="FFFFFF"/>
              </w:rPr>
              <w:t>noteikumu projekts paredz pagarināt MK noteikumu Nr.1041 30</w:t>
            </w:r>
            <w:r w:rsidR="00186666" w:rsidRPr="00D21AB5">
              <w:rPr>
                <w:rFonts w:ascii="Times New Roman" w:hAnsi="Times New Roman" w:cs="Times New Roman"/>
                <w:sz w:val="25"/>
                <w:szCs w:val="25"/>
                <w:shd w:val="clear" w:color="auto" w:fill="FFFFFF"/>
              </w:rPr>
              <w:t xml:space="preserve">.2.apakšpunktā noteikto termiņu, </w:t>
            </w:r>
            <w:r w:rsidR="000479EB" w:rsidRPr="00D21AB5">
              <w:rPr>
                <w:rFonts w:ascii="Times New Roman" w:hAnsi="Times New Roman" w:cs="Times New Roman"/>
                <w:sz w:val="25"/>
                <w:szCs w:val="25"/>
                <w:shd w:val="clear" w:color="auto" w:fill="FFFFFF"/>
              </w:rPr>
              <w:t>līdz</w:t>
            </w:r>
            <w:r w:rsidR="007D0F67">
              <w:rPr>
                <w:rFonts w:ascii="Times New Roman" w:hAnsi="Times New Roman" w:cs="Times New Roman"/>
                <w:sz w:val="25"/>
                <w:szCs w:val="25"/>
                <w:shd w:val="clear" w:color="auto" w:fill="FFFFFF"/>
              </w:rPr>
              <w:t xml:space="preserve"> </w:t>
            </w:r>
            <w:r w:rsidR="003B44B9">
              <w:rPr>
                <w:rFonts w:ascii="Times New Roman" w:hAnsi="Times New Roman" w:cs="Times New Roman"/>
                <w:sz w:val="25"/>
                <w:szCs w:val="25"/>
                <w:shd w:val="clear" w:color="auto" w:fill="FFFFFF"/>
              </w:rPr>
              <w:t>2016</w:t>
            </w:r>
            <w:r w:rsidR="007D0F67">
              <w:rPr>
                <w:rFonts w:ascii="Times New Roman" w:hAnsi="Times New Roman" w:cs="Times New Roman"/>
                <w:sz w:val="25"/>
                <w:szCs w:val="25"/>
                <w:shd w:val="clear" w:color="auto" w:fill="FFFFFF"/>
              </w:rPr>
              <w:t xml:space="preserve">.gada 31.martam – datums, līdz </w:t>
            </w:r>
            <w:r w:rsidR="000479EB" w:rsidRPr="00D21AB5">
              <w:rPr>
                <w:rFonts w:ascii="Times New Roman" w:hAnsi="Times New Roman" w:cs="Times New Roman"/>
                <w:sz w:val="25"/>
                <w:szCs w:val="25"/>
                <w:shd w:val="clear" w:color="auto" w:fill="FFFFFF"/>
              </w:rPr>
              <w:t>kuram maksājumu iestāde pieņem maksājumu pieprasījumus un maksājumu rīkojumu no atbildīgās iestādes vai sadarbības iestādes. Minētais termiņš tiek pagarināts, ņemot vērā</w:t>
            </w:r>
            <w:r w:rsidR="00030BC3" w:rsidRPr="00D21AB5">
              <w:rPr>
                <w:rFonts w:ascii="Times New Roman" w:hAnsi="Times New Roman" w:cs="Times New Roman"/>
                <w:sz w:val="25"/>
                <w:szCs w:val="25"/>
                <w:shd w:val="clear" w:color="auto" w:fill="FFFFFF"/>
              </w:rPr>
              <w:t xml:space="preserve"> to, ka</w:t>
            </w:r>
            <w:r w:rsidR="000479EB" w:rsidRPr="00D21AB5">
              <w:rPr>
                <w:rFonts w:ascii="Times New Roman" w:hAnsi="Times New Roman" w:cs="Times New Roman"/>
                <w:sz w:val="25"/>
                <w:szCs w:val="25"/>
                <w:shd w:val="clear" w:color="auto" w:fill="FFFFFF"/>
              </w:rPr>
              <w:t xml:space="preserve"> šobrīd intensīvi tiek pagarināti projektu īstenošanas termiņi, tādejādi nepieciešams noteikt garāku termiņu iestādēm, lai tās kvalitatīvāk varētu pārbaudīt </w:t>
            </w:r>
            <w:r w:rsidR="001B3CBB" w:rsidRPr="00D21AB5">
              <w:rPr>
                <w:rFonts w:ascii="Times New Roman" w:hAnsi="Times New Roman" w:cs="Times New Roman"/>
                <w:sz w:val="25"/>
                <w:szCs w:val="25"/>
                <w:shd w:val="clear" w:color="auto" w:fill="FFFFFF"/>
              </w:rPr>
              <w:t xml:space="preserve">iesniegtos </w:t>
            </w:r>
            <w:r w:rsidR="000479EB" w:rsidRPr="00D21AB5">
              <w:rPr>
                <w:rFonts w:ascii="Times New Roman" w:hAnsi="Times New Roman" w:cs="Times New Roman"/>
                <w:sz w:val="25"/>
                <w:szCs w:val="25"/>
                <w:shd w:val="clear" w:color="auto" w:fill="FFFFFF"/>
              </w:rPr>
              <w:t>maksājumu pieprasījumu</w:t>
            </w:r>
            <w:r w:rsidR="001B3CBB" w:rsidRPr="00D21AB5">
              <w:rPr>
                <w:rFonts w:ascii="Times New Roman" w:hAnsi="Times New Roman" w:cs="Times New Roman"/>
                <w:sz w:val="25"/>
                <w:szCs w:val="25"/>
                <w:shd w:val="clear" w:color="auto" w:fill="FFFFFF"/>
              </w:rPr>
              <w:t>s</w:t>
            </w:r>
            <w:r w:rsidR="000479EB" w:rsidRPr="00D21AB5">
              <w:rPr>
                <w:rFonts w:ascii="Times New Roman" w:hAnsi="Times New Roman" w:cs="Times New Roman"/>
                <w:sz w:val="25"/>
                <w:szCs w:val="25"/>
                <w:shd w:val="clear" w:color="auto" w:fill="FFFFFF"/>
              </w:rPr>
              <w:t>.</w:t>
            </w:r>
          </w:p>
        </w:tc>
      </w:tr>
      <w:tr w:rsidR="00CC1A56" w:rsidRPr="00D21AB5" w14:paraId="42D90952" w14:textId="77777777" w:rsidTr="001E645F">
        <w:trPr>
          <w:trHeight w:val="476"/>
        </w:trPr>
        <w:tc>
          <w:tcPr>
            <w:tcW w:w="227" w:type="pct"/>
          </w:tcPr>
          <w:p w14:paraId="5C692AA3" w14:textId="56B6012E" w:rsidR="00CC1A56" w:rsidRPr="00D21AB5" w:rsidRDefault="00CC1A56" w:rsidP="007D385B">
            <w:pPr>
              <w:pStyle w:val="naiskr"/>
              <w:spacing w:before="0" w:beforeAutospacing="0" w:after="0" w:afterAutospacing="0"/>
              <w:ind w:left="57" w:right="57"/>
              <w:jc w:val="center"/>
              <w:rPr>
                <w:sz w:val="25"/>
                <w:szCs w:val="25"/>
              </w:rPr>
            </w:pPr>
            <w:r w:rsidRPr="00D21AB5">
              <w:rPr>
                <w:sz w:val="25"/>
                <w:szCs w:val="25"/>
              </w:rPr>
              <w:lastRenderedPageBreak/>
              <w:t>3.</w:t>
            </w:r>
          </w:p>
        </w:tc>
        <w:tc>
          <w:tcPr>
            <w:tcW w:w="1566" w:type="pct"/>
          </w:tcPr>
          <w:p w14:paraId="49958E39" w14:textId="77777777" w:rsidR="00CC1A56" w:rsidRPr="00D21AB5" w:rsidRDefault="00CC1A56" w:rsidP="007D385B">
            <w:pPr>
              <w:pStyle w:val="naiskr"/>
              <w:spacing w:before="0" w:beforeAutospacing="0" w:after="0" w:afterAutospacing="0"/>
              <w:ind w:left="57" w:right="57"/>
              <w:rPr>
                <w:sz w:val="25"/>
                <w:szCs w:val="25"/>
              </w:rPr>
            </w:pPr>
            <w:r w:rsidRPr="00D21AB5">
              <w:rPr>
                <w:sz w:val="25"/>
                <w:szCs w:val="25"/>
              </w:rPr>
              <w:t>Projekta izstrādē iesaistītās institūcijas</w:t>
            </w:r>
          </w:p>
        </w:tc>
        <w:tc>
          <w:tcPr>
            <w:tcW w:w="3207" w:type="pct"/>
          </w:tcPr>
          <w:p w14:paraId="097E06D7" w14:textId="5B5BDDCB" w:rsidR="00CC1A56" w:rsidRPr="00D21AB5" w:rsidRDefault="005D1946" w:rsidP="00E214A4">
            <w:pPr>
              <w:spacing w:after="0" w:line="240" w:lineRule="auto"/>
              <w:ind w:left="142" w:right="57"/>
              <w:rPr>
                <w:rFonts w:ascii="Times New Roman" w:hAnsi="Times New Roman" w:cs="Times New Roman"/>
                <w:b/>
                <w:sz w:val="25"/>
                <w:szCs w:val="25"/>
              </w:rPr>
            </w:pPr>
            <w:r w:rsidRPr="00D21AB5">
              <w:rPr>
                <w:rFonts w:ascii="Times New Roman" w:hAnsi="Times New Roman" w:cs="Times New Roman"/>
                <w:sz w:val="25"/>
                <w:szCs w:val="25"/>
              </w:rPr>
              <w:t>Finanšu ministrija</w:t>
            </w:r>
            <w:r w:rsidR="00A30A04" w:rsidRPr="00D21AB5">
              <w:rPr>
                <w:rFonts w:ascii="Times New Roman" w:hAnsi="Times New Roman" w:cs="Times New Roman"/>
                <w:sz w:val="25"/>
                <w:szCs w:val="25"/>
              </w:rPr>
              <w:t>, Centrālā finanšu un līgumu aģentūra un Valsts kase</w:t>
            </w:r>
          </w:p>
        </w:tc>
      </w:tr>
      <w:tr w:rsidR="00CC1A56" w:rsidRPr="00D21AB5" w14:paraId="63A69545" w14:textId="77777777" w:rsidTr="001E645F">
        <w:tc>
          <w:tcPr>
            <w:tcW w:w="227" w:type="pct"/>
          </w:tcPr>
          <w:p w14:paraId="1B4776DE" w14:textId="77777777" w:rsidR="00CC1A56" w:rsidRPr="00D21AB5" w:rsidRDefault="00CC1A56" w:rsidP="007D385B">
            <w:pPr>
              <w:pStyle w:val="naiskr"/>
              <w:spacing w:before="0" w:beforeAutospacing="0" w:after="0" w:afterAutospacing="0"/>
              <w:ind w:left="57" w:right="57"/>
              <w:jc w:val="center"/>
              <w:rPr>
                <w:sz w:val="25"/>
                <w:szCs w:val="25"/>
              </w:rPr>
            </w:pPr>
            <w:r w:rsidRPr="00D21AB5">
              <w:rPr>
                <w:sz w:val="25"/>
                <w:szCs w:val="25"/>
              </w:rPr>
              <w:t>4.</w:t>
            </w:r>
          </w:p>
        </w:tc>
        <w:tc>
          <w:tcPr>
            <w:tcW w:w="1566" w:type="pct"/>
          </w:tcPr>
          <w:p w14:paraId="1FA7E197" w14:textId="77777777" w:rsidR="00CC1A56" w:rsidRPr="00D21AB5" w:rsidRDefault="00CC1A56" w:rsidP="007D385B">
            <w:pPr>
              <w:pStyle w:val="naiskr"/>
              <w:spacing w:before="0" w:beforeAutospacing="0" w:after="0" w:afterAutospacing="0"/>
              <w:ind w:left="57" w:right="57"/>
              <w:rPr>
                <w:sz w:val="25"/>
                <w:szCs w:val="25"/>
              </w:rPr>
            </w:pPr>
            <w:r w:rsidRPr="00D21AB5">
              <w:rPr>
                <w:sz w:val="25"/>
                <w:szCs w:val="25"/>
              </w:rPr>
              <w:t>Cita informācija</w:t>
            </w:r>
          </w:p>
        </w:tc>
        <w:tc>
          <w:tcPr>
            <w:tcW w:w="3207" w:type="pct"/>
          </w:tcPr>
          <w:p w14:paraId="06862784" w14:textId="77777777" w:rsidR="00CC1A56" w:rsidRPr="00D21AB5" w:rsidRDefault="004863B9" w:rsidP="00DE0F62">
            <w:pPr>
              <w:pStyle w:val="naiskr"/>
              <w:spacing w:before="0" w:beforeAutospacing="0" w:after="0" w:afterAutospacing="0"/>
              <w:ind w:left="142" w:right="57"/>
              <w:jc w:val="both"/>
              <w:rPr>
                <w:sz w:val="25"/>
                <w:szCs w:val="25"/>
              </w:rPr>
            </w:pPr>
            <w:r w:rsidRPr="00D21AB5">
              <w:rPr>
                <w:color w:val="000000"/>
                <w:sz w:val="25"/>
                <w:szCs w:val="25"/>
              </w:rPr>
              <w:t>Nav.</w:t>
            </w:r>
          </w:p>
        </w:tc>
      </w:tr>
    </w:tbl>
    <w:p w14:paraId="08B95941" w14:textId="77777777" w:rsidR="00445A9C" w:rsidRPr="00D21AB5" w:rsidRDefault="00445A9C" w:rsidP="00CC1A56">
      <w:pPr>
        <w:spacing w:after="0" w:line="240" w:lineRule="auto"/>
        <w:rPr>
          <w:rFonts w:ascii="Times New Roman" w:hAnsi="Times New Roman" w:cs="Times New Roman"/>
          <w:sz w:val="25"/>
          <w:szCs w:val="25"/>
        </w:rPr>
      </w:pPr>
    </w:p>
    <w:tbl>
      <w:tblPr>
        <w:tblpPr w:leftFromText="180" w:rightFromText="180" w:vertAnchor="text" w:horzAnchor="margin" w:tblpX="-147" w:tblpY="16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35"/>
        <w:gridCol w:w="6095"/>
      </w:tblGrid>
      <w:tr w:rsidR="00B84B71" w:rsidRPr="00D21AB5" w14:paraId="66A80DA2" w14:textId="77777777" w:rsidTr="00B84B71">
        <w:trPr>
          <w:trHeight w:val="556"/>
        </w:trPr>
        <w:tc>
          <w:tcPr>
            <w:tcW w:w="9351" w:type="dxa"/>
            <w:gridSpan w:val="3"/>
            <w:vAlign w:val="center"/>
          </w:tcPr>
          <w:p w14:paraId="40887369" w14:textId="322447A0" w:rsidR="00B84B71" w:rsidRPr="00D21AB5" w:rsidRDefault="00B84B71" w:rsidP="00B84B71">
            <w:pPr>
              <w:pStyle w:val="naisnod"/>
              <w:spacing w:before="0" w:beforeAutospacing="0" w:after="0" w:afterAutospacing="0"/>
              <w:ind w:left="57" w:right="57"/>
              <w:jc w:val="center"/>
              <w:rPr>
                <w:b/>
                <w:sz w:val="25"/>
                <w:szCs w:val="25"/>
              </w:rPr>
            </w:pPr>
            <w:r w:rsidRPr="00D21AB5">
              <w:rPr>
                <w:b/>
                <w:sz w:val="25"/>
                <w:szCs w:val="25"/>
              </w:rPr>
              <w:lastRenderedPageBreak/>
              <w:t>II. Tiesību akta projekta ietekme uz sabiedrību, tautsaimniecības attīstību</w:t>
            </w:r>
          </w:p>
          <w:p w14:paraId="4DC055CA" w14:textId="77777777" w:rsidR="00B84B71" w:rsidRPr="00D21AB5" w:rsidRDefault="00B84B71" w:rsidP="00B84B71">
            <w:pPr>
              <w:pStyle w:val="naisnod"/>
              <w:spacing w:before="0" w:beforeAutospacing="0" w:after="0" w:afterAutospacing="0"/>
              <w:ind w:left="57" w:right="57"/>
              <w:jc w:val="center"/>
              <w:rPr>
                <w:b/>
                <w:sz w:val="25"/>
                <w:szCs w:val="25"/>
              </w:rPr>
            </w:pPr>
            <w:r w:rsidRPr="00D21AB5">
              <w:rPr>
                <w:b/>
                <w:sz w:val="25"/>
                <w:szCs w:val="25"/>
              </w:rPr>
              <w:t>un administratīvo slogu</w:t>
            </w:r>
          </w:p>
        </w:tc>
      </w:tr>
      <w:tr w:rsidR="00B84B71" w:rsidRPr="00D21AB5" w14:paraId="25AA0349" w14:textId="77777777" w:rsidTr="00B84B71">
        <w:trPr>
          <w:trHeight w:val="467"/>
        </w:trPr>
        <w:tc>
          <w:tcPr>
            <w:tcW w:w="421" w:type="dxa"/>
          </w:tcPr>
          <w:p w14:paraId="581FE53A" w14:textId="77777777" w:rsidR="00B84B71" w:rsidRPr="00D21AB5" w:rsidRDefault="00B84B71" w:rsidP="00B84B71">
            <w:pPr>
              <w:pStyle w:val="naiskr"/>
              <w:spacing w:before="0" w:beforeAutospacing="0" w:after="0" w:afterAutospacing="0"/>
              <w:ind w:left="57" w:right="57"/>
              <w:jc w:val="both"/>
              <w:rPr>
                <w:sz w:val="25"/>
                <w:szCs w:val="25"/>
              </w:rPr>
            </w:pPr>
            <w:r w:rsidRPr="00D21AB5">
              <w:rPr>
                <w:sz w:val="25"/>
                <w:szCs w:val="25"/>
              </w:rPr>
              <w:t>1.</w:t>
            </w:r>
          </w:p>
        </w:tc>
        <w:tc>
          <w:tcPr>
            <w:tcW w:w="2835" w:type="dxa"/>
          </w:tcPr>
          <w:p w14:paraId="5AA9D90E" w14:textId="77777777" w:rsidR="00B84B71" w:rsidRPr="00D21AB5" w:rsidRDefault="00B84B71" w:rsidP="00B84B71">
            <w:pPr>
              <w:pStyle w:val="naiskr"/>
              <w:spacing w:before="0" w:beforeAutospacing="0" w:after="0" w:afterAutospacing="0"/>
              <w:ind w:left="57" w:right="57"/>
              <w:rPr>
                <w:sz w:val="25"/>
                <w:szCs w:val="25"/>
              </w:rPr>
            </w:pPr>
            <w:r w:rsidRPr="00D21AB5">
              <w:rPr>
                <w:sz w:val="25"/>
                <w:szCs w:val="25"/>
              </w:rPr>
              <w:t xml:space="preserve">Sabiedrības </w:t>
            </w:r>
            <w:proofErr w:type="spellStart"/>
            <w:r w:rsidRPr="00D21AB5">
              <w:rPr>
                <w:sz w:val="25"/>
                <w:szCs w:val="25"/>
              </w:rPr>
              <w:t>mērķgrupas</w:t>
            </w:r>
            <w:proofErr w:type="spellEnd"/>
            <w:r w:rsidRPr="00D21AB5">
              <w:rPr>
                <w:sz w:val="25"/>
                <w:szCs w:val="25"/>
              </w:rPr>
              <w:t>, kuras tiesiskais regulējums ietekmē vai varētu ietekmēt</w:t>
            </w:r>
          </w:p>
        </w:tc>
        <w:tc>
          <w:tcPr>
            <w:tcW w:w="6095" w:type="dxa"/>
          </w:tcPr>
          <w:p w14:paraId="40F8D902" w14:textId="77777777" w:rsidR="00B84B71" w:rsidRPr="00D21AB5" w:rsidRDefault="00B84B71" w:rsidP="00B84B71">
            <w:pPr>
              <w:shd w:val="clear" w:color="auto" w:fill="FFFFFF"/>
              <w:spacing w:after="0" w:line="240" w:lineRule="auto"/>
              <w:ind w:left="142" w:right="57"/>
              <w:jc w:val="both"/>
              <w:rPr>
                <w:rFonts w:ascii="Times New Roman" w:hAnsi="Times New Roman" w:cs="Times New Roman"/>
                <w:sz w:val="25"/>
                <w:szCs w:val="25"/>
              </w:rPr>
            </w:pPr>
            <w:r w:rsidRPr="00D21AB5">
              <w:rPr>
                <w:rFonts w:ascii="Times New Roman" w:hAnsi="Times New Roman" w:cs="Times New Roman"/>
                <w:sz w:val="25"/>
                <w:szCs w:val="25"/>
              </w:rPr>
              <w:t>ES fondu vadībā iesaistītās institūcijas un ES fondu finansējuma saņēmēji</w:t>
            </w:r>
          </w:p>
        </w:tc>
      </w:tr>
      <w:tr w:rsidR="00B84B71" w:rsidRPr="00D21AB5" w14:paraId="41A8AE15" w14:textId="77777777" w:rsidTr="00B84B71">
        <w:trPr>
          <w:trHeight w:val="523"/>
        </w:trPr>
        <w:tc>
          <w:tcPr>
            <w:tcW w:w="421" w:type="dxa"/>
          </w:tcPr>
          <w:p w14:paraId="064CCE08" w14:textId="77777777" w:rsidR="00B84B71" w:rsidRPr="00D21AB5" w:rsidRDefault="00B84B71" w:rsidP="00B84B71">
            <w:pPr>
              <w:pStyle w:val="naiskr"/>
              <w:spacing w:before="0" w:beforeAutospacing="0" w:after="0" w:afterAutospacing="0"/>
              <w:ind w:left="57" w:right="57"/>
              <w:jc w:val="both"/>
              <w:rPr>
                <w:sz w:val="25"/>
                <w:szCs w:val="25"/>
              </w:rPr>
            </w:pPr>
            <w:r w:rsidRPr="00D21AB5">
              <w:rPr>
                <w:sz w:val="25"/>
                <w:szCs w:val="25"/>
              </w:rPr>
              <w:t>2.</w:t>
            </w:r>
          </w:p>
        </w:tc>
        <w:tc>
          <w:tcPr>
            <w:tcW w:w="2835" w:type="dxa"/>
          </w:tcPr>
          <w:p w14:paraId="4B88B976" w14:textId="77777777" w:rsidR="00B84B71" w:rsidRPr="00D21AB5" w:rsidRDefault="00B84B71" w:rsidP="00B84B71">
            <w:pPr>
              <w:pStyle w:val="naiskr"/>
              <w:spacing w:before="0" w:beforeAutospacing="0" w:after="0" w:afterAutospacing="0"/>
              <w:ind w:left="57" w:right="57"/>
              <w:rPr>
                <w:sz w:val="25"/>
                <w:szCs w:val="25"/>
              </w:rPr>
            </w:pPr>
            <w:r w:rsidRPr="00D21AB5">
              <w:rPr>
                <w:sz w:val="25"/>
                <w:szCs w:val="25"/>
              </w:rPr>
              <w:t>Tiesiskā regulējuma ietekme uz tautsaimniecību un administratīvo slogu</w:t>
            </w:r>
          </w:p>
        </w:tc>
        <w:tc>
          <w:tcPr>
            <w:tcW w:w="6095" w:type="dxa"/>
          </w:tcPr>
          <w:p w14:paraId="573FB251" w14:textId="5185BD3F" w:rsidR="00B84B71" w:rsidRPr="00D21AB5" w:rsidRDefault="00B84B71" w:rsidP="00187695">
            <w:pPr>
              <w:shd w:val="clear" w:color="auto" w:fill="FFFFFF"/>
              <w:spacing w:after="0" w:line="240" w:lineRule="auto"/>
              <w:ind w:left="142" w:right="57"/>
              <w:jc w:val="both"/>
              <w:rPr>
                <w:rFonts w:ascii="Times New Roman" w:hAnsi="Times New Roman" w:cs="Times New Roman"/>
                <w:sz w:val="25"/>
                <w:szCs w:val="25"/>
                <w:lang w:eastAsia="lv-LV"/>
              </w:rPr>
            </w:pPr>
            <w:r w:rsidRPr="00D21AB5">
              <w:rPr>
                <w:rFonts w:ascii="Times New Roman" w:hAnsi="Times New Roman" w:cs="Times New Roman"/>
                <w:sz w:val="25"/>
                <w:szCs w:val="25"/>
                <w:lang w:eastAsia="lv-LV"/>
              </w:rPr>
              <w:t>Ņemot vērā plānotos grozījumus MK noteikumos Nr.1041, tiesiskais regulējums samazinās ES fondu vadībā iesaistīto institūciju noslodzi, kā arī pagarinot termiņus to funkciju izpildei, tiks uzlabota maksājumu pieprasījumu izskatīšanas kvalitāte.</w:t>
            </w:r>
            <w:r w:rsidR="00426E6B">
              <w:rPr>
                <w:rFonts w:ascii="Times New Roman" w:hAnsi="Times New Roman" w:cs="Times New Roman"/>
                <w:sz w:val="25"/>
                <w:szCs w:val="25"/>
                <w:lang w:eastAsia="lv-LV"/>
              </w:rPr>
              <w:t xml:space="preserve"> </w:t>
            </w:r>
            <w:r w:rsidR="00187695" w:rsidRPr="00C64CB5">
              <w:rPr>
                <w:rFonts w:ascii="Times New Roman" w:hAnsi="Times New Roman" w:cs="Times New Roman"/>
                <w:sz w:val="25"/>
                <w:szCs w:val="25"/>
                <w:lang w:eastAsia="lv-LV"/>
              </w:rPr>
              <w:t>Savukārt MK noteikumu Nr.1041 16.3.apakšpunktā noteiktais izņēmums, nosakot iespēju noteikt citu noslēgumu maksājumu veikšanas kārtību, var radīt risku uz valsts budžetu</w:t>
            </w:r>
            <w:r w:rsidR="003725BC" w:rsidRPr="00C64CB5">
              <w:rPr>
                <w:rFonts w:ascii="Times New Roman" w:hAnsi="Times New Roman" w:cs="Times New Roman"/>
                <w:sz w:val="25"/>
                <w:szCs w:val="25"/>
                <w:lang w:eastAsia="lv-LV"/>
              </w:rPr>
              <w:t>, ja noteiktajā termiņā netiks nodrošināta to projektu funkcionalitāte, kuriem pēdējais maksājums tiks veikts pirms pilnīgas projekta pabeigšanas</w:t>
            </w:r>
            <w:r w:rsidR="00187695" w:rsidRPr="00C64CB5">
              <w:rPr>
                <w:rFonts w:ascii="Times New Roman" w:hAnsi="Times New Roman" w:cs="Times New Roman"/>
                <w:sz w:val="25"/>
                <w:szCs w:val="25"/>
                <w:lang w:eastAsia="lv-LV"/>
              </w:rPr>
              <w:t>.</w:t>
            </w:r>
            <w:r w:rsidR="003725BC" w:rsidRPr="00C64CB5">
              <w:rPr>
                <w:rFonts w:ascii="Times New Roman" w:hAnsi="Times New Roman" w:cs="Times New Roman"/>
                <w:sz w:val="25"/>
                <w:szCs w:val="25"/>
                <w:lang w:eastAsia="lv-LV"/>
              </w:rPr>
              <w:t xml:space="preserve"> Šādā gadījumā finansējuma saņēmējiem izmaksātais finansējums tiks uzskatīts par neattiecināmu un tiks atgūts atbilstoši MK </w:t>
            </w:r>
            <w:r w:rsidR="006E5859" w:rsidRPr="00C64CB5">
              <w:rPr>
                <w:rFonts w:ascii="Times New Roman" w:hAnsi="Times New Roman" w:cs="Times New Roman"/>
                <w:sz w:val="25"/>
                <w:szCs w:val="25"/>
                <w:lang w:eastAsia="lv-LV"/>
              </w:rPr>
              <w:t xml:space="preserve">2010.gada 10.gada </w:t>
            </w:r>
            <w:r w:rsidR="003725BC" w:rsidRPr="00C64CB5">
              <w:rPr>
                <w:rFonts w:ascii="Times New Roman" w:hAnsi="Times New Roman" w:cs="Times New Roman"/>
                <w:sz w:val="25"/>
                <w:szCs w:val="25"/>
                <w:lang w:eastAsia="lv-LV"/>
              </w:rPr>
              <w:t>noteikumiem Nr.740</w:t>
            </w:r>
            <w:r w:rsidR="006E5859" w:rsidRPr="00C64CB5">
              <w:rPr>
                <w:rFonts w:ascii="Times New Roman" w:hAnsi="Times New Roman" w:cs="Times New Roman"/>
                <w:sz w:val="25"/>
                <w:szCs w:val="25"/>
                <w:lang w:eastAsia="lv-LV"/>
              </w:rPr>
              <w:t xml:space="preserve"> “Kārtība, kādā ziņo par Eiropas Savienības struktūrfondu un Kohēzijas fonda ieviešanā konstatētajām neatbilstībām, pieņem lēmumu par piešķirtā finansējuma izlietojumu un atgūst neatbilstošos izdevumus”</w:t>
            </w:r>
            <w:r w:rsidR="003725BC" w:rsidRPr="00C64CB5">
              <w:rPr>
                <w:rFonts w:ascii="Times New Roman" w:hAnsi="Times New Roman" w:cs="Times New Roman"/>
                <w:sz w:val="25"/>
                <w:szCs w:val="25"/>
                <w:lang w:eastAsia="lv-LV"/>
              </w:rPr>
              <w:t>.</w:t>
            </w:r>
          </w:p>
        </w:tc>
      </w:tr>
      <w:tr w:rsidR="00B84B71" w:rsidRPr="00D21AB5" w14:paraId="5BFDC7CA" w14:textId="77777777" w:rsidTr="00B84B71">
        <w:trPr>
          <w:trHeight w:val="523"/>
        </w:trPr>
        <w:tc>
          <w:tcPr>
            <w:tcW w:w="421" w:type="dxa"/>
            <w:tcBorders>
              <w:bottom w:val="single" w:sz="4" w:space="0" w:color="auto"/>
            </w:tcBorders>
          </w:tcPr>
          <w:p w14:paraId="7F2B419A" w14:textId="77777777" w:rsidR="00B84B71" w:rsidRPr="00D21AB5" w:rsidRDefault="00B84B71" w:rsidP="00B84B71">
            <w:pPr>
              <w:pStyle w:val="naiskr"/>
              <w:spacing w:before="0" w:beforeAutospacing="0" w:after="0" w:afterAutospacing="0"/>
              <w:ind w:left="57" w:right="57"/>
              <w:jc w:val="both"/>
              <w:rPr>
                <w:sz w:val="25"/>
                <w:szCs w:val="25"/>
              </w:rPr>
            </w:pPr>
            <w:r w:rsidRPr="00D21AB5">
              <w:rPr>
                <w:sz w:val="25"/>
                <w:szCs w:val="25"/>
              </w:rPr>
              <w:t>3.</w:t>
            </w:r>
          </w:p>
        </w:tc>
        <w:tc>
          <w:tcPr>
            <w:tcW w:w="2835" w:type="dxa"/>
            <w:tcBorders>
              <w:bottom w:val="single" w:sz="4" w:space="0" w:color="auto"/>
            </w:tcBorders>
          </w:tcPr>
          <w:p w14:paraId="3980B951" w14:textId="77777777" w:rsidR="00B84B71" w:rsidRPr="00D21AB5" w:rsidRDefault="00B84B71" w:rsidP="00B84B71">
            <w:pPr>
              <w:pStyle w:val="naiskr"/>
              <w:spacing w:before="0" w:beforeAutospacing="0" w:after="0" w:afterAutospacing="0"/>
              <w:ind w:left="57" w:right="57"/>
              <w:rPr>
                <w:sz w:val="25"/>
                <w:szCs w:val="25"/>
              </w:rPr>
            </w:pPr>
            <w:r w:rsidRPr="00D21AB5">
              <w:rPr>
                <w:sz w:val="25"/>
                <w:szCs w:val="25"/>
              </w:rPr>
              <w:t>Administratīvo izmaksu monetārs novērtējums</w:t>
            </w:r>
          </w:p>
        </w:tc>
        <w:tc>
          <w:tcPr>
            <w:tcW w:w="6095" w:type="dxa"/>
            <w:tcBorders>
              <w:bottom w:val="single" w:sz="4" w:space="0" w:color="auto"/>
            </w:tcBorders>
          </w:tcPr>
          <w:p w14:paraId="1A522262" w14:textId="65A652D1" w:rsidR="00B84B71" w:rsidRPr="00D21AB5" w:rsidRDefault="008526A3" w:rsidP="00B84B71">
            <w:pPr>
              <w:shd w:val="clear" w:color="auto" w:fill="FFFFFF"/>
              <w:spacing w:after="0" w:line="240" w:lineRule="auto"/>
              <w:ind w:left="142" w:right="57"/>
              <w:rPr>
                <w:rFonts w:ascii="Times New Roman" w:hAnsi="Times New Roman" w:cs="Times New Roman"/>
                <w:sz w:val="25"/>
                <w:szCs w:val="25"/>
                <w:lang w:eastAsia="lv-LV"/>
              </w:rPr>
            </w:pPr>
            <w:r>
              <w:rPr>
                <w:rFonts w:ascii="Times New Roman" w:hAnsi="Times New Roman" w:cs="Times New Roman"/>
                <w:sz w:val="25"/>
                <w:szCs w:val="25"/>
                <w:lang w:eastAsia="lv-LV"/>
              </w:rPr>
              <w:t>N</w:t>
            </w:r>
            <w:r w:rsidR="00B84B71" w:rsidRPr="00D21AB5">
              <w:rPr>
                <w:rFonts w:ascii="Times New Roman" w:hAnsi="Times New Roman" w:cs="Times New Roman"/>
                <w:sz w:val="25"/>
                <w:szCs w:val="25"/>
                <w:lang w:eastAsia="lv-LV"/>
              </w:rPr>
              <w:t>oteikumu projekts šo jomu neskar, jo darba apjoms paliek nemainīgs.</w:t>
            </w:r>
          </w:p>
        </w:tc>
      </w:tr>
      <w:tr w:rsidR="00B84B71" w:rsidRPr="00D21AB5" w14:paraId="11E705DF" w14:textId="77777777" w:rsidTr="00B84B71">
        <w:trPr>
          <w:trHeight w:val="316"/>
        </w:trPr>
        <w:tc>
          <w:tcPr>
            <w:tcW w:w="421" w:type="dxa"/>
            <w:tcBorders>
              <w:bottom w:val="single" w:sz="4" w:space="0" w:color="auto"/>
            </w:tcBorders>
          </w:tcPr>
          <w:p w14:paraId="31E68772" w14:textId="77777777" w:rsidR="00B84B71" w:rsidRPr="00D21AB5" w:rsidRDefault="00B84B71" w:rsidP="00B84B71">
            <w:pPr>
              <w:pStyle w:val="naiskr"/>
              <w:spacing w:before="0" w:beforeAutospacing="0" w:after="0" w:afterAutospacing="0"/>
              <w:ind w:left="57" w:right="57"/>
              <w:jc w:val="both"/>
              <w:rPr>
                <w:sz w:val="25"/>
                <w:szCs w:val="25"/>
              </w:rPr>
            </w:pPr>
            <w:r w:rsidRPr="00D21AB5">
              <w:rPr>
                <w:sz w:val="25"/>
                <w:szCs w:val="25"/>
              </w:rPr>
              <w:t>4.</w:t>
            </w:r>
          </w:p>
        </w:tc>
        <w:tc>
          <w:tcPr>
            <w:tcW w:w="2835" w:type="dxa"/>
            <w:tcBorders>
              <w:bottom w:val="single" w:sz="4" w:space="0" w:color="auto"/>
            </w:tcBorders>
          </w:tcPr>
          <w:p w14:paraId="73E6EBF0" w14:textId="77777777" w:rsidR="00B84B71" w:rsidRPr="00D21AB5" w:rsidRDefault="00B84B71" w:rsidP="00B84B71">
            <w:pPr>
              <w:pStyle w:val="naiskr"/>
              <w:spacing w:before="0" w:beforeAutospacing="0" w:after="0" w:afterAutospacing="0"/>
              <w:ind w:left="57" w:right="57"/>
              <w:rPr>
                <w:sz w:val="25"/>
                <w:szCs w:val="25"/>
              </w:rPr>
            </w:pPr>
            <w:r w:rsidRPr="00D21AB5">
              <w:rPr>
                <w:sz w:val="25"/>
                <w:szCs w:val="25"/>
              </w:rPr>
              <w:t>Cita informācija</w:t>
            </w:r>
          </w:p>
        </w:tc>
        <w:tc>
          <w:tcPr>
            <w:tcW w:w="6095" w:type="dxa"/>
            <w:tcBorders>
              <w:bottom w:val="single" w:sz="4" w:space="0" w:color="auto"/>
            </w:tcBorders>
          </w:tcPr>
          <w:p w14:paraId="7CF659FC" w14:textId="77777777" w:rsidR="00B84B71" w:rsidRPr="00D21AB5" w:rsidRDefault="00B84B71" w:rsidP="00B84B71">
            <w:pPr>
              <w:shd w:val="clear" w:color="auto" w:fill="FFFFFF"/>
              <w:spacing w:after="0" w:line="240" w:lineRule="auto"/>
              <w:ind w:left="142" w:right="57"/>
              <w:rPr>
                <w:rFonts w:ascii="Times New Roman" w:hAnsi="Times New Roman" w:cs="Times New Roman"/>
                <w:sz w:val="25"/>
                <w:szCs w:val="25"/>
                <w:lang w:eastAsia="lv-LV"/>
              </w:rPr>
            </w:pPr>
            <w:r w:rsidRPr="00D21AB5">
              <w:rPr>
                <w:rFonts w:ascii="Times New Roman" w:hAnsi="Times New Roman" w:cs="Times New Roman"/>
                <w:sz w:val="25"/>
                <w:szCs w:val="25"/>
              </w:rPr>
              <w:t>Nav.</w:t>
            </w:r>
          </w:p>
        </w:tc>
      </w:tr>
    </w:tbl>
    <w:p w14:paraId="479AB2C7" w14:textId="77777777" w:rsidR="00B84B71" w:rsidRPr="00D21AB5" w:rsidRDefault="00B84B71" w:rsidP="00CC1A56">
      <w:pPr>
        <w:spacing w:after="0" w:line="240" w:lineRule="auto"/>
        <w:rPr>
          <w:rFonts w:ascii="Times New Roman" w:hAnsi="Times New Roman" w:cs="Times New Roman"/>
          <w:sz w:val="25"/>
          <w:szCs w:val="25"/>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B84B71" w:rsidRPr="00D21AB5" w14:paraId="4A6D1F74" w14:textId="77777777" w:rsidTr="00F82FB7">
        <w:trPr>
          <w:trHeight w:val="461"/>
          <w:jc w:val="center"/>
        </w:trPr>
        <w:tc>
          <w:tcPr>
            <w:tcW w:w="9511" w:type="dxa"/>
            <w:gridSpan w:val="3"/>
            <w:vAlign w:val="center"/>
          </w:tcPr>
          <w:p w14:paraId="31CE17A0" w14:textId="77777777" w:rsidR="00B84B71" w:rsidRPr="00D21AB5" w:rsidRDefault="00B84B71" w:rsidP="00F82FB7">
            <w:pPr>
              <w:pStyle w:val="naisnod"/>
              <w:spacing w:before="0" w:beforeAutospacing="0" w:after="0" w:afterAutospacing="0"/>
              <w:jc w:val="center"/>
              <w:rPr>
                <w:b/>
                <w:sz w:val="25"/>
                <w:szCs w:val="25"/>
              </w:rPr>
            </w:pPr>
            <w:r w:rsidRPr="00D21AB5">
              <w:rPr>
                <w:sz w:val="25"/>
                <w:szCs w:val="25"/>
              </w:rPr>
              <w:br w:type="page"/>
            </w:r>
            <w:r w:rsidRPr="00D21AB5">
              <w:rPr>
                <w:b/>
                <w:sz w:val="25"/>
                <w:szCs w:val="25"/>
              </w:rPr>
              <w:t>IV. Tiesību akta projekta ietekme uz spēkā esošo tiesību normu sistēmu</w:t>
            </w:r>
          </w:p>
        </w:tc>
      </w:tr>
      <w:tr w:rsidR="00B84B71" w:rsidRPr="00D21AB5" w14:paraId="388B500C" w14:textId="77777777" w:rsidTr="00F82FB7">
        <w:trPr>
          <w:jc w:val="center"/>
        </w:trPr>
        <w:tc>
          <w:tcPr>
            <w:tcW w:w="470" w:type="dxa"/>
          </w:tcPr>
          <w:p w14:paraId="575C862C" w14:textId="77777777" w:rsidR="00B84B71" w:rsidRPr="00D21AB5" w:rsidRDefault="00B84B71" w:rsidP="00F82FB7">
            <w:pPr>
              <w:pStyle w:val="naiskr"/>
              <w:tabs>
                <w:tab w:val="left" w:pos="2628"/>
              </w:tabs>
              <w:spacing w:before="0" w:beforeAutospacing="0" w:after="0" w:afterAutospacing="0"/>
              <w:jc w:val="both"/>
              <w:rPr>
                <w:iCs/>
                <w:sz w:val="25"/>
                <w:szCs w:val="25"/>
              </w:rPr>
            </w:pPr>
            <w:r w:rsidRPr="00D21AB5">
              <w:rPr>
                <w:iCs/>
                <w:sz w:val="25"/>
                <w:szCs w:val="25"/>
              </w:rPr>
              <w:t>1.</w:t>
            </w:r>
          </w:p>
        </w:tc>
        <w:tc>
          <w:tcPr>
            <w:tcW w:w="2728" w:type="dxa"/>
          </w:tcPr>
          <w:p w14:paraId="13942871" w14:textId="77777777" w:rsidR="00B84B71" w:rsidRPr="00D21AB5" w:rsidRDefault="00B84B71" w:rsidP="00F82FB7">
            <w:pPr>
              <w:pStyle w:val="naiskr"/>
              <w:tabs>
                <w:tab w:val="left" w:pos="2628"/>
              </w:tabs>
              <w:spacing w:before="0" w:beforeAutospacing="0" w:after="0" w:afterAutospacing="0"/>
              <w:jc w:val="both"/>
              <w:rPr>
                <w:iCs/>
                <w:sz w:val="25"/>
                <w:szCs w:val="25"/>
              </w:rPr>
            </w:pPr>
            <w:r w:rsidRPr="00D21AB5">
              <w:rPr>
                <w:sz w:val="25"/>
                <w:szCs w:val="25"/>
              </w:rPr>
              <w:t>Nepieciešamie saistītie tiesību aktu projekti</w:t>
            </w:r>
          </w:p>
        </w:tc>
        <w:tc>
          <w:tcPr>
            <w:tcW w:w="6313" w:type="dxa"/>
          </w:tcPr>
          <w:p w14:paraId="37DD5C21" w14:textId="2D571CE3" w:rsidR="00191C3E" w:rsidRPr="000D1074" w:rsidRDefault="00191C3E" w:rsidP="001B3CBB">
            <w:pPr>
              <w:pStyle w:val="nais1"/>
              <w:spacing w:before="0" w:beforeAutospacing="0" w:after="0" w:afterAutospacing="0"/>
              <w:jc w:val="both"/>
              <w:rPr>
                <w:sz w:val="25"/>
                <w:szCs w:val="25"/>
              </w:rPr>
            </w:pPr>
            <w:r w:rsidRPr="00D21AB5">
              <w:rPr>
                <w:sz w:val="25"/>
                <w:szCs w:val="25"/>
              </w:rPr>
              <w:t xml:space="preserve">Lai noteiktu </w:t>
            </w:r>
            <w:r w:rsidR="00AD5C1B" w:rsidRPr="000D1074">
              <w:rPr>
                <w:sz w:val="25"/>
                <w:szCs w:val="25"/>
              </w:rPr>
              <w:t xml:space="preserve">konkrētus nosacījumus  un </w:t>
            </w:r>
            <w:r w:rsidRPr="000D1074">
              <w:rPr>
                <w:sz w:val="25"/>
                <w:szCs w:val="25"/>
              </w:rPr>
              <w:t xml:space="preserve">izņēmumu attiecībā uz noslēguma maksājuma veikšanu, </w:t>
            </w:r>
            <w:r w:rsidR="00C84191" w:rsidRPr="000D1074">
              <w:rPr>
                <w:sz w:val="25"/>
                <w:szCs w:val="25"/>
              </w:rPr>
              <w:t>atbildīg</w:t>
            </w:r>
            <w:r w:rsidR="00A14D39" w:rsidRPr="000D1074">
              <w:rPr>
                <w:sz w:val="25"/>
                <w:szCs w:val="25"/>
              </w:rPr>
              <w:t>aj</w:t>
            </w:r>
            <w:r w:rsidR="00C84191" w:rsidRPr="000D1074">
              <w:rPr>
                <w:sz w:val="25"/>
                <w:szCs w:val="25"/>
              </w:rPr>
              <w:t>ām iestādēm</w:t>
            </w:r>
            <w:r w:rsidR="00A14D39" w:rsidRPr="000D1074">
              <w:rPr>
                <w:sz w:val="25"/>
                <w:szCs w:val="25"/>
              </w:rPr>
              <w:t xml:space="preserve"> (nozares ministrijām)</w:t>
            </w:r>
            <w:r w:rsidR="00F603A4" w:rsidRPr="000D1074">
              <w:rPr>
                <w:sz w:val="25"/>
                <w:szCs w:val="25"/>
              </w:rPr>
              <w:t xml:space="preserve"> jāizvērtē un nepieciešamības gadījumā</w:t>
            </w:r>
            <w:r w:rsidR="00B84B71" w:rsidRPr="000D1074">
              <w:rPr>
                <w:sz w:val="25"/>
                <w:szCs w:val="25"/>
              </w:rPr>
              <w:t xml:space="preserve"> </w:t>
            </w:r>
            <w:r w:rsidR="00F603A4" w:rsidRPr="000D1074">
              <w:rPr>
                <w:sz w:val="25"/>
                <w:szCs w:val="25"/>
              </w:rPr>
              <w:t xml:space="preserve">īpaši pamatotos gadījumos </w:t>
            </w:r>
            <w:r w:rsidR="00C84191" w:rsidRPr="000D1074">
              <w:rPr>
                <w:sz w:val="25"/>
                <w:szCs w:val="25"/>
              </w:rPr>
              <w:t>jā</w:t>
            </w:r>
            <w:r w:rsidR="00B84B71" w:rsidRPr="000D1074">
              <w:rPr>
                <w:sz w:val="25"/>
                <w:szCs w:val="25"/>
              </w:rPr>
              <w:t>virz</w:t>
            </w:r>
            <w:r w:rsidR="00C84191" w:rsidRPr="000D1074">
              <w:rPr>
                <w:sz w:val="25"/>
                <w:szCs w:val="25"/>
              </w:rPr>
              <w:t>a</w:t>
            </w:r>
            <w:r w:rsidR="00B84B71" w:rsidRPr="000D1074">
              <w:rPr>
                <w:sz w:val="25"/>
                <w:szCs w:val="25"/>
              </w:rPr>
              <w:t xml:space="preserve"> grozījum</w:t>
            </w:r>
            <w:r w:rsidR="00C84191" w:rsidRPr="000D1074">
              <w:rPr>
                <w:sz w:val="25"/>
                <w:szCs w:val="25"/>
              </w:rPr>
              <w:t xml:space="preserve">i attiecīgos </w:t>
            </w:r>
            <w:r w:rsidR="00A14D39" w:rsidRPr="000D1074">
              <w:rPr>
                <w:sz w:val="25"/>
                <w:szCs w:val="25"/>
              </w:rPr>
              <w:t xml:space="preserve">MK </w:t>
            </w:r>
            <w:r w:rsidR="00C84191" w:rsidRPr="000D1074">
              <w:rPr>
                <w:sz w:val="25"/>
                <w:szCs w:val="25"/>
              </w:rPr>
              <w:t xml:space="preserve">noteikumos par aktivitāšu īstenošanu, kas attiecas uz konkrētiem projektiem. Uz noteikumu </w:t>
            </w:r>
            <w:r w:rsidR="00F603A4" w:rsidRPr="000D1074">
              <w:rPr>
                <w:sz w:val="25"/>
                <w:szCs w:val="25"/>
              </w:rPr>
              <w:t xml:space="preserve">projekta </w:t>
            </w:r>
            <w:r w:rsidR="00C84191" w:rsidRPr="000D1074">
              <w:rPr>
                <w:sz w:val="25"/>
                <w:szCs w:val="25"/>
              </w:rPr>
              <w:t xml:space="preserve">izstrādes brīdi zināmie </w:t>
            </w:r>
            <w:r w:rsidR="00541FAB" w:rsidRPr="000D1074">
              <w:rPr>
                <w:sz w:val="25"/>
                <w:szCs w:val="25"/>
              </w:rPr>
              <w:t xml:space="preserve">potenciāli </w:t>
            </w:r>
            <w:r w:rsidR="00C84191" w:rsidRPr="000D1074">
              <w:rPr>
                <w:sz w:val="25"/>
                <w:szCs w:val="25"/>
              </w:rPr>
              <w:t>saistītie un grozāmie tiesību akti ir šādi</w:t>
            </w:r>
            <w:r w:rsidRPr="000D1074">
              <w:rPr>
                <w:sz w:val="25"/>
                <w:szCs w:val="25"/>
              </w:rPr>
              <w:t>:</w:t>
            </w:r>
          </w:p>
          <w:p w14:paraId="11C4126B" w14:textId="38A657BD" w:rsidR="00191C3E" w:rsidRPr="00D21AB5" w:rsidRDefault="00191C3E" w:rsidP="00191C3E">
            <w:pPr>
              <w:pStyle w:val="nais1"/>
              <w:spacing w:before="0" w:beforeAutospacing="0" w:after="0" w:afterAutospacing="0"/>
              <w:jc w:val="both"/>
              <w:rPr>
                <w:sz w:val="25"/>
                <w:szCs w:val="25"/>
              </w:rPr>
            </w:pPr>
            <w:r w:rsidRPr="00D21AB5">
              <w:rPr>
                <w:sz w:val="25"/>
                <w:szCs w:val="25"/>
              </w:rPr>
              <w:t>1.</w:t>
            </w:r>
            <w:r w:rsidR="00B84B71" w:rsidRPr="00D21AB5">
              <w:rPr>
                <w:sz w:val="25"/>
                <w:szCs w:val="25"/>
              </w:rPr>
              <w:t xml:space="preserve"> MK 2009.gada 13.janvāra noteikum</w:t>
            </w:r>
            <w:r w:rsidR="00541FAB">
              <w:rPr>
                <w:sz w:val="25"/>
                <w:szCs w:val="25"/>
              </w:rPr>
              <w:t>i</w:t>
            </w:r>
            <w:r w:rsidR="00B84B71" w:rsidRPr="00D21AB5">
              <w:rPr>
                <w:sz w:val="25"/>
                <w:szCs w:val="25"/>
              </w:rPr>
              <w:t xml:space="preserve"> Nr.44 “Noteikumi par darbības programmas “Infrastruktūra un pakalpojumi” papildinājuma 3.1.5.3.1.apakšaktivitāti “Stacionārās veselības aprūpes attīstība””</w:t>
            </w:r>
            <w:r w:rsidRPr="00D21AB5">
              <w:rPr>
                <w:sz w:val="25"/>
                <w:szCs w:val="25"/>
              </w:rPr>
              <w:t>;</w:t>
            </w:r>
          </w:p>
          <w:p w14:paraId="50B874B9" w14:textId="47332505" w:rsidR="00B84B71" w:rsidRDefault="00191C3E" w:rsidP="00191C3E">
            <w:pPr>
              <w:pStyle w:val="nais1"/>
              <w:spacing w:before="0" w:beforeAutospacing="0" w:after="0" w:afterAutospacing="0"/>
              <w:jc w:val="both"/>
              <w:rPr>
                <w:sz w:val="25"/>
                <w:szCs w:val="25"/>
              </w:rPr>
            </w:pPr>
            <w:r w:rsidRPr="00D21AB5">
              <w:rPr>
                <w:sz w:val="25"/>
                <w:szCs w:val="25"/>
              </w:rPr>
              <w:t xml:space="preserve">2. </w:t>
            </w:r>
            <w:r w:rsidR="00F94770" w:rsidRPr="00D21AB5">
              <w:rPr>
                <w:sz w:val="25"/>
                <w:szCs w:val="25"/>
              </w:rPr>
              <w:t>MK 2008.gada 14.okobra noteikum</w:t>
            </w:r>
            <w:r w:rsidR="00541FAB">
              <w:rPr>
                <w:sz w:val="25"/>
                <w:szCs w:val="25"/>
              </w:rPr>
              <w:t>i</w:t>
            </w:r>
            <w:r w:rsidR="00F94770" w:rsidRPr="00D21AB5">
              <w:rPr>
                <w:sz w:val="25"/>
                <w:szCs w:val="25"/>
              </w:rPr>
              <w:t>Nr.857 “Noteikumi par darbības programmas “Infrastruktūra un pakalpojumi” papildinājuma 3.3.1.3.aktivitāti “Lielo ostu infrastruktūras attīstība “Jūras maģistrāļu” ietvaros””.</w:t>
            </w:r>
          </w:p>
          <w:p w14:paraId="429A67C2" w14:textId="43ED1D02" w:rsidR="00C84191" w:rsidRPr="00D21AB5" w:rsidRDefault="00C84191" w:rsidP="00191C3E">
            <w:pPr>
              <w:pStyle w:val="nais1"/>
              <w:spacing w:before="0" w:beforeAutospacing="0" w:after="0" w:afterAutospacing="0"/>
              <w:jc w:val="both"/>
              <w:rPr>
                <w:sz w:val="25"/>
                <w:szCs w:val="25"/>
              </w:rPr>
            </w:pPr>
          </w:p>
        </w:tc>
      </w:tr>
      <w:tr w:rsidR="00B84B71" w:rsidRPr="00D21AB5" w14:paraId="2E98902D" w14:textId="77777777" w:rsidTr="00F82FB7">
        <w:trPr>
          <w:jc w:val="center"/>
        </w:trPr>
        <w:tc>
          <w:tcPr>
            <w:tcW w:w="470" w:type="dxa"/>
          </w:tcPr>
          <w:p w14:paraId="538ABCA4" w14:textId="2A0340F4" w:rsidR="00B84B71" w:rsidRPr="00D21AB5" w:rsidRDefault="00B84B71" w:rsidP="00F82FB7">
            <w:pPr>
              <w:pStyle w:val="naiskr"/>
              <w:tabs>
                <w:tab w:val="left" w:pos="2628"/>
              </w:tabs>
              <w:spacing w:before="0" w:beforeAutospacing="0" w:after="0" w:afterAutospacing="0"/>
              <w:jc w:val="both"/>
              <w:rPr>
                <w:iCs/>
                <w:sz w:val="25"/>
                <w:szCs w:val="25"/>
              </w:rPr>
            </w:pPr>
            <w:r w:rsidRPr="00D21AB5">
              <w:rPr>
                <w:iCs/>
                <w:sz w:val="25"/>
                <w:szCs w:val="25"/>
              </w:rPr>
              <w:t>2.</w:t>
            </w:r>
          </w:p>
        </w:tc>
        <w:tc>
          <w:tcPr>
            <w:tcW w:w="2728" w:type="dxa"/>
          </w:tcPr>
          <w:p w14:paraId="0C73C915" w14:textId="77777777" w:rsidR="00B84B71" w:rsidRPr="00D21AB5" w:rsidRDefault="00B84B71" w:rsidP="00F82FB7">
            <w:pPr>
              <w:pStyle w:val="naiskr"/>
              <w:tabs>
                <w:tab w:val="left" w:pos="2628"/>
              </w:tabs>
              <w:spacing w:before="0" w:beforeAutospacing="0" w:after="0" w:afterAutospacing="0"/>
              <w:jc w:val="both"/>
              <w:rPr>
                <w:sz w:val="25"/>
                <w:szCs w:val="25"/>
              </w:rPr>
            </w:pPr>
            <w:r w:rsidRPr="00D21AB5">
              <w:rPr>
                <w:sz w:val="25"/>
                <w:szCs w:val="25"/>
              </w:rPr>
              <w:t>Atbildīgā institūcija</w:t>
            </w:r>
          </w:p>
        </w:tc>
        <w:tc>
          <w:tcPr>
            <w:tcW w:w="6313" w:type="dxa"/>
          </w:tcPr>
          <w:p w14:paraId="05C9ED12" w14:textId="4C6D5A54" w:rsidR="00B84B71" w:rsidRPr="00D21AB5" w:rsidRDefault="00B84B71" w:rsidP="00541FAB">
            <w:pPr>
              <w:shd w:val="clear" w:color="auto" w:fill="FFFFFF"/>
              <w:spacing w:after="0" w:line="240" w:lineRule="auto"/>
              <w:jc w:val="both"/>
              <w:rPr>
                <w:rFonts w:ascii="Times New Roman" w:hAnsi="Times New Roman" w:cs="Times New Roman"/>
                <w:color w:val="000000"/>
                <w:sz w:val="25"/>
                <w:szCs w:val="25"/>
              </w:rPr>
            </w:pPr>
            <w:r w:rsidRPr="00D21AB5">
              <w:rPr>
                <w:rFonts w:ascii="Times New Roman" w:hAnsi="Times New Roman" w:cs="Times New Roman"/>
                <w:sz w:val="25"/>
                <w:szCs w:val="25"/>
              </w:rPr>
              <w:t xml:space="preserve">Par anotācijas </w:t>
            </w:r>
            <w:proofErr w:type="spellStart"/>
            <w:r w:rsidRPr="00D21AB5">
              <w:rPr>
                <w:rFonts w:ascii="Times New Roman" w:hAnsi="Times New Roman" w:cs="Times New Roman"/>
                <w:sz w:val="25"/>
                <w:szCs w:val="25"/>
              </w:rPr>
              <w:t>IV.sadaļas</w:t>
            </w:r>
            <w:proofErr w:type="spellEnd"/>
            <w:r w:rsidRPr="00D21AB5">
              <w:rPr>
                <w:rFonts w:ascii="Times New Roman" w:hAnsi="Times New Roman" w:cs="Times New Roman"/>
                <w:sz w:val="25"/>
                <w:szCs w:val="25"/>
              </w:rPr>
              <w:t xml:space="preserve"> 1.punkt</w:t>
            </w:r>
            <w:r w:rsidR="00191C3E" w:rsidRPr="00D21AB5">
              <w:rPr>
                <w:rFonts w:ascii="Times New Roman" w:hAnsi="Times New Roman" w:cs="Times New Roman"/>
                <w:sz w:val="25"/>
                <w:szCs w:val="25"/>
              </w:rPr>
              <w:t>a 1.apakšpunktā</w:t>
            </w:r>
            <w:r w:rsidRPr="00D21AB5">
              <w:rPr>
                <w:rFonts w:ascii="Times New Roman" w:hAnsi="Times New Roman" w:cs="Times New Roman"/>
                <w:sz w:val="25"/>
                <w:szCs w:val="25"/>
              </w:rPr>
              <w:t xml:space="preserve"> minētā MK noteikumu projekta izstrādi atbildīga ir Veselības ministrija</w:t>
            </w:r>
            <w:r w:rsidR="00C84191">
              <w:rPr>
                <w:rFonts w:ascii="Times New Roman" w:hAnsi="Times New Roman" w:cs="Times New Roman"/>
                <w:sz w:val="25"/>
                <w:szCs w:val="25"/>
              </w:rPr>
              <w:t xml:space="preserve"> </w:t>
            </w:r>
            <w:r w:rsidR="00C84191" w:rsidRPr="000D1074">
              <w:rPr>
                <w:rFonts w:ascii="Times New Roman" w:hAnsi="Times New Roman" w:cs="Times New Roman"/>
                <w:sz w:val="25"/>
                <w:szCs w:val="25"/>
              </w:rPr>
              <w:lastRenderedPageBreak/>
              <w:t xml:space="preserve">un </w:t>
            </w:r>
            <w:r w:rsidR="00FE1FE5" w:rsidRPr="000D1074">
              <w:rPr>
                <w:rFonts w:ascii="Times New Roman" w:hAnsi="Times New Roman" w:cs="Times New Roman"/>
                <w:sz w:val="25"/>
                <w:szCs w:val="25"/>
              </w:rPr>
              <w:t xml:space="preserve">par anotācijas </w:t>
            </w:r>
            <w:proofErr w:type="spellStart"/>
            <w:r w:rsidR="00FE1FE5" w:rsidRPr="000D1074">
              <w:rPr>
                <w:rFonts w:ascii="Times New Roman" w:hAnsi="Times New Roman" w:cs="Times New Roman"/>
                <w:sz w:val="25"/>
                <w:szCs w:val="25"/>
              </w:rPr>
              <w:t>IV.sadaļas</w:t>
            </w:r>
            <w:proofErr w:type="spellEnd"/>
            <w:r w:rsidR="00FE1FE5" w:rsidRPr="000D1074">
              <w:rPr>
                <w:rFonts w:ascii="Times New Roman" w:hAnsi="Times New Roman" w:cs="Times New Roman"/>
                <w:sz w:val="25"/>
                <w:szCs w:val="25"/>
              </w:rPr>
              <w:t xml:space="preserve"> 1.punkta 2.apakšpunktā minētā MK noteikumu projekta izstrādi atbildīga ir</w:t>
            </w:r>
            <w:r w:rsidR="00D21AB5" w:rsidRPr="000D1074">
              <w:rPr>
                <w:rFonts w:ascii="Times New Roman" w:hAnsi="Times New Roman" w:cs="Times New Roman"/>
                <w:sz w:val="25"/>
                <w:szCs w:val="25"/>
              </w:rPr>
              <w:t xml:space="preserve"> Satiksmes ministrija</w:t>
            </w:r>
            <w:r w:rsidR="00FE1FE5" w:rsidRPr="000D1074">
              <w:rPr>
                <w:rFonts w:ascii="Times New Roman" w:hAnsi="Times New Roman" w:cs="Times New Roman"/>
                <w:sz w:val="25"/>
                <w:szCs w:val="25"/>
              </w:rPr>
              <w:t>. Minēt</w:t>
            </w:r>
            <w:r w:rsidR="00C84191" w:rsidRPr="000D1074">
              <w:rPr>
                <w:rFonts w:ascii="Times New Roman" w:hAnsi="Times New Roman" w:cs="Times New Roman"/>
                <w:sz w:val="25"/>
                <w:szCs w:val="25"/>
              </w:rPr>
              <w:t>ie</w:t>
            </w:r>
            <w:r w:rsidR="00333D70" w:rsidRPr="000D1074">
              <w:rPr>
                <w:rFonts w:ascii="Times New Roman" w:hAnsi="Times New Roman" w:cs="Times New Roman"/>
                <w:sz w:val="25"/>
                <w:szCs w:val="25"/>
              </w:rPr>
              <w:t xml:space="preserve"> MK noteikumu projekt</w:t>
            </w:r>
            <w:r w:rsidR="00C84191" w:rsidRPr="000D1074">
              <w:rPr>
                <w:rFonts w:ascii="Times New Roman" w:hAnsi="Times New Roman" w:cs="Times New Roman"/>
                <w:sz w:val="25"/>
                <w:szCs w:val="25"/>
              </w:rPr>
              <w:t>i</w:t>
            </w:r>
            <w:r w:rsidR="00201E67" w:rsidRPr="000D1074">
              <w:rPr>
                <w:rFonts w:ascii="Times New Roman" w:hAnsi="Times New Roman" w:cs="Times New Roman"/>
                <w:sz w:val="25"/>
                <w:szCs w:val="25"/>
              </w:rPr>
              <w:t xml:space="preserve"> </w:t>
            </w:r>
            <w:r w:rsidR="00541FAB" w:rsidRPr="000D1074">
              <w:rPr>
                <w:rFonts w:ascii="Times New Roman" w:hAnsi="Times New Roman" w:cs="Times New Roman"/>
                <w:sz w:val="25"/>
                <w:szCs w:val="25"/>
              </w:rPr>
              <w:t>var tikt virzīti</w:t>
            </w:r>
            <w:r w:rsidR="00FE1FE5" w:rsidRPr="000D1074">
              <w:rPr>
                <w:rFonts w:ascii="Times New Roman" w:hAnsi="Times New Roman" w:cs="Times New Roman"/>
                <w:sz w:val="25"/>
                <w:szCs w:val="25"/>
              </w:rPr>
              <w:t xml:space="preserve"> izskatīšanai vienlaikus ar šo MK noteikumu projektu</w:t>
            </w:r>
            <w:r w:rsidR="00C84191" w:rsidRPr="000D1074">
              <w:rPr>
                <w:rFonts w:ascii="Times New Roman" w:hAnsi="Times New Roman" w:cs="Times New Roman"/>
                <w:sz w:val="25"/>
                <w:szCs w:val="25"/>
              </w:rPr>
              <w:t xml:space="preserve"> vai pēc tā apstiprināšanas, bet ne vēlāk kā līdz 31.12.2015</w:t>
            </w:r>
            <w:r w:rsidR="00C84191">
              <w:rPr>
                <w:rFonts w:ascii="Times New Roman" w:hAnsi="Times New Roman" w:cs="Times New Roman"/>
                <w:sz w:val="25"/>
                <w:szCs w:val="25"/>
              </w:rPr>
              <w:t>.</w:t>
            </w:r>
          </w:p>
        </w:tc>
      </w:tr>
      <w:tr w:rsidR="00B84B71" w:rsidRPr="00D21AB5" w14:paraId="6832B5ED" w14:textId="77777777" w:rsidTr="00F82FB7">
        <w:trPr>
          <w:jc w:val="center"/>
        </w:trPr>
        <w:tc>
          <w:tcPr>
            <w:tcW w:w="470" w:type="dxa"/>
          </w:tcPr>
          <w:p w14:paraId="2DDFE781" w14:textId="77777777" w:rsidR="00B84B71" w:rsidRPr="00D21AB5" w:rsidRDefault="00B84B71" w:rsidP="00F82FB7">
            <w:pPr>
              <w:pStyle w:val="naiskr"/>
              <w:tabs>
                <w:tab w:val="left" w:pos="2628"/>
              </w:tabs>
              <w:spacing w:before="0" w:beforeAutospacing="0" w:after="0" w:afterAutospacing="0"/>
              <w:jc w:val="both"/>
              <w:rPr>
                <w:iCs/>
                <w:sz w:val="25"/>
                <w:szCs w:val="25"/>
              </w:rPr>
            </w:pPr>
            <w:r w:rsidRPr="00D21AB5">
              <w:rPr>
                <w:iCs/>
                <w:sz w:val="25"/>
                <w:szCs w:val="25"/>
              </w:rPr>
              <w:lastRenderedPageBreak/>
              <w:t>3.</w:t>
            </w:r>
          </w:p>
        </w:tc>
        <w:tc>
          <w:tcPr>
            <w:tcW w:w="2728" w:type="dxa"/>
          </w:tcPr>
          <w:p w14:paraId="01C1104E" w14:textId="77777777" w:rsidR="00B84B71" w:rsidRPr="00D21AB5" w:rsidRDefault="00B84B71" w:rsidP="00F82FB7">
            <w:pPr>
              <w:pStyle w:val="naiskr"/>
              <w:tabs>
                <w:tab w:val="left" w:pos="2628"/>
              </w:tabs>
              <w:spacing w:before="0" w:beforeAutospacing="0" w:after="0" w:afterAutospacing="0"/>
              <w:jc w:val="both"/>
              <w:rPr>
                <w:iCs/>
                <w:sz w:val="25"/>
                <w:szCs w:val="25"/>
              </w:rPr>
            </w:pPr>
            <w:r w:rsidRPr="00D21AB5">
              <w:rPr>
                <w:sz w:val="25"/>
                <w:szCs w:val="25"/>
              </w:rPr>
              <w:t>Cita informācija</w:t>
            </w:r>
          </w:p>
        </w:tc>
        <w:tc>
          <w:tcPr>
            <w:tcW w:w="6313" w:type="dxa"/>
          </w:tcPr>
          <w:p w14:paraId="669B204A" w14:textId="77777777" w:rsidR="00B84B71" w:rsidRPr="00D21AB5" w:rsidRDefault="00B84B71" w:rsidP="00F82FB7">
            <w:pPr>
              <w:pStyle w:val="naiskr"/>
              <w:tabs>
                <w:tab w:val="left" w:pos="2628"/>
              </w:tabs>
              <w:spacing w:before="0" w:beforeAutospacing="0" w:after="0" w:afterAutospacing="0"/>
              <w:jc w:val="both"/>
              <w:rPr>
                <w:iCs/>
                <w:sz w:val="25"/>
                <w:szCs w:val="25"/>
              </w:rPr>
            </w:pPr>
            <w:r w:rsidRPr="00D21AB5">
              <w:rPr>
                <w:sz w:val="25"/>
                <w:szCs w:val="25"/>
              </w:rPr>
              <w:t>Nav</w:t>
            </w:r>
          </w:p>
        </w:tc>
      </w:tr>
    </w:tbl>
    <w:p w14:paraId="49A1B647" w14:textId="77777777" w:rsidR="005574A3" w:rsidRPr="00D21AB5" w:rsidRDefault="005574A3" w:rsidP="00CC1A56">
      <w:pPr>
        <w:spacing w:after="0" w:line="240" w:lineRule="auto"/>
        <w:rPr>
          <w:rFonts w:ascii="Times New Roman" w:hAnsi="Times New Roman" w:cs="Times New Roman"/>
          <w:sz w:val="25"/>
          <w:szCs w:val="25"/>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21AB5" w14:paraId="38E8B0D1" w14:textId="77777777" w:rsidTr="007D385B">
        <w:trPr>
          <w:trHeight w:val="421"/>
          <w:jc w:val="center"/>
        </w:trPr>
        <w:tc>
          <w:tcPr>
            <w:tcW w:w="9524" w:type="dxa"/>
            <w:gridSpan w:val="3"/>
            <w:vAlign w:val="center"/>
          </w:tcPr>
          <w:p w14:paraId="58FE900A" w14:textId="77777777" w:rsidR="00CC1A56" w:rsidRPr="00D21AB5" w:rsidRDefault="00CC1A56" w:rsidP="007D385B">
            <w:pPr>
              <w:pStyle w:val="naisnod"/>
              <w:spacing w:before="0" w:beforeAutospacing="0" w:after="0" w:afterAutospacing="0"/>
              <w:ind w:left="57" w:right="57"/>
              <w:jc w:val="center"/>
              <w:rPr>
                <w:sz w:val="25"/>
                <w:szCs w:val="25"/>
              </w:rPr>
            </w:pPr>
            <w:r w:rsidRPr="00D21AB5">
              <w:rPr>
                <w:b/>
                <w:sz w:val="25"/>
                <w:szCs w:val="25"/>
              </w:rPr>
              <w:t>VI. Sabiedrības līdzdalība un komunikācijas aktivitātes</w:t>
            </w:r>
          </w:p>
        </w:tc>
      </w:tr>
      <w:tr w:rsidR="00CC1A56" w:rsidRPr="00D21AB5" w14:paraId="7FA8CBA4" w14:textId="77777777" w:rsidTr="007D385B">
        <w:trPr>
          <w:trHeight w:val="553"/>
          <w:jc w:val="center"/>
        </w:trPr>
        <w:tc>
          <w:tcPr>
            <w:tcW w:w="476" w:type="dxa"/>
          </w:tcPr>
          <w:p w14:paraId="51D40BF4" w14:textId="77777777" w:rsidR="00CC1A56" w:rsidRPr="00D21AB5" w:rsidRDefault="00CC1A56" w:rsidP="007D385B">
            <w:pPr>
              <w:spacing w:after="0" w:line="240" w:lineRule="auto"/>
              <w:ind w:left="57" w:right="57"/>
              <w:jc w:val="both"/>
              <w:rPr>
                <w:rFonts w:ascii="Times New Roman" w:hAnsi="Times New Roman" w:cs="Times New Roman"/>
                <w:bCs/>
                <w:sz w:val="25"/>
                <w:szCs w:val="25"/>
              </w:rPr>
            </w:pPr>
            <w:r w:rsidRPr="00D21AB5">
              <w:rPr>
                <w:rFonts w:ascii="Times New Roman" w:hAnsi="Times New Roman" w:cs="Times New Roman"/>
                <w:bCs/>
                <w:sz w:val="25"/>
                <w:szCs w:val="25"/>
              </w:rPr>
              <w:t>1.</w:t>
            </w:r>
          </w:p>
        </w:tc>
        <w:tc>
          <w:tcPr>
            <w:tcW w:w="2842" w:type="dxa"/>
          </w:tcPr>
          <w:p w14:paraId="4EDB7B2A" w14:textId="77777777" w:rsidR="00CC1A56" w:rsidRPr="00D21AB5" w:rsidRDefault="00CC1A56" w:rsidP="007D385B">
            <w:pPr>
              <w:tabs>
                <w:tab w:val="left" w:pos="170"/>
              </w:tabs>
              <w:spacing w:after="0" w:line="240" w:lineRule="auto"/>
              <w:ind w:left="57" w:right="57"/>
              <w:rPr>
                <w:rFonts w:ascii="Times New Roman" w:hAnsi="Times New Roman" w:cs="Times New Roman"/>
                <w:sz w:val="25"/>
                <w:szCs w:val="25"/>
                <w:lang w:eastAsia="lv-LV"/>
              </w:rPr>
            </w:pPr>
            <w:r w:rsidRPr="00D21AB5">
              <w:rPr>
                <w:rFonts w:ascii="Times New Roman" w:hAnsi="Times New Roman" w:cs="Times New Roman"/>
                <w:sz w:val="25"/>
                <w:szCs w:val="25"/>
                <w:lang w:eastAsia="lv-LV"/>
              </w:rPr>
              <w:t>Plānotās sabiedrības līdzdalības un komunikācijas aktivitātes saistībā ar projektu</w:t>
            </w:r>
          </w:p>
        </w:tc>
        <w:tc>
          <w:tcPr>
            <w:tcW w:w="6206" w:type="dxa"/>
          </w:tcPr>
          <w:p w14:paraId="5510C6D5" w14:textId="77E9C685" w:rsidR="00CC1A56" w:rsidRPr="00D21AB5" w:rsidRDefault="00217097" w:rsidP="00747A20">
            <w:pPr>
              <w:shd w:val="clear" w:color="auto" w:fill="FFFFFF"/>
              <w:spacing w:after="0" w:line="240" w:lineRule="auto"/>
              <w:ind w:left="169" w:right="83"/>
              <w:jc w:val="both"/>
              <w:rPr>
                <w:rFonts w:ascii="Times New Roman" w:hAnsi="Times New Roman" w:cs="Times New Roman"/>
                <w:sz w:val="25"/>
                <w:szCs w:val="25"/>
                <w:lang w:eastAsia="lv-LV"/>
              </w:rPr>
            </w:pPr>
            <w:bookmarkStart w:id="1" w:name="p61"/>
            <w:bookmarkEnd w:id="1"/>
            <w:r w:rsidRPr="00D21AB5">
              <w:rPr>
                <w:rFonts w:ascii="Times New Roman" w:hAnsi="Times New Roman" w:cs="Times New Roman"/>
                <w:sz w:val="25"/>
                <w:szCs w:val="25"/>
              </w:rPr>
              <w:t xml:space="preserve">Ņemot vērā, ka grozījumi MK noteikumos Nr.1041 galvenokārt skar </w:t>
            </w:r>
            <w:r w:rsidR="00747A20" w:rsidRPr="00D21AB5">
              <w:rPr>
                <w:rFonts w:ascii="Times New Roman" w:hAnsi="Times New Roman" w:cs="Times New Roman"/>
                <w:sz w:val="25"/>
                <w:szCs w:val="25"/>
              </w:rPr>
              <w:t>ES</w:t>
            </w:r>
            <w:r w:rsidRPr="00D21AB5">
              <w:rPr>
                <w:rFonts w:ascii="Times New Roman" w:hAnsi="Times New Roman" w:cs="Times New Roman"/>
                <w:sz w:val="25"/>
                <w:szCs w:val="25"/>
              </w:rPr>
              <w:t xml:space="preserve"> fondu vadībā iesaistītās instit</w:t>
            </w:r>
            <w:r w:rsidR="008B279A" w:rsidRPr="00D21AB5">
              <w:rPr>
                <w:rFonts w:ascii="Times New Roman" w:hAnsi="Times New Roman" w:cs="Times New Roman"/>
                <w:sz w:val="25"/>
                <w:szCs w:val="25"/>
              </w:rPr>
              <w:t>ūciju pienākumu izskatīt maksājumu pieprasījumus un termiņu, kādā iestādes veic minēto uzdevumu, tad sabiedrības līdzdalība projekta izstrādē nav plānota.</w:t>
            </w:r>
          </w:p>
        </w:tc>
      </w:tr>
      <w:tr w:rsidR="00CC1A56" w:rsidRPr="00D21AB5" w14:paraId="6CFC69B5" w14:textId="77777777" w:rsidTr="007D385B">
        <w:trPr>
          <w:trHeight w:val="339"/>
          <w:jc w:val="center"/>
        </w:trPr>
        <w:tc>
          <w:tcPr>
            <w:tcW w:w="476" w:type="dxa"/>
          </w:tcPr>
          <w:p w14:paraId="099952DC" w14:textId="77777777" w:rsidR="00CC1A56" w:rsidRPr="00D21AB5" w:rsidRDefault="00CC1A56" w:rsidP="007D385B">
            <w:pPr>
              <w:spacing w:after="0" w:line="240" w:lineRule="auto"/>
              <w:ind w:left="57" w:right="57"/>
              <w:jc w:val="both"/>
              <w:rPr>
                <w:rFonts w:ascii="Times New Roman" w:hAnsi="Times New Roman" w:cs="Times New Roman"/>
                <w:bCs/>
                <w:sz w:val="25"/>
                <w:szCs w:val="25"/>
              </w:rPr>
            </w:pPr>
            <w:r w:rsidRPr="00D21AB5">
              <w:rPr>
                <w:rFonts w:ascii="Times New Roman" w:hAnsi="Times New Roman" w:cs="Times New Roman"/>
                <w:bCs/>
                <w:sz w:val="25"/>
                <w:szCs w:val="25"/>
              </w:rPr>
              <w:t>2.</w:t>
            </w:r>
          </w:p>
        </w:tc>
        <w:tc>
          <w:tcPr>
            <w:tcW w:w="2842" w:type="dxa"/>
          </w:tcPr>
          <w:p w14:paraId="5A0C7433" w14:textId="77777777" w:rsidR="00CC1A56" w:rsidRPr="00D21AB5" w:rsidRDefault="00CC1A56" w:rsidP="007D385B">
            <w:pPr>
              <w:spacing w:after="0" w:line="240" w:lineRule="auto"/>
              <w:ind w:left="57" w:right="57"/>
              <w:rPr>
                <w:rFonts w:ascii="Times New Roman" w:hAnsi="Times New Roman" w:cs="Times New Roman"/>
                <w:sz w:val="25"/>
                <w:szCs w:val="25"/>
                <w:lang w:eastAsia="lv-LV"/>
              </w:rPr>
            </w:pPr>
            <w:r w:rsidRPr="00D21AB5">
              <w:rPr>
                <w:rFonts w:ascii="Times New Roman" w:hAnsi="Times New Roman" w:cs="Times New Roman"/>
                <w:sz w:val="25"/>
                <w:szCs w:val="25"/>
                <w:lang w:eastAsia="lv-LV"/>
              </w:rPr>
              <w:t>Sabiedrības līdzdalība projekta izstrādē</w:t>
            </w:r>
          </w:p>
        </w:tc>
        <w:tc>
          <w:tcPr>
            <w:tcW w:w="6206" w:type="dxa"/>
          </w:tcPr>
          <w:p w14:paraId="2AD29DCC" w14:textId="77777777" w:rsidR="00CC1A56" w:rsidRPr="00D21AB5" w:rsidRDefault="00514DDD" w:rsidP="00E214A4">
            <w:pPr>
              <w:shd w:val="clear" w:color="auto" w:fill="FFFFFF"/>
              <w:spacing w:after="0" w:line="240" w:lineRule="auto"/>
              <w:ind w:left="169"/>
              <w:jc w:val="both"/>
              <w:rPr>
                <w:rFonts w:ascii="Times New Roman" w:hAnsi="Times New Roman" w:cs="Times New Roman"/>
                <w:sz w:val="25"/>
                <w:szCs w:val="25"/>
                <w:lang w:eastAsia="lv-LV"/>
              </w:rPr>
            </w:pPr>
            <w:bookmarkStart w:id="2" w:name="p62"/>
            <w:bookmarkEnd w:id="2"/>
            <w:r w:rsidRPr="00D21AB5">
              <w:rPr>
                <w:rFonts w:ascii="Times New Roman" w:hAnsi="Times New Roman" w:cs="Times New Roman"/>
                <w:sz w:val="25"/>
                <w:szCs w:val="25"/>
              </w:rPr>
              <w:t xml:space="preserve">MK </w:t>
            </w:r>
            <w:r w:rsidR="00E214A4" w:rsidRPr="00D21AB5">
              <w:rPr>
                <w:rFonts w:ascii="Times New Roman" w:hAnsi="Times New Roman" w:cs="Times New Roman"/>
                <w:sz w:val="25"/>
                <w:szCs w:val="25"/>
              </w:rPr>
              <w:t>noteikumu</w:t>
            </w:r>
            <w:r w:rsidRPr="00D21AB5">
              <w:rPr>
                <w:rFonts w:ascii="Times New Roman" w:hAnsi="Times New Roman" w:cs="Times New Roman"/>
                <w:sz w:val="25"/>
                <w:szCs w:val="25"/>
              </w:rPr>
              <w:t xml:space="preserve"> projekts šo jomu neskar.</w:t>
            </w:r>
          </w:p>
        </w:tc>
      </w:tr>
      <w:tr w:rsidR="00CC1A56" w:rsidRPr="00D21AB5" w14:paraId="2B1F5CBD" w14:textId="77777777" w:rsidTr="007D385B">
        <w:trPr>
          <w:trHeight w:val="476"/>
          <w:jc w:val="center"/>
        </w:trPr>
        <w:tc>
          <w:tcPr>
            <w:tcW w:w="476" w:type="dxa"/>
          </w:tcPr>
          <w:p w14:paraId="2A70335A" w14:textId="77777777" w:rsidR="00CC1A56" w:rsidRPr="00D21AB5" w:rsidRDefault="00CC1A56" w:rsidP="007D385B">
            <w:pPr>
              <w:spacing w:after="0" w:line="240" w:lineRule="auto"/>
              <w:ind w:left="57" w:right="57"/>
              <w:jc w:val="both"/>
              <w:rPr>
                <w:rFonts w:ascii="Times New Roman" w:hAnsi="Times New Roman" w:cs="Times New Roman"/>
                <w:bCs/>
                <w:sz w:val="25"/>
                <w:szCs w:val="25"/>
              </w:rPr>
            </w:pPr>
            <w:r w:rsidRPr="00D21AB5">
              <w:rPr>
                <w:rFonts w:ascii="Times New Roman" w:hAnsi="Times New Roman" w:cs="Times New Roman"/>
                <w:bCs/>
                <w:sz w:val="25"/>
                <w:szCs w:val="25"/>
              </w:rPr>
              <w:t>3.</w:t>
            </w:r>
          </w:p>
        </w:tc>
        <w:tc>
          <w:tcPr>
            <w:tcW w:w="2842" w:type="dxa"/>
          </w:tcPr>
          <w:p w14:paraId="2D6EBB12" w14:textId="77777777" w:rsidR="00CC1A56" w:rsidRPr="00D21AB5" w:rsidRDefault="00CC1A56" w:rsidP="007D385B">
            <w:pPr>
              <w:spacing w:after="0" w:line="240" w:lineRule="auto"/>
              <w:ind w:left="57" w:right="57"/>
              <w:rPr>
                <w:rFonts w:ascii="Times New Roman" w:hAnsi="Times New Roman" w:cs="Times New Roman"/>
                <w:sz w:val="25"/>
                <w:szCs w:val="25"/>
                <w:lang w:eastAsia="lv-LV"/>
              </w:rPr>
            </w:pPr>
            <w:r w:rsidRPr="00D21AB5">
              <w:rPr>
                <w:rFonts w:ascii="Times New Roman" w:hAnsi="Times New Roman" w:cs="Times New Roman"/>
                <w:sz w:val="25"/>
                <w:szCs w:val="25"/>
                <w:lang w:eastAsia="lv-LV"/>
              </w:rPr>
              <w:t>Sabiedrības līdzdalības rezultāti</w:t>
            </w:r>
          </w:p>
        </w:tc>
        <w:tc>
          <w:tcPr>
            <w:tcW w:w="6206" w:type="dxa"/>
          </w:tcPr>
          <w:p w14:paraId="0C0B5DEF" w14:textId="77777777" w:rsidR="00CC1A56" w:rsidRPr="00D21AB5" w:rsidRDefault="00514DDD" w:rsidP="00E214A4">
            <w:pPr>
              <w:shd w:val="clear" w:color="auto" w:fill="FFFFFF"/>
              <w:spacing w:after="0" w:line="240" w:lineRule="auto"/>
              <w:ind w:left="169"/>
              <w:jc w:val="both"/>
              <w:rPr>
                <w:rFonts w:ascii="Times New Roman" w:hAnsi="Times New Roman" w:cs="Times New Roman"/>
                <w:sz w:val="25"/>
                <w:szCs w:val="25"/>
                <w:lang w:eastAsia="lv-LV"/>
              </w:rPr>
            </w:pPr>
            <w:r w:rsidRPr="00D21AB5">
              <w:rPr>
                <w:rFonts w:ascii="Times New Roman" w:hAnsi="Times New Roman" w:cs="Times New Roman"/>
                <w:sz w:val="25"/>
                <w:szCs w:val="25"/>
              </w:rPr>
              <w:t xml:space="preserve">MK </w:t>
            </w:r>
            <w:r w:rsidR="00E214A4" w:rsidRPr="00D21AB5">
              <w:rPr>
                <w:rFonts w:ascii="Times New Roman" w:hAnsi="Times New Roman" w:cs="Times New Roman"/>
                <w:sz w:val="25"/>
                <w:szCs w:val="25"/>
              </w:rPr>
              <w:t>noteikumu</w:t>
            </w:r>
            <w:r w:rsidRPr="00D21AB5">
              <w:rPr>
                <w:rFonts w:ascii="Times New Roman" w:hAnsi="Times New Roman" w:cs="Times New Roman"/>
                <w:sz w:val="25"/>
                <w:szCs w:val="25"/>
              </w:rPr>
              <w:t xml:space="preserve"> projekts šo jomu neskar.</w:t>
            </w:r>
          </w:p>
        </w:tc>
      </w:tr>
      <w:tr w:rsidR="00CC1A56" w:rsidRPr="00D21AB5" w14:paraId="4A8C9372" w14:textId="77777777" w:rsidTr="004336DC">
        <w:trPr>
          <w:trHeight w:val="329"/>
          <w:jc w:val="center"/>
        </w:trPr>
        <w:tc>
          <w:tcPr>
            <w:tcW w:w="476" w:type="dxa"/>
          </w:tcPr>
          <w:p w14:paraId="6D357A00" w14:textId="77777777" w:rsidR="00CC1A56" w:rsidRPr="00D21AB5" w:rsidRDefault="00CC1A56" w:rsidP="007D385B">
            <w:pPr>
              <w:spacing w:after="0" w:line="240" w:lineRule="auto"/>
              <w:ind w:left="57" w:right="57"/>
              <w:jc w:val="both"/>
              <w:rPr>
                <w:rFonts w:ascii="Times New Roman" w:hAnsi="Times New Roman" w:cs="Times New Roman"/>
                <w:bCs/>
                <w:sz w:val="25"/>
                <w:szCs w:val="25"/>
              </w:rPr>
            </w:pPr>
            <w:r w:rsidRPr="00D21AB5">
              <w:rPr>
                <w:rFonts w:ascii="Times New Roman" w:hAnsi="Times New Roman" w:cs="Times New Roman"/>
                <w:bCs/>
                <w:sz w:val="25"/>
                <w:szCs w:val="25"/>
              </w:rPr>
              <w:t>4.</w:t>
            </w:r>
          </w:p>
        </w:tc>
        <w:tc>
          <w:tcPr>
            <w:tcW w:w="2842" w:type="dxa"/>
          </w:tcPr>
          <w:p w14:paraId="37964CCF" w14:textId="77777777" w:rsidR="00CC1A56" w:rsidRPr="00D21AB5" w:rsidRDefault="00CC1A56" w:rsidP="007D385B">
            <w:pPr>
              <w:spacing w:after="0" w:line="240" w:lineRule="auto"/>
              <w:ind w:left="57" w:right="57"/>
              <w:rPr>
                <w:rFonts w:ascii="Times New Roman" w:hAnsi="Times New Roman" w:cs="Times New Roman"/>
                <w:sz w:val="25"/>
                <w:szCs w:val="25"/>
                <w:lang w:eastAsia="lv-LV"/>
              </w:rPr>
            </w:pPr>
            <w:r w:rsidRPr="00D21AB5">
              <w:rPr>
                <w:rFonts w:ascii="Times New Roman" w:hAnsi="Times New Roman" w:cs="Times New Roman"/>
                <w:sz w:val="25"/>
                <w:szCs w:val="25"/>
                <w:lang w:eastAsia="lv-LV"/>
              </w:rPr>
              <w:t>Cita informācija</w:t>
            </w:r>
          </w:p>
        </w:tc>
        <w:tc>
          <w:tcPr>
            <w:tcW w:w="6206" w:type="dxa"/>
          </w:tcPr>
          <w:p w14:paraId="1C0D6FF4" w14:textId="77777777" w:rsidR="00CC1A56" w:rsidRPr="00D21AB5" w:rsidRDefault="00514DDD" w:rsidP="007D385B">
            <w:pPr>
              <w:spacing w:after="0" w:line="240" w:lineRule="auto"/>
              <w:ind w:left="169" w:right="57"/>
              <w:jc w:val="both"/>
              <w:rPr>
                <w:rFonts w:ascii="Times New Roman" w:hAnsi="Times New Roman" w:cs="Times New Roman"/>
                <w:sz w:val="25"/>
                <w:szCs w:val="25"/>
                <w:lang w:eastAsia="lv-LV"/>
              </w:rPr>
            </w:pPr>
            <w:r w:rsidRPr="00D21AB5">
              <w:rPr>
                <w:rFonts w:ascii="Times New Roman" w:hAnsi="Times New Roman" w:cs="Times New Roman"/>
                <w:sz w:val="25"/>
                <w:szCs w:val="25"/>
              </w:rPr>
              <w:t>Nav.</w:t>
            </w:r>
          </w:p>
        </w:tc>
      </w:tr>
    </w:tbl>
    <w:p w14:paraId="1425552E" w14:textId="77777777" w:rsidR="00885DF4" w:rsidRPr="00D21AB5" w:rsidRDefault="00885DF4" w:rsidP="00CC1A56">
      <w:pPr>
        <w:spacing w:after="0" w:line="240" w:lineRule="auto"/>
        <w:rPr>
          <w:rFonts w:ascii="Times New Roman" w:hAnsi="Times New Roman" w:cs="Times New Roman"/>
          <w:sz w:val="25"/>
          <w:szCs w:val="25"/>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21AB5" w14:paraId="751A453F" w14:textId="77777777" w:rsidTr="007D385B">
        <w:trPr>
          <w:trHeight w:val="381"/>
          <w:jc w:val="center"/>
        </w:trPr>
        <w:tc>
          <w:tcPr>
            <w:tcW w:w="9518" w:type="dxa"/>
            <w:gridSpan w:val="3"/>
            <w:vAlign w:val="center"/>
          </w:tcPr>
          <w:p w14:paraId="63B014C9" w14:textId="77777777" w:rsidR="00CC1A56" w:rsidRPr="00D21AB5" w:rsidRDefault="00CC1A56" w:rsidP="007D385B">
            <w:pPr>
              <w:pStyle w:val="naisnod"/>
              <w:spacing w:before="0" w:beforeAutospacing="0" w:after="0" w:afterAutospacing="0"/>
              <w:ind w:left="57" w:right="57"/>
              <w:jc w:val="center"/>
              <w:rPr>
                <w:sz w:val="25"/>
                <w:szCs w:val="25"/>
              </w:rPr>
            </w:pPr>
            <w:r w:rsidRPr="00D21AB5">
              <w:rPr>
                <w:b/>
                <w:sz w:val="25"/>
                <w:szCs w:val="25"/>
              </w:rPr>
              <w:t>VII. Tiesību akta projekta izpildes nodrošināšana un tās ietekme uz institūcijām</w:t>
            </w:r>
          </w:p>
        </w:tc>
      </w:tr>
      <w:tr w:rsidR="00CC1A56" w:rsidRPr="00D21AB5" w14:paraId="35A78F6B" w14:textId="77777777" w:rsidTr="007D385B">
        <w:trPr>
          <w:trHeight w:val="427"/>
          <w:jc w:val="center"/>
        </w:trPr>
        <w:tc>
          <w:tcPr>
            <w:tcW w:w="437" w:type="dxa"/>
          </w:tcPr>
          <w:p w14:paraId="0BDF871D" w14:textId="77777777" w:rsidR="00CC1A56" w:rsidRPr="00D21AB5" w:rsidRDefault="00CC1A56" w:rsidP="007D385B">
            <w:pPr>
              <w:pStyle w:val="naisnod"/>
              <w:spacing w:before="0" w:beforeAutospacing="0" w:after="0" w:afterAutospacing="0"/>
              <w:ind w:left="57" w:right="57"/>
              <w:jc w:val="both"/>
              <w:rPr>
                <w:sz w:val="25"/>
                <w:szCs w:val="25"/>
              </w:rPr>
            </w:pPr>
            <w:r w:rsidRPr="00D21AB5">
              <w:rPr>
                <w:sz w:val="25"/>
                <w:szCs w:val="25"/>
              </w:rPr>
              <w:t>1.</w:t>
            </w:r>
          </w:p>
        </w:tc>
        <w:tc>
          <w:tcPr>
            <w:tcW w:w="3615" w:type="dxa"/>
          </w:tcPr>
          <w:p w14:paraId="194F1584" w14:textId="77777777" w:rsidR="00CC1A56" w:rsidRPr="00D21AB5" w:rsidRDefault="00CC1A56" w:rsidP="007D385B">
            <w:pPr>
              <w:pStyle w:val="naisf"/>
              <w:spacing w:before="0" w:beforeAutospacing="0" w:after="0" w:afterAutospacing="0"/>
              <w:ind w:left="57" w:right="57"/>
              <w:rPr>
                <w:sz w:val="25"/>
                <w:szCs w:val="25"/>
              </w:rPr>
            </w:pPr>
            <w:r w:rsidRPr="00D21AB5">
              <w:rPr>
                <w:sz w:val="25"/>
                <w:szCs w:val="25"/>
              </w:rPr>
              <w:t>Projekta izpildē iesaistītās institūcijas</w:t>
            </w:r>
          </w:p>
        </w:tc>
        <w:tc>
          <w:tcPr>
            <w:tcW w:w="5466" w:type="dxa"/>
          </w:tcPr>
          <w:p w14:paraId="09F9225A" w14:textId="235EF80A" w:rsidR="00CC1A56" w:rsidRPr="00D21AB5" w:rsidRDefault="00747A20" w:rsidP="004001DB">
            <w:pPr>
              <w:shd w:val="clear" w:color="auto" w:fill="FFFFFF"/>
              <w:spacing w:after="0" w:line="240" w:lineRule="auto"/>
              <w:jc w:val="both"/>
              <w:rPr>
                <w:rFonts w:ascii="Times New Roman" w:hAnsi="Times New Roman" w:cs="Times New Roman"/>
                <w:sz w:val="25"/>
                <w:szCs w:val="25"/>
                <w:lang w:eastAsia="lv-LV"/>
              </w:rPr>
            </w:pPr>
            <w:bookmarkStart w:id="3" w:name="p66"/>
            <w:bookmarkStart w:id="4" w:name="p67"/>
            <w:bookmarkStart w:id="5" w:name="p68"/>
            <w:bookmarkStart w:id="6" w:name="p69"/>
            <w:bookmarkEnd w:id="3"/>
            <w:bookmarkEnd w:id="4"/>
            <w:bookmarkEnd w:id="5"/>
            <w:bookmarkEnd w:id="6"/>
            <w:r w:rsidRPr="00D21AB5">
              <w:rPr>
                <w:rFonts w:ascii="Times New Roman" w:hAnsi="Times New Roman" w:cs="Times New Roman"/>
                <w:sz w:val="25"/>
                <w:szCs w:val="25"/>
              </w:rPr>
              <w:t>ES</w:t>
            </w:r>
            <w:r w:rsidR="005D1946" w:rsidRPr="00D21AB5">
              <w:rPr>
                <w:rFonts w:ascii="Times New Roman" w:hAnsi="Times New Roman" w:cs="Times New Roman"/>
                <w:sz w:val="25"/>
                <w:szCs w:val="25"/>
              </w:rPr>
              <w:t xml:space="preserve"> fondu vadībā iesaistītās institūcijas.</w:t>
            </w:r>
          </w:p>
        </w:tc>
      </w:tr>
      <w:tr w:rsidR="00CC1A56" w:rsidRPr="00D21AB5" w14:paraId="6313E514" w14:textId="77777777" w:rsidTr="007D385B">
        <w:trPr>
          <w:trHeight w:val="463"/>
          <w:jc w:val="center"/>
        </w:trPr>
        <w:tc>
          <w:tcPr>
            <w:tcW w:w="437" w:type="dxa"/>
          </w:tcPr>
          <w:p w14:paraId="7835C29A" w14:textId="77777777" w:rsidR="00CC1A56" w:rsidRPr="00D21AB5" w:rsidRDefault="00CC1A56" w:rsidP="007D385B">
            <w:pPr>
              <w:pStyle w:val="naisnod"/>
              <w:spacing w:before="0" w:beforeAutospacing="0" w:after="0" w:afterAutospacing="0"/>
              <w:ind w:left="57" w:right="57"/>
              <w:jc w:val="both"/>
              <w:rPr>
                <w:sz w:val="25"/>
                <w:szCs w:val="25"/>
              </w:rPr>
            </w:pPr>
            <w:r w:rsidRPr="00D21AB5">
              <w:rPr>
                <w:sz w:val="25"/>
                <w:szCs w:val="25"/>
              </w:rPr>
              <w:t>2.</w:t>
            </w:r>
          </w:p>
        </w:tc>
        <w:tc>
          <w:tcPr>
            <w:tcW w:w="3615" w:type="dxa"/>
          </w:tcPr>
          <w:p w14:paraId="417779C4" w14:textId="77777777" w:rsidR="00CC1A56" w:rsidRPr="00D21AB5" w:rsidRDefault="00CC1A56" w:rsidP="007D385B">
            <w:pPr>
              <w:pStyle w:val="naisf"/>
              <w:spacing w:before="0" w:beforeAutospacing="0" w:after="0" w:afterAutospacing="0"/>
              <w:ind w:left="57" w:right="57"/>
              <w:rPr>
                <w:sz w:val="25"/>
                <w:szCs w:val="25"/>
              </w:rPr>
            </w:pPr>
            <w:r w:rsidRPr="00D21AB5">
              <w:rPr>
                <w:sz w:val="25"/>
                <w:szCs w:val="25"/>
              </w:rPr>
              <w:t>Projekta izpildes ietekme uz pār</w:t>
            </w:r>
            <w:r w:rsidRPr="00D21AB5">
              <w:rPr>
                <w:sz w:val="25"/>
                <w:szCs w:val="25"/>
              </w:rPr>
              <w:softHyphen/>
              <w:t>valdes funkcijām un institucionālo struktūru.</w:t>
            </w:r>
          </w:p>
          <w:p w14:paraId="1F873CBB" w14:textId="77777777" w:rsidR="00CC1A56" w:rsidRPr="00D21AB5" w:rsidRDefault="00CC1A56" w:rsidP="007D385B">
            <w:pPr>
              <w:pStyle w:val="naisf"/>
              <w:spacing w:before="0" w:beforeAutospacing="0" w:after="0" w:afterAutospacing="0"/>
              <w:ind w:left="57" w:right="57"/>
              <w:rPr>
                <w:sz w:val="25"/>
                <w:szCs w:val="25"/>
              </w:rPr>
            </w:pPr>
            <w:r w:rsidRPr="00D21AB5">
              <w:rPr>
                <w:sz w:val="25"/>
                <w:szCs w:val="25"/>
              </w:rPr>
              <w:t>Jaunu institūciju izveide, esošu institūciju likvidācija vai reorga</w:t>
            </w:r>
            <w:r w:rsidRPr="00D21AB5">
              <w:rPr>
                <w:sz w:val="25"/>
                <w:szCs w:val="25"/>
              </w:rPr>
              <w:softHyphen/>
              <w:t>nizācija, to ietekme uz institūcijas cilvēkresursiem</w:t>
            </w:r>
          </w:p>
        </w:tc>
        <w:tc>
          <w:tcPr>
            <w:tcW w:w="5466" w:type="dxa"/>
          </w:tcPr>
          <w:p w14:paraId="22319452" w14:textId="22CFD5E2" w:rsidR="00CC1A56" w:rsidRPr="00D21AB5" w:rsidRDefault="00217097" w:rsidP="00E214A4">
            <w:pPr>
              <w:shd w:val="clear" w:color="auto" w:fill="FFFFFF"/>
              <w:spacing w:after="0" w:line="240" w:lineRule="auto"/>
              <w:jc w:val="both"/>
              <w:rPr>
                <w:rFonts w:ascii="Times New Roman" w:hAnsi="Times New Roman" w:cs="Times New Roman"/>
                <w:sz w:val="25"/>
                <w:szCs w:val="25"/>
                <w:lang w:eastAsia="lv-LV"/>
              </w:rPr>
            </w:pPr>
            <w:r w:rsidRPr="00D21AB5">
              <w:rPr>
                <w:rFonts w:ascii="Times New Roman" w:hAnsi="Times New Roman" w:cs="Times New Roman"/>
                <w:sz w:val="25"/>
                <w:szCs w:val="25"/>
              </w:rPr>
              <w:t>Ar grozījumiem MK noteikumos Nr.1041 valsts pārvaldes institucionālā struktūra netiks mainīta, netiks izveidotas jaunas institūcijas vai likvidētas esošās.</w:t>
            </w:r>
          </w:p>
        </w:tc>
      </w:tr>
      <w:tr w:rsidR="00CC1A56" w:rsidRPr="00D21AB5" w14:paraId="01099599" w14:textId="77777777" w:rsidTr="004336DC">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0D482190" w14:textId="77777777" w:rsidR="00CC1A56" w:rsidRPr="00D21AB5" w:rsidRDefault="00CC1A56" w:rsidP="007D385B">
            <w:pPr>
              <w:pStyle w:val="naisnod"/>
              <w:spacing w:before="0" w:beforeAutospacing="0" w:after="0" w:afterAutospacing="0"/>
              <w:ind w:left="57" w:right="57"/>
              <w:jc w:val="both"/>
              <w:rPr>
                <w:sz w:val="25"/>
                <w:szCs w:val="25"/>
              </w:rPr>
            </w:pPr>
            <w:r w:rsidRPr="00D21AB5">
              <w:rPr>
                <w:sz w:val="25"/>
                <w:szCs w:val="25"/>
              </w:rPr>
              <w:t>3.</w:t>
            </w:r>
          </w:p>
        </w:tc>
        <w:tc>
          <w:tcPr>
            <w:tcW w:w="3615" w:type="dxa"/>
            <w:tcBorders>
              <w:top w:val="single" w:sz="4" w:space="0" w:color="auto"/>
              <w:left w:val="single" w:sz="4" w:space="0" w:color="auto"/>
              <w:bottom w:val="single" w:sz="4" w:space="0" w:color="auto"/>
              <w:right w:val="single" w:sz="4" w:space="0" w:color="auto"/>
            </w:tcBorders>
          </w:tcPr>
          <w:p w14:paraId="233C3701" w14:textId="77777777" w:rsidR="00CC1A56" w:rsidRPr="00D21AB5" w:rsidRDefault="00CC1A56" w:rsidP="007D385B">
            <w:pPr>
              <w:pStyle w:val="naisf"/>
              <w:spacing w:before="0" w:beforeAutospacing="0" w:after="0" w:afterAutospacing="0"/>
              <w:ind w:left="57" w:right="57"/>
              <w:rPr>
                <w:sz w:val="25"/>
                <w:szCs w:val="25"/>
              </w:rPr>
            </w:pPr>
            <w:r w:rsidRPr="00D21AB5">
              <w:rPr>
                <w:sz w:val="25"/>
                <w:szCs w:val="25"/>
              </w:rPr>
              <w:t>Cita informācija</w:t>
            </w:r>
          </w:p>
        </w:tc>
        <w:tc>
          <w:tcPr>
            <w:tcW w:w="5466" w:type="dxa"/>
            <w:tcBorders>
              <w:top w:val="single" w:sz="4" w:space="0" w:color="auto"/>
              <w:left w:val="single" w:sz="4" w:space="0" w:color="auto"/>
              <w:bottom w:val="single" w:sz="4" w:space="0" w:color="auto"/>
              <w:right w:val="single" w:sz="4" w:space="0" w:color="auto"/>
            </w:tcBorders>
          </w:tcPr>
          <w:p w14:paraId="5816E2D9" w14:textId="77777777" w:rsidR="00CC1A56" w:rsidRPr="00D21AB5" w:rsidRDefault="00232033" w:rsidP="007D385B">
            <w:pPr>
              <w:spacing w:after="0" w:line="240" w:lineRule="auto"/>
              <w:ind w:left="57" w:right="57"/>
              <w:jc w:val="both"/>
              <w:rPr>
                <w:rFonts w:ascii="Times New Roman" w:hAnsi="Times New Roman" w:cs="Times New Roman"/>
                <w:sz w:val="25"/>
                <w:szCs w:val="25"/>
                <w:lang w:eastAsia="lv-LV"/>
              </w:rPr>
            </w:pPr>
            <w:r w:rsidRPr="00D21AB5">
              <w:rPr>
                <w:rFonts w:ascii="Times New Roman" w:hAnsi="Times New Roman" w:cs="Times New Roman"/>
                <w:sz w:val="25"/>
                <w:szCs w:val="25"/>
              </w:rPr>
              <w:t>Nav.</w:t>
            </w:r>
          </w:p>
        </w:tc>
      </w:tr>
    </w:tbl>
    <w:p w14:paraId="67BCBE3C" w14:textId="77777777" w:rsidR="00EE558F" w:rsidRPr="00D21AB5" w:rsidRDefault="00EE558F" w:rsidP="00843389">
      <w:pPr>
        <w:spacing w:after="0" w:line="240" w:lineRule="auto"/>
        <w:rPr>
          <w:rFonts w:ascii="Times New Roman" w:hAnsi="Times New Roman" w:cs="Times New Roman"/>
          <w:sz w:val="25"/>
          <w:szCs w:val="25"/>
        </w:rPr>
      </w:pPr>
    </w:p>
    <w:p w14:paraId="4EDAF1B8" w14:textId="7837426C" w:rsidR="00843389" w:rsidRPr="00D21AB5" w:rsidRDefault="00843389" w:rsidP="00EE558F">
      <w:pPr>
        <w:spacing w:after="0" w:line="240" w:lineRule="auto"/>
        <w:jc w:val="center"/>
        <w:rPr>
          <w:rFonts w:ascii="Times New Roman" w:hAnsi="Times New Roman" w:cs="Times New Roman"/>
          <w:sz w:val="25"/>
          <w:szCs w:val="25"/>
        </w:rPr>
      </w:pPr>
      <w:r w:rsidRPr="00D21AB5">
        <w:rPr>
          <w:rFonts w:ascii="Times New Roman" w:hAnsi="Times New Roman" w:cs="Times New Roman"/>
          <w:sz w:val="25"/>
          <w:szCs w:val="25"/>
        </w:rPr>
        <w:t xml:space="preserve">Anotācijas </w:t>
      </w:r>
      <w:r w:rsidR="00885DF4" w:rsidRPr="00D21AB5">
        <w:rPr>
          <w:rFonts w:ascii="Times New Roman" w:hAnsi="Times New Roman" w:cs="Times New Roman"/>
          <w:sz w:val="25"/>
          <w:szCs w:val="25"/>
        </w:rPr>
        <w:t xml:space="preserve">III, </w:t>
      </w:r>
      <w:r w:rsidRPr="00D21AB5">
        <w:rPr>
          <w:rFonts w:ascii="Times New Roman" w:hAnsi="Times New Roman" w:cs="Times New Roman"/>
          <w:sz w:val="25"/>
          <w:szCs w:val="25"/>
        </w:rPr>
        <w:t xml:space="preserve">V sadaļa – MK </w:t>
      </w:r>
      <w:r w:rsidR="00E214A4" w:rsidRPr="00D21AB5">
        <w:rPr>
          <w:rFonts w:ascii="Times New Roman" w:hAnsi="Times New Roman" w:cs="Times New Roman"/>
          <w:sz w:val="25"/>
          <w:szCs w:val="25"/>
        </w:rPr>
        <w:t>noteikumu</w:t>
      </w:r>
      <w:r w:rsidRPr="00D21AB5">
        <w:rPr>
          <w:rFonts w:ascii="Times New Roman" w:hAnsi="Times New Roman" w:cs="Times New Roman"/>
          <w:sz w:val="25"/>
          <w:szCs w:val="25"/>
        </w:rPr>
        <w:t xml:space="preserve"> projekts šo jomu neskar.</w:t>
      </w:r>
    </w:p>
    <w:p w14:paraId="4077F0B1" w14:textId="77777777" w:rsidR="00C541BC" w:rsidRPr="00D21AB5" w:rsidRDefault="00C541BC" w:rsidP="00843389">
      <w:pPr>
        <w:spacing w:after="0" w:line="240" w:lineRule="auto"/>
        <w:rPr>
          <w:rFonts w:ascii="Times New Roman" w:hAnsi="Times New Roman" w:cs="Times New Roman"/>
          <w:sz w:val="25"/>
          <w:szCs w:val="25"/>
        </w:rPr>
      </w:pPr>
    </w:p>
    <w:p w14:paraId="54598FC4" w14:textId="77777777" w:rsidR="00D473ED" w:rsidRPr="00D21AB5" w:rsidRDefault="00D473ED" w:rsidP="00843389">
      <w:pPr>
        <w:spacing w:after="0" w:line="240" w:lineRule="auto"/>
        <w:rPr>
          <w:rFonts w:ascii="Times New Roman" w:hAnsi="Times New Roman" w:cs="Times New Roman"/>
          <w:sz w:val="25"/>
          <w:szCs w:val="25"/>
        </w:rPr>
      </w:pPr>
    </w:p>
    <w:p w14:paraId="0AED2766" w14:textId="09FA250B" w:rsidR="00C541BC" w:rsidRPr="00D21AB5" w:rsidRDefault="00EE558F" w:rsidP="009D5616">
      <w:pPr>
        <w:tabs>
          <w:tab w:val="left" w:pos="7371"/>
        </w:tabs>
        <w:spacing w:after="0" w:line="240" w:lineRule="auto"/>
        <w:rPr>
          <w:rFonts w:ascii="Times New Roman" w:hAnsi="Times New Roman" w:cs="Times New Roman"/>
          <w:sz w:val="25"/>
          <w:szCs w:val="25"/>
        </w:rPr>
      </w:pPr>
      <w:r w:rsidRPr="00D21AB5">
        <w:rPr>
          <w:rFonts w:ascii="Times New Roman" w:hAnsi="Times New Roman" w:cs="Times New Roman"/>
          <w:sz w:val="25"/>
          <w:szCs w:val="25"/>
        </w:rPr>
        <w:t>Finanšu</w:t>
      </w:r>
      <w:r w:rsidR="00FF6C21" w:rsidRPr="00D21AB5">
        <w:rPr>
          <w:rFonts w:ascii="Times New Roman" w:hAnsi="Times New Roman" w:cs="Times New Roman"/>
          <w:sz w:val="25"/>
          <w:szCs w:val="25"/>
        </w:rPr>
        <w:t xml:space="preserve"> ministr</w:t>
      </w:r>
      <w:r w:rsidR="00CC1D75" w:rsidRPr="00D21AB5">
        <w:rPr>
          <w:rFonts w:ascii="Times New Roman" w:hAnsi="Times New Roman" w:cs="Times New Roman"/>
          <w:sz w:val="25"/>
          <w:szCs w:val="25"/>
        </w:rPr>
        <w:t>s</w:t>
      </w:r>
      <w:r w:rsidR="00D473ED" w:rsidRPr="00D21AB5">
        <w:rPr>
          <w:rFonts w:ascii="Times New Roman" w:hAnsi="Times New Roman" w:cs="Times New Roman"/>
          <w:sz w:val="25"/>
          <w:szCs w:val="25"/>
        </w:rPr>
        <w:tab/>
      </w:r>
      <w:proofErr w:type="spellStart"/>
      <w:r w:rsidR="00CC1D75" w:rsidRPr="00D21AB5">
        <w:rPr>
          <w:rFonts w:ascii="Times New Roman" w:hAnsi="Times New Roman" w:cs="Times New Roman"/>
          <w:sz w:val="25"/>
          <w:szCs w:val="25"/>
        </w:rPr>
        <w:t>J.Reirs</w:t>
      </w:r>
      <w:proofErr w:type="spellEnd"/>
    </w:p>
    <w:p w14:paraId="4DA6916B" w14:textId="77777777" w:rsidR="00896E5F" w:rsidRDefault="00896E5F" w:rsidP="00D473ED">
      <w:pPr>
        <w:spacing w:after="0" w:line="240" w:lineRule="auto"/>
        <w:rPr>
          <w:rFonts w:ascii="Times New Roman" w:hAnsi="Times New Roman" w:cs="Times New Roman"/>
          <w:sz w:val="24"/>
          <w:szCs w:val="24"/>
        </w:rPr>
      </w:pPr>
    </w:p>
    <w:p w14:paraId="0A258DC4" w14:textId="77777777" w:rsidR="00896E5F" w:rsidRDefault="00896E5F" w:rsidP="00D473ED">
      <w:pPr>
        <w:spacing w:after="0" w:line="240" w:lineRule="auto"/>
        <w:rPr>
          <w:rFonts w:ascii="Times New Roman" w:hAnsi="Times New Roman" w:cs="Times New Roman"/>
          <w:sz w:val="24"/>
          <w:szCs w:val="24"/>
        </w:rPr>
      </w:pPr>
    </w:p>
    <w:p w14:paraId="27C69156" w14:textId="77777777" w:rsidR="00896E5F" w:rsidRDefault="00896E5F" w:rsidP="00D473ED">
      <w:pPr>
        <w:spacing w:after="0" w:line="240" w:lineRule="auto"/>
        <w:rPr>
          <w:rFonts w:ascii="Times New Roman" w:hAnsi="Times New Roman" w:cs="Times New Roman"/>
          <w:sz w:val="24"/>
          <w:szCs w:val="24"/>
        </w:rPr>
      </w:pPr>
    </w:p>
    <w:p w14:paraId="1F5248FF" w14:textId="77777777" w:rsidR="00C64CB5" w:rsidRDefault="00C64CB5" w:rsidP="00D473ED">
      <w:pPr>
        <w:spacing w:after="0" w:line="240" w:lineRule="auto"/>
        <w:rPr>
          <w:rFonts w:ascii="Times New Roman" w:hAnsi="Times New Roman" w:cs="Times New Roman"/>
          <w:sz w:val="24"/>
          <w:szCs w:val="24"/>
        </w:rPr>
      </w:pPr>
    </w:p>
    <w:p w14:paraId="32C72D63" w14:textId="77777777" w:rsidR="00C64CB5" w:rsidRDefault="00C64CB5" w:rsidP="00D473ED">
      <w:pPr>
        <w:spacing w:after="0" w:line="240" w:lineRule="auto"/>
        <w:rPr>
          <w:rFonts w:ascii="Times New Roman" w:hAnsi="Times New Roman" w:cs="Times New Roman"/>
          <w:sz w:val="24"/>
          <w:szCs w:val="24"/>
        </w:rPr>
      </w:pPr>
    </w:p>
    <w:p w14:paraId="5BCD433E" w14:textId="7C3F9DFE" w:rsidR="00EE558F" w:rsidRPr="00EE558F" w:rsidRDefault="0032569A"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EE558F">
        <w:rPr>
          <w:rFonts w:ascii="Times New Roman" w:hAnsi="Times New Roman" w:cs="Times New Roman"/>
          <w:sz w:val="20"/>
          <w:szCs w:val="20"/>
        </w:rPr>
        <w:t>.</w:t>
      </w:r>
      <w:r w:rsidR="00BA626B">
        <w:rPr>
          <w:rFonts w:ascii="Times New Roman" w:hAnsi="Times New Roman" w:cs="Times New Roman"/>
          <w:sz w:val="20"/>
          <w:szCs w:val="20"/>
        </w:rPr>
        <w:t>06.</w:t>
      </w:r>
      <w:r w:rsidR="00CC1D75" w:rsidRPr="00EE558F">
        <w:rPr>
          <w:rFonts w:ascii="Times New Roman" w:hAnsi="Times New Roman" w:cs="Times New Roman"/>
          <w:sz w:val="20"/>
          <w:szCs w:val="20"/>
        </w:rPr>
        <w:t>201</w:t>
      </w:r>
      <w:r w:rsidR="00CC1D75">
        <w:rPr>
          <w:rFonts w:ascii="Times New Roman" w:hAnsi="Times New Roman" w:cs="Times New Roman"/>
          <w:sz w:val="20"/>
          <w:szCs w:val="20"/>
        </w:rPr>
        <w:t>5</w:t>
      </w:r>
      <w:r w:rsidR="00CC1D75" w:rsidRPr="00EE558F">
        <w:rPr>
          <w:rFonts w:ascii="Times New Roman" w:hAnsi="Times New Roman" w:cs="Times New Roman"/>
          <w:sz w:val="20"/>
          <w:szCs w:val="20"/>
        </w:rPr>
        <w:t xml:space="preserve"> </w:t>
      </w:r>
      <w:r w:rsidR="006E5859">
        <w:rPr>
          <w:rFonts w:ascii="Times New Roman" w:hAnsi="Times New Roman" w:cs="Times New Roman"/>
          <w:sz w:val="20"/>
          <w:szCs w:val="20"/>
        </w:rPr>
        <w:t>11</w:t>
      </w:r>
      <w:r w:rsidR="00F90F38">
        <w:rPr>
          <w:rFonts w:ascii="Times New Roman" w:hAnsi="Times New Roman" w:cs="Times New Roman"/>
          <w:sz w:val="20"/>
          <w:szCs w:val="20"/>
        </w:rPr>
        <w:t>:</w:t>
      </w:r>
      <w:r>
        <w:rPr>
          <w:rFonts w:ascii="Times New Roman" w:hAnsi="Times New Roman" w:cs="Times New Roman"/>
          <w:sz w:val="20"/>
          <w:szCs w:val="20"/>
        </w:rPr>
        <w:t>59</w:t>
      </w:r>
    </w:p>
    <w:p w14:paraId="6C9987CC" w14:textId="6BD43CAE" w:rsidR="00EE558F" w:rsidRPr="00EE558F" w:rsidRDefault="0032569A"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110</w:t>
      </w:r>
      <w:r w:rsidR="00414205">
        <w:rPr>
          <w:rFonts w:ascii="Times New Roman" w:hAnsi="Times New Roman" w:cs="Times New Roman"/>
          <w:sz w:val="20"/>
          <w:szCs w:val="20"/>
        </w:rPr>
        <w:t>8</w:t>
      </w:r>
    </w:p>
    <w:p w14:paraId="58FB9AFD" w14:textId="77777777" w:rsidR="00EE558F" w:rsidRPr="00EE558F" w:rsidRDefault="00EE558F" w:rsidP="00EE558F">
      <w:pPr>
        <w:spacing w:after="0" w:line="240" w:lineRule="auto"/>
        <w:rPr>
          <w:rFonts w:ascii="Times New Roman" w:hAnsi="Times New Roman" w:cs="Times New Roman"/>
          <w:sz w:val="20"/>
          <w:szCs w:val="20"/>
        </w:rPr>
      </w:pPr>
      <w:proofErr w:type="spellStart"/>
      <w:r w:rsidRPr="00EE558F">
        <w:rPr>
          <w:rFonts w:ascii="Times New Roman" w:hAnsi="Times New Roman" w:cs="Times New Roman"/>
          <w:sz w:val="20"/>
          <w:szCs w:val="20"/>
        </w:rPr>
        <w:t>I.Petrova</w:t>
      </w:r>
      <w:proofErr w:type="spellEnd"/>
      <w:r w:rsidRPr="00EE558F">
        <w:rPr>
          <w:rFonts w:ascii="Times New Roman" w:hAnsi="Times New Roman" w:cs="Times New Roman"/>
          <w:sz w:val="20"/>
          <w:szCs w:val="20"/>
        </w:rPr>
        <w:t>,</w:t>
      </w:r>
    </w:p>
    <w:p w14:paraId="4775BBBE"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Finanšu ministrijas</w:t>
      </w:r>
    </w:p>
    <w:p w14:paraId="0AB04E14" w14:textId="473A29FB"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vadības</w:t>
      </w:r>
      <w:r w:rsidR="00414205">
        <w:rPr>
          <w:rFonts w:ascii="Times New Roman" w:hAnsi="Times New Roman" w:cs="Times New Roman"/>
          <w:sz w:val="20"/>
          <w:szCs w:val="20"/>
        </w:rPr>
        <w:t xml:space="preserve"> un</w:t>
      </w:r>
      <w:r w:rsidRPr="00EE558F">
        <w:rPr>
          <w:rFonts w:ascii="Times New Roman" w:hAnsi="Times New Roman" w:cs="Times New Roman"/>
          <w:sz w:val="20"/>
          <w:szCs w:val="20"/>
        </w:rPr>
        <w:t xml:space="preserve"> </w:t>
      </w:r>
      <w:r w:rsidR="00414205">
        <w:rPr>
          <w:rFonts w:ascii="Times New Roman" w:hAnsi="Times New Roman" w:cs="Times New Roman"/>
          <w:sz w:val="20"/>
          <w:szCs w:val="20"/>
        </w:rPr>
        <w:t xml:space="preserve">kontroles </w:t>
      </w:r>
      <w:r w:rsidRPr="00EE558F">
        <w:rPr>
          <w:rFonts w:ascii="Times New Roman" w:hAnsi="Times New Roman" w:cs="Times New Roman"/>
          <w:sz w:val="20"/>
          <w:szCs w:val="20"/>
        </w:rPr>
        <w:t>departamenta</w:t>
      </w:r>
    </w:p>
    <w:p w14:paraId="28B017E1"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tiesiskā nodrošinājuma nodaļas</w:t>
      </w:r>
    </w:p>
    <w:p w14:paraId="0690D893"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juriskonsulte</w:t>
      </w:r>
    </w:p>
    <w:p w14:paraId="7DD13DF7" w14:textId="77777777" w:rsidR="00D473ED" w:rsidRPr="00D473ED"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67083941, inita.petrova@fm.gov.lv</w:t>
      </w:r>
    </w:p>
    <w:sectPr w:rsidR="00D473ED" w:rsidRPr="00D473ED" w:rsidSect="004336D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73E7" w14:textId="77777777" w:rsidR="00203212" w:rsidRDefault="00203212" w:rsidP="006D6C82">
      <w:pPr>
        <w:spacing w:after="0" w:line="240" w:lineRule="auto"/>
      </w:pPr>
      <w:r>
        <w:separator/>
      </w:r>
    </w:p>
  </w:endnote>
  <w:endnote w:type="continuationSeparator" w:id="0">
    <w:p w14:paraId="7C3EBC1B" w14:textId="77777777" w:rsidR="00203212" w:rsidRDefault="0020321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F92B" w14:textId="77777777" w:rsidR="0032569A" w:rsidRDefault="00325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7098" w14:textId="21F1DDF6" w:rsidR="00AE2BFC" w:rsidRPr="00EE558F" w:rsidRDefault="00EE558F" w:rsidP="00EE558F">
    <w:pPr>
      <w:pStyle w:val="Footer"/>
    </w:pPr>
    <w:r w:rsidRPr="00EE558F">
      <w:rPr>
        <w:rFonts w:ascii="Times New Roman" w:hAnsi="Times New Roman" w:cs="Times New Roman"/>
        <w:sz w:val="20"/>
        <w:szCs w:val="20"/>
      </w:rPr>
      <w:t>FMAnot_</w:t>
    </w:r>
    <w:r w:rsidR="0032569A">
      <w:rPr>
        <w:rFonts w:ascii="Times New Roman" w:hAnsi="Times New Roman" w:cs="Times New Roman"/>
        <w:sz w:val="20"/>
        <w:szCs w:val="20"/>
      </w:rPr>
      <w:t>100615</w:t>
    </w:r>
    <w:r w:rsidRPr="00EE558F">
      <w:rPr>
        <w:rFonts w:ascii="Times New Roman" w:hAnsi="Times New Roman" w:cs="Times New Roman"/>
        <w:sz w:val="20"/>
        <w:szCs w:val="20"/>
      </w:rPr>
      <w:t>_MK 1</w:t>
    </w:r>
    <w:r w:rsidR="00DE0405">
      <w:rPr>
        <w:rFonts w:ascii="Times New Roman" w:hAnsi="Times New Roman" w:cs="Times New Roman"/>
        <w:sz w:val="20"/>
        <w:szCs w:val="20"/>
      </w:rPr>
      <w:t>041</w:t>
    </w:r>
    <w:r w:rsidRPr="00EE558F">
      <w:rPr>
        <w:rFonts w:ascii="Times New Roman" w:hAnsi="Times New Roman" w:cs="Times New Roman"/>
        <w:sz w:val="20"/>
        <w:szCs w:val="20"/>
      </w:rPr>
      <w:t xml:space="preserve"> </w:t>
    </w:r>
    <w:r w:rsidR="00DE0405" w:rsidRPr="00DE0405">
      <w:rPr>
        <w:rFonts w:ascii="Times New Roman" w:hAnsi="Times New Roman" w:cs="Times New Roman"/>
        <w:sz w:val="20"/>
        <w:szCs w:val="20"/>
      </w:rPr>
      <w:t>Ministru kabineta noteikumu projekta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ED0D" w14:textId="0920966A" w:rsidR="00AE2BFC" w:rsidRPr="00EE558F" w:rsidRDefault="00EE558F" w:rsidP="00EE558F">
    <w:pPr>
      <w:pStyle w:val="Footer"/>
    </w:pPr>
    <w:r w:rsidRPr="00EE558F">
      <w:rPr>
        <w:rFonts w:ascii="Times New Roman" w:hAnsi="Times New Roman" w:cs="Times New Roman"/>
        <w:sz w:val="20"/>
        <w:szCs w:val="20"/>
      </w:rPr>
      <w:t>FMAnot_</w:t>
    </w:r>
    <w:r w:rsidR="0032569A">
      <w:rPr>
        <w:rFonts w:ascii="Times New Roman" w:hAnsi="Times New Roman" w:cs="Times New Roman"/>
        <w:sz w:val="20"/>
        <w:szCs w:val="20"/>
      </w:rPr>
      <w:t>1006</w:t>
    </w:r>
    <w:r w:rsidR="0032569A" w:rsidRPr="00EE558F">
      <w:rPr>
        <w:rFonts w:ascii="Times New Roman" w:hAnsi="Times New Roman" w:cs="Times New Roman"/>
        <w:sz w:val="20"/>
        <w:szCs w:val="20"/>
      </w:rPr>
      <w:t>1</w:t>
    </w:r>
    <w:r w:rsidR="0032569A">
      <w:rPr>
        <w:rFonts w:ascii="Times New Roman" w:hAnsi="Times New Roman" w:cs="Times New Roman"/>
        <w:sz w:val="20"/>
        <w:szCs w:val="20"/>
      </w:rPr>
      <w:t>5</w:t>
    </w:r>
    <w:r w:rsidRPr="00EE558F">
      <w:rPr>
        <w:rFonts w:ascii="Times New Roman" w:hAnsi="Times New Roman" w:cs="Times New Roman"/>
        <w:sz w:val="20"/>
        <w:szCs w:val="20"/>
      </w:rPr>
      <w:t>_MK 1</w:t>
    </w:r>
    <w:r w:rsidR="00DE0405">
      <w:rPr>
        <w:rFonts w:ascii="Times New Roman" w:hAnsi="Times New Roman" w:cs="Times New Roman"/>
        <w:sz w:val="20"/>
        <w:szCs w:val="20"/>
      </w:rPr>
      <w:t>041</w:t>
    </w:r>
    <w:r w:rsidRPr="00EE558F">
      <w:rPr>
        <w:rFonts w:ascii="Times New Roman" w:hAnsi="Times New Roman" w:cs="Times New Roman"/>
        <w:sz w:val="20"/>
        <w:szCs w:val="20"/>
      </w:rPr>
      <w:t xml:space="preserve"> </w:t>
    </w:r>
    <w:r w:rsidR="00DE0405" w:rsidRPr="00DE0405">
      <w:rPr>
        <w:rFonts w:ascii="Times New Roman" w:hAnsi="Times New Roman" w:cs="Times New Roman"/>
        <w:sz w:val="20"/>
        <w:szCs w:val="20"/>
      </w:rPr>
      <w:t>Ministru kabineta noteikumu projekta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190EE" w14:textId="77777777" w:rsidR="00203212" w:rsidRDefault="00203212" w:rsidP="006D6C82">
      <w:pPr>
        <w:spacing w:after="0" w:line="240" w:lineRule="auto"/>
      </w:pPr>
      <w:r>
        <w:separator/>
      </w:r>
    </w:p>
  </w:footnote>
  <w:footnote w:type="continuationSeparator" w:id="0">
    <w:p w14:paraId="148CEA66" w14:textId="77777777" w:rsidR="00203212" w:rsidRDefault="00203212"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91F1" w14:textId="77777777" w:rsidR="0032569A" w:rsidRDefault="00325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0DE8C0A2" w14:textId="77777777" w:rsidR="00AE2BFC" w:rsidRDefault="00AE2BFC">
        <w:pPr>
          <w:pStyle w:val="Header"/>
          <w:jc w:val="center"/>
        </w:pPr>
        <w:r>
          <w:fldChar w:fldCharType="begin"/>
        </w:r>
        <w:r>
          <w:instrText xml:space="preserve"> PAGE   \* MERGEFORMAT </w:instrText>
        </w:r>
        <w:r>
          <w:fldChar w:fldCharType="separate"/>
        </w:r>
        <w:r w:rsidR="00856AEB">
          <w:rPr>
            <w:noProof/>
          </w:rPr>
          <w:t>4</w:t>
        </w:r>
        <w:r>
          <w:rPr>
            <w:noProof/>
          </w:rPr>
          <w:fldChar w:fldCharType="end"/>
        </w:r>
      </w:p>
    </w:sdtContent>
  </w:sdt>
  <w:p w14:paraId="3532BE99" w14:textId="77777777" w:rsidR="00AE2BFC" w:rsidRDefault="00AE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A68E4" w14:textId="77777777" w:rsidR="0032569A" w:rsidRDefault="00325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CC6274D"/>
    <w:multiLevelType w:val="hybridMultilevel"/>
    <w:tmpl w:val="E228CD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5"/>
  </w:num>
  <w:num w:numId="4">
    <w:abstractNumId w:val="12"/>
  </w:num>
  <w:num w:numId="5">
    <w:abstractNumId w:val="9"/>
  </w:num>
  <w:num w:numId="6">
    <w:abstractNumId w:val="1"/>
  </w:num>
  <w:num w:numId="7">
    <w:abstractNumId w:val="11"/>
  </w:num>
  <w:num w:numId="8">
    <w:abstractNumId w:val="7"/>
  </w:num>
  <w:num w:numId="9">
    <w:abstractNumId w:val="0"/>
  </w:num>
  <w:num w:numId="10">
    <w:abstractNumId w:val="6"/>
  </w:num>
  <w:num w:numId="11">
    <w:abstractNumId w:val="10"/>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6855"/>
    <w:rsid w:val="000160BE"/>
    <w:rsid w:val="00026FF1"/>
    <w:rsid w:val="00030BC3"/>
    <w:rsid w:val="00032C72"/>
    <w:rsid w:val="00034467"/>
    <w:rsid w:val="0004371E"/>
    <w:rsid w:val="000459D0"/>
    <w:rsid w:val="000479EB"/>
    <w:rsid w:val="0005005D"/>
    <w:rsid w:val="000559C4"/>
    <w:rsid w:val="00060F5A"/>
    <w:rsid w:val="00065E19"/>
    <w:rsid w:val="00072256"/>
    <w:rsid w:val="000759D3"/>
    <w:rsid w:val="000A1134"/>
    <w:rsid w:val="000A1ABE"/>
    <w:rsid w:val="000A3181"/>
    <w:rsid w:val="000A50F4"/>
    <w:rsid w:val="000A556B"/>
    <w:rsid w:val="000A69BD"/>
    <w:rsid w:val="000C0932"/>
    <w:rsid w:val="000C6DA7"/>
    <w:rsid w:val="000C7D46"/>
    <w:rsid w:val="000D05E7"/>
    <w:rsid w:val="000D1074"/>
    <w:rsid w:val="000E1B7A"/>
    <w:rsid w:val="000F27E4"/>
    <w:rsid w:val="000F2C5F"/>
    <w:rsid w:val="00111FE6"/>
    <w:rsid w:val="001144D9"/>
    <w:rsid w:val="0011756F"/>
    <w:rsid w:val="00117A57"/>
    <w:rsid w:val="001212D4"/>
    <w:rsid w:val="00134CB8"/>
    <w:rsid w:val="00140CF3"/>
    <w:rsid w:val="00155032"/>
    <w:rsid w:val="0016361D"/>
    <w:rsid w:val="00166E6E"/>
    <w:rsid w:val="00167190"/>
    <w:rsid w:val="001679C6"/>
    <w:rsid w:val="00175F56"/>
    <w:rsid w:val="00176916"/>
    <w:rsid w:val="001851CA"/>
    <w:rsid w:val="00186666"/>
    <w:rsid w:val="00187695"/>
    <w:rsid w:val="0018780A"/>
    <w:rsid w:val="001903DB"/>
    <w:rsid w:val="00191C3E"/>
    <w:rsid w:val="0019249E"/>
    <w:rsid w:val="001A19A7"/>
    <w:rsid w:val="001B1214"/>
    <w:rsid w:val="001B3CBB"/>
    <w:rsid w:val="001B40CE"/>
    <w:rsid w:val="001C7D4E"/>
    <w:rsid w:val="001D5DAD"/>
    <w:rsid w:val="001D7874"/>
    <w:rsid w:val="001E2BAF"/>
    <w:rsid w:val="001E4143"/>
    <w:rsid w:val="001E645F"/>
    <w:rsid w:val="001F7EDD"/>
    <w:rsid w:val="00201E67"/>
    <w:rsid w:val="00203212"/>
    <w:rsid w:val="002103DE"/>
    <w:rsid w:val="002123C9"/>
    <w:rsid w:val="002141C0"/>
    <w:rsid w:val="00217097"/>
    <w:rsid w:val="002233BC"/>
    <w:rsid w:val="00230407"/>
    <w:rsid w:val="00232033"/>
    <w:rsid w:val="00233071"/>
    <w:rsid w:val="00233F2A"/>
    <w:rsid w:val="00234C4B"/>
    <w:rsid w:val="00246978"/>
    <w:rsid w:val="00260F04"/>
    <w:rsid w:val="0026710C"/>
    <w:rsid w:val="00271DEC"/>
    <w:rsid w:val="00272A59"/>
    <w:rsid w:val="00277744"/>
    <w:rsid w:val="00283471"/>
    <w:rsid w:val="002874DE"/>
    <w:rsid w:val="00291665"/>
    <w:rsid w:val="00296CB5"/>
    <w:rsid w:val="00297257"/>
    <w:rsid w:val="002A161A"/>
    <w:rsid w:val="002A46EF"/>
    <w:rsid w:val="002B0D05"/>
    <w:rsid w:val="002B6988"/>
    <w:rsid w:val="002B7EB1"/>
    <w:rsid w:val="002C7854"/>
    <w:rsid w:val="002D1F05"/>
    <w:rsid w:val="002D1F3D"/>
    <w:rsid w:val="002D2016"/>
    <w:rsid w:val="002F2310"/>
    <w:rsid w:val="002F4F09"/>
    <w:rsid w:val="002F797A"/>
    <w:rsid w:val="00302A7F"/>
    <w:rsid w:val="00303FFC"/>
    <w:rsid w:val="00304567"/>
    <w:rsid w:val="00304C2D"/>
    <w:rsid w:val="00320A19"/>
    <w:rsid w:val="00321D39"/>
    <w:rsid w:val="00322E19"/>
    <w:rsid w:val="00323E8A"/>
    <w:rsid w:val="0032569A"/>
    <w:rsid w:val="00327221"/>
    <w:rsid w:val="00333D70"/>
    <w:rsid w:val="00336B3A"/>
    <w:rsid w:val="00345771"/>
    <w:rsid w:val="0035641C"/>
    <w:rsid w:val="00365B8E"/>
    <w:rsid w:val="003725BC"/>
    <w:rsid w:val="0038217F"/>
    <w:rsid w:val="00382C79"/>
    <w:rsid w:val="00385562"/>
    <w:rsid w:val="00390ABF"/>
    <w:rsid w:val="00390E07"/>
    <w:rsid w:val="003919EB"/>
    <w:rsid w:val="00393677"/>
    <w:rsid w:val="00393692"/>
    <w:rsid w:val="00393DB8"/>
    <w:rsid w:val="003963F4"/>
    <w:rsid w:val="00397E1A"/>
    <w:rsid w:val="003A3A21"/>
    <w:rsid w:val="003A77B7"/>
    <w:rsid w:val="003B0FBE"/>
    <w:rsid w:val="003B16BD"/>
    <w:rsid w:val="003B44B9"/>
    <w:rsid w:val="003D58F4"/>
    <w:rsid w:val="003D7FCC"/>
    <w:rsid w:val="003E1FE4"/>
    <w:rsid w:val="003E5B8D"/>
    <w:rsid w:val="003E5DA0"/>
    <w:rsid w:val="003F5CB1"/>
    <w:rsid w:val="003F75CE"/>
    <w:rsid w:val="003F7AE1"/>
    <w:rsid w:val="004000E8"/>
    <w:rsid w:val="004001DB"/>
    <w:rsid w:val="00402608"/>
    <w:rsid w:val="00403353"/>
    <w:rsid w:val="00414205"/>
    <w:rsid w:val="00426E6B"/>
    <w:rsid w:val="00427EFE"/>
    <w:rsid w:val="0043187B"/>
    <w:rsid w:val="004336DC"/>
    <w:rsid w:val="00437A93"/>
    <w:rsid w:val="00445A9C"/>
    <w:rsid w:val="0045338D"/>
    <w:rsid w:val="004574F7"/>
    <w:rsid w:val="00466C2F"/>
    <w:rsid w:val="00470125"/>
    <w:rsid w:val="0048204B"/>
    <w:rsid w:val="00484900"/>
    <w:rsid w:val="004863B9"/>
    <w:rsid w:val="004876E3"/>
    <w:rsid w:val="004A0562"/>
    <w:rsid w:val="004A0FB1"/>
    <w:rsid w:val="004A19F0"/>
    <w:rsid w:val="004A2FD1"/>
    <w:rsid w:val="004B4BC8"/>
    <w:rsid w:val="004B6F34"/>
    <w:rsid w:val="004C0127"/>
    <w:rsid w:val="004C55C1"/>
    <w:rsid w:val="004D24D9"/>
    <w:rsid w:val="004D2900"/>
    <w:rsid w:val="004D4A4C"/>
    <w:rsid w:val="004D654A"/>
    <w:rsid w:val="004F1BD2"/>
    <w:rsid w:val="005007A2"/>
    <w:rsid w:val="0050327A"/>
    <w:rsid w:val="00513B63"/>
    <w:rsid w:val="00514C83"/>
    <w:rsid w:val="00514DDD"/>
    <w:rsid w:val="00527322"/>
    <w:rsid w:val="005346EE"/>
    <w:rsid w:val="00534C8B"/>
    <w:rsid w:val="00541FAB"/>
    <w:rsid w:val="0055242A"/>
    <w:rsid w:val="005550D3"/>
    <w:rsid w:val="005550F6"/>
    <w:rsid w:val="005574A3"/>
    <w:rsid w:val="00557594"/>
    <w:rsid w:val="005616C0"/>
    <w:rsid w:val="0056256F"/>
    <w:rsid w:val="00571FAE"/>
    <w:rsid w:val="005722AB"/>
    <w:rsid w:val="00581EE2"/>
    <w:rsid w:val="005913E4"/>
    <w:rsid w:val="005954DC"/>
    <w:rsid w:val="005A58CC"/>
    <w:rsid w:val="005B104F"/>
    <w:rsid w:val="005C43AB"/>
    <w:rsid w:val="005C718F"/>
    <w:rsid w:val="005D1946"/>
    <w:rsid w:val="005E122C"/>
    <w:rsid w:val="005E263C"/>
    <w:rsid w:val="005E781A"/>
    <w:rsid w:val="005F1E47"/>
    <w:rsid w:val="005F403C"/>
    <w:rsid w:val="00603A99"/>
    <w:rsid w:val="006043B5"/>
    <w:rsid w:val="00627F1F"/>
    <w:rsid w:val="00642790"/>
    <w:rsid w:val="00654303"/>
    <w:rsid w:val="00654A73"/>
    <w:rsid w:val="006606A3"/>
    <w:rsid w:val="00661E3B"/>
    <w:rsid w:val="006639BB"/>
    <w:rsid w:val="00666C87"/>
    <w:rsid w:val="006673B6"/>
    <w:rsid w:val="0066746B"/>
    <w:rsid w:val="00673E46"/>
    <w:rsid w:val="00682E06"/>
    <w:rsid w:val="006952F4"/>
    <w:rsid w:val="00695A33"/>
    <w:rsid w:val="0069651C"/>
    <w:rsid w:val="006B1DFB"/>
    <w:rsid w:val="006B616F"/>
    <w:rsid w:val="006B7133"/>
    <w:rsid w:val="006C7998"/>
    <w:rsid w:val="006D573E"/>
    <w:rsid w:val="006D6C82"/>
    <w:rsid w:val="006E169E"/>
    <w:rsid w:val="006E1792"/>
    <w:rsid w:val="006E3024"/>
    <w:rsid w:val="006E3A94"/>
    <w:rsid w:val="006E5859"/>
    <w:rsid w:val="006F615E"/>
    <w:rsid w:val="006F6537"/>
    <w:rsid w:val="006F6735"/>
    <w:rsid w:val="007032FF"/>
    <w:rsid w:val="00726AC6"/>
    <w:rsid w:val="00731BA9"/>
    <w:rsid w:val="00735339"/>
    <w:rsid w:val="00737A8E"/>
    <w:rsid w:val="007442E5"/>
    <w:rsid w:val="00747A20"/>
    <w:rsid w:val="0077161A"/>
    <w:rsid w:val="00773A0E"/>
    <w:rsid w:val="00781141"/>
    <w:rsid w:val="007831DA"/>
    <w:rsid w:val="007847C8"/>
    <w:rsid w:val="00786082"/>
    <w:rsid w:val="00787A81"/>
    <w:rsid w:val="00790292"/>
    <w:rsid w:val="00791217"/>
    <w:rsid w:val="00791E4E"/>
    <w:rsid w:val="00793254"/>
    <w:rsid w:val="00797BB6"/>
    <w:rsid w:val="007A7861"/>
    <w:rsid w:val="007C1C46"/>
    <w:rsid w:val="007D0852"/>
    <w:rsid w:val="007D0F67"/>
    <w:rsid w:val="007D385B"/>
    <w:rsid w:val="007E5007"/>
    <w:rsid w:val="007F44BF"/>
    <w:rsid w:val="007F57E5"/>
    <w:rsid w:val="0080661E"/>
    <w:rsid w:val="008068F8"/>
    <w:rsid w:val="008201CD"/>
    <w:rsid w:val="00835248"/>
    <w:rsid w:val="008416E7"/>
    <w:rsid w:val="00843389"/>
    <w:rsid w:val="008477DE"/>
    <w:rsid w:val="008504B9"/>
    <w:rsid w:val="008526A3"/>
    <w:rsid w:val="008538EE"/>
    <w:rsid w:val="00856AEB"/>
    <w:rsid w:val="00857C5B"/>
    <w:rsid w:val="00870319"/>
    <w:rsid w:val="008716F5"/>
    <w:rsid w:val="00874FAD"/>
    <w:rsid w:val="0088200C"/>
    <w:rsid w:val="00885DF4"/>
    <w:rsid w:val="00887FD0"/>
    <w:rsid w:val="00891D72"/>
    <w:rsid w:val="00893F8B"/>
    <w:rsid w:val="00896525"/>
    <w:rsid w:val="00896E5F"/>
    <w:rsid w:val="008A10C7"/>
    <w:rsid w:val="008B279A"/>
    <w:rsid w:val="008D024C"/>
    <w:rsid w:val="008D4D1C"/>
    <w:rsid w:val="008E487F"/>
    <w:rsid w:val="008F6ED5"/>
    <w:rsid w:val="0093520F"/>
    <w:rsid w:val="0094080C"/>
    <w:rsid w:val="00940E0E"/>
    <w:rsid w:val="00952489"/>
    <w:rsid w:val="00952DAA"/>
    <w:rsid w:val="0095413F"/>
    <w:rsid w:val="00955DF2"/>
    <w:rsid w:val="00962BF1"/>
    <w:rsid w:val="00964E52"/>
    <w:rsid w:val="009665F6"/>
    <w:rsid w:val="00966F72"/>
    <w:rsid w:val="00975BC8"/>
    <w:rsid w:val="009807CA"/>
    <w:rsid w:val="009945CD"/>
    <w:rsid w:val="00997653"/>
    <w:rsid w:val="009A339F"/>
    <w:rsid w:val="009A5F8B"/>
    <w:rsid w:val="009B252C"/>
    <w:rsid w:val="009B5EDB"/>
    <w:rsid w:val="009C39B5"/>
    <w:rsid w:val="009C5386"/>
    <w:rsid w:val="009C53F6"/>
    <w:rsid w:val="009C6A78"/>
    <w:rsid w:val="009D5616"/>
    <w:rsid w:val="009E766E"/>
    <w:rsid w:val="009F11F3"/>
    <w:rsid w:val="009F37C9"/>
    <w:rsid w:val="009F3C67"/>
    <w:rsid w:val="009F755A"/>
    <w:rsid w:val="00A07162"/>
    <w:rsid w:val="00A11743"/>
    <w:rsid w:val="00A13B57"/>
    <w:rsid w:val="00A14D39"/>
    <w:rsid w:val="00A21ADF"/>
    <w:rsid w:val="00A251B7"/>
    <w:rsid w:val="00A27FF2"/>
    <w:rsid w:val="00A30A04"/>
    <w:rsid w:val="00A33379"/>
    <w:rsid w:val="00A347F0"/>
    <w:rsid w:val="00A46938"/>
    <w:rsid w:val="00A51A15"/>
    <w:rsid w:val="00A65744"/>
    <w:rsid w:val="00A67FB4"/>
    <w:rsid w:val="00A727E5"/>
    <w:rsid w:val="00A74480"/>
    <w:rsid w:val="00A74718"/>
    <w:rsid w:val="00A82A11"/>
    <w:rsid w:val="00A9427C"/>
    <w:rsid w:val="00A94DAE"/>
    <w:rsid w:val="00AA68B8"/>
    <w:rsid w:val="00AB23D6"/>
    <w:rsid w:val="00AC0D3D"/>
    <w:rsid w:val="00AC0FA8"/>
    <w:rsid w:val="00AC4A69"/>
    <w:rsid w:val="00AD5C1B"/>
    <w:rsid w:val="00AE2BFC"/>
    <w:rsid w:val="00AE6BD9"/>
    <w:rsid w:val="00AE79EF"/>
    <w:rsid w:val="00AF0262"/>
    <w:rsid w:val="00AF5F89"/>
    <w:rsid w:val="00B00F6C"/>
    <w:rsid w:val="00B04CCD"/>
    <w:rsid w:val="00B105FC"/>
    <w:rsid w:val="00B13677"/>
    <w:rsid w:val="00B204B4"/>
    <w:rsid w:val="00B321EE"/>
    <w:rsid w:val="00B34B39"/>
    <w:rsid w:val="00B42FA5"/>
    <w:rsid w:val="00B46053"/>
    <w:rsid w:val="00B46D66"/>
    <w:rsid w:val="00B607D2"/>
    <w:rsid w:val="00B73CF8"/>
    <w:rsid w:val="00B80868"/>
    <w:rsid w:val="00B83929"/>
    <w:rsid w:val="00B84B71"/>
    <w:rsid w:val="00B84BDB"/>
    <w:rsid w:val="00B90D82"/>
    <w:rsid w:val="00B96576"/>
    <w:rsid w:val="00BA3FEF"/>
    <w:rsid w:val="00BA626B"/>
    <w:rsid w:val="00BB35A6"/>
    <w:rsid w:val="00BB3EAD"/>
    <w:rsid w:val="00BC1631"/>
    <w:rsid w:val="00BD3647"/>
    <w:rsid w:val="00BD76C3"/>
    <w:rsid w:val="00BD76EA"/>
    <w:rsid w:val="00BF056C"/>
    <w:rsid w:val="00BF066A"/>
    <w:rsid w:val="00BF07F2"/>
    <w:rsid w:val="00BF1C90"/>
    <w:rsid w:val="00C06341"/>
    <w:rsid w:val="00C11621"/>
    <w:rsid w:val="00C16A25"/>
    <w:rsid w:val="00C20F59"/>
    <w:rsid w:val="00C40CE4"/>
    <w:rsid w:val="00C43430"/>
    <w:rsid w:val="00C44595"/>
    <w:rsid w:val="00C51095"/>
    <w:rsid w:val="00C52A22"/>
    <w:rsid w:val="00C54170"/>
    <w:rsid w:val="00C541BC"/>
    <w:rsid w:val="00C60EAB"/>
    <w:rsid w:val="00C627B9"/>
    <w:rsid w:val="00C63E56"/>
    <w:rsid w:val="00C64CB5"/>
    <w:rsid w:val="00C74045"/>
    <w:rsid w:val="00C77DC2"/>
    <w:rsid w:val="00C80769"/>
    <w:rsid w:val="00C84191"/>
    <w:rsid w:val="00C845E5"/>
    <w:rsid w:val="00C931B4"/>
    <w:rsid w:val="00C95088"/>
    <w:rsid w:val="00CA2EDE"/>
    <w:rsid w:val="00CA43BD"/>
    <w:rsid w:val="00CA74AB"/>
    <w:rsid w:val="00CB0881"/>
    <w:rsid w:val="00CB7082"/>
    <w:rsid w:val="00CC1A56"/>
    <w:rsid w:val="00CC1D75"/>
    <w:rsid w:val="00CE7F5E"/>
    <w:rsid w:val="00CF0A06"/>
    <w:rsid w:val="00CF1B67"/>
    <w:rsid w:val="00D01828"/>
    <w:rsid w:val="00D0364B"/>
    <w:rsid w:val="00D06741"/>
    <w:rsid w:val="00D10304"/>
    <w:rsid w:val="00D1177A"/>
    <w:rsid w:val="00D21AB5"/>
    <w:rsid w:val="00D3303B"/>
    <w:rsid w:val="00D404FE"/>
    <w:rsid w:val="00D437FE"/>
    <w:rsid w:val="00D445C5"/>
    <w:rsid w:val="00D44B5A"/>
    <w:rsid w:val="00D473ED"/>
    <w:rsid w:val="00D53B1F"/>
    <w:rsid w:val="00D61CB4"/>
    <w:rsid w:val="00D81398"/>
    <w:rsid w:val="00DB42EE"/>
    <w:rsid w:val="00DB5925"/>
    <w:rsid w:val="00DB756D"/>
    <w:rsid w:val="00DC6F56"/>
    <w:rsid w:val="00DD0E18"/>
    <w:rsid w:val="00DD3888"/>
    <w:rsid w:val="00DE0405"/>
    <w:rsid w:val="00DE0F62"/>
    <w:rsid w:val="00DE30F5"/>
    <w:rsid w:val="00DF04EA"/>
    <w:rsid w:val="00E0291B"/>
    <w:rsid w:val="00E133E8"/>
    <w:rsid w:val="00E214A4"/>
    <w:rsid w:val="00E2764C"/>
    <w:rsid w:val="00E3001B"/>
    <w:rsid w:val="00E47472"/>
    <w:rsid w:val="00E712B3"/>
    <w:rsid w:val="00E71B7B"/>
    <w:rsid w:val="00E74162"/>
    <w:rsid w:val="00E80A96"/>
    <w:rsid w:val="00E90FF2"/>
    <w:rsid w:val="00EB0EE9"/>
    <w:rsid w:val="00EB3B4E"/>
    <w:rsid w:val="00EC3F2B"/>
    <w:rsid w:val="00EC6366"/>
    <w:rsid w:val="00ED3E88"/>
    <w:rsid w:val="00ED4855"/>
    <w:rsid w:val="00ED56D4"/>
    <w:rsid w:val="00ED63AA"/>
    <w:rsid w:val="00EE0F94"/>
    <w:rsid w:val="00EE16DF"/>
    <w:rsid w:val="00EE3528"/>
    <w:rsid w:val="00EE3E73"/>
    <w:rsid w:val="00EE558F"/>
    <w:rsid w:val="00EF5FAB"/>
    <w:rsid w:val="00F00CD5"/>
    <w:rsid w:val="00F01735"/>
    <w:rsid w:val="00F02CCD"/>
    <w:rsid w:val="00F03866"/>
    <w:rsid w:val="00F04E6F"/>
    <w:rsid w:val="00F07BB7"/>
    <w:rsid w:val="00F11F5B"/>
    <w:rsid w:val="00F15C0D"/>
    <w:rsid w:val="00F16D63"/>
    <w:rsid w:val="00F16FBB"/>
    <w:rsid w:val="00F23F1D"/>
    <w:rsid w:val="00F24852"/>
    <w:rsid w:val="00F26302"/>
    <w:rsid w:val="00F26330"/>
    <w:rsid w:val="00F325A9"/>
    <w:rsid w:val="00F4438A"/>
    <w:rsid w:val="00F47897"/>
    <w:rsid w:val="00F57646"/>
    <w:rsid w:val="00F603A4"/>
    <w:rsid w:val="00F66D21"/>
    <w:rsid w:val="00F74844"/>
    <w:rsid w:val="00F90F38"/>
    <w:rsid w:val="00F91C43"/>
    <w:rsid w:val="00F931DA"/>
    <w:rsid w:val="00F94770"/>
    <w:rsid w:val="00F96DD8"/>
    <w:rsid w:val="00FA037F"/>
    <w:rsid w:val="00FB5790"/>
    <w:rsid w:val="00FB750A"/>
    <w:rsid w:val="00FB77B5"/>
    <w:rsid w:val="00FC6CF7"/>
    <w:rsid w:val="00FD132A"/>
    <w:rsid w:val="00FE1FE5"/>
    <w:rsid w:val="00FE24C2"/>
    <w:rsid w:val="00FE25D4"/>
    <w:rsid w:val="00FE6183"/>
    <w:rsid w:val="00FE6FDC"/>
    <w:rsid w:val="00FF19A4"/>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9E7C"/>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Revision">
    <w:name w:val="Revision"/>
    <w:hidden/>
    <w:uiPriority w:val="99"/>
    <w:semiHidden/>
    <w:rsid w:val="00217097"/>
    <w:pPr>
      <w:spacing w:after="0" w:line="240" w:lineRule="auto"/>
    </w:pPr>
  </w:style>
  <w:style w:type="paragraph" w:customStyle="1" w:styleId="nais1">
    <w:name w:val="nais1"/>
    <w:basedOn w:val="Normal"/>
    <w:rsid w:val="00B84B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1366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3187-32CF-44D6-AF54-E123B23E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5924</Words>
  <Characters>3377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9.novembra noteikumos Nr.1041 „Kārtība, kādā paredzami valsts budžeta līdzekļi Eiropas Savienības struktūrfondu un Kohēzijas fonda līdzfinansēto projektu īstenošanai, kā arī maksā</vt:lpstr>
    </vt:vector>
  </TitlesOfParts>
  <Company>lm</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sākotnējās ietekmes novērtējuma ziņojums (anotācija)</dc:title>
  <dc:subject>Anotācija</dc:subject>
  <dc:creator>inita.petrova@fm.gov.lv</dc:creator>
  <cp:keywords/>
  <dc:description>inita.petrova@fm.gov.lv tālrunis 67083941</dc:description>
  <cp:lastModifiedBy>Liene Strēlniece</cp:lastModifiedBy>
  <cp:revision>6</cp:revision>
  <cp:lastPrinted>2015-05-12T06:49:00Z</cp:lastPrinted>
  <dcterms:created xsi:type="dcterms:W3CDTF">2015-06-10T09:00:00Z</dcterms:created>
  <dcterms:modified xsi:type="dcterms:W3CDTF">2015-06-29T08:16:00Z</dcterms:modified>
</cp:coreProperties>
</file>