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8CA" w:rsidRPr="00ED38CA" w:rsidRDefault="00ED38CA" w:rsidP="00ED38CA">
      <w:pPr>
        <w:ind w:firstLine="0"/>
        <w:jc w:val="right"/>
        <w:rPr>
          <w:rFonts w:ascii="Times New Roman" w:eastAsia="Calibri" w:hAnsi="Times New Roman" w:cs="Times New Roman"/>
          <w:sz w:val="28"/>
        </w:rPr>
      </w:pPr>
      <w:bookmarkStart w:id="0" w:name="_GoBack"/>
      <w:bookmarkEnd w:id="0"/>
      <w:r w:rsidRPr="00ED38CA">
        <w:rPr>
          <w:rFonts w:ascii="Times New Roman" w:eastAsia="Calibri" w:hAnsi="Times New Roman" w:cs="Times New Roman"/>
          <w:sz w:val="28"/>
        </w:rPr>
        <w:t xml:space="preserve">          Projekts</w:t>
      </w:r>
    </w:p>
    <w:p w:rsidR="00ED38CA" w:rsidRPr="00ED38CA" w:rsidRDefault="00ED38CA" w:rsidP="00ED38CA">
      <w:pPr>
        <w:ind w:firstLine="0"/>
        <w:jc w:val="right"/>
        <w:rPr>
          <w:rFonts w:ascii="Times New Roman" w:eastAsia="Calibri" w:hAnsi="Times New Roman" w:cs="Times New Roman"/>
          <w:sz w:val="28"/>
        </w:rPr>
      </w:pPr>
    </w:p>
    <w:p w:rsidR="00E76CD6" w:rsidRPr="00ED38CA" w:rsidRDefault="00ED38CA" w:rsidP="00ED38CA">
      <w:pPr>
        <w:widowControl w:val="0"/>
        <w:tabs>
          <w:tab w:val="left" w:pos="6740"/>
        </w:tabs>
        <w:ind w:firstLine="0"/>
        <w:jc w:val="right"/>
        <w:rPr>
          <w:rFonts w:ascii="Times New Roman" w:eastAsia="Calibri" w:hAnsi="Times New Roman" w:cs="Times New Roman"/>
          <w:sz w:val="28"/>
          <w:szCs w:val="28"/>
        </w:rPr>
      </w:pPr>
      <w:r>
        <w:rPr>
          <w:rFonts w:ascii="Times New Roman" w:eastAsia="Calibri" w:hAnsi="Times New Roman" w:cs="Times New Roman"/>
          <w:b/>
          <w:sz w:val="28"/>
        </w:rPr>
        <w:t>Latvijas Republikas tiesībsargam</w:t>
      </w:r>
    </w:p>
    <w:p w:rsidR="00E76CD6" w:rsidRDefault="00E76CD6" w:rsidP="00E76CD6">
      <w:pPr>
        <w:widowControl w:val="0"/>
        <w:tabs>
          <w:tab w:val="left" w:pos="6740"/>
        </w:tabs>
        <w:ind w:firstLine="0"/>
        <w:jc w:val="left"/>
        <w:rPr>
          <w:rFonts w:ascii="Times New Roman" w:eastAsia="Calibri" w:hAnsi="Times New Roman" w:cs="Times New Roman"/>
          <w:i/>
          <w:sz w:val="28"/>
          <w:szCs w:val="28"/>
        </w:rPr>
      </w:pPr>
    </w:p>
    <w:p w:rsidR="00E76CD6" w:rsidRDefault="00E76CD6" w:rsidP="00E76CD6">
      <w:pPr>
        <w:widowControl w:val="0"/>
        <w:tabs>
          <w:tab w:val="left" w:pos="6740"/>
        </w:tabs>
        <w:ind w:firstLine="0"/>
        <w:jc w:val="left"/>
        <w:rPr>
          <w:rFonts w:ascii="Times New Roman" w:eastAsia="Calibri" w:hAnsi="Times New Roman" w:cs="Times New Roman"/>
          <w:i/>
          <w:sz w:val="28"/>
          <w:szCs w:val="28"/>
        </w:rPr>
      </w:pPr>
    </w:p>
    <w:p w:rsidR="00E76CD6" w:rsidRPr="000F5CF6" w:rsidRDefault="00E76CD6" w:rsidP="000F5CF6">
      <w:pPr>
        <w:widowControl w:val="0"/>
        <w:ind w:firstLine="0"/>
        <w:rPr>
          <w:rFonts w:ascii="Times New Roman" w:eastAsia="Calibri" w:hAnsi="Times New Roman" w:cs="Times New Roman"/>
          <w:sz w:val="26"/>
          <w:szCs w:val="26"/>
        </w:rPr>
      </w:pPr>
      <w:r w:rsidRPr="00E76CD6">
        <w:rPr>
          <w:rFonts w:ascii="Times New Roman" w:eastAsia="Calibri" w:hAnsi="Times New Roman" w:cs="Times New Roman"/>
          <w:sz w:val="28"/>
          <w:szCs w:val="28"/>
        </w:rPr>
        <w:tab/>
      </w:r>
      <w:r w:rsidR="007F59C0" w:rsidRPr="000F5CF6">
        <w:rPr>
          <w:rFonts w:ascii="Times New Roman" w:eastAsia="Calibri" w:hAnsi="Times New Roman" w:cs="Times New Roman"/>
          <w:sz w:val="26"/>
          <w:szCs w:val="26"/>
        </w:rPr>
        <w:t xml:space="preserve">Ministru kabinets ir iepazinies ar </w:t>
      </w:r>
      <w:r w:rsidRPr="000F5CF6">
        <w:rPr>
          <w:rFonts w:ascii="Times New Roman" w:eastAsia="Calibri" w:hAnsi="Times New Roman" w:cs="Times New Roman"/>
          <w:sz w:val="26"/>
          <w:szCs w:val="26"/>
        </w:rPr>
        <w:t xml:space="preserve">Latvijas Republikas </w:t>
      </w:r>
      <w:proofErr w:type="spellStart"/>
      <w:r w:rsidRPr="000F5CF6">
        <w:rPr>
          <w:rFonts w:ascii="Times New Roman" w:eastAsia="Calibri" w:hAnsi="Times New Roman" w:cs="Times New Roman"/>
          <w:sz w:val="26"/>
          <w:szCs w:val="26"/>
        </w:rPr>
        <w:t>tiesībsarga</w:t>
      </w:r>
      <w:proofErr w:type="spellEnd"/>
      <w:r w:rsidRPr="000F5CF6">
        <w:rPr>
          <w:rFonts w:ascii="Times New Roman" w:eastAsia="Calibri" w:hAnsi="Times New Roman" w:cs="Times New Roman"/>
          <w:sz w:val="26"/>
          <w:szCs w:val="26"/>
        </w:rPr>
        <w:t xml:space="preserve"> (turpmāk – Tiesībsargs) 2015. gada 22. maija vēstul</w:t>
      </w:r>
      <w:r w:rsidR="007F59C0" w:rsidRPr="000F5CF6">
        <w:rPr>
          <w:rFonts w:ascii="Times New Roman" w:eastAsia="Calibri" w:hAnsi="Times New Roman" w:cs="Times New Roman"/>
          <w:sz w:val="26"/>
          <w:szCs w:val="26"/>
        </w:rPr>
        <w:t>i</w:t>
      </w:r>
      <w:r w:rsidRPr="000F5CF6">
        <w:rPr>
          <w:rFonts w:ascii="Times New Roman" w:eastAsia="Calibri" w:hAnsi="Times New Roman" w:cs="Times New Roman"/>
          <w:sz w:val="26"/>
          <w:szCs w:val="26"/>
        </w:rPr>
        <w:t xml:space="preserve"> Nr. 1-5/121</w:t>
      </w:r>
      <w:r w:rsidR="00A46AE0" w:rsidRPr="000F5CF6">
        <w:rPr>
          <w:rFonts w:ascii="Times New Roman" w:eastAsia="Calibri" w:hAnsi="Times New Roman" w:cs="Times New Roman"/>
          <w:sz w:val="26"/>
          <w:szCs w:val="26"/>
        </w:rPr>
        <w:t xml:space="preserve"> (turpmāk – vēstule)</w:t>
      </w:r>
      <w:r w:rsidRPr="000F5CF6">
        <w:rPr>
          <w:rFonts w:ascii="Times New Roman" w:eastAsia="Calibri" w:hAnsi="Times New Roman" w:cs="Times New Roman"/>
          <w:sz w:val="26"/>
          <w:szCs w:val="26"/>
        </w:rPr>
        <w:t xml:space="preserve"> par Tiesībsarga biroja darbinieku un Tiesībsarga atlīdzību </w:t>
      </w:r>
      <w:r w:rsidR="007F59C0" w:rsidRPr="000F5CF6">
        <w:rPr>
          <w:rFonts w:ascii="Times New Roman" w:eastAsia="Calibri" w:hAnsi="Times New Roman" w:cs="Times New Roman"/>
          <w:sz w:val="26"/>
          <w:szCs w:val="26"/>
        </w:rPr>
        <w:t>un</w:t>
      </w:r>
      <w:r w:rsidR="003F1D21" w:rsidRPr="000F5CF6">
        <w:rPr>
          <w:rFonts w:ascii="Times New Roman" w:eastAsia="Calibri" w:hAnsi="Times New Roman" w:cs="Times New Roman"/>
          <w:sz w:val="26"/>
          <w:szCs w:val="26"/>
        </w:rPr>
        <w:t xml:space="preserve"> sekojošiem dokumentiem šīs vēstules pielikumā:</w:t>
      </w:r>
    </w:p>
    <w:p w:rsidR="003F1D21" w:rsidRPr="000F5CF6" w:rsidRDefault="003F1D21" w:rsidP="000F5CF6">
      <w:pPr>
        <w:pStyle w:val="ListParagraph"/>
        <w:widowControl w:val="0"/>
        <w:numPr>
          <w:ilvl w:val="0"/>
          <w:numId w:val="1"/>
        </w:numPr>
        <w:rPr>
          <w:rFonts w:ascii="Times New Roman" w:eastAsia="Calibri" w:hAnsi="Times New Roman" w:cs="Times New Roman"/>
          <w:sz w:val="26"/>
          <w:szCs w:val="26"/>
        </w:rPr>
      </w:pPr>
      <w:r w:rsidRPr="000F5CF6">
        <w:rPr>
          <w:rFonts w:ascii="Times New Roman" w:eastAsia="Calibri" w:hAnsi="Times New Roman" w:cs="Times New Roman"/>
          <w:sz w:val="26"/>
          <w:szCs w:val="26"/>
        </w:rPr>
        <w:t>Likumprojekts “Grozījumi Valsts un pašvaldību institūciju amatpersonu un darbinieku atlīdzības likumā”;</w:t>
      </w:r>
    </w:p>
    <w:p w:rsidR="003F1D21" w:rsidRPr="000F5CF6" w:rsidRDefault="003F1D21" w:rsidP="000F5CF6">
      <w:pPr>
        <w:pStyle w:val="ListParagraph"/>
        <w:widowControl w:val="0"/>
        <w:numPr>
          <w:ilvl w:val="0"/>
          <w:numId w:val="1"/>
        </w:numPr>
        <w:rPr>
          <w:rFonts w:ascii="Times New Roman" w:eastAsia="Calibri" w:hAnsi="Times New Roman" w:cs="Times New Roman"/>
          <w:sz w:val="26"/>
          <w:szCs w:val="26"/>
        </w:rPr>
      </w:pPr>
      <w:r w:rsidRPr="000F5CF6">
        <w:rPr>
          <w:rFonts w:ascii="Times New Roman" w:eastAsia="Calibri" w:hAnsi="Times New Roman" w:cs="Times New Roman"/>
          <w:sz w:val="26"/>
          <w:szCs w:val="26"/>
        </w:rPr>
        <w:t xml:space="preserve">Tiesībsarga birojam papildu nepieciešamā </w:t>
      </w:r>
      <w:r w:rsidR="007F59C0" w:rsidRPr="000F5CF6">
        <w:rPr>
          <w:rFonts w:ascii="Times New Roman" w:eastAsia="Calibri" w:hAnsi="Times New Roman" w:cs="Times New Roman"/>
          <w:sz w:val="26"/>
          <w:szCs w:val="26"/>
        </w:rPr>
        <w:t>finansējuma atlīdzībai aprēķins;</w:t>
      </w:r>
    </w:p>
    <w:p w:rsidR="007F59C0" w:rsidRPr="000F5CF6" w:rsidRDefault="007F59C0" w:rsidP="000F5CF6">
      <w:pPr>
        <w:widowControl w:val="0"/>
        <w:ind w:firstLine="0"/>
        <w:rPr>
          <w:rFonts w:ascii="Times New Roman" w:eastAsia="Calibri" w:hAnsi="Times New Roman" w:cs="Times New Roman"/>
          <w:sz w:val="26"/>
          <w:szCs w:val="26"/>
        </w:rPr>
      </w:pPr>
      <w:r w:rsidRPr="000F5CF6">
        <w:rPr>
          <w:rFonts w:ascii="Times New Roman" w:eastAsia="Calibri" w:hAnsi="Times New Roman" w:cs="Times New Roman"/>
          <w:sz w:val="26"/>
          <w:szCs w:val="26"/>
        </w:rPr>
        <w:t xml:space="preserve">un izsaka </w:t>
      </w:r>
      <w:r w:rsidR="00341D81" w:rsidRPr="000F5CF6">
        <w:rPr>
          <w:rFonts w:ascii="Times New Roman" w:eastAsia="Calibri" w:hAnsi="Times New Roman" w:cs="Times New Roman"/>
          <w:sz w:val="26"/>
          <w:szCs w:val="26"/>
        </w:rPr>
        <w:t>šādu</w:t>
      </w:r>
      <w:r w:rsidRPr="000F5CF6">
        <w:rPr>
          <w:rFonts w:ascii="Times New Roman" w:eastAsia="Calibri" w:hAnsi="Times New Roman" w:cs="Times New Roman"/>
          <w:sz w:val="26"/>
          <w:szCs w:val="26"/>
        </w:rPr>
        <w:t xml:space="preserve"> viedokli.</w:t>
      </w:r>
    </w:p>
    <w:p w:rsidR="003F1D21" w:rsidRPr="000F5CF6" w:rsidRDefault="003F1D21" w:rsidP="000F5CF6">
      <w:pPr>
        <w:pStyle w:val="ListParagraph"/>
        <w:widowControl w:val="0"/>
        <w:ind w:left="1080" w:firstLine="0"/>
        <w:rPr>
          <w:rFonts w:ascii="Times New Roman" w:eastAsia="Calibri" w:hAnsi="Times New Roman" w:cs="Times New Roman"/>
          <w:sz w:val="26"/>
          <w:szCs w:val="26"/>
        </w:rPr>
      </w:pPr>
    </w:p>
    <w:p w:rsidR="009B545F" w:rsidRPr="000F5CF6" w:rsidRDefault="007F59C0" w:rsidP="000F5CF6">
      <w:pPr>
        <w:widowControl w:val="0"/>
        <w:rPr>
          <w:rFonts w:ascii="Times New Roman" w:eastAsia="Calibri" w:hAnsi="Times New Roman" w:cs="Times New Roman"/>
          <w:sz w:val="26"/>
          <w:szCs w:val="26"/>
        </w:rPr>
      </w:pPr>
      <w:r w:rsidRPr="000F5CF6">
        <w:rPr>
          <w:rFonts w:ascii="Times New Roman" w:eastAsia="Calibri" w:hAnsi="Times New Roman" w:cs="Times New Roman"/>
          <w:sz w:val="26"/>
          <w:szCs w:val="26"/>
        </w:rPr>
        <w:t>I</w:t>
      </w:r>
      <w:r w:rsidR="009B545F" w:rsidRPr="000F5CF6">
        <w:rPr>
          <w:rFonts w:ascii="Times New Roman" w:eastAsia="Calibri" w:hAnsi="Times New Roman" w:cs="Times New Roman"/>
          <w:sz w:val="26"/>
          <w:szCs w:val="26"/>
        </w:rPr>
        <w:t xml:space="preserve">zvērtējot aspektus par Tiesībsarga priekšlikumu par Tiesībsarga </w:t>
      </w:r>
      <w:r w:rsidRPr="000F5CF6">
        <w:rPr>
          <w:rFonts w:ascii="Times New Roman" w:eastAsia="Calibri" w:hAnsi="Times New Roman" w:cs="Times New Roman"/>
          <w:sz w:val="26"/>
          <w:szCs w:val="26"/>
        </w:rPr>
        <w:t>mēnešalgas paaugstināšanu, vēlamies</w:t>
      </w:r>
      <w:r w:rsidR="009B545F" w:rsidRPr="000F5CF6">
        <w:rPr>
          <w:rFonts w:ascii="Times New Roman" w:eastAsia="Calibri" w:hAnsi="Times New Roman" w:cs="Times New Roman"/>
          <w:sz w:val="26"/>
          <w:szCs w:val="26"/>
        </w:rPr>
        <w:t xml:space="preserve"> atzīmēt, ka </w:t>
      </w:r>
      <w:r w:rsidR="00E76CD6" w:rsidRPr="000F5CF6">
        <w:rPr>
          <w:rFonts w:ascii="Times New Roman" w:eastAsia="Calibri" w:hAnsi="Times New Roman" w:cs="Times New Roman"/>
          <w:sz w:val="26"/>
          <w:szCs w:val="26"/>
        </w:rPr>
        <w:t>valdība šobrīd nav konceptuāli lēmusi par iespējamu atalgojuma paaugstināšanu kopumā, tai skaitā valsts augstākajām amatpersonām un neatkarīgo institūciju vadītājiem.</w:t>
      </w:r>
      <w:r w:rsidR="009B545F" w:rsidRPr="000F5CF6">
        <w:rPr>
          <w:rFonts w:ascii="Times New Roman" w:eastAsia="Calibri" w:hAnsi="Times New Roman" w:cs="Times New Roman"/>
          <w:sz w:val="26"/>
          <w:szCs w:val="26"/>
        </w:rPr>
        <w:t xml:space="preserve"> </w:t>
      </w:r>
    </w:p>
    <w:p w:rsidR="009B545F" w:rsidRPr="000F5CF6" w:rsidRDefault="00DE56AD" w:rsidP="000F5CF6">
      <w:pPr>
        <w:widowControl w:val="0"/>
        <w:rPr>
          <w:rFonts w:ascii="Times New Roman" w:eastAsia="Calibri" w:hAnsi="Times New Roman" w:cs="Times New Roman"/>
          <w:sz w:val="26"/>
          <w:szCs w:val="26"/>
        </w:rPr>
      </w:pPr>
      <w:r w:rsidRPr="000F5CF6">
        <w:rPr>
          <w:rFonts w:ascii="Times New Roman" w:eastAsia="Calibri" w:hAnsi="Times New Roman" w:cs="Times New Roman"/>
          <w:sz w:val="26"/>
          <w:szCs w:val="26"/>
        </w:rPr>
        <w:t xml:space="preserve">Jāatzīmē, ka </w:t>
      </w:r>
      <w:r w:rsidR="00506CC1" w:rsidRPr="000F5CF6">
        <w:rPr>
          <w:rFonts w:ascii="Times New Roman" w:eastAsia="Calibri" w:hAnsi="Times New Roman" w:cs="Times New Roman"/>
          <w:sz w:val="26"/>
          <w:szCs w:val="26"/>
        </w:rPr>
        <w:t xml:space="preserve">Valsts un pašvaldību institūciju amatpersonu un darbinieku atlīdzības likuma (turpmāk – Atlīdzības likums) </w:t>
      </w:r>
      <w:bookmarkStart w:id="1" w:name="bkm229"/>
      <w:bookmarkEnd w:id="1"/>
      <w:r w:rsidR="00506CC1" w:rsidRPr="000F5CF6">
        <w:rPr>
          <w:rFonts w:ascii="Times New Roman" w:eastAsia="Calibri" w:hAnsi="Times New Roman" w:cs="Times New Roman"/>
          <w:sz w:val="26"/>
          <w:szCs w:val="26"/>
        </w:rPr>
        <w:t>mērķis ir panākt, ka valsts un pašvaldību institūcijās amatpersonu (darbinieku) atlīdzības noteikšanā tiek ievēroti līdzvērtīgi nosacījumi. Tādējādi v</w:t>
      </w:r>
      <w:r w:rsidR="009B545F" w:rsidRPr="000F5CF6">
        <w:rPr>
          <w:rFonts w:ascii="Times New Roman" w:eastAsia="Calibri" w:hAnsi="Times New Roman" w:cs="Times New Roman"/>
          <w:sz w:val="26"/>
          <w:szCs w:val="26"/>
        </w:rPr>
        <w:t xml:space="preserve">ienotā atlīdzības sistēma </w:t>
      </w:r>
      <w:r w:rsidRPr="000F5CF6">
        <w:rPr>
          <w:rFonts w:ascii="Times New Roman" w:eastAsia="Calibri" w:hAnsi="Times New Roman" w:cs="Times New Roman"/>
          <w:sz w:val="26"/>
          <w:szCs w:val="26"/>
        </w:rPr>
        <w:t xml:space="preserve">ir </w:t>
      </w:r>
      <w:r w:rsidR="009B545F" w:rsidRPr="000F5CF6">
        <w:rPr>
          <w:rFonts w:ascii="Times New Roman" w:eastAsia="Calibri" w:hAnsi="Times New Roman" w:cs="Times New Roman"/>
          <w:sz w:val="26"/>
          <w:szCs w:val="26"/>
        </w:rPr>
        <w:t>pamatota ar leģitīmu mērķi - līdzsvarot sabiedriskajā sektorā nodarbināto atalgojumu, padarot to pārskatāmu un samērīgu attiecībā uz amatiem un profesijām. Likumdevējs to ir atzinis par ilgtermiņa perspektīvu, kas laika gaitā kārtojama un pilnveidojama.</w:t>
      </w:r>
    </w:p>
    <w:p w:rsidR="00AB0C9C" w:rsidRPr="000F5CF6" w:rsidRDefault="00E76CD6" w:rsidP="000F5CF6">
      <w:pPr>
        <w:ind w:firstLine="720"/>
        <w:rPr>
          <w:rFonts w:ascii="Times New Roman" w:eastAsia="Times New Roman" w:hAnsi="Times New Roman" w:cs="Times New Roman"/>
          <w:sz w:val="26"/>
          <w:szCs w:val="26"/>
          <w:lang w:eastAsia="lv-LV"/>
        </w:rPr>
      </w:pPr>
      <w:r w:rsidRPr="000F5CF6">
        <w:rPr>
          <w:rFonts w:ascii="Times New Roman" w:eastAsia="Times New Roman" w:hAnsi="Times New Roman" w:cs="Times New Roman"/>
          <w:sz w:val="26"/>
          <w:szCs w:val="26"/>
          <w:lang w:eastAsia="lv-LV"/>
        </w:rPr>
        <w:t xml:space="preserve">Tiesībsarga priekšlikums </w:t>
      </w:r>
      <w:r w:rsidR="009B545F" w:rsidRPr="000F5CF6">
        <w:rPr>
          <w:rFonts w:ascii="Times New Roman" w:eastAsia="Times New Roman" w:hAnsi="Times New Roman" w:cs="Times New Roman"/>
          <w:sz w:val="26"/>
          <w:szCs w:val="26"/>
          <w:lang w:eastAsia="lv-LV"/>
        </w:rPr>
        <w:t>būtiski</w:t>
      </w:r>
      <w:r w:rsidRPr="000F5CF6">
        <w:rPr>
          <w:rFonts w:ascii="Times New Roman" w:eastAsia="Times New Roman" w:hAnsi="Times New Roman" w:cs="Times New Roman"/>
          <w:sz w:val="26"/>
          <w:szCs w:val="26"/>
          <w:lang w:eastAsia="lv-LV"/>
        </w:rPr>
        <w:t xml:space="preserve"> maina mēnešalgas noteikšanas principu Tiesībsarga amatam. Šobrīd Tiesībsargam mēnešalgu nosaka, Centrālās statistikas pārvaldes oficiālajā statistikas paziņojumā publicētajam valstī strādājošo aizpagājušā gada mēneša vidējās darba samaksas apmēram (turpmāk - mēneša vidējās darba samaksas apmērs), kas noapaļots pilnos </w:t>
      </w:r>
      <w:proofErr w:type="spellStart"/>
      <w:r w:rsidRPr="000F5CF6">
        <w:rPr>
          <w:rFonts w:ascii="Times New Roman" w:eastAsia="Times New Roman" w:hAnsi="Times New Roman" w:cs="Times New Roman"/>
          <w:i/>
          <w:iCs/>
          <w:sz w:val="26"/>
          <w:szCs w:val="26"/>
          <w:lang w:eastAsia="lv-LV"/>
        </w:rPr>
        <w:t>euro</w:t>
      </w:r>
      <w:proofErr w:type="spellEnd"/>
      <w:r w:rsidRPr="000F5CF6">
        <w:rPr>
          <w:rFonts w:ascii="Times New Roman" w:eastAsia="Times New Roman" w:hAnsi="Times New Roman" w:cs="Times New Roman"/>
          <w:sz w:val="26"/>
          <w:szCs w:val="26"/>
          <w:lang w:eastAsia="lv-LV"/>
        </w:rPr>
        <w:t xml:space="preserve">, piemērojot koeficientu 3,41. Tādējādi šajā gadā </w:t>
      </w:r>
      <w:r w:rsidR="00287D54">
        <w:rPr>
          <w:rFonts w:ascii="Times New Roman" w:eastAsia="Times New Roman" w:hAnsi="Times New Roman" w:cs="Times New Roman"/>
          <w:sz w:val="26"/>
          <w:szCs w:val="26"/>
          <w:lang w:eastAsia="lv-LV"/>
        </w:rPr>
        <w:t>T</w:t>
      </w:r>
      <w:r w:rsidRPr="000F5CF6">
        <w:rPr>
          <w:rFonts w:ascii="Times New Roman" w:eastAsia="Times New Roman" w:hAnsi="Times New Roman" w:cs="Times New Roman"/>
          <w:sz w:val="26"/>
          <w:szCs w:val="26"/>
          <w:lang w:eastAsia="lv-LV"/>
        </w:rPr>
        <w:t xml:space="preserve">iesībsarga mēnešalgas apmērs ir 2441,56 </w:t>
      </w:r>
      <w:proofErr w:type="spellStart"/>
      <w:r w:rsidRPr="000F5CF6">
        <w:rPr>
          <w:rFonts w:ascii="Times New Roman" w:eastAsia="Times New Roman" w:hAnsi="Times New Roman" w:cs="Times New Roman"/>
          <w:i/>
          <w:sz w:val="26"/>
          <w:szCs w:val="26"/>
          <w:lang w:eastAsia="lv-LV"/>
        </w:rPr>
        <w:t>euro</w:t>
      </w:r>
      <w:proofErr w:type="spellEnd"/>
      <w:r w:rsidRPr="000F5CF6">
        <w:rPr>
          <w:rFonts w:ascii="Times New Roman" w:eastAsia="Times New Roman" w:hAnsi="Times New Roman" w:cs="Times New Roman"/>
          <w:sz w:val="26"/>
          <w:szCs w:val="26"/>
          <w:lang w:eastAsia="lv-LV"/>
        </w:rPr>
        <w:t>. Atbilstoši Tiesībsarga priekšlikumam (t.i. - Tiesībsarga mēnešalgu nosaka, pielīdzinot to valsts tiešās pārvaldes iestādes juridiskās struktūrvienības vadītāja mēnešalgas maksimālajam apmēram (12.mēnešalgu grupa) saskaņā ar Atlīdzības likuma 3.pielikumu, kam piemērots ko</w:t>
      </w:r>
      <w:r w:rsidR="00CA707B">
        <w:rPr>
          <w:rFonts w:ascii="Times New Roman" w:eastAsia="Times New Roman" w:hAnsi="Times New Roman" w:cs="Times New Roman"/>
          <w:sz w:val="26"/>
          <w:szCs w:val="26"/>
          <w:lang w:eastAsia="lv-LV"/>
        </w:rPr>
        <w:t xml:space="preserve">eficients - 2,62), Tiesībsarga </w:t>
      </w:r>
      <w:r w:rsidRPr="000F5CF6">
        <w:rPr>
          <w:rFonts w:ascii="Times New Roman" w:eastAsia="Times New Roman" w:hAnsi="Times New Roman" w:cs="Times New Roman"/>
          <w:sz w:val="26"/>
          <w:szCs w:val="26"/>
          <w:lang w:eastAsia="lv-LV"/>
        </w:rPr>
        <w:t xml:space="preserve">mēnešalga būtu 4315,14 </w:t>
      </w:r>
      <w:proofErr w:type="spellStart"/>
      <w:r w:rsidRPr="000F5CF6">
        <w:rPr>
          <w:rFonts w:ascii="Times New Roman" w:eastAsia="Times New Roman" w:hAnsi="Times New Roman" w:cs="Times New Roman"/>
          <w:i/>
          <w:sz w:val="26"/>
          <w:szCs w:val="26"/>
          <w:lang w:eastAsia="lv-LV"/>
        </w:rPr>
        <w:t>euro</w:t>
      </w:r>
      <w:proofErr w:type="spellEnd"/>
      <w:r w:rsidR="00C11065" w:rsidRPr="000F5CF6">
        <w:rPr>
          <w:rFonts w:ascii="Times New Roman" w:eastAsia="Times New Roman" w:hAnsi="Times New Roman" w:cs="Times New Roman"/>
          <w:i/>
          <w:sz w:val="26"/>
          <w:szCs w:val="26"/>
          <w:lang w:eastAsia="lv-LV"/>
        </w:rPr>
        <w:t xml:space="preserve"> </w:t>
      </w:r>
      <w:r w:rsidR="00C11065" w:rsidRPr="000F5CF6">
        <w:rPr>
          <w:rFonts w:ascii="Times New Roman" w:eastAsia="Times New Roman" w:hAnsi="Times New Roman" w:cs="Times New Roman"/>
          <w:sz w:val="26"/>
          <w:szCs w:val="26"/>
          <w:lang w:eastAsia="lv-LV"/>
        </w:rPr>
        <w:t>jeb</w:t>
      </w:r>
      <w:r w:rsidR="00C11065" w:rsidRPr="000F5CF6">
        <w:rPr>
          <w:rFonts w:ascii="Times New Roman" w:eastAsia="Times New Roman" w:hAnsi="Times New Roman" w:cs="Times New Roman"/>
          <w:i/>
          <w:sz w:val="26"/>
          <w:szCs w:val="26"/>
          <w:lang w:eastAsia="lv-LV"/>
        </w:rPr>
        <w:t xml:space="preserve"> </w:t>
      </w:r>
      <w:r w:rsidRPr="000F5CF6">
        <w:rPr>
          <w:rFonts w:ascii="Times New Roman" w:eastAsia="Times New Roman" w:hAnsi="Times New Roman" w:cs="Times New Roman"/>
          <w:sz w:val="26"/>
          <w:szCs w:val="26"/>
          <w:lang w:eastAsia="lv-LV"/>
        </w:rPr>
        <w:t xml:space="preserve">absolūtā izteiksmē Tiesībsarga mēnešalgas pieaugums būtu 1873,58 </w:t>
      </w:r>
      <w:proofErr w:type="spellStart"/>
      <w:r w:rsidRPr="000F5CF6">
        <w:rPr>
          <w:rFonts w:ascii="Times New Roman" w:eastAsia="Times New Roman" w:hAnsi="Times New Roman" w:cs="Times New Roman"/>
          <w:i/>
          <w:sz w:val="26"/>
          <w:szCs w:val="26"/>
          <w:lang w:eastAsia="lv-LV"/>
        </w:rPr>
        <w:t>euro</w:t>
      </w:r>
      <w:proofErr w:type="spellEnd"/>
      <w:r w:rsidRPr="000F5CF6">
        <w:rPr>
          <w:rFonts w:ascii="Times New Roman" w:eastAsia="Times New Roman" w:hAnsi="Times New Roman" w:cs="Times New Roman"/>
          <w:sz w:val="26"/>
          <w:szCs w:val="26"/>
          <w:lang w:eastAsia="lv-LV"/>
        </w:rPr>
        <w:t xml:space="preserve"> </w:t>
      </w:r>
      <w:r w:rsidR="00C11065" w:rsidRPr="00237333">
        <w:rPr>
          <w:rFonts w:ascii="Times New Roman" w:eastAsia="Times New Roman" w:hAnsi="Times New Roman" w:cs="Times New Roman"/>
          <w:sz w:val="26"/>
          <w:szCs w:val="26"/>
          <w:lang w:eastAsia="lv-LV"/>
        </w:rPr>
        <w:t>vai</w:t>
      </w:r>
      <w:r w:rsidR="00C11065" w:rsidRPr="000F5CF6">
        <w:rPr>
          <w:rFonts w:ascii="Times New Roman" w:eastAsia="Times New Roman" w:hAnsi="Times New Roman" w:cs="Times New Roman"/>
          <w:sz w:val="26"/>
          <w:szCs w:val="26"/>
          <w:lang w:eastAsia="lv-LV"/>
        </w:rPr>
        <w:t xml:space="preserve"> </w:t>
      </w:r>
      <w:r w:rsidRPr="000F5CF6">
        <w:rPr>
          <w:rFonts w:ascii="Times New Roman" w:eastAsia="Times New Roman" w:hAnsi="Times New Roman" w:cs="Times New Roman"/>
          <w:sz w:val="26"/>
          <w:szCs w:val="26"/>
          <w:lang w:eastAsia="lv-LV"/>
        </w:rPr>
        <w:t xml:space="preserve">77%. Jāatzīmē, ka </w:t>
      </w:r>
      <w:r w:rsidR="00C11065" w:rsidRPr="000F5CF6">
        <w:rPr>
          <w:rFonts w:ascii="Times New Roman" w:eastAsia="Times New Roman" w:hAnsi="Times New Roman" w:cs="Times New Roman"/>
          <w:sz w:val="26"/>
          <w:szCs w:val="26"/>
          <w:lang w:eastAsia="lv-LV"/>
        </w:rPr>
        <w:t xml:space="preserve">Tiesībsarga ieteiktais </w:t>
      </w:r>
      <w:r w:rsidRPr="000F5CF6">
        <w:rPr>
          <w:rFonts w:ascii="Times New Roman" w:eastAsia="Times New Roman" w:hAnsi="Times New Roman" w:cs="Times New Roman"/>
          <w:sz w:val="26"/>
          <w:szCs w:val="26"/>
          <w:lang w:eastAsia="lv-LV"/>
        </w:rPr>
        <w:t>mēnešalgas noteikšanas princips vienotajā atlīdzības sistēmā ir noteikts tikai tiesnešiem un prokuroriem</w:t>
      </w:r>
      <w:r w:rsidR="00C11065" w:rsidRPr="000F5CF6">
        <w:rPr>
          <w:rFonts w:ascii="Times New Roman" w:eastAsia="Times New Roman" w:hAnsi="Times New Roman" w:cs="Times New Roman"/>
          <w:sz w:val="26"/>
          <w:szCs w:val="26"/>
          <w:lang w:eastAsia="lv-LV"/>
        </w:rPr>
        <w:t xml:space="preserve"> un tas </w:t>
      </w:r>
      <w:r w:rsidR="00A46AE0" w:rsidRPr="000F5CF6">
        <w:rPr>
          <w:rFonts w:ascii="Times New Roman" w:eastAsia="Times New Roman" w:hAnsi="Times New Roman" w:cs="Times New Roman"/>
          <w:sz w:val="26"/>
          <w:szCs w:val="26"/>
          <w:lang w:eastAsia="lv-LV"/>
        </w:rPr>
        <w:t xml:space="preserve">būtu </w:t>
      </w:r>
      <w:r w:rsidRPr="000F5CF6">
        <w:rPr>
          <w:rFonts w:ascii="Times New Roman" w:eastAsia="Times New Roman" w:hAnsi="Times New Roman" w:cs="Times New Roman"/>
          <w:sz w:val="26"/>
          <w:szCs w:val="26"/>
          <w:lang w:eastAsia="lv-LV"/>
        </w:rPr>
        <w:t>identisk</w:t>
      </w:r>
      <w:r w:rsidR="00C11065" w:rsidRPr="000F5CF6">
        <w:rPr>
          <w:rFonts w:ascii="Times New Roman" w:eastAsia="Times New Roman" w:hAnsi="Times New Roman" w:cs="Times New Roman"/>
          <w:sz w:val="26"/>
          <w:szCs w:val="26"/>
          <w:lang w:eastAsia="lv-LV"/>
        </w:rPr>
        <w:t>s</w:t>
      </w:r>
      <w:r w:rsidRPr="000F5CF6">
        <w:rPr>
          <w:rFonts w:ascii="Times New Roman" w:eastAsia="Times New Roman" w:hAnsi="Times New Roman" w:cs="Times New Roman"/>
          <w:sz w:val="26"/>
          <w:szCs w:val="26"/>
          <w:lang w:eastAsia="lv-LV"/>
        </w:rPr>
        <w:t xml:space="preserve"> </w:t>
      </w:r>
      <w:r w:rsidR="00A37D23" w:rsidRPr="000F5CF6">
        <w:rPr>
          <w:rFonts w:ascii="Times New Roman" w:eastAsia="Times New Roman" w:hAnsi="Times New Roman" w:cs="Times New Roman"/>
          <w:sz w:val="26"/>
          <w:szCs w:val="26"/>
          <w:lang w:eastAsia="lv-LV"/>
        </w:rPr>
        <w:t xml:space="preserve">ar </w:t>
      </w:r>
      <w:r w:rsidRPr="000F5CF6">
        <w:rPr>
          <w:rFonts w:ascii="Times New Roman" w:eastAsia="Times New Roman" w:hAnsi="Times New Roman" w:cs="Times New Roman"/>
          <w:sz w:val="26"/>
          <w:szCs w:val="26"/>
          <w:lang w:eastAsia="lv-LV"/>
        </w:rPr>
        <w:t xml:space="preserve">Satversmes </w:t>
      </w:r>
      <w:r w:rsidR="00A37D23" w:rsidRPr="000F5CF6">
        <w:rPr>
          <w:rFonts w:ascii="Times New Roman" w:eastAsia="Times New Roman" w:hAnsi="Times New Roman" w:cs="Times New Roman"/>
          <w:sz w:val="26"/>
          <w:szCs w:val="26"/>
          <w:lang w:eastAsia="lv-LV"/>
        </w:rPr>
        <w:t>tiesas priekšsēdētāja mēnešalgu</w:t>
      </w:r>
      <w:r w:rsidR="00AC5254">
        <w:rPr>
          <w:rFonts w:ascii="Times New Roman" w:eastAsia="Times New Roman" w:hAnsi="Times New Roman" w:cs="Times New Roman"/>
          <w:sz w:val="26"/>
          <w:szCs w:val="26"/>
          <w:lang w:eastAsia="lv-LV"/>
        </w:rPr>
        <w:t>,</w:t>
      </w:r>
      <w:r w:rsidR="00C11065" w:rsidRPr="000F5CF6">
        <w:rPr>
          <w:rFonts w:ascii="Times New Roman" w:eastAsia="Times New Roman" w:hAnsi="Times New Roman" w:cs="Times New Roman"/>
          <w:sz w:val="26"/>
          <w:szCs w:val="26"/>
          <w:lang w:eastAsia="lv-LV"/>
        </w:rPr>
        <w:t xml:space="preserve"> kam</w:t>
      </w:r>
      <w:r w:rsidR="000F5CF6" w:rsidRPr="000F5CF6">
        <w:rPr>
          <w:rFonts w:ascii="Times New Roman" w:eastAsia="Times New Roman" w:hAnsi="Times New Roman" w:cs="Times New Roman"/>
          <w:sz w:val="26"/>
          <w:szCs w:val="26"/>
          <w:lang w:eastAsia="lv-LV"/>
        </w:rPr>
        <w:t xml:space="preserve"> </w:t>
      </w:r>
      <w:r w:rsidRPr="000F5CF6">
        <w:rPr>
          <w:rFonts w:ascii="Times New Roman" w:eastAsia="Times New Roman" w:hAnsi="Times New Roman" w:cs="Times New Roman"/>
          <w:sz w:val="26"/>
          <w:szCs w:val="26"/>
          <w:lang w:eastAsia="lv-LV"/>
        </w:rPr>
        <w:t xml:space="preserve">nevar piekrist no atlīdzības politikas viedokļa, jo Satversmes tiesas priekšsēdētāja un Tiesībsarga funkcijas un lēmumu nozīmība nav </w:t>
      </w:r>
      <w:r w:rsidR="00A37D23" w:rsidRPr="000F5CF6">
        <w:rPr>
          <w:rFonts w:ascii="Times New Roman" w:eastAsia="Times New Roman" w:hAnsi="Times New Roman" w:cs="Times New Roman"/>
          <w:sz w:val="26"/>
          <w:szCs w:val="26"/>
          <w:lang w:eastAsia="lv-LV"/>
        </w:rPr>
        <w:t>viennozīmīgi samērojami.</w:t>
      </w:r>
      <w:r w:rsidRPr="000F5CF6">
        <w:rPr>
          <w:rFonts w:ascii="Times New Roman" w:eastAsia="Times New Roman" w:hAnsi="Times New Roman" w:cs="Times New Roman"/>
          <w:sz w:val="26"/>
          <w:szCs w:val="26"/>
          <w:lang w:eastAsia="lv-LV"/>
        </w:rPr>
        <w:t xml:space="preserve"> </w:t>
      </w:r>
      <w:r w:rsidR="00AB0C9C" w:rsidRPr="000F5CF6">
        <w:rPr>
          <w:rFonts w:ascii="Times New Roman" w:eastAsia="Times New Roman" w:hAnsi="Times New Roman" w:cs="Times New Roman"/>
          <w:sz w:val="26"/>
          <w:szCs w:val="26"/>
          <w:lang w:eastAsia="lv-LV"/>
        </w:rPr>
        <w:t>Viens no risinājumiem, kas būtu konceptuāli lemjams attiecībā uz Tiesībsarga mēnešalgas palielināšanu, būtu</w:t>
      </w:r>
      <w:r w:rsidR="00C11065" w:rsidRPr="000F5CF6">
        <w:rPr>
          <w:rFonts w:ascii="Times New Roman" w:eastAsia="Times New Roman" w:hAnsi="Times New Roman" w:cs="Times New Roman"/>
          <w:sz w:val="26"/>
          <w:szCs w:val="26"/>
          <w:lang w:eastAsia="lv-LV"/>
        </w:rPr>
        <w:t xml:space="preserve"> šobrīd</w:t>
      </w:r>
      <w:r w:rsidR="00AB0C9C" w:rsidRPr="000F5CF6">
        <w:rPr>
          <w:rFonts w:ascii="Times New Roman" w:eastAsia="Times New Roman" w:hAnsi="Times New Roman" w:cs="Times New Roman"/>
          <w:sz w:val="26"/>
          <w:szCs w:val="26"/>
          <w:lang w:eastAsia="lv-LV"/>
        </w:rPr>
        <w:t xml:space="preserve"> mēneša vidējās darba samaksas apmēram piemērojamā koeficienta 3,41 palielināšana līdz, piemēram, </w:t>
      </w:r>
      <w:r w:rsidR="00AB0C9C" w:rsidRPr="000F5CF6">
        <w:rPr>
          <w:rFonts w:ascii="Times New Roman" w:eastAsia="Times New Roman" w:hAnsi="Times New Roman" w:cs="Times New Roman"/>
          <w:sz w:val="26"/>
          <w:szCs w:val="26"/>
          <w:lang w:eastAsia="lv-LV"/>
        </w:rPr>
        <w:lastRenderedPageBreak/>
        <w:t xml:space="preserve">valsts kontrolierim piemērojamam koeficienta 4,05 apmēram, jo šo </w:t>
      </w:r>
      <w:r w:rsidR="00A46AE0" w:rsidRPr="000F5CF6">
        <w:rPr>
          <w:rFonts w:ascii="Times New Roman" w:eastAsia="Times New Roman" w:hAnsi="Times New Roman" w:cs="Times New Roman"/>
          <w:sz w:val="26"/>
          <w:szCs w:val="26"/>
          <w:lang w:eastAsia="lv-LV"/>
        </w:rPr>
        <w:t xml:space="preserve">abu </w:t>
      </w:r>
      <w:r w:rsidR="00AB0C9C" w:rsidRPr="000F5CF6">
        <w:rPr>
          <w:rFonts w:ascii="Times New Roman" w:eastAsia="Times New Roman" w:hAnsi="Times New Roman" w:cs="Times New Roman"/>
          <w:sz w:val="26"/>
          <w:szCs w:val="26"/>
          <w:lang w:eastAsia="lv-LV"/>
        </w:rPr>
        <w:t>amatu funkcijas un lēmumu nozīmību ir zināmā mērā līdzīga, t.i., gan Valsts kontrole, gan Tiesībsargs sniedz ieteikumus kādas konkrētas sistēmas pilnveidei, un šiem sniegtajiem ieteikumiem nav tiesisku seku.</w:t>
      </w:r>
    </w:p>
    <w:p w:rsidR="00E76CD6" w:rsidRPr="000F5CF6" w:rsidRDefault="00AB0C9C" w:rsidP="000F5CF6">
      <w:pPr>
        <w:ind w:firstLine="720"/>
        <w:rPr>
          <w:rFonts w:ascii="Times New Roman" w:eastAsia="Times New Roman" w:hAnsi="Times New Roman" w:cs="Times New Roman"/>
          <w:i/>
          <w:sz w:val="26"/>
          <w:szCs w:val="26"/>
          <w:lang w:eastAsia="lv-LV"/>
        </w:rPr>
      </w:pPr>
      <w:r w:rsidRPr="000F5CF6">
        <w:rPr>
          <w:rFonts w:ascii="Times New Roman" w:eastAsia="Times New Roman" w:hAnsi="Times New Roman" w:cs="Times New Roman"/>
          <w:sz w:val="26"/>
          <w:szCs w:val="26"/>
          <w:lang w:eastAsia="lv-LV"/>
        </w:rPr>
        <w:t>Papildus iepriekšminētajam jāatzīmē</w:t>
      </w:r>
      <w:r w:rsidR="00E76CD6" w:rsidRPr="000F5CF6">
        <w:rPr>
          <w:rFonts w:ascii="Times New Roman" w:eastAsia="Times New Roman" w:hAnsi="Times New Roman" w:cs="Times New Roman"/>
          <w:sz w:val="26"/>
          <w:szCs w:val="26"/>
          <w:lang w:eastAsia="lv-LV"/>
        </w:rPr>
        <w:t xml:space="preserve">, ka šobrīd Atlīdzības likumā ir noteikta augstāko valsts amatpersonu (Atlīdzības likuma </w:t>
      </w:r>
      <w:r w:rsidR="00E76CD6" w:rsidRPr="000F5CF6">
        <w:rPr>
          <w:rFonts w:ascii="Times New Roman" w:eastAsia="Times New Roman" w:hAnsi="Times New Roman" w:cs="Times New Roman"/>
          <w:bCs/>
          <w:sz w:val="26"/>
          <w:szCs w:val="26"/>
          <w:lang w:eastAsia="lv-LV"/>
        </w:rPr>
        <w:t>5.pants,</w:t>
      </w:r>
      <w:r w:rsidR="00E76CD6" w:rsidRPr="000F5CF6">
        <w:rPr>
          <w:rFonts w:ascii="Times New Roman" w:eastAsia="Times New Roman" w:hAnsi="Times New Roman" w:cs="Times New Roman"/>
          <w:sz w:val="26"/>
          <w:szCs w:val="26"/>
          <w:lang w:eastAsia="lv-LV"/>
        </w:rPr>
        <w:t xml:space="preserve"> </w:t>
      </w:r>
      <w:r w:rsidR="00E76CD6" w:rsidRPr="000F5CF6">
        <w:rPr>
          <w:rFonts w:ascii="Times New Roman" w:eastAsia="Times New Roman" w:hAnsi="Times New Roman" w:cs="Times New Roman"/>
          <w:bCs/>
          <w:sz w:val="26"/>
          <w:szCs w:val="26"/>
          <w:lang w:eastAsia="lv-LV"/>
        </w:rPr>
        <w:t>5.</w:t>
      </w:r>
      <w:r w:rsidR="00E76CD6" w:rsidRPr="000F5CF6">
        <w:rPr>
          <w:rFonts w:ascii="Times New Roman" w:eastAsia="Times New Roman" w:hAnsi="Times New Roman" w:cs="Times New Roman"/>
          <w:bCs/>
          <w:sz w:val="26"/>
          <w:szCs w:val="26"/>
          <w:vertAlign w:val="superscript"/>
          <w:lang w:eastAsia="lv-LV"/>
        </w:rPr>
        <w:t>1</w:t>
      </w:r>
      <w:r w:rsidR="00E76CD6" w:rsidRPr="000F5CF6">
        <w:rPr>
          <w:rFonts w:ascii="Times New Roman" w:eastAsia="Times New Roman" w:hAnsi="Times New Roman" w:cs="Times New Roman"/>
          <w:bCs/>
          <w:sz w:val="26"/>
          <w:szCs w:val="26"/>
          <w:lang w:eastAsia="lv-LV"/>
        </w:rPr>
        <w:t xml:space="preserve">pants, 6.pants) mēnešalgu hierarhija, kas ir īstenota </w:t>
      </w:r>
      <w:r w:rsidR="00C11065" w:rsidRPr="000F5CF6">
        <w:rPr>
          <w:rFonts w:ascii="Times New Roman" w:eastAsia="Times New Roman" w:hAnsi="Times New Roman" w:cs="Times New Roman"/>
          <w:bCs/>
          <w:sz w:val="26"/>
          <w:szCs w:val="26"/>
          <w:lang w:eastAsia="lv-LV"/>
        </w:rPr>
        <w:t xml:space="preserve">ar </w:t>
      </w:r>
      <w:r w:rsidR="00E76CD6" w:rsidRPr="000F5CF6">
        <w:rPr>
          <w:rFonts w:ascii="Times New Roman" w:eastAsia="Times New Roman" w:hAnsi="Times New Roman" w:cs="Times New Roman"/>
          <w:sz w:val="26"/>
          <w:szCs w:val="26"/>
          <w:lang w:eastAsia="lv-LV"/>
        </w:rPr>
        <w:t xml:space="preserve">mēneša vidējās darba samaksas apmēru un tam attiecīgi amatam piemērojamo koeficientu. Uzskatām, ka Tiesībsarga </w:t>
      </w:r>
      <w:r w:rsidR="00C11065" w:rsidRPr="000F5CF6">
        <w:rPr>
          <w:rFonts w:ascii="Times New Roman" w:eastAsia="Times New Roman" w:hAnsi="Times New Roman" w:cs="Times New Roman"/>
          <w:sz w:val="26"/>
          <w:szCs w:val="26"/>
          <w:lang w:eastAsia="lv-LV"/>
        </w:rPr>
        <w:t>mēneš</w:t>
      </w:r>
      <w:r w:rsidR="00E76CD6" w:rsidRPr="000F5CF6">
        <w:rPr>
          <w:rFonts w:ascii="Times New Roman" w:eastAsia="Times New Roman" w:hAnsi="Times New Roman" w:cs="Times New Roman"/>
          <w:sz w:val="26"/>
          <w:szCs w:val="26"/>
          <w:lang w:eastAsia="lv-LV"/>
        </w:rPr>
        <w:t xml:space="preserve">algai, lai nodrošinātu kopējas atlīdzības sistēmas darbības sistēmisko pieeju, ir </w:t>
      </w:r>
      <w:r w:rsidR="003E2317" w:rsidRPr="000F5CF6">
        <w:rPr>
          <w:rFonts w:ascii="Times New Roman" w:eastAsia="Times New Roman" w:hAnsi="Times New Roman" w:cs="Times New Roman"/>
          <w:sz w:val="26"/>
          <w:szCs w:val="26"/>
          <w:lang w:eastAsia="lv-LV"/>
        </w:rPr>
        <w:t>jāsaglabā piesaiste</w:t>
      </w:r>
      <w:r w:rsidR="00E76CD6" w:rsidRPr="000F5CF6">
        <w:rPr>
          <w:rFonts w:ascii="Times New Roman" w:eastAsia="Times New Roman" w:hAnsi="Times New Roman" w:cs="Times New Roman"/>
          <w:sz w:val="26"/>
          <w:szCs w:val="26"/>
          <w:lang w:eastAsia="lv-LV"/>
        </w:rPr>
        <w:t xml:space="preserve"> pie mēneša vidējās darba samaksas apmēra (t.i., vidējās darba samaksas apmēra tautsaimniecībā), tādejādi nostiprinot viņu neatkarību</w:t>
      </w:r>
      <w:r w:rsidR="00C11065" w:rsidRPr="000F5CF6">
        <w:rPr>
          <w:rFonts w:ascii="Times New Roman" w:eastAsia="Times New Roman" w:hAnsi="Times New Roman" w:cs="Times New Roman"/>
          <w:sz w:val="26"/>
          <w:szCs w:val="26"/>
          <w:lang w:eastAsia="lv-LV"/>
        </w:rPr>
        <w:t>.</w:t>
      </w:r>
      <w:r w:rsidR="003E2317" w:rsidRPr="000F5CF6">
        <w:rPr>
          <w:rFonts w:ascii="Times New Roman" w:eastAsia="Times New Roman" w:hAnsi="Times New Roman" w:cs="Times New Roman"/>
          <w:sz w:val="26"/>
          <w:szCs w:val="26"/>
          <w:lang w:eastAsia="lv-LV"/>
        </w:rPr>
        <w:t xml:space="preserve"> Ņe</w:t>
      </w:r>
      <w:r w:rsidR="00E76CD6" w:rsidRPr="000F5CF6">
        <w:rPr>
          <w:rFonts w:ascii="Times New Roman" w:eastAsia="Times New Roman" w:hAnsi="Times New Roman" w:cs="Times New Roman"/>
          <w:sz w:val="26"/>
          <w:szCs w:val="26"/>
          <w:lang w:eastAsia="lv-LV"/>
        </w:rPr>
        <w:t xml:space="preserve">mot vērā iepriekšminēto informāciju, kā arī to, ka atbilstoši </w:t>
      </w:r>
      <w:r w:rsidR="00F06673" w:rsidRPr="000F5CF6">
        <w:rPr>
          <w:rFonts w:ascii="Times New Roman" w:eastAsia="Times New Roman" w:hAnsi="Times New Roman" w:cs="Times New Roman"/>
          <w:sz w:val="26"/>
          <w:szCs w:val="26"/>
          <w:lang w:eastAsia="lv-LV"/>
        </w:rPr>
        <w:t xml:space="preserve">Tiesībsarga </w:t>
      </w:r>
      <w:r w:rsidR="00E76CD6" w:rsidRPr="000F5CF6">
        <w:rPr>
          <w:rFonts w:ascii="Times New Roman" w:eastAsia="Times New Roman" w:hAnsi="Times New Roman" w:cs="Times New Roman"/>
          <w:sz w:val="26"/>
          <w:szCs w:val="26"/>
          <w:lang w:eastAsia="lv-LV"/>
        </w:rPr>
        <w:t xml:space="preserve">2015. gada 22. maija vēstulē Nr. 1-5/121 minētajam Tiesībsargs ir tikai iesācis diskusiju par Tiesībsarga statusa un neatkarības garantijas nostiprināšanu LR Satversmē, Tiesībsarga </w:t>
      </w:r>
      <w:r w:rsidR="00F06673" w:rsidRPr="000F5CF6">
        <w:rPr>
          <w:rFonts w:ascii="Times New Roman" w:eastAsia="Times New Roman" w:hAnsi="Times New Roman" w:cs="Times New Roman"/>
          <w:sz w:val="26"/>
          <w:szCs w:val="26"/>
          <w:lang w:eastAsia="lv-LV"/>
        </w:rPr>
        <w:t xml:space="preserve">izteiktais </w:t>
      </w:r>
      <w:r w:rsidR="00E76CD6" w:rsidRPr="000F5CF6">
        <w:rPr>
          <w:rFonts w:ascii="Times New Roman" w:eastAsia="Times New Roman" w:hAnsi="Times New Roman" w:cs="Times New Roman"/>
          <w:sz w:val="26"/>
          <w:szCs w:val="26"/>
          <w:lang w:eastAsia="lv-LV"/>
        </w:rPr>
        <w:t>priekšlikums</w:t>
      </w:r>
      <w:r w:rsidR="00F06673" w:rsidRPr="000F5CF6">
        <w:rPr>
          <w:rFonts w:ascii="Times New Roman" w:eastAsia="Times New Roman" w:hAnsi="Times New Roman" w:cs="Times New Roman"/>
          <w:sz w:val="26"/>
          <w:szCs w:val="26"/>
          <w:lang w:eastAsia="lv-LV"/>
        </w:rPr>
        <w:t xml:space="preserve"> par g</w:t>
      </w:r>
      <w:r w:rsidR="00A46AE0" w:rsidRPr="000F5CF6">
        <w:rPr>
          <w:rFonts w:ascii="Times New Roman" w:eastAsia="Times New Roman" w:hAnsi="Times New Roman" w:cs="Times New Roman"/>
          <w:sz w:val="26"/>
          <w:szCs w:val="26"/>
          <w:lang w:eastAsia="lv-LV"/>
        </w:rPr>
        <w:t>rozījumi</w:t>
      </w:r>
      <w:r w:rsidR="00F06673" w:rsidRPr="000F5CF6">
        <w:rPr>
          <w:rFonts w:ascii="Times New Roman" w:eastAsia="Times New Roman" w:hAnsi="Times New Roman" w:cs="Times New Roman"/>
          <w:sz w:val="26"/>
          <w:szCs w:val="26"/>
          <w:lang w:eastAsia="lv-LV"/>
        </w:rPr>
        <w:t>em</w:t>
      </w:r>
      <w:r w:rsidR="00A46AE0" w:rsidRPr="000F5CF6">
        <w:rPr>
          <w:rFonts w:ascii="Times New Roman" w:eastAsia="Times New Roman" w:hAnsi="Times New Roman" w:cs="Times New Roman"/>
          <w:sz w:val="26"/>
          <w:szCs w:val="26"/>
          <w:lang w:eastAsia="lv-LV"/>
        </w:rPr>
        <w:t xml:space="preserve"> </w:t>
      </w:r>
      <w:r w:rsidR="00F06673" w:rsidRPr="000F5CF6">
        <w:rPr>
          <w:rFonts w:ascii="Times New Roman" w:eastAsia="Times New Roman" w:hAnsi="Times New Roman" w:cs="Times New Roman"/>
          <w:sz w:val="26"/>
          <w:szCs w:val="26"/>
          <w:lang w:eastAsia="lv-LV"/>
        </w:rPr>
        <w:t>A</w:t>
      </w:r>
      <w:r w:rsidR="00A46AE0" w:rsidRPr="000F5CF6">
        <w:rPr>
          <w:rFonts w:ascii="Times New Roman" w:eastAsia="Times New Roman" w:hAnsi="Times New Roman" w:cs="Times New Roman"/>
          <w:sz w:val="26"/>
          <w:szCs w:val="26"/>
          <w:lang w:eastAsia="lv-LV"/>
        </w:rPr>
        <w:t>tlīdzības likumā</w:t>
      </w:r>
      <w:r w:rsidR="00E76CD6" w:rsidRPr="000F5CF6">
        <w:rPr>
          <w:rFonts w:ascii="Times New Roman" w:eastAsia="Times New Roman" w:hAnsi="Times New Roman" w:cs="Times New Roman"/>
          <w:sz w:val="26"/>
          <w:szCs w:val="26"/>
          <w:lang w:eastAsia="lv-LV"/>
        </w:rPr>
        <w:t xml:space="preserve">, kas </w:t>
      </w:r>
      <w:r w:rsidR="00F06673" w:rsidRPr="000F5CF6">
        <w:rPr>
          <w:rFonts w:ascii="Times New Roman" w:eastAsia="Times New Roman" w:hAnsi="Times New Roman" w:cs="Times New Roman"/>
          <w:sz w:val="26"/>
          <w:szCs w:val="26"/>
          <w:lang w:eastAsia="lv-LV"/>
        </w:rPr>
        <w:t>būtiski</w:t>
      </w:r>
      <w:r w:rsidR="00E76CD6" w:rsidRPr="000F5CF6">
        <w:rPr>
          <w:rFonts w:ascii="Times New Roman" w:eastAsia="Times New Roman" w:hAnsi="Times New Roman" w:cs="Times New Roman"/>
          <w:sz w:val="26"/>
          <w:szCs w:val="26"/>
          <w:lang w:eastAsia="lv-LV"/>
        </w:rPr>
        <w:t xml:space="preserve"> maina mēnešalgas noteikšanas principu Tiesībsarga amatam, nav atbalstāms.</w:t>
      </w:r>
      <w:r w:rsidR="00E76CD6" w:rsidRPr="000F5CF6">
        <w:rPr>
          <w:rFonts w:ascii="Times New Roman" w:eastAsia="Times New Roman" w:hAnsi="Times New Roman" w:cs="Times New Roman"/>
          <w:i/>
          <w:sz w:val="26"/>
          <w:szCs w:val="26"/>
          <w:lang w:eastAsia="lv-LV"/>
        </w:rPr>
        <w:t xml:space="preserve"> </w:t>
      </w:r>
    </w:p>
    <w:p w:rsidR="00857B16" w:rsidRPr="000F5CF6" w:rsidRDefault="00857B16" w:rsidP="000F5CF6">
      <w:pPr>
        <w:ind w:firstLine="720"/>
        <w:rPr>
          <w:rFonts w:ascii="Times New Roman" w:eastAsia="Times New Roman" w:hAnsi="Times New Roman" w:cs="Times New Roman"/>
          <w:sz w:val="26"/>
          <w:szCs w:val="26"/>
          <w:lang w:eastAsia="lv-LV"/>
        </w:rPr>
      </w:pPr>
    </w:p>
    <w:p w:rsidR="00F55B65" w:rsidRPr="000F5CF6" w:rsidRDefault="00F55B65" w:rsidP="000F5CF6">
      <w:pPr>
        <w:widowControl w:val="0"/>
        <w:tabs>
          <w:tab w:val="left" w:pos="709"/>
        </w:tabs>
        <w:ind w:firstLine="0"/>
        <w:rPr>
          <w:rFonts w:ascii="Times New Roman" w:eastAsia="Calibri" w:hAnsi="Times New Roman" w:cs="Times New Roman"/>
          <w:sz w:val="26"/>
          <w:szCs w:val="26"/>
        </w:rPr>
      </w:pPr>
      <w:r w:rsidRPr="000F5CF6">
        <w:rPr>
          <w:rFonts w:ascii="Times New Roman" w:eastAsia="Calibri" w:hAnsi="Times New Roman" w:cs="Times New Roman"/>
          <w:sz w:val="26"/>
          <w:szCs w:val="26"/>
        </w:rPr>
        <w:tab/>
      </w:r>
      <w:r w:rsidR="00A46AE0" w:rsidRPr="000F5CF6">
        <w:rPr>
          <w:rFonts w:ascii="Times New Roman" w:eastAsia="Calibri" w:hAnsi="Times New Roman" w:cs="Times New Roman"/>
          <w:sz w:val="26"/>
          <w:szCs w:val="26"/>
        </w:rPr>
        <w:t xml:space="preserve">Attiecībā uz Tiesībsarga birojam papildu nepieciešamā finansējuma atlīdzībai aprēķinu </w:t>
      </w:r>
      <w:r w:rsidR="00E95551" w:rsidRPr="000F5CF6">
        <w:rPr>
          <w:rFonts w:ascii="Times New Roman" w:eastAsia="Calibri" w:hAnsi="Times New Roman" w:cs="Times New Roman"/>
          <w:sz w:val="26"/>
          <w:szCs w:val="26"/>
        </w:rPr>
        <w:t>informējam, ka</w:t>
      </w:r>
      <w:r w:rsidR="00A46AE0" w:rsidRPr="000F5CF6">
        <w:rPr>
          <w:rFonts w:ascii="Times New Roman" w:eastAsia="Calibri" w:hAnsi="Times New Roman" w:cs="Times New Roman"/>
          <w:sz w:val="26"/>
          <w:szCs w:val="26"/>
        </w:rPr>
        <w:t xml:space="preserve"> ņ</w:t>
      </w:r>
      <w:r w:rsidR="00857B16" w:rsidRPr="000F5CF6">
        <w:rPr>
          <w:rFonts w:ascii="Times New Roman" w:eastAsia="Calibri" w:hAnsi="Times New Roman" w:cs="Times New Roman"/>
          <w:sz w:val="26"/>
          <w:szCs w:val="26"/>
        </w:rPr>
        <w:t xml:space="preserve">emot vērā </w:t>
      </w:r>
      <w:r w:rsidR="00857B16" w:rsidRPr="000F5CF6">
        <w:rPr>
          <w:rFonts w:ascii="Times New Roman" w:eastAsia="Calibri" w:hAnsi="Times New Roman" w:cs="Times New Roman"/>
          <w:sz w:val="26"/>
          <w:szCs w:val="26"/>
          <w:lang w:eastAsia="lv-LV"/>
        </w:rPr>
        <w:t>Ministru kabineta 2015.gada 13.aprīļa sēdē (</w:t>
      </w:r>
      <w:r w:rsidR="00857B16" w:rsidRPr="000F5CF6">
        <w:rPr>
          <w:rFonts w:ascii="Times New Roman" w:eastAsia="Calibri" w:hAnsi="Times New Roman" w:cs="Times New Roman"/>
          <w:sz w:val="26"/>
          <w:szCs w:val="26"/>
        </w:rPr>
        <w:t>protokols Nr.19 1§)</w:t>
      </w:r>
      <w:r w:rsidR="00857B16" w:rsidRPr="000F5CF6">
        <w:rPr>
          <w:rFonts w:ascii="Times New Roman" w:eastAsia="Calibri" w:hAnsi="Times New Roman" w:cs="Times New Roman"/>
          <w:sz w:val="26"/>
          <w:szCs w:val="26"/>
          <w:lang w:eastAsia="lv-LV"/>
        </w:rPr>
        <w:t xml:space="preserve"> nolemto</w:t>
      </w:r>
      <w:r w:rsidRPr="000F5CF6">
        <w:rPr>
          <w:rFonts w:ascii="Times New Roman" w:eastAsia="Calibri" w:hAnsi="Times New Roman" w:cs="Times New Roman"/>
          <w:sz w:val="26"/>
          <w:szCs w:val="26"/>
          <w:lang w:eastAsia="lv-LV"/>
        </w:rPr>
        <w:t>,</w:t>
      </w:r>
      <w:r w:rsidR="00857B16" w:rsidRPr="000F5CF6">
        <w:rPr>
          <w:rFonts w:ascii="Times New Roman" w:eastAsia="Calibri" w:hAnsi="Times New Roman" w:cs="Times New Roman"/>
          <w:sz w:val="26"/>
          <w:szCs w:val="26"/>
          <w:lang w:eastAsia="lv-LV"/>
        </w:rPr>
        <w:t xml:space="preserve"> ka a</w:t>
      </w:r>
      <w:r w:rsidR="00857B16" w:rsidRPr="000F5CF6">
        <w:rPr>
          <w:rFonts w:ascii="Times New Roman" w:eastAsia="Calibri" w:hAnsi="Times New Roman" w:cs="Times New Roman"/>
          <w:sz w:val="26"/>
          <w:szCs w:val="26"/>
        </w:rPr>
        <w:t>tbilstoši Likuma par budžetu un finanšu vadību 16.prim panta otrajā daļā noteiktajam un ņemot vērā aktuālākās makroekonomiskās attīstības prognozes, ministrijām un citām centrālajām valsts iestādēm negatavot un neiesniegt priekšlikumus jaunajām politikas iniciatīvām 2016., 2017. un 2018.gadam, izņemot veselības un izglītības jomu saistībā ar strukturālām reformām, kā arī iekšējās un ārējās drošības jomu</w:t>
      </w:r>
      <w:r w:rsidR="003C444E" w:rsidRPr="000F5CF6">
        <w:rPr>
          <w:rFonts w:ascii="Times New Roman" w:eastAsia="Calibri" w:hAnsi="Times New Roman" w:cs="Times New Roman"/>
          <w:sz w:val="26"/>
          <w:szCs w:val="26"/>
        </w:rPr>
        <w:t>, Tiesībsar</w:t>
      </w:r>
      <w:r w:rsidRPr="000F5CF6">
        <w:rPr>
          <w:rFonts w:ascii="Times New Roman" w:eastAsia="Calibri" w:hAnsi="Times New Roman" w:cs="Times New Roman"/>
          <w:sz w:val="26"/>
          <w:szCs w:val="26"/>
        </w:rPr>
        <w:t xml:space="preserve">gs  Finanšu ministrijai ar 2015.gada 28.maija vēstuli Nr.3-22/16 „Par informācijas sniegšanu Finanšu ministrijai” iesniedza informāciju par papildu pieprasījumu neatliekamo pasākumu nodrošināšanai 2016. – 2018.gadam. </w:t>
      </w:r>
    </w:p>
    <w:p w:rsidR="00857B16" w:rsidRPr="000F5CF6" w:rsidRDefault="00F55B65" w:rsidP="000F5CF6">
      <w:pPr>
        <w:widowControl w:val="0"/>
        <w:ind w:firstLine="720"/>
        <w:rPr>
          <w:rFonts w:ascii="Times New Roman" w:eastAsia="Calibri" w:hAnsi="Times New Roman" w:cs="Times New Roman"/>
          <w:sz w:val="26"/>
          <w:szCs w:val="26"/>
        </w:rPr>
      </w:pPr>
      <w:r w:rsidRPr="000F5CF6">
        <w:rPr>
          <w:rFonts w:ascii="Times New Roman" w:eastAsia="Calibri" w:hAnsi="Times New Roman" w:cs="Times New Roman"/>
          <w:sz w:val="26"/>
          <w:szCs w:val="26"/>
        </w:rPr>
        <w:t xml:space="preserve">Ņemot vērā, ka iepriekšminētā valdības lēmuma pamatā, </w:t>
      </w:r>
      <w:r w:rsidRPr="000F5CF6">
        <w:rPr>
          <w:rFonts w:ascii="Times New Roman" w:eastAsia="Calibri" w:hAnsi="Times New Roman" w:cs="Times New Roman"/>
          <w:sz w:val="26"/>
          <w:szCs w:val="26"/>
          <w:lang w:eastAsia="lv-LV"/>
        </w:rPr>
        <w:t>izskatot Latvijas Stabilitā</w:t>
      </w:r>
      <w:r w:rsidR="00AC5254">
        <w:rPr>
          <w:rFonts w:ascii="Times New Roman" w:eastAsia="Calibri" w:hAnsi="Times New Roman" w:cs="Times New Roman"/>
          <w:sz w:val="26"/>
          <w:szCs w:val="26"/>
          <w:lang w:eastAsia="lv-LV"/>
        </w:rPr>
        <w:t xml:space="preserve">tes programmu 2015.–2018.gadam, </w:t>
      </w:r>
      <w:r w:rsidRPr="000F5CF6">
        <w:rPr>
          <w:rFonts w:ascii="Times New Roman" w:eastAsia="Calibri" w:hAnsi="Times New Roman" w:cs="Times New Roman"/>
          <w:sz w:val="26"/>
          <w:szCs w:val="26"/>
          <w:lang w:eastAsia="lv-LV"/>
        </w:rPr>
        <w:t xml:space="preserve">tika pieņemts zināšanai, ka saskaņā ar pašreizējām prognozēm 2016.gadā ir negatīva fiskālā telpa 0,17% no IKP, neskaitot nosacījumu veidot fiskālā nodrošinājuma rezervi, </w:t>
      </w:r>
      <w:r w:rsidR="00AC5254">
        <w:rPr>
          <w:rFonts w:ascii="Times New Roman" w:eastAsia="Calibri" w:hAnsi="Times New Roman" w:cs="Times New Roman"/>
          <w:sz w:val="26"/>
          <w:szCs w:val="26"/>
          <w:lang w:eastAsia="lv-LV"/>
        </w:rPr>
        <w:t xml:space="preserve">tad </w:t>
      </w:r>
      <w:r w:rsidRPr="000F5CF6">
        <w:rPr>
          <w:rFonts w:ascii="Times New Roman" w:eastAsia="Calibri" w:hAnsi="Times New Roman" w:cs="Times New Roman"/>
          <w:sz w:val="26"/>
          <w:szCs w:val="26"/>
        </w:rPr>
        <w:t xml:space="preserve">iesniegtie papildu finansējuma pieprasījumi ir jāizskata īpaši rūpīgi un lēmums par to piešķiršanu jāpieņem, izsverot arī, cik lielā mērā iesniegtie priekšlikumi jaunajām politikas iniciatīvām, t.sk. no neatkarīgajām iestādēm, ir vērtējami kā neatliekamo pasākumu nodrošināšana 2016. – 2018.gadam. Tai pat laikā jāatzīmē, ka </w:t>
      </w:r>
      <w:r w:rsidR="00857B16" w:rsidRPr="000F5CF6">
        <w:rPr>
          <w:rFonts w:ascii="Times New Roman" w:eastAsia="Calibri" w:hAnsi="Times New Roman" w:cs="Times New Roman"/>
          <w:sz w:val="26"/>
          <w:szCs w:val="26"/>
        </w:rPr>
        <w:t>Atlīdzības l</w:t>
      </w:r>
      <w:r w:rsidR="00826F02" w:rsidRPr="000F5CF6">
        <w:rPr>
          <w:rFonts w:ascii="Times New Roman" w:eastAsia="Calibri" w:hAnsi="Times New Roman" w:cs="Times New Roman"/>
          <w:sz w:val="26"/>
          <w:szCs w:val="26"/>
        </w:rPr>
        <w:t>ikuma 3.panta septītā</w:t>
      </w:r>
      <w:r w:rsidR="00857B16" w:rsidRPr="000F5CF6">
        <w:rPr>
          <w:rFonts w:ascii="Times New Roman" w:eastAsia="Calibri" w:hAnsi="Times New Roman" w:cs="Times New Roman"/>
          <w:sz w:val="26"/>
          <w:szCs w:val="26"/>
        </w:rPr>
        <w:t xml:space="preserve"> daļ</w:t>
      </w:r>
      <w:r w:rsidR="00826F02" w:rsidRPr="000F5CF6">
        <w:rPr>
          <w:rFonts w:ascii="Times New Roman" w:eastAsia="Calibri" w:hAnsi="Times New Roman" w:cs="Times New Roman"/>
          <w:sz w:val="26"/>
          <w:szCs w:val="26"/>
        </w:rPr>
        <w:t>a</w:t>
      </w:r>
      <w:r w:rsidR="00857B16" w:rsidRPr="000F5CF6">
        <w:rPr>
          <w:rFonts w:ascii="Times New Roman" w:eastAsia="Calibri" w:hAnsi="Times New Roman" w:cs="Times New Roman"/>
          <w:sz w:val="26"/>
          <w:szCs w:val="26"/>
        </w:rPr>
        <w:t xml:space="preserve"> nosaka, ka valsts un pašvaldību institūcijas amatpersonām (darbiniekiem) </w:t>
      </w:r>
      <w:r w:rsidR="00826F02" w:rsidRPr="000F5CF6">
        <w:rPr>
          <w:rFonts w:ascii="Times New Roman" w:eastAsia="Calibri" w:hAnsi="Times New Roman" w:cs="Times New Roman"/>
          <w:sz w:val="26"/>
          <w:szCs w:val="26"/>
        </w:rPr>
        <w:t xml:space="preserve">pārskata </w:t>
      </w:r>
      <w:r w:rsidR="00857B16" w:rsidRPr="000F5CF6">
        <w:rPr>
          <w:rFonts w:ascii="Times New Roman" w:eastAsia="Calibri" w:hAnsi="Times New Roman" w:cs="Times New Roman"/>
          <w:sz w:val="26"/>
          <w:szCs w:val="26"/>
        </w:rPr>
        <w:t xml:space="preserve">noteikto atlīdzību, ņemot vērā valsts ekonomisko attīstību, solidaritātes principu, kā arī izvērtējot ekonomisko situāciju valstī (iekšzemes kopprodukta izmaiņas, produktivitātes izmaiņas, inflācija, deflācija) un citus pamatotus kritērijus. </w:t>
      </w:r>
    </w:p>
    <w:p w:rsidR="00857B16" w:rsidRDefault="00AC5254" w:rsidP="00AC5254">
      <w:pPr>
        <w:widowControl w:val="0"/>
        <w:ind w:firstLine="567"/>
        <w:rPr>
          <w:rFonts w:ascii="Times New Roman" w:eastAsia="Calibri" w:hAnsi="Times New Roman" w:cs="Times New Roman"/>
          <w:sz w:val="26"/>
          <w:szCs w:val="26"/>
        </w:rPr>
      </w:pPr>
      <w:r>
        <w:rPr>
          <w:rFonts w:ascii="Times New Roman" w:eastAsia="Calibri" w:hAnsi="Times New Roman" w:cs="Times New Roman"/>
          <w:sz w:val="26"/>
          <w:szCs w:val="26"/>
        </w:rPr>
        <w:t>Ņ</w:t>
      </w:r>
      <w:r w:rsidR="003C444E" w:rsidRPr="000F5CF6">
        <w:rPr>
          <w:rFonts w:ascii="Times New Roman" w:eastAsia="Calibri" w:hAnsi="Times New Roman" w:cs="Times New Roman"/>
          <w:sz w:val="26"/>
          <w:szCs w:val="26"/>
        </w:rPr>
        <w:t>emot vērā iepriekšminēto,</w:t>
      </w:r>
      <w:r w:rsidR="00857B16" w:rsidRPr="000F5CF6">
        <w:rPr>
          <w:rFonts w:ascii="Times New Roman" w:eastAsia="Calibri" w:hAnsi="Times New Roman" w:cs="Times New Roman"/>
          <w:sz w:val="26"/>
          <w:szCs w:val="26"/>
        </w:rPr>
        <w:t xml:space="preserve"> </w:t>
      </w:r>
      <w:r w:rsidR="000F5CF6" w:rsidRPr="000F5CF6">
        <w:rPr>
          <w:rFonts w:ascii="Times New Roman" w:eastAsia="Calibri" w:hAnsi="Times New Roman" w:cs="Times New Roman"/>
          <w:sz w:val="26"/>
          <w:szCs w:val="26"/>
        </w:rPr>
        <w:t>T</w:t>
      </w:r>
      <w:r w:rsidR="00857B16" w:rsidRPr="000F5CF6">
        <w:rPr>
          <w:rFonts w:ascii="Times New Roman" w:eastAsia="Calibri" w:hAnsi="Times New Roman" w:cs="Times New Roman"/>
          <w:sz w:val="26"/>
          <w:szCs w:val="26"/>
        </w:rPr>
        <w:t xml:space="preserve">iesībsarga un tā darbinieku atalgojuma sistēmas pārskatīšana, kas rada ietekmi uz valsts budžetu, ir detalizēti izvērtējama un ekonomiski pamatojama, lai nodrošinātu vienlīdzīgu pieeju pret </w:t>
      </w:r>
      <w:r w:rsidR="00857B16" w:rsidRPr="000F5CF6">
        <w:rPr>
          <w:rFonts w:ascii="Times New Roman" w:eastAsia="Calibri" w:hAnsi="Times New Roman" w:cs="Times New Roman"/>
          <w:sz w:val="26"/>
          <w:szCs w:val="26"/>
        </w:rPr>
        <w:lastRenderedPageBreak/>
        <w:t>visās nozarēs nodarbinātajiem, kā arī samērojama ar valsts budžeta finansiālajām iespējām. Jautājums par atalgojuma izmaiņām 2017.gadā, kas rada negatīvu ietekmi uz valsts budžetu, izvērtējams likumprojekta “Par valsts budžetu 2017.gadam” un likumprojekta „Par vidēja termiņa budžeta ietvaru 2017., 2018. un 2019.gadam” sagatavošanas un izskatīšanas procesā kopā ar visu ministriju un centrālo valsts iestāžu priekšlikumiem jaunajām politikas iniciatīvām un iesniegtajiem papildu finansējuma pieprasījumiem atbilstoši valsts budžeta finansiālajām iespējām.</w:t>
      </w:r>
    </w:p>
    <w:p w:rsidR="000F5CF6" w:rsidRPr="000F5CF6" w:rsidRDefault="000F5CF6" w:rsidP="000F5CF6">
      <w:pPr>
        <w:widowControl w:val="0"/>
        <w:ind w:firstLine="0"/>
        <w:rPr>
          <w:rFonts w:ascii="Times New Roman" w:eastAsia="Calibri" w:hAnsi="Times New Roman" w:cs="Times New Roman"/>
          <w:sz w:val="26"/>
          <w:szCs w:val="26"/>
        </w:rPr>
      </w:pPr>
    </w:p>
    <w:p w:rsidR="00631418" w:rsidRPr="000F5CF6" w:rsidRDefault="00631418" w:rsidP="000F5CF6">
      <w:pPr>
        <w:pStyle w:val="Header"/>
        <w:tabs>
          <w:tab w:val="clear" w:pos="4153"/>
          <w:tab w:val="clear" w:pos="8306"/>
          <w:tab w:val="center" w:pos="0"/>
        </w:tabs>
        <w:ind w:firstLine="567"/>
        <w:jc w:val="both"/>
        <w:rPr>
          <w:rFonts w:ascii="Times New Roman" w:hAnsi="Times New Roman"/>
          <w:sz w:val="26"/>
          <w:szCs w:val="26"/>
          <w:lang w:val="lv-LV" w:eastAsia="lv-LV"/>
        </w:rPr>
      </w:pPr>
      <w:r w:rsidRPr="000F5CF6">
        <w:rPr>
          <w:rFonts w:ascii="Times New Roman" w:hAnsi="Times New Roman"/>
          <w:sz w:val="26"/>
          <w:szCs w:val="26"/>
          <w:lang w:val="lv-LV" w:eastAsia="lv-LV"/>
        </w:rPr>
        <w:t>Ministru kabinets augstu novērtē līdz šim Tiesībsarga paveikto</w:t>
      </w:r>
      <w:r w:rsidR="00CD1D6B">
        <w:rPr>
          <w:rFonts w:ascii="Times New Roman" w:hAnsi="Times New Roman"/>
          <w:sz w:val="26"/>
          <w:szCs w:val="26"/>
          <w:lang w:val="lv-LV" w:eastAsia="lv-LV"/>
        </w:rPr>
        <w:t>,</w:t>
      </w:r>
      <w:r w:rsidRPr="000F5CF6">
        <w:rPr>
          <w:rFonts w:ascii="Times New Roman" w:hAnsi="Times New Roman"/>
          <w:sz w:val="26"/>
          <w:szCs w:val="26"/>
          <w:lang w:val="lv-LV" w:eastAsia="lv-LV"/>
        </w:rPr>
        <w:t xml:space="preserve"> stiprinot Latvijas iedzīvotāju </w:t>
      </w:r>
      <w:proofErr w:type="spellStart"/>
      <w:r w:rsidRPr="000F5CF6">
        <w:rPr>
          <w:rFonts w:ascii="Times New Roman" w:hAnsi="Times New Roman"/>
          <w:sz w:val="26"/>
          <w:szCs w:val="26"/>
          <w:lang w:val="lv-LV" w:eastAsia="lv-LV"/>
        </w:rPr>
        <w:t>pamattiesības</w:t>
      </w:r>
      <w:proofErr w:type="spellEnd"/>
      <w:r w:rsidRPr="000F5CF6">
        <w:rPr>
          <w:rFonts w:ascii="Times New Roman" w:hAnsi="Times New Roman"/>
          <w:sz w:val="26"/>
          <w:szCs w:val="26"/>
          <w:lang w:val="lv-LV" w:eastAsia="lv-LV"/>
        </w:rPr>
        <w:t xml:space="preserve"> un </w:t>
      </w:r>
      <w:r w:rsidR="001B0016">
        <w:rPr>
          <w:rFonts w:ascii="Times New Roman" w:hAnsi="Times New Roman"/>
          <w:sz w:val="26"/>
          <w:szCs w:val="26"/>
          <w:lang w:val="lv-LV" w:eastAsia="lv-LV"/>
        </w:rPr>
        <w:t xml:space="preserve">veicinot </w:t>
      </w:r>
      <w:r w:rsidRPr="000F5CF6">
        <w:rPr>
          <w:rFonts w:ascii="Times New Roman" w:hAnsi="Times New Roman"/>
          <w:sz w:val="26"/>
          <w:szCs w:val="26"/>
          <w:lang w:val="lv-LV" w:eastAsia="lv-LV"/>
        </w:rPr>
        <w:t>valsts</w:t>
      </w:r>
      <w:r w:rsidR="001B0016">
        <w:rPr>
          <w:rFonts w:ascii="Times New Roman" w:hAnsi="Times New Roman"/>
          <w:sz w:val="26"/>
          <w:szCs w:val="26"/>
          <w:lang w:val="lv-LV" w:eastAsia="lv-LV"/>
        </w:rPr>
        <w:t>, kā arī</w:t>
      </w:r>
      <w:r w:rsidRPr="000F5CF6">
        <w:rPr>
          <w:rFonts w:ascii="Times New Roman" w:hAnsi="Times New Roman"/>
          <w:sz w:val="26"/>
          <w:szCs w:val="26"/>
          <w:lang w:val="lv-LV" w:eastAsia="lv-LV"/>
        </w:rPr>
        <w:t xml:space="preserve"> institūciju atbildību iedzīvotāju priekšā, vienlaicīgi </w:t>
      </w:r>
      <w:r w:rsidR="001B4D33">
        <w:rPr>
          <w:rFonts w:ascii="Times New Roman" w:hAnsi="Times New Roman"/>
          <w:sz w:val="26"/>
          <w:szCs w:val="26"/>
          <w:lang w:val="lv-LV" w:eastAsia="lv-LV"/>
        </w:rPr>
        <w:t>arī apliecinot, ka valstij</w:t>
      </w:r>
      <w:r w:rsidRPr="000F5CF6">
        <w:rPr>
          <w:rFonts w:ascii="Times New Roman" w:hAnsi="Times New Roman"/>
          <w:sz w:val="26"/>
          <w:szCs w:val="26"/>
          <w:lang w:val="lv-LV" w:eastAsia="lv-LV"/>
        </w:rPr>
        <w:t xml:space="preserve"> ir svarīga visu sektor</w:t>
      </w:r>
      <w:r w:rsidR="00CD1D6B">
        <w:rPr>
          <w:rFonts w:ascii="Times New Roman" w:hAnsi="Times New Roman"/>
          <w:sz w:val="26"/>
          <w:szCs w:val="26"/>
          <w:lang w:val="lv-LV" w:eastAsia="lv-LV"/>
        </w:rPr>
        <w:t>u</w:t>
      </w:r>
      <w:r w:rsidRPr="000F5CF6">
        <w:rPr>
          <w:rFonts w:ascii="Times New Roman" w:hAnsi="Times New Roman"/>
          <w:sz w:val="26"/>
          <w:szCs w:val="26"/>
          <w:lang w:val="lv-LV" w:eastAsia="lv-LV"/>
        </w:rPr>
        <w:t xml:space="preserve"> vienmērīga attīstība, īpaši</w:t>
      </w:r>
      <w:r w:rsidR="001B0016">
        <w:rPr>
          <w:rFonts w:ascii="Times New Roman" w:hAnsi="Times New Roman"/>
          <w:sz w:val="26"/>
          <w:szCs w:val="26"/>
          <w:lang w:val="lv-LV" w:eastAsia="lv-LV"/>
        </w:rPr>
        <w:t xml:space="preserve"> arī</w:t>
      </w:r>
      <w:r w:rsidRPr="000F5CF6">
        <w:rPr>
          <w:rFonts w:ascii="Times New Roman" w:hAnsi="Times New Roman"/>
          <w:sz w:val="26"/>
          <w:szCs w:val="26"/>
          <w:lang w:val="lv-LV" w:eastAsia="lv-LV"/>
        </w:rPr>
        <w:t xml:space="preserve"> jautājum</w:t>
      </w:r>
      <w:r w:rsidR="001B0016">
        <w:rPr>
          <w:rFonts w:ascii="Times New Roman" w:hAnsi="Times New Roman"/>
          <w:sz w:val="26"/>
          <w:szCs w:val="26"/>
          <w:lang w:val="lv-LV" w:eastAsia="lv-LV"/>
        </w:rPr>
        <w:t>o</w:t>
      </w:r>
      <w:r w:rsidRPr="000F5CF6">
        <w:rPr>
          <w:rFonts w:ascii="Times New Roman" w:hAnsi="Times New Roman"/>
          <w:sz w:val="26"/>
          <w:szCs w:val="26"/>
          <w:lang w:val="lv-LV" w:eastAsia="lv-LV"/>
        </w:rPr>
        <w:t>s</w:t>
      </w:r>
      <w:r w:rsidR="001B0016">
        <w:rPr>
          <w:rFonts w:ascii="Times New Roman" w:hAnsi="Times New Roman"/>
          <w:sz w:val="26"/>
          <w:szCs w:val="26"/>
          <w:lang w:val="lv-LV" w:eastAsia="lv-LV"/>
        </w:rPr>
        <w:t xml:space="preserve">, </w:t>
      </w:r>
      <w:r w:rsidR="00AC5254">
        <w:rPr>
          <w:rFonts w:ascii="Times New Roman" w:hAnsi="Times New Roman"/>
          <w:sz w:val="26"/>
          <w:szCs w:val="26"/>
          <w:lang w:val="lv-LV" w:eastAsia="lv-LV"/>
        </w:rPr>
        <w:t>kas</w:t>
      </w:r>
      <w:r w:rsidRPr="000F5CF6">
        <w:rPr>
          <w:rFonts w:ascii="Times New Roman" w:hAnsi="Times New Roman"/>
          <w:sz w:val="26"/>
          <w:szCs w:val="26"/>
          <w:lang w:val="lv-LV" w:eastAsia="lv-LV"/>
        </w:rPr>
        <w:t xml:space="preserve"> skar cilvēka </w:t>
      </w:r>
      <w:proofErr w:type="spellStart"/>
      <w:r w:rsidRPr="000F5CF6">
        <w:rPr>
          <w:rFonts w:ascii="Times New Roman" w:hAnsi="Times New Roman"/>
          <w:sz w:val="26"/>
          <w:szCs w:val="26"/>
          <w:lang w:val="lv-LV" w:eastAsia="lv-LV"/>
        </w:rPr>
        <w:t>pamattiesību</w:t>
      </w:r>
      <w:proofErr w:type="spellEnd"/>
      <w:r w:rsidRPr="000F5CF6">
        <w:rPr>
          <w:rFonts w:ascii="Times New Roman" w:hAnsi="Times New Roman"/>
          <w:sz w:val="26"/>
          <w:szCs w:val="26"/>
          <w:lang w:val="lv-LV" w:eastAsia="lv-LV"/>
        </w:rPr>
        <w:t xml:space="preserve"> aizsardzības institūtu. </w:t>
      </w:r>
    </w:p>
    <w:p w:rsidR="00ED38CA" w:rsidRPr="00ED38CA" w:rsidRDefault="00ED38CA" w:rsidP="00ED38CA">
      <w:pPr>
        <w:ind w:firstLine="0"/>
        <w:rPr>
          <w:rFonts w:ascii="Times New Roman" w:eastAsia="Calibri" w:hAnsi="Times New Roman" w:cs="Times New Roman"/>
          <w:sz w:val="28"/>
        </w:rPr>
      </w:pPr>
    </w:p>
    <w:p w:rsidR="00ED38CA" w:rsidRPr="00ED38CA" w:rsidRDefault="00ED38CA" w:rsidP="00ED38CA">
      <w:pPr>
        <w:ind w:firstLine="0"/>
        <w:rPr>
          <w:rFonts w:ascii="Times New Roman" w:eastAsia="Calibri" w:hAnsi="Times New Roman" w:cs="Times New Roman"/>
          <w:sz w:val="28"/>
        </w:rPr>
      </w:pPr>
    </w:p>
    <w:p w:rsidR="00ED38CA" w:rsidRPr="00ED38CA" w:rsidRDefault="00ED38CA" w:rsidP="00ED38CA">
      <w:pPr>
        <w:ind w:firstLine="0"/>
        <w:rPr>
          <w:rFonts w:ascii="Times New Roman" w:eastAsia="Calibri" w:hAnsi="Times New Roman" w:cs="Times New Roman"/>
          <w:sz w:val="28"/>
        </w:rPr>
      </w:pPr>
      <w:r>
        <w:rPr>
          <w:rFonts w:ascii="Times New Roman" w:eastAsia="Calibri" w:hAnsi="Times New Roman" w:cs="Times New Roman"/>
          <w:sz w:val="28"/>
        </w:rPr>
        <w:t>Ministru prezidente</w:t>
      </w:r>
      <w:r w:rsidRPr="00ED38CA">
        <w:rPr>
          <w:rFonts w:ascii="Times New Roman" w:eastAsia="Calibri" w:hAnsi="Times New Roman" w:cs="Times New Roman"/>
          <w:sz w:val="28"/>
        </w:rPr>
        <w:tab/>
      </w:r>
      <w:r w:rsidRPr="00ED38CA">
        <w:rPr>
          <w:rFonts w:ascii="Times New Roman" w:eastAsia="Calibri" w:hAnsi="Times New Roman" w:cs="Times New Roman"/>
          <w:sz w:val="28"/>
        </w:rPr>
        <w:tab/>
      </w:r>
      <w:r w:rsidRPr="00ED38CA">
        <w:rPr>
          <w:rFonts w:ascii="Times New Roman" w:eastAsia="Calibri" w:hAnsi="Times New Roman" w:cs="Times New Roman"/>
          <w:sz w:val="28"/>
        </w:rPr>
        <w:tab/>
      </w:r>
      <w:r w:rsidRPr="00ED38CA">
        <w:rPr>
          <w:rFonts w:ascii="Times New Roman" w:eastAsia="Calibri" w:hAnsi="Times New Roman" w:cs="Times New Roman"/>
          <w:sz w:val="28"/>
        </w:rPr>
        <w:tab/>
      </w:r>
      <w:r w:rsidRPr="00ED38CA">
        <w:rPr>
          <w:rFonts w:ascii="Times New Roman" w:eastAsia="Calibri" w:hAnsi="Times New Roman" w:cs="Times New Roman"/>
          <w:sz w:val="28"/>
        </w:rPr>
        <w:tab/>
      </w:r>
      <w:r w:rsidRPr="00ED38CA">
        <w:rPr>
          <w:rFonts w:ascii="Times New Roman" w:eastAsia="Calibri" w:hAnsi="Times New Roman" w:cs="Times New Roman"/>
          <w:sz w:val="28"/>
        </w:rPr>
        <w:tab/>
      </w:r>
      <w:proofErr w:type="spellStart"/>
      <w:r w:rsidRPr="00ED38CA">
        <w:rPr>
          <w:rFonts w:ascii="Times New Roman" w:eastAsia="Calibri" w:hAnsi="Times New Roman" w:cs="Times New Roman"/>
          <w:sz w:val="28"/>
        </w:rPr>
        <w:t>L.Straujuma</w:t>
      </w:r>
      <w:proofErr w:type="spellEnd"/>
    </w:p>
    <w:p w:rsidR="00ED38CA" w:rsidRPr="00ED38CA" w:rsidRDefault="00ED38CA" w:rsidP="00ED38CA">
      <w:pPr>
        <w:ind w:firstLine="0"/>
        <w:rPr>
          <w:rFonts w:ascii="Times New Roman" w:eastAsia="Calibri" w:hAnsi="Times New Roman" w:cs="Times New Roman"/>
          <w:sz w:val="28"/>
        </w:rPr>
      </w:pPr>
    </w:p>
    <w:p w:rsidR="00ED38CA" w:rsidRPr="00ED38CA" w:rsidRDefault="00ED38CA" w:rsidP="00ED38CA">
      <w:pPr>
        <w:ind w:firstLine="0"/>
        <w:rPr>
          <w:rFonts w:ascii="Times New Roman" w:eastAsia="Calibri" w:hAnsi="Times New Roman" w:cs="Times New Roman"/>
          <w:sz w:val="28"/>
        </w:rPr>
      </w:pPr>
    </w:p>
    <w:p w:rsidR="00ED38CA" w:rsidRPr="00ED38CA" w:rsidRDefault="00ED38CA" w:rsidP="00ED38CA">
      <w:pPr>
        <w:ind w:firstLine="0"/>
        <w:rPr>
          <w:rFonts w:ascii="Times New Roman" w:eastAsia="Calibri" w:hAnsi="Times New Roman" w:cs="Times New Roman"/>
          <w:sz w:val="28"/>
        </w:rPr>
      </w:pPr>
    </w:p>
    <w:p w:rsidR="00ED38CA" w:rsidRPr="00ED38CA" w:rsidRDefault="008762A8" w:rsidP="00ED38CA">
      <w:pPr>
        <w:ind w:firstLine="0"/>
        <w:rPr>
          <w:rFonts w:ascii="Times New Roman" w:eastAsia="Calibri" w:hAnsi="Times New Roman" w:cs="Times New Roman"/>
          <w:sz w:val="28"/>
        </w:rPr>
      </w:pPr>
      <w:r>
        <w:rPr>
          <w:rFonts w:ascii="Times New Roman" w:eastAsia="Calibri" w:hAnsi="Times New Roman" w:cs="Times New Roman"/>
          <w:sz w:val="28"/>
        </w:rPr>
        <w:t>F</w:t>
      </w:r>
      <w:r w:rsidR="00ED38CA">
        <w:rPr>
          <w:rFonts w:ascii="Times New Roman" w:eastAsia="Calibri" w:hAnsi="Times New Roman" w:cs="Times New Roman"/>
          <w:sz w:val="28"/>
        </w:rPr>
        <w:t>inanšu ministrs</w:t>
      </w:r>
      <w:r w:rsidR="00ED38CA" w:rsidRPr="00ED38CA">
        <w:rPr>
          <w:rFonts w:ascii="Times New Roman" w:eastAsia="Calibri" w:hAnsi="Times New Roman" w:cs="Times New Roman"/>
          <w:sz w:val="28"/>
        </w:rPr>
        <w:tab/>
      </w:r>
      <w:r w:rsidR="00ED38CA">
        <w:rPr>
          <w:rFonts w:ascii="Times New Roman" w:eastAsia="Calibri" w:hAnsi="Times New Roman" w:cs="Times New Roman"/>
          <w:sz w:val="28"/>
        </w:rPr>
        <w:tab/>
      </w:r>
      <w:r w:rsidR="00ED38CA">
        <w:rPr>
          <w:rFonts w:ascii="Times New Roman" w:eastAsia="Calibri" w:hAnsi="Times New Roman" w:cs="Times New Roman"/>
          <w:sz w:val="28"/>
        </w:rPr>
        <w:tab/>
      </w:r>
      <w:r w:rsidR="00ED38CA" w:rsidRPr="00ED38CA">
        <w:rPr>
          <w:rFonts w:ascii="Times New Roman" w:eastAsia="Calibri" w:hAnsi="Times New Roman" w:cs="Times New Roman"/>
          <w:sz w:val="28"/>
        </w:rPr>
        <w:tab/>
      </w:r>
      <w:r w:rsidR="00ED38CA" w:rsidRPr="00ED38CA">
        <w:rPr>
          <w:rFonts w:ascii="Times New Roman" w:eastAsia="Calibri" w:hAnsi="Times New Roman" w:cs="Times New Roman"/>
          <w:sz w:val="28"/>
        </w:rPr>
        <w:tab/>
      </w:r>
      <w:r w:rsidR="00ED38CA" w:rsidRPr="00ED38CA">
        <w:rPr>
          <w:rFonts w:ascii="Times New Roman" w:eastAsia="Calibri" w:hAnsi="Times New Roman" w:cs="Times New Roman"/>
          <w:sz w:val="28"/>
        </w:rPr>
        <w:tab/>
      </w:r>
      <w:r w:rsidR="00ED38CA" w:rsidRPr="00ED38CA">
        <w:rPr>
          <w:rFonts w:ascii="Times New Roman" w:eastAsia="Calibri" w:hAnsi="Times New Roman" w:cs="Times New Roman"/>
          <w:sz w:val="28"/>
        </w:rPr>
        <w:tab/>
      </w:r>
      <w:r w:rsidR="00ED38CA" w:rsidRPr="00ED38CA">
        <w:rPr>
          <w:rFonts w:ascii="Times New Roman" w:eastAsia="Calibri" w:hAnsi="Times New Roman" w:cs="Times New Roman"/>
          <w:sz w:val="28"/>
        </w:rPr>
        <w:tab/>
      </w:r>
      <w:proofErr w:type="spellStart"/>
      <w:r w:rsidR="00ED38CA">
        <w:rPr>
          <w:rFonts w:ascii="Times New Roman" w:eastAsia="Calibri" w:hAnsi="Times New Roman" w:cs="Times New Roman"/>
          <w:sz w:val="28"/>
        </w:rPr>
        <w:t>J.Reirs</w:t>
      </w:r>
      <w:proofErr w:type="spellEnd"/>
    </w:p>
    <w:p w:rsidR="00E76CD6" w:rsidRPr="00E76CD6" w:rsidRDefault="00E76CD6" w:rsidP="00E76CD6">
      <w:pPr>
        <w:ind w:firstLine="0"/>
        <w:rPr>
          <w:rFonts w:ascii="Times New Roman" w:eastAsia="Times New Roman" w:hAnsi="Times New Roman" w:cs="Times New Roman"/>
          <w:sz w:val="28"/>
          <w:szCs w:val="28"/>
          <w:lang w:eastAsia="lv-LV"/>
        </w:rPr>
      </w:pPr>
    </w:p>
    <w:p w:rsidR="00E76CD6" w:rsidRDefault="00E76CD6" w:rsidP="00E76CD6">
      <w:pPr>
        <w:ind w:firstLine="0"/>
        <w:rPr>
          <w:rFonts w:ascii="Times New Roman" w:eastAsia="Times New Roman" w:hAnsi="Times New Roman" w:cs="Times New Roman"/>
          <w:sz w:val="28"/>
          <w:szCs w:val="28"/>
          <w:lang w:eastAsia="lv-LV"/>
        </w:rPr>
      </w:pPr>
    </w:p>
    <w:p w:rsidR="00781580" w:rsidRDefault="00781580" w:rsidP="00E76CD6">
      <w:pPr>
        <w:ind w:firstLine="0"/>
        <w:rPr>
          <w:rFonts w:ascii="Times New Roman" w:eastAsia="Times New Roman" w:hAnsi="Times New Roman" w:cs="Times New Roman"/>
          <w:sz w:val="28"/>
          <w:szCs w:val="28"/>
          <w:lang w:eastAsia="lv-LV"/>
        </w:rPr>
      </w:pPr>
    </w:p>
    <w:p w:rsidR="006824A2" w:rsidRDefault="006824A2" w:rsidP="00E76CD6">
      <w:pPr>
        <w:ind w:firstLine="0"/>
        <w:rPr>
          <w:rFonts w:ascii="Times New Roman" w:eastAsia="Times New Roman" w:hAnsi="Times New Roman" w:cs="Times New Roman"/>
          <w:sz w:val="28"/>
          <w:szCs w:val="28"/>
          <w:lang w:eastAsia="lv-LV"/>
        </w:rPr>
      </w:pPr>
    </w:p>
    <w:p w:rsidR="006824A2" w:rsidRDefault="006824A2" w:rsidP="00E76CD6">
      <w:pPr>
        <w:ind w:firstLine="0"/>
        <w:rPr>
          <w:rFonts w:ascii="Times New Roman" w:eastAsia="Times New Roman" w:hAnsi="Times New Roman" w:cs="Times New Roman"/>
          <w:sz w:val="28"/>
          <w:szCs w:val="28"/>
          <w:lang w:eastAsia="lv-LV"/>
        </w:rPr>
      </w:pPr>
    </w:p>
    <w:p w:rsidR="006824A2" w:rsidRDefault="006824A2" w:rsidP="00E76CD6">
      <w:pPr>
        <w:ind w:firstLine="0"/>
        <w:rPr>
          <w:rFonts w:ascii="Times New Roman" w:eastAsia="Times New Roman" w:hAnsi="Times New Roman" w:cs="Times New Roman"/>
          <w:sz w:val="28"/>
          <w:szCs w:val="28"/>
          <w:lang w:eastAsia="lv-LV"/>
        </w:rPr>
      </w:pPr>
    </w:p>
    <w:p w:rsidR="006824A2" w:rsidRDefault="006824A2" w:rsidP="00E76CD6">
      <w:pPr>
        <w:ind w:firstLine="0"/>
        <w:rPr>
          <w:rFonts w:ascii="Times New Roman" w:eastAsia="Times New Roman" w:hAnsi="Times New Roman" w:cs="Times New Roman"/>
          <w:sz w:val="28"/>
          <w:szCs w:val="28"/>
          <w:lang w:eastAsia="lv-LV"/>
        </w:rPr>
      </w:pPr>
    </w:p>
    <w:p w:rsidR="006824A2" w:rsidRDefault="006824A2" w:rsidP="00E76CD6">
      <w:pPr>
        <w:ind w:firstLine="0"/>
        <w:rPr>
          <w:rFonts w:ascii="Times New Roman" w:eastAsia="Times New Roman" w:hAnsi="Times New Roman" w:cs="Times New Roman"/>
          <w:sz w:val="28"/>
          <w:szCs w:val="28"/>
          <w:lang w:eastAsia="lv-LV"/>
        </w:rPr>
      </w:pPr>
    </w:p>
    <w:p w:rsidR="006824A2" w:rsidRDefault="006824A2" w:rsidP="00E76CD6">
      <w:pPr>
        <w:ind w:firstLine="0"/>
        <w:rPr>
          <w:rFonts w:ascii="Times New Roman" w:eastAsia="Times New Roman" w:hAnsi="Times New Roman" w:cs="Times New Roman"/>
          <w:sz w:val="28"/>
          <w:szCs w:val="28"/>
          <w:lang w:eastAsia="lv-LV"/>
        </w:rPr>
      </w:pPr>
    </w:p>
    <w:p w:rsidR="006824A2" w:rsidRDefault="006824A2" w:rsidP="00E76CD6">
      <w:pPr>
        <w:ind w:firstLine="0"/>
        <w:rPr>
          <w:rFonts w:ascii="Times New Roman" w:eastAsia="Times New Roman" w:hAnsi="Times New Roman" w:cs="Times New Roman"/>
          <w:sz w:val="28"/>
          <w:szCs w:val="28"/>
          <w:lang w:eastAsia="lv-LV"/>
        </w:rPr>
      </w:pPr>
    </w:p>
    <w:p w:rsidR="0074547B" w:rsidRDefault="0074547B" w:rsidP="00E76CD6">
      <w:pPr>
        <w:ind w:firstLine="0"/>
        <w:rPr>
          <w:rFonts w:ascii="Times New Roman" w:eastAsia="Times New Roman" w:hAnsi="Times New Roman" w:cs="Times New Roman"/>
          <w:sz w:val="28"/>
          <w:szCs w:val="28"/>
          <w:lang w:eastAsia="lv-LV"/>
        </w:rPr>
      </w:pPr>
    </w:p>
    <w:p w:rsidR="0074547B" w:rsidRDefault="0074547B" w:rsidP="00E76CD6">
      <w:pPr>
        <w:ind w:firstLine="0"/>
        <w:rPr>
          <w:rFonts w:ascii="Times New Roman" w:eastAsia="Times New Roman" w:hAnsi="Times New Roman" w:cs="Times New Roman"/>
          <w:sz w:val="28"/>
          <w:szCs w:val="28"/>
          <w:lang w:eastAsia="lv-LV"/>
        </w:rPr>
      </w:pPr>
    </w:p>
    <w:p w:rsidR="0074547B" w:rsidRDefault="0074547B" w:rsidP="00E76CD6">
      <w:pPr>
        <w:ind w:firstLine="0"/>
        <w:rPr>
          <w:rFonts w:ascii="Times New Roman" w:eastAsia="Times New Roman" w:hAnsi="Times New Roman" w:cs="Times New Roman"/>
          <w:sz w:val="28"/>
          <w:szCs w:val="28"/>
          <w:lang w:eastAsia="lv-LV"/>
        </w:rPr>
      </w:pPr>
    </w:p>
    <w:p w:rsidR="0074547B" w:rsidRDefault="0074547B" w:rsidP="00E76CD6">
      <w:pPr>
        <w:ind w:firstLine="0"/>
        <w:rPr>
          <w:rFonts w:ascii="Times New Roman" w:eastAsia="Times New Roman" w:hAnsi="Times New Roman" w:cs="Times New Roman"/>
          <w:sz w:val="28"/>
          <w:szCs w:val="28"/>
          <w:lang w:eastAsia="lv-LV"/>
        </w:rPr>
      </w:pPr>
    </w:p>
    <w:p w:rsidR="0074547B" w:rsidRDefault="0074547B" w:rsidP="00E76CD6">
      <w:pPr>
        <w:ind w:firstLine="0"/>
        <w:rPr>
          <w:rFonts w:ascii="Times New Roman" w:eastAsia="Times New Roman" w:hAnsi="Times New Roman" w:cs="Times New Roman"/>
          <w:sz w:val="28"/>
          <w:szCs w:val="28"/>
          <w:lang w:eastAsia="lv-LV"/>
        </w:rPr>
      </w:pPr>
    </w:p>
    <w:p w:rsidR="0074547B" w:rsidRDefault="0074547B" w:rsidP="00E76CD6">
      <w:pPr>
        <w:ind w:firstLine="0"/>
        <w:rPr>
          <w:rFonts w:ascii="Times New Roman" w:eastAsia="Times New Roman" w:hAnsi="Times New Roman" w:cs="Times New Roman"/>
          <w:sz w:val="28"/>
          <w:szCs w:val="28"/>
          <w:lang w:eastAsia="lv-LV"/>
        </w:rPr>
      </w:pPr>
    </w:p>
    <w:p w:rsidR="006824A2" w:rsidRDefault="006824A2" w:rsidP="00E76CD6">
      <w:pPr>
        <w:ind w:firstLine="0"/>
        <w:rPr>
          <w:rFonts w:ascii="Times New Roman" w:eastAsia="Times New Roman" w:hAnsi="Times New Roman" w:cs="Times New Roman"/>
          <w:sz w:val="28"/>
          <w:szCs w:val="28"/>
          <w:lang w:eastAsia="lv-LV"/>
        </w:rPr>
      </w:pPr>
    </w:p>
    <w:p w:rsidR="00781580" w:rsidRDefault="00781580" w:rsidP="00E76CD6">
      <w:pPr>
        <w:ind w:firstLine="0"/>
        <w:rPr>
          <w:rFonts w:ascii="Times New Roman" w:eastAsia="Times New Roman" w:hAnsi="Times New Roman" w:cs="Times New Roman"/>
          <w:sz w:val="28"/>
          <w:szCs w:val="28"/>
          <w:lang w:eastAsia="lv-LV"/>
        </w:rPr>
      </w:pPr>
    </w:p>
    <w:p w:rsidR="00781580" w:rsidRDefault="00781580" w:rsidP="00E76CD6">
      <w:pPr>
        <w:ind w:firstLine="0"/>
        <w:rPr>
          <w:rFonts w:ascii="Times New Roman" w:eastAsia="Times New Roman" w:hAnsi="Times New Roman" w:cs="Times New Roman"/>
          <w:sz w:val="28"/>
          <w:szCs w:val="28"/>
          <w:lang w:eastAsia="lv-LV"/>
        </w:rPr>
      </w:pPr>
    </w:p>
    <w:p w:rsidR="00781580" w:rsidRPr="001E40DD" w:rsidRDefault="00781580" w:rsidP="00781580">
      <w:pPr>
        <w:ind w:firstLine="0"/>
        <w:rPr>
          <w:rFonts w:ascii="Times New Roman" w:eastAsia="Times New Roman" w:hAnsi="Times New Roman"/>
          <w:sz w:val="20"/>
          <w:szCs w:val="20"/>
        </w:rPr>
      </w:pPr>
      <w:r>
        <w:rPr>
          <w:rFonts w:ascii="Times New Roman" w:eastAsia="Times New Roman" w:hAnsi="Times New Roman"/>
          <w:sz w:val="20"/>
          <w:szCs w:val="20"/>
        </w:rPr>
        <w:t>15.06.2015</w:t>
      </w:r>
      <w:r w:rsidRPr="001E40DD">
        <w:rPr>
          <w:rFonts w:ascii="Times New Roman" w:eastAsia="Times New Roman" w:hAnsi="Times New Roman"/>
          <w:sz w:val="20"/>
          <w:szCs w:val="20"/>
        </w:rPr>
        <w:t xml:space="preserve"> 1</w:t>
      </w:r>
      <w:r>
        <w:rPr>
          <w:rFonts w:ascii="Times New Roman" w:eastAsia="Times New Roman" w:hAnsi="Times New Roman"/>
          <w:sz w:val="20"/>
          <w:szCs w:val="20"/>
        </w:rPr>
        <w:t>0</w:t>
      </w:r>
      <w:r w:rsidRPr="001E40DD">
        <w:rPr>
          <w:rFonts w:ascii="Times New Roman" w:eastAsia="Times New Roman" w:hAnsi="Times New Roman"/>
          <w:sz w:val="20"/>
          <w:szCs w:val="20"/>
        </w:rPr>
        <w:t>:39</w:t>
      </w:r>
    </w:p>
    <w:p w:rsidR="00781580" w:rsidRPr="001E40DD" w:rsidRDefault="00781580" w:rsidP="00781580">
      <w:pPr>
        <w:ind w:firstLine="0"/>
        <w:rPr>
          <w:rFonts w:ascii="Times New Roman" w:eastAsia="Times New Roman" w:hAnsi="Times New Roman"/>
          <w:sz w:val="20"/>
          <w:szCs w:val="20"/>
          <w:lang w:eastAsia="lv-LV"/>
        </w:rPr>
      </w:pPr>
      <w:r w:rsidRPr="001E40DD">
        <w:rPr>
          <w:rFonts w:ascii="Times New Roman" w:eastAsia="Times New Roman" w:hAnsi="Times New Roman"/>
          <w:sz w:val="24"/>
          <w:szCs w:val="24"/>
          <w:lang w:eastAsia="lv-LV"/>
        </w:rPr>
        <w:fldChar w:fldCharType="begin"/>
      </w:r>
      <w:r w:rsidRPr="001E40DD">
        <w:rPr>
          <w:rFonts w:ascii="Times New Roman" w:eastAsia="Times New Roman" w:hAnsi="Times New Roman"/>
          <w:sz w:val="24"/>
          <w:szCs w:val="24"/>
          <w:lang w:eastAsia="lv-LV"/>
        </w:rPr>
        <w:instrText xml:space="preserve"> NUMWORDS   \* MERGEFORMAT </w:instrText>
      </w:r>
      <w:r w:rsidRPr="001E40DD">
        <w:rPr>
          <w:rFonts w:ascii="Times New Roman" w:eastAsia="Times New Roman" w:hAnsi="Times New Roman"/>
          <w:sz w:val="24"/>
          <w:szCs w:val="24"/>
          <w:lang w:eastAsia="lv-LV"/>
        </w:rPr>
        <w:fldChar w:fldCharType="separate"/>
      </w:r>
      <w:r w:rsidR="00430A40" w:rsidRPr="00430A40">
        <w:rPr>
          <w:rFonts w:ascii="Times New Roman" w:eastAsia="Times New Roman" w:hAnsi="Times New Roman"/>
          <w:noProof/>
          <w:sz w:val="20"/>
          <w:szCs w:val="20"/>
          <w:lang w:eastAsia="lv-LV"/>
        </w:rPr>
        <w:t>844</w:t>
      </w:r>
      <w:r w:rsidRPr="001E40DD">
        <w:rPr>
          <w:rFonts w:ascii="Times New Roman" w:eastAsia="Times New Roman" w:hAnsi="Times New Roman"/>
          <w:noProof/>
          <w:sz w:val="20"/>
          <w:szCs w:val="20"/>
          <w:lang w:eastAsia="lv-LV"/>
        </w:rPr>
        <w:fldChar w:fldCharType="end"/>
      </w:r>
    </w:p>
    <w:p w:rsidR="00781580" w:rsidRPr="001E40DD" w:rsidRDefault="00781580" w:rsidP="00781580">
      <w:pPr>
        <w:ind w:firstLine="0"/>
        <w:rPr>
          <w:rFonts w:ascii="Times New Roman" w:eastAsia="Times New Roman" w:hAnsi="Times New Roman"/>
          <w:sz w:val="20"/>
          <w:szCs w:val="20"/>
        </w:rPr>
      </w:pPr>
      <w:r>
        <w:rPr>
          <w:rFonts w:ascii="Times New Roman" w:eastAsia="Times New Roman" w:hAnsi="Times New Roman"/>
          <w:sz w:val="20"/>
          <w:szCs w:val="20"/>
        </w:rPr>
        <w:t>Zariņa 67095676</w:t>
      </w:r>
    </w:p>
    <w:p w:rsidR="00781580" w:rsidRPr="001E40DD" w:rsidRDefault="00CD1968" w:rsidP="00781580">
      <w:pPr>
        <w:ind w:firstLine="0"/>
        <w:rPr>
          <w:rFonts w:ascii="Times New Roman" w:eastAsia="Times New Roman" w:hAnsi="Times New Roman"/>
          <w:sz w:val="20"/>
          <w:szCs w:val="20"/>
        </w:rPr>
      </w:pPr>
      <w:hyperlink r:id="rId7" w:history="1">
        <w:r w:rsidR="00781580" w:rsidRPr="00A02CAE">
          <w:rPr>
            <w:rStyle w:val="Hyperlink"/>
            <w:rFonts w:ascii="Times New Roman" w:eastAsia="Times New Roman" w:hAnsi="Times New Roman"/>
            <w:sz w:val="20"/>
            <w:szCs w:val="20"/>
          </w:rPr>
          <w:t>Indra.Zarina@fm.gov.lv</w:t>
        </w:r>
      </w:hyperlink>
    </w:p>
    <w:p w:rsidR="00781580" w:rsidRPr="00F74C79" w:rsidRDefault="00781580" w:rsidP="00781580">
      <w:pPr>
        <w:ind w:firstLine="0"/>
        <w:rPr>
          <w:rFonts w:ascii="Times New Roman" w:eastAsia="Times New Roman" w:hAnsi="Times New Roman"/>
          <w:sz w:val="20"/>
          <w:szCs w:val="20"/>
        </w:rPr>
      </w:pPr>
      <w:r w:rsidRPr="00F74C79">
        <w:rPr>
          <w:rFonts w:ascii="Times New Roman" w:eastAsia="Times New Roman" w:hAnsi="Times New Roman"/>
          <w:sz w:val="20"/>
          <w:szCs w:val="20"/>
        </w:rPr>
        <w:t>Zvaigzne 67083976</w:t>
      </w:r>
    </w:p>
    <w:p w:rsidR="009806B8" w:rsidRPr="001720E7" w:rsidRDefault="00CD1968" w:rsidP="006824A2">
      <w:pPr>
        <w:ind w:firstLine="0"/>
        <w:rPr>
          <w:rFonts w:ascii="Times New Roman" w:eastAsia="Times New Roman" w:hAnsi="Times New Roman"/>
          <w:sz w:val="20"/>
          <w:szCs w:val="20"/>
        </w:rPr>
      </w:pPr>
      <w:hyperlink r:id="rId8" w:history="1">
        <w:r w:rsidR="00781580" w:rsidRPr="00F74C79">
          <w:rPr>
            <w:rStyle w:val="Hyperlink"/>
            <w:rFonts w:ascii="Times New Roman" w:eastAsia="Times New Roman" w:hAnsi="Times New Roman"/>
            <w:sz w:val="20"/>
            <w:szCs w:val="20"/>
          </w:rPr>
          <w:t>Zanete.Zvaigzne@fm.gov.lv</w:t>
        </w:r>
      </w:hyperlink>
    </w:p>
    <w:sectPr w:rsidR="009806B8" w:rsidRPr="001720E7">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968" w:rsidRDefault="00CD1968" w:rsidP="00E76CD6">
      <w:r>
        <w:separator/>
      </w:r>
    </w:p>
  </w:endnote>
  <w:endnote w:type="continuationSeparator" w:id="0">
    <w:p w:rsidR="00CD1968" w:rsidRDefault="00CD1968" w:rsidP="00E7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Tilde">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80" w:rsidRDefault="00781580" w:rsidP="00305F21">
    <w:pPr>
      <w:pStyle w:val="Footer"/>
      <w:ind w:firstLine="0"/>
      <w:jc w:val="left"/>
    </w:pPr>
    <w:r w:rsidRPr="00050DC8">
      <w:rPr>
        <w:sz w:val="18"/>
        <w:szCs w:val="18"/>
      </w:rPr>
      <w:t>FMInf_MKatbvest_proj_</w:t>
    </w:r>
    <w:r>
      <w:rPr>
        <w:sz w:val="18"/>
        <w:szCs w:val="18"/>
      </w:rPr>
      <w:t>15062015</w:t>
    </w:r>
    <w:r w:rsidRPr="00050DC8">
      <w:rPr>
        <w:sz w:val="18"/>
        <w:szCs w:val="18"/>
      </w:rPr>
      <w:t xml:space="preserve">; Atbildes vēstules projekts </w:t>
    </w:r>
    <w:r w:rsidRPr="00781580">
      <w:rPr>
        <w:sz w:val="18"/>
        <w:szCs w:val="18"/>
      </w:rPr>
      <w:t>Latvijas Republikas tiesībsarga</w:t>
    </w:r>
    <w:r>
      <w:rPr>
        <w:sz w:val="18"/>
        <w:szCs w:val="18"/>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968" w:rsidRDefault="00CD1968" w:rsidP="00E76CD6">
      <w:r>
        <w:separator/>
      </w:r>
    </w:p>
  </w:footnote>
  <w:footnote w:type="continuationSeparator" w:id="0">
    <w:p w:rsidR="00CD1968" w:rsidRDefault="00CD1968" w:rsidP="00E76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F303C"/>
    <w:multiLevelType w:val="hybridMultilevel"/>
    <w:tmpl w:val="CDB89492"/>
    <w:lvl w:ilvl="0" w:tplc="48AA1DB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23"/>
    <w:rsid w:val="00071723"/>
    <w:rsid w:val="000F5CF6"/>
    <w:rsid w:val="001720E7"/>
    <w:rsid w:val="001B0016"/>
    <w:rsid w:val="001B4D33"/>
    <w:rsid w:val="001D78E9"/>
    <w:rsid w:val="00237333"/>
    <w:rsid w:val="00287D54"/>
    <w:rsid w:val="002B0BF0"/>
    <w:rsid w:val="00305F21"/>
    <w:rsid w:val="00341D81"/>
    <w:rsid w:val="003451A5"/>
    <w:rsid w:val="003C444E"/>
    <w:rsid w:val="003E2317"/>
    <w:rsid w:val="003F1D21"/>
    <w:rsid w:val="00430A40"/>
    <w:rsid w:val="004537E4"/>
    <w:rsid w:val="00506CC1"/>
    <w:rsid w:val="00631418"/>
    <w:rsid w:val="006824A2"/>
    <w:rsid w:val="0074547B"/>
    <w:rsid w:val="00781580"/>
    <w:rsid w:val="007F59C0"/>
    <w:rsid w:val="00826F02"/>
    <w:rsid w:val="00836AE0"/>
    <w:rsid w:val="00857B16"/>
    <w:rsid w:val="008762A8"/>
    <w:rsid w:val="008A327A"/>
    <w:rsid w:val="008F4AD3"/>
    <w:rsid w:val="009806B8"/>
    <w:rsid w:val="00987984"/>
    <w:rsid w:val="009B545F"/>
    <w:rsid w:val="00A37D23"/>
    <w:rsid w:val="00A46AE0"/>
    <w:rsid w:val="00AB0C9C"/>
    <w:rsid w:val="00AB441E"/>
    <w:rsid w:val="00AC5254"/>
    <w:rsid w:val="00B37E71"/>
    <w:rsid w:val="00C11065"/>
    <w:rsid w:val="00C80506"/>
    <w:rsid w:val="00C909E6"/>
    <w:rsid w:val="00CA707B"/>
    <w:rsid w:val="00CD1968"/>
    <w:rsid w:val="00CD1D6B"/>
    <w:rsid w:val="00D7224C"/>
    <w:rsid w:val="00DE56AD"/>
    <w:rsid w:val="00E206A5"/>
    <w:rsid w:val="00E76CD6"/>
    <w:rsid w:val="00E94C89"/>
    <w:rsid w:val="00E95551"/>
    <w:rsid w:val="00EC3332"/>
    <w:rsid w:val="00ED38CA"/>
    <w:rsid w:val="00F06673"/>
    <w:rsid w:val="00F461E5"/>
    <w:rsid w:val="00F55B65"/>
    <w:rsid w:val="00FC3D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969994-C799-4A4E-870C-3D152843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D21"/>
    <w:pPr>
      <w:ind w:left="720"/>
      <w:contextualSpacing/>
    </w:pPr>
  </w:style>
  <w:style w:type="paragraph" w:styleId="Header">
    <w:name w:val="header"/>
    <w:basedOn w:val="Normal"/>
    <w:link w:val="HeaderChar"/>
    <w:uiPriority w:val="99"/>
    <w:rsid w:val="00631418"/>
    <w:pPr>
      <w:tabs>
        <w:tab w:val="center" w:pos="4153"/>
        <w:tab w:val="right" w:pos="8306"/>
      </w:tabs>
      <w:ind w:firstLine="0"/>
      <w:jc w:val="left"/>
    </w:pPr>
    <w:rPr>
      <w:rFonts w:ascii="Arial Tilde" w:eastAsia="Times New Roman" w:hAnsi="Arial Tilde" w:cs="Times New Roman"/>
      <w:szCs w:val="20"/>
      <w:lang w:val="en-GB"/>
    </w:rPr>
  </w:style>
  <w:style w:type="character" w:customStyle="1" w:styleId="HeaderChar">
    <w:name w:val="Header Char"/>
    <w:basedOn w:val="DefaultParagraphFont"/>
    <w:link w:val="Header"/>
    <w:uiPriority w:val="99"/>
    <w:rsid w:val="00631418"/>
    <w:rPr>
      <w:rFonts w:ascii="Arial Tilde" w:eastAsia="Times New Roman" w:hAnsi="Arial Tilde" w:cs="Times New Roman"/>
      <w:szCs w:val="20"/>
      <w:lang w:val="en-GB"/>
    </w:rPr>
  </w:style>
  <w:style w:type="character" w:customStyle="1" w:styleId="st">
    <w:name w:val="st"/>
    <w:rsid w:val="00631418"/>
  </w:style>
  <w:style w:type="paragraph" w:styleId="BalloonText">
    <w:name w:val="Balloon Text"/>
    <w:basedOn w:val="Normal"/>
    <w:link w:val="BalloonTextChar"/>
    <w:uiPriority w:val="99"/>
    <w:semiHidden/>
    <w:unhideWhenUsed/>
    <w:rsid w:val="00341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D81"/>
    <w:rPr>
      <w:rFonts w:ascii="Segoe UI" w:hAnsi="Segoe UI" w:cs="Segoe UI"/>
      <w:sz w:val="18"/>
      <w:szCs w:val="18"/>
    </w:rPr>
  </w:style>
  <w:style w:type="paragraph" w:styleId="Footer">
    <w:name w:val="footer"/>
    <w:basedOn w:val="Normal"/>
    <w:link w:val="FooterChar"/>
    <w:uiPriority w:val="99"/>
    <w:unhideWhenUsed/>
    <w:rsid w:val="00781580"/>
    <w:pPr>
      <w:tabs>
        <w:tab w:val="center" w:pos="4153"/>
        <w:tab w:val="right" w:pos="8306"/>
      </w:tabs>
    </w:pPr>
  </w:style>
  <w:style w:type="character" w:customStyle="1" w:styleId="FooterChar">
    <w:name w:val="Footer Char"/>
    <w:basedOn w:val="DefaultParagraphFont"/>
    <w:link w:val="Footer"/>
    <w:uiPriority w:val="99"/>
    <w:rsid w:val="00781580"/>
  </w:style>
  <w:style w:type="character" w:styleId="Hyperlink">
    <w:name w:val="Hyperlink"/>
    <w:uiPriority w:val="99"/>
    <w:unhideWhenUsed/>
    <w:rsid w:val="00781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245042">
      <w:bodyDiv w:val="1"/>
      <w:marLeft w:val="0"/>
      <w:marRight w:val="0"/>
      <w:marTop w:val="0"/>
      <w:marBottom w:val="0"/>
      <w:divBdr>
        <w:top w:val="none" w:sz="0" w:space="0" w:color="auto"/>
        <w:left w:val="none" w:sz="0" w:space="0" w:color="auto"/>
        <w:bottom w:val="none" w:sz="0" w:space="0" w:color="auto"/>
        <w:right w:val="none" w:sz="0" w:space="0" w:color="auto"/>
      </w:divBdr>
      <w:divsChild>
        <w:div w:id="1486706122">
          <w:marLeft w:val="0"/>
          <w:marRight w:val="0"/>
          <w:marTop w:val="0"/>
          <w:marBottom w:val="0"/>
          <w:divBdr>
            <w:top w:val="none" w:sz="0" w:space="0" w:color="auto"/>
            <w:left w:val="none" w:sz="0" w:space="0" w:color="auto"/>
            <w:bottom w:val="none" w:sz="0" w:space="0" w:color="auto"/>
            <w:right w:val="none" w:sz="0" w:space="0" w:color="auto"/>
          </w:divBdr>
          <w:divsChild>
            <w:div w:id="2025278915">
              <w:marLeft w:val="0"/>
              <w:marRight w:val="0"/>
              <w:marTop w:val="100"/>
              <w:marBottom w:val="100"/>
              <w:divBdr>
                <w:top w:val="none" w:sz="0" w:space="0" w:color="auto"/>
                <w:left w:val="none" w:sz="0" w:space="0" w:color="auto"/>
                <w:bottom w:val="none" w:sz="0" w:space="0" w:color="auto"/>
                <w:right w:val="none" w:sz="0" w:space="0" w:color="auto"/>
              </w:divBdr>
              <w:divsChild>
                <w:div w:id="183176136">
                  <w:marLeft w:val="0"/>
                  <w:marRight w:val="0"/>
                  <w:marTop w:val="0"/>
                  <w:marBottom w:val="0"/>
                  <w:divBdr>
                    <w:top w:val="none" w:sz="0" w:space="0" w:color="auto"/>
                    <w:left w:val="none" w:sz="0" w:space="0" w:color="auto"/>
                    <w:bottom w:val="none" w:sz="0" w:space="0" w:color="auto"/>
                    <w:right w:val="none" w:sz="0" w:space="0" w:color="auto"/>
                  </w:divBdr>
                  <w:divsChild>
                    <w:div w:id="1647203297">
                      <w:marLeft w:val="0"/>
                      <w:marRight w:val="0"/>
                      <w:marTop w:val="0"/>
                      <w:marBottom w:val="0"/>
                      <w:divBdr>
                        <w:top w:val="none" w:sz="0" w:space="0" w:color="auto"/>
                        <w:left w:val="none" w:sz="0" w:space="0" w:color="auto"/>
                        <w:bottom w:val="none" w:sz="0" w:space="0" w:color="auto"/>
                        <w:right w:val="none" w:sz="0" w:space="0" w:color="auto"/>
                      </w:divBdr>
                      <w:divsChild>
                        <w:div w:id="19858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te.Zvaigzne@fm.gov.lv" TargetMode="External"/><Relationship Id="rId3" Type="http://schemas.openxmlformats.org/officeDocument/2006/relationships/settings" Target="settings.xml"/><Relationship Id="rId7" Type="http://schemas.openxmlformats.org/officeDocument/2006/relationships/hyperlink" Target="mailto:Indra.Zarina@f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4631</Words>
  <Characters>2640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Atbildes vēstules projekts</dc:subject>
  <dc:creator>Indra Zariņa</dc:creator>
  <cp:keywords/>
  <dc:description>Indra.Zarina@fm.gov.lv;
tālr. 67095676</dc:description>
  <cp:lastModifiedBy>Indra</cp:lastModifiedBy>
  <cp:revision>21</cp:revision>
  <dcterms:created xsi:type="dcterms:W3CDTF">2015-06-12T06:10:00Z</dcterms:created>
  <dcterms:modified xsi:type="dcterms:W3CDTF">2015-06-17T12:24:00Z</dcterms:modified>
</cp:coreProperties>
</file>