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F6B9" w14:textId="77777777" w:rsidR="0085313B" w:rsidRPr="004F1233" w:rsidRDefault="0085313B" w:rsidP="0085313B">
      <w:pPr>
        <w:suppressAutoHyphens/>
        <w:jc w:val="right"/>
        <w:rPr>
          <w:rFonts w:eastAsia="Calibri" w:cs="Times New Roman"/>
          <w:b/>
          <w:szCs w:val="24"/>
          <w:lang w:eastAsia="ar-SA"/>
        </w:rPr>
      </w:pPr>
      <w:r w:rsidRPr="004F1233">
        <w:rPr>
          <w:rFonts w:eastAsia="Calibri" w:cs="Times New Roman"/>
          <w:b/>
          <w:szCs w:val="24"/>
          <w:lang w:eastAsia="ar-SA"/>
        </w:rPr>
        <w:t xml:space="preserve">Latvijas Republikas </w:t>
      </w:r>
    </w:p>
    <w:p w14:paraId="10C7F851" w14:textId="77777777" w:rsidR="0085313B" w:rsidRPr="004F1233" w:rsidRDefault="0085313B" w:rsidP="0085313B">
      <w:pPr>
        <w:suppressAutoHyphens/>
        <w:jc w:val="right"/>
        <w:rPr>
          <w:rFonts w:eastAsia="Calibri" w:cs="Times New Roman"/>
          <w:b/>
          <w:szCs w:val="24"/>
          <w:lang w:eastAsia="ar-SA"/>
        </w:rPr>
      </w:pPr>
      <w:r w:rsidRPr="004F1233">
        <w:rPr>
          <w:rFonts w:eastAsia="Calibri" w:cs="Times New Roman"/>
          <w:b/>
          <w:szCs w:val="24"/>
          <w:lang w:eastAsia="ar-SA"/>
        </w:rPr>
        <w:t>Ministru kabinetam</w:t>
      </w:r>
    </w:p>
    <w:p w14:paraId="628DFE7C" w14:textId="77777777" w:rsidR="0085313B" w:rsidRPr="004F1233" w:rsidRDefault="0085313B" w:rsidP="0085313B">
      <w:pPr>
        <w:suppressAutoHyphens/>
        <w:jc w:val="center"/>
        <w:rPr>
          <w:rFonts w:eastAsia="Calibri" w:cs="Times New Roman"/>
          <w:b/>
          <w:sz w:val="28"/>
          <w:szCs w:val="28"/>
          <w:lang w:eastAsia="ar-SA"/>
        </w:rPr>
      </w:pPr>
    </w:p>
    <w:p w14:paraId="7C68CAB0" w14:textId="77777777" w:rsidR="0085313B" w:rsidRPr="004F1233" w:rsidRDefault="0085313B" w:rsidP="0085313B">
      <w:pPr>
        <w:suppressAutoHyphens/>
        <w:jc w:val="center"/>
        <w:rPr>
          <w:rFonts w:ascii="Times New Roman Bold" w:eastAsia="Calibri" w:hAnsi="Times New Roman Bold" w:cs="Times New Roman"/>
          <w:b/>
          <w:szCs w:val="24"/>
          <w:lang w:eastAsia="ar-SA"/>
        </w:rPr>
      </w:pPr>
      <w:r w:rsidRPr="004F1233">
        <w:rPr>
          <w:rFonts w:ascii="Times New Roman Bold" w:eastAsia="Calibri" w:hAnsi="Times New Roman Bold" w:cs="Times New Roman"/>
          <w:b/>
          <w:szCs w:val="24"/>
          <w:lang w:eastAsia="ar-SA"/>
        </w:rPr>
        <w:t>INFORMAT</w:t>
      </w:r>
      <w:r w:rsidRPr="004F1233">
        <w:rPr>
          <w:rFonts w:ascii="Times New Roman Bold" w:eastAsia="Calibri" w:hAnsi="Times New Roman Bold" w:cs="Times New Roman" w:hint="eastAsia"/>
          <w:b/>
          <w:szCs w:val="24"/>
          <w:lang w:eastAsia="ar-SA"/>
        </w:rPr>
        <w:t>Ī</w:t>
      </w:r>
      <w:r w:rsidRPr="004F1233">
        <w:rPr>
          <w:rFonts w:ascii="Times New Roman Bold" w:eastAsia="Calibri" w:hAnsi="Times New Roman Bold" w:cs="Times New Roman"/>
          <w:b/>
          <w:szCs w:val="24"/>
          <w:lang w:eastAsia="ar-SA"/>
        </w:rPr>
        <w:t>VAIS ZI</w:t>
      </w:r>
      <w:r w:rsidRPr="004F1233">
        <w:rPr>
          <w:rFonts w:ascii="Times New Roman Bold" w:eastAsia="Calibri" w:hAnsi="Times New Roman Bold" w:cs="Times New Roman" w:hint="eastAsia"/>
          <w:b/>
          <w:szCs w:val="24"/>
          <w:lang w:eastAsia="ar-SA"/>
        </w:rPr>
        <w:t>Ņ</w:t>
      </w:r>
      <w:r w:rsidRPr="004F1233">
        <w:rPr>
          <w:rFonts w:ascii="Times New Roman Bold" w:eastAsia="Calibri" w:hAnsi="Times New Roman Bold" w:cs="Times New Roman"/>
          <w:b/>
          <w:szCs w:val="24"/>
          <w:lang w:eastAsia="ar-SA"/>
        </w:rPr>
        <w:t>OJUMS PAR</w:t>
      </w:r>
    </w:p>
    <w:p w14:paraId="5B34B480" w14:textId="77777777" w:rsidR="0085313B" w:rsidRPr="004F1233" w:rsidRDefault="0085313B" w:rsidP="0085313B">
      <w:pPr>
        <w:suppressAutoHyphens/>
        <w:jc w:val="center"/>
        <w:rPr>
          <w:rFonts w:ascii="Times New Roman Bold" w:eastAsia="Calibri" w:hAnsi="Times New Roman Bold" w:cs="Times New Roman"/>
          <w:b/>
          <w:szCs w:val="24"/>
          <w:lang w:eastAsia="ar-SA"/>
        </w:rPr>
      </w:pPr>
      <w:r w:rsidRPr="004F1233">
        <w:rPr>
          <w:rFonts w:ascii="Times New Roman Bold" w:eastAsia="Calibri" w:hAnsi="Times New Roman Bold" w:cs="Times New Roman"/>
          <w:b/>
          <w:szCs w:val="24"/>
          <w:lang w:eastAsia="ar-SA"/>
        </w:rPr>
        <w:t>REV</w:t>
      </w:r>
      <w:r w:rsidRPr="004F1233">
        <w:rPr>
          <w:rFonts w:ascii="Times New Roman Bold" w:eastAsia="Calibri" w:hAnsi="Times New Roman Bold" w:cs="Times New Roman" w:hint="eastAsia"/>
          <w:b/>
          <w:szCs w:val="24"/>
          <w:lang w:eastAsia="ar-SA"/>
        </w:rPr>
        <w:t>Ī</w:t>
      </w:r>
      <w:r w:rsidRPr="004F1233">
        <w:rPr>
          <w:rFonts w:ascii="Times New Roman Bold" w:eastAsia="Calibri" w:hAnsi="Times New Roman Bold" w:cs="Times New Roman"/>
          <w:b/>
          <w:szCs w:val="24"/>
          <w:lang w:eastAsia="ar-SA"/>
        </w:rPr>
        <w:t>ZIJAS IEST</w:t>
      </w:r>
      <w:r w:rsidRPr="004F1233">
        <w:rPr>
          <w:rFonts w:ascii="Times New Roman Bold" w:eastAsia="Calibri" w:hAnsi="Times New Roman Bold" w:cs="Times New Roman" w:hint="eastAsia"/>
          <w:b/>
          <w:szCs w:val="24"/>
          <w:lang w:eastAsia="ar-SA"/>
        </w:rPr>
        <w:t>Ā</w:t>
      </w:r>
      <w:r w:rsidRPr="004F1233">
        <w:rPr>
          <w:rFonts w:ascii="Times New Roman Bold" w:eastAsia="Calibri" w:hAnsi="Times New Roman Bold" w:cs="Times New Roman"/>
          <w:b/>
          <w:szCs w:val="24"/>
          <w:lang w:eastAsia="ar-SA"/>
        </w:rPr>
        <w:t>DES 201</w:t>
      </w:r>
      <w:r w:rsidR="00F4340B">
        <w:rPr>
          <w:rFonts w:ascii="Times New Roman Bold" w:eastAsia="Calibri" w:hAnsi="Times New Roman Bold" w:cs="Times New Roman"/>
          <w:b/>
          <w:szCs w:val="24"/>
          <w:lang w:eastAsia="ar-SA"/>
        </w:rPr>
        <w:t>4</w:t>
      </w:r>
      <w:r w:rsidRPr="004F1233">
        <w:rPr>
          <w:rFonts w:ascii="Times New Roman Bold" w:eastAsia="Calibri" w:hAnsi="Times New Roman Bold" w:cs="Times New Roman"/>
          <w:b/>
          <w:szCs w:val="24"/>
          <w:lang w:eastAsia="ar-SA"/>
        </w:rPr>
        <w:t>.GADA EIROPAS SAVIEN</w:t>
      </w:r>
      <w:r w:rsidRPr="004F1233">
        <w:rPr>
          <w:rFonts w:ascii="Times New Roman Bold" w:eastAsia="Calibri" w:hAnsi="Times New Roman Bold" w:cs="Times New Roman" w:hint="eastAsia"/>
          <w:b/>
          <w:szCs w:val="24"/>
          <w:lang w:eastAsia="ar-SA"/>
        </w:rPr>
        <w:t>Ī</w:t>
      </w:r>
      <w:r w:rsidRPr="004F1233">
        <w:rPr>
          <w:rFonts w:ascii="Times New Roman Bold" w:eastAsia="Calibri" w:hAnsi="Times New Roman Bold" w:cs="Times New Roman"/>
          <w:b/>
          <w:szCs w:val="24"/>
          <w:lang w:eastAsia="ar-SA"/>
        </w:rPr>
        <w:t>BAS FONDU REV</w:t>
      </w:r>
      <w:r w:rsidRPr="004F1233">
        <w:rPr>
          <w:rFonts w:ascii="Times New Roman Bold" w:eastAsia="Calibri" w:hAnsi="Times New Roman Bold" w:cs="Times New Roman" w:hint="eastAsia"/>
          <w:b/>
          <w:szCs w:val="24"/>
          <w:lang w:eastAsia="ar-SA"/>
        </w:rPr>
        <w:t>Ī</w:t>
      </w:r>
      <w:r w:rsidRPr="004F1233">
        <w:rPr>
          <w:rFonts w:ascii="Times New Roman Bold" w:eastAsia="Calibri" w:hAnsi="Times New Roman Bold" w:cs="Times New Roman"/>
          <w:b/>
          <w:szCs w:val="24"/>
          <w:lang w:eastAsia="ar-SA"/>
        </w:rPr>
        <w:t>ZIJAS REZULT</w:t>
      </w:r>
      <w:r w:rsidRPr="004F1233">
        <w:rPr>
          <w:rFonts w:ascii="Times New Roman Bold" w:eastAsia="Calibri" w:hAnsi="Times New Roman Bold" w:cs="Times New Roman" w:hint="eastAsia"/>
          <w:b/>
          <w:szCs w:val="24"/>
          <w:lang w:eastAsia="ar-SA"/>
        </w:rPr>
        <w:t>Ā</w:t>
      </w:r>
      <w:r w:rsidRPr="004F1233">
        <w:rPr>
          <w:rFonts w:ascii="Times New Roman Bold" w:eastAsia="Calibri" w:hAnsi="Times New Roman Bold" w:cs="Times New Roman"/>
          <w:b/>
          <w:szCs w:val="24"/>
          <w:lang w:eastAsia="ar-SA"/>
        </w:rPr>
        <w:t>TIEM</w:t>
      </w:r>
    </w:p>
    <w:p w14:paraId="0FFD885E" w14:textId="77777777" w:rsidR="0085313B" w:rsidRPr="004F1233" w:rsidRDefault="0085313B" w:rsidP="0085313B">
      <w:pPr>
        <w:suppressAutoHyphens/>
        <w:jc w:val="center"/>
        <w:rPr>
          <w:rFonts w:eastAsia="Calibri" w:cs="Times New Roman"/>
          <w:szCs w:val="24"/>
          <w:lang w:eastAsia="ar-SA"/>
        </w:rPr>
      </w:pPr>
    </w:p>
    <w:p w14:paraId="0C6526EA" w14:textId="77777777" w:rsidR="0085313B" w:rsidRPr="004F1233" w:rsidRDefault="0085313B" w:rsidP="0085313B">
      <w:pPr>
        <w:numPr>
          <w:ilvl w:val="0"/>
          <w:numId w:val="1"/>
        </w:numPr>
        <w:suppressAutoHyphens/>
        <w:spacing w:before="120" w:after="120"/>
        <w:ind w:left="567" w:hanging="567"/>
        <w:jc w:val="both"/>
        <w:rPr>
          <w:rFonts w:eastAsia="Calibri" w:cs="Times New Roman"/>
          <w:i/>
          <w:szCs w:val="24"/>
          <w:lang w:eastAsia="ar-SA"/>
        </w:rPr>
      </w:pPr>
      <w:r w:rsidRPr="004F1233">
        <w:rPr>
          <w:rFonts w:eastAsia="Calibri" w:cs="Times New Roman"/>
          <w:szCs w:val="24"/>
          <w:lang w:eastAsia="ar-SA"/>
        </w:rPr>
        <w:t xml:space="preserve">Atbilstoši Eiropas Savienības struktūrfondu un Kohēzijas fonda vadības likuma 11.panta </w:t>
      </w:r>
      <w:r w:rsidR="00AF4A44">
        <w:rPr>
          <w:rFonts w:eastAsia="Calibri" w:cs="Times New Roman"/>
          <w:szCs w:val="24"/>
          <w:lang w:eastAsia="ar-SA"/>
        </w:rPr>
        <w:t>ceturtajai daļai</w:t>
      </w:r>
      <w:r w:rsidRPr="004F1233">
        <w:rPr>
          <w:rFonts w:eastAsia="Calibri" w:cs="Times New Roman"/>
          <w:szCs w:val="24"/>
          <w:lang w:eastAsia="ar-SA"/>
        </w:rPr>
        <w:t xml:space="preserve"> </w:t>
      </w:r>
      <w:r w:rsidRPr="004F1233">
        <w:rPr>
          <w:rFonts w:eastAsia="Calibri" w:cs="Times New Roman"/>
          <w:i/>
          <w:szCs w:val="24"/>
          <w:lang w:eastAsia="ar-SA"/>
        </w:rPr>
        <w:t xml:space="preserve">līdz kārtējā gada 1.martam Revīzijas iestāde informē Ministru kabinetu par </w:t>
      </w:r>
      <w:r w:rsidRPr="004F1233">
        <w:rPr>
          <w:rFonts w:eastAsia="Calibri" w:cs="Times New Roman"/>
          <w:i/>
          <w:iCs/>
          <w:szCs w:val="24"/>
          <w:lang w:eastAsia="ar-SA"/>
        </w:rPr>
        <w:t>iepriekšējā gada revīziju rezultātiem</w:t>
      </w:r>
      <w:r w:rsidRPr="004F1233">
        <w:rPr>
          <w:rFonts w:eastAsia="Calibri" w:cs="Times New Roman"/>
          <w:szCs w:val="24"/>
          <w:lang w:eastAsia="ar-SA"/>
        </w:rPr>
        <w:t>.</w:t>
      </w:r>
      <w:r w:rsidRPr="004F1233">
        <w:rPr>
          <w:rFonts w:eastAsia="Calibri" w:cs="Times New Roman"/>
          <w:i/>
          <w:szCs w:val="24"/>
          <w:lang w:eastAsia="ar-SA"/>
        </w:rPr>
        <w:t xml:space="preserve"> </w:t>
      </w:r>
    </w:p>
    <w:p w14:paraId="1F928B4B" w14:textId="77777777" w:rsidR="0085313B" w:rsidRPr="004F1233" w:rsidRDefault="0085313B" w:rsidP="0085313B">
      <w:pPr>
        <w:numPr>
          <w:ilvl w:val="0"/>
          <w:numId w:val="1"/>
        </w:numPr>
        <w:suppressAutoHyphens/>
        <w:spacing w:before="120" w:after="120"/>
        <w:ind w:left="567" w:hanging="567"/>
        <w:jc w:val="both"/>
        <w:rPr>
          <w:rFonts w:eastAsia="Calibri" w:cs="Times New Roman"/>
          <w:i/>
          <w:szCs w:val="24"/>
          <w:lang w:eastAsia="ar-SA"/>
        </w:rPr>
      </w:pPr>
      <w:r w:rsidRPr="004F1233">
        <w:rPr>
          <w:rFonts w:eastAsia="Calibri" w:cs="Times New Roman"/>
          <w:szCs w:val="24"/>
          <w:lang w:eastAsia="ar-SA"/>
        </w:rPr>
        <w:t>201</w:t>
      </w:r>
      <w:r w:rsidR="00F4340B">
        <w:rPr>
          <w:rFonts w:eastAsia="Calibri" w:cs="Times New Roman"/>
          <w:szCs w:val="24"/>
          <w:lang w:eastAsia="ar-SA"/>
        </w:rPr>
        <w:t>4</w:t>
      </w:r>
      <w:r w:rsidRPr="004F1233">
        <w:rPr>
          <w:rFonts w:eastAsia="Calibri" w:cs="Times New Roman"/>
          <w:szCs w:val="24"/>
          <w:lang w:eastAsia="ar-SA"/>
        </w:rPr>
        <w:t xml:space="preserve">.gada </w:t>
      </w:r>
      <w:r w:rsidR="00F4340B">
        <w:rPr>
          <w:rFonts w:eastAsia="Calibri" w:cs="Times New Roman"/>
          <w:szCs w:val="24"/>
          <w:lang w:eastAsia="ar-SA"/>
        </w:rPr>
        <w:t>2</w:t>
      </w:r>
      <w:r w:rsidR="00E278EF" w:rsidRPr="004F1233">
        <w:rPr>
          <w:rFonts w:eastAsia="Calibri" w:cs="Times New Roman"/>
          <w:szCs w:val="24"/>
          <w:lang w:eastAsia="ar-SA"/>
        </w:rPr>
        <w:t>9</w:t>
      </w:r>
      <w:r w:rsidRPr="004F1233">
        <w:rPr>
          <w:rFonts w:eastAsia="Calibri" w:cs="Times New Roman"/>
          <w:szCs w:val="24"/>
          <w:lang w:eastAsia="ar-SA"/>
        </w:rPr>
        <w:t xml:space="preserve">.decembrī atbilstoši regulu prasībām Revīzijas iestāde iesniedza Eiropas Komisijai (turpmāk – EK) Gada kontroles ziņojumu un </w:t>
      </w:r>
      <w:r w:rsidR="00AF4A44">
        <w:rPr>
          <w:rFonts w:eastAsia="Calibri" w:cs="Times New Roman"/>
          <w:szCs w:val="24"/>
          <w:lang w:eastAsia="ar-SA"/>
        </w:rPr>
        <w:t>a</w:t>
      </w:r>
      <w:r w:rsidRPr="004F1233">
        <w:rPr>
          <w:rFonts w:eastAsia="Calibri" w:cs="Times New Roman"/>
          <w:szCs w:val="24"/>
          <w:lang w:eastAsia="ar-SA"/>
        </w:rPr>
        <w:t xml:space="preserve">udita </w:t>
      </w:r>
      <w:r w:rsidR="00AF4A44">
        <w:rPr>
          <w:rFonts w:eastAsia="Calibri" w:cs="Times New Roman"/>
          <w:szCs w:val="24"/>
          <w:lang w:eastAsia="ar-SA"/>
        </w:rPr>
        <w:t>A</w:t>
      </w:r>
      <w:r w:rsidRPr="004F1233">
        <w:rPr>
          <w:rFonts w:eastAsia="Calibri" w:cs="Times New Roman"/>
          <w:szCs w:val="24"/>
          <w:lang w:eastAsia="ar-SA"/>
        </w:rPr>
        <w:t xml:space="preserve">tzinumu par Latvijā izveidotās Eiropas Savienības </w:t>
      </w:r>
      <w:r w:rsidR="00B67295" w:rsidRPr="004F1233">
        <w:rPr>
          <w:rFonts w:eastAsia="Calibri" w:cs="Times New Roman"/>
          <w:szCs w:val="24"/>
          <w:lang w:eastAsia="ar-SA"/>
        </w:rPr>
        <w:t>struktūrfondu un Kohēzijas fonda (turpmāk – ES</w:t>
      </w:r>
      <w:r w:rsidR="00B67295">
        <w:rPr>
          <w:rFonts w:eastAsia="Calibri" w:cs="Times New Roman"/>
          <w:szCs w:val="24"/>
          <w:lang w:eastAsia="ar-SA"/>
        </w:rPr>
        <w:t xml:space="preserve"> fondi</w:t>
      </w:r>
      <w:r w:rsidR="00B67295" w:rsidRPr="004F1233">
        <w:rPr>
          <w:rFonts w:eastAsia="Calibri" w:cs="Times New Roman"/>
          <w:szCs w:val="24"/>
          <w:lang w:eastAsia="ar-SA"/>
        </w:rPr>
        <w:t>)</w:t>
      </w:r>
      <w:r w:rsidR="00B67295" w:rsidRPr="00B67295">
        <w:rPr>
          <w:rFonts w:eastAsia="Calibri" w:cs="Times New Roman"/>
          <w:szCs w:val="24"/>
          <w:lang w:eastAsia="ar-SA"/>
        </w:rPr>
        <w:t xml:space="preserve"> </w:t>
      </w:r>
      <w:r w:rsidRPr="004F1233">
        <w:rPr>
          <w:rFonts w:eastAsia="Calibri" w:cs="Times New Roman"/>
          <w:szCs w:val="24"/>
          <w:lang w:eastAsia="ar-SA"/>
        </w:rPr>
        <w:t>vadības un kontroles sistēmas darbības efektivitāti un 201</w:t>
      </w:r>
      <w:r w:rsidR="00F4340B">
        <w:rPr>
          <w:rFonts w:eastAsia="Calibri" w:cs="Times New Roman"/>
          <w:szCs w:val="24"/>
          <w:lang w:eastAsia="ar-SA"/>
        </w:rPr>
        <w:t>3</w:t>
      </w:r>
      <w:r w:rsidRPr="004F1233">
        <w:rPr>
          <w:rFonts w:eastAsia="Calibri" w:cs="Times New Roman"/>
          <w:szCs w:val="24"/>
          <w:lang w:eastAsia="ar-SA"/>
        </w:rPr>
        <w:t xml:space="preserve">.gadā deklarēto izdevumu likumību un pareizību. </w:t>
      </w:r>
    </w:p>
    <w:p w14:paraId="53F67D22" w14:textId="77777777" w:rsidR="0085313B" w:rsidRPr="004F1233" w:rsidRDefault="0085313B" w:rsidP="0085313B">
      <w:pPr>
        <w:suppressAutoHyphens/>
        <w:spacing w:before="120" w:after="120"/>
        <w:jc w:val="both"/>
        <w:rPr>
          <w:rFonts w:eastAsia="Calibri" w:cs="Times New Roman"/>
          <w:b/>
          <w:bCs/>
          <w:color w:val="000000"/>
          <w:szCs w:val="24"/>
          <w:lang w:eastAsia="ar-SA"/>
        </w:rPr>
      </w:pPr>
      <w:r w:rsidRPr="004F1233">
        <w:rPr>
          <w:rFonts w:eastAsia="Calibri" w:cs="Times New Roman"/>
          <w:b/>
          <w:bCs/>
          <w:color w:val="000000"/>
          <w:szCs w:val="24"/>
          <w:lang w:eastAsia="ar-SA"/>
        </w:rPr>
        <w:t>KOPSAVILKUMS</w:t>
      </w:r>
    </w:p>
    <w:p w14:paraId="322B66BB" w14:textId="77777777" w:rsidR="0085313B" w:rsidRPr="004F1233" w:rsidRDefault="0085313B" w:rsidP="0085313B">
      <w:pPr>
        <w:numPr>
          <w:ilvl w:val="0"/>
          <w:numId w:val="1"/>
        </w:numPr>
        <w:suppressAutoHyphens/>
        <w:spacing w:before="120" w:after="120"/>
        <w:ind w:left="567" w:hanging="567"/>
        <w:jc w:val="both"/>
        <w:rPr>
          <w:rFonts w:eastAsia="Calibri" w:cs="Times New Roman"/>
          <w:szCs w:val="24"/>
          <w:lang w:eastAsia="ar-SA"/>
        </w:rPr>
      </w:pPr>
      <w:r w:rsidRPr="004F1233">
        <w:rPr>
          <w:rFonts w:eastAsia="Calibri" w:cs="Times New Roman"/>
          <w:szCs w:val="24"/>
          <w:lang w:eastAsia="ar-SA"/>
        </w:rPr>
        <w:t xml:space="preserve">Balstoties uz Revīzijas iestādes ES fondu vadības un kontroles sistēmu auditu un darbību revīziju rezultātiem un iegūtajiem auditu pierādījumiem, Revīzijas iestāde secināja, ka Latvijā izveidotā ES fondu vadības un kontroles sistēma ir vērtējama 2.kategorijā (sistēma darbojas, taču tajā ir nepieciešami atsevišķi pilnveidojumi) un atklātais kļūdas līmenis </w:t>
      </w:r>
      <w:r w:rsidR="002972CE" w:rsidRPr="004F1233">
        <w:rPr>
          <w:rFonts w:eastAsia="Calibri" w:cs="Times New Roman"/>
          <w:szCs w:val="24"/>
          <w:lang w:eastAsia="ar-SA"/>
        </w:rPr>
        <w:t>ir</w:t>
      </w:r>
      <w:r w:rsidR="00F4340B">
        <w:rPr>
          <w:rFonts w:eastAsia="Calibri" w:cs="Times New Roman"/>
          <w:szCs w:val="24"/>
          <w:lang w:eastAsia="ar-SA"/>
        </w:rPr>
        <w:t xml:space="preserve"> 0,93</w:t>
      </w:r>
      <w:r w:rsidRPr="004F1233">
        <w:rPr>
          <w:rFonts w:eastAsia="Calibri" w:cs="Times New Roman"/>
          <w:szCs w:val="24"/>
          <w:lang w:eastAsia="ar-SA"/>
        </w:rPr>
        <w:t>%, kas ir zem</w:t>
      </w:r>
      <w:r w:rsidR="002972CE" w:rsidRPr="004F1233">
        <w:rPr>
          <w:rFonts w:eastAsia="Calibri" w:cs="Times New Roman"/>
          <w:szCs w:val="24"/>
          <w:lang w:eastAsia="ar-SA"/>
        </w:rPr>
        <w:t>āks par</w:t>
      </w:r>
      <w:r w:rsidRPr="004F1233">
        <w:rPr>
          <w:rFonts w:eastAsia="Calibri" w:cs="Times New Roman"/>
          <w:szCs w:val="24"/>
          <w:lang w:eastAsia="ar-SA"/>
        </w:rPr>
        <w:t xml:space="preserve"> EK noteikt</w:t>
      </w:r>
      <w:r w:rsidR="002972CE" w:rsidRPr="004F1233">
        <w:rPr>
          <w:rFonts w:eastAsia="Calibri" w:cs="Times New Roman"/>
          <w:szCs w:val="24"/>
          <w:lang w:eastAsia="ar-SA"/>
        </w:rPr>
        <w:t>o</w:t>
      </w:r>
      <w:r w:rsidRPr="004F1233">
        <w:rPr>
          <w:rFonts w:eastAsia="Calibri" w:cs="Times New Roman"/>
          <w:szCs w:val="24"/>
          <w:lang w:eastAsia="ar-SA"/>
        </w:rPr>
        <w:t xml:space="preserve"> būtiskuma sliek</w:t>
      </w:r>
      <w:r w:rsidR="002972CE" w:rsidRPr="004F1233">
        <w:rPr>
          <w:rFonts w:eastAsia="Calibri" w:cs="Times New Roman"/>
          <w:szCs w:val="24"/>
          <w:lang w:eastAsia="ar-SA"/>
        </w:rPr>
        <w:t>sni</w:t>
      </w:r>
      <w:r w:rsidRPr="004F1233">
        <w:rPr>
          <w:rFonts w:eastAsia="Calibri" w:cs="Times New Roman"/>
          <w:szCs w:val="24"/>
          <w:lang w:eastAsia="ar-SA"/>
        </w:rPr>
        <w:t xml:space="preserve"> (2%), līdz ar to EK tika iesniegts audita Atzinums bez </w:t>
      </w:r>
      <w:proofErr w:type="spellStart"/>
      <w:r w:rsidRPr="004F1233">
        <w:rPr>
          <w:rFonts w:eastAsia="Calibri" w:cs="Times New Roman"/>
          <w:szCs w:val="24"/>
          <w:lang w:eastAsia="ar-SA"/>
        </w:rPr>
        <w:t>iebildēm</w:t>
      </w:r>
      <w:proofErr w:type="spellEnd"/>
      <w:r w:rsidRPr="004F1233">
        <w:rPr>
          <w:rFonts w:eastAsia="Calibri" w:cs="Times New Roman"/>
          <w:szCs w:val="24"/>
          <w:lang w:eastAsia="ar-SA"/>
        </w:rPr>
        <w:t xml:space="preserve"> (skat. Tabulu Nr.1):</w:t>
      </w:r>
    </w:p>
    <w:p w14:paraId="4610E48E" w14:textId="77777777" w:rsidR="0085313B" w:rsidRPr="004F1233" w:rsidRDefault="0085313B" w:rsidP="0085313B">
      <w:pPr>
        <w:suppressAutoHyphens/>
        <w:spacing w:before="120" w:after="120"/>
        <w:ind w:left="567"/>
        <w:jc w:val="right"/>
        <w:rPr>
          <w:rFonts w:eastAsia="Calibri" w:cs="Times New Roman"/>
          <w:sz w:val="20"/>
          <w:szCs w:val="20"/>
          <w:lang w:eastAsia="ar-SA"/>
        </w:rPr>
      </w:pPr>
      <w:r w:rsidRPr="004F1233">
        <w:rPr>
          <w:rFonts w:eastAsia="Calibri" w:cs="Times New Roman"/>
          <w:sz w:val="20"/>
          <w:szCs w:val="20"/>
          <w:lang w:eastAsia="ar-SA"/>
        </w:rPr>
        <w:t>Tabula Nr.1</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1843"/>
        <w:gridCol w:w="1984"/>
        <w:gridCol w:w="1843"/>
      </w:tblGrid>
      <w:tr w:rsidR="0085313B" w:rsidRPr="009A1A55" w14:paraId="20499CF6" w14:textId="77777777" w:rsidTr="00255203">
        <w:trPr>
          <w:trHeight w:val="704"/>
        </w:trPr>
        <w:tc>
          <w:tcPr>
            <w:tcW w:w="1418" w:type="dxa"/>
            <w:vMerge w:val="restart"/>
            <w:shd w:val="pct10" w:color="auto" w:fill="auto"/>
            <w:vAlign w:val="center"/>
          </w:tcPr>
          <w:p w14:paraId="111D0683"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Sistēmu auditu novērtējums</w:t>
            </w:r>
          </w:p>
        </w:tc>
        <w:tc>
          <w:tcPr>
            <w:tcW w:w="3544" w:type="dxa"/>
            <w:gridSpan w:val="2"/>
            <w:tcBorders>
              <w:right w:val="single" w:sz="4" w:space="0" w:color="auto"/>
            </w:tcBorders>
            <w:shd w:val="pct10" w:color="auto" w:fill="auto"/>
            <w:vAlign w:val="center"/>
          </w:tcPr>
          <w:p w14:paraId="218F8AC9"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Sertificēto izdevumu revīziju kļūdu līmenis</w:t>
            </w:r>
          </w:p>
        </w:tc>
        <w:tc>
          <w:tcPr>
            <w:tcW w:w="3827" w:type="dxa"/>
            <w:gridSpan w:val="2"/>
            <w:tcBorders>
              <w:left w:val="single" w:sz="4" w:space="0" w:color="auto"/>
            </w:tcBorders>
            <w:shd w:val="pct10" w:color="auto" w:fill="auto"/>
            <w:vAlign w:val="center"/>
          </w:tcPr>
          <w:p w14:paraId="1ACC0788"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Sistēmiska kļūda, kurai nevar novērtēt finanšu ietekmi</w:t>
            </w:r>
          </w:p>
        </w:tc>
      </w:tr>
      <w:tr w:rsidR="0085313B" w:rsidRPr="009A1A55" w14:paraId="7B72692E" w14:textId="77777777" w:rsidTr="00255203">
        <w:trPr>
          <w:trHeight w:val="587"/>
        </w:trPr>
        <w:tc>
          <w:tcPr>
            <w:tcW w:w="1418" w:type="dxa"/>
            <w:vMerge/>
            <w:tcBorders>
              <w:bottom w:val="single" w:sz="4" w:space="0" w:color="000000"/>
            </w:tcBorders>
            <w:shd w:val="pct10" w:color="auto" w:fill="auto"/>
          </w:tcPr>
          <w:p w14:paraId="431757D1" w14:textId="77777777" w:rsidR="0085313B" w:rsidRPr="004F1233" w:rsidRDefault="0085313B" w:rsidP="0085313B">
            <w:pPr>
              <w:overflowPunct w:val="0"/>
              <w:autoSpaceDE w:val="0"/>
              <w:autoSpaceDN w:val="0"/>
              <w:adjustRightInd w:val="0"/>
              <w:jc w:val="both"/>
              <w:textAlignment w:val="baseline"/>
              <w:rPr>
                <w:rFonts w:eastAsia="MS Mincho" w:cs="Times New Roman"/>
                <w:b/>
                <w:bCs/>
                <w:color w:val="000000"/>
                <w:sz w:val="20"/>
                <w:szCs w:val="20"/>
              </w:rPr>
            </w:pPr>
          </w:p>
        </w:tc>
        <w:tc>
          <w:tcPr>
            <w:tcW w:w="1701" w:type="dxa"/>
            <w:tcBorders>
              <w:top w:val="single" w:sz="4" w:space="0" w:color="auto"/>
              <w:right w:val="single" w:sz="4" w:space="0" w:color="auto"/>
            </w:tcBorders>
            <w:shd w:val="pct10" w:color="auto" w:fill="auto"/>
            <w:vAlign w:val="center"/>
          </w:tcPr>
          <w:p w14:paraId="7190CD95"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Zem būtiskuma līmeņa (&lt; 2%)</w:t>
            </w:r>
          </w:p>
        </w:tc>
        <w:tc>
          <w:tcPr>
            <w:tcW w:w="1843" w:type="dxa"/>
            <w:tcBorders>
              <w:top w:val="single" w:sz="4" w:space="0" w:color="auto"/>
              <w:left w:val="single" w:sz="4" w:space="0" w:color="auto"/>
              <w:right w:val="single" w:sz="4" w:space="0" w:color="auto"/>
            </w:tcBorders>
            <w:shd w:val="pct10" w:color="auto" w:fill="auto"/>
            <w:vAlign w:val="center"/>
          </w:tcPr>
          <w:p w14:paraId="5B2BB31B"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Virs būtiskuma līmeņa (&gt; 2%)</w:t>
            </w:r>
          </w:p>
        </w:tc>
        <w:tc>
          <w:tcPr>
            <w:tcW w:w="1984" w:type="dxa"/>
            <w:tcBorders>
              <w:top w:val="single" w:sz="4" w:space="0" w:color="auto"/>
              <w:left w:val="single" w:sz="4" w:space="0" w:color="auto"/>
            </w:tcBorders>
            <w:shd w:val="pct10" w:color="auto" w:fill="auto"/>
            <w:vAlign w:val="center"/>
          </w:tcPr>
          <w:p w14:paraId="3682F4E4"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Būtiska, bet ne visaptveroša</w:t>
            </w:r>
          </w:p>
        </w:tc>
        <w:tc>
          <w:tcPr>
            <w:tcW w:w="1843" w:type="dxa"/>
            <w:tcBorders>
              <w:top w:val="single" w:sz="4" w:space="0" w:color="auto"/>
            </w:tcBorders>
            <w:shd w:val="pct10" w:color="auto" w:fill="auto"/>
            <w:vAlign w:val="center"/>
          </w:tcPr>
          <w:p w14:paraId="58F99FC0"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Būtiska un visaptveroša</w:t>
            </w:r>
          </w:p>
        </w:tc>
      </w:tr>
      <w:tr w:rsidR="0085313B" w:rsidRPr="009A1A55" w14:paraId="163C6587" w14:textId="77777777" w:rsidTr="00255203">
        <w:tc>
          <w:tcPr>
            <w:tcW w:w="1418" w:type="dxa"/>
            <w:shd w:val="clear" w:color="auto" w:fill="D9D9D9"/>
            <w:vAlign w:val="center"/>
          </w:tcPr>
          <w:p w14:paraId="6F3A0125"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FF0000"/>
                <w:sz w:val="20"/>
                <w:szCs w:val="20"/>
              </w:rPr>
            </w:pPr>
            <w:r w:rsidRPr="004F1233">
              <w:rPr>
                <w:rFonts w:eastAsia="MS Mincho" w:cs="Times New Roman"/>
                <w:b/>
                <w:bCs/>
                <w:color w:val="FF0000"/>
                <w:sz w:val="20"/>
                <w:szCs w:val="20"/>
              </w:rPr>
              <w:t>2</w:t>
            </w:r>
          </w:p>
        </w:tc>
        <w:tc>
          <w:tcPr>
            <w:tcW w:w="1701" w:type="dxa"/>
            <w:shd w:val="clear" w:color="auto" w:fill="auto"/>
            <w:vAlign w:val="center"/>
          </w:tcPr>
          <w:p w14:paraId="1F4AD6F7"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FF0000"/>
                <w:sz w:val="20"/>
                <w:szCs w:val="20"/>
              </w:rPr>
            </w:pPr>
            <w:r w:rsidRPr="004F1233">
              <w:rPr>
                <w:rFonts w:eastAsia="MS Mincho" w:cs="Times New Roman"/>
                <w:b/>
                <w:bCs/>
                <w:color w:val="FF0000"/>
                <w:sz w:val="20"/>
                <w:szCs w:val="20"/>
              </w:rPr>
              <w:t xml:space="preserve">Atzinums bez </w:t>
            </w:r>
            <w:proofErr w:type="spellStart"/>
            <w:r w:rsidRPr="004F1233">
              <w:rPr>
                <w:rFonts w:eastAsia="MS Mincho" w:cs="Times New Roman"/>
                <w:b/>
                <w:bCs/>
                <w:color w:val="FF0000"/>
                <w:sz w:val="20"/>
                <w:szCs w:val="20"/>
              </w:rPr>
              <w:t>iebildēm</w:t>
            </w:r>
            <w:proofErr w:type="spellEnd"/>
          </w:p>
        </w:tc>
        <w:tc>
          <w:tcPr>
            <w:tcW w:w="1843" w:type="dxa"/>
            <w:shd w:val="clear" w:color="auto" w:fill="auto"/>
            <w:vAlign w:val="center"/>
          </w:tcPr>
          <w:p w14:paraId="15257236"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N/a</w:t>
            </w:r>
          </w:p>
        </w:tc>
        <w:tc>
          <w:tcPr>
            <w:tcW w:w="1984" w:type="dxa"/>
            <w:shd w:val="clear" w:color="auto" w:fill="auto"/>
            <w:vAlign w:val="center"/>
          </w:tcPr>
          <w:p w14:paraId="589B4919"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N/a</w:t>
            </w:r>
          </w:p>
        </w:tc>
        <w:tc>
          <w:tcPr>
            <w:tcW w:w="1843" w:type="dxa"/>
            <w:shd w:val="clear" w:color="auto" w:fill="auto"/>
            <w:vAlign w:val="center"/>
          </w:tcPr>
          <w:p w14:paraId="585028DC"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N/a</w:t>
            </w:r>
          </w:p>
        </w:tc>
      </w:tr>
    </w:tbl>
    <w:p w14:paraId="260FAB36" w14:textId="77777777" w:rsidR="0085313B" w:rsidRPr="004F1233" w:rsidRDefault="0085313B" w:rsidP="0085313B">
      <w:pPr>
        <w:suppressAutoHyphens/>
        <w:spacing w:before="120" w:after="120"/>
        <w:ind w:left="567"/>
        <w:jc w:val="both"/>
        <w:rPr>
          <w:rFonts w:eastAsia="Calibri" w:cs="Times New Roman"/>
          <w:color w:val="FF0000"/>
          <w:szCs w:val="24"/>
          <w:lang w:eastAsia="ar-SA"/>
        </w:rPr>
      </w:pPr>
      <w:r w:rsidRPr="004F1233">
        <w:rPr>
          <w:rFonts w:eastAsia="Calibri" w:cs="Times New Roman"/>
          <w:szCs w:val="24"/>
          <w:lang w:eastAsia="ar-SA"/>
        </w:rPr>
        <w:t>Detalizēts Gada kontroles ziņojums un Atzinums ir pieejams ES fondu mājas lapā:</w:t>
      </w:r>
      <w:r w:rsidRPr="004F1233">
        <w:rPr>
          <w:rFonts w:eastAsia="Calibri" w:cs="Times New Roman"/>
          <w:color w:val="FF0000"/>
          <w:szCs w:val="24"/>
          <w:lang w:eastAsia="ar-SA"/>
        </w:rPr>
        <w:t xml:space="preserve"> </w:t>
      </w:r>
      <w:hyperlink r:id="rId8" w:history="1">
        <w:r w:rsidRPr="004F1233">
          <w:rPr>
            <w:rFonts w:eastAsia="Calibri" w:cs="Times New Roman"/>
            <w:color w:val="0000FF"/>
            <w:szCs w:val="24"/>
            <w:u w:val="single"/>
            <w:lang w:eastAsia="ar-SA"/>
          </w:rPr>
          <w:t>http://www.esfondi.lv/page.php?id=854</w:t>
        </w:r>
      </w:hyperlink>
      <w:r w:rsidRPr="004F1233">
        <w:rPr>
          <w:rFonts w:eastAsia="Calibri" w:cs="Times New Roman"/>
          <w:color w:val="FF0000"/>
          <w:szCs w:val="24"/>
          <w:lang w:eastAsia="ar-SA"/>
        </w:rPr>
        <w:t>.</w:t>
      </w:r>
    </w:p>
    <w:p w14:paraId="4227EED0" w14:textId="77777777" w:rsidR="0085313B" w:rsidRPr="004F1233" w:rsidRDefault="0085313B" w:rsidP="0085313B">
      <w:pPr>
        <w:suppressAutoHyphens/>
        <w:spacing w:before="120" w:after="120"/>
        <w:jc w:val="both"/>
        <w:rPr>
          <w:rFonts w:eastAsia="Calibri" w:cs="Times New Roman"/>
          <w:b/>
          <w:bCs/>
          <w:szCs w:val="24"/>
          <w:lang w:eastAsia="ar-SA"/>
        </w:rPr>
      </w:pPr>
      <w:r w:rsidRPr="004F1233">
        <w:rPr>
          <w:rFonts w:eastAsia="Calibri" w:cs="Times New Roman"/>
          <w:b/>
          <w:bCs/>
          <w:szCs w:val="24"/>
          <w:lang w:eastAsia="ar-SA"/>
        </w:rPr>
        <w:t>REVĪZIJAS IESTĀDES METODIKA</w:t>
      </w:r>
    </w:p>
    <w:p w14:paraId="1101843F" w14:textId="77777777" w:rsidR="0085313B" w:rsidRPr="00F4340B" w:rsidRDefault="0085313B" w:rsidP="0085313B">
      <w:pPr>
        <w:numPr>
          <w:ilvl w:val="0"/>
          <w:numId w:val="1"/>
        </w:numPr>
        <w:suppressAutoHyphens/>
        <w:spacing w:before="120" w:after="120"/>
        <w:ind w:left="567" w:hanging="567"/>
        <w:jc w:val="both"/>
        <w:rPr>
          <w:rFonts w:eastAsia="Calibri" w:cs="Times New Roman"/>
          <w:szCs w:val="24"/>
          <w:lang w:eastAsia="ar-SA"/>
        </w:rPr>
      </w:pPr>
      <w:r w:rsidRPr="00F4340B">
        <w:rPr>
          <w:rFonts w:eastAsia="Calibri" w:cs="Times New Roman"/>
          <w:szCs w:val="24"/>
          <w:lang w:eastAsia="ar-SA"/>
        </w:rPr>
        <w:t>Lai Rev</w:t>
      </w:r>
      <w:r w:rsidR="00D23C9F" w:rsidRPr="00F4340B">
        <w:rPr>
          <w:rFonts w:eastAsia="Calibri" w:cs="Times New Roman"/>
          <w:szCs w:val="24"/>
          <w:lang w:eastAsia="ar-SA"/>
        </w:rPr>
        <w:t>īzijas iestāde varētu sagatavot</w:t>
      </w:r>
      <w:r w:rsidRPr="00F4340B">
        <w:rPr>
          <w:rFonts w:eastAsia="Calibri" w:cs="Times New Roman"/>
          <w:szCs w:val="24"/>
          <w:lang w:eastAsia="ar-SA"/>
        </w:rPr>
        <w:t xml:space="preserve"> Gada kontroles ziņojumu un sniegt audita Atzinumu EK, tā veic savu darbu 3 posmos:</w:t>
      </w:r>
    </w:p>
    <w:p w14:paraId="023B20D5" w14:textId="77777777" w:rsidR="0085313B" w:rsidRPr="00F4340B" w:rsidRDefault="0085313B" w:rsidP="0085313B">
      <w:pPr>
        <w:suppressAutoHyphens/>
        <w:spacing w:before="120" w:after="120"/>
        <w:ind w:left="567"/>
        <w:jc w:val="both"/>
        <w:rPr>
          <w:rFonts w:eastAsia="Calibri" w:cs="Times New Roman"/>
          <w:szCs w:val="24"/>
          <w:lang w:eastAsia="ar-SA"/>
        </w:rPr>
      </w:pPr>
      <w:r w:rsidRPr="00F4340B">
        <w:rPr>
          <w:rFonts w:eastAsia="Calibri" w:cs="Times New Roman"/>
          <w:szCs w:val="24"/>
          <w:u w:val="single"/>
          <w:lang w:eastAsia="ar-SA"/>
        </w:rPr>
        <w:t>1.posms:</w:t>
      </w:r>
      <w:r w:rsidRPr="00F4340B">
        <w:rPr>
          <w:rFonts w:eastAsia="Calibri" w:cs="Times New Roman"/>
          <w:szCs w:val="24"/>
          <w:lang w:eastAsia="ar-SA"/>
        </w:rPr>
        <w:t xml:space="preserve"> ES fondu vadības un kontroles sistēmas novērtējuma auditi jeb sistēmu auditi, kuru rezultātā izveidotā sistēma katrā konkrētā ES fondu administrēšanā iesaistītajā iestādē tiek novērtēta kategorijās no 1-4.</w:t>
      </w:r>
    </w:p>
    <w:p w14:paraId="31674AD8" w14:textId="77777777" w:rsidR="0085313B" w:rsidRPr="00F4340B" w:rsidRDefault="0085313B" w:rsidP="0085313B">
      <w:pPr>
        <w:suppressAutoHyphens/>
        <w:spacing w:before="120" w:after="120"/>
        <w:ind w:left="567"/>
        <w:jc w:val="both"/>
        <w:rPr>
          <w:rFonts w:eastAsia="Calibri" w:cs="Times New Roman"/>
          <w:szCs w:val="24"/>
          <w:lang w:eastAsia="ar-SA"/>
        </w:rPr>
      </w:pPr>
      <w:r w:rsidRPr="00F4340B">
        <w:rPr>
          <w:rFonts w:eastAsia="Calibri" w:cs="Times New Roman"/>
          <w:szCs w:val="24"/>
          <w:lang w:eastAsia="ar-SA"/>
        </w:rPr>
        <w:t>Novērtējumi tiek piešķirti atbilstoši EK izstrādātajām vadlīnijām:</w:t>
      </w:r>
    </w:p>
    <w:p w14:paraId="62AF148A" w14:textId="77777777" w:rsidR="0085313B" w:rsidRPr="00F4340B" w:rsidRDefault="0085313B" w:rsidP="0085313B">
      <w:pPr>
        <w:numPr>
          <w:ilvl w:val="0"/>
          <w:numId w:val="2"/>
        </w:numPr>
        <w:tabs>
          <w:tab w:val="left" w:pos="1134"/>
        </w:tabs>
        <w:suppressAutoHyphens/>
        <w:spacing w:before="120" w:after="120"/>
        <w:ind w:left="1134" w:hanging="567"/>
        <w:jc w:val="both"/>
        <w:rPr>
          <w:rFonts w:eastAsia="Calibri" w:cs="Times New Roman"/>
          <w:szCs w:val="24"/>
          <w:lang w:eastAsia="ar-SA"/>
        </w:rPr>
      </w:pPr>
      <w:r w:rsidRPr="00F4340B">
        <w:rPr>
          <w:rFonts w:eastAsia="Calibri" w:cs="Times New Roman"/>
          <w:szCs w:val="24"/>
          <w:lang w:eastAsia="ar-SA"/>
        </w:rPr>
        <w:t xml:space="preserve">1.kategorija – darbojas labi: sistēma ir efektīva, trūkumi nav konstatēti vai ir konstatēti maznozīmīgi trūkumi, kuri neietekmē ES fondu vadības un kontroles sistēmas darbību; </w:t>
      </w:r>
    </w:p>
    <w:p w14:paraId="71B3DB54" w14:textId="77777777" w:rsidR="0085313B" w:rsidRPr="00F4340B" w:rsidRDefault="0085313B" w:rsidP="0085313B">
      <w:pPr>
        <w:numPr>
          <w:ilvl w:val="0"/>
          <w:numId w:val="2"/>
        </w:numPr>
        <w:tabs>
          <w:tab w:val="left" w:pos="1134"/>
        </w:tabs>
        <w:suppressAutoHyphens/>
        <w:spacing w:before="120" w:after="120"/>
        <w:ind w:left="1134" w:hanging="567"/>
        <w:jc w:val="both"/>
        <w:rPr>
          <w:rFonts w:eastAsia="Calibri" w:cs="Times New Roman"/>
          <w:szCs w:val="24"/>
          <w:lang w:eastAsia="ar-SA"/>
        </w:rPr>
      </w:pPr>
      <w:r w:rsidRPr="00F4340B">
        <w:rPr>
          <w:rFonts w:eastAsia="Calibri" w:cs="Times New Roman"/>
          <w:szCs w:val="24"/>
          <w:lang w:eastAsia="ar-SA"/>
        </w:rPr>
        <w:t xml:space="preserve">2.kategorija – darbojas, bet nepieciešami atsevišķi pilnveidojumi: konstatēti atsevišķi trūkumi, kuriem ir vidēja ietekme uz ES fondu vadības un kontroles sistēmas darbību; </w:t>
      </w:r>
    </w:p>
    <w:p w14:paraId="1BF2269F" w14:textId="77777777" w:rsidR="0085313B" w:rsidRPr="00F4340B" w:rsidRDefault="0085313B" w:rsidP="0085313B">
      <w:pPr>
        <w:numPr>
          <w:ilvl w:val="0"/>
          <w:numId w:val="2"/>
        </w:numPr>
        <w:tabs>
          <w:tab w:val="left" w:pos="1134"/>
        </w:tabs>
        <w:suppressAutoHyphens/>
        <w:spacing w:before="120" w:after="120"/>
        <w:ind w:left="1134" w:hanging="567"/>
        <w:jc w:val="both"/>
        <w:rPr>
          <w:rFonts w:eastAsia="Calibri" w:cs="Times New Roman"/>
          <w:szCs w:val="24"/>
          <w:lang w:eastAsia="ar-SA"/>
        </w:rPr>
      </w:pPr>
      <w:r w:rsidRPr="00F4340B">
        <w:rPr>
          <w:rFonts w:eastAsia="Calibri" w:cs="Times New Roman"/>
          <w:szCs w:val="24"/>
          <w:lang w:eastAsia="ar-SA"/>
        </w:rPr>
        <w:lastRenderedPageBreak/>
        <w:t>3.kategorija – darbojas daļēji, ir nepieciešami būtiski pilnveidojumi: konstatēti trūkumi, kuriem ir būtiska ietekme uz ES fondu vadības un kontroles sistēmas darbību. Trūkumi ir sistēmiski un var radīt neatbilstības;</w:t>
      </w:r>
    </w:p>
    <w:p w14:paraId="33C0540A" w14:textId="77777777" w:rsidR="0085313B" w:rsidRPr="004C68CE" w:rsidRDefault="0085313B" w:rsidP="0085313B">
      <w:pPr>
        <w:numPr>
          <w:ilvl w:val="0"/>
          <w:numId w:val="2"/>
        </w:numPr>
        <w:tabs>
          <w:tab w:val="left" w:pos="1134"/>
        </w:tabs>
        <w:suppressAutoHyphens/>
        <w:spacing w:before="120" w:after="120"/>
        <w:ind w:left="1134" w:hanging="567"/>
        <w:jc w:val="both"/>
        <w:rPr>
          <w:rFonts w:eastAsia="Calibri" w:cs="Times New Roman"/>
          <w:szCs w:val="24"/>
          <w:lang w:eastAsia="ar-SA"/>
        </w:rPr>
      </w:pPr>
      <w:r w:rsidRPr="00F4340B">
        <w:rPr>
          <w:rFonts w:eastAsia="Calibri" w:cs="Times New Roman"/>
          <w:szCs w:val="24"/>
          <w:lang w:eastAsia="ar-SA"/>
        </w:rPr>
        <w:t xml:space="preserve">4.kategorija – nedarbojas: konstatēti būtiski trūkumi, kuru rezultātā ES fondu vadības un kontroles sistēma darbojas vāji vai nedarbojas nemaz. Trūkumi ir sistēmiski un var radīt </w:t>
      </w:r>
      <w:r w:rsidRPr="004C68CE">
        <w:rPr>
          <w:rFonts w:eastAsia="Calibri" w:cs="Times New Roman"/>
          <w:szCs w:val="24"/>
          <w:lang w:eastAsia="ar-SA"/>
        </w:rPr>
        <w:t>neatbilstības.</w:t>
      </w:r>
    </w:p>
    <w:p w14:paraId="7464D8E6" w14:textId="77777777" w:rsidR="0085313B" w:rsidRPr="004C68CE" w:rsidRDefault="0085313B" w:rsidP="0085313B">
      <w:pPr>
        <w:suppressAutoHyphens/>
        <w:spacing w:before="120" w:after="120"/>
        <w:ind w:left="567"/>
        <w:jc w:val="both"/>
        <w:rPr>
          <w:rFonts w:eastAsia="Calibri" w:cs="Times New Roman"/>
          <w:szCs w:val="24"/>
          <w:lang w:eastAsia="ar-SA"/>
        </w:rPr>
      </w:pPr>
      <w:r w:rsidRPr="004C68CE">
        <w:rPr>
          <w:rFonts w:eastAsia="Calibri" w:cs="Times New Roman"/>
          <w:szCs w:val="24"/>
          <w:u w:val="single"/>
          <w:lang w:eastAsia="ar-SA"/>
        </w:rPr>
        <w:t>2.posms:</w:t>
      </w:r>
      <w:r w:rsidRPr="004C68CE">
        <w:rPr>
          <w:rFonts w:eastAsia="Calibri" w:cs="Times New Roman"/>
          <w:szCs w:val="24"/>
          <w:lang w:eastAsia="ar-SA"/>
        </w:rPr>
        <w:t xml:space="preserve"> darbību jeb projektu revīzijas, kuru rezultātā tiek noteikts, vai projekta izdevumi ir likumīgi un atbilstoši.</w:t>
      </w:r>
    </w:p>
    <w:p w14:paraId="5BE1E484" w14:textId="77777777" w:rsidR="0085313B" w:rsidRPr="004C68CE" w:rsidRDefault="0085313B" w:rsidP="0085313B">
      <w:pPr>
        <w:suppressAutoHyphens/>
        <w:spacing w:before="120" w:after="120"/>
        <w:ind w:left="567"/>
        <w:jc w:val="both"/>
        <w:rPr>
          <w:rFonts w:eastAsia="Calibri" w:cs="Times New Roman"/>
          <w:i/>
          <w:iCs/>
          <w:szCs w:val="24"/>
          <w:lang w:eastAsia="ar-SA"/>
        </w:rPr>
      </w:pPr>
      <w:r w:rsidRPr="004C68CE">
        <w:rPr>
          <w:rFonts w:eastAsia="Calibri" w:cs="Times New Roman"/>
          <w:szCs w:val="24"/>
          <w:lang w:eastAsia="ar-SA"/>
        </w:rPr>
        <w:t xml:space="preserve">Projekti jeb projektu maksājuma pieprasījumi tiek atlasīti pēc statistikas teorijas pamatprincipiem, izmantojot Naudas vienību atlases metodi </w:t>
      </w:r>
      <w:r w:rsidRPr="004C68CE">
        <w:rPr>
          <w:rFonts w:eastAsia="Calibri" w:cs="Times New Roman"/>
          <w:i/>
          <w:iCs/>
          <w:szCs w:val="24"/>
          <w:lang w:eastAsia="ar-SA"/>
        </w:rPr>
        <w:t>(</w:t>
      </w:r>
      <w:proofErr w:type="spellStart"/>
      <w:r w:rsidRPr="004C68CE">
        <w:rPr>
          <w:rFonts w:eastAsia="Calibri" w:cs="Times New Roman"/>
          <w:i/>
          <w:iCs/>
          <w:szCs w:val="24"/>
          <w:lang w:eastAsia="ar-SA"/>
        </w:rPr>
        <w:t>Monetry</w:t>
      </w:r>
      <w:proofErr w:type="spellEnd"/>
      <w:r w:rsidRPr="004C68CE">
        <w:rPr>
          <w:rFonts w:eastAsia="Calibri" w:cs="Times New Roman"/>
          <w:i/>
          <w:iCs/>
          <w:szCs w:val="24"/>
          <w:lang w:eastAsia="ar-SA"/>
        </w:rPr>
        <w:t xml:space="preserve"> </w:t>
      </w:r>
      <w:proofErr w:type="spellStart"/>
      <w:r w:rsidRPr="004C68CE">
        <w:rPr>
          <w:rFonts w:eastAsia="Calibri" w:cs="Times New Roman"/>
          <w:i/>
          <w:iCs/>
          <w:szCs w:val="24"/>
          <w:lang w:eastAsia="ar-SA"/>
        </w:rPr>
        <w:t>Unit</w:t>
      </w:r>
      <w:proofErr w:type="spellEnd"/>
      <w:r w:rsidRPr="004C68CE">
        <w:rPr>
          <w:rFonts w:eastAsia="Calibri" w:cs="Times New Roman"/>
          <w:i/>
          <w:iCs/>
          <w:szCs w:val="24"/>
          <w:lang w:eastAsia="ar-SA"/>
        </w:rPr>
        <w:t xml:space="preserve"> </w:t>
      </w:r>
      <w:proofErr w:type="spellStart"/>
      <w:r w:rsidRPr="004C68CE">
        <w:rPr>
          <w:rFonts w:eastAsia="Calibri" w:cs="Times New Roman"/>
          <w:i/>
          <w:iCs/>
          <w:szCs w:val="24"/>
          <w:lang w:eastAsia="ar-SA"/>
        </w:rPr>
        <w:t>Sampling</w:t>
      </w:r>
      <w:proofErr w:type="spellEnd"/>
      <w:r w:rsidRPr="004C68CE">
        <w:rPr>
          <w:rFonts w:eastAsia="Calibri" w:cs="Times New Roman"/>
          <w:i/>
          <w:iCs/>
          <w:szCs w:val="24"/>
          <w:lang w:eastAsia="ar-SA"/>
        </w:rPr>
        <w:t>).</w:t>
      </w:r>
    </w:p>
    <w:p w14:paraId="04088AA0" w14:textId="77777777" w:rsidR="0085313B" w:rsidRPr="004C68CE" w:rsidRDefault="0085313B" w:rsidP="0085313B">
      <w:pPr>
        <w:suppressAutoHyphens/>
        <w:spacing w:before="120" w:after="120"/>
        <w:ind w:left="567"/>
        <w:jc w:val="both"/>
        <w:rPr>
          <w:rFonts w:eastAsia="Calibri" w:cs="Times New Roman"/>
          <w:szCs w:val="24"/>
          <w:lang w:eastAsia="ar-SA"/>
        </w:rPr>
      </w:pPr>
      <w:r w:rsidRPr="004C68CE">
        <w:rPr>
          <w:rFonts w:eastAsia="Calibri" w:cs="Times New Roman"/>
          <w:szCs w:val="24"/>
          <w:u w:val="single"/>
          <w:lang w:eastAsia="ar-SA"/>
        </w:rPr>
        <w:t>3.posms</w:t>
      </w:r>
      <w:r w:rsidRPr="004C68CE">
        <w:rPr>
          <w:rFonts w:eastAsia="Calibri" w:cs="Times New Roman"/>
          <w:szCs w:val="24"/>
          <w:lang w:eastAsia="ar-SA"/>
        </w:rPr>
        <w:t>: abu minēto revīziju rezultāti tiek apkopoti un noteikts kopējais atzinuma veids pēc sekojoša principa (skat. Tabulu Nr.2):</w:t>
      </w:r>
    </w:p>
    <w:p w14:paraId="56BADA77" w14:textId="77777777" w:rsidR="0085313B" w:rsidRPr="004F1233" w:rsidRDefault="0085313B" w:rsidP="0085313B">
      <w:pPr>
        <w:suppressAutoHyphens/>
        <w:spacing w:before="120" w:after="120"/>
        <w:ind w:left="567"/>
        <w:jc w:val="right"/>
        <w:rPr>
          <w:rFonts w:eastAsia="Calibri" w:cs="Times New Roman"/>
          <w:sz w:val="20"/>
          <w:szCs w:val="20"/>
          <w:lang w:eastAsia="ar-SA"/>
        </w:rPr>
      </w:pPr>
      <w:r w:rsidRPr="004F1233">
        <w:rPr>
          <w:rFonts w:eastAsia="Calibri" w:cs="Times New Roman"/>
          <w:sz w:val="20"/>
          <w:szCs w:val="20"/>
          <w:lang w:eastAsia="ar-SA"/>
        </w:rPr>
        <w:t>Tabula Nr.2</w:t>
      </w:r>
    </w:p>
    <w:tbl>
      <w:tblPr>
        <w:tblW w:w="909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011"/>
        <w:gridCol w:w="1984"/>
        <w:gridCol w:w="1985"/>
        <w:gridCol w:w="1701"/>
      </w:tblGrid>
      <w:tr w:rsidR="0085313B" w:rsidRPr="009A1A55" w14:paraId="09B8BDEF" w14:textId="77777777" w:rsidTr="00FC75CD">
        <w:trPr>
          <w:trHeight w:val="445"/>
        </w:trPr>
        <w:tc>
          <w:tcPr>
            <w:tcW w:w="1418" w:type="dxa"/>
            <w:vMerge w:val="restart"/>
            <w:shd w:val="pct10" w:color="auto" w:fill="auto"/>
            <w:vAlign w:val="center"/>
          </w:tcPr>
          <w:p w14:paraId="595BE5DD"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Sistēmu auditu novērtējums</w:t>
            </w:r>
          </w:p>
        </w:tc>
        <w:tc>
          <w:tcPr>
            <w:tcW w:w="3995" w:type="dxa"/>
            <w:gridSpan w:val="2"/>
            <w:tcBorders>
              <w:right w:val="single" w:sz="4" w:space="0" w:color="auto"/>
            </w:tcBorders>
            <w:shd w:val="pct10" w:color="auto" w:fill="auto"/>
            <w:vAlign w:val="center"/>
          </w:tcPr>
          <w:p w14:paraId="358E38EF"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Sertificēto izdevumu revīziju kļūdu līmenis</w:t>
            </w:r>
          </w:p>
        </w:tc>
        <w:tc>
          <w:tcPr>
            <w:tcW w:w="3686" w:type="dxa"/>
            <w:gridSpan w:val="2"/>
            <w:tcBorders>
              <w:left w:val="single" w:sz="4" w:space="0" w:color="auto"/>
            </w:tcBorders>
            <w:shd w:val="pct10" w:color="auto" w:fill="auto"/>
            <w:vAlign w:val="center"/>
          </w:tcPr>
          <w:p w14:paraId="2C2B0703"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Sistēmiska kļūda, kurai nevar novērtēt finanšu ietekmi</w:t>
            </w:r>
          </w:p>
        </w:tc>
      </w:tr>
      <w:tr w:rsidR="0085313B" w:rsidRPr="009A1A55" w14:paraId="4FD708E4" w14:textId="77777777" w:rsidTr="00FC75CD">
        <w:trPr>
          <w:trHeight w:val="537"/>
        </w:trPr>
        <w:tc>
          <w:tcPr>
            <w:tcW w:w="1418" w:type="dxa"/>
            <w:vMerge/>
            <w:tcBorders>
              <w:bottom w:val="single" w:sz="4" w:space="0" w:color="000000"/>
            </w:tcBorders>
            <w:shd w:val="pct10" w:color="auto" w:fill="auto"/>
          </w:tcPr>
          <w:p w14:paraId="0F5B2403" w14:textId="77777777" w:rsidR="0085313B" w:rsidRPr="004F1233" w:rsidRDefault="0085313B" w:rsidP="0085313B">
            <w:pPr>
              <w:overflowPunct w:val="0"/>
              <w:autoSpaceDE w:val="0"/>
              <w:autoSpaceDN w:val="0"/>
              <w:adjustRightInd w:val="0"/>
              <w:jc w:val="both"/>
              <w:textAlignment w:val="baseline"/>
              <w:rPr>
                <w:rFonts w:eastAsia="MS Mincho" w:cs="Times New Roman"/>
                <w:b/>
                <w:bCs/>
                <w:color w:val="000000"/>
                <w:sz w:val="20"/>
                <w:szCs w:val="20"/>
              </w:rPr>
            </w:pPr>
          </w:p>
        </w:tc>
        <w:tc>
          <w:tcPr>
            <w:tcW w:w="2011" w:type="dxa"/>
            <w:tcBorders>
              <w:top w:val="single" w:sz="4" w:space="0" w:color="auto"/>
              <w:right w:val="single" w:sz="4" w:space="0" w:color="auto"/>
            </w:tcBorders>
            <w:shd w:val="pct10" w:color="auto" w:fill="auto"/>
            <w:vAlign w:val="center"/>
          </w:tcPr>
          <w:p w14:paraId="368144AF"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Zem būtiskuma līmeņa (&lt; 2%)</w:t>
            </w:r>
          </w:p>
        </w:tc>
        <w:tc>
          <w:tcPr>
            <w:tcW w:w="1984" w:type="dxa"/>
            <w:tcBorders>
              <w:top w:val="single" w:sz="4" w:space="0" w:color="auto"/>
              <w:left w:val="single" w:sz="4" w:space="0" w:color="auto"/>
              <w:right w:val="single" w:sz="4" w:space="0" w:color="auto"/>
            </w:tcBorders>
            <w:shd w:val="pct10" w:color="auto" w:fill="auto"/>
            <w:vAlign w:val="center"/>
          </w:tcPr>
          <w:p w14:paraId="1834ACE4"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Virs būtiskuma līmeņa (&gt; 2%)</w:t>
            </w:r>
          </w:p>
        </w:tc>
        <w:tc>
          <w:tcPr>
            <w:tcW w:w="1985" w:type="dxa"/>
            <w:tcBorders>
              <w:top w:val="single" w:sz="4" w:space="0" w:color="auto"/>
              <w:left w:val="single" w:sz="4" w:space="0" w:color="auto"/>
            </w:tcBorders>
            <w:shd w:val="pct10" w:color="auto" w:fill="auto"/>
            <w:vAlign w:val="center"/>
          </w:tcPr>
          <w:p w14:paraId="37D96CF6"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Būtiska, bet ne visaptveroša</w:t>
            </w:r>
          </w:p>
        </w:tc>
        <w:tc>
          <w:tcPr>
            <w:tcW w:w="1701" w:type="dxa"/>
            <w:tcBorders>
              <w:top w:val="single" w:sz="4" w:space="0" w:color="auto"/>
            </w:tcBorders>
            <w:shd w:val="pct10" w:color="auto" w:fill="auto"/>
            <w:vAlign w:val="center"/>
          </w:tcPr>
          <w:p w14:paraId="2B35F3CF"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Būtiska un visaptveroša</w:t>
            </w:r>
          </w:p>
        </w:tc>
      </w:tr>
      <w:tr w:rsidR="0085313B" w:rsidRPr="009A1A55" w14:paraId="7B67E323" w14:textId="77777777" w:rsidTr="00FC75CD">
        <w:trPr>
          <w:trHeight w:val="573"/>
        </w:trPr>
        <w:tc>
          <w:tcPr>
            <w:tcW w:w="1418" w:type="dxa"/>
            <w:shd w:val="clear" w:color="auto" w:fill="D9D9D9"/>
            <w:vAlign w:val="center"/>
          </w:tcPr>
          <w:p w14:paraId="077CF19E" w14:textId="77777777" w:rsidR="0085313B" w:rsidRPr="004F1233" w:rsidRDefault="0085313B" w:rsidP="0085313B">
            <w:pPr>
              <w:overflowPunct w:val="0"/>
              <w:autoSpaceDE w:val="0"/>
              <w:autoSpaceDN w:val="0"/>
              <w:adjustRightInd w:val="0"/>
              <w:ind w:left="176" w:hanging="176"/>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1</w:t>
            </w:r>
          </w:p>
        </w:tc>
        <w:tc>
          <w:tcPr>
            <w:tcW w:w="2011" w:type="dxa"/>
            <w:shd w:val="clear" w:color="auto" w:fill="auto"/>
            <w:vAlign w:val="center"/>
          </w:tcPr>
          <w:p w14:paraId="5F4DE541"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 xml:space="preserve">Atzinums bez </w:t>
            </w:r>
            <w:proofErr w:type="spellStart"/>
            <w:r w:rsidRPr="004F1233">
              <w:rPr>
                <w:rFonts w:eastAsia="MS Mincho" w:cs="Times New Roman"/>
                <w:bCs/>
                <w:color w:val="000000"/>
                <w:sz w:val="20"/>
                <w:szCs w:val="20"/>
              </w:rPr>
              <w:t>iebildēm</w:t>
            </w:r>
            <w:proofErr w:type="spellEnd"/>
          </w:p>
        </w:tc>
        <w:tc>
          <w:tcPr>
            <w:tcW w:w="1984" w:type="dxa"/>
            <w:shd w:val="clear" w:color="auto" w:fill="auto"/>
            <w:vAlign w:val="center"/>
          </w:tcPr>
          <w:p w14:paraId="4A60EAEB"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 xml:space="preserve">Atzinums ar </w:t>
            </w:r>
            <w:proofErr w:type="spellStart"/>
            <w:r w:rsidRPr="004F1233">
              <w:rPr>
                <w:rFonts w:eastAsia="MS Mincho" w:cs="Times New Roman"/>
                <w:bCs/>
                <w:color w:val="000000"/>
                <w:sz w:val="20"/>
                <w:szCs w:val="20"/>
              </w:rPr>
              <w:t>iebildēm</w:t>
            </w:r>
            <w:proofErr w:type="spellEnd"/>
          </w:p>
        </w:tc>
        <w:tc>
          <w:tcPr>
            <w:tcW w:w="1985" w:type="dxa"/>
            <w:shd w:val="clear" w:color="auto" w:fill="auto"/>
            <w:vAlign w:val="center"/>
          </w:tcPr>
          <w:p w14:paraId="03212054"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w:t>
            </w:r>
          </w:p>
        </w:tc>
        <w:tc>
          <w:tcPr>
            <w:tcW w:w="1701" w:type="dxa"/>
            <w:shd w:val="clear" w:color="auto" w:fill="auto"/>
            <w:vAlign w:val="center"/>
          </w:tcPr>
          <w:p w14:paraId="28E1D9A9"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w:t>
            </w:r>
          </w:p>
        </w:tc>
      </w:tr>
      <w:tr w:rsidR="0085313B" w:rsidRPr="009A1A55" w14:paraId="0D386B06" w14:textId="77777777" w:rsidTr="00FC75CD">
        <w:trPr>
          <w:trHeight w:val="411"/>
        </w:trPr>
        <w:tc>
          <w:tcPr>
            <w:tcW w:w="1418" w:type="dxa"/>
            <w:shd w:val="clear" w:color="auto" w:fill="D9D9D9"/>
            <w:vAlign w:val="center"/>
          </w:tcPr>
          <w:p w14:paraId="5B81B624"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FF0000"/>
                <w:sz w:val="20"/>
                <w:szCs w:val="20"/>
              </w:rPr>
            </w:pPr>
            <w:r w:rsidRPr="004F1233">
              <w:rPr>
                <w:rFonts w:eastAsia="MS Mincho" w:cs="Times New Roman"/>
                <w:b/>
                <w:bCs/>
                <w:color w:val="FF0000"/>
                <w:sz w:val="20"/>
                <w:szCs w:val="20"/>
              </w:rPr>
              <w:t>2</w:t>
            </w:r>
          </w:p>
        </w:tc>
        <w:tc>
          <w:tcPr>
            <w:tcW w:w="2011" w:type="dxa"/>
            <w:shd w:val="clear" w:color="auto" w:fill="auto"/>
            <w:vAlign w:val="center"/>
          </w:tcPr>
          <w:p w14:paraId="1A3569CF"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FF0000"/>
                <w:sz w:val="20"/>
                <w:szCs w:val="20"/>
              </w:rPr>
            </w:pPr>
            <w:r w:rsidRPr="004F1233">
              <w:rPr>
                <w:rFonts w:eastAsia="MS Mincho" w:cs="Times New Roman"/>
                <w:b/>
                <w:bCs/>
                <w:color w:val="FF0000"/>
                <w:sz w:val="20"/>
                <w:szCs w:val="20"/>
              </w:rPr>
              <w:t xml:space="preserve">Atzinums bez </w:t>
            </w:r>
            <w:proofErr w:type="spellStart"/>
            <w:r w:rsidRPr="004F1233">
              <w:rPr>
                <w:rFonts w:eastAsia="MS Mincho" w:cs="Times New Roman"/>
                <w:b/>
                <w:bCs/>
                <w:color w:val="FF0000"/>
                <w:sz w:val="20"/>
                <w:szCs w:val="20"/>
              </w:rPr>
              <w:t>iebildēm</w:t>
            </w:r>
            <w:proofErr w:type="spellEnd"/>
          </w:p>
        </w:tc>
        <w:tc>
          <w:tcPr>
            <w:tcW w:w="1984" w:type="dxa"/>
            <w:shd w:val="clear" w:color="auto" w:fill="auto"/>
            <w:vAlign w:val="center"/>
          </w:tcPr>
          <w:p w14:paraId="0E28DECD"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 xml:space="preserve">Atzinums ar </w:t>
            </w:r>
            <w:proofErr w:type="spellStart"/>
            <w:r w:rsidRPr="004F1233">
              <w:rPr>
                <w:rFonts w:eastAsia="MS Mincho" w:cs="Times New Roman"/>
                <w:bCs/>
                <w:color w:val="000000"/>
                <w:sz w:val="20"/>
                <w:szCs w:val="20"/>
              </w:rPr>
              <w:t>iebildēm</w:t>
            </w:r>
            <w:proofErr w:type="spellEnd"/>
          </w:p>
        </w:tc>
        <w:tc>
          <w:tcPr>
            <w:tcW w:w="1985" w:type="dxa"/>
            <w:shd w:val="clear" w:color="auto" w:fill="auto"/>
            <w:vAlign w:val="center"/>
          </w:tcPr>
          <w:p w14:paraId="50F82594"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 xml:space="preserve">Atzinums ar </w:t>
            </w:r>
            <w:proofErr w:type="spellStart"/>
            <w:r w:rsidRPr="004F1233">
              <w:rPr>
                <w:rFonts w:eastAsia="MS Mincho" w:cs="Times New Roman"/>
                <w:bCs/>
                <w:color w:val="000000"/>
                <w:sz w:val="20"/>
                <w:szCs w:val="20"/>
              </w:rPr>
              <w:t>iebildēm</w:t>
            </w:r>
            <w:proofErr w:type="spellEnd"/>
          </w:p>
        </w:tc>
        <w:tc>
          <w:tcPr>
            <w:tcW w:w="1701" w:type="dxa"/>
            <w:shd w:val="clear" w:color="auto" w:fill="auto"/>
            <w:vAlign w:val="center"/>
          </w:tcPr>
          <w:p w14:paraId="5AC68711"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w:t>
            </w:r>
          </w:p>
        </w:tc>
      </w:tr>
      <w:tr w:rsidR="0085313B" w:rsidRPr="009A1A55" w14:paraId="42C42527" w14:textId="77777777" w:rsidTr="00FC75CD">
        <w:tc>
          <w:tcPr>
            <w:tcW w:w="1418" w:type="dxa"/>
            <w:shd w:val="clear" w:color="auto" w:fill="D9D9D9"/>
            <w:vAlign w:val="center"/>
          </w:tcPr>
          <w:p w14:paraId="486E8279"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3</w:t>
            </w:r>
          </w:p>
        </w:tc>
        <w:tc>
          <w:tcPr>
            <w:tcW w:w="2011" w:type="dxa"/>
            <w:shd w:val="clear" w:color="auto" w:fill="auto"/>
            <w:vAlign w:val="center"/>
          </w:tcPr>
          <w:p w14:paraId="529025C3"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 xml:space="preserve">Atzinums ar </w:t>
            </w:r>
            <w:proofErr w:type="spellStart"/>
            <w:r w:rsidRPr="004F1233">
              <w:rPr>
                <w:rFonts w:eastAsia="MS Mincho" w:cs="Times New Roman"/>
                <w:bCs/>
                <w:color w:val="000000"/>
                <w:sz w:val="20"/>
                <w:szCs w:val="20"/>
              </w:rPr>
              <w:t>iebildēm</w:t>
            </w:r>
            <w:proofErr w:type="spellEnd"/>
          </w:p>
        </w:tc>
        <w:tc>
          <w:tcPr>
            <w:tcW w:w="1984" w:type="dxa"/>
            <w:shd w:val="clear" w:color="auto" w:fill="auto"/>
            <w:vAlign w:val="center"/>
          </w:tcPr>
          <w:p w14:paraId="7F058074"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 xml:space="preserve">Atzinums ar </w:t>
            </w:r>
            <w:proofErr w:type="spellStart"/>
            <w:r w:rsidRPr="004F1233">
              <w:rPr>
                <w:rFonts w:eastAsia="MS Mincho" w:cs="Times New Roman"/>
                <w:bCs/>
                <w:color w:val="000000"/>
                <w:sz w:val="20"/>
                <w:szCs w:val="20"/>
              </w:rPr>
              <w:t>iebildēm</w:t>
            </w:r>
            <w:proofErr w:type="spellEnd"/>
            <w:r w:rsidRPr="004F1233">
              <w:rPr>
                <w:rFonts w:eastAsia="MS Mincho" w:cs="Times New Roman"/>
                <w:bCs/>
                <w:color w:val="000000"/>
                <w:sz w:val="20"/>
                <w:szCs w:val="20"/>
              </w:rPr>
              <w:t xml:space="preserve"> / Negatīvs atzinums</w:t>
            </w:r>
          </w:p>
        </w:tc>
        <w:tc>
          <w:tcPr>
            <w:tcW w:w="1985" w:type="dxa"/>
            <w:shd w:val="clear" w:color="auto" w:fill="auto"/>
            <w:vAlign w:val="center"/>
          </w:tcPr>
          <w:p w14:paraId="111DE172"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 xml:space="preserve">Atzinums ar </w:t>
            </w:r>
            <w:proofErr w:type="spellStart"/>
            <w:r w:rsidRPr="004F1233">
              <w:rPr>
                <w:rFonts w:eastAsia="MS Mincho" w:cs="Times New Roman"/>
                <w:bCs/>
                <w:color w:val="000000"/>
                <w:sz w:val="20"/>
                <w:szCs w:val="20"/>
              </w:rPr>
              <w:t>iebildēm</w:t>
            </w:r>
            <w:proofErr w:type="spellEnd"/>
            <w:r w:rsidRPr="004F1233">
              <w:rPr>
                <w:rFonts w:eastAsia="MS Mincho" w:cs="Times New Roman"/>
                <w:bCs/>
                <w:color w:val="000000"/>
                <w:sz w:val="20"/>
                <w:szCs w:val="20"/>
              </w:rPr>
              <w:t xml:space="preserve"> / Negatīvs atzinums</w:t>
            </w:r>
          </w:p>
        </w:tc>
        <w:tc>
          <w:tcPr>
            <w:tcW w:w="1701" w:type="dxa"/>
            <w:shd w:val="clear" w:color="auto" w:fill="auto"/>
            <w:vAlign w:val="center"/>
          </w:tcPr>
          <w:p w14:paraId="425E9D45"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Negatīvs atzinums</w:t>
            </w:r>
          </w:p>
        </w:tc>
      </w:tr>
      <w:tr w:rsidR="0085313B" w:rsidRPr="009A1A55" w14:paraId="682304DB" w14:textId="77777777" w:rsidTr="00FC75CD">
        <w:trPr>
          <w:trHeight w:val="443"/>
        </w:trPr>
        <w:tc>
          <w:tcPr>
            <w:tcW w:w="1418" w:type="dxa"/>
            <w:shd w:val="clear" w:color="auto" w:fill="D9D9D9"/>
            <w:vAlign w:val="center"/>
          </w:tcPr>
          <w:p w14:paraId="79D20EC6"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4</w:t>
            </w:r>
          </w:p>
        </w:tc>
        <w:tc>
          <w:tcPr>
            <w:tcW w:w="2011" w:type="dxa"/>
            <w:shd w:val="clear" w:color="auto" w:fill="auto"/>
            <w:vAlign w:val="center"/>
          </w:tcPr>
          <w:p w14:paraId="0A8DB852"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Negatīvs atzinums</w:t>
            </w:r>
          </w:p>
        </w:tc>
        <w:tc>
          <w:tcPr>
            <w:tcW w:w="1984" w:type="dxa"/>
            <w:shd w:val="clear" w:color="auto" w:fill="auto"/>
            <w:vAlign w:val="center"/>
          </w:tcPr>
          <w:p w14:paraId="79E4D4F6"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Negatīvs atzinums</w:t>
            </w:r>
          </w:p>
        </w:tc>
        <w:tc>
          <w:tcPr>
            <w:tcW w:w="1985" w:type="dxa"/>
            <w:shd w:val="clear" w:color="auto" w:fill="auto"/>
            <w:vAlign w:val="center"/>
          </w:tcPr>
          <w:p w14:paraId="5ACAE3E4"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Negatīvs atzinums</w:t>
            </w:r>
          </w:p>
        </w:tc>
        <w:tc>
          <w:tcPr>
            <w:tcW w:w="1701" w:type="dxa"/>
            <w:shd w:val="clear" w:color="auto" w:fill="auto"/>
            <w:vAlign w:val="center"/>
          </w:tcPr>
          <w:p w14:paraId="34958BDA"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Negatīvs atzinums</w:t>
            </w:r>
          </w:p>
        </w:tc>
      </w:tr>
      <w:tr w:rsidR="0085313B" w:rsidRPr="009A1A55" w14:paraId="5916FED3" w14:textId="77777777" w:rsidTr="00FC75CD">
        <w:tc>
          <w:tcPr>
            <w:tcW w:w="1418" w:type="dxa"/>
            <w:shd w:val="clear" w:color="auto" w:fill="D9D9D9"/>
            <w:vAlign w:val="center"/>
          </w:tcPr>
          <w:p w14:paraId="227E3D85" w14:textId="77777777" w:rsidR="0085313B" w:rsidRPr="004F1233" w:rsidRDefault="0085313B" w:rsidP="0085313B">
            <w:pPr>
              <w:overflowPunct w:val="0"/>
              <w:autoSpaceDE w:val="0"/>
              <w:autoSpaceDN w:val="0"/>
              <w:adjustRightInd w:val="0"/>
              <w:jc w:val="center"/>
              <w:textAlignment w:val="baseline"/>
              <w:rPr>
                <w:rFonts w:eastAsia="MS Mincho" w:cs="Times New Roman"/>
                <w:b/>
                <w:bCs/>
                <w:color w:val="000000"/>
                <w:sz w:val="20"/>
                <w:szCs w:val="20"/>
              </w:rPr>
            </w:pPr>
            <w:r w:rsidRPr="004F1233">
              <w:rPr>
                <w:rFonts w:eastAsia="MS Mincho" w:cs="Times New Roman"/>
                <w:b/>
                <w:bCs/>
                <w:color w:val="000000"/>
                <w:sz w:val="20"/>
                <w:szCs w:val="20"/>
              </w:rPr>
              <w:t>Trūkst informācijas</w:t>
            </w:r>
          </w:p>
        </w:tc>
        <w:tc>
          <w:tcPr>
            <w:tcW w:w="2011" w:type="dxa"/>
            <w:shd w:val="clear" w:color="auto" w:fill="auto"/>
            <w:vAlign w:val="center"/>
          </w:tcPr>
          <w:p w14:paraId="600AE9BC"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Atteikums sniegt atzinumu</w:t>
            </w:r>
          </w:p>
        </w:tc>
        <w:tc>
          <w:tcPr>
            <w:tcW w:w="1984" w:type="dxa"/>
            <w:shd w:val="clear" w:color="auto" w:fill="auto"/>
            <w:vAlign w:val="center"/>
          </w:tcPr>
          <w:p w14:paraId="1DB5CA02"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Atteikums sniegt atzinumu</w:t>
            </w:r>
          </w:p>
        </w:tc>
        <w:tc>
          <w:tcPr>
            <w:tcW w:w="1985" w:type="dxa"/>
            <w:shd w:val="clear" w:color="auto" w:fill="auto"/>
            <w:vAlign w:val="center"/>
          </w:tcPr>
          <w:p w14:paraId="62137A1A"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Atteikums sniegt atzinumu</w:t>
            </w:r>
          </w:p>
        </w:tc>
        <w:tc>
          <w:tcPr>
            <w:tcW w:w="1701" w:type="dxa"/>
            <w:shd w:val="clear" w:color="auto" w:fill="auto"/>
            <w:vAlign w:val="center"/>
          </w:tcPr>
          <w:p w14:paraId="20402D4F" w14:textId="77777777" w:rsidR="0085313B" w:rsidRPr="004F1233" w:rsidRDefault="0085313B" w:rsidP="0085313B">
            <w:pPr>
              <w:overflowPunct w:val="0"/>
              <w:autoSpaceDE w:val="0"/>
              <w:autoSpaceDN w:val="0"/>
              <w:adjustRightInd w:val="0"/>
              <w:jc w:val="center"/>
              <w:textAlignment w:val="baseline"/>
              <w:rPr>
                <w:rFonts w:eastAsia="MS Mincho" w:cs="Times New Roman"/>
                <w:bCs/>
                <w:color w:val="000000"/>
                <w:sz w:val="20"/>
                <w:szCs w:val="20"/>
              </w:rPr>
            </w:pPr>
            <w:r w:rsidRPr="004F1233">
              <w:rPr>
                <w:rFonts w:eastAsia="MS Mincho" w:cs="Times New Roman"/>
                <w:bCs/>
                <w:color w:val="000000"/>
                <w:sz w:val="20"/>
                <w:szCs w:val="20"/>
              </w:rPr>
              <w:t>Atteikums sniegt atzinumu</w:t>
            </w:r>
          </w:p>
        </w:tc>
      </w:tr>
    </w:tbl>
    <w:p w14:paraId="623AB74C" w14:textId="77777777" w:rsidR="0085313B" w:rsidRPr="004F1233" w:rsidRDefault="0085313B" w:rsidP="0085313B">
      <w:pPr>
        <w:suppressAutoHyphens/>
        <w:spacing w:before="240" w:after="120"/>
        <w:jc w:val="both"/>
        <w:rPr>
          <w:rFonts w:eastAsia="Calibri" w:cs="Times New Roman"/>
          <w:b/>
          <w:bCs/>
          <w:szCs w:val="24"/>
          <w:lang w:eastAsia="ar-SA"/>
        </w:rPr>
      </w:pPr>
      <w:r w:rsidRPr="004F1233">
        <w:rPr>
          <w:rFonts w:eastAsia="Calibri" w:cs="Times New Roman"/>
          <w:b/>
          <w:bCs/>
          <w:szCs w:val="24"/>
          <w:lang w:eastAsia="ar-SA"/>
        </w:rPr>
        <w:t>REVĪZIJAS IESTĀDES VEIKTĀ DARBA APJOMS</w:t>
      </w:r>
    </w:p>
    <w:p w14:paraId="0196C5DD" w14:textId="77777777" w:rsidR="0085313B" w:rsidRPr="004F1233" w:rsidRDefault="0085313B" w:rsidP="0085313B">
      <w:pPr>
        <w:suppressAutoHyphens/>
        <w:spacing w:before="120" w:after="120"/>
        <w:jc w:val="both"/>
        <w:rPr>
          <w:rFonts w:ascii="Times New Roman Bold" w:eastAsia="Calibri" w:hAnsi="Times New Roman Bold" w:cs="Times New Roman"/>
          <w:b/>
          <w:bCs/>
          <w:smallCaps/>
          <w:szCs w:val="24"/>
          <w:lang w:eastAsia="ar-SA"/>
        </w:rPr>
      </w:pPr>
      <w:r w:rsidRPr="004F1233">
        <w:rPr>
          <w:rFonts w:ascii="Times New Roman Bold" w:eastAsia="Calibri" w:hAnsi="Times New Roman Bold" w:cs="Times New Roman"/>
          <w:b/>
          <w:bCs/>
          <w:smallCaps/>
          <w:szCs w:val="24"/>
          <w:lang w:eastAsia="ar-SA"/>
        </w:rPr>
        <w:t>Sist</w:t>
      </w:r>
      <w:r w:rsidRPr="004F1233">
        <w:rPr>
          <w:rFonts w:ascii="Times New Roman Bold" w:eastAsia="Calibri" w:hAnsi="Times New Roman Bold" w:cs="Times New Roman" w:hint="eastAsia"/>
          <w:b/>
          <w:bCs/>
          <w:smallCaps/>
          <w:szCs w:val="24"/>
          <w:lang w:eastAsia="ar-SA"/>
        </w:rPr>
        <w:t>ē</w:t>
      </w:r>
      <w:r w:rsidRPr="004F1233">
        <w:rPr>
          <w:rFonts w:ascii="Times New Roman Bold" w:eastAsia="Calibri" w:hAnsi="Times New Roman Bold" w:cs="Times New Roman"/>
          <w:b/>
          <w:bCs/>
          <w:smallCaps/>
          <w:szCs w:val="24"/>
          <w:lang w:eastAsia="ar-SA"/>
        </w:rPr>
        <w:t>mu auditi</w:t>
      </w:r>
    </w:p>
    <w:p w14:paraId="10316E4E" w14:textId="77777777" w:rsidR="0085313B" w:rsidRPr="000043E2" w:rsidRDefault="0085313B" w:rsidP="001969BA">
      <w:pPr>
        <w:numPr>
          <w:ilvl w:val="0"/>
          <w:numId w:val="1"/>
        </w:numPr>
        <w:suppressAutoHyphens/>
        <w:spacing w:before="120" w:after="120"/>
        <w:ind w:left="567" w:hanging="567"/>
        <w:jc w:val="both"/>
        <w:rPr>
          <w:rFonts w:eastAsia="Calibri" w:cs="Times New Roman"/>
          <w:szCs w:val="24"/>
          <w:lang w:eastAsia="ar-SA"/>
        </w:rPr>
      </w:pPr>
      <w:r w:rsidRPr="000043E2">
        <w:rPr>
          <w:rFonts w:eastAsia="Calibri" w:cs="Times New Roman"/>
          <w:szCs w:val="24"/>
          <w:lang w:eastAsia="ar-SA"/>
        </w:rPr>
        <w:t>Revīzijas iestāde veica 1</w:t>
      </w:r>
      <w:r w:rsidR="000043E2" w:rsidRPr="000043E2">
        <w:rPr>
          <w:rFonts w:eastAsia="Calibri" w:cs="Times New Roman"/>
          <w:szCs w:val="24"/>
          <w:lang w:eastAsia="ar-SA"/>
        </w:rPr>
        <w:t>3</w:t>
      </w:r>
      <w:r w:rsidRPr="000043E2">
        <w:rPr>
          <w:rFonts w:eastAsia="Calibri" w:cs="Times New Roman"/>
          <w:szCs w:val="24"/>
          <w:lang w:eastAsia="ar-SA"/>
        </w:rPr>
        <w:t xml:space="preserve"> sistēmu auditus, aptverot visas ES fondu administrēšanā iesaistītās institūcijas</w:t>
      </w:r>
      <w:r w:rsidR="00013909" w:rsidRPr="000043E2">
        <w:rPr>
          <w:rFonts w:eastAsia="Calibri" w:cs="Times New Roman"/>
          <w:szCs w:val="24"/>
          <w:lang w:eastAsia="ar-SA"/>
        </w:rPr>
        <w:t>,</w:t>
      </w:r>
      <w:r w:rsidRPr="000043E2">
        <w:rPr>
          <w:rFonts w:eastAsia="Calibri" w:cs="Times New Roman"/>
          <w:szCs w:val="24"/>
          <w:lang w:eastAsia="ar-SA"/>
        </w:rPr>
        <w:t xml:space="preserve"> t</w:t>
      </w:r>
      <w:r w:rsidR="00013909" w:rsidRPr="000043E2">
        <w:rPr>
          <w:rFonts w:eastAsia="Calibri" w:cs="Times New Roman"/>
          <w:szCs w:val="24"/>
          <w:lang w:eastAsia="ar-SA"/>
        </w:rPr>
        <w:t xml:space="preserve">ai </w:t>
      </w:r>
      <w:r w:rsidRPr="000043E2">
        <w:rPr>
          <w:rFonts w:eastAsia="Calibri" w:cs="Times New Roman"/>
          <w:szCs w:val="24"/>
          <w:lang w:eastAsia="ar-SA"/>
        </w:rPr>
        <w:t>sk</w:t>
      </w:r>
      <w:r w:rsidR="00013909" w:rsidRPr="000043E2">
        <w:rPr>
          <w:rFonts w:eastAsia="Calibri" w:cs="Times New Roman"/>
          <w:szCs w:val="24"/>
          <w:lang w:eastAsia="ar-SA"/>
        </w:rPr>
        <w:t>aitā,</w:t>
      </w:r>
      <w:r w:rsidRPr="000043E2">
        <w:rPr>
          <w:rFonts w:eastAsia="Calibri" w:cs="Times New Roman"/>
          <w:szCs w:val="24"/>
          <w:lang w:eastAsia="ar-SA"/>
        </w:rPr>
        <w:t xml:space="preserve"> Revīzijas iestāde veica</w:t>
      </w:r>
      <w:r w:rsidR="009A1A55" w:rsidRPr="000043E2">
        <w:rPr>
          <w:rFonts w:eastAsia="Calibri" w:cs="Times New Roman"/>
          <w:szCs w:val="24"/>
          <w:lang w:eastAsia="ar-SA"/>
        </w:rPr>
        <w:t xml:space="preserve"> </w:t>
      </w:r>
      <w:r w:rsidR="000043E2" w:rsidRPr="000043E2">
        <w:rPr>
          <w:rFonts w:eastAsia="Calibri" w:cs="Times New Roman"/>
          <w:szCs w:val="24"/>
          <w:lang w:eastAsia="ar-SA"/>
        </w:rPr>
        <w:t>2</w:t>
      </w:r>
      <w:r w:rsidRPr="000043E2">
        <w:rPr>
          <w:rFonts w:eastAsia="Calibri" w:cs="Times New Roman"/>
          <w:szCs w:val="24"/>
          <w:lang w:eastAsia="ar-SA"/>
        </w:rPr>
        <w:t xml:space="preserve"> horizontālos sistēmu auditus tādās jomās kā </w:t>
      </w:r>
      <w:r w:rsidR="000043E2" w:rsidRPr="000043E2">
        <w:rPr>
          <w:rFonts w:eastAsia="Calibri" w:cs="Times New Roman"/>
          <w:szCs w:val="24"/>
          <w:lang w:eastAsia="ar-SA"/>
        </w:rPr>
        <w:t>neatbilstību administrēšanas sistēma</w:t>
      </w:r>
      <w:r w:rsidR="0001371E" w:rsidRPr="000043E2">
        <w:rPr>
          <w:szCs w:val="24"/>
        </w:rPr>
        <w:t xml:space="preserve"> un </w:t>
      </w:r>
      <w:r w:rsidR="000043E2" w:rsidRPr="000043E2">
        <w:rPr>
          <w:bCs/>
          <w:spacing w:val="-3"/>
          <w:szCs w:val="24"/>
        </w:rPr>
        <w:t>finanšu instrumenti</w:t>
      </w:r>
      <w:r w:rsidRPr="000043E2">
        <w:rPr>
          <w:rFonts w:eastAsia="Calibri" w:cs="Times New Roman"/>
          <w:szCs w:val="24"/>
          <w:lang w:eastAsia="ar-SA"/>
        </w:rPr>
        <w:t>. Apkopojot visu veikto sistēmu auditu rezultātus</w:t>
      </w:r>
      <w:r w:rsidR="00013909" w:rsidRPr="000043E2">
        <w:rPr>
          <w:rFonts w:eastAsia="Calibri" w:cs="Times New Roman"/>
          <w:szCs w:val="24"/>
          <w:lang w:eastAsia="ar-SA"/>
        </w:rPr>
        <w:t>,</w:t>
      </w:r>
      <w:r w:rsidRPr="000043E2">
        <w:rPr>
          <w:rFonts w:eastAsia="Calibri" w:cs="Times New Roman"/>
          <w:szCs w:val="24"/>
          <w:lang w:eastAsia="ar-SA"/>
        </w:rPr>
        <w:t xml:space="preserve"> Revīzijas iestāde nonāca pie secinājuma, ka Latvijā izveidotā ES fondu vadības un kontroles sistēma darbojas, bet </w:t>
      </w:r>
      <w:r w:rsidR="002B6A19" w:rsidRPr="000043E2">
        <w:rPr>
          <w:rFonts w:eastAsia="Calibri" w:cs="Times New Roman"/>
          <w:szCs w:val="24"/>
          <w:lang w:eastAsia="ar-SA"/>
        </w:rPr>
        <w:t xml:space="preserve">atsevišķās jomās </w:t>
      </w:r>
      <w:r w:rsidRPr="000043E2">
        <w:rPr>
          <w:rFonts w:eastAsia="Calibri" w:cs="Times New Roman"/>
          <w:szCs w:val="24"/>
          <w:lang w:eastAsia="ar-SA"/>
        </w:rPr>
        <w:t xml:space="preserve">uzlabojumi ir nepieciešami. </w:t>
      </w:r>
    </w:p>
    <w:p w14:paraId="53615099" w14:textId="77777777" w:rsidR="0085313B" w:rsidRPr="00FB33E3" w:rsidRDefault="0085313B" w:rsidP="001969BA">
      <w:pPr>
        <w:numPr>
          <w:ilvl w:val="0"/>
          <w:numId w:val="1"/>
        </w:numPr>
        <w:suppressAutoHyphens/>
        <w:spacing w:before="120" w:after="120"/>
        <w:ind w:left="567" w:hanging="567"/>
        <w:jc w:val="both"/>
        <w:rPr>
          <w:rFonts w:eastAsia="Calibri" w:cs="Times New Roman"/>
          <w:szCs w:val="24"/>
          <w:lang w:eastAsia="ar-SA"/>
        </w:rPr>
      </w:pPr>
      <w:r w:rsidRPr="00FB33E3">
        <w:rPr>
          <w:rFonts w:eastAsia="Calibri" w:cs="Times New Roman"/>
          <w:szCs w:val="24"/>
          <w:lang w:eastAsia="ar-SA"/>
        </w:rPr>
        <w:t>Institūcijas tika vērtētas atbilstoši 7 EK izvirzītajām pamatprasībām, kuras sastāv no 24 vērtēšanas kritērijiem. Nosakot kopējo novērtējumu, tika piemērots princips, ka institūcijas kopējais novērtējums nevar būt augstāks kā institūcijas zemākais kritērija/pamatprasības novērtējums.</w:t>
      </w:r>
    </w:p>
    <w:p w14:paraId="575DCDA4" w14:textId="42151040" w:rsidR="0085313B" w:rsidRPr="004F1233" w:rsidRDefault="0085313B" w:rsidP="001969BA">
      <w:pPr>
        <w:suppressAutoHyphens/>
        <w:spacing w:after="120"/>
        <w:ind w:left="567"/>
        <w:jc w:val="both"/>
        <w:rPr>
          <w:rFonts w:eastAsia="Calibri" w:cs="Times New Roman"/>
          <w:szCs w:val="24"/>
          <w:lang w:eastAsia="ar-SA"/>
        </w:rPr>
      </w:pPr>
      <w:r w:rsidRPr="004F1233">
        <w:rPr>
          <w:rFonts w:eastAsia="Calibri" w:cs="Times New Roman"/>
          <w:szCs w:val="24"/>
          <w:lang w:eastAsia="ar-SA"/>
        </w:rPr>
        <w:t xml:space="preserve">Detalizēts institūciju novērtējums atspoguļots </w:t>
      </w:r>
      <w:bookmarkStart w:id="0" w:name="_GoBack"/>
      <w:r w:rsidR="00EF439E">
        <w:rPr>
          <w:rFonts w:eastAsia="Calibri" w:cs="Times New Roman"/>
          <w:i/>
          <w:iCs/>
          <w:szCs w:val="24"/>
          <w:lang w:eastAsia="ar-SA"/>
        </w:rPr>
        <w:t>P</w:t>
      </w:r>
      <w:r w:rsidRPr="004F1233">
        <w:rPr>
          <w:rFonts w:eastAsia="Calibri" w:cs="Times New Roman"/>
          <w:i/>
          <w:iCs/>
          <w:szCs w:val="24"/>
          <w:lang w:eastAsia="ar-SA"/>
        </w:rPr>
        <w:t>ielik</w:t>
      </w:r>
      <w:bookmarkEnd w:id="0"/>
      <w:r w:rsidRPr="004F1233">
        <w:rPr>
          <w:rFonts w:eastAsia="Calibri" w:cs="Times New Roman"/>
          <w:i/>
          <w:iCs/>
          <w:szCs w:val="24"/>
          <w:lang w:eastAsia="ar-SA"/>
        </w:rPr>
        <w:t>umā</w:t>
      </w:r>
      <w:r w:rsidRPr="004F1233">
        <w:rPr>
          <w:rFonts w:eastAsia="Calibri" w:cs="Times New Roman"/>
          <w:szCs w:val="24"/>
          <w:lang w:eastAsia="ar-SA"/>
        </w:rPr>
        <w:t>.</w:t>
      </w:r>
    </w:p>
    <w:p w14:paraId="44A6FCD2" w14:textId="77777777" w:rsidR="0085313B" w:rsidRPr="004F1233" w:rsidRDefault="0085313B" w:rsidP="0085313B">
      <w:pPr>
        <w:suppressAutoHyphens/>
        <w:spacing w:after="120"/>
        <w:jc w:val="both"/>
        <w:rPr>
          <w:rFonts w:ascii="Times New Roman Bold" w:eastAsia="Calibri" w:hAnsi="Times New Roman Bold" w:cs="Times New Roman"/>
          <w:b/>
          <w:bCs/>
          <w:smallCaps/>
          <w:szCs w:val="24"/>
          <w:lang w:eastAsia="ar-SA"/>
        </w:rPr>
      </w:pPr>
      <w:r w:rsidRPr="004F1233">
        <w:rPr>
          <w:rFonts w:ascii="Times New Roman Bold" w:eastAsia="Calibri" w:hAnsi="Times New Roman Bold" w:cs="Times New Roman"/>
          <w:b/>
          <w:bCs/>
          <w:smallCaps/>
          <w:szCs w:val="24"/>
          <w:lang w:eastAsia="ar-SA"/>
        </w:rPr>
        <w:t>Projektu rev</w:t>
      </w:r>
      <w:r w:rsidRPr="004F1233">
        <w:rPr>
          <w:rFonts w:ascii="Times New Roman Bold" w:eastAsia="Calibri" w:hAnsi="Times New Roman Bold" w:cs="Times New Roman" w:hint="eastAsia"/>
          <w:b/>
          <w:bCs/>
          <w:smallCaps/>
          <w:szCs w:val="24"/>
          <w:lang w:eastAsia="ar-SA"/>
        </w:rPr>
        <w:t>ī</w:t>
      </w:r>
      <w:r w:rsidRPr="004F1233">
        <w:rPr>
          <w:rFonts w:ascii="Times New Roman Bold" w:eastAsia="Calibri" w:hAnsi="Times New Roman Bold" w:cs="Times New Roman"/>
          <w:b/>
          <w:bCs/>
          <w:smallCaps/>
          <w:szCs w:val="24"/>
          <w:lang w:eastAsia="ar-SA"/>
        </w:rPr>
        <w:t>zijas</w:t>
      </w:r>
    </w:p>
    <w:p w14:paraId="553DE1E0" w14:textId="77777777" w:rsidR="00077D2C" w:rsidRPr="009015D4" w:rsidRDefault="00545138" w:rsidP="009E118E">
      <w:pPr>
        <w:numPr>
          <w:ilvl w:val="0"/>
          <w:numId w:val="1"/>
        </w:numPr>
        <w:suppressAutoHyphens/>
        <w:spacing w:before="120" w:after="120"/>
        <w:ind w:left="567" w:hanging="567"/>
        <w:jc w:val="both"/>
        <w:rPr>
          <w:rFonts w:eastAsia="Calibri" w:cs="Times New Roman"/>
          <w:szCs w:val="24"/>
          <w:lang w:eastAsia="ar-SA"/>
        </w:rPr>
      </w:pPr>
      <w:r w:rsidRPr="009015D4">
        <w:rPr>
          <w:rFonts w:eastAsia="Calibri" w:cs="Times New Roman"/>
          <w:szCs w:val="24"/>
          <w:lang w:eastAsia="ar-SA"/>
        </w:rPr>
        <w:t>Revīzijas iestāde veica vienu standarta jeb regulāro</w:t>
      </w:r>
      <w:r w:rsidR="0085313B" w:rsidRPr="009015D4">
        <w:rPr>
          <w:rFonts w:eastAsia="Calibri" w:cs="Times New Roman"/>
          <w:szCs w:val="24"/>
          <w:lang w:eastAsia="ar-SA"/>
        </w:rPr>
        <w:t xml:space="preserve"> darbību </w:t>
      </w:r>
      <w:r w:rsidRPr="009015D4">
        <w:rPr>
          <w:rFonts w:eastAsia="Calibri" w:cs="Times New Roman"/>
          <w:szCs w:val="24"/>
          <w:lang w:eastAsia="ar-SA"/>
        </w:rPr>
        <w:t>revīziju, kurā</w:t>
      </w:r>
      <w:r w:rsidR="0085313B" w:rsidRPr="009015D4">
        <w:rPr>
          <w:rFonts w:eastAsia="Calibri" w:cs="Times New Roman"/>
          <w:szCs w:val="24"/>
          <w:lang w:eastAsia="ar-SA"/>
        </w:rPr>
        <w:t xml:space="preserve"> pārba</w:t>
      </w:r>
      <w:r w:rsidR="00F57BAD" w:rsidRPr="009015D4">
        <w:rPr>
          <w:rFonts w:eastAsia="Calibri" w:cs="Times New Roman"/>
          <w:szCs w:val="24"/>
          <w:lang w:eastAsia="ar-SA"/>
        </w:rPr>
        <w:t>u</w:t>
      </w:r>
      <w:r w:rsidR="00160007" w:rsidRPr="009015D4">
        <w:rPr>
          <w:rFonts w:eastAsia="Calibri" w:cs="Times New Roman"/>
          <w:szCs w:val="24"/>
          <w:lang w:eastAsia="ar-SA"/>
        </w:rPr>
        <w:t xml:space="preserve">dāmās </w:t>
      </w:r>
      <w:r w:rsidR="00160007" w:rsidRPr="00C1740B">
        <w:rPr>
          <w:rFonts w:eastAsia="Calibri" w:cs="Times New Roman"/>
          <w:szCs w:val="24"/>
          <w:lang w:eastAsia="ar-SA"/>
        </w:rPr>
        <w:t>vienības (projekti</w:t>
      </w:r>
      <w:r w:rsidR="0085313B" w:rsidRPr="00C1740B">
        <w:rPr>
          <w:rFonts w:eastAsia="Calibri" w:cs="Times New Roman"/>
          <w:szCs w:val="24"/>
          <w:lang w:eastAsia="ar-SA"/>
        </w:rPr>
        <w:t>) tika</w:t>
      </w:r>
      <w:r w:rsidR="0085313B" w:rsidRPr="009015D4">
        <w:rPr>
          <w:rFonts w:eastAsia="Calibri" w:cs="Times New Roman"/>
          <w:szCs w:val="24"/>
          <w:lang w:eastAsia="ar-SA"/>
        </w:rPr>
        <w:t xml:space="preserve"> atlasītas pēc statistikas teorijas pamatprincipiem un</w:t>
      </w:r>
      <w:r w:rsidR="00A354DD" w:rsidRPr="009015D4">
        <w:rPr>
          <w:rFonts w:eastAsia="Calibri" w:cs="Times New Roman"/>
          <w:szCs w:val="24"/>
          <w:lang w:eastAsia="ar-SA"/>
        </w:rPr>
        <w:t xml:space="preserve"> vienu papildu revīziju</w:t>
      </w:r>
      <w:r w:rsidRPr="009015D4">
        <w:rPr>
          <w:rFonts w:eastAsia="Calibri" w:cs="Times New Roman"/>
          <w:szCs w:val="24"/>
          <w:lang w:eastAsia="ar-SA"/>
        </w:rPr>
        <w:t>, kurā</w:t>
      </w:r>
      <w:r w:rsidR="0085313B" w:rsidRPr="009015D4">
        <w:rPr>
          <w:rFonts w:eastAsia="Calibri" w:cs="Times New Roman"/>
          <w:szCs w:val="24"/>
          <w:lang w:eastAsia="ar-SA"/>
        </w:rPr>
        <w:t xml:space="preserve"> pārbaudāmās vienības tika atlasītas</w:t>
      </w:r>
      <w:r w:rsidR="00013909" w:rsidRPr="009015D4">
        <w:rPr>
          <w:rFonts w:eastAsia="Calibri" w:cs="Times New Roman"/>
          <w:szCs w:val="24"/>
          <w:lang w:eastAsia="ar-SA"/>
        </w:rPr>
        <w:t>,</w:t>
      </w:r>
      <w:r w:rsidR="0085313B" w:rsidRPr="009015D4">
        <w:rPr>
          <w:rFonts w:eastAsia="Calibri" w:cs="Times New Roman"/>
          <w:szCs w:val="24"/>
          <w:lang w:eastAsia="ar-SA"/>
        </w:rPr>
        <w:t xml:space="preserve"> pamatojoties uz riska </w:t>
      </w:r>
      <w:proofErr w:type="spellStart"/>
      <w:r w:rsidR="009328E4" w:rsidRPr="009015D4">
        <w:rPr>
          <w:rFonts w:eastAsia="Calibri" w:cs="Times New Roman"/>
          <w:szCs w:val="24"/>
          <w:lang w:eastAsia="ar-SA"/>
        </w:rPr>
        <w:t>iz</w:t>
      </w:r>
      <w:r w:rsidR="0085313B" w:rsidRPr="009015D4">
        <w:rPr>
          <w:rFonts w:eastAsia="Calibri" w:cs="Times New Roman"/>
          <w:szCs w:val="24"/>
          <w:lang w:eastAsia="ar-SA"/>
        </w:rPr>
        <w:t>vērtējumu</w:t>
      </w:r>
      <w:proofErr w:type="spellEnd"/>
      <w:r w:rsidR="00160007" w:rsidRPr="009015D4">
        <w:rPr>
          <w:rFonts w:eastAsia="Calibri" w:cs="Times New Roman"/>
          <w:szCs w:val="24"/>
          <w:lang w:eastAsia="ar-SA"/>
        </w:rPr>
        <w:t xml:space="preserve"> un</w:t>
      </w:r>
      <w:r w:rsidRPr="009015D4">
        <w:rPr>
          <w:rFonts w:eastAsia="Calibri" w:cs="Times New Roman"/>
          <w:szCs w:val="24"/>
          <w:lang w:eastAsia="ar-SA"/>
        </w:rPr>
        <w:t xml:space="preserve"> </w:t>
      </w:r>
      <w:r w:rsidR="002B6A19" w:rsidRPr="009015D4">
        <w:rPr>
          <w:rFonts w:eastAsia="Calibri" w:cs="Times New Roman"/>
          <w:szCs w:val="24"/>
          <w:lang w:eastAsia="ar-SA"/>
        </w:rPr>
        <w:t xml:space="preserve">no </w:t>
      </w:r>
      <w:proofErr w:type="spellStart"/>
      <w:r w:rsidR="002B6A19" w:rsidRPr="009015D4">
        <w:rPr>
          <w:rFonts w:eastAsia="Calibri" w:cs="Times New Roman"/>
          <w:szCs w:val="24"/>
          <w:lang w:eastAsia="ar-SA"/>
        </w:rPr>
        <w:t>trešām</w:t>
      </w:r>
      <w:proofErr w:type="spellEnd"/>
      <w:r w:rsidR="002B6A19" w:rsidRPr="009015D4">
        <w:rPr>
          <w:rFonts w:eastAsia="Calibri" w:cs="Times New Roman"/>
          <w:szCs w:val="24"/>
          <w:lang w:eastAsia="ar-SA"/>
        </w:rPr>
        <w:t xml:space="preserve"> pusēm </w:t>
      </w:r>
      <w:r w:rsidRPr="009015D4">
        <w:rPr>
          <w:rFonts w:eastAsia="Calibri" w:cs="Times New Roman"/>
          <w:szCs w:val="24"/>
          <w:lang w:eastAsia="ar-SA"/>
        </w:rPr>
        <w:t xml:space="preserve">saņemto informāciju par iespējamajiem </w:t>
      </w:r>
      <w:r w:rsidR="002B6A19" w:rsidRPr="009015D4">
        <w:rPr>
          <w:rFonts w:eastAsia="Calibri" w:cs="Times New Roman"/>
          <w:szCs w:val="24"/>
          <w:lang w:eastAsia="ar-SA"/>
        </w:rPr>
        <w:t xml:space="preserve">pārkāpumiem </w:t>
      </w:r>
      <w:r w:rsidRPr="009015D4">
        <w:rPr>
          <w:rFonts w:eastAsia="Calibri" w:cs="Times New Roman"/>
          <w:szCs w:val="24"/>
          <w:lang w:eastAsia="ar-SA"/>
        </w:rPr>
        <w:t xml:space="preserve">ES fondu ietvaros realizētajos projektos. </w:t>
      </w:r>
      <w:r w:rsidR="009015D4" w:rsidRPr="009015D4">
        <w:rPr>
          <w:rFonts w:eastAsia="Calibri" w:cs="Times New Roman"/>
          <w:szCs w:val="24"/>
          <w:lang w:eastAsia="ar-SA"/>
        </w:rPr>
        <w:t xml:space="preserve">Sistēmas auditā </w:t>
      </w:r>
      <w:r w:rsidR="00160007" w:rsidRPr="009015D4">
        <w:rPr>
          <w:rFonts w:eastAsia="Calibri" w:cs="Times New Roman"/>
          <w:szCs w:val="24"/>
          <w:lang w:eastAsia="ar-SA"/>
        </w:rPr>
        <w:t xml:space="preserve">Sabiedrības integrācijas </w:t>
      </w:r>
      <w:r w:rsidR="009015D4" w:rsidRPr="009015D4">
        <w:rPr>
          <w:rFonts w:eastAsia="Calibri" w:cs="Times New Roman"/>
          <w:szCs w:val="24"/>
          <w:lang w:eastAsia="ar-SA"/>
        </w:rPr>
        <w:t>fond</w:t>
      </w:r>
      <w:r w:rsidR="004779B1">
        <w:rPr>
          <w:rFonts w:eastAsia="Calibri" w:cs="Times New Roman"/>
          <w:szCs w:val="24"/>
          <w:lang w:eastAsia="ar-SA"/>
        </w:rPr>
        <w:t>ā</w:t>
      </w:r>
      <w:r w:rsidR="009015D4" w:rsidRPr="009015D4">
        <w:rPr>
          <w:rFonts w:eastAsia="Calibri" w:cs="Times New Roman"/>
          <w:szCs w:val="24"/>
          <w:lang w:eastAsia="ar-SA"/>
        </w:rPr>
        <w:t xml:space="preserve"> </w:t>
      </w:r>
      <w:r w:rsidR="00160007" w:rsidRPr="009015D4">
        <w:rPr>
          <w:rFonts w:eastAsia="Calibri" w:cs="Times New Roman"/>
          <w:szCs w:val="24"/>
          <w:lang w:eastAsia="ar-SA"/>
        </w:rPr>
        <w:t xml:space="preserve">tika veiktas </w:t>
      </w:r>
      <w:r w:rsidR="009015D4">
        <w:rPr>
          <w:rFonts w:eastAsia="Calibri" w:cs="Times New Roman"/>
          <w:szCs w:val="24"/>
          <w:lang w:eastAsia="ar-SA"/>
        </w:rPr>
        <w:t xml:space="preserve">arī projektu </w:t>
      </w:r>
      <w:r w:rsidR="00160007" w:rsidRPr="009015D4">
        <w:rPr>
          <w:rFonts w:eastAsia="Calibri" w:cs="Times New Roman"/>
          <w:szCs w:val="24"/>
          <w:lang w:eastAsia="ar-SA"/>
        </w:rPr>
        <w:t>revīzijas</w:t>
      </w:r>
      <w:r w:rsidR="009015D4" w:rsidRPr="009015D4">
        <w:rPr>
          <w:rFonts w:eastAsia="Calibri" w:cs="Times New Roman"/>
          <w:szCs w:val="24"/>
          <w:lang w:eastAsia="ar-SA"/>
        </w:rPr>
        <w:t>, jo šīs</w:t>
      </w:r>
      <w:r w:rsidR="00160007" w:rsidRPr="009015D4">
        <w:rPr>
          <w:rFonts w:eastAsia="Calibri" w:cs="Times New Roman"/>
          <w:szCs w:val="24"/>
          <w:lang w:eastAsia="ar-SA"/>
        </w:rPr>
        <w:t xml:space="preserve"> sadarbības iestādes administrētie projekti nebija atlasīti citās </w:t>
      </w:r>
      <w:r w:rsidR="009015D4" w:rsidRPr="009015D4">
        <w:rPr>
          <w:rFonts w:eastAsia="Calibri" w:cs="Times New Roman"/>
          <w:szCs w:val="24"/>
          <w:lang w:eastAsia="ar-SA"/>
        </w:rPr>
        <w:t xml:space="preserve">2014.gada </w:t>
      </w:r>
      <w:r w:rsidR="00160007" w:rsidRPr="009015D4">
        <w:rPr>
          <w:rFonts w:eastAsia="Calibri" w:cs="Times New Roman"/>
          <w:szCs w:val="24"/>
          <w:lang w:eastAsia="ar-SA"/>
        </w:rPr>
        <w:t>revīzijās.</w:t>
      </w:r>
    </w:p>
    <w:p w14:paraId="420F2332" w14:textId="77777777" w:rsidR="0085313B" w:rsidRPr="00B60420" w:rsidRDefault="0085313B" w:rsidP="009E118E">
      <w:pPr>
        <w:numPr>
          <w:ilvl w:val="0"/>
          <w:numId w:val="1"/>
        </w:numPr>
        <w:suppressAutoHyphens/>
        <w:spacing w:before="120" w:after="120"/>
        <w:ind w:left="567" w:hanging="567"/>
        <w:jc w:val="both"/>
        <w:rPr>
          <w:rFonts w:eastAsia="Calibri" w:cs="Times New Roman"/>
          <w:szCs w:val="24"/>
          <w:lang w:eastAsia="ar-SA"/>
        </w:rPr>
      </w:pPr>
      <w:r w:rsidRPr="00B60420">
        <w:rPr>
          <w:rFonts w:eastAsia="Calibri" w:cs="Times New Roman"/>
          <w:szCs w:val="24"/>
          <w:lang w:eastAsia="ar-SA"/>
        </w:rPr>
        <w:lastRenderedPageBreak/>
        <w:t xml:space="preserve">Kopā tika pārbaudīti </w:t>
      </w:r>
      <w:r w:rsidR="00B60420" w:rsidRPr="00B60420">
        <w:rPr>
          <w:rFonts w:eastAsia="Calibri" w:cs="Times New Roman"/>
          <w:szCs w:val="24"/>
          <w:lang w:eastAsia="ar-SA"/>
        </w:rPr>
        <w:t>42</w:t>
      </w:r>
      <w:r w:rsidR="003E395B" w:rsidRPr="00B60420">
        <w:rPr>
          <w:rFonts w:eastAsia="Calibri" w:cs="Times New Roman"/>
          <w:szCs w:val="24"/>
          <w:lang w:eastAsia="ar-SA"/>
        </w:rPr>
        <w:t xml:space="preserve"> </w:t>
      </w:r>
      <w:r w:rsidR="003E395B" w:rsidRPr="00220710">
        <w:rPr>
          <w:rFonts w:eastAsia="Calibri" w:cs="Times New Roman"/>
          <w:szCs w:val="24"/>
          <w:lang w:eastAsia="ar-SA"/>
        </w:rPr>
        <w:t>projekt</w:t>
      </w:r>
      <w:r w:rsidR="00B60420" w:rsidRPr="00220710">
        <w:rPr>
          <w:rFonts w:eastAsia="Calibri" w:cs="Times New Roman"/>
          <w:szCs w:val="24"/>
          <w:lang w:eastAsia="ar-SA"/>
        </w:rPr>
        <w:t xml:space="preserve">u </w:t>
      </w:r>
      <w:r w:rsidR="00737A4C" w:rsidRPr="00220710">
        <w:rPr>
          <w:rFonts w:eastAsia="Calibri" w:cs="Times New Roman"/>
          <w:szCs w:val="24"/>
          <w:lang w:eastAsia="ar-SA"/>
        </w:rPr>
        <w:t>80</w:t>
      </w:r>
      <w:r w:rsidR="004779B1" w:rsidRPr="00220710">
        <w:rPr>
          <w:rFonts w:eastAsia="Calibri" w:cs="Times New Roman"/>
          <w:szCs w:val="24"/>
          <w:lang w:eastAsia="ar-SA"/>
        </w:rPr>
        <w:t xml:space="preserve"> </w:t>
      </w:r>
      <w:r w:rsidRPr="00220710">
        <w:rPr>
          <w:rFonts w:eastAsia="Calibri" w:cs="Times New Roman"/>
          <w:szCs w:val="24"/>
          <w:lang w:eastAsia="ar-SA"/>
        </w:rPr>
        <w:t>maksājumu</w:t>
      </w:r>
      <w:r w:rsidRPr="00B60420">
        <w:rPr>
          <w:rFonts w:eastAsia="Calibri" w:cs="Times New Roman"/>
          <w:szCs w:val="24"/>
          <w:lang w:eastAsia="ar-SA"/>
        </w:rPr>
        <w:t xml:space="preserve"> pieprasījumi</w:t>
      </w:r>
      <w:r w:rsidR="003E395B" w:rsidRPr="00B60420">
        <w:rPr>
          <w:rFonts w:eastAsia="Calibri" w:cs="Times New Roman"/>
          <w:szCs w:val="24"/>
          <w:lang w:eastAsia="ar-SA"/>
        </w:rPr>
        <w:t xml:space="preserve"> </w:t>
      </w:r>
      <w:r w:rsidR="00B60420" w:rsidRPr="00B60420">
        <w:rPr>
          <w:rFonts w:cs="Times New Roman"/>
          <w:szCs w:val="24"/>
        </w:rPr>
        <w:t>102 853 392,78</w:t>
      </w:r>
      <w:r w:rsidR="003E395B" w:rsidRPr="00B60420">
        <w:rPr>
          <w:rFonts w:eastAsia="Times New Roman" w:cs="Times New Roman"/>
          <w:szCs w:val="24"/>
          <w:lang w:eastAsia="lv-LV"/>
        </w:rPr>
        <w:t xml:space="preserve"> </w:t>
      </w:r>
      <w:r w:rsidR="00B60420" w:rsidRPr="00B60420">
        <w:rPr>
          <w:rFonts w:eastAsia="Calibri" w:cs="Times New Roman"/>
          <w:szCs w:val="24"/>
          <w:lang w:eastAsia="ar-SA"/>
        </w:rPr>
        <w:t>EUR</w:t>
      </w:r>
      <w:r w:rsidRPr="00B60420">
        <w:rPr>
          <w:rFonts w:eastAsia="Calibri" w:cs="Times New Roman"/>
          <w:szCs w:val="24"/>
          <w:lang w:eastAsia="ar-SA"/>
        </w:rPr>
        <w:t xml:space="preserve"> apmērā (skat. kopsavilkumu tabulā</w:t>
      </w:r>
      <w:r w:rsidR="009328E4" w:rsidRPr="00B60420">
        <w:rPr>
          <w:rFonts w:eastAsia="Calibri" w:cs="Times New Roman"/>
          <w:szCs w:val="24"/>
          <w:lang w:eastAsia="ar-SA"/>
        </w:rPr>
        <w:t xml:space="preserve"> </w:t>
      </w:r>
      <w:r w:rsidRPr="00B60420">
        <w:rPr>
          <w:rFonts w:eastAsia="Calibri" w:cs="Times New Roman"/>
          <w:szCs w:val="24"/>
          <w:lang w:eastAsia="ar-SA"/>
        </w:rPr>
        <w:t>Nr.3). Aprēķinot kopējo konst</w:t>
      </w:r>
      <w:r w:rsidR="00A53F64" w:rsidRPr="00B60420">
        <w:rPr>
          <w:rFonts w:eastAsia="Calibri" w:cs="Times New Roman"/>
          <w:szCs w:val="24"/>
          <w:lang w:eastAsia="ar-SA"/>
        </w:rPr>
        <w:t>atēto kļūdas līmeni izlasē, tika</w:t>
      </w:r>
      <w:r w:rsidRPr="00B60420">
        <w:rPr>
          <w:rFonts w:eastAsia="Calibri" w:cs="Times New Roman"/>
          <w:szCs w:val="24"/>
          <w:lang w:eastAsia="ar-SA"/>
        </w:rPr>
        <w:t xml:space="preserve"> ņemti vērā tikai regulā</w:t>
      </w:r>
      <w:r w:rsidR="00A53F64" w:rsidRPr="00B60420">
        <w:rPr>
          <w:rFonts w:eastAsia="Calibri" w:cs="Times New Roman"/>
          <w:szCs w:val="24"/>
          <w:lang w:eastAsia="ar-SA"/>
        </w:rPr>
        <w:t>rās revīzijas</w:t>
      </w:r>
      <w:r w:rsidR="00D135A9" w:rsidRPr="00B60420">
        <w:rPr>
          <w:rFonts w:eastAsia="Calibri" w:cs="Times New Roman"/>
          <w:szCs w:val="24"/>
          <w:lang w:eastAsia="ar-SA"/>
        </w:rPr>
        <w:t xml:space="preserve"> rezultāti, jo pārbaud</w:t>
      </w:r>
      <w:r w:rsidRPr="00B60420">
        <w:rPr>
          <w:rFonts w:eastAsia="Calibri" w:cs="Times New Roman"/>
          <w:szCs w:val="24"/>
          <w:lang w:eastAsia="ar-SA"/>
        </w:rPr>
        <w:t xml:space="preserve">āmās vienības </w:t>
      </w:r>
      <w:r w:rsidR="009328E4" w:rsidRPr="00B60420">
        <w:rPr>
          <w:rFonts w:eastAsia="Calibri" w:cs="Times New Roman"/>
          <w:szCs w:val="24"/>
          <w:lang w:eastAsia="ar-SA"/>
        </w:rPr>
        <w:t xml:space="preserve">ir reprezentatīvas, tā kā </w:t>
      </w:r>
      <w:r w:rsidRPr="00B60420">
        <w:rPr>
          <w:rFonts w:eastAsia="Calibri" w:cs="Times New Roman"/>
          <w:szCs w:val="24"/>
          <w:lang w:eastAsia="ar-SA"/>
        </w:rPr>
        <w:t>tiek atlasītas pēc statistikas teorijas pamatprincipiem.</w:t>
      </w:r>
    </w:p>
    <w:p w14:paraId="59C60051" w14:textId="77777777" w:rsidR="0085313B" w:rsidRPr="004F1233" w:rsidRDefault="0085313B" w:rsidP="0085313B">
      <w:pPr>
        <w:suppressAutoHyphens/>
        <w:spacing w:before="120" w:after="120"/>
        <w:ind w:left="567"/>
        <w:jc w:val="right"/>
        <w:rPr>
          <w:rFonts w:eastAsia="Calibri" w:cs="Times New Roman"/>
          <w:sz w:val="20"/>
          <w:szCs w:val="20"/>
          <w:lang w:eastAsia="ar-SA"/>
        </w:rPr>
      </w:pPr>
      <w:r w:rsidRPr="004F1233">
        <w:rPr>
          <w:rFonts w:eastAsia="Calibri" w:cs="Times New Roman"/>
          <w:sz w:val="20"/>
          <w:szCs w:val="20"/>
          <w:lang w:eastAsia="ar-SA"/>
        </w:rPr>
        <w:t>Tabula Nr.3</w:t>
      </w:r>
    </w:p>
    <w:tbl>
      <w:tblPr>
        <w:tblW w:w="9211"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15"/>
        <w:gridCol w:w="2040"/>
        <w:gridCol w:w="2016"/>
        <w:gridCol w:w="1540"/>
      </w:tblGrid>
      <w:tr w:rsidR="00545138" w:rsidRPr="00E278EF" w14:paraId="008B1132" w14:textId="77777777" w:rsidTr="00AD20F2">
        <w:trPr>
          <w:trHeight w:val="315"/>
          <w:jc w:val="right"/>
        </w:trPr>
        <w:tc>
          <w:tcPr>
            <w:tcW w:w="3615" w:type="dxa"/>
            <w:vMerge w:val="restart"/>
            <w:shd w:val="clear" w:color="auto" w:fill="F2F2F2"/>
            <w:vAlign w:val="bottom"/>
            <w:hideMark/>
          </w:tcPr>
          <w:p w14:paraId="1C070463" w14:textId="77777777" w:rsidR="0085313B" w:rsidRPr="00C1740B" w:rsidRDefault="0085313B" w:rsidP="00FB33E3">
            <w:pPr>
              <w:jc w:val="both"/>
              <w:rPr>
                <w:rFonts w:eastAsia="Times New Roman" w:cs="Times New Roman"/>
                <w:b/>
                <w:sz w:val="20"/>
                <w:szCs w:val="20"/>
                <w:lang w:eastAsia="lv-LV"/>
              </w:rPr>
            </w:pPr>
            <w:r w:rsidRPr="00C1740B">
              <w:rPr>
                <w:rFonts w:eastAsia="Times New Roman" w:cs="Times New Roman"/>
                <w:b/>
                <w:sz w:val="20"/>
                <w:szCs w:val="20"/>
                <w:lang w:eastAsia="lv-LV"/>
              </w:rPr>
              <w:t xml:space="preserve">Izlases </w:t>
            </w:r>
            <w:r w:rsidR="00545138" w:rsidRPr="00C1740B">
              <w:rPr>
                <w:rFonts w:eastAsia="Times New Roman" w:cs="Times New Roman"/>
                <w:b/>
                <w:sz w:val="20"/>
                <w:szCs w:val="20"/>
                <w:lang w:eastAsia="lv-LV"/>
              </w:rPr>
              <w:t>kopa (deklarētie izdevumi 201</w:t>
            </w:r>
            <w:r w:rsidR="00FB33E3" w:rsidRPr="00C1740B">
              <w:rPr>
                <w:rFonts w:eastAsia="Times New Roman" w:cs="Times New Roman"/>
                <w:b/>
                <w:sz w:val="20"/>
                <w:szCs w:val="20"/>
                <w:lang w:eastAsia="lv-LV"/>
              </w:rPr>
              <w:t>3</w:t>
            </w:r>
            <w:r w:rsidRPr="00C1740B">
              <w:rPr>
                <w:rFonts w:eastAsia="Times New Roman" w:cs="Times New Roman"/>
                <w:b/>
                <w:sz w:val="20"/>
                <w:szCs w:val="20"/>
                <w:lang w:eastAsia="lv-LV"/>
              </w:rPr>
              <w:t>.g.)</w:t>
            </w:r>
          </w:p>
        </w:tc>
        <w:tc>
          <w:tcPr>
            <w:tcW w:w="2040" w:type="dxa"/>
            <w:shd w:val="clear" w:color="auto" w:fill="F2F2F2"/>
            <w:vAlign w:val="center"/>
            <w:hideMark/>
          </w:tcPr>
          <w:p w14:paraId="543FFF17" w14:textId="77777777" w:rsidR="0085313B" w:rsidRPr="00C1740B" w:rsidRDefault="0085313B" w:rsidP="00FB33E3">
            <w:pPr>
              <w:jc w:val="center"/>
              <w:rPr>
                <w:rFonts w:eastAsia="Times New Roman" w:cs="Times New Roman"/>
                <w:b/>
                <w:sz w:val="20"/>
                <w:szCs w:val="20"/>
                <w:lang w:eastAsia="lv-LV"/>
              </w:rPr>
            </w:pPr>
            <w:r w:rsidRPr="00C1740B">
              <w:rPr>
                <w:rFonts w:eastAsia="Times New Roman" w:cs="Times New Roman"/>
                <w:b/>
                <w:sz w:val="20"/>
                <w:szCs w:val="20"/>
                <w:lang w:eastAsia="lv-LV"/>
              </w:rPr>
              <w:t>Vienības (</w:t>
            </w:r>
            <w:r w:rsidR="00FB33E3" w:rsidRPr="00C1740B">
              <w:rPr>
                <w:rFonts w:eastAsia="Times New Roman" w:cs="Times New Roman"/>
                <w:b/>
                <w:sz w:val="20"/>
                <w:szCs w:val="20"/>
                <w:lang w:eastAsia="lv-LV"/>
              </w:rPr>
              <w:t>projekti</w:t>
            </w:r>
            <w:r w:rsidRPr="00C1740B">
              <w:rPr>
                <w:rFonts w:eastAsia="Times New Roman" w:cs="Times New Roman"/>
                <w:b/>
                <w:sz w:val="20"/>
                <w:szCs w:val="20"/>
                <w:lang w:eastAsia="lv-LV"/>
              </w:rPr>
              <w:t>)</w:t>
            </w:r>
          </w:p>
        </w:tc>
        <w:tc>
          <w:tcPr>
            <w:tcW w:w="3556" w:type="dxa"/>
            <w:gridSpan w:val="2"/>
            <w:shd w:val="clear" w:color="auto" w:fill="auto"/>
            <w:vAlign w:val="center"/>
            <w:hideMark/>
          </w:tcPr>
          <w:p w14:paraId="3629E6E1" w14:textId="77777777" w:rsidR="0085313B" w:rsidRPr="00F4340B" w:rsidRDefault="00710743" w:rsidP="0085313B">
            <w:pPr>
              <w:jc w:val="center"/>
              <w:rPr>
                <w:rFonts w:eastAsia="Times New Roman" w:cs="Times New Roman"/>
                <w:color w:val="A6A6A6" w:themeColor="background1" w:themeShade="A6"/>
                <w:sz w:val="20"/>
                <w:szCs w:val="20"/>
                <w:lang w:eastAsia="lv-LV"/>
              </w:rPr>
            </w:pPr>
            <w:r w:rsidRPr="008F38BC">
              <w:rPr>
                <w:sz w:val="20"/>
                <w:szCs w:val="20"/>
                <w:lang w:val="en-GB"/>
              </w:rPr>
              <w:t>2 437</w:t>
            </w:r>
          </w:p>
        </w:tc>
      </w:tr>
      <w:tr w:rsidR="00545138" w:rsidRPr="00E278EF" w14:paraId="3139A7A2" w14:textId="77777777" w:rsidTr="00AD20F2">
        <w:trPr>
          <w:trHeight w:val="330"/>
          <w:jc w:val="right"/>
        </w:trPr>
        <w:tc>
          <w:tcPr>
            <w:tcW w:w="3615" w:type="dxa"/>
            <w:vMerge/>
            <w:shd w:val="clear" w:color="auto" w:fill="F2F2F2"/>
            <w:vAlign w:val="center"/>
            <w:hideMark/>
          </w:tcPr>
          <w:p w14:paraId="721F5B44" w14:textId="77777777" w:rsidR="0085313B" w:rsidRPr="00C1740B" w:rsidRDefault="0085313B" w:rsidP="0085313B">
            <w:pPr>
              <w:rPr>
                <w:rFonts w:eastAsia="Times New Roman" w:cs="Times New Roman"/>
                <w:b/>
                <w:color w:val="A6A6A6" w:themeColor="background1" w:themeShade="A6"/>
                <w:sz w:val="20"/>
                <w:szCs w:val="20"/>
                <w:lang w:eastAsia="lv-LV"/>
              </w:rPr>
            </w:pPr>
          </w:p>
        </w:tc>
        <w:tc>
          <w:tcPr>
            <w:tcW w:w="2040" w:type="dxa"/>
            <w:shd w:val="clear" w:color="auto" w:fill="F2F2F2"/>
            <w:vAlign w:val="center"/>
            <w:hideMark/>
          </w:tcPr>
          <w:p w14:paraId="37FD3112" w14:textId="77777777" w:rsidR="0085313B" w:rsidRPr="00C1740B" w:rsidRDefault="00F4340B" w:rsidP="0085313B">
            <w:pPr>
              <w:jc w:val="center"/>
              <w:rPr>
                <w:rFonts w:eastAsia="Times New Roman" w:cs="Times New Roman"/>
                <w:b/>
                <w:color w:val="A6A6A6" w:themeColor="background1" w:themeShade="A6"/>
                <w:sz w:val="20"/>
                <w:szCs w:val="20"/>
                <w:lang w:eastAsia="lv-LV"/>
              </w:rPr>
            </w:pPr>
            <w:r w:rsidRPr="00C1740B">
              <w:rPr>
                <w:rFonts w:eastAsia="Times New Roman" w:cs="Times New Roman"/>
                <w:b/>
                <w:sz w:val="20"/>
                <w:szCs w:val="20"/>
                <w:lang w:eastAsia="lv-LV"/>
              </w:rPr>
              <w:t>EUR</w:t>
            </w:r>
          </w:p>
        </w:tc>
        <w:tc>
          <w:tcPr>
            <w:tcW w:w="3556" w:type="dxa"/>
            <w:gridSpan w:val="2"/>
            <w:shd w:val="clear" w:color="auto" w:fill="auto"/>
            <w:vAlign w:val="center"/>
            <w:hideMark/>
          </w:tcPr>
          <w:p w14:paraId="07505E2D" w14:textId="77777777" w:rsidR="0085313B" w:rsidRPr="00F4340B" w:rsidRDefault="00710743" w:rsidP="0085313B">
            <w:pPr>
              <w:jc w:val="center"/>
              <w:rPr>
                <w:rFonts w:eastAsia="Times New Roman" w:cs="Times New Roman"/>
                <w:color w:val="A6A6A6" w:themeColor="background1" w:themeShade="A6"/>
                <w:sz w:val="20"/>
                <w:szCs w:val="20"/>
                <w:lang w:eastAsia="lv-LV"/>
              </w:rPr>
            </w:pPr>
            <w:r w:rsidRPr="008F38BC">
              <w:rPr>
                <w:sz w:val="20"/>
                <w:szCs w:val="20"/>
                <w:lang w:val="en-GB"/>
              </w:rPr>
              <w:t>936 583 267,07</w:t>
            </w:r>
          </w:p>
        </w:tc>
      </w:tr>
      <w:tr w:rsidR="00545138" w:rsidRPr="00E278EF" w14:paraId="2BDF9C9B" w14:textId="77777777" w:rsidTr="00AD20F2">
        <w:trPr>
          <w:trHeight w:val="315"/>
          <w:jc w:val="right"/>
        </w:trPr>
        <w:tc>
          <w:tcPr>
            <w:tcW w:w="3615" w:type="dxa"/>
            <w:shd w:val="clear" w:color="auto" w:fill="F2F2F2"/>
            <w:vAlign w:val="bottom"/>
            <w:hideMark/>
          </w:tcPr>
          <w:p w14:paraId="0BE0D00A" w14:textId="77777777" w:rsidR="0085313B" w:rsidRPr="00C1740B" w:rsidRDefault="0085313B" w:rsidP="0085313B">
            <w:pPr>
              <w:jc w:val="both"/>
              <w:rPr>
                <w:rFonts w:eastAsia="Times New Roman" w:cs="Times New Roman"/>
                <w:b/>
                <w:sz w:val="20"/>
                <w:szCs w:val="20"/>
                <w:lang w:eastAsia="lv-LV"/>
              </w:rPr>
            </w:pPr>
            <w:r w:rsidRPr="00C1740B">
              <w:rPr>
                <w:rFonts w:eastAsia="Times New Roman" w:cs="Times New Roman"/>
                <w:b/>
                <w:bCs/>
                <w:sz w:val="20"/>
                <w:szCs w:val="20"/>
                <w:lang w:eastAsia="lv-LV"/>
              </w:rPr>
              <w:t>Faktiski pārbaudītie izdevumi</w:t>
            </w:r>
          </w:p>
        </w:tc>
        <w:tc>
          <w:tcPr>
            <w:tcW w:w="2040" w:type="dxa"/>
            <w:shd w:val="clear" w:color="auto" w:fill="F2F2F2"/>
            <w:vAlign w:val="center"/>
            <w:hideMark/>
          </w:tcPr>
          <w:p w14:paraId="4A99CF79" w14:textId="77777777" w:rsidR="0085313B" w:rsidRPr="00C1740B" w:rsidRDefault="0085313B" w:rsidP="0085313B">
            <w:pPr>
              <w:jc w:val="center"/>
              <w:rPr>
                <w:rFonts w:eastAsia="Times New Roman" w:cs="Times New Roman"/>
                <w:b/>
                <w:sz w:val="20"/>
                <w:szCs w:val="20"/>
                <w:lang w:eastAsia="lv-LV"/>
              </w:rPr>
            </w:pPr>
            <w:r w:rsidRPr="00C1740B">
              <w:rPr>
                <w:rFonts w:eastAsia="Times New Roman" w:cs="Times New Roman"/>
                <w:b/>
                <w:sz w:val="20"/>
                <w:szCs w:val="20"/>
                <w:lang w:eastAsia="lv-LV"/>
              </w:rPr>
              <w:t>Regulārā revīzija</w:t>
            </w:r>
          </w:p>
        </w:tc>
        <w:tc>
          <w:tcPr>
            <w:tcW w:w="2016" w:type="dxa"/>
            <w:shd w:val="clear" w:color="auto" w:fill="F2F2F2"/>
            <w:vAlign w:val="center"/>
            <w:hideMark/>
          </w:tcPr>
          <w:p w14:paraId="09B92582" w14:textId="77777777" w:rsidR="0085313B" w:rsidRPr="00FB33E3" w:rsidRDefault="0085313B" w:rsidP="0085313B">
            <w:pPr>
              <w:jc w:val="center"/>
              <w:rPr>
                <w:rFonts w:eastAsia="Times New Roman" w:cs="Times New Roman"/>
                <w:b/>
                <w:sz w:val="20"/>
                <w:szCs w:val="20"/>
                <w:lang w:eastAsia="lv-LV"/>
              </w:rPr>
            </w:pPr>
            <w:r w:rsidRPr="00FB33E3">
              <w:rPr>
                <w:rFonts w:eastAsia="Times New Roman" w:cs="Times New Roman"/>
                <w:b/>
                <w:sz w:val="20"/>
                <w:szCs w:val="20"/>
                <w:lang w:eastAsia="lv-LV"/>
              </w:rPr>
              <w:t>Papildu revīzija</w:t>
            </w:r>
          </w:p>
        </w:tc>
        <w:tc>
          <w:tcPr>
            <w:tcW w:w="1540" w:type="dxa"/>
            <w:shd w:val="clear" w:color="auto" w:fill="F2F2F2"/>
            <w:vAlign w:val="center"/>
            <w:hideMark/>
          </w:tcPr>
          <w:p w14:paraId="1EE0A9D2" w14:textId="77777777" w:rsidR="0085313B" w:rsidRPr="00FB33E3" w:rsidRDefault="0085313B" w:rsidP="0085313B">
            <w:pPr>
              <w:jc w:val="center"/>
              <w:rPr>
                <w:rFonts w:eastAsia="Times New Roman" w:cs="Times New Roman"/>
                <w:b/>
                <w:sz w:val="20"/>
                <w:szCs w:val="20"/>
                <w:lang w:eastAsia="lv-LV"/>
              </w:rPr>
            </w:pPr>
            <w:r w:rsidRPr="00FB33E3">
              <w:rPr>
                <w:rFonts w:eastAsia="Times New Roman" w:cs="Times New Roman"/>
                <w:b/>
                <w:sz w:val="20"/>
                <w:szCs w:val="20"/>
                <w:lang w:eastAsia="lv-LV"/>
              </w:rPr>
              <w:t>Kopā</w:t>
            </w:r>
          </w:p>
        </w:tc>
      </w:tr>
      <w:tr w:rsidR="00545138" w:rsidRPr="00E278EF" w14:paraId="01FA35AE" w14:textId="77777777" w:rsidTr="00AD20F2">
        <w:trPr>
          <w:trHeight w:val="224"/>
          <w:jc w:val="right"/>
        </w:trPr>
        <w:tc>
          <w:tcPr>
            <w:tcW w:w="3615" w:type="dxa"/>
            <w:shd w:val="clear" w:color="auto" w:fill="F2F2F2"/>
            <w:vAlign w:val="bottom"/>
            <w:hideMark/>
          </w:tcPr>
          <w:p w14:paraId="3C87AC71" w14:textId="77777777" w:rsidR="0085313B" w:rsidRPr="00C1740B" w:rsidRDefault="0085313B" w:rsidP="0085313B">
            <w:pPr>
              <w:jc w:val="both"/>
              <w:rPr>
                <w:rFonts w:eastAsia="Times New Roman" w:cs="Times New Roman"/>
                <w:b/>
                <w:sz w:val="20"/>
                <w:szCs w:val="20"/>
                <w:lang w:eastAsia="lv-LV"/>
              </w:rPr>
            </w:pPr>
            <w:r w:rsidRPr="00C1740B">
              <w:rPr>
                <w:rFonts w:eastAsia="Times New Roman" w:cs="Times New Roman"/>
                <w:b/>
                <w:sz w:val="20"/>
                <w:szCs w:val="20"/>
                <w:lang w:eastAsia="lv-LV"/>
              </w:rPr>
              <w:t>Vienības (</w:t>
            </w:r>
            <w:r w:rsidR="00FB33E3" w:rsidRPr="00C1740B">
              <w:rPr>
                <w:rFonts w:eastAsia="Times New Roman" w:cs="Times New Roman"/>
                <w:b/>
                <w:sz w:val="20"/>
                <w:szCs w:val="20"/>
                <w:lang w:eastAsia="lv-LV"/>
              </w:rPr>
              <w:t>projekti</w:t>
            </w:r>
            <w:r w:rsidRPr="00C1740B">
              <w:rPr>
                <w:rFonts w:eastAsia="Times New Roman" w:cs="Times New Roman"/>
                <w:b/>
                <w:sz w:val="20"/>
                <w:szCs w:val="20"/>
                <w:lang w:eastAsia="lv-LV"/>
              </w:rPr>
              <w:t>)</w:t>
            </w:r>
            <w:r w:rsidR="002B6A19" w:rsidRPr="00C1740B">
              <w:rPr>
                <w:rFonts w:eastAsia="Times New Roman" w:cs="Times New Roman"/>
                <w:b/>
                <w:sz w:val="20"/>
                <w:szCs w:val="20"/>
                <w:lang w:eastAsia="lv-LV"/>
              </w:rPr>
              <w:t xml:space="preserve">, </w:t>
            </w:r>
            <w:proofErr w:type="spellStart"/>
            <w:r w:rsidR="002B6A19" w:rsidRPr="00C1740B">
              <w:rPr>
                <w:rFonts w:eastAsia="Times New Roman" w:cs="Times New Roman"/>
                <w:b/>
                <w:sz w:val="20"/>
                <w:szCs w:val="20"/>
                <w:lang w:eastAsia="lv-LV"/>
              </w:rPr>
              <w:t>gb</w:t>
            </w:r>
            <w:proofErr w:type="spellEnd"/>
            <w:r w:rsidR="002B6A19" w:rsidRPr="00C1740B">
              <w:rPr>
                <w:rFonts w:eastAsia="Times New Roman" w:cs="Times New Roman"/>
                <w:b/>
                <w:sz w:val="20"/>
                <w:szCs w:val="20"/>
                <w:lang w:eastAsia="lv-LV"/>
              </w:rPr>
              <w:t>.</w:t>
            </w:r>
          </w:p>
        </w:tc>
        <w:tc>
          <w:tcPr>
            <w:tcW w:w="2040" w:type="dxa"/>
            <w:shd w:val="clear" w:color="auto" w:fill="auto"/>
            <w:vAlign w:val="center"/>
            <w:hideMark/>
          </w:tcPr>
          <w:p w14:paraId="3BEF457D" w14:textId="77777777" w:rsidR="0085313B" w:rsidRPr="00C1740B" w:rsidRDefault="00FB33E3" w:rsidP="0085313B">
            <w:pPr>
              <w:jc w:val="center"/>
              <w:rPr>
                <w:rFonts w:eastAsia="Times New Roman" w:cs="Times New Roman"/>
                <w:sz w:val="20"/>
                <w:szCs w:val="20"/>
                <w:lang w:eastAsia="lv-LV"/>
              </w:rPr>
            </w:pPr>
            <w:r w:rsidRPr="00C1740B">
              <w:rPr>
                <w:sz w:val="20"/>
                <w:szCs w:val="20"/>
                <w:lang w:val="en-GB"/>
              </w:rPr>
              <w:t>30</w:t>
            </w:r>
          </w:p>
        </w:tc>
        <w:tc>
          <w:tcPr>
            <w:tcW w:w="2016" w:type="dxa"/>
            <w:shd w:val="clear" w:color="auto" w:fill="auto"/>
            <w:vAlign w:val="center"/>
            <w:hideMark/>
          </w:tcPr>
          <w:p w14:paraId="6549AF77" w14:textId="77777777" w:rsidR="0085313B" w:rsidRPr="00F4340B" w:rsidRDefault="00B60420" w:rsidP="0085313B">
            <w:pPr>
              <w:jc w:val="center"/>
              <w:rPr>
                <w:rFonts w:eastAsia="Times New Roman" w:cs="Times New Roman"/>
                <w:color w:val="A6A6A6" w:themeColor="background1" w:themeShade="A6"/>
                <w:sz w:val="20"/>
                <w:szCs w:val="20"/>
                <w:lang w:eastAsia="lv-LV"/>
              </w:rPr>
            </w:pPr>
            <w:r>
              <w:rPr>
                <w:rFonts w:eastAsia="Times New Roman" w:cs="Times New Roman"/>
                <w:sz w:val="20"/>
                <w:szCs w:val="20"/>
                <w:lang w:eastAsia="lv-LV"/>
              </w:rPr>
              <w:t>12</w:t>
            </w:r>
          </w:p>
        </w:tc>
        <w:tc>
          <w:tcPr>
            <w:tcW w:w="1540" w:type="dxa"/>
            <w:shd w:val="clear" w:color="auto" w:fill="auto"/>
            <w:vAlign w:val="center"/>
            <w:hideMark/>
          </w:tcPr>
          <w:p w14:paraId="56DD4704" w14:textId="77777777" w:rsidR="0085313B" w:rsidRPr="00DE6E73" w:rsidRDefault="00DE6E73" w:rsidP="00DE6E73">
            <w:pPr>
              <w:jc w:val="center"/>
              <w:rPr>
                <w:rFonts w:eastAsia="Times New Roman" w:cs="Times New Roman"/>
                <w:sz w:val="20"/>
                <w:szCs w:val="20"/>
                <w:lang w:eastAsia="lv-LV"/>
              </w:rPr>
            </w:pPr>
            <w:r w:rsidRPr="00DE6E73">
              <w:rPr>
                <w:rFonts w:eastAsia="Times New Roman" w:cs="Times New Roman"/>
                <w:sz w:val="20"/>
                <w:szCs w:val="20"/>
                <w:lang w:eastAsia="lv-LV"/>
              </w:rPr>
              <w:t>42</w:t>
            </w:r>
          </w:p>
        </w:tc>
      </w:tr>
      <w:tr w:rsidR="00545138" w:rsidRPr="00E278EF" w14:paraId="00880C87" w14:textId="77777777" w:rsidTr="00AD20F2">
        <w:trPr>
          <w:trHeight w:val="174"/>
          <w:jc w:val="right"/>
        </w:trPr>
        <w:tc>
          <w:tcPr>
            <w:tcW w:w="3615" w:type="dxa"/>
            <w:shd w:val="clear" w:color="auto" w:fill="F2F2F2"/>
            <w:vAlign w:val="bottom"/>
            <w:hideMark/>
          </w:tcPr>
          <w:p w14:paraId="76EA03CA" w14:textId="77777777" w:rsidR="0085313B" w:rsidRPr="00C1740B" w:rsidRDefault="0085313B" w:rsidP="00FB33E3">
            <w:pPr>
              <w:jc w:val="both"/>
              <w:rPr>
                <w:rFonts w:eastAsia="Times New Roman" w:cs="Times New Roman"/>
                <w:b/>
                <w:sz w:val="20"/>
                <w:szCs w:val="20"/>
                <w:lang w:eastAsia="lv-LV"/>
              </w:rPr>
            </w:pPr>
            <w:r w:rsidRPr="00C1740B">
              <w:rPr>
                <w:rFonts w:eastAsia="Times New Roman" w:cs="Times New Roman"/>
                <w:b/>
                <w:sz w:val="20"/>
                <w:szCs w:val="20"/>
                <w:lang w:eastAsia="lv-LV"/>
              </w:rPr>
              <w:t>Pārbaudītie izdevumi</w:t>
            </w:r>
            <w:r w:rsidR="002B6A19" w:rsidRPr="00C1740B">
              <w:rPr>
                <w:rFonts w:eastAsia="Times New Roman" w:cs="Times New Roman"/>
                <w:b/>
                <w:sz w:val="20"/>
                <w:szCs w:val="20"/>
                <w:lang w:eastAsia="lv-LV"/>
              </w:rPr>
              <w:t>,</w:t>
            </w:r>
            <w:r w:rsidRPr="00C1740B">
              <w:rPr>
                <w:rFonts w:eastAsia="Times New Roman" w:cs="Times New Roman"/>
                <w:b/>
                <w:sz w:val="20"/>
                <w:szCs w:val="20"/>
                <w:lang w:eastAsia="lv-LV"/>
              </w:rPr>
              <w:t xml:space="preserve"> </w:t>
            </w:r>
            <w:r w:rsidR="00FB33E3" w:rsidRPr="00C1740B">
              <w:rPr>
                <w:rFonts w:eastAsia="Times New Roman" w:cs="Times New Roman"/>
                <w:b/>
                <w:sz w:val="20"/>
                <w:szCs w:val="20"/>
                <w:lang w:eastAsia="lv-LV"/>
              </w:rPr>
              <w:t>EUR</w:t>
            </w:r>
          </w:p>
        </w:tc>
        <w:tc>
          <w:tcPr>
            <w:tcW w:w="2040" w:type="dxa"/>
            <w:shd w:val="clear" w:color="auto" w:fill="auto"/>
            <w:vAlign w:val="center"/>
            <w:hideMark/>
          </w:tcPr>
          <w:p w14:paraId="0AA04357" w14:textId="77777777" w:rsidR="0085313B" w:rsidRPr="00C1740B" w:rsidRDefault="00951AF5" w:rsidP="0085313B">
            <w:pPr>
              <w:jc w:val="center"/>
              <w:rPr>
                <w:rFonts w:eastAsia="Times New Roman" w:cs="Times New Roman"/>
                <w:color w:val="A6A6A6" w:themeColor="background1" w:themeShade="A6"/>
                <w:sz w:val="20"/>
                <w:szCs w:val="20"/>
                <w:lang w:eastAsia="lv-LV"/>
              </w:rPr>
            </w:pPr>
            <w:r w:rsidRPr="00C1740B">
              <w:rPr>
                <w:b/>
                <w:bCs/>
                <w:sz w:val="20"/>
                <w:szCs w:val="20"/>
                <w:lang w:val="en-GB"/>
              </w:rPr>
              <w:t>102 391 282,73</w:t>
            </w:r>
          </w:p>
        </w:tc>
        <w:tc>
          <w:tcPr>
            <w:tcW w:w="2016" w:type="dxa"/>
            <w:shd w:val="clear" w:color="auto" w:fill="auto"/>
            <w:vAlign w:val="center"/>
            <w:hideMark/>
          </w:tcPr>
          <w:p w14:paraId="41441AD3" w14:textId="77777777" w:rsidR="0085313B" w:rsidRPr="00AD20F2" w:rsidRDefault="00AD20F2" w:rsidP="00AD20F2">
            <w:pPr>
              <w:jc w:val="center"/>
              <w:rPr>
                <w:b/>
                <w:sz w:val="20"/>
                <w:szCs w:val="20"/>
              </w:rPr>
            </w:pPr>
            <w:r>
              <w:rPr>
                <w:b/>
                <w:sz w:val="20"/>
                <w:szCs w:val="20"/>
              </w:rPr>
              <w:t>462 110,</w:t>
            </w:r>
            <w:r w:rsidRPr="00AD20F2">
              <w:rPr>
                <w:b/>
                <w:sz w:val="20"/>
                <w:szCs w:val="20"/>
              </w:rPr>
              <w:t>05</w:t>
            </w:r>
          </w:p>
        </w:tc>
        <w:tc>
          <w:tcPr>
            <w:tcW w:w="1540" w:type="dxa"/>
            <w:shd w:val="clear" w:color="auto" w:fill="auto"/>
            <w:vAlign w:val="center"/>
            <w:hideMark/>
          </w:tcPr>
          <w:p w14:paraId="6CC5EFA9" w14:textId="77777777" w:rsidR="0085313B" w:rsidRPr="00AD20F2" w:rsidRDefault="00AD20F2" w:rsidP="00AD20F2">
            <w:pPr>
              <w:jc w:val="center"/>
              <w:rPr>
                <w:rFonts w:cs="Times New Roman"/>
                <w:b/>
                <w:color w:val="000000"/>
                <w:sz w:val="20"/>
                <w:szCs w:val="20"/>
              </w:rPr>
            </w:pPr>
            <w:r w:rsidRPr="00AD20F2">
              <w:rPr>
                <w:rFonts w:cs="Times New Roman"/>
                <w:b/>
                <w:color w:val="000000"/>
                <w:sz w:val="20"/>
                <w:szCs w:val="20"/>
              </w:rPr>
              <w:t>102</w:t>
            </w:r>
            <w:r>
              <w:rPr>
                <w:rFonts w:cs="Times New Roman"/>
                <w:b/>
                <w:color w:val="000000"/>
                <w:sz w:val="20"/>
                <w:szCs w:val="20"/>
              </w:rPr>
              <w:t xml:space="preserve"> </w:t>
            </w:r>
            <w:r w:rsidRPr="00AD20F2">
              <w:rPr>
                <w:rFonts w:cs="Times New Roman"/>
                <w:b/>
                <w:color w:val="000000"/>
                <w:sz w:val="20"/>
                <w:szCs w:val="20"/>
              </w:rPr>
              <w:t>853</w:t>
            </w:r>
            <w:r>
              <w:rPr>
                <w:rFonts w:cs="Times New Roman"/>
                <w:b/>
                <w:color w:val="000000"/>
                <w:sz w:val="20"/>
                <w:szCs w:val="20"/>
              </w:rPr>
              <w:t xml:space="preserve"> </w:t>
            </w:r>
            <w:r w:rsidRPr="00AD20F2">
              <w:rPr>
                <w:rFonts w:cs="Times New Roman"/>
                <w:b/>
                <w:color w:val="000000"/>
                <w:sz w:val="20"/>
                <w:szCs w:val="20"/>
              </w:rPr>
              <w:t>392,78</w:t>
            </w:r>
          </w:p>
        </w:tc>
      </w:tr>
      <w:tr w:rsidR="00951AF5" w:rsidRPr="00E278EF" w14:paraId="46116991" w14:textId="77777777" w:rsidTr="00AD20F2">
        <w:trPr>
          <w:trHeight w:val="348"/>
          <w:jc w:val="right"/>
        </w:trPr>
        <w:tc>
          <w:tcPr>
            <w:tcW w:w="3615" w:type="dxa"/>
            <w:shd w:val="clear" w:color="auto" w:fill="F2F2F2" w:themeFill="background1" w:themeFillShade="F2"/>
            <w:vAlign w:val="bottom"/>
            <w:hideMark/>
          </w:tcPr>
          <w:p w14:paraId="7E553A55" w14:textId="77777777" w:rsidR="00951AF5" w:rsidRPr="00951AF5" w:rsidRDefault="00951AF5" w:rsidP="00951AF5">
            <w:pPr>
              <w:jc w:val="both"/>
              <w:rPr>
                <w:rFonts w:eastAsia="Times New Roman" w:cs="Times New Roman"/>
                <w:b/>
                <w:sz w:val="20"/>
                <w:szCs w:val="20"/>
                <w:lang w:eastAsia="lv-LV"/>
              </w:rPr>
            </w:pPr>
            <w:r w:rsidRPr="00951AF5">
              <w:rPr>
                <w:rFonts w:eastAsia="Times New Roman" w:cs="Times New Roman"/>
                <w:b/>
                <w:sz w:val="20"/>
                <w:szCs w:val="20"/>
                <w:lang w:eastAsia="lv-LV"/>
              </w:rPr>
              <w:t>Konstatēti neattiecināmie izdevumi</w:t>
            </w:r>
          </w:p>
          <w:p w14:paraId="26ABBDED" w14:textId="77777777" w:rsidR="00951AF5" w:rsidRPr="00951AF5" w:rsidRDefault="00951AF5" w:rsidP="00951AF5">
            <w:pPr>
              <w:jc w:val="both"/>
              <w:rPr>
                <w:rFonts w:eastAsia="Times New Roman" w:cs="Times New Roman"/>
                <w:b/>
                <w:sz w:val="20"/>
                <w:szCs w:val="20"/>
                <w:lang w:eastAsia="lv-LV"/>
              </w:rPr>
            </w:pPr>
            <w:r w:rsidRPr="00951AF5">
              <w:rPr>
                <w:rFonts w:eastAsia="Times New Roman" w:cs="Times New Roman"/>
                <w:b/>
                <w:sz w:val="20"/>
                <w:szCs w:val="20"/>
                <w:lang w:eastAsia="lv-LV"/>
              </w:rPr>
              <w:t>pārbaudītajā apjomā – izlasē, EUR</w:t>
            </w:r>
          </w:p>
        </w:tc>
        <w:tc>
          <w:tcPr>
            <w:tcW w:w="2040" w:type="dxa"/>
            <w:shd w:val="clear" w:color="auto" w:fill="auto"/>
            <w:vAlign w:val="center"/>
            <w:hideMark/>
          </w:tcPr>
          <w:p w14:paraId="25A1F375" w14:textId="77777777" w:rsidR="00951AF5" w:rsidRPr="00F4340B" w:rsidRDefault="00951AF5" w:rsidP="00951AF5">
            <w:pPr>
              <w:jc w:val="center"/>
              <w:rPr>
                <w:rFonts w:eastAsia="Times New Roman" w:cs="Times New Roman"/>
                <w:b/>
                <w:color w:val="A6A6A6" w:themeColor="background1" w:themeShade="A6"/>
                <w:sz w:val="20"/>
                <w:szCs w:val="20"/>
                <w:lang w:eastAsia="lv-LV"/>
              </w:rPr>
            </w:pPr>
            <w:r w:rsidRPr="008F38BC">
              <w:rPr>
                <w:b/>
                <w:bCs/>
                <w:sz w:val="20"/>
                <w:szCs w:val="20"/>
                <w:lang w:val="en-GB"/>
              </w:rPr>
              <w:t>1 021 266,88</w:t>
            </w:r>
          </w:p>
        </w:tc>
        <w:tc>
          <w:tcPr>
            <w:tcW w:w="2016" w:type="dxa"/>
            <w:shd w:val="clear" w:color="auto" w:fill="auto"/>
            <w:vAlign w:val="center"/>
            <w:hideMark/>
          </w:tcPr>
          <w:p w14:paraId="5105987C" w14:textId="77777777" w:rsidR="00951AF5" w:rsidRPr="00951AF5" w:rsidRDefault="00951AF5" w:rsidP="00951AF5">
            <w:pPr>
              <w:jc w:val="center"/>
              <w:rPr>
                <w:rFonts w:eastAsia="Times New Roman" w:cs="Times New Roman"/>
                <w:b/>
                <w:sz w:val="20"/>
                <w:szCs w:val="20"/>
                <w:lang w:eastAsia="lv-LV"/>
              </w:rPr>
            </w:pPr>
            <w:r w:rsidRPr="00951AF5">
              <w:rPr>
                <w:rFonts w:eastAsia="Times New Roman" w:cs="Times New Roman"/>
                <w:b/>
                <w:sz w:val="20"/>
                <w:szCs w:val="20"/>
                <w:lang w:eastAsia="lv-LV"/>
              </w:rPr>
              <w:t>n/a</w:t>
            </w:r>
          </w:p>
        </w:tc>
        <w:tc>
          <w:tcPr>
            <w:tcW w:w="1540" w:type="dxa"/>
            <w:shd w:val="clear" w:color="auto" w:fill="auto"/>
            <w:vAlign w:val="center"/>
            <w:hideMark/>
          </w:tcPr>
          <w:p w14:paraId="5EB7A3BD" w14:textId="77777777" w:rsidR="00951AF5" w:rsidRPr="00F4340B" w:rsidRDefault="00951AF5" w:rsidP="00951AF5">
            <w:pPr>
              <w:jc w:val="center"/>
              <w:rPr>
                <w:rFonts w:eastAsia="Times New Roman" w:cs="Times New Roman"/>
                <w:b/>
                <w:color w:val="A6A6A6" w:themeColor="background1" w:themeShade="A6"/>
                <w:sz w:val="20"/>
                <w:szCs w:val="20"/>
                <w:lang w:eastAsia="lv-LV"/>
              </w:rPr>
            </w:pPr>
            <w:r w:rsidRPr="008F38BC">
              <w:rPr>
                <w:b/>
                <w:bCs/>
                <w:sz w:val="20"/>
                <w:szCs w:val="20"/>
                <w:lang w:val="en-GB"/>
              </w:rPr>
              <w:t>1 021 266,88</w:t>
            </w:r>
          </w:p>
        </w:tc>
      </w:tr>
      <w:tr w:rsidR="00545138" w:rsidRPr="00E278EF" w14:paraId="1C732F17" w14:textId="77777777" w:rsidTr="00AD20F2">
        <w:trPr>
          <w:trHeight w:val="60"/>
          <w:jc w:val="right"/>
        </w:trPr>
        <w:tc>
          <w:tcPr>
            <w:tcW w:w="3615" w:type="dxa"/>
            <w:shd w:val="clear" w:color="auto" w:fill="F2F2F2"/>
            <w:vAlign w:val="bottom"/>
          </w:tcPr>
          <w:p w14:paraId="250BCCB3" w14:textId="77777777" w:rsidR="0085313B" w:rsidRPr="00951AF5" w:rsidRDefault="00E97C09" w:rsidP="0085313B">
            <w:pPr>
              <w:jc w:val="both"/>
              <w:rPr>
                <w:rFonts w:eastAsia="Times New Roman" w:cs="Times New Roman"/>
                <w:b/>
                <w:sz w:val="20"/>
                <w:szCs w:val="20"/>
                <w:lang w:eastAsia="lv-LV"/>
              </w:rPr>
            </w:pPr>
            <w:r w:rsidRPr="00951AF5">
              <w:rPr>
                <w:rFonts w:eastAsia="Times New Roman" w:cs="Times New Roman"/>
                <w:b/>
                <w:bCs/>
                <w:sz w:val="20"/>
                <w:szCs w:val="20"/>
                <w:lang w:eastAsia="lv-LV"/>
              </w:rPr>
              <w:t>K</w:t>
            </w:r>
            <w:r w:rsidR="0085313B" w:rsidRPr="00951AF5">
              <w:rPr>
                <w:rFonts w:eastAsia="Times New Roman" w:cs="Times New Roman"/>
                <w:b/>
                <w:bCs/>
                <w:sz w:val="20"/>
                <w:szCs w:val="20"/>
                <w:lang w:eastAsia="lv-LV"/>
              </w:rPr>
              <w:t>ļūdas līmenis izlasē</w:t>
            </w:r>
          </w:p>
        </w:tc>
        <w:tc>
          <w:tcPr>
            <w:tcW w:w="2040" w:type="dxa"/>
            <w:tcBorders>
              <w:bottom w:val="single" w:sz="12" w:space="0" w:color="auto"/>
            </w:tcBorders>
            <w:shd w:val="clear" w:color="auto" w:fill="auto"/>
            <w:vAlign w:val="center"/>
          </w:tcPr>
          <w:p w14:paraId="50B8AD84" w14:textId="77777777" w:rsidR="0085313B" w:rsidRPr="00951AF5" w:rsidRDefault="00951AF5" w:rsidP="0085313B">
            <w:pPr>
              <w:jc w:val="center"/>
              <w:rPr>
                <w:rFonts w:eastAsia="Times New Roman" w:cs="Times New Roman"/>
                <w:sz w:val="20"/>
                <w:szCs w:val="20"/>
                <w:lang w:eastAsia="lv-LV"/>
              </w:rPr>
            </w:pPr>
            <w:r w:rsidRPr="00951AF5">
              <w:rPr>
                <w:rFonts w:eastAsia="Times New Roman" w:cs="Times New Roman"/>
                <w:sz w:val="20"/>
                <w:szCs w:val="20"/>
                <w:lang w:eastAsia="lv-LV"/>
              </w:rPr>
              <w:t>1,00</w:t>
            </w:r>
            <w:r w:rsidR="00515992" w:rsidRPr="00951AF5">
              <w:rPr>
                <w:rFonts w:eastAsia="Times New Roman" w:cs="Times New Roman"/>
                <w:sz w:val="20"/>
                <w:szCs w:val="20"/>
                <w:lang w:eastAsia="lv-LV"/>
              </w:rPr>
              <w:t>%</w:t>
            </w:r>
          </w:p>
        </w:tc>
        <w:tc>
          <w:tcPr>
            <w:tcW w:w="3556" w:type="dxa"/>
            <w:gridSpan w:val="2"/>
            <w:shd w:val="clear" w:color="auto" w:fill="auto"/>
            <w:vAlign w:val="center"/>
          </w:tcPr>
          <w:p w14:paraId="57E58D86" w14:textId="77777777" w:rsidR="0085313B" w:rsidRPr="00951AF5" w:rsidRDefault="0085313B" w:rsidP="0085313B">
            <w:pPr>
              <w:jc w:val="center"/>
              <w:rPr>
                <w:rFonts w:eastAsia="Times New Roman" w:cs="Times New Roman"/>
                <w:sz w:val="20"/>
                <w:szCs w:val="20"/>
                <w:lang w:eastAsia="lv-LV"/>
              </w:rPr>
            </w:pPr>
            <w:r w:rsidRPr="00951AF5">
              <w:rPr>
                <w:rFonts w:eastAsia="Times New Roman" w:cs="Times New Roman"/>
                <w:sz w:val="20"/>
                <w:szCs w:val="20"/>
                <w:lang w:eastAsia="lv-LV"/>
              </w:rPr>
              <w:t>-</w:t>
            </w:r>
          </w:p>
        </w:tc>
      </w:tr>
      <w:tr w:rsidR="00352E6A" w:rsidRPr="00E278EF" w14:paraId="77D30D8C" w14:textId="77777777" w:rsidTr="00AD20F2">
        <w:trPr>
          <w:trHeight w:val="60"/>
          <w:jc w:val="right"/>
        </w:trPr>
        <w:tc>
          <w:tcPr>
            <w:tcW w:w="3615" w:type="dxa"/>
            <w:tcBorders>
              <w:right w:val="single" w:sz="12" w:space="0" w:color="auto"/>
            </w:tcBorders>
            <w:shd w:val="clear" w:color="auto" w:fill="F2F2F2"/>
            <w:vAlign w:val="bottom"/>
          </w:tcPr>
          <w:p w14:paraId="09E23DEE" w14:textId="77777777" w:rsidR="00352E6A" w:rsidRPr="00951AF5" w:rsidRDefault="00352E6A" w:rsidP="00B928B5">
            <w:pPr>
              <w:jc w:val="both"/>
              <w:rPr>
                <w:rFonts w:eastAsia="Times New Roman" w:cs="Times New Roman"/>
                <w:b/>
                <w:bCs/>
                <w:sz w:val="20"/>
                <w:szCs w:val="20"/>
                <w:lang w:eastAsia="lv-LV"/>
              </w:rPr>
            </w:pPr>
            <w:r w:rsidRPr="00951AF5">
              <w:rPr>
                <w:rFonts w:eastAsia="Times New Roman" w:cs="Times New Roman"/>
                <w:b/>
                <w:bCs/>
                <w:sz w:val="20"/>
                <w:szCs w:val="20"/>
                <w:lang w:eastAsia="lv-LV"/>
              </w:rPr>
              <w:t xml:space="preserve">Kļūdas līmenis, kas attiecināts uz visu kopu </w:t>
            </w:r>
            <w:r w:rsidRPr="00951AF5">
              <w:rPr>
                <w:rFonts w:eastAsia="Times New Roman" w:cs="Times New Roman"/>
                <w:bCs/>
                <w:i/>
                <w:sz w:val="20"/>
                <w:szCs w:val="20"/>
                <w:lang w:eastAsia="lv-LV"/>
              </w:rPr>
              <w:t>(statistiski aprēķināts)</w:t>
            </w:r>
          </w:p>
        </w:tc>
        <w:tc>
          <w:tcPr>
            <w:tcW w:w="20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6E8C42" w14:textId="77777777" w:rsidR="00352E6A" w:rsidRPr="00951AF5" w:rsidRDefault="00951AF5" w:rsidP="0085313B">
            <w:pPr>
              <w:jc w:val="center"/>
              <w:rPr>
                <w:rFonts w:eastAsia="Times New Roman" w:cs="Times New Roman"/>
                <w:i/>
                <w:sz w:val="20"/>
                <w:szCs w:val="20"/>
                <w:lang w:eastAsia="lv-LV"/>
              </w:rPr>
            </w:pPr>
            <w:r w:rsidRPr="00951AF5">
              <w:rPr>
                <w:rFonts w:eastAsia="Times New Roman" w:cs="Times New Roman"/>
                <w:b/>
                <w:szCs w:val="24"/>
                <w:shd w:val="clear" w:color="auto" w:fill="F2F2F2" w:themeFill="background1" w:themeFillShade="F2"/>
                <w:lang w:eastAsia="lv-LV"/>
              </w:rPr>
              <w:t>0,93</w:t>
            </w:r>
            <w:r w:rsidR="00352E6A" w:rsidRPr="00951AF5">
              <w:rPr>
                <w:rFonts w:eastAsia="Times New Roman" w:cs="Times New Roman"/>
                <w:b/>
                <w:szCs w:val="24"/>
                <w:lang w:eastAsia="lv-LV"/>
              </w:rPr>
              <w:t>%</w:t>
            </w:r>
          </w:p>
        </w:tc>
        <w:tc>
          <w:tcPr>
            <w:tcW w:w="3556" w:type="dxa"/>
            <w:gridSpan w:val="2"/>
            <w:tcBorders>
              <w:left w:val="single" w:sz="12" w:space="0" w:color="auto"/>
            </w:tcBorders>
            <w:shd w:val="clear" w:color="auto" w:fill="auto"/>
            <w:vAlign w:val="center"/>
          </w:tcPr>
          <w:p w14:paraId="77078DAD" w14:textId="77777777" w:rsidR="00352E6A" w:rsidRPr="00951AF5" w:rsidRDefault="00352E6A" w:rsidP="0085313B">
            <w:pPr>
              <w:jc w:val="center"/>
              <w:rPr>
                <w:rFonts w:eastAsia="Times New Roman" w:cs="Times New Roman"/>
                <w:i/>
                <w:sz w:val="20"/>
                <w:szCs w:val="20"/>
                <w:lang w:eastAsia="lv-LV"/>
              </w:rPr>
            </w:pPr>
            <w:r w:rsidRPr="00951AF5">
              <w:rPr>
                <w:rFonts w:eastAsia="Times New Roman" w:cs="Times New Roman"/>
                <w:i/>
                <w:sz w:val="20"/>
                <w:szCs w:val="20"/>
                <w:lang w:eastAsia="lv-LV"/>
              </w:rPr>
              <w:t>-</w:t>
            </w:r>
          </w:p>
        </w:tc>
      </w:tr>
      <w:tr w:rsidR="00545138" w:rsidRPr="00E278EF" w14:paraId="7C90FEB9" w14:textId="77777777" w:rsidTr="00AD20F2">
        <w:trPr>
          <w:trHeight w:val="60"/>
          <w:jc w:val="right"/>
        </w:trPr>
        <w:tc>
          <w:tcPr>
            <w:tcW w:w="3615" w:type="dxa"/>
            <w:shd w:val="clear" w:color="auto" w:fill="F2F2F2"/>
            <w:vAlign w:val="bottom"/>
          </w:tcPr>
          <w:p w14:paraId="76BB9CAE" w14:textId="77777777" w:rsidR="007C6F44" w:rsidRPr="00951AF5" w:rsidRDefault="00B928B5" w:rsidP="00710D83">
            <w:pPr>
              <w:jc w:val="both"/>
              <w:rPr>
                <w:rFonts w:eastAsia="Times New Roman" w:cs="Times New Roman"/>
                <w:b/>
                <w:bCs/>
                <w:i/>
                <w:sz w:val="20"/>
                <w:szCs w:val="20"/>
                <w:lang w:eastAsia="lv-LV"/>
              </w:rPr>
            </w:pPr>
            <w:r w:rsidRPr="00951AF5">
              <w:rPr>
                <w:rFonts w:eastAsia="Times New Roman" w:cs="Times New Roman"/>
                <w:b/>
                <w:bCs/>
                <w:i/>
                <w:sz w:val="20"/>
                <w:szCs w:val="20"/>
                <w:lang w:eastAsia="lv-LV"/>
              </w:rPr>
              <w:t xml:space="preserve">Citi neattiecināmie izdevumi, kas konstatēti </w:t>
            </w:r>
            <w:r w:rsidR="007C6F44" w:rsidRPr="00951AF5">
              <w:rPr>
                <w:rFonts w:eastAsia="Times New Roman" w:cs="Times New Roman"/>
                <w:b/>
                <w:bCs/>
                <w:i/>
                <w:sz w:val="20"/>
                <w:szCs w:val="20"/>
                <w:lang w:eastAsia="lv-LV"/>
              </w:rPr>
              <w:t xml:space="preserve">ārpus </w:t>
            </w:r>
            <w:r w:rsidRPr="00951AF5">
              <w:rPr>
                <w:rFonts w:eastAsia="Times New Roman" w:cs="Times New Roman"/>
                <w:b/>
                <w:bCs/>
                <w:i/>
                <w:sz w:val="20"/>
                <w:szCs w:val="20"/>
                <w:lang w:eastAsia="lv-LV"/>
              </w:rPr>
              <w:t>izlases apjoma</w:t>
            </w:r>
            <w:r w:rsidR="00951AF5" w:rsidRPr="00951AF5">
              <w:rPr>
                <w:rFonts w:eastAsia="Times New Roman" w:cs="Times New Roman"/>
                <w:b/>
                <w:bCs/>
                <w:i/>
                <w:sz w:val="20"/>
                <w:szCs w:val="20"/>
                <w:lang w:eastAsia="lv-LV"/>
              </w:rPr>
              <w:t>, EUR</w:t>
            </w:r>
          </w:p>
        </w:tc>
        <w:tc>
          <w:tcPr>
            <w:tcW w:w="2040" w:type="dxa"/>
            <w:tcBorders>
              <w:top w:val="single" w:sz="12" w:space="0" w:color="auto"/>
            </w:tcBorders>
            <w:shd w:val="clear" w:color="auto" w:fill="auto"/>
            <w:vAlign w:val="center"/>
          </w:tcPr>
          <w:p w14:paraId="1676C3E9" w14:textId="77777777" w:rsidR="007C6F44" w:rsidRPr="00710743" w:rsidRDefault="00951AF5" w:rsidP="0085313B">
            <w:pPr>
              <w:jc w:val="center"/>
              <w:rPr>
                <w:rFonts w:eastAsia="Times New Roman" w:cs="Times New Roman"/>
                <w:i/>
                <w:color w:val="A6A6A6" w:themeColor="background1" w:themeShade="A6"/>
                <w:sz w:val="20"/>
                <w:szCs w:val="20"/>
                <w:lang w:eastAsia="lv-LV"/>
              </w:rPr>
            </w:pPr>
            <w:r w:rsidRPr="00710743">
              <w:rPr>
                <w:b/>
                <w:i/>
                <w:sz w:val="20"/>
                <w:szCs w:val="20"/>
              </w:rPr>
              <w:t>2 189 089,85</w:t>
            </w:r>
          </w:p>
        </w:tc>
        <w:tc>
          <w:tcPr>
            <w:tcW w:w="2016" w:type="dxa"/>
            <w:shd w:val="clear" w:color="auto" w:fill="auto"/>
            <w:vAlign w:val="center"/>
          </w:tcPr>
          <w:p w14:paraId="65468F7E" w14:textId="77777777" w:rsidR="007C6F44" w:rsidRPr="00710743" w:rsidRDefault="00710743" w:rsidP="0085313B">
            <w:pPr>
              <w:jc w:val="center"/>
              <w:rPr>
                <w:rFonts w:eastAsia="Times New Roman" w:cs="Times New Roman"/>
                <w:b/>
                <w:i/>
                <w:sz w:val="20"/>
                <w:szCs w:val="20"/>
                <w:lang w:eastAsia="lv-LV"/>
              </w:rPr>
            </w:pPr>
            <w:r w:rsidRPr="00710743">
              <w:rPr>
                <w:rFonts w:eastAsia="Times New Roman" w:cs="Times New Roman"/>
                <w:b/>
                <w:bCs/>
                <w:i/>
                <w:sz w:val="20"/>
                <w:szCs w:val="20"/>
                <w:lang w:eastAsia="lv-LV"/>
              </w:rPr>
              <w:t>18</w:t>
            </w:r>
            <w:r>
              <w:rPr>
                <w:rFonts w:eastAsia="Times New Roman" w:cs="Times New Roman"/>
                <w:b/>
                <w:bCs/>
                <w:i/>
                <w:sz w:val="20"/>
                <w:szCs w:val="20"/>
                <w:lang w:eastAsia="lv-LV"/>
              </w:rPr>
              <w:t xml:space="preserve"> </w:t>
            </w:r>
            <w:r w:rsidRPr="00710743">
              <w:rPr>
                <w:rFonts w:eastAsia="Times New Roman" w:cs="Times New Roman"/>
                <w:b/>
                <w:bCs/>
                <w:i/>
                <w:sz w:val="20"/>
                <w:szCs w:val="20"/>
                <w:lang w:eastAsia="lv-LV"/>
              </w:rPr>
              <w:t>831,44</w:t>
            </w:r>
          </w:p>
        </w:tc>
        <w:tc>
          <w:tcPr>
            <w:tcW w:w="1540" w:type="dxa"/>
            <w:shd w:val="clear" w:color="auto" w:fill="auto"/>
            <w:vAlign w:val="center"/>
          </w:tcPr>
          <w:p w14:paraId="5EFBCA69" w14:textId="77777777" w:rsidR="007C6F44" w:rsidRPr="00710743" w:rsidRDefault="00710743" w:rsidP="00710743">
            <w:pPr>
              <w:jc w:val="center"/>
              <w:rPr>
                <w:rFonts w:cs="Times New Roman"/>
                <w:b/>
                <w:i/>
                <w:color w:val="000000"/>
                <w:sz w:val="20"/>
                <w:szCs w:val="20"/>
              </w:rPr>
            </w:pPr>
            <w:r w:rsidRPr="00710743">
              <w:rPr>
                <w:rFonts w:cs="Times New Roman"/>
                <w:b/>
                <w:i/>
                <w:color w:val="000000"/>
                <w:sz w:val="20"/>
                <w:szCs w:val="20"/>
              </w:rPr>
              <w:t>2</w:t>
            </w:r>
            <w:r>
              <w:rPr>
                <w:rFonts w:cs="Times New Roman"/>
                <w:b/>
                <w:i/>
                <w:color w:val="000000"/>
                <w:sz w:val="20"/>
                <w:szCs w:val="20"/>
              </w:rPr>
              <w:t> </w:t>
            </w:r>
            <w:r w:rsidRPr="00710743">
              <w:rPr>
                <w:rFonts w:cs="Times New Roman"/>
                <w:b/>
                <w:i/>
                <w:color w:val="000000"/>
                <w:sz w:val="20"/>
                <w:szCs w:val="20"/>
              </w:rPr>
              <w:t>207</w:t>
            </w:r>
            <w:r>
              <w:rPr>
                <w:rFonts w:cs="Times New Roman"/>
                <w:b/>
                <w:i/>
                <w:color w:val="000000"/>
                <w:sz w:val="20"/>
                <w:szCs w:val="20"/>
              </w:rPr>
              <w:t xml:space="preserve"> </w:t>
            </w:r>
            <w:r w:rsidRPr="00710743">
              <w:rPr>
                <w:rFonts w:cs="Times New Roman"/>
                <w:b/>
                <w:i/>
                <w:color w:val="000000"/>
                <w:sz w:val="20"/>
                <w:szCs w:val="20"/>
              </w:rPr>
              <w:t>921</w:t>
            </w:r>
            <w:r>
              <w:rPr>
                <w:rFonts w:cs="Times New Roman"/>
                <w:b/>
                <w:i/>
                <w:color w:val="000000"/>
                <w:sz w:val="20"/>
                <w:szCs w:val="20"/>
              </w:rPr>
              <w:t>,</w:t>
            </w:r>
            <w:r w:rsidRPr="00710743">
              <w:rPr>
                <w:rFonts w:cs="Times New Roman"/>
                <w:b/>
                <w:i/>
                <w:color w:val="000000"/>
                <w:sz w:val="20"/>
                <w:szCs w:val="20"/>
              </w:rPr>
              <w:t>29</w:t>
            </w:r>
          </w:p>
        </w:tc>
      </w:tr>
      <w:tr w:rsidR="00710743" w:rsidRPr="00E278EF" w14:paraId="22EA1EE2" w14:textId="77777777" w:rsidTr="00AD20F2">
        <w:trPr>
          <w:trHeight w:val="60"/>
          <w:jc w:val="right"/>
        </w:trPr>
        <w:tc>
          <w:tcPr>
            <w:tcW w:w="3615" w:type="dxa"/>
            <w:shd w:val="clear" w:color="auto" w:fill="F2F2F2"/>
            <w:vAlign w:val="bottom"/>
          </w:tcPr>
          <w:p w14:paraId="61890494" w14:textId="77777777" w:rsidR="00710743" w:rsidRPr="00951AF5" w:rsidRDefault="00710743" w:rsidP="00710743">
            <w:pPr>
              <w:jc w:val="both"/>
              <w:rPr>
                <w:rFonts w:eastAsia="Times New Roman" w:cs="Times New Roman"/>
                <w:b/>
                <w:bCs/>
                <w:i/>
                <w:sz w:val="20"/>
                <w:szCs w:val="20"/>
                <w:lang w:eastAsia="lv-LV"/>
              </w:rPr>
            </w:pPr>
            <w:r w:rsidRPr="00951AF5">
              <w:rPr>
                <w:rFonts w:eastAsia="Times New Roman" w:cs="Times New Roman"/>
                <w:b/>
                <w:bCs/>
                <w:i/>
                <w:sz w:val="20"/>
                <w:szCs w:val="20"/>
                <w:lang w:eastAsia="lv-LV"/>
              </w:rPr>
              <w:t>Kopā konstatētie neattiecināmie izdevumi (t.sk. ārpus izlases apjoma), EUR</w:t>
            </w:r>
          </w:p>
        </w:tc>
        <w:tc>
          <w:tcPr>
            <w:tcW w:w="2040" w:type="dxa"/>
            <w:shd w:val="clear" w:color="auto" w:fill="auto"/>
            <w:vAlign w:val="center"/>
          </w:tcPr>
          <w:p w14:paraId="608187E4" w14:textId="77777777" w:rsidR="00710743" w:rsidRPr="00710743" w:rsidRDefault="00710743" w:rsidP="00710743">
            <w:pPr>
              <w:jc w:val="center"/>
              <w:rPr>
                <w:rFonts w:eastAsia="Times New Roman" w:cs="Times New Roman"/>
                <w:b/>
                <w:i/>
                <w:sz w:val="20"/>
                <w:szCs w:val="20"/>
                <w:lang w:eastAsia="lv-LV"/>
              </w:rPr>
            </w:pPr>
            <w:r w:rsidRPr="00710743">
              <w:rPr>
                <w:rFonts w:eastAsia="Times New Roman" w:cs="Times New Roman"/>
                <w:b/>
                <w:i/>
                <w:sz w:val="20"/>
                <w:szCs w:val="20"/>
                <w:lang w:eastAsia="lv-LV"/>
              </w:rPr>
              <w:t>3</w:t>
            </w:r>
            <w:r>
              <w:rPr>
                <w:rFonts w:eastAsia="Times New Roman" w:cs="Times New Roman"/>
                <w:b/>
                <w:i/>
                <w:sz w:val="20"/>
                <w:szCs w:val="20"/>
                <w:lang w:eastAsia="lv-LV"/>
              </w:rPr>
              <w:t xml:space="preserve"> </w:t>
            </w:r>
            <w:r w:rsidRPr="00710743">
              <w:rPr>
                <w:rFonts w:eastAsia="Times New Roman" w:cs="Times New Roman"/>
                <w:b/>
                <w:i/>
                <w:sz w:val="20"/>
                <w:szCs w:val="20"/>
                <w:lang w:eastAsia="lv-LV"/>
              </w:rPr>
              <w:t>210</w:t>
            </w:r>
            <w:r>
              <w:rPr>
                <w:rFonts w:eastAsia="Times New Roman" w:cs="Times New Roman"/>
                <w:b/>
                <w:i/>
                <w:sz w:val="20"/>
                <w:szCs w:val="20"/>
                <w:lang w:eastAsia="lv-LV"/>
              </w:rPr>
              <w:t xml:space="preserve"> </w:t>
            </w:r>
            <w:r w:rsidRPr="00710743">
              <w:rPr>
                <w:rFonts w:eastAsia="Times New Roman" w:cs="Times New Roman"/>
                <w:b/>
                <w:i/>
                <w:sz w:val="20"/>
                <w:szCs w:val="20"/>
                <w:lang w:eastAsia="lv-LV"/>
              </w:rPr>
              <w:t>356,73</w:t>
            </w:r>
          </w:p>
        </w:tc>
        <w:tc>
          <w:tcPr>
            <w:tcW w:w="2016" w:type="dxa"/>
            <w:shd w:val="clear" w:color="auto" w:fill="auto"/>
            <w:vAlign w:val="center"/>
          </w:tcPr>
          <w:p w14:paraId="644725C5" w14:textId="77777777" w:rsidR="00710743" w:rsidRPr="00710743" w:rsidRDefault="00710743" w:rsidP="00710743">
            <w:pPr>
              <w:jc w:val="center"/>
              <w:rPr>
                <w:rFonts w:eastAsia="Times New Roman" w:cs="Times New Roman"/>
                <w:b/>
                <w:i/>
                <w:sz w:val="20"/>
                <w:szCs w:val="20"/>
                <w:lang w:eastAsia="lv-LV"/>
              </w:rPr>
            </w:pPr>
            <w:r w:rsidRPr="00710743">
              <w:rPr>
                <w:rFonts w:eastAsia="Times New Roman" w:cs="Times New Roman"/>
                <w:b/>
                <w:bCs/>
                <w:i/>
                <w:sz w:val="20"/>
                <w:szCs w:val="20"/>
                <w:lang w:eastAsia="lv-LV"/>
              </w:rPr>
              <w:t>18</w:t>
            </w:r>
            <w:r>
              <w:rPr>
                <w:rFonts w:eastAsia="Times New Roman" w:cs="Times New Roman"/>
                <w:b/>
                <w:bCs/>
                <w:i/>
                <w:sz w:val="20"/>
                <w:szCs w:val="20"/>
                <w:lang w:eastAsia="lv-LV"/>
              </w:rPr>
              <w:t xml:space="preserve"> </w:t>
            </w:r>
            <w:r w:rsidRPr="00710743">
              <w:rPr>
                <w:rFonts w:eastAsia="Times New Roman" w:cs="Times New Roman"/>
                <w:b/>
                <w:bCs/>
                <w:i/>
                <w:sz w:val="20"/>
                <w:szCs w:val="20"/>
                <w:lang w:eastAsia="lv-LV"/>
              </w:rPr>
              <w:t>831,44</w:t>
            </w:r>
          </w:p>
        </w:tc>
        <w:tc>
          <w:tcPr>
            <w:tcW w:w="1540" w:type="dxa"/>
            <w:shd w:val="clear" w:color="auto" w:fill="auto"/>
            <w:vAlign w:val="center"/>
          </w:tcPr>
          <w:p w14:paraId="1880DEA5" w14:textId="77777777" w:rsidR="00710743" w:rsidRPr="00710743" w:rsidRDefault="00710743" w:rsidP="00710743">
            <w:pPr>
              <w:jc w:val="center"/>
              <w:rPr>
                <w:rFonts w:cs="Times New Roman"/>
                <w:b/>
                <w:i/>
                <w:color w:val="000000"/>
                <w:sz w:val="20"/>
                <w:szCs w:val="20"/>
              </w:rPr>
            </w:pPr>
            <w:r w:rsidRPr="00710743">
              <w:rPr>
                <w:rFonts w:cs="Times New Roman"/>
                <w:b/>
                <w:i/>
                <w:color w:val="000000"/>
                <w:sz w:val="20"/>
                <w:szCs w:val="20"/>
              </w:rPr>
              <w:t>3</w:t>
            </w:r>
            <w:r>
              <w:rPr>
                <w:rFonts w:cs="Times New Roman"/>
                <w:b/>
                <w:i/>
                <w:color w:val="000000"/>
                <w:sz w:val="20"/>
                <w:szCs w:val="20"/>
              </w:rPr>
              <w:t xml:space="preserve"> </w:t>
            </w:r>
            <w:r w:rsidRPr="00710743">
              <w:rPr>
                <w:rFonts w:cs="Times New Roman"/>
                <w:b/>
                <w:i/>
                <w:color w:val="000000"/>
                <w:sz w:val="20"/>
                <w:szCs w:val="20"/>
              </w:rPr>
              <w:t>229</w:t>
            </w:r>
            <w:r>
              <w:rPr>
                <w:rFonts w:cs="Times New Roman"/>
                <w:b/>
                <w:i/>
                <w:color w:val="000000"/>
                <w:sz w:val="20"/>
                <w:szCs w:val="20"/>
              </w:rPr>
              <w:t xml:space="preserve"> </w:t>
            </w:r>
            <w:r w:rsidRPr="00710743">
              <w:rPr>
                <w:rFonts w:cs="Times New Roman"/>
                <w:b/>
                <w:i/>
                <w:color w:val="000000"/>
                <w:sz w:val="20"/>
                <w:szCs w:val="20"/>
              </w:rPr>
              <w:t>188</w:t>
            </w:r>
            <w:r>
              <w:rPr>
                <w:rFonts w:cs="Times New Roman"/>
                <w:b/>
                <w:i/>
                <w:color w:val="000000"/>
                <w:sz w:val="20"/>
                <w:szCs w:val="20"/>
              </w:rPr>
              <w:t>,</w:t>
            </w:r>
            <w:r w:rsidRPr="00710743">
              <w:rPr>
                <w:rFonts w:cs="Times New Roman"/>
                <w:b/>
                <w:i/>
                <w:color w:val="000000"/>
                <w:sz w:val="20"/>
                <w:szCs w:val="20"/>
              </w:rPr>
              <w:t>17</w:t>
            </w:r>
          </w:p>
        </w:tc>
      </w:tr>
    </w:tbl>
    <w:p w14:paraId="0AAF8DC2" w14:textId="77777777" w:rsidR="0085313B" w:rsidRDefault="0085313B" w:rsidP="0085313B">
      <w:pPr>
        <w:numPr>
          <w:ilvl w:val="0"/>
          <w:numId w:val="1"/>
        </w:numPr>
        <w:suppressAutoHyphens/>
        <w:spacing w:before="120" w:after="120"/>
        <w:ind w:left="567" w:hanging="567"/>
        <w:jc w:val="both"/>
        <w:rPr>
          <w:rFonts w:eastAsia="Calibri" w:cs="Times New Roman"/>
          <w:szCs w:val="24"/>
          <w:lang w:eastAsia="ar-SA"/>
        </w:rPr>
      </w:pPr>
      <w:r w:rsidRPr="004F1233">
        <w:rPr>
          <w:rFonts w:eastAsia="Calibri" w:cs="Times New Roman"/>
          <w:szCs w:val="24"/>
          <w:lang w:eastAsia="ar-SA"/>
        </w:rPr>
        <w:t xml:space="preserve">EK noteiktais pieļaujamais kļūdas līmenis ir 2%. No tabulas datiem redzams, ka Latvijā ar statistikas metodi atlasītajos </w:t>
      </w:r>
      <w:r w:rsidRPr="00951AF5">
        <w:rPr>
          <w:rFonts w:eastAsia="Calibri" w:cs="Times New Roman"/>
          <w:szCs w:val="24"/>
          <w:lang w:eastAsia="ar-SA"/>
        </w:rPr>
        <w:t xml:space="preserve">projektos konstatētais </w:t>
      </w:r>
      <w:r w:rsidRPr="004F1233">
        <w:rPr>
          <w:rFonts w:eastAsia="Calibri" w:cs="Times New Roman"/>
          <w:szCs w:val="24"/>
          <w:lang w:eastAsia="ar-SA"/>
        </w:rPr>
        <w:t xml:space="preserve">kļūdas </w:t>
      </w:r>
      <w:r w:rsidR="00515992">
        <w:rPr>
          <w:rFonts w:eastAsia="Calibri" w:cs="Times New Roman"/>
          <w:szCs w:val="24"/>
          <w:lang w:eastAsia="ar-SA"/>
        </w:rPr>
        <w:t xml:space="preserve">līmenis </w:t>
      </w:r>
      <w:r w:rsidRPr="004F1233">
        <w:rPr>
          <w:rFonts w:eastAsia="Calibri" w:cs="Times New Roman"/>
          <w:szCs w:val="24"/>
          <w:lang w:eastAsia="ar-SA"/>
        </w:rPr>
        <w:t xml:space="preserve">ir mazāks </w:t>
      </w:r>
      <w:r w:rsidR="001316A7" w:rsidRPr="004F1233">
        <w:rPr>
          <w:rFonts w:eastAsia="Calibri" w:cs="Times New Roman"/>
          <w:szCs w:val="24"/>
          <w:lang w:eastAsia="ar-SA"/>
        </w:rPr>
        <w:t>–</w:t>
      </w:r>
      <w:r w:rsidR="00F4340B">
        <w:rPr>
          <w:rFonts w:eastAsia="Calibri" w:cs="Times New Roman"/>
          <w:szCs w:val="24"/>
          <w:lang w:eastAsia="ar-SA"/>
        </w:rPr>
        <w:t xml:space="preserve"> 0,93</w:t>
      </w:r>
      <w:r w:rsidRPr="004F1233">
        <w:rPr>
          <w:rFonts w:eastAsia="Calibri" w:cs="Times New Roman"/>
          <w:szCs w:val="24"/>
          <w:lang w:eastAsia="ar-SA"/>
        </w:rPr>
        <w:t xml:space="preserve">%. </w:t>
      </w:r>
    </w:p>
    <w:p w14:paraId="0BDE1429" w14:textId="06DBAFDB" w:rsidR="00863287" w:rsidRPr="004F1233" w:rsidRDefault="00863287" w:rsidP="0085313B">
      <w:pPr>
        <w:numPr>
          <w:ilvl w:val="0"/>
          <w:numId w:val="1"/>
        </w:numPr>
        <w:suppressAutoHyphens/>
        <w:spacing w:before="120" w:after="120"/>
        <w:ind w:left="567" w:hanging="567"/>
        <w:jc w:val="both"/>
        <w:rPr>
          <w:rFonts w:eastAsia="Calibri" w:cs="Times New Roman"/>
          <w:szCs w:val="24"/>
          <w:lang w:eastAsia="ar-SA"/>
        </w:rPr>
      </w:pPr>
      <w:r>
        <w:rPr>
          <w:rFonts w:eastAsia="Calibri" w:cs="Times New Roman"/>
          <w:szCs w:val="24"/>
          <w:lang w:eastAsia="ar-SA"/>
        </w:rPr>
        <w:t xml:space="preserve">Papildus tam tika veikta papildus izlase, reaģējot uz dažāda veida informāciju, kas nonāca Revīzijas iestādē tiešā veidā (iedzīvotāju vai iestāžu Revīzijas iestādei adresētie signāli) vai netiešā veidā (informācija no masu medijiem, dažādas sarakstes starp iestādēm, citām indikācijām). Papildus izlasē tika konstatētas </w:t>
      </w:r>
      <w:r w:rsidRPr="00220710">
        <w:rPr>
          <w:rFonts w:eastAsia="Calibri" w:cs="Times New Roman"/>
          <w:szCs w:val="24"/>
          <w:lang w:eastAsia="ar-SA"/>
        </w:rPr>
        <w:t xml:space="preserve">kļūdas </w:t>
      </w:r>
      <w:r w:rsidR="00737A4C" w:rsidRPr="00220710">
        <w:rPr>
          <w:rFonts w:eastAsia="Times New Roman" w:cs="Times New Roman"/>
          <w:bCs/>
          <w:szCs w:val="24"/>
          <w:lang w:eastAsia="lv-LV"/>
        </w:rPr>
        <w:t>18 831,44</w:t>
      </w:r>
      <w:r w:rsidR="000611D1" w:rsidRPr="00220710">
        <w:rPr>
          <w:rFonts w:eastAsia="Times New Roman" w:cs="Times New Roman"/>
          <w:bCs/>
          <w:szCs w:val="24"/>
          <w:lang w:eastAsia="lv-LV"/>
        </w:rPr>
        <w:t xml:space="preserve"> </w:t>
      </w:r>
      <w:r w:rsidRPr="00220710">
        <w:rPr>
          <w:rFonts w:eastAsia="Calibri" w:cs="Times New Roman"/>
          <w:szCs w:val="24"/>
          <w:lang w:eastAsia="ar-SA"/>
        </w:rPr>
        <w:t>EUR apmērā</w:t>
      </w:r>
      <w:r>
        <w:rPr>
          <w:rFonts w:eastAsia="Calibri" w:cs="Times New Roman"/>
          <w:szCs w:val="24"/>
          <w:lang w:eastAsia="ar-SA"/>
        </w:rPr>
        <w:t>.</w:t>
      </w:r>
    </w:p>
    <w:p w14:paraId="61B823B6" w14:textId="77777777" w:rsidR="0085313B" w:rsidRPr="004F1233" w:rsidRDefault="0085313B" w:rsidP="0085313B">
      <w:pPr>
        <w:suppressAutoHyphens/>
        <w:spacing w:before="120" w:after="120"/>
        <w:jc w:val="both"/>
        <w:rPr>
          <w:rFonts w:eastAsia="Calibri" w:cs="Times New Roman"/>
          <w:b/>
          <w:bCs/>
          <w:color w:val="000000"/>
          <w:szCs w:val="24"/>
          <w:lang w:eastAsia="ar-SA"/>
        </w:rPr>
      </w:pPr>
      <w:r w:rsidRPr="004F1233">
        <w:rPr>
          <w:rFonts w:eastAsia="Calibri" w:cs="Times New Roman"/>
          <w:b/>
          <w:bCs/>
          <w:color w:val="000000"/>
          <w:szCs w:val="24"/>
          <w:lang w:eastAsia="ar-SA"/>
        </w:rPr>
        <w:t>KONSTATĒTĀS PROBLĒMAS</w:t>
      </w:r>
    </w:p>
    <w:p w14:paraId="703EED82" w14:textId="77777777" w:rsidR="0085313B" w:rsidRPr="005961F8" w:rsidRDefault="0085313B" w:rsidP="0085313B">
      <w:pPr>
        <w:numPr>
          <w:ilvl w:val="0"/>
          <w:numId w:val="1"/>
        </w:numPr>
        <w:suppressAutoHyphens/>
        <w:spacing w:before="120" w:after="120"/>
        <w:ind w:left="567" w:hanging="567"/>
        <w:jc w:val="both"/>
        <w:rPr>
          <w:rFonts w:eastAsia="Calibri" w:cs="Times New Roman"/>
          <w:szCs w:val="24"/>
          <w:lang w:eastAsia="ar-SA"/>
        </w:rPr>
      </w:pPr>
      <w:r w:rsidRPr="005961F8">
        <w:rPr>
          <w:rFonts w:eastAsia="Calibri" w:cs="Times New Roman"/>
          <w:szCs w:val="24"/>
          <w:lang w:eastAsia="ar-SA"/>
        </w:rPr>
        <w:t xml:space="preserve">Revīzijas iestāde ir veikusi sistēmu auditu un projektu revīziju rezultātā konstatēto trūkumu un kļūdu analīzi un sniegusi priekšlikumus ES fondu vadības un kontroles sistēmas pilnveidošanai. Projektu revīziju rezultātā tika izteikti </w:t>
      </w:r>
      <w:r w:rsidR="004F1ADF">
        <w:rPr>
          <w:rFonts w:eastAsia="Calibri" w:cs="Times New Roman"/>
          <w:szCs w:val="24"/>
          <w:lang w:eastAsia="ar-SA"/>
        </w:rPr>
        <w:t>23</w:t>
      </w:r>
      <w:r w:rsidR="0068184F" w:rsidRPr="005961F8">
        <w:rPr>
          <w:rFonts w:eastAsia="Calibri" w:cs="Times New Roman"/>
          <w:szCs w:val="24"/>
          <w:lang w:eastAsia="ar-SA"/>
        </w:rPr>
        <w:t xml:space="preserve"> </w:t>
      </w:r>
      <w:r w:rsidRPr="005961F8">
        <w:rPr>
          <w:rFonts w:eastAsia="Calibri" w:cs="Times New Roman"/>
          <w:szCs w:val="24"/>
          <w:lang w:eastAsia="ar-SA"/>
        </w:rPr>
        <w:t xml:space="preserve">ieteikumi un sistēmu auditu rezultātā tika izteikti </w:t>
      </w:r>
      <w:r w:rsidR="004F1ADF">
        <w:rPr>
          <w:rFonts w:eastAsia="Calibri" w:cs="Times New Roman"/>
          <w:szCs w:val="24"/>
          <w:lang w:eastAsia="ar-SA"/>
        </w:rPr>
        <w:t>10</w:t>
      </w:r>
      <w:r w:rsidR="00AC1931" w:rsidRPr="005961F8">
        <w:rPr>
          <w:rFonts w:eastAsia="Calibri" w:cs="Times New Roman"/>
          <w:szCs w:val="24"/>
          <w:lang w:eastAsia="ar-SA"/>
        </w:rPr>
        <w:t xml:space="preserve">0 </w:t>
      </w:r>
      <w:r w:rsidRPr="005961F8">
        <w:rPr>
          <w:rFonts w:eastAsia="Calibri" w:cs="Times New Roman"/>
          <w:szCs w:val="24"/>
          <w:lang w:eastAsia="ar-SA"/>
        </w:rPr>
        <w:t>ieteikumi</w:t>
      </w:r>
      <w:r w:rsidR="00EF1CC3" w:rsidRPr="005961F8">
        <w:rPr>
          <w:rFonts w:eastAsia="Calibri" w:cs="Times New Roman"/>
          <w:szCs w:val="24"/>
          <w:lang w:eastAsia="ar-SA"/>
        </w:rPr>
        <w:t>,</w:t>
      </w:r>
      <w:r w:rsidRPr="005961F8">
        <w:rPr>
          <w:rFonts w:eastAsia="Calibri" w:cs="Times New Roman"/>
          <w:szCs w:val="24"/>
          <w:lang w:eastAsia="ar-SA"/>
        </w:rPr>
        <w:t xml:space="preserve"> t</w:t>
      </w:r>
      <w:r w:rsidR="00EF1CC3" w:rsidRPr="005961F8">
        <w:rPr>
          <w:rFonts w:eastAsia="Calibri" w:cs="Times New Roman"/>
          <w:szCs w:val="24"/>
          <w:lang w:eastAsia="ar-SA"/>
        </w:rPr>
        <w:t xml:space="preserve">ai </w:t>
      </w:r>
      <w:r w:rsidRPr="005961F8">
        <w:rPr>
          <w:rFonts w:eastAsia="Calibri" w:cs="Times New Roman"/>
          <w:szCs w:val="24"/>
          <w:lang w:eastAsia="ar-SA"/>
        </w:rPr>
        <w:t>sk</w:t>
      </w:r>
      <w:r w:rsidR="00EF1CC3" w:rsidRPr="005961F8">
        <w:rPr>
          <w:rFonts w:eastAsia="Calibri" w:cs="Times New Roman"/>
          <w:szCs w:val="24"/>
          <w:lang w:eastAsia="ar-SA"/>
        </w:rPr>
        <w:t>aitā,</w:t>
      </w:r>
      <w:r w:rsidRPr="005961F8">
        <w:rPr>
          <w:rFonts w:eastAsia="Calibri" w:cs="Times New Roman"/>
          <w:szCs w:val="24"/>
          <w:lang w:eastAsia="ar-SA"/>
        </w:rPr>
        <w:t xml:space="preserve"> horizontālo jomu kontroles sistēmas uzlabošanai tika izteikti ieteikumi vairākām ES fondu ieviešanā iesaistītajām iestādēm. Katram saskaņotajam ieteikumam ir noteikts to ieviešanas termiņš un par ieviešanu atbildīgā amatpersona. Sniegto ieteikumu sadalījumu pa iestādēm lūdz</w:t>
      </w:r>
      <w:r w:rsidR="001316A7" w:rsidRPr="005961F8">
        <w:rPr>
          <w:rFonts w:eastAsia="Calibri" w:cs="Times New Roman"/>
          <w:szCs w:val="24"/>
          <w:lang w:eastAsia="ar-SA"/>
        </w:rPr>
        <w:t>u</w:t>
      </w:r>
      <w:r w:rsidRPr="005961F8">
        <w:rPr>
          <w:rFonts w:eastAsia="Calibri" w:cs="Times New Roman"/>
          <w:szCs w:val="24"/>
          <w:lang w:eastAsia="ar-SA"/>
        </w:rPr>
        <w:t xml:space="preserve"> skatīt Tabulā Nr.4:</w:t>
      </w:r>
    </w:p>
    <w:p w14:paraId="392A7FC0" w14:textId="77777777" w:rsidR="0085313B" w:rsidRPr="004F1233" w:rsidRDefault="0085313B" w:rsidP="0085313B">
      <w:pPr>
        <w:suppressAutoHyphens/>
        <w:spacing w:before="120" w:after="120"/>
        <w:ind w:left="567"/>
        <w:jc w:val="right"/>
        <w:rPr>
          <w:rFonts w:eastAsia="Calibri" w:cs="Times New Roman"/>
          <w:sz w:val="20"/>
          <w:szCs w:val="20"/>
          <w:lang w:eastAsia="ar-SA"/>
        </w:rPr>
      </w:pPr>
      <w:r w:rsidRPr="004F1233">
        <w:rPr>
          <w:rFonts w:eastAsia="Calibri" w:cs="Times New Roman"/>
          <w:sz w:val="20"/>
          <w:szCs w:val="20"/>
          <w:lang w:eastAsia="ar-SA"/>
        </w:rPr>
        <w:t>Tabula Nr.4</w:t>
      </w:r>
    </w:p>
    <w:tbl>
      <w:tblPr>
        <w:tblW w:w="9777" w:type="dxa"/>
        <w:tblLook w:val="04A0" w:firstRow="1" w:lastRow="0" w:firstColumn="1" w:lastColumn="0" w:noHBand="0" w:noVBand="1"/>
      </w:tblPr>
      <w:tblGrid>
        <w:gridCol w:w="3823"/>
        <w:gridCol w:w="1080"/>
        <w:gridCol w:w="1220"/>
        <w:gridCol w:w="3654"/>
      </w:tblGrid>
      <w:tr w:rsidR="006E2791" w:rsidRPr="006E2791" w14:paraId="6073DCDC" w14:textId="77777777" w:rsidTr="004F1233">
        <w:trPr>
          <w:trHeight w:val="315"/>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3B567" w14:textId="77777777" w:rsidR="006E2791" w:rsidRPr="006E2791" w:rsidRDefault="006E2791" w:rsidP="006E2791">
            <w:pPr>
              <w:jc w:val="center"/>
              <w:rPr>
                <w:rFonts w:eastAsia="Times New Roman" w:cs="Times New Roman"/>
                <w:b/>
                <w:bCs/>
                <w:color w:val="000000"/>
                <w:sz w:val="20"/>
                <w:szCs w:val="20"/>
                <w:lang w:eastAsia="lv-LV"/>
              </w:rPr>
            </w:pPr>
            <w:r w:rsidRPr="006E2791">
              <w:rPr>
                <w:rFonts w:eastAsia="Times New Roman" w:cs="Times New Roman"/>
                <w:b/>
                <w:bCs/>
                <w:color w:val="000000"/>
                <w:sz w:val="20"/>
                <w:szCs w:val="20"/>
                <w:lang w:eastAsia="lv-LV"/>
              </w:rPr>
              <w:t>Iestāde/audits</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14:paraId="2803034A" w14:textId="77777777" w:rsidR="006E2791" w:rsidRPr="006E2791" w:rsidRDefault="006E2791" w:rsidP="006E2791">
            <w:pPr>
              <w:jc w:val="center"/>
              <w:rPr>
                <w:rFonts w:eastAsia="Times New Roman" w:cs="Times New Roman"/>
                <w:b/>
                <w:bCs/>
                <w:color w:val="000000"/>
                <w:sz w:val="20"/>
                <w:szCs w:val="20"/>
                <w:lang w:eastAsia="lv-LV"/>
              </w:rPr>
            </w:pPr>
            <w:r w:rsidRPr="006E2791">
              <w:rPr>
                <w:rFonts w:eastAsia="Times New Roman" w:cs="Times New Roman"/>
                <w:b/>
                <w:bCs/>
                <w:color w:val="000000"/>
                <w:sz w:val="20"/>
                <w:szCs w:val="20"/>
                <w:lang w:eastAsia="lv-LV"/>
              </w:rPr>
              <w:t>Izteikti ieteikumi</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6A203AE" w14:textId="77777777" w:rsidR="006E2791" w:rsidRPr="006E2791" w:rsidRDefault="006E2791" w:rsidP="006E2791">
            <w:pPr>
              <w:jc w:val="center"/>
              <w:rPr>
                <w:rFonts w:eastAsia="Times New Roman" w:cs="Times New Roman"/>
                <w:b/>
                <w:bCs/>
                <w:color w:val="000000"/>
                <w:sz w:val="20"/>
                <w:szCs w:val="20"/>
                <w:lang w:eastAsia="lv-LV"/>
              </w:rPr>
            </w:pPr>
            <w:bookmarkStart w:id="1" w:name="RANGE!D1"/>
            <w:r w:rsidRPr="006E2791">
              <w:rPr>
                <w:rFonts w:eastAsia="Times New Roman" w:cs="Times New Roman"/>
                <w:b/>
                <w:bCs/>
                <w:color w:val="000000"/>
                <w:sz w:val="20"/>
                <w:szCs w:val="20"/>
                <w:lang w:eastAsia="lv-LV"/>
              </w:rPr>
              <w:t>Augstas un vidējas prioritātes ieteikumi, kas nav ieviesti termiņā vai ieviesti daļēji līdz Gada kontroles ziņojuma sagatavošanai</w:t>
            </w:r>
            <w:bookmarkEnd w:id="1"/>
            <w:r>
              <w:rPr>
                <w:rFonts w:eastAsia="Times New Roman" w:cs="Times New Roman"/>
                <w:b/>
                <w:bCs/>
                <w:color w:val="000000"/>
                <w:sz w:val="20"/>
                <w:szCs w:val="20"/>
                <w:lang w:eastAsia="lv-LV"/>
              </w:rPr>
              <w:t>*</w:t>
            </w:r>
          </w:p>
        </w:tc>
      </w:tr>
      <w:tr w:rsidR="00372CDA" w:rsidRPr="006E2791" w14:paraId="00A890FA" w14:textId="77777777" w:rsidTr="006E2791">
        <w:trPr>
          <w:trHeight w:val="51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57ECDC08" w14:textId="77777777" w:rsidR="006E2791" w:rsidRPr="006E2791" w:rsidRDefault="006E2791" w:rsidP="006E2791">
            <w:pPr>
              <w:rPr>
                <w:rFonts w:eastAsia="Times New Roman" w:cs="Times New Roman"/>
                <w:b/>
                <w:bCs/>
                <w:color w:val="000000"/>
                <w:sz w:val="20"/>
                <w:szCs w:val="20"/>
                <w:lang w:eastAsia="lv-LV"/>
              </w:rPr>
            </w:pPr>
          </w:p>
        </w:tc>
        <w:tc>
          <w:tcPr>
            <w:tcW w:w="1080" w:type="dxa"/>
            <w:tcBorders>
              <w:top w:val="nil"/>
              <w:left w:val="nil"/>
              <w:bottom w:val="single" w:sz="4" w:space="0" w:color="auto"/>
              <w:right w:val="single" w:sz="4" w:space="0" w:color="auto"/>
            </w:tcBorders>
            <w:shd w:val="clear" w:color="auto" w:fill="auto"/>
            <w:vAlign w:val="center"/>
            <w:hideMark/>
          </w:tcPr>
          <w:p w14:paraId="34C1FF44" w14:textId="77777777" w:rsidR="006E2791" w:rsidRPr="006E2791" w:rsidRDefault="006E2791" w:rsidP="006E2791">
            <w:pPr>
              <w:jc w:val="center"/>
              <w:rPr>
                <w:rFonts w:eastAsia="Times New Roman" w:cs="Times New Roman"/>
                <w:b/>
                <w:bCs/>
                <w:color w:val="000000"/>
                <w:sz w:val="20"/>
                <w:szCs w:val="20"/>
                <w:lang w:eastAsia="lv-LV"/>
              </w:rPr>
            </w:pPr>
            <w:r w:rsidRPr="006E2791">
              <w:rPr>
                <w:rFonts w:eastAsia="Times New Roman" w:cs="Times New Roman"/>
                <w:b/>
                <w:bCs/>
                <w:color w:val="000000"/>
                <w:sz w:val="20"/>
                <w:szCs w:val="20"/>
                <w:lang w:eastAsia="lv-LV"/>
              </w:rPr>
              <w:t>Sistēmas auditos</w:t>
            </w:r>
          </w:p>
        </w:tc>
        <w:tc>
          <w:tcPr>
            <w:tcW w:w="1220" w:type="dxa"/>
            <w:tcBorders>
              <w:top w:val="nil"/>
              <w:left w:val="nil"/>
              <w:bottom w:val="single" w:sz="4" w:space="0" w:color="auto"/>
              <w:right w:val="single" w:sz="4" w:space="0" w:color="auto"/>
            </w:tcBorders>
            <w:shd w:val="clear" w:color="auto" w:fill="auto"/>
            <w:vAlign w:val="center"/>
            <w:hideMark/>
          </w:tcPr>
          <w:p w14:paraId="116A9DCF" w14:textId="77777777" w:rsidR="006E2791" w:rsidRPr="006E2791" w:rsidRDefault="006E2791" w:rsidP="006E2791">
            <w:pPr>
              <w:jc w:val="center"/>
              <w:rPr>
                <w:rFonts w:eastAsia="Times New Roman" w:cs="Times New Roman"/>
                <w:b/>
                <w:bCs/>
                <w:color w:val="000000"/>
                <w:sz w:val="20"/>
                <w:szCs w:val="20"/>
                <w:lang w:eastAsia="lv-LV"/>
              </w:rPr>
            </w:pPr>
            <w:r w:rsidRPr="006E2791">
              <w:rPr>
                <w:rFonts w:eastAsia="Times New Roman" w:cs="Times New Roman"/>
                <w:b/>
                <w:bCs/>
                <w:color w:val="000000"/>
                <w:sz w:val="20"/>
                <w:szCs w:val="20"/>
                <w:lang w:eastAsia="lv-LV"/>
              </w:rPr>
              <w:t>Projektu revīzijās</w:t>
            </w:r>
          </w:p>
        </w:tc>
        <w:tc>
          <w:tcPr>
            <w:tcW w:w="3654" w:type="dxa"/>
            <w:vMerge/>
            <w:tcBorders>
              <w:top w:val="single" w:sz="4" w:space="0" w:color="auto"/>
              <w:left w:val="single" w:sz="4" w:space="0" w:color="auto"/>
              <w:bottom w:val="single" w:sz="4" w:space="0" w:color="auto"/>
              <w:right w:val="single" w:sz="4" w:space="0" w:color="auto"/>
            </w:tcBorders>
            <w:vAlign w:val="center"/>
            <w:hideMark/>
          </w:tcPr>
          <w:p w14:paraId="4234DA54" w14:textId="77777777" w:rsidR="006E2791" w:rsidRPr="006E2791" w:rsidRDefault="006E2791" w:rsidP="006E2791">
            <w:pPr>
              <w:rPr>
                <w:rFonts w:eastAsia="Times New Roman" w:cs="Times New Roman"/>
                <w:b/>
                <w:bCs/>
                <w:color w:val="000000"/>
                <w:sz w:val="20"/>
                <w:szCs w:val="20"/>
                <w:lang w:eastAsia="lv-LV"/>
              </w:rPr>
            </w:pPr>
          </w:p>
        </w:tc>
      </w:tr>
      <w:tr w:rsidR="00372CDA" w:rsidRPr="006E2791" w14:paraId="10F7BE3B" w14:textId="77777777" w:rsidTr="00147252">
        <w:trPr>
          <w:trHeight w:val="10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CE6CBC" w14:textId="77777777" w:rsidR="006E2791" w:rsidRPr="00D40F06" w:rsidRDefault="006E2791" w:rsidP="006E2791">
            <w:pPr>
              <w:jc w:val="center"/>
              <w:rPr>
                <w:rFonts w:eastAsia="Times New Roman" w:cs="Times New Roman"/>
                <w:b/>
                <w:bCs/>
                <w:sz w:val="20"/>
                <w:szCs w:val="20"/>
                <w:lang w:eastAsia="lv-LV"/>
              </w:rPr>
            </w:pPr>
            <w:r w:rsidRPr="00D40F06">
              <w:rPr>
                <w:rFonts w:eastAsia="Times New Roman" w:cs="Times New Roman"/>
                <w:b/>
                <w:bCs/>
                <w:sz w:val="20"/>
                <w:szCs w:val="20"/>
                <w:lang w:eastAsia="lv-LV"/>
              </w:rPr>
              <w:t>FM (kā Vadošā iestāde)</w:t>
            </w:r>
          </w:p>
        </w:tc>
        <w:tc>
          <w:tcPr>
            <w:tcW w:w="1080" w:type="dxa"/>
            <w:tcBorders>
              <w:top w:val="nil"/>
              <w:left w:val="nil"/>
              <w:bottom w:val="single" w:sz="4" w:space="0" w:color="auto"/>
              <w:right w:val="single" w:sz="4" w:space="0" w:color="auto"/>
            </w:tcBorders>
            <w:shd w:val="clear" w:color="auto" w:fill="auto"/>
            <w:vAlign w:val="center"/>
            <w:hideMark/>
          </w:tcPr>
          <w:p w14:paraId="532E3EB1" w14:textId="77777777" w:rsidR="006E2791" w:rsidRPr="00D40F06" w:rsidRDefault="00FD39B3" w:rsidP="006E2791">
            <w:pPr>
              <w:jc w:val="center"/>
              <w:rPr>
                <w:rFonts w:eastAsia="Times New Roman" w:cs="Times New Roman"/>
                <w:sz w:val="20"/>
                <w:szCs w:val="20"/>
                <w:lang w:eastAsia="lv-LV"/>
              </w:rPr>
            </w:pPr>
            <w:r w:rsidRPr="00D40F06">
              <w:rPr>
                <w:rFonts w:eastAsia="Times New Roman" w:cs="Times New Roman"/>
                <w:sz w:val="20"/>
                <w:szCs w:val="20"/>
                <w:lang w:eastAsia="lv-LV"/>
              </w:rPr>
              <w:t>19</w:t>
            </w:r>
          </w:p>
        </w:tc>
        <w:tc>
          <w:tcPr>
            <w:tcW w:w="1220" w:type="dxa"/>
            <w:tcBorders>
              <w:top w:val="nil"/>
              <w:left w:val="nil"/>
              <w:bottom w:val="single" w:sz="4" w:space="0" w:color="auto"/>
              <w:right w:val="single" w:sz="4" w:space="0" w:color="auto"/>
            </w:tcBorders>
            <w:shd w:val="clear" w:color="auto" w:fill="auto"/>
            <w:vAlign w:val="center"/>
            <w:hideMark/>
          </w:tcPr>
          <w:p w14:paraId="3027DBCD" w14:textId="77777777" w:rsidR="006E2791" w:rsidRPr="00D40F06" w:rsidRDefault="00733E51" w:rsidP="006E2791">
            <w:pPr>
              <w:jc w:val="center"/>
              <w:rPr>
                <w:rFonts w:eastAsia="Times New Roman" w:cs="Times New Roman"/>
                <w:sz w:val="20"/>
                <w:szCs w:val="20"/>
                <w:lang w:eastAsia="lv-LV"/>
              </w:rPr>
            </w:pPr>
            <w:r w:rsidRPr="00D40F06">
              <w:rPr>
                <w:rFonts w:eastAsia="Times New Roman" w:cs="Times New Roman"/>
                <w:sz w:val="20"/>
                <w:szCs w:val="20"/>
                <w:lang w:eastAsia="lv-LV"/>
              </w:rPr>
              <w:t>1</w:t>
            </w:r>
          </w:p>
        </w:tc>
        <w:tc>
          <w:tcPr>
            <w:tcW w:w="3654" w:type="dxa"/>
            <w:tcBorders>
              <w:top w:val="nil"/>
              <w:left w:val="nil"/>
              <w:bottom w:val="single" w:sz="4" w:space="0" w:color="auto"/>
              <w:right w:val="single" w:sz="4" w:space="0" w:color="auto"/>
            </w:tcBorders>
            <w:shd w:val="clear" w:color="auto" w:fill="auto"/>
            <w:vAlign w:val="center"/>
            <w:hideMark/>
          </w:tcPr>
          <w:p w14:paraId="0428169A" w14:textId="77777777" w:rsidR="006E2791" w:rsidRPr="00D40F06" w:rsidRDefault="00500F99" w:rsidP="006E2791">
            <w:pPr>
              <w:jc w:val="center"/>
              <w:rPr>
                <w:rFonts w:eastAsia="Times New Roman" w:cs="Times New Roman"/>
                <w:sz w:val="20"/>
                <w:szCs w:val="20"/>
                <w:lang w:eastAsia="lv-LV"/>
              </w:rPr>
            </w:pPr>
            <w:r w:rsidRPr="00D40F06">
              <w:rPr>
                <w:rFonts w:eastAsia="Times New Roman" w:cs="Times New Roman"/>
                <w:sz w:val="20"/>
                <w:szCs w:val="20"/>
                <w:lang w:eastAsia="lv-LV"/>
              </w:rPr>
              <w:t>1</w:t>
            </w:r>
            <w:r w:rsidR="005961F8" w:rsidRPr="00D40F06">
              <w:rPr>
                <w:rFonts w:eastAsia="Times New Roman" w:cs="Times New Roman"/>
                <w:sz w:val="20"/>
                <w:szCs w:val="20"/>
                <w:lang w:eastAsia="lv-LV"/>
              </w:rPr>
              <w:t xml:space="preserve"> ieteikums</w:t>
            </w:r>
          </w:p>
        </w:tc>
      </w:tr>
      <w:tr w:rsidR="00372CDA" w:rsidRPr="006E2791" w14:paraId="7CC7F2F8" w14:textId="77777777" w:rsidTr="00147252">
        <w:trPr>
          <w:trHeight w:val="152"/>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B499E53" w14:textId="77777777" w:rsidR="006E2791" w:rsidRPr="00D40F06" w:rsidRDefault="006E2791" w:rsidP="006E2791">
            <w:pPr>
              <w:jc w:val="center"/>
              <w:rPr>
                <w:rFonts w:eastAsia="Times New Roman" w:cs="Times New Roman"/>
                <w:b/>
                <w:bCs/>
                <w:sz w:val="20"/>
                <w:szCs w:val="20"/>
                <w:lang w:eastAsia="lv-LV"/>
              </w:rPr>
            </w:pPr>
            <w:r w:rsidRPr="00D40F06">
              <w:rPr>
                <w:rFonts w:eastAsia="Times New Roman" w:cs="Times New Roman"/>
                <w:b/>
                <w:bCs/>
                <w:sz w:val="20"/>
                <w:szCs w:val="20"/>
                <w:lang w:eastAsia="lv-LV"/>
              </w:rPr>
              <w:t>FM (kā atbildīgā iestāde)</w:t>
            </w:r>
          </w:p>
        </w:tc>
        <w:tc>
          <w:tcPr>
            <w:tcW w:w="1080" w:type="dxa"/>
            <w:tcBorders>
              <w:top w:val="nil"/>
              <w:left w:val="nil"/>
              <w:bottom w:val="single" w:sz="4" w:space="0" w:color="auto"/>
              <w:right w:val="single" w:sz="4" w:space="0" w:color="auto"/>
            </w:tcBorders>
            <w:shd w:val="clear" w:color="auto" w:fill="auto"/>
            <w:vAlign w:val="center"/>
            <w:hideMark/>
          </w:tcPr>
          <w:p w14:paraId="224B952B"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1220" w:type="dxa"/>
            <w:tcBorders>
              <w:top w:val="nil"/>
              <w:left w:val="nil"/>
              <w:bottom w:val="single" w:sz="4" w:space="0" w:color="auto"/>
              <w:right w:val="single" w:sz="4" w:space="0" w:color="auto"/>
            </w:tcBorders>
            <w:shd w:val="clear" w:color="auto" w:fill="auto"/>
            <w:vAlign w:val="center"/>
            <w:hideMark/>
          </w:tcPr>
          <w:p w14:paraId="48A6633E"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323A2C73"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 </w:t>
            </w:r>
          </w:p>
        </w:tc>
      </w:tr>
      <w:tr w:rsidR="00500F99" w:rsidRPr="006E2791" w14:paraId="3ED3B7BF" w14:textId="77777777" w:rsidTr="00147252">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C100F8" w14:textId="77777777" w:rsidR="00500F99" w:rsidRPr="00D40F06" w:rsidRDefault="00500F99" w:rsidP="00500F99">
            <w:pPr>
              <w:jc w:val="center"/>
              <w:rPr>
                <w:rFonts w:eastAsia="Times New Roman" w:cs="Times New Roman"/>
                <w:b/>
                <w:bCs/>
                <w:sz w:val="20"/>
                <w:szCs w:val="20"/>
                <w:lang w:eastAsia="lv-LV"/>
              </w:rPr>
            </w:pPr>
            <w:r w:rsidRPr="00D40F06">
              <w:rPr>
                <w:rFonts w:eastAsia="Times New Roman" w:cs="Times New Roman"/>
                <w:b/>
                <w:bCs/>
                <w:sz w:val="20"/>
                <w:szCs w:val="20"/>
                <w:lang w:eastAsia="lv-LV"/>
              </w:rPr>
              <w:t>EM</w:t>
            </w:r>
          </w:p>
        </w:tc>
        <w:tc>
          <w:tcPr>
            <w:tcW w:w="1080" w:type="dxa"/>
            <w:tcBorders>
              <w:top w:val="nil"/>
              <w:left w:val="nil"/>
              <w:bottom w:val="single" w:sz="4" w:space="0" w:color="auto"/>
              <w:right w:val="single" w:sz="4" w:space="0" w:color="auto"/>
            </w:tcBorders>
            <w:shd w:val="clear" w:color="auto" w:fill="auto"/>
            <w:vAlign w:val="center"/>
            <w:hideMark/>
          </w:tcPr>
          <w:p w14:paraId="104EDABA" w14:textId="77777777" w:rsidR="00500F99" w:rsidRPr="00D40F06" w:rsidRDefault="00F77E42" w:rsidP="00500F99">
            <w:pPr>
              <w:jc w:val="center"/>
              <w:rPr>
                <w:rFonts w:eastAsia="Times New Roman" w:cs="Times New Roman"/>
                <w:sz w:val="20"/>
                <w:szCs w:val="20"/>
                <w:lang w:eastAsia="lv-LV"/>
              </w:rPr>
            </w:pPr>
            <w:r w:rsidRPr="00D40F06">
              <w:rPr>
                <w:rFonts w:eastAsia="Times New Roman" w:cs="Times New Roman"/>
                <w:sz w:val="20"/>
                <w:szCs w:val="20"/>
                <w:lang w:eastAsia="lv-LV"/>
              </w:rPr>
              <w:t>1</w:t>
            </w:r>
            <w:r w:rsidR="00FD39B3" w:rsidRPr="00D40F06">
              <w:rPr>
                <w:rFonts w:eastAsia="Times New Roman" w:cs="Times New Roman"/>
                <w:sz w:val="20"/>
                <w:szCs w:val="20"/>
                <w:lang w:eastAsia="lv-LV"/>
              </w:rPr>
              <w:t>1</w:t>
            </w:r>
          </w:p>
        </w:tc>
        <w:tc>
          <w:tcPr>
            <w:tcW w:w="1220" w:type="dxa"/>
            <w:tcBorders>
              <w:top w:val="nil"/>
              <w:left w:val="nil"/>
              <w:bottom w:val="single" w:sz="4" w:space="0" w:color="auto"/>
              <w:right w:val="single" w:sz="4" w:space="0" w:color="auto"/>
            </w:tcBorders>
            <w:shd w:val="clear" w:color="auto" w:fill="auto"/>
            <w:vAlign w:val="center"/>
            <w:hideMark/>
          </w:tcPr>
          <w:p w14:paraId="3C29C0A0" w14:textId="77777777" w:rsidR="00500F99" w:rsidRPr="00D40F06" w:rsidRDefault="00500F99" w:rsidP="00500F99">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28CF96AA" w14:textId="77777777" w:rsidR="00500F99" w:rsidRPr="00D40F06" w:rsidRDefault="00500F99" w:rsidP="00500F99">
            <w:pPr>
              <w:jc w:val="center"/>
              <w:rPr>
                <w:rFonts w:eastAsia="Times New Roman" w:cs="Times New Roman"/>
                <w:sz w:val="20"/>
                <w:szCs w:val="20"/>
                <w:lang w:eastAsia="lv-LV"/>
              </w:rPr>
            </w:pPr>
            <w:r w:rsidRPr="00D40F06">
              <w:rPr>
                <w:rFonts w:eastAsia="Times New Roman" w:cs="Times New Roman"/>
                <w:sz w:val="20"/>
                <w:szCs w:val="20"/>
                <w:lang w:eastAsia="lv-LV"/>
              </w:rPr>
              <w:t> </w:t>
            </w:r>
          </w:p>
        </w:tc>
      </w:tr>
      <w:tr w:rsidR="00F03163" w:rsidRPr="006E2791" w14:paraId="528F30ED" w14:textId="77777777" w:rsidTr="005961F8">
        <w:trPr>
          <w:trHeight w:val="88"/>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B3CF8DF" w14:textId="77777777" w:rsidR="00F03163" w:rsidRPr="00D40F06" w:rsidRDefault="00F03163" w:rsidP="00F03163">
            <w:pPr>
              <w:jc w:val="center"/>
              <w:rPr>
                <w:rFonts w:eastAsia="Times New Roman" w:cs="Times New Roman"/>
                <w:b/>
                <w:bCs/>
                <w:sz w:val="20"/>
                <w:szCs w:val="20"/>
                <w:lang w:eastAsia="lv-LV"/>
              </w:rPr>
            </w:pPr>
            <w:r w:rsidRPr="00D40F06">
              <w:rPr>
                <w:rFonts w:eastAsia="Times New Roman" w:cs="Times New Roman"/>
                <w:b/>
                <w:bCs/>
                <w:sz w:val="20"/>
                <w:szCs w:val="20"/>
                <w:lang w:eastAsia="lv-LV"/>
              </w:rPr>
              <w:t>LIAA</w:t>
            </w:r>
          </w:p>
        </w:tc>
        <w:tc>
          <w:tcPr>
            <w:tcW w:w="1080" w:type="dxa"/>
            <w:tcBorders>
              <w:top w:val="nil"/>
              <w:left w:val="nil"/>
              <w:bottom w:val="single" w:sz="4" w:space="0" w:color="auto"/>
              <w:right w:val="single" w:sz="4" w:space="0" w:color="auto"/>
            </w:tcBorders>
            <w:shd w:val="clear" w:color="auto" w:fill="auto"/>
            <w:vAlign w:val="center"/>
            <w:hideMark/>
          </w:tcPr>
          <w:p w14:paraId="4D245EB9" w14:textId="77777777" w:rsidR="00F03163" w:rsidRPr="00D40F06" w:rsidRDefault="00F03163" w:rsidP="00F03163">
            <w:pPr>
              <w:jc w:val="center"/>
              <w:rPr>
                <w:rFonts w:eastAsia="Times New Roman" w:cs="Times New Roman"/>
                <w:sz w:val="20"/>
                <w:szCs w:val="20"/>
                <w:lang w:eastAsia="lv-LV"/>
              </w:rPr>
            </w:pPr>
            <w:r w:rsidRPr="00D40F06">
              <w:rPr>
                <w:rFonts w:eastAsia="Times New Roman" w:cs="Times New Roman"/>
                <w:sz w:val="20"/>
                <w:szCs w:val="20"/>
                <w:lang w:eastAsia="lv-LV"/>
              </w:rPr>
              <w:t>12</w:t>
            </w:r>
          </w:p>
        </w:tc>
        <w:tc>
          <w:tcPr>
            <w:tcW w:w="1220" w:type="dxa"/>
            <w:tcBorders>
              <w:top w:val="nil"/>
              <w:left w:val="nil"/>
              <w:bottom w:val="single" w:sz="4" w:space="0" w:color="auto"/>
              <w:right w:val="single" w:sz="4" w:space="0" w:color="auto"/>
            </w:tcBorders>
            <w:shd w:val="clear" w:color="auto" w:fill="auto"/>
            <w:vAlign w:val="center"/>
            <w:hideMark/>
          </w:tcPr>
          <w:p w14:paraId="0752C5A3" w14:textId="77777777" w:rsidR="00F03163" w:rsidRPr="00D40F06" w:rsidRDefault="00F03163" w:rsidP="00F03163">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tcPr>
          <w:p w14:paraId="0D74BD4F" w14:textId="77777777" w:rsidR="00F03163" w:rsidRPr="00D40F06" w:rsidRDefault="00F03163" w:rsidP="00F03163">
            <w:pPr>
              <w:jc w:val="center"/>
              <w:rPr>
                <w:rFonts w:eastAsia="Times New Roman" w:cs="Times New Roman"/>
                <w:sz w:val="20"/>
                <w:szCs w:val="20"/>
                <w:lang w:eastAsia="lv-LV"/>
              </w:rPr>
            </w:pPr>
          </w:p>
        </w:tc>
      </w:tr>
      <w:tr w:rsidR="00500F99" w:rsidRPr="006E2791" w14:paraId="2F1D8A79" w14:textId="77777777" w:rsidTr="005961F8">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54DAE6" w14:textId="77777777" w:rsidR="00500F99" w:rsidRPr="00D40F06" w:rsidRDefault="00500F99" w:rsidP="00500F99">
            <w:pPr>
              <w:jc w:val="center"/>
              <w:rPr>
                <w:rFonts w:eastAsia="Times New Roman" w:cs="Times New Roman"/>
                <w:b/>
                <w:bCs/>
                <w:sz w:val="20"/>
                <w:szCs w:val="20"/>
                <w:lang w:eastAsia="lv-LV"/>
              </w:rPr>
            </w:pPr>
            <w:r w:rsidRPr="00D40F06">
              <w:rPr>
                <w:rFonts w:eastAsia="Times New Roman" w:cs="Times New Roman"/>
                <w:b/>
                <w:bCs/>
                <w:sz w:val="20"/>
                <w:szCs w:val="20"/>
                <w:lang w:eastAsia="lv-LV"/>
              </w:rPr>
              <w:t>SM</w:t>
            </w:r>
          </w:p>
        </w:tc>
        <w:tc>
          <w:tcPr>
            <w:tcW w:w="1080" w:type="dxa"/>
            <w:tcBorders>
              <w:top w:val="nil"/>
              <w:left w:val="nil"/>
              <w:bottom w:val="single" w:sz="4" w:space="0" w:color="auto"/>
              <w:right w:val="single" w:sz="4" w:space="0" w:color="auto"/>
            </w:tcBorders>
            <w:shd w:val="clear" w:color="auto" w:fill="auto"/>
            <w:vAlign w:val="center"/>
            <w:hideMark/>
          </w:tcPr>
          <w:p w14:paraId="045E8B7D" w14:textId="77777777" w:rsidR="00500F99" w:rsidRPr="00D40F06" w:rsidRDefault="00F77E42" w:rsidP="00FD39B3">
            <w:pPr>
              <w:jc w:val="center"/>
              <w:rPr>
                <w:rFonts w:eastAsia="Times New Roman" w:cs="Times New Roman"/>
                <w:sz w:val="20"/>
                <w:szCs w:val="20"/>
                <w:lang w:eastAsia="lv-LV"/>
              </w:rPr>
            </w:pPr>
            <w:r w:rsidRPr="00D40F06">
              <w:rPr>
                <w:rFonts w:eastAsia="Times New Roman" w:cs="Times New Roman"/>
                <w:sz w:val="20"/>
                <w:szCs w:val="20"/>
                <w:lang w:eastAsia="lv-LV"/>
              </w:rPr>
              <w:t>8</w:t>
            </w:r>
          </w:p>
        </w:tc>
        <w:tc>
          <w:tcPr>
            <w:tcW w:w="1220" w:type="dxa"/>
            <w:tcBorders>
              <w:top w:val="nil"/>
              <w:left w:val="nil"/>
              <w:bottom w:val="single" w:sz="4" w:space="0" w:color="auto"/>
              <w:right w:val="single" w:sz="4" w:space="0" w:color="auto"/>
            </w:tcBorders>
            <w:shd w:val="clear" w:color="auto" w:fill="auto"/>
            <w:vAlign w:val="center"/>
            <w:hideMark/>
          </w:tcPr>
          <w:p w14:paraId="3A19FD66" w14:textId="77777777" w:rsidR="00500F99" w:rsidRPr="00D40F06" w:rsidRDefault="00BF3500" w:rsidP="00500F99">
            <w:pPr>
              <w:jc w:val="center"/>
              <w:rPr>
                <w:rFonts w:eastAsia="Times New Roman" w:cs="Times New Roman"/>
                <w:sz w:val="20"/>
                <w:szCs w:val="20"/>
                <w:lang w:eastAsia="lv-LV"/>
              </w:rPr>
            </w:pPr>
            <w:r w:rsidRPr="00D40F06">
              <w:rPr>
                <w:rFonts w:eastAsia="Times New Roman" w:cs="Times New Roman"/>
                <w:sz w:val="20"/>
                <w:szCs w:val="20"/>
                <w:lang w:eastAsia="lv-LV"/>
              </w:rPr>
              <w:t>5</w:t>
            </w:r>
          </w:p>
        </w:tc>
        <w:tc>
          <w:tcPr>
            <w:tcW w:w="3654" w:type="dxa"/>
            <w:tcBorders>
              <w:top w:val="nil"/>
              <w:left w:val="nil"/>
              <w:bottom w:val="single" w:sz="4" w:space="0" w:color="auto"/>
              <w:right w:val="single" w:sz="4" w:space="0" w:color="auto"/>
            </w:tcBorders>
            <w:shd w:val="clear" w:color="auto" w:fill="auto"/>
            <w:vAlign w:val="center"/>
          </w:tcPr>
          <w:p w14:paraId="121AF45F" w14:textId="77777777" w:rsidR="00500F99" w:rsidRPr="00D40F06" w:rsidRDefault="00500F99" w:rsidP="00500F99">
            <w:pPr>
              <w:jc w:val="center"/>
              <w:rPr>
                <w:rFonts w:eastAsia="Times New Roman" w:cs="Times New Roman"/>
                <w:sz w:val="20"/>
                <w:szCs w:val="20"/>
                <w:lang w:eastAsia="lv-LV"/>
              </w:rPr>
            </w:pPr>
          </w:p>
        </w:tc>
      </w:tr>
      <w:tr w:rsidR="00372CDA" w:rsidRPr="006E2791" w14:paraId="1CA6911D" w14:textId="77777777" w:rsidTr="005961F8">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B561302" w14:textId="77777777" w:rsidR="006E2791" w:rsidRPr="00D40F06" w:rsidRDefault="006E2791" w:rsidP="006E2791">
            <w:pPr>
              <w:jc w:val="center"/>
              <w:rPr>
                <w:rFonts w:eastAsia="Times New Roman" w:cs="Times New Roman"/>
                <w:b/>
                <w:bCs/>
                <w:sz w:val="20"/>
                <w:szCs w:val="20"/>
                <w:lang w:eastAsia="lv-LV"/>
              </w:rPr>
            </w:pPr>
            <w:r w:rsidRPr="00D40F06">
              <w:rPr>
                <w:rFonts w:eastAsia="Times New Roman" w:cs="Times New Roman"/>
                <w:b/>
                <w:bCs/>
                <w:sz w:val="20"/>
                <w:szCs w:val="20"/>
                <w:lang w:eastAsia="lv-LV"/>
              </w:rPr>
              <w:t>LM</w:t>
            </w:r>
          </w:p>
        </w:tc>
        <w:tc>
          <w:tcPr>
            <w:tcW w:w="1080" w:type="dxa"/>
            <w:tcBorders>
              <w:top w:val="nil"/>
              <w:left w:val="nil"/>
              <w:bottom w:val="single" w:sz="4" w:space="0" w:color="auto"/>
              <w:right w:val="single" w:sz="4" w:space="0" w:color="auto"/>
            </w:tcBorders>
            <w:shd w:val="clear" w:color="auto" w:fill="auto"/>
            <w:vAlign w:val="center"/>
            <w:hideMark/>
          </w:tcPr>
          <w:p w14:paraId="5023FF67" w14:textId="77777777" w:rsidR="006E2791" w:rsidRPr="00D40F06" w:rsidRDefault="00FD39B3"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1220" w:type="dxa"/>
            <w:tcBorders>
              <w:top w:val="nil"/>
              <w:left w:val="nil"/>
              <w:bottom w:val="single" w:sz="4" w:space="0" w:color="auto"/>
              <w:right w:val="single" w:sz="4" w:space="0" w:color="auto"/>
            </w:tcBorders>
            <w:shd w:val="clear" w:color="auto" w:fill="auto"/>
            <w:vAlign w:val="center"/>
            <w:hideMark/>
          </w:tcPr>
          <w:p w14:paraId="1009FDCB"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tcPr>
          <w:p w14:paraId="6A5A1362" w14:textId="77777777" w:rsidR="006E2791" w:rsidRPr="00D40F06" w:rsidRDefault="006E2791" w:rsidP="006E2791">
            <w:pPr>
              <w:jc w:val="center"/>
              <w:rPr>
                <w:rFonts w:eastAsia="Times New Roman" w:cs="Times New Roman"/>
                <w:sz w:val="20"/>
                <w:szCs w:val="20"/>
                <w:lang w:eastAsia="lv-LV"/>
              </w:rPr>
            </w:pPr>
          </w:p>
        </w:tc>
      </w:tr>
      <w:tr w:rsidR="00500F99" w:rsidRPr="006E2791" w14:paraId="09FCFCD4" w14:textId="77777777" w:rsidTr="005961F8">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D19B856" w14:textId="77777777" w:rsidR="00500F99" w:rsidRPr="00D40F06" w:rsidRDefault="00500F99" w:rsidP="00500F99">
            <w:pPr>
              <w:jc w:val="center"/>
              <w:rPr>
                <w:rFonts w:eastAsia="Times New Roman" w:cs="Times New Roman"/>
                <w:b/>
                <w:bCs/>
                <w:sz w:val="20"/>
                <w:szCs w:val="20"/>
                <w:lang w:eastAsia="lv-LV"/>
              </w:rPr>
            </w:pPr>
            <w:r w:rsidRPr="00D40F06">
              <w:rPr>
                <w:rFonts w:eastAsia="Times New Roman" w:cs="Times New Roman"/>
                <w:b/>
                <w:bCs/>
                <w:sz w:val="20"/>
                <w:szCs w:val="20"/>
                <w:lang w:eastAsia="lv-LV"/>
              </w:rPr>
              <w:t>NVA</w:t>
            </w:r>
          </w:p>
        </w:tc>
        <w:tc>
          <w:tcPr>
            <w:tcW w:w="1080" w:type="dxa"/>
            <w:tcBorders>
              <w:top w:val="nil"/>
              <w:left w:val="nil"/>
              <w:bottom w:val="single" w:sz="4" w:space="0" w:color="auto"/>
              <w:right w:val="single" w:sz="4" w:space="0" w:color="auto"/>
            </w:tcBorders>
            <w:shd w:val="clear" w:color="auto" w:fill="auto"/>
            <w:vAlign w:val="center"/>
            <w:hideMark/>
          </w:tcPr>
          <w:p w14:paraId="1EC19AEE" w14:textId="77777777" w:rsidR="00500F99" w:rsidRPr="00D40F06" w:rsidRDefault="00F77E42" w:rsidP="00500F99">
            <w:pPr>
              <w:jc w:val="center"/>
              <w:rPr>
                <w:rFonts w:eastAsia="Times New Roman" w:cs="Times New Roman"/>
                <w:sz w:val="20"/>
                <w:szCs w:val="20"/>
                <w:lang w:eastAsia="lv-LV"/>
              </w:rPr>
            </w:pPr>
            <w:r w:rsidRPr="00D40F06">
              <w:rPr>
                <w:rFonts w:eastAsia="Times New Roman" w:cs="Times New Roman"/>
                <w:sz w:val="20"/>
                <w:szCs w:val="20"/>
                <w:lang w:eastAsia="lv-LV"/>
              </w:rPr>
              <w:t>5</w:t>
            </w:r>
          </w:p>
        </w:tc>
        <w:tc>
          <w:tcPr>
            <w:tcW w:w="1220" w:type="dxa"/>
            <w:tcBorders>
              <w:top w:val="nil"/>
              <w:left w:val="nil"/>
              <w:bottom w:val="single" w:sz="4" w:space="0" w:color="auto"/>
              <w:right w:val="single" w:sz="4" w:space="0" w:color="auto"/>
            </w:tcBorders>
            <w:shd w:val="clear" w:color="auto" w:fill="auto"/>
            <w:vAlign w:val="center"/>
            <w:hideMark/>
          </w:tcPr>
          <w:p w14:paraId="04614E38" w14:textId="77777777" w:rsidR="00500F99" w:rsidRPr="00D40F06" w:rsidRDefault="00500F99" w:rsidP="00500F99">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tcPr>
          <w:p w14:paraId="24025ED6" w14:textId="77777777" w:rsidR="00500F99" w:rsidRPr="00D40F06" w:rsidRDefault="00500F99" w:rsidP="00500F99">
            <w:pPr>
              <w:jc w:val="center"/>
              <w:rPr>
                <w:rFonts w:eastAsia="Times New Roman" w:cs="Times New Roman"/>
                <w:sz w:val="20"/>
                <w:szCs w:val="20"/>
                <w:lang w:eastAsia="lv-LV"/>
              </w:rPr>
            </w:pPr>
          </w:p>
        </w:tc>
      </w:tr>
      <w:tr w:rsidR="00372CDA" w:rsidRPr="006E2791" w14:paraId="672E42DC" w14:textId="77777777" w:rsidTr="005961F8">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7C16A0" w14:textId="77777777" w:rsidR="006E2791" w:rsidRPr="00D40F06" w:rsidRDefault="006E2791" w:rsidP="006E2791">
            <w:pPr>
              <w:jc w:val="center"/>
              <w:rPr>
                <w:rFonts w:eastAsia="Times New Roman" w:cs="Times New Roman"/>
                <w:b/>
                <w:bCs/>
                <w:sz w:val="20"/>
                <w:szCs w:val="20"/>
                <w:lang w:eastAsia="lv-LV"/>
              </w:rPr>
            </w:pPr>
            <w:r w:rsidRPr="00D40F06">
              <w:rPr>
                <w:rFonts w:eastAsia="Times New Roman" w:cs="Times New Roman"/>
                <w:b/>
                <w:bCs/>
                <w:sz w:val="20"/>
                <w:szCs w:val="20"/>
                <w:lang w:eastAsia="lv-LV"/>
              </w:rPr>
              <w:t>VM</w:t>
            </w:r>
          </w:p>
        </w:tc>
        <w:tc>
          <w:tcPr>
            <w:tcW w:w="1080" w:type="dxa"/>
            <w:tcBorders>
              <w:top w:val="nil"/>
              <w:left w:val="nil"/>
              <w:bottom w:val="single" w:sz="4" w:space="0" w:color="auto"/>
              <w:right w:val="single" w:sz="4" w:space="0" w:color="auto"/>
            </w:tcBorders>
            <w:shd w:val="clear" w:color="auto" w:fill="auto"/>
            <w:vAlign w:val="center"/>
            <w:hideMark/>
          </w:tcPr>
          <w:p w14:paraId="387CC826"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1220" w:type="dxa"/>
            <w:tcBorders>
              <w:top w:val="nil"/>
              <w:left w:val="nil"/>
              <w:bottom w:val="single" w:sz="4" w:space="0" w:color="auto"/>
              <w:right w:val="single" w:sz="4" w:space="0" w:color="auto"/>
            </w:tcBorders>
            <w:shd w:val="clear" w:color="auto" w:fill="auto"/>
            <w:vAlign w:val="center"/>
            <w:hideMark/>
          </w:tcPr>
          <w:p w14:paraId="26173359"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tcPr>
          <w:p w14:paraId="63199321" w14:textId="77777777" w:rsidR="006E2791" w:rsidRPr="00D40F06" w:rsidRDefault="006E2791" w:rsidP="006E2791">
            <w:pPr>
              <w:jc w:val="center"/>
              <w:rPr>
                <w:rFonts w:eastAsia="Times New Roman" w:cs="Times New Roman"/>
                <w:sz w:val="20"/>
                <w:szCs w:val="20"/>
                <w:lang w:eastAsia="lv-LV"/>
              </w:rPr>
            </w:pPr>
          </w:p>
        </w:tc>
      </w:tr>
      <w:tr w:rsidR="00500F99" w:rsidRPr="006E2791" w14:paraId="244F0B24" w14:textId="77777777" w:rsidTr="005961F8">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4C7E502" w14:textId="77777777" w:rsidR="00500F99" w:rsidRPr="00D40F06" w:rsidRDefault="00500F99" w:rsidP="00500F99">
            <w:pPr>
              <w:jc w:val="center"/>
              <w:rPr>
                <w:rFonts w:eastAsia="Times New Roman" w:cs="Times New Roman"/>
                <w:b/>
                <w:bCs/>
                <w:sz w:val="20"/>
                <w:szCs w:val="20"/>
                <w:lang w:eastAsia="lv-LV"/>
              </w:rPr>
            </w:pPr>
            <w:r w:rsidRPr="00D40F06">
              <w:rPr>
                <w:rFonts w:eastAsia="Times New Roman" w:cs="Times New Roman"/>
                <w:b/>
                <w:bCs/>
                <w:sz w:val="20"/>
                <w:szCs w:val="20"/>
                <w:lang w:eastAsia="lv-LV"/>
              </w:rPr>
              <w:t>VARAM</w:t>
            </w:r>
          </w:p>
        </w:tc>
        <w:tc>
          <w:tcPr>
            <w:tcW w:w="1080" w:type="dxa"/>
            <w:tcBorders>
              <w:top w:val="nil"/>
              <w:left w:val="nil"/>
              <w:bottom w:val="single" w:sz="4" w:space="0" w:color="auto"/>
              <w:right w:val="single" w:sz="4" w:space="0" w:color="auto"/>
            </w:tcBorders>
            <w:shd w:val="clear" w:color="auto" w:fill="auto"/>
            <w:vAlign w:val="center"/>
            <w:hideMark/>
          </w:tcPr>
          <w:p w14:paraId="33A97DEE" w14:textId="77777777" w:rsidR="00500F99" w:rsidRPr="00D40F06" w:rsidRDefault="00F77E42" w:rsidP="00500F99">
            <w:pPr>
              <w:jc w:val="center"/>
              <w:rPr>
                <w:rFonts w:eastAsia="Times New Roman" w:cs="Times New Roman"/>
                <w:sz w:val="20"/>
                <w:szCs w:val="20"/>
                <w:lang w:eastAsia="lv-LV"/>
              </w:rPr>
            </w:pPr>
            <w:r w:rsidRPr="00D40F06">
              <w:rPr>
                <w:rFonts w:eastAsia="Times New Roman" w:cs="Times New Roman"/>
                <w:sz w:val="20"/>
                <w:szCs w:val="20"/>
                <w:lang w:eastAsia="lv-LV"/>
              </w:rPr>
              <w:t>15</w:t>
            </w:r>
          </w:p>
        </w:tc>
        <w:tc>
          <w:tcPr>
            <w:tcW w:w="1220" w:type="dxa"/>
            <w:tcBorders>
              <w:top w:val="nil"/>
              <w:left w:val="nil"/>
              <w:bottom w:val="single" w:sz="4" w:space="0" w:color="auto"/>
              <w:right w:val="single" w:sz="4" w:space="0" w:color="auto"/>
            </w:tcBorders>
            <w:shd w:val="clear" w:color="auto" w:fill="auto"/>
            <w:vAlign w:val="center"/>
            <w:hideMark/>
          </w:tcPr>
          <w:p w14:paraId="0850E536" w14:textId="77777777" w:rsidR="00500F99" w:rsidRPr="00D40F06" w:rsidRDefault="00F03163" w:rsidP="00500F99">
            <w:pPr>
              <w:jc w:val="center"/>
              <w:rPr>
                <w:rFonts w:eastAsia="Times New Roman" w:cs="Times New Roman"/>
                <w:sz w:val="20"/>
                <w:szCs w:val="20"/>
                <w:lang w:eastAsia="lv-LV"/>
              </w:rPr>
            </w:pPr>
            <w:r w:rsidRPr="00D40F06">
              <w:rPr>
                <w:rFonts w:eastAsia="Times New Roman" w:cs="Times New Roman"/>
                <w:sz w:val="20"/>
                <w:szCs w:val="20"/>
                <w:lang w:eastAsia="lv-LV"/>
              </w:rPr>
              <w:t>1</w:t>
            </w:r>
          </w:p>
        </w:tc>
        <w:tc>
          <w:tcPr>
            <w:tcW w:w="3654" w:type="dxa"/>
            <w:tcBorders>
              <w:top w:val="nil"/>
              <w:left w:val="nil"/>
              <w:bottom w:val="single" w:sz="4" w:space="0" w:color="auto"/>
              <w:right w:val="single" w:sz="4" w:space="0" w:color="auto"/>
            </w:tcBorders>
            <w:shd w:val="clear" w:color="auto" w:fill="auto"/>
            <w:vAlign w:val="center"/>
          </w:tcPr>
          <w:p w14:paraId="2276029D" w14:textId="77777777" w:rsidR="00500F99" w:rsidRPr="00D40F06" w:rsidRDefault="00500F99" w:rsidP="00500F99">
            <w:pPr>
              <w:jc w:val="center"/>
              <w:rPr>
                <w:rFonts w:eastAsia="Times New Roman" w:cs="Times New Roman"/>
                <w:sz w:val="20"/>
                <w:szCs w:val="20"/>
                <w:lang w:eastAsia="lv-LV"/>
              </w:rPr>
            </w:pPr>
          </w:p>
        </w:tc>
      </w:tr>
      <w:tr w:rsidR="005961F8" w:rsidRPr="006E2791" w14:paraId="52B17407" w14:textId="77777777" w:rsidTr="006E2791">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76B3036" w14:textId="77777777" w:rsidR="005961F8" w:rsidRPr="00D40F06" w:rsidRDefault="005961F8" w:rsidP="005961F8">
            <w:pPr>
              <w:jc w:val="center"/>
              <w:rPr>
                <w:rFonts w:eastAsia="Times New Roman" w:cs="Times New Roman"/>
                <w:b/>
                <w:bCs/>
                <w:sz w:val="20"/>
                <w:szCs w:val="20"/>
                <w:lang w:eastAsia="lv-LV"/>
              </w:rPr>
            </w:pPr>
            <w:r w:rsidRPr="00D40F06">
              <w:rPr>
                <w:rFonts w:eastAsia="Times New Roman" w:cs="Times New Roman"/>
                <w:b/>
                <w:bCs/>
                <w:sz w:val="20"/>
                <w:szCs w:val="20"/>
                <w:lang w:eastAsia="lv-LV"/>
              </w:rPr>
              <w:t>VRAA</w:t>
            </w:r>
          </w:p>
        </w:tc>
        <w:tc>
          <w:tcPr>
            <w:tcW w:w="1080" w:type="dxa"/>
            <w:tcBorders>
              <w:top w:val="nil"/>
              <w:left w:val="nil"/>
              <w:bottom w:val="single" w:sz="4" w:space="0" w:color="auto"/>
              <w:right w:val="single" w:sz="4" w:space="0" w:color="auto"/>
            </w:tcBorders>
            <w:shd w:val="clear" w:color="auto" w:fill="auto"/>
            <w:vAlign w:val="center"/>
            <w:hideMark/>
          </w:tcPr>
          <w:p w14:paraId="362529B6" w14:textId="77777777" w:rsidR="005961F8" w:rsidRPr="00D40F06" w:rsidRDefault="005961F8" w:rsidP="005961F8">
            <w:pPr>
              <w:jc w:val="center"/>
              <w:rPr>
                <w:rFonts w:eastAsia="Times New Roman" w:cs="Times New Roman"/>
                <w:sz w:val="20"/>
                <w:szCs w:val="20"/>
                <w:lang w:eastAsia="lv-LV"/>
              </w:rPr>
            </w:pPr>
            <w:r w:rsidRPr="00D40F06">
              <w:rPr>
                <w:rFonts w:eastAsia="Times New Roman" w:cs="Times New Roman"/>
                <w:sz w:val="20"/>
                <w:szCs w:val="20"/>
                <w:lang w:eastAsia="lv-LV"/>
              </w:rPr>
              <w:t>7</w:t>
            </w:r>
          </w:p>
        </w:tc>
        <w:tc>
          <w:tcPr>
            <w:tcW w:w="1220" w:type="dxa"/>
            <w:tcBorders>
              <w:top w:val="nil"/>
              <w:left w:val="nil"/>
              <w:bottom w:val="single" w:sz="4" w:space="0" w:color="auto"/>
              <w:right w:val="single" w:sz="4" w:space="0" w:color="auto"/>
            </w:tcBorders>
            <w:shd w:val="clear" w:color="auto" w:fill="auto"/>
            <w:vAlign w:val="center"/>
            <w:hideMark/>
          </w:tcPr>
          <w:p w14:paraId="4ABDF765" w14:textId="77777777" w:rsidR="005961F8" w:rsidRPr="00D40F06" w:rsidRDefault="00BF3500" w:rsidP="005961F8">
            <w:pPr>
              <w:jc w:val="center"/>
              <w:rPr>
                <w:rFonts w:eastAsia="Times New Roman" w:cs="Times New Roman"/>
                <w:sz w:val="20"/>
                <w:szCs w:val="20"/>
                <w:lang w:eastAsia="lv-LV"/>
              </w:rPr>
            </w:pPr>
            <w:r w:rsidRPr="00D40F06">
              <w:rPr>
                <w:rFonts w:eastAsia="Times New Roman" w:cs="Times New Roman"/>
                <w:sz w:val="20"/>
                <w:szCs w:val="20"/>
                <w:lang w:eastAsia="lv-LV"/>
              </w:rPr>
              <w:t>10</w:t>
            </w:r>
          </w:p>
        </w:tc>
        <w:tc>
          <w:tcPr>
            <w:tcW w:w="3654" w:type="dxa"/>
            <w:tcBorders>
              <w:top w:val="nil"/>
              <w:left w:val="nil"/>
              <w:bottom w:val="single" w:sz="4" w:space="0" w:color="auto"/>
              <w:right w:val="single" w:sz="4" w:space="0" w:color="auto"/>
            </w:tcBorders>
            <w:shd w:val="clear" w:color="auto" w:fill="auto"/>
            <w:vAlign w:val="center"/>
            <w:hideMark/>
          </w:tcPr>
          <w:p w14:paraId="74C8B415" w14:textId="77777777" w:rsidR="005961F8" w:rsidRPr="00D40F06" w:rsidRDefault="005961F8" w:rsidP="005961F8">
            <w:pPr>
              <w:jc w:val="center"/>
              <w:rPr>
                <w:rFonts w:eastAsia="Times New Roman" w:cs="Times New Roman"/>
                <w:sz w:val="20"/>
                <w:szCs w:val="20"/>
                <w:lang w:eastAsia="lv-LV"/>
              </w:rPr>
            </w:pPr>
            <w:r w:rsidRPr="00D40F06">
              <w:rPr>
                <w:rFonts w:eastAsia="Times New Roman" w:cs="Times New Roman"/>
                <w:sz w:val="20"/>
                <w:szCs w:val="20"/>
                <w:lang w:eastAsia="lv-LV"/>
              </w:rPr>
              <w:t>1 ieteikums</w:t>
            </w:r>
          </w:p>
        </w:tc>
      </w:tr>
      <w:tr w:rsidR="00372CDA" w:rsidRPr="006E2791" w14:paraId="2108A127" w14:textId="77777777" w:rsidTr="00147252">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CBD07AE" w14:textId="77777777" w:rsidR="006E2791" w:rsidRPr="00D40F06" w:rsidRDefault="006E2791" w:rsidP="006E2791">
            <w:pPr>
              <w:jc w:val="center"/>
              <w:rPr>
                <w:rFonts w:eastAsia="Times New Roman" w:cs="Times New Roman"/>
                <w:b/>
                <w:bCs/>
                <w:sz w:val="20"/>
                <w:szCs w:val="20"/>
                <w:lang w:eastAsia="lv-LV"/>
              </w:rPr>
            </w:pPr>
            <w:r w:rsidRPr="00D40F06">
              <w:rPr>
                <w:rFonts w:eastAsia="Times New Roman" w:cs="Times New Roman"/>
                <w:b/>
                <w:bCs/>
                <w:sz w:val="20"/>
                <w:szCs w:val="20"/>
                <w:lang w:eastAsia="lv-LV"/>
              </w:rPr>
              <w:t>IZM</w:t>
            </w:r>
          </w:p>
        </w:tc>
        <w:tc>
          <w:tcPr>
            <w:tcW w:w="1080" w:type="dxa"/>
            <w:tcBorders>
              <w:top w:val="nil"/>
              <w:left w:val="nil"/>
              <w:bottom w:val="single" w:sz="4" w:space="0" w:color="auto"/>
              <w:right w:val="single" w:sz="4" w:space="0" w:color="auto"/>
            </w:tcBorders>
            <w:shd w:val="clear" w:color="auto" w:fill="auto"/>
            <w:vAlign w:val="center"/>
            <w:hideMark/>
          </w:tcPr>
          <w:p w14:paraId="7ADCA7ED" w14:textId="77777777" w:rsidR="006E2791" w:rsidRPr="00D40F06" w:rsidRDefault="00FD39B3"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1220" w:type="dxa"/>
            <w:tcBorders>
              <w:top w:val="nil"/>
              <w:left w:val="nil"/>
              <w:bottom w:val="single" w:sz="4" w:space="0" w:color="auto"/>
              <w:right w:val="single" w:sz="4" w:space="0" w:color="auto"/>
            </w:tcBorders>
            <w:shd w:val="clear" w:color="auto" w:fill="auto"/>
            <w:vAlign w:val="center"/>
            <w:hideMark/>
          </w:tcPr>
          <w:p w14:paraId="7E2329E7"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260B7808"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 </w:t>
            </w:r>
          </w:p>
        </w:tc>
      </w:tr>
      <w:tr w:rsidR="00500F99" w:rsidRPr="006E2791" w14:paraId="30FE3252" w14:textId="77777777" w:rsidTr="00147252">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1B0B44" w14:textId="77777777" w:rsidR="00500F99" w:rsidRPr="00D40F06" w:rsidRDefault="00500F99" w:rsidP="00500F99">
            <w:pPr>
              <w:jc w:val="center"/>
              <w:rPr>
                <w:rFonts w:eastAsia="Times New Roman" w:cs="Times New Roman"/>
                <w:b/>
                <w:bCs/>
                <w:sz w:val="20"/>
                <w:szCs w:val="20"/>
                <w:lang w:eastAsia="lv-LV"/>
              </w:rPr>
            </w:pPr>
            <w:r w:rsidRPr="00D40F06">
              <w:rPr>
                <w:rFonts w:eastAsia="Times New Roman" w:cs="Times New Roman"/>
                <w:b/>
                <w:bCs/>
                <w:sz w:val="20"/>
                <w:szCs w:val="20"/>
                <w:lang w:eastAsia="lv-LV"/>
              </w:rPr>
              <w:t>VIAA</w:t>
            </w:r>
          </w:p>
        </w:tc>
        <w:tc>
          <w:tcPr>
            <w:tcW w:w="1080" w:type="dxa"/>
            <w:tcBorders>
              <w:top w:val="nil"/>
              <w:left w:val="nil"/>
              <w:bottom w:val="single" w:sz="4" w:space="0" w:color="auto"/>
              <w:right w:val="single" w:sz="4" w:space="0" w:color="auto"/>
            </w:tcBorders>
            <w:shd w:val="clear" w:color="auto" w:fill="auto"/>
            <w:vAlign w:val="center"/>
            <w:hideMark/>
          </w:tcPr>
          <w:p w14:paraId="1F8C0F17" w14:textId="77777777" w:rsidR="00500F99" w:rsidRPr="00D40F06" w:rsidRDefault="00F77E42" w:rsidP="00500F99">
            <w:pPr>
              <w:jc w:val="center"/>
              <w:rPr>
                <w:rFonts w:eastAsia="Times New Roman" w:cs="Times New Roman"/>
                <w:sz w:val="20"/>
                <w:szCs w:val="20"/>
                <w:lang w:eastAsia="lv-LV"/>
              </w:rPr>
            </w:pPr>
            <w:r w:rsidRPr="00D40F06">
              <w:rPr>
                <w:rFonts w:eastAsia="Times New Roman" w:cs="Times New Roman"/>
                <w:sz w:val="20"/>
                <w:szCs w:val="20"/>
                <w:lang w:eastAsia="lv-LV"/>
              </w:rPr>
              <w:t>9</w:t>
            </w:r>
          </w:p>
        </w:tc>
        <w:tc>
          <w:tcPr>
            <w:tcW w:w="1220" w:type="dxa"/>
            <w:tcBorders>
              <w:top w:val="nil"/>
              <w:left w:val="nil"/>
              <w:bottom w:val="single" w:sz="4" w:space="0" w:color="auto"/>
              <w:right w:val="single" w:sz="4" w:space="0" w:color="auto"/>
            </w:tcBorders>
            <w:shd w:val="clear" w:color="auto" w:fill="auto"/>
            <w:vAlign w:val="center"/>
            <w:hideMark/>
          </w:tcPr>
          <w:p w14:paraId="5B2BA199" w14:textId="77777777" w:rsidR="00500F99" w:rsidRPr="00D40F06" w:rsidRDefault="00F03163" w:rsidP="00500F99">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33E345EC" w14:textId="77777777" w:rsidR="00500F99" w:rsidRPr="00D40F06" w:rsidRDefault="00500F99" w:rsidP="00500F99">
            <w:pPr>
              <w:jc w:val="center"/>
              <w:rPr>
                <w:rFonts w:eastAsia="Times New Roman" w:cs="Times New Roman"/>
                <w:sz w:val="20"/>
                <w:szCs w:val="20"/>
                <w:lang w:eastAsia="lv-LV"/>
              </w:rPr>
            </w:pPr>
            <w:r w:rsidRPr="00D40F06">
              <w:rPr>
                <w:rFonts w:eastAsia="Times New Roman" w:cs="Times New Roman"/>
                <w:sz w:val="20"/>
                <w:szCs w:val="20"/>
                <w:lang w:eastAsia="lv-LV"/>
              </w:rPr>
              <w:t> </w:t>
            </w:r>
          </w:p>
        </w:tc>
      </w:tr>
      <w:tr w:rsidR="00372CDA" w:rsidRPr="006E2791" w14:paraId="1E5779E2" w14:textId="77777777" w:rsidTr="00147252">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2DD477C" w14:textId="77777777" w:rsidR="006E2791" w:rsidRPr="00D40F06" w:rsidRDefault="006E2791" w:rsidP="006E2791">
            <w:pPr>
              <w:jc w:val="center"/>
              <w:rPr>
                <w:rFonts w:eastAsia="Times New Roman" w:cs="Times New Roman"/>
                <w:b/>
                <w:bCs/>
                <w:sz w:val="20"/>
                <w:szCs w:val="20"/>
                <w:lang w:eastAsia="lv-LV"/>
              </w:rPr>
            </w:pPr>
            <w:r w:rsidRPr="00D40F06">
              <w:rPr>
                <w:rFonts w:eastAsia="Times New Roman" w:cs="Times New Roman"/>
                <w:b/>
                <w:bCs/>
                <w:sz w:val="20"/>
                <w:szCs w:val="20"/>
                <w:lang w:eastAsia="lv-LV"/>
              </w:rPr>
              <w:t>KM</w:t>
            </w:r>
          </w:p>
        </w:tc>
        <w:tc>
          <w:tcPr>
            <w:tcW w:w="1080" w:type="dxa"/>
            <w:tcBorders>
              <w:top w:val="nil"/>
              <w:left w:val="nil"/>
              <w:bottom w:val="single" w:sz="4" w:space="0" w:color="auto"/>
              <w:right w:val="single" w:sz="4" w:space="0" w:color="auto"/>
            </w:tcBorders>
            <w:shd w:val="clear" w:color="auto" w:fill="auto"/>
            <w:vAlign w:val="center"/>
            <w:hideMark/>
          </w:tcPr>
          <w:p w14:paraId="1E0C35C4"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1220" w:type="dxa"/>
            <w:tcBorders>
              <w:top w:val="nil"/>
              <w:left w:val="nil"/>
              <w:bottom w:val="single" w:sz="4" w:space="0" w:color="auto"/>
              <w:right w:val="single" w:sz="4" w:space="0" w:color="auto"/>
            </w:tcBorders>
            <w:shd w:val="clear" w:color="auto" w:fill="auto"/>
            <w:vAlign w:val="center"/>
            <w:hideMark/>
          </w:tcPr>
          <w:p w14:paraId="55777240"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6266D71E"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 </w:t>
            </w:r>
          </w:p>
        </w:tc>
      </w:tr>
      <w:tr w:rsidR="00372CDA" w:rsidRPr="006E2791" w14:paraId="0588554F" w14:textId="77777777" w:rsidTr="00147252">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CEBA0BB" w14:textId="77777777" w:rsidR="006E2791" w:rsidRPr="00D40F06" w:rsidRDefault="006E2791" w:rsidP="006E2791">
            <w:pPr>
              <w:jc w:val="center"/>
              <w:rPr>
                <w:rFonts w:eastAsia="Times New Roman" w:cs="Times New Roman"/>
                <w:b/>
                <w:bCs/>
                <w:sz w:val="20"/>
                <w:szCs w:val="20"/>
                <w:lang w:eastAsia="lv-LV"/>
              </w:rPr>
            </w:pPr>
            <w:proofErr w:type="spellStart"/>
            <w:r w:rsidRPr="00D40F06">
              <w:rPr>
                <w:rFonts w:eastAsia="Times New Roman" w:cs="Times New Roman"/>
                <w:b/>
                <w:bCs/>
                <w:sz w:val="20"/>
                <w:szCs w:val="20"/>
                <w:lang w:eastAsia="lv-LV"/>
              </w:rPr>
              <w:lastRenderedPageBreak/>
              <w:t>VKanc</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681E04E" w14:textId="77777777" w:rsidR="006E2791" w:rsidRPr="00D40F06" w:rsidRDefault="00FD39B3"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1220" w:type="dxa"/>
            <w:tcBorders>
              <w:top w:val="nil"/>
              <w:left w:val="nil"/>
              <w:bottom w:val="single" w:sz="4" w:space="0" w:color="auto"/>
              <w:right w:val="single" w:sz="4" w:space="0" w:color="auto"/>
            </w:tcBorders>
            <w:shd w:val="clear" w:color="auto" w:fill="auto"/>
            <w:vAlign w:val="center"/>
            <w:hideMark/>
          </w:tcPr>
          <w:p w14:paraId="0F86D6EC"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42EFD342"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 </w:t>
            </w:r>
          </w:p>
        </w:tc>
      </w:tr>
      <w:tr w:rsidR="00F03163" w:rsidRPr="006E2791" w14:paraId="3308C3DD" w14:textId="77777777" w:rsidTr="00147252">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3D725E" w14:textId="77777777" w:rsidR="00F03163" w:rsidRPr="00D40F06" w:rsidRDefault="00F03163" w:rsidP="00F03163">
            <w:pPr>
              <w:jc w:val="center"/>
              <w:rPr>
                <w:rFonts w:eastAsia="Times New Roman" w:cs="Times New Roman"/>
                <w:b/>
                <w:bCs/>
                <w:sz w:val="20"/>
                <w:szCs w:val="20"/>
                <w:lang w:eastAsia="lv-LV"/>
              </w:rPr>
            </w:pPr>
            <w:r w:rsidRPr="00D40F06">
              <w:rPr>
                <w:rFonts w:eastAsia="Times New Roman" w:cs="Times New Roman"/>
                <w:b/>
                <w:bCs/>
                <w:sz w:val="20"/>
                <w:szCs w:val="20"/>
                <w:lang w:eastAsia="lv-LV"/>
              </w:rPr>
              <w:t>SIF</w:t>
            </w:r>
          </w:p>
        </w:tc>
        <w:tc>
          <w:tcPr>
            <w:tcW w:w="1080" w:type="dxa"/>
            <w:tcBorders>
              <w:top w:val="nil"/>
              <w:left w:val="nil"/>
              <w:bottom w:val="single" w:sz="4" w:space="0" w:color="auto"/>
              <w:right w:val="single" w:sz="4" w:space="0" w:color="auto"/>
            </w:tcBorders>
            <w:shd w:val="clear" w:color="auto" w:fill="auto"/>
            <w:vAlign w:val="center"/>
            <w:hideMark/>
          </w:tcPr>
          <w:p w14:paraId="0259629C" w14:textId="77777777" w:rsidR="00F03163" w:rsidRPr="00D40F06" w:rsidRDefault="00F03163" w:rsidP="00F03163">
            <w:pPr>
              <w:jc w:val="center"/>
              <w:rPr>
                <w:rFonts w:eastAsia="Times New Roman" w:cs="Times New Roman"/>
                <w:sz w:val="20"/>
                <w:szCs w:val="20"/>
                <w:lang w:eastAsia="lv-LV"/>
              </w:rPr>
            </w:pPr>
            <w:r w:rsidRPr="00D40F06">
              <w:rPr>
                <w:rFonts w:eastAsia="Times New Roman" w:cs="Times New Roman"/>
                <w:sz w:val="20"/>
                <w:szCs w:val="20"/>
                <w:lang w:eastAsia="lv-LV"/>
              </w:rPr>
              <w:t>4</w:t>
            </w:r>
          </w:p>
        </w:tc>
        <w:tc>
          <w:tcPr>
            <w:tcW w:w="1220" w:type="dxa"/>
            <w:tcBorders>
              <w:top w:val="nil"/>
              <w:left w:val="nil"/>
              <w:bottom w:val="single" w:sz="4" w:space="0" w:color="auto"/>
              <w:right w:val="single" w:sz="4" w:space="0" w:color="auto"/>
            </w:tcBorders>
            <w:shd w:val="clear" w:color="auto" w:fill="auto"/>
            <w:vAlign w:val="center"/>
            <w:hideMark/>
          </w:tcPr>
          <w:p w14:paraId="3A28A1B6" w14:textId="77777777" w:rsidR="00F03163" w:rsidRPr="00D40F06" w:rsidRDefault="00F03163" w:rsidP="00F03163">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43D08EF2" w14:textId="77777777" w:rsidR="00F03163" w:rsidRPr="00D40F06" w:rsidRDefault="00F03163" w:rsidP="00F03163">
            <w:pPr>
              <w:jc w:val="center"/>
              <w:rPr>
                <w:rFonts w:eastAsia="Times New Roman" w:cs="Times New Roman"/>
                <w:sz w:val="20"/>
                <w:szCs w:val="20"/>
                <w:lang w:eastAsia="lv-LV"/>
              </w:rPr>
            </w:pPr>
            <w:r w:rsidRPr="00D40F06">
              <w:rPr>
                <w:rFonts w:eastAsia="Times New Roman" w:cs="Times New Roman"/>
                <w:sz w:val="20"/>
                <w:szCs w:val="20"/>
                <w:lang w:eastAsia="lv-LV"/>
              </w:rPr>
              <w:t> </w:t>
            </w:r>
          </w:p>
        </w:tc>
      </w:tr>
      <w:tr w:rsidR="00500F99" w:rsidRPr="006E2791" w14:paraId="7C7C4B90" w14:textId="77777777" w:rsidTr="005961F8">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4EC8FA" w14:textId="77777777" w:rsidR="00500F99" w:rsidRPr="00D40F06" w:rsidRDefault="00500F99" w:rsidP="00500F99">
            <w:pPr>
              <w:jc w:val="center"/>
              <w:rPr>
                <w:rFonts w:eastAsia="Times New Roman" w:cs="Times New Roman"/>
                <w:b/>
                <w:bCs/>
                <w:sz w:val="20"/>
                <w:szCs w:val="20"/>
                <w:lang w:eastAsia="lv-LV"/>
              </w:rPr>
            </w:pPr>
            <w:r w:rsidRPr="00D40F06">
              <w:rPr>
                <w:rFonts w:eastAsia="Times New Roman" w:cs="Times New Roman"/>
                <w:b/>
                <w:bCs/>
                <w:sz w:val="20"/>
                <w:szCs w:val="20"/>
                <w:lang w:eastAsia="lv-LV"/>
              </w:rPr>
              <w:t>CFLA</w:t>
            </w:r>
          </w:p>
        </w:tc>
        <w:tc>
          <w:tcPr>
            <w:tcW w:w="1080" w:type="dxa"/>
            <w:tcBorders>
              <w:top w:val="nil"/>
              <w:left w:val="nil"/>
              <w:bottom w:val="single" w:sz="4" w:space="0" w:color="auto"/>
              <w:right w:val="single" w:sz="4" w:space="0" w:color="auto"/>
            </w:tcBorders>
            <w:shd w:val="clear" w:color="auto" w:fill="auto"/>
            <w:vAlign w:val="center"/>
            <w:hideMark/>
          </w:tcPr>
          <w:p w14:paraId="53811AE7" w14:textId="77777777" w:rsidR="00500F99" w:rsidRPr="00D40F06" w:rsidRDefault="00FD39B3" w:rsidP="00500F99">
            <w:pPr>
              <w:jc w:val="center"/>
              <w:rPr>
                <w:rFonts w:eastAsia="Times New Roman" w:cs="Times New Roman"/>
                <w:sz w:val="20"/>
                <w:szCs w:val="20"/>
                <w:lang w:eastAsia="lv-LV"/>
              </w:rPr>
            </w:pPr>
            <w:r w:rsidRPr="00D40F06">
              <w:rPr>
                <w:rFonts w:eastAsia="Times New Roman" w:cs="Times New Roman"/>
                <w:sz w:val="20"/>
                <w:szCs w:val="20"/>
                <w:lang w:eastAsia="lv-LV"/>
              </w:rPr>
              <w:t>1</w:t>
            </w:r>
            <w:r w:rsidR="00F77E42" w:rsidRPr="00D40F06">
              <w:rPr>
                <w:rFonts w:eastAsia="Times New Roman" w:cs="Times New Roman"/>
                <w:sz w:val="20"/>
                <w:szCs w:val="20"/>
                <w:lang w:eastAsia="lv-LV"/>
              </w:rPr>
              <w:t>0</w:t>
            </w:r>
          </w:p>
        </w:tc>
        <w:tc>
          <w:tcPr>
            <w:tcW w:w="1220" w:type="dxa"/>
            <w:tcBorders>
              <w:top w:val="nil"/>
              <w:left w:val="nil"/>
              <w:bottom w:val="single" w:sz="4" w:space="0" w:color="auto"/>
              <w:right w:val="single" w:sz="4" w:space="0" w:color="auto"/>
            </w:tcBorders>
            <w:shd w:val="clear" w:color="auto" w:fill="auto"/>
            <w:vAlign w:val="center"/>
            <w:hideMark/>
          </w:tcPr>
          <w:p w14:paraId="1AF1E1F8" w14:textId="77777777" w:rsidR="00500F99" w:rsidRPr="00D40F06" w:rsidRDefault="00BF3500" w:rsidP="00500F99">
            <w:pPr>
              <w:jc w:val="center"/>
              <w:rPr>
                <w:rFonts w:eastAsia="Times New Roman" w:cs="Times New Roman"/>
                <w:sz w:val="20"/>
                <w:szCs w:val="20"/>
                <w:lang w:eastAsia="lv-LV"/>
              </w:rPr>
            </w:pPr>
            <w:r w:rsidRPr="00D40F06">
              <w:rPr>
                <w:rFonts w:eastAsia="Times New Roman" w:cs="Times New Roman"/>
                <w:sz w:val="20"/>
                <w:szCs w:val="20"/>
                <w:lang w:eastAsia="lv-LV"/>
              </w:rPr>
              <w:t>6</w:t>
            </w:r>
          </w:p>
        </w:tc>
        <w:tc>
          <w:tcPr>
            <w:tcW w:w="3654" w:type="dxa"/>
            <w:tcBorders>
              <w:top w:val="nil"/>
              <w:left w:val="nil"/>
              <w:bottom w:val="single" w:sz="4" w:space="0" w:color="auto"/>
              <w:right w:val="single" w:sz="4" w:space="0" w:color="auto"/>
            </w:tcBorders>
            <w:shd w:val="clear" w:color="auto" w:fill="auto"/>
            <w:vAlign w:val="center"/>
          </w:tcPr>
          <w:p w14:paraId="4C769699" w14:textId="77777777" w:rsidR="00500F99" w:rsidRPr="00D40F06" w:rsidRDefault="00500F99" w:rsidP="00500F99">
            <w:pPr>
              <w:jc w:val="center"/>
              <w:rPr>
                <w:rFonts w:eastAsia="Times New Roman" w:cs="Times New Roman"/>
                <w:sz w:val="20"/>
                <w:szCs w:val="20"/>
                <w:lang w:eastAsia="lv-LV"/>
              </w:rPr>
            </w:pPr>
          </w:p>
        </w:tc>
      </w:tr>
      <w:tr w:rsidR="00372CDA" w:rsidRPr="006E2791" w14:paraId="2B8CF852" w14:textId="77777777" w:rsidTr="00147252">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76BC74D" w14:textId="77777777" w:rsidR="006E2791" w:rsidRPr="00D40F06" w:rsidRDefault="006E2791" w:rsidP="006E2791">
            <w:pPr>
              <w:jc w:val="center"/>
              <w:rPr>
                <w:rFonts w:eastAsia="Times New Roman" w:cs="Times New Roman"/>
                <w:b/>
                <w:bCs/>
                <w:sz w:val="20"/>
                <w:szCs w:val="20"/>
                <w:lang w:eastAsia="lv-LV"/>
              </w:rPr>
            </w:pPr>
            <w:r w:rsidRPr="00D40F06">
              <w:rPr>
                <w:rFonts w:eastAsia="Times New Roman" w:cs="Times New Roman"/>
                <w:b/>
                <w:bCs/>
                <w:sz w:val="20"/>
                <w:szCs w:val="20"/>
                <w:lang w:eastAsia="lv-LV"/>
              </w:rPr>
              <w:t>Valsts Kase (SEI/MI)</w:t>
            </w:r>
          </w:p>
        </w:tc>
        <w:tc>
          <w:tcPr>
            <w:tcW w:w="1080" w:type="dxa"/>
            <w:tcBorders>
              <w:top w:val="nil"/>
              <w:left w:val="nil"/>
              <w:bottom w:val="single" w:sz="4" w:space="0" w:color="auto"/>
              <w:right w:val="single" w:sz="4" w:space="0" w:color="auto"/>
            </w:tcBorders>
            <w:shd w:val="clear" w:color="auto" w:fill="auto"/>
            <w:vAlign w:val="center"/>
            <w:hideMark/>
          </w:tcPr>
          <w:p w14:paraId="0CC9B5B5"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1220" w:type="dxa"/>
            <w:tcBorders>
              <w:top w:val="nil"/>
              <w:left w:val="nil"/>
              <w:bottom w:val="single" w:sz="4" w:space="0" w:color="auto"/>
              <w:right w:val="single" w:sz="4" w:space="0" w:color="auto"/>
            </w:tcBorders>
            <w:shd w:val="clear" w:color="auto" w:fill="auto"/>
            <w:vAlign w:val="center"/>
            <w:hideMark/>
          </w:tcPr>
          <w:p w14:paraId="314CA756"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64BC6C20" w14:textId="77777777" w:rsidR="006E2791" w:rsidRPr="00D40F06" w:rsidRDefault="006E2791" w:rsidP="006E2791">
            <w:pPr>
              <w:jc w:val="center"/>
              <w:rPr>
                <w:rFonts w:eastAsia="Times New Roman" w:cs="Times New Roman"/>
                <w:sz w:val="20"/>
                <w:szCs w:val="20"/>
                <w:lang w:eastAsia="lv-LV"/>
              </w:rPr>
            </w:pPr>
            <w:r w:rsidRPr="00D40F06">
              <w:rPr>
                <w:rFonts w:eastAsia="Times New Roman" w:cs="Times New Roman"/>
                <w:sz w:val="20"/>
                <w:szCs w:val="20"/>
                <w:lang w:eastAsia="lv-LV"/>
              </w:rPr>
              <w:t> </w:t>
            </w:r>
          </w:p>
        </w:tc>
      </w:tr>
      <w:tr w:rsidR="006E2791" w:rsidRPr="006E2791" w14:paraId="5C16AA82" w14:textId="77777777" w:rsidTr="00147252">
        <w:trPr>
          <w:trHeight w:val="7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A1F1C75" w14:textId="77777777" w:rsidR="006E2791" w:rsidRPr="000043E2" w:rsidRDefault="006E2791" w:rsidP="006E2791">
            <w:pPr>
              <w:jc w:val="center"/>
              <w:rPr>
                <w:rFonts w:eastAsia="Times New Roman" w:cs="Times New Roman"/>
                <w:b/>
                <w:bCs/>
                <w:sz w:val="20"/>
                <w:szCs w:val="20"/>
                <w:lang w:eastAsia="lv-LV"/>
              </w:rPr>
            </w:pPr>
            <w:r w:rsidRPr="000043E2">
              <w:rPr>
                <w:rFonts w:eastAsia="Times New Roman" w:cs="Times New Roman"/>
                <w:b/>
                <w:bCs/>
                <w:sz w:val="20"/>
                <w:szCs w:val="20"/>
                <w:lang w:eastAsia="lv-LV"/>
              </w:rPr>
              <w:t>KOPĀ</w:t>
            </w:r>
          </w:p>
        </w:tc>
        <w:tc>
          <w:tcPr>
            <w:tcW w:w="1080" w:type="dxa"/>
            <w:tcBorders>
              <w:top w:val="nil"/>
              <w:left w:val="nil"/>
              <w:bottom w:val="single" w:sz="4" w:space="0" w:color="auto"/>
              <w:right w:val="single" w:sz="4" w:space="0" w:color="auto"/>
            </w:tcBorders>
            <w:shd w:val="clear" w:color="auto" w:fill="auto"/>
            <w:vAlign w:val="center"/>
            <w:hideMark/>
          </w:tcPr>
          <w:p w14:paraId="769396F5" w14:textId="77777777" w:rsidR="006E2791" w:rsidRPr="000043E2" w:rsidRDefault="000043E2" w:rsidP="006E2791">
            <w:pPr>
              <w:jc w:val="center"/>
              <w:rPr>
                <w:rFonts w:eastAsia="Times New Roman" w:cs="Times New Roman"/>
                <w:b/>
                <w:bCs/>
                <w:sz w:val="20"/>
                <w:szCs w:val="20"/>
                <w:lang w:eastAsia="lv-LV"/>
              </w:rPr>
            </w:pPr>
            <w:r w:rsidRPr="000043E2">
              <w:rPr>
                <w:rFonts w:eastAsia="Times New Roman" w:cs="Times New Roman"/>
                <w:b/>
                <w:bCs/>
                <w:sz w:val="20"/>
                <w:szCs w:val="20"/>
                <w:lang w:eastAsia="lv-LV"/>
              </w:rPr>
              <w:t>10</w:t>
            </w:r>
            <w:r w:rsidR="006E2791" w:rsidRPr="000043E2">
              <w:rPr>
                <w:rFonts w:eastAsia="Times New Roman" w:cs="Times New Roman"/>
                <w:b/>
                <w:bCs/>
                <w:sz w:val="20"/>
                <w:szCs w:val="20"/>
                <w:lang w:eastAsia="lv-LV"/>
              </w:rPr>
              <w:t>0</w:t>
            </w:r>
          </w:p>
        </w:tc>
        <w:tc>
          <w:tcPr>
            <w:tcW w:w="1220" w:type="dxa"/>
            <w:tcBorders>
              <w:top w:val="nil"/>
              <w:left w:val="nil"/>
              <w:bottom w:val="single" w:sz="4" w:space="0" w:color="auto"/>
              <w:right w:val="single" w:sz="4" w:space="0" w:color="auto"/>
            </w:tcBorders>
            <w:shd w:val="clear" w:color="auto" w:fill="auto"/>
            <w:vAlign w:val="center"/>
            <w:hideMark/>
          </w:tcPr>
          <w:p w14:paraId="171328C5" w14:textId="77777777" w:rsidR="006E2791" w:rsidRPr="000043E2" w:rsidRDefault="00BF3500" w:rsidP="006E2791">
            <w:pPr>
              <w:jc w:val="center"/>
              <w:rPr>
                <w:rFonts w:eastAsia="Times New Roman" w:cs="Times New Roman"/>
                <w:b/>
                <w:bCs/>
                <w:sz w:val="20"/>
                <w:szCs w:val="20"/>
                <w:lang w:eastAsia="lv-LV"/>
              </w:rPr>
            </w:pPr>
            <w:r>
              <w:rPr>
                <w:rFonts w:eastAsia="Times New Roman" w:cs="Times New Roman"/>
                <w:b/>
                <w:bCs/>
                <w:sz w:val="20"/>
                <w:szCs w:val="20"/>
                <w:lang w:eastAsia="lv-LV"/>
              </w:rPr>
              <w:t>23</w:t>
            </w:r>
            <w:r w:rsidR="00737A4C">
              <w:rPr>
                <w:rFonts w:eastAsia="Times New Roman" w:cs="Times New Roman"/>
                <w:b/>
                <w:bCs/>
                <w:sz w:val="20"/>
                <w:szCs w:val="20"/>
                <w:lang w:eastAsia="lv-LV"/>
              </w:rPr>
              <w:t>**</w:t>
            </w:r>
          </w:p>
        </w:tc>
        <w:tc>
          <w:tcPr>
            <w:tcW w:w="3654" w:type="dxa"/>
            <w:tcBorders>
              <w:top w:val="nil"/>
              <w:left w:val="nil"/>
              <w:bottom w:val="single" w:sz="4" w:space="0" w:color="auto"/>
              <w:right w:val="single" w:sz="4" w:space="0" w:color="auto"/>
            </w:tcBorders>
            <w:shd w:val="clear" w:color="auto" w:fill="auto"/>
            <w:vAlign w:val="center"/>
            <w:hideMark/>
          </w:tcPr>
          <w:p w14:paraId="550FD978" w14:textId="77777777" w:rsidR="006E2791" w:rsidRPr="005961F8" w:rsidRDefault="005961F8" w:rsidP="006E2791">
            <w:pPr>
              <w:jc w:val="center"/>
              <w:rPr>
                <w:rFonts w:eastAsia="Times New Roman" w:cs="Times New Roman"/>
                <w:sz w:val="20"/>
                <w:szCs w:val="20"/>
                <w:lang w:eastAsia="lv-LV"/>
              </w:rPr>
            </w:pPr>
            <w:r w:rsidRPr="005961F8">
              <w:rPr>
                <w:rFonts w:eastAsia="Times New Roman" w:cs="Times New Roman"/>
                <w:sz w:val="20"/>
                <w:szCs w:val="20"/>
                <w:lang w:eastAsia="lv-LV"/>
              </w:rPr>
              <w:t>2</w:t>
            </w:r>
          </w:p>
        </w:tc>
      </w:tr>
    </w:tbl>
    <w:p w14:paraId="6C9815DD" w14:textId="77777777" w:rsidR="006E2791" w:rsidRDefault="006E2791" w:rsidP="004F1233">
      <w:pPr>
        <w:suppressAutoHyphens/>
        <w:spacing w:before="120" w:after="120"/>
        <w:ind w:left="567"/>
        <w:rPr>
          <w:rFonts w:eastAsia="Calibri" w:cs="Times New Roman"/>
          <w:sz w:val="20"/>
          <w:szCs w:val="20"/>
          <w:lang w:eastAsia="ar-SA"/>
        </w:rPr>
      </w:pPr>
      <w:r w:rsidRPr="000043E2">
        <w:rPr>
          <w:rFonts w:eastAsia="Calibri" w:cs="Times New Roman"/>
          <w:sz w:val="20"/>
          <w:szCs w:val="20"/>
          <w:lang w:eastAsia="ar-SA"/>
        </w:rPr>
        <w:t>*</w:t>
      </w:r>
      <w:r w:rsidRPr="000043E2">
        <w:t xml:space="preserve"> </w:t>
      </w:r>
      <w:r w:rsidR="001969BA" w:rsidRPr="000043E2">
        <w:rPr>
          <w:sz w:val="20"/>
          <w:szCs w:val="20"/>
        </w:rPr>
        <w:t xml:space="preserve">Ieteikumu </w:t>
      </w:r>
      <w:r w:rsidR="009F3A92" w:rsidRPr="000043E2">
        <w:rPr>
          <w:rFonts w:eastAsia="Calibri" w:cs="Times New Roman"/>
          <w:sz w:val="20"/>
          <w:szCs w:val="20"/>
          <w:lang w:eastAsia="ar-SA"/>
        </w:rPr>
        <w:t>i</w:t>
      </w:r>
      <w:r w:rsidRPr="000043E2">
        <w:rPr>
          <w:rFonts w:eastAsia="Calibri" w:cs="Times New Roman"/>
          <w:sz w:val="20"/>
          <w:szCs w:val="20"/>
          <w:lang w:eastAsia="ar-SA"/>
        </w:rPr>
        <w:t xml:space="preserve">eviešanas </w:t>
      </w:r>
      <w:r w:rsidR="001969BA" w:rsidRPr="000043E2">
        <w:rPr>
          <w:rFonts w:eastAsia="Calibri" w:cs="Times New Roman"/>
          <w:sz w:val="20"/>
          <w:szCs w:val="20"/>
          <w:lang w:eastAsia="ar-SA"/>
        </w:rPr>
        <w:t>termiņš līdz</w:t>
      </w:r>
      <w:r w:rsidR="000043E2" w:rsidRPr="000043E2">
        <w:rPr>
          <w:rFonts w:eastAsia="Calibri" w:cs="Times New Roman"/>
          <w:sz w:val="20"/>
          <w:szCs w:val="20"/>
          <w:lang w:eastAsia="ar-SA"/>
        </w:rPr>
        <w:t xml:space="preserve"> 18</w:t>
      </w:r>
      <w:r w:rsidR="007C3964" w:rsidRPr="000043E2">
        <w:rPr>
          <w:rFonts w:eastAsia="Calibri" w:cs="Times New Roman"/>
          <w:sz w:val="20"/>
          <w:szCs w:val="20"/>
          <w:lang w:eastAsia="ar-SA"/>
        </w:rPr>
        <w:t>.1</w:t>
      </w:r>
      <w:r w:rsidR="000043E2" w:rsidRPr="000043E2">
        <w:rPr>
          <w:rFonts w:eastAsia="Calibri" w:cs="Times New Roman"/>
          <w:sz w:val="20"/>
          <w:szCs w:val="20"/>
          <w:lang w:eastAsia="ar-SA"/>
        </w:rPr>
        <w:t>2</w:t>
      </w:r>
      <w:r w:rsidR="009F3A92" w:rsidRPr="000043E2">
        <w:rPr>
          <w:rFonts w:eastAsia="Calibri" w:cs="Times New Roman"/>
          <w:sz w:val="20"/>
          <w:szCs w:val="20"/>
          <w:lang w:eastAsia="ar-SA"/>
        </w:rPr>
        <w:t>.201</w:t>
      </w:r>
      <w:r w:rsidR="000043E2" w:rsidRPr="000043E2">
        <w:rPr>
          <w:rFonts w:eastAsia="Calibri" w:cs="Times New Roman"/>
          <w:sz w:val="20"/>
          <w:szCs w:val="20"/>
          <w:lang w:eastAsia="ar-SA"/>
        </w:rPr>
        <w:t>4</w:t>
      </w:r>
      <w:r w:rsidRPr="000043E2">
        <w:rPr>
          <w:rFonts w:eastAsia="Calibri" w:cs="Times New Roman"/>
          <w:sz w:val="20"/>
          <w:szCs w:val="20"/>
          <w:lang w:eastAsia="ar-SA"/>
        </w:rPr>
        <w:t>.</w:t>
      </w:r>
    </w:p>
    <w:p w14:paraId="218BBAEB" w14:textId="56663DED" w:rsidR="00737A4C" w:rsidRPr="000043E2" w:rsidRDefault="00CA4703" w:rsidP="004F1233">
      <w:pPr>
        <w:suppressAutoHyphens/>
        <w:spacing w:before="120" w:after="120"/>
        <w:ind w:left="567"/>
        <w:rPr>
          <w:rFonts w:eastAsia="Calibri" w:cs="Times New Roman"/>
          <w:sz w:val="20"/>
          <w:szCs w:val="20"/>
          <w:lang w:eastAsia="ar-SA"/>
        </w:rPr>
      </w:pPr>
      <w:r w:rsidRPr="00220710">
        <w:rPr>
          <w:rFonts w:eastAsia="Calibri" w:cs="Times New Roman"/>
          <w:sz w:val="20"/>
          <w:szCs w:val="20"/>
          <w:lang w:eastAsia="ar-SA"/>
        </w:rPr>
        <w:t xml:space="preserve">** Revīzijas iestādes atzinuma izsniegšanas brīdī saskaņošanas procesā </w:t>
      </w:r>
      <w:r w:rsidR="007E694E">
        <w:rPr>
          <w:rFonts w:eastAsia="Calibri" w:cs="Times New Roman"/>
          <w:sz w:val="20"/>
          <w:szCs w:val="20"/>
          <w:lang w:eastAsia="ar-SA"/>
        </w:rPr>
        <w:t xml:space="preserve">papildus </w:t>
      </w:r>
      <w:r w:rsidRPr="00220710">
        <w:rPr>
          <w:rFonts w:eastAsia="Calibri" w:cs="Times New Roman"/>
          <w:sz w:val="20"/>
          <w:szCs w:val="20"/>
          <w:lang w:eastAsia="ar-SA"/>
        </w:rPr>
        <w:t>bija atsevišķi SIF (2) un VIAA(1) ieteikumi.</w:t>
      </w:r>
    </w:p>
    <w:p w14:paraId="088E9820" w14:textId="77777777" w:rsidR="000E0384" w:rsidRPr="001454E0" w:rsidRDefault="000E0384" w:rsidP="000E0384">
      <w:pPr>
        <w:numPr>
          <w:ilvl w:val="0"/>
          <w:numId w:val="1"/>
        </w:numPr>
        <w:suppressAutoHyphens/>
        <w:spacing w:before="120" w:after="120"/>
        <w:ind w:left="567" w:hanging="567"/>
        <w:jc w:val="both"/>
      </w:pPr>
      <w:r w:rsidRPr="00A13C20">
        <w:t xml:space="preserve">Revīzijas iestādes veikto </w:t>
      </w:r>
      <w:r w:rsidR="00041A10">
        <w:t>sistēmas</w:t>
      </w:r>
      <w:r w:rsidRPr="00A13C20">
        <w:t xml:space="preserve"> auditu un </w:t>
      </w:r>
      <w:r w:rsidR="00041A10">
        <w:t>projektu revīziju</w:t>
      </w:r>
      <w:r w:rsidRPr="00A13C20">
        <w:t xml:space="preserve"> ietvaros tika konstatētas atsevišķas </w:t>
      </w:r>
      <w:r w:rsidRPr="000E0384">
        <w:rPr>
          <w:u w:val="single"/>
        </w:rPr>
        <w:t>sistēmiskas problēmas</w:t>
      </w:r>
      <w:r w:rsidRPr="00E65742">
        <w:t xml:space="preserve"> Eiropas Savienības fondu administrēšanā iesaistīto institūciju iekšējās sistēmās</w:t>
      </w:r>
      <w:r>
        <w:t>. Tika konstatēts, ka</w:t>
      </w:r>
      <w:r w:rsidRPr="00E65742">
        <w:t xml:space="preserve"> </w:t>
      </w:r>
      <w:r>
        <w:t>s</w:t>
      </w:r>
      <w:r w:rsidRPr="00A13C20">
        <w:t>tarpniekinstitūciju līmenī ir nepietiekama pirmā līmeņa pārbaužu kvalitāte:</w:t>
      </w:r>
      <w:r w:rsidRPr="000E0384">
        <w:rPr>
          <w:color w:val="808080"/>
        </w:rPr>
        <w:t xml:space="preserve"> </w:t>
      </w:r>
      <w:r w:rsidRPr="00A13C20">
        <w:t xml:space="preserve">publiskā iepirkuma pārbaudēs, maksājumu pieprasījumu </w:t>
      </w:r>
      <w:r w:rsidRPr="00E65742">
        <w:t xml:space="preserve">pārbaudēs un pārbaudēs projektu īstenošanas vietās. Visvairāk trūkumi ir konstatēti izdevumu </w:t>
      </w:r>
      <w:proofErr w:type="spellStart"/>
      <w:r w:rsidRPr="00074B54">
        <w:t>attiecinām</w:t>
      </w:r>
      <w:r>
        <w:t>ības</w:t>
      </w:r>
      <w:proofErr w:type="spellEnd"/>
      <w:r w:rsidRPr="00074B54">
        <w:t xml:space="preserve"> </w:t>
      </w:r>
      <w:r w:rsidRPr="00E65742">
        <w:t xml:space="preserve">un </w:t>
      </w:r>
      <w:r>
        <w:t xml:space="preserve">publiskā iepirkuma jomā. </w:t>
      </w:r>
      <w:r w:rsidRPr="00E65742">
        <w:t xml:space="preserve">Trūkumi ar finansiālu ietekmi konstatēti </w:t>
      </w:r>
      <w:r>
        <w:t>galvenokārt publiskā iepirkuma jomā</w:t>
      </w:r>
      <w:r w:rsidR="00C860AD">
        <w:t>, kā tas jau bijis visus iepriekšējos plānošanas perioda gadus</w:t>
      </w:r>
      <w:r w:rsidRPr="000E0384">
        <w:rPr>
          <w:color w:val="808080"/>
        </w:rPr>
        <w:t xml:space="preserve">. </w:t>
      </w:r>
    </w:p>
    <w:p w14:paraId="616EB36D" w14:textId="77777777" w:rsidR="00F85D82" w:rsidRDefault="00F85D82" w:rsidP="000E0384">
      <w:pPr>
        <w:numPr>
          <w:ilvl w:val="0"/>
          <w:numId w:val="1"/>
        </w:numPr>
        <w:suppressAutoHyphens/>
        <w:spacing w:before="120" w:after="120"/>
        <w:ind w:left="567" w:hanging="567"/>
        <w:jc w:val="both"/>
      </w:pPr>
      <w:r>
        <w:t>Pārskata gadā tika konstatēta jauna problēma – tiek kavēti maksājumu pieprasījumu apstrādes termiņi, ka</w:t>
      </w:r>
      <w:r w:rsidR="001454E0">
        <w:t>s</w:t>
      </w:r>
      <w:r>
        <w:t xml:space="preserve"> mūsuprāt varētu liecināt par iestāžu kapacitātes problēmām (piemēram, VARAM, LIAA, Satiksmes ministrijā), tuvojoties plānošanas perioda noslēgumam. Revīzijas iestāde veiks papildus pārbaudes 2015.gada 2.pus</w:t>
      </w:r>
      <w:r w:rsidR="001454E0">
        <w:t>gadā</w:t>
      </w:r>
      <w:r>
        <w:t>, lai pārliecinātos, ka maksājumu pieprasījumu kontroļu kvalitāte nav būtiski pasliktinājusies un ka termiņi norēķiniem ar projektu īstenotājiem netiek būtiski kavēti.</w:t>
      </w:r>
    </w:p>
    <w:p w14:paraId="6EE65874" w14:textId="77777777" w:rsidR="00D97893" w:rsidRPr="00F60069" w:rsidRDefault="005022D9" w:rsidP="005022D9">
      <w:pPr>
        <w:numPr>
          <w:ilvl w:val="0"/>
          <w:numId w:val="1"/>
        </w:numPr>
        <w:suppressAutoHyphens/>
        <w:spacing w:before="120" w:after="120"/>
        <w:ind w:left="567" w:hanging="567"/>
        <w:jc w:val="both"/>
      </w:pPr>
      <w:r w:rsidRPr="00F60069">
        <w:t xml:space="preserve">Tika arī identificētas atsevišķas </w:t>
      </w:r>
      <w:r w:rsidRPr="00F60069">
        <w:rPr>
          <w:u w:val="single"/>
        </w:rPr>
        <w:t>savstarpēji saistītas/horizontālas problēmas</w:t>
      </w:r>
      <w:r w:rsidRPr="00F60069">
        <w:t xml:space="preserve"> publiskā iepirkumu nosacījumu kontroles jomā, kas ir arī biežākais neatbilstību avots (gan sistēmu auditos, gan projektu revīzijās). Projektu revīziju rezultāti uzskatāmi parāda (</w:t>
      </w:r>
      <w:r w:rsidR="009F3A92" w:rsidRPr="00F60069">
        <w:t>A</w:t>
      </w:r>
      <w:r w:rsidRPr="00F60069">
        <w:t xml:space="preserve">ttēls Nr.1), ka konstatētie trūkumi </w:t>
      </w:r>
      <w:r w:rsidR="00CE4FA1" w:rsidRPr="00F60069">
        <w:t xml:space="preserve">publiskā iepirkuma jomā </w:t>
      </w:r>
      <w:r w:rsidR="00CE4FA1" w:rsidRPr="007D52D8">
        <w:t>veido 99,81</w:t>
      </w:r>
      <w:r w:rsidRPr="007D52D8">
        <w:t>% no visa</w:t>
      </w:r>
      <w:r w:rsidRPr="00F60069">
        <w:t xml:space="preserve"> konstatētā neatbilstību finansiālā apjoma. </w:t>
      </w:r>
    </w:p>
    <w:p w14:paraId="15DC3DA6" w14:textId="77777777" w:rsidR="00D97893" w:rsidRPr="00ED7B56" w:rsidRDefault="00D97893" w:rsidP="00D97893">
      <w:pPr>
        <w:suppressAutoHyphens/>
        <w:spacing w:before="120" w:after="120"/>
        <w:jc w:val="right"/>
        <w:rPr>
          <w:sz w:val="20"/>
          <w:szCs w:val="20"/>
        </w:rPr>
      </w:pPr>
      <w:r w:rsidRPr="00ED7B56">
        <w:rPr>
          <w:sz w:val="20"/>
          <w:szCs w:val="20"/>
        </w:rPr>
        <w:t>Attēls Nr.1</w:t>
      </w:r>
    </w:p>
    <w:p w14:paraId="3D35C52C" w14:textId="77777777" w:rsidR="00C06241" w:rsidRDefault="00C06241" w:rsidP="00D97893">
      <w:pPr>
        <w:suppressAutoHyphens/>
        <w:spacing w:before="120" w:after="120"/>
        <w:jc w:val="right"/>
        <w:rPr>
          <w:sz w:val="20"/>
          <w:szCs w:val="20"/>
        </w:rPr>
      </w:pPr>
    </w:p>
    <w:p w14:paraId="52DA07D8" w14:textId="77777777" w:rsidR="00C06241" w:rsidRPr="00D97893" w:rsidRDefault="00CE4FA1" w:rsidP="00C06241">
      <w:pPr>
        <w:suppressAutoHyphens/>
        <w:spacing w:before="120" w:after="120"/>
        <w:jc w:val="center"/>
        <w:rPr>
          <w:sz w:val="20"/>
          <w:szCs w:val="20"/>
        </w:rPr>
      </w:pPr>
      <w:r>
        <w:rPr>
          <w:noProof/>
          <w:lang w:eastAsia="lv-LV"/>
        </w:rPr>
        <w:drawing>
          <wp:inline distT="0" distB="0" distL="0" distR="0" wp14:anchorId="2FEC371D" wp14:editId="140B31A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6BC1AA" w14:textId="77777777" w:rsidR="00D97893" w:rsidRDefault="00D97893" w:rsidP="00D97893">
      <w:pPr>
        <w:suppressAutoHyphens/>
        <w:spacing w:before="120" w:after="120"/>
        <w:jc w:val="both"/>
      </w:pPr>
    </w:p>
    <w:p w14:paraId="6DF14237" w14:textId="77777777" w:rsidR="00B07BF3" w:rsidRPr="00984C2C" w:rsidRDefault="00984C2C" w:rsidP="00984C2C">
      <w:pPr>
        <w:numPr>
          <w:ilvl w:val="0"/>
          <w:numId w:val="1"/>
        </w:numPr>
        <w:suppressAutoHyphens/>
        <w:spacing w:before="120" w:after="120"/>
        <w:jc w:val="both"/>
      </w:pPr>
      <w:r>
        <w:t>Identificējot pārkāpumus saistībā ar publisko iepirkumu</w:t>
      </w:r>
      <w:r w:rsidRPr="00220710">
        <w:t>,</w:t>
      </w:r>
      <w:r w:rsidR="002C6DC0" w:rsidRPr="00220710">
        <w:t xml:space="preserve"> kas ir vēsturiski bijusi paaugstināta riska joma jau gadiem,</w:t>
      </w:r>
      <w:r w:rsidRPr="00220710">
        <w:t xml:space="preserve"> Revīzijas</w:t>
      </w:r>
      <w:r>
        <w:t xml:space="preserve"> iestāde ir konstatējusi sekojošus gadījumus</w:t>
      </w:r>
      <w:r w:rsidR="00B07BF3" w:rsidRPr="003B2807">
        <w:t xml:space="preserve">: </w:t>
      </w:r>
    </w:p>
    <w:p w14:paraId="5B861F4E" w14:textId="77777777" w:rsidR="00B07BF3" w:rsidRDefault="00B07BF3" w:rsidP="00B07BF3">
      <w:pPr>
        <w:pStyle w:val="ListParagraph"/>
        <w:numPr>
          <w:ilvl w:val="1"/>
          <w:numId w:val="1"/>
        </w:numPr>
        <w:spacing w:before="120"/>
        <w:jc w:val="both"/>
      </w:pPr>
      <w:r w:rsidRPr="007C0151">
        <w:lastRenderedPageBreak/>
        <w:t>papildus darbu gadījumos, kas radušies dēļ nepietiekami dziļas izpētes projektēšanas stadijā, netiek izvēlēta atbilstoša iepirkumu procedūra vai tiek veikti būtiski grozījumi, kas pārkāpj vienlīdzīgas konkurences principus;</w:t>
      </w:r>
    </w:p>
    <w:p w14:paraId="436BDFC2" w14:textId="77777777" w:rsidR="00B07BF3" w:rsidRPr="007D52D8" w:rsidRDefault="00B07BF3" w:rsidP="00B07BF3">
      <w:pPr>
        <w:pStyle w:val="ListParagraph"/>
        <w:numPr>
          <w:ilvl w:val="1"/>
          <w:numId w:val="1"/>
        </w:numPr>
        <w:spacing w:before="120"/>
        <w:jc w:val="both"/>
      </w:pPr>
      <w:r w:rsidRPr="007D52D8">
        <w:t>pretendentiem iepirkumos tiek izvirzītas apakšuzņēmēju piesaisti ierobežojošas prasības, kas izriet no nacionālo normatīvo aktu nosacījumiem, kas saskaņā ar EK audita ziņojuma projektā</w:t>
      </w:r>
      <w:r w:rsidRPr="007D52D8">
        <w:rPr>
          <w:rStyle w:val="FootnoteReference"/>
        </w:rPr>
        <w:footnoteReference w:id="1"/>
      </w:r>
      <w:r w:rsidRPr="007D52D8">
        <w:t xml:space="preserve"> pausto viedokli ir pretrunā EK direktīvu nosacījumiem;</w:t>
      </w:r>
    </w:p>
    <w:p w14:paraId="1C73E8F3" w14:textId="77777777" w:rsidR="00B07BF3" w:rsidRPr="007D52D8" w:rsidRDefault="00B07BF3" w:rsidP="00A92415">
      <w:pPr>
        <w:pStyle w:val="ListParagraph"/>
        <w:numPr>
          <w:ilvl w:val="1"/>
          <w:numId w:val="1"/>
        </w:numPr>
        <w:spacing w:before="120" w:after="120"/>
        <w:jc w:val="both"/>
      </w:pPr>
      <w:r w:rsidRPr="007D52D8">
        <w:t>pretendentiem iepirkumos tiek izvirzītas ierobežojošas prasības, kas nosaka, ka uz piedāvājuma iesniegšanas brīdi būvniecības speciālistu kvalifikācijas prasībām jābūt atzītām saskaņā ar Latvijas normatīvajiem aktiem, kas saskaņā ar EK audita ziņojumā</w:t>
      </w:r>
      <w:r w:rsidRPr="007D52D8">
        <w:rPr>
          <w:rStyle w:val="FootnoteReference"/>
        </w:rPr>
        <w:footnoteReference w:id="2"/>
      </w:r>
      <w:r w:rsidRPr="007D52D8">
        <w:t xml:space="preserve"> pausto viedokli ir pretrunā EK direktīvu nosacījumiem. </w:t>
      </w:r>
      <w:r w:rsidR="00A87636">
        <w:t xml:space="preserve">Ņemot vērā, ka uz Revīzijas iestādes </w:t>
      </w:r>
      <w:r w:rsidR="00D40F06" w:rsidRPr="007D52D8">
        <w:t xml:space="preserve"> </w:t>
      </w:r>
      <w:r w:rsidR="00A87636">
        <w:t>A</w:t>
      </w:r>
      <w:r w:rsidR="00D40F06" w:rsidRPr="007D52D8">
        <w:t xml:space="preserve">tzinuma izsniegšanas brīdi vēl nebija noslēdzies saskaņošanas process ar EK, šis trūkums </w:t>
      </w:r>
      <w:r w:rsidR="00CF56F8">
        <w:t>netika</w:t>
      </w:r>
      <w:r w:rsidR="00D40F06" w:rsidRPr="007D52D8">
        <w:t xml:space="preserve"> iekļauts </w:t>
      </w:r>
      <w:r w:rsidR="00A87636">
        <w:t xml:space="preserve">Revīzijas iestādes </w:t>
      </w:r>
      <w:r w:rsidR="00D40F06" w:rsidRPr="007D52D8">
        <w:t xml:space="preserve">kļūdas aprēķinā par 2013.gadā deklarētajiem izdevumiem. </w:t>
      </w:r>
      <w:r w:rsidR="007C1041">
        <w:t>Periodā pēc 31.12.2014</w:t>
      </w:r>
      <w:r w:rsidR="00D40F06" w:rsidRPr="007D52D8">
        <w:t xml:space="preserve"> Revīzijas iestāde iden</w:t>
      </w:r>
      <w:r w:rsidR="00A87636">
        <w:t xml:space="preserve">tificēja papildus gadījumus, </w:t>
      </w:r>
      <w:r w:rsidR="007C1041">
        <w:t>kuriem varētu tikt piemērota finanšu korekcija dēļ ierobežojošu prasību noteikšanas būvniecības iepirkumos</w:t>
      </w:r>
      <w:r w:rsidR="00A87636">
        <w:t>. Tā rezultātā</w:t>
      </w:r>
      <w:r w:rsidR="007C1041">
        <w:t xml:space="preserve"> identificēta papildus iespējamā kļūda ap 400 tūkst. EUR un</w:t>
      </w:r>
      <w:r w:rsidR="00A87636">
        <w:t xml:space="preserve"> statistiski ap</w:t>
      </w:r>
      <w:r w:rsidR="00D40F06" w:rsidRPr="007D52D8">
        <w:t>rēķinātās kļūdas</w:t>
      </w:r>
      <w:r w:rsidR="00F1073B" w:rsidRPr="007D52D8">
        <w:t xml:space="preserve"> līmenis pārrēķināts no 0,93% uz</w:t>
      </w:r>
      <w:r w:rsidR="00D40F06" w:rsidRPr="007D52D8">
        <w:t xml:space="preserve"> </w:t>
      </w:r>
      <w:r w:rsidR="00F1073B" w:rsidRPr="007D52D8">
        <w:t>1,06</w:t>
      </w:r>
      <w:r w:rsidR="00D40F06" w:rsidRPr="007D52D8">
        <w:t xml:space="preserve">%, kas neietekmē </w:t>
      </w:r>
      <w:r w:rsidR="00A87636">
        <w:t xml:space="preserve">Revīzijas iestādes </w:t>
      </w:r>
      <w:r w:rsidR="00D40F06" w:rsidRPr="007D52D8">
        <w:t xml:space="preserve">izsniegto Atzinumu </w:t>
      </w:r>
      <w:r w:rsidR="00D40F06" w:rsidRPr="007D52D8">
        <w:rPr>
          <w:rFonts w:eastAsia="Calibri" w:cs="Times New Roman"/>
          <w:szCs w:val="24"/>
          <w:lang w:eastAsia="ar-SA"/>
        </w:rPr>
        <w:t xml:space="preserve">bez </w:t>
      </w:r>
      <w:proofErr w:type="spellStart"/>
      <w:r w:rsidR="00D40F06" w:rsidRPr="007D52D8">
        <w:rPr>
          <w:rFonts w:eastAsia="Calibri" w:cs="Times New Roman"/>
          <w:szCs w:val="24"/>
          <w:lang w:eastAsia="ar-SA"/>
        </w:rPr>
        <w:t>iebildēm</w:t>
      </w:r>
      <w:proofErr w:type="spellEnd"/>
      <w:r w:rsidR="00D40F06" w:rsidRPr="007D52D8">
        <w:t>, jo</w:t>
      </w:r>
      <w:r w:rsidR="00D40F06" w:rsidRPr="007D52D8">
        <w:rPr>
          <w:rFonts w:eastAsia="Calibri" w:cs="Times New Roman"/>
          <w:szCs w:val="24"/>
          <w:lang w:eastAsia="ar-SA"/>
        </w:rPr>
        <w:t xml:space="preserve"> kļūda </w:t>
      </w:r>
      <w:r w:rsidR="007C1041">
        <w:rPr>
          <w:rFonts w:eastAsia="Calibri" w:cs="Times New Roman"/>
          <w:szCs w:val="24"/>
          <w:lang w:eastAsia="ar-SA"/>
        </w:rPr>
        <w:t xml:space="preserve">aizvien </w:t>
      </w:r>
      <w:r w:rsidR="00D40F06" w:rsidRPr="007D52D8">
        <w:rPr>
          <w:rFonts w:eastAsia="Calibri" w:cs="Times New Roman"/>
          <w:szCs w:val="24"/>
          <w:lang w:eastAsia="ar-SA"/>
        </w:rPr>
        <w:t>ir zemāka par EK noteikto būtiskuma slieksni (2%).</w:t>
      </w:r>
    </w:p>
    <w:p w14:paraId="25BC7318" w14:textId="77777777" w:rsidR="00B07BF3" w:rsidRPr="00060F94" w:rsidRDefault="00B07BF3" w:rsidP="00A92415">
      <w:pPr>
        <w:pStyle w:val="ListParagraph"/>
        <w:numPr>
          <w:ilvl w:val="0"/>
          <w:numId w:val="1"/>
        </w:numPr>
        <w:spacing w:before="120" w:after="120"/>
        <w:jc w:val="both"/>
      </w:pPr>
      <w:r w:rsidRPr="007D52D8">
        <w:t xml:space="preserve">Lai pilnveidotu izveidoto publisko iepirkumu sistēmu Eiropas Savienības fondu vadībā, 2012.gadā un 2013.gadā tika ieviesti vairāki pasākumi visu līmeņu institūcijās, par kuriem tika ziņots </w:t>
      </w:r>
      <w:r w:rsidR="00A87636">
        <w:t>informatīvajos ziņojumos</w:t>
      </w:r>
      <w:r w:rsidRPr="007D52D8">
        <w:t xml:space="preserve"> par 2012.gadu un 2013.gadu. 2012.gada 1.augustā stājās spēkā arī Publisko iepirkumu likuma grozījumi par apakšuzņēmēju piesaistes ierobežošana</w:t>
      </w:r>
      <w:r w:rsidR="00A87636">
        <w:t>s</w:t>
      </w:r>
      <w:r w:rsidRPr="007D52D8">
        <w:t xml:space="preserve"> atcelšanu, līdz ar to tiek novērsts trūkums, kas norādīts iepriekš minētajā EK audita ziņojuma projektā</w:t>
      </w:r>
      <w:r w:rsidRPr="00060F94">
        <w:rPr>
          <w:rStyle w:val="FootnoteReference"/>
        </w:rPr>
        <w:footnoteReference w:id="3"/>
      </w:r>
      <w:r w:rsidRPr="00060F94">
        <w:t xml:space="preserve">. </w:t>
      </w:r>
      <w:r w:rsidRPr="00342029">
        <w:t xml:space="preserve">2014.gadā </w:t>
      </w:r>
      <w:r>
        <w:t xml:space="preserve">tika veikti finansējuma saņēmēju izglītošanas pasākumi, lai korekti ieviestu praksē pilnveidoto normatīvo aktu nosacījumus un veicinātu finansējuma saņēmēju izpratni par iepirkumu veikšanu. </w:t>
      </w:r>
    </w:p>
    <w:p w14:paraId="499817C4" w14:textId="77777777" w:rsidR="0085313B" w:rsidRPr="00E278EF" w:rsidRDefault="0085313B" w:rsidP="0085313B">
      <w:pPr>
        <w:tabs>
          <w:tab w:val="right" w:pos="9072"/>
        </w:tabs>
        <w:suppressAutoHyphens/>
        <w:rPr>
          <w:rFonts w:eastAsia="Calibri" w:cs="Times New Roman"/>
          <w:szCs w:val="24"/>
          <w:highlight w:val="yellow"/>
          <w:lang w:eastAsia="ar-SA"/>
        </w:rPr>
      </w:pPr>
    </w:p>
    <w:p w14:paraId="6AD48EF2" w14:textId="77777777" w:rsidR="009F3A92" w:rsidRDefault="009F3A92" w:rsidP="0085313B">
      <w:pPr>
        <w:tabs>
          <w:tab w:val="right" w:pos="9072"/>
        </w:tabs>
        <w:suppressAutoHyphens/>
        <w:rPr>
          <w:rFonts w:eastAsia="Calibri" w:cs="Times New Roman"/>
          <w:szCs w:val="24"/>
          <w:lang w:eastAsia="ar-SA"/>
        </w:rPr>
      </w:pPr>
    </w:p>
    <w:p w14:paraId="777CC476" w14:textId="77777777" w:rsidR="009F3A92" w:rsidRDefault="009F3A92" w:rsidP="0085313B">
      <w:pPr>
        <w:tabs>
          <w:tab w:val="right" w:pos="9072"/>
        </w:tabs>
        <w:suppressAutoHyphens/>
        <w:rPr>
          <w:rFonts w:eastAsia="Calibri" w:cs="Times New Roman"/>
          <w:szCs w:val="24"/>
          <w:lang w:eastAsia="ar-SA"/>
        </w:rPr>
      </w:pPr>
    </w:p>
    <w:p w14:paraId="0889C819" w14:textId="77777777" w:rsidR="0085313B" w:rsidRPr="004F1233" w:rsidRDefault="0085313B" w:rsidP="0085313B">
      <w:pPr>
        <w:tabs>
          <w:tab w:val="right" w:pos="9072"/>
        </w:tabs>
        <w:suppressAutoHyphens/>
        <w:rPr>
          <w:rFonts w:eastAsia="Calibri" w:cs="Times New Roman"/>
          <w:szCs w:val="24"/>
          <w:lang w:eastAsia="ar-SA"/>
        </w:rPr>
      </w:pPr>
      <w:r w:rsidRPr="004F1233">
        <w:rPr>
          <w:rFonts w:eastAsia="Calibri" w:cs="Times New Roman"/>
          <w:szCs w:val="24"/>
          <w:lang w:eastAsia="ar-SA"/>
        </w:rPr>
        <w:t>Finanšu ministrs</w:t>
      </w:r>
      <w:r w:rsidRPr="004F1233">
        <w:rPr>
          <w:rFonts w:eastAsia="Calibri" w:cs="Times New Roman"/>
          <w:szCs w:val="24"/>
          <w:lang w:eastAsia="ar-SA"/>
        </w:rPr>
        <w:tab/>
      </w:r>
      <w:r w:rsidR="00F4340B">
        <w:rPr>
          <w:rFonts w:eastAsia="Calibri" w:cs="Times New Roman"/>
          <w:szCs w:val="24"/>
          <w:lang w:eastAsia="ar-SA"/>
        </w:rPr>
        <w:t>Jānis Reirs</w:t>
      </w:r>
      <w:r w:rsidRPr="004F1233">
        <w:rPr>
          <w:rFonts w:eastAsia="Calibri" w:cs="Times New Roman"/>
          <w:szCs w:val="24"/>
          <w:lang w:eastAsia="ar-SA"/>
        </w:rPr>
        <w:t> </w:t>
      </w:r>
    </w:p>
    <w:p w14:paraId="28CE29D8" w14:textId="77777777" w:rsidR="007F3640" w:rsidRDefault="007F3640" w:rsidP="0085313B">
      <w:pPr>
        <w:tabs>
          <w:tab w:val="left" w:pos="7938"/>
        </w:tabs>
        <w:suppressAutoHyphens/>
        <w:rPr>
          <w:rFonts w:eastAsia="Calibri" w:cs="Times New Roman"/>
          <w:szCs w:val="24"/>
          <w:lang w:eastAsia="ar-SA"/>
        </w:rPr>
      </w:pPr>
    </w:p>
    <w:p w14:paraId="0828173E" w14:textId="77777777" w:rsidR="007F3640" w:rsidRDefault="007F3640" w:rsidP="0085313B">
      <w:pPr>
        <w:tabs>
          <w:tab w:val="left" w:pos="7938"/>
        </w:tabs>
        <w:suppressAutoHyphens/>
        <w:rPr>
          <w:rFonts w:eastAsia="Calibri" w:cs="Times New Roman"/>
          <w:szCs w:val="24"/>
          <w:lang w:eastAsia="ar-SA"/>
        </w:rPr>
      </w:pPr>
    </w:p>
    <w:p w14:paraId="05105BDA" w14:textId="77777777" w:rsidR="007F3640" w:rsidRDefault="007F3640" w:rsidP="0085313B">
      <w:pPr>
        <w:tabs>
          <w:tab w:val="left" w:pos="7938"/>
        </w:tabs>
        <w:suppressAutoHyphens/>
        <w:rPr>
          <w:rFonts w:eastAsia="Calibri" w:cs="Times New Roman"/>
          <w:szCs w:val="24"/>
          <w:lang w:eastAsia="ar-SA"/>
        </w:rPr>
      </w:pPr>
    </w:p>
    <w:p w14:paraId="5FA061C1" w14:textId="77777777" w:rsidR="007F3640" w:rsidRDefault="007F3640" w:rsidP="0085313B">
      <w:pPr>
        <w:tabs>
          <w:tab w:val="left" w:pos="7938"/>
        </w:tabs>
        <w:suppressAutoHyphens/>
        <w:rPr>
          <w:rFonts w:eastAsia="Calibri" w:cs="Times New Roman"/>
          <w:szCs w:val="24"/>
          <w:lang w:eastAsia="ar-SA"/>
        </w:rPr>
      </w:pPr>
    </w:p>
    <w:p w14:paraId="26D325B9" w14:textId="77777777" w:rsidR="0085313B" w:rsidRPr="004F1233" w:rsidRDefault="0085313B" w:rsidP="0085313B">
      <w:pPr>
        <w:tabs>
          <w:tab w:val="left" w:pos="7938"/>
        </w:tabs>
        <w:suppressAutoHyphens/>
        <w:rPr>
          <w:rFonts w:eastAsia="Calibri" w:cs="Times New Roman"/>
          <w:szCs w:val="24"/>
          <w:lang w:eastAsia="ar-SA"/>
        </w:rPr>
      </w:pPr>
      <w:r w:rsidRPr="004F1233">
        <w:rPr>
          <w:rFonts w:eastAsia="Calibri" w:cs="Times New Roman"/>
          <w:szCs w:val="24"/>
          <w:lang w:eastAsia="ar-SA"/>
        </w:rPr>
        <w:tab/>
      </w:r>
    </w:p>
    <w:p w14:paraId="0D5AE04F" w14:textId="77777777" w:rsidR="0085313B" w:rsidRPr="004F1233" w:rsidRDefault="0085313B" w:rsidP="0085313B">
      <w:pPr>
        <w:tabs>
          <w:tab w:val="left" w:pos="7938"/>
        </w:tabs>
        <w:suppressAutoHyphens/>
        <w:rPr>
          <w:rFonts w:eastAsia="Calibri" w:cs="Times New Roman"/>
          <w:szCs w:val="24"/>
          <w:lang w:eastAsia="ar-SA"/>
        </w:rPr>
      </w:pPr>
    </w:p>
    <w:p w14:paraId="725BEFB8" w14:textId="77777777" w:rsidR="0085313B" w:rsidRDefault="0085313B" w:rsidP="0085313B">
      <w:pPr>
        <w:suppressAutoHyphens/>
        <w:rPr>
          <w:rFonts w:eastAsia="Calibri" w:cs="Times New Roman"/>
          <w:sz w:val="18"/>
          <w:szCs w:val="18"/>
          <w:lang w:eastAsia="ar-SA"/>
        </w:rPr>
      </w:pPr>
      <w:r w:rsidRPr="004F1233">
        <w:rPr>
          <w:rFonts w:eastAsia="Calibri" w:cs="Times New Roman"/>
          <w:sz w:val="18"/>
          <w:szCs w:val="18"/>
          <w:lang w:eastAsia="ar-SA"/>
        </w:rPr>
        <w:fldChar w:fldCharType="begin"/>
      </w:r>
      <w:r w:rsidRPr="004F1233">
        <w:rPr>
          <w:rFonts w:eastAsia="Calibri" w:cs="Times New Roman"/>
          <w:sz w:val="18"/>
          <w:szCs w:val="18"/>
          <w:lang w:eastAsia="ar-SA"/>
        </w:rPr>
        <w:instrText xml:space="preserve"> TIME \@ "dd.MM.yyyy H:mm" </w:instrText>
      </w:r>
      <w:r w:rsidRPr="004F1233">
        <w:rPr>
          <w:rFonts w:eastAsia="Calibri" w:cs="Times New Roman"/>
          <w:sz w:val="18"/>
          <w:szCs w:val="18"/>
          <w:lang w:eastAsia="ar-SA"/>
        </w:rPr>
        <w:fldChar w:fldCharType="separate"/>
      </w:r>
      <w:r w:rsidR="00EF439E">
        <w:rPr>
          <w:rFonts w:eastAsia="Calibri" w:cs="Times New Roman"/>
          <w:noProof/>
          <w:sz w:val="18"/>
          <w:szCs w:val="18"/>
          <w:lang w:eastAsia="ar-SA"/>
        </w:rPr>
        <w:t>11.02.2015 9:01</w:t>
      </w:r>
      <w:r w:rsidRPr="004F1233">
        <w:rPr>
          <w:rFonts w:eastAsia="Calibri" w:cs="Times New Roman"/>
          <w:sz w:val="18"/>
          <w:szCs w:val="18"/>
          <w:lang w:eastAsia="ar-SA"/>
        </w:rPr>
        <w:fldChar w:fldCharType="end"/>
      </w:r>
    </w:p>
    <w:p w14:paraId="4C084873" w14:textId="74E44F93" w:rsidR="00B060D9" w:rsidRDefault="0058379E" w:rsidP="00B060D9">
      <w:pPr>
        <w:suppressAutoHyphens/>
        <w:rPr>
          <w:rFonts w:eastAsia="Calibri" w:cs="Times New Roman"/>
          <w:sz w:val="18"/>
          <w:szCs w:val="18"/>
          <w:lang w:eastAsia="ar-SA"/>
        </w:rPr>
      </w:pPr>
      <w:r>
        <w:rPr>
          <w:rFonts w:eastAsia="Calibri" w:cs="Times New Roman"/>
          <w:sz w:val="18"/>
          <w:szCs w:val="18"/>
          <w:lang w:eastAsia="ar-SA"/>
        </w:rPr>
        <w:t>1663</w:t>
      </w:r>
    </w:p>
    <w:p w14:paraId="74D03F1D" w14:textId="77777777" w:rsidR="0029469A" w:rsidRPr="004F1233" w:rsidRDefault="0085313B" w:rsidP="0085313B">
      <w:pPr>
        <w:suppressAutoHyphens/>
        <w:rPr>
          <w:rFonts w:eastAsia="Calibri" w:cs="Times New Roman"/>
          <w:sz w:val="18"/>
          <w:szCs w:val="18"/>
          <w:lang w:eastAsia="ar-SA"/>
        </w:rPr>
      </w:pPr>
      <w:proofErr w:type="spellStart"/>
      <w:r w:rsidRPr="004F1233">
        <w:rPr>
          <w:rFonts w:eastAsia="Calibri" w:cs="Times New Roman"/>
          <w:sz w:val="18"/>
          <w:szCs w:val="18"/>
          <w:lang w:eastAsia="ar-SA"/>
        </w:rPr>
        <w:t>N.Lasmane</w:t>
      </w:r>
      <w:proofErr w:type="spellEnd"/>
      <w:r w:rsidRPr="004F1233">
        <w:rPr>
          <w:rFonts w:eastAsia="Calibri" w:cs="Times New Roman"/>
          <w:sz w:val="18"/>
          <w:szCs w:val="18"/>
          <w:lang w:eastAsia="ar-SA"/>
        </w:rPr>
        <w:t xml:space="preserve"> </w:t>
      </w:r>
    </w:p>
    <w:p w14:paraId="7412257B" w14:textId="77777777" w:rsidR="0085313B" w:rsidRPr="004F1233" w:rsidRDefault="0085313B" w:rsidP="0085313B">
      <w:pPr>
        <w:suppressAutoHyphens/>
        <w:rPr>
          <w:rFonts w:eastAsia="Calibri" w:cs="Times New Roman"/>
          <w:sz w:val="18"/>
          <w:szCs w:val="18"/>
          <w:lang w:eastAsia="ar-SA"/>
        </w:rPr>
      </w:pPr>
      <w:r w:rsidRPr="004F1233">
        <w:rPr>
          <w:rFonts w:eastAsia="Calibri" w:cs="Times New Roman"/>
          <w:sz w:val="18"/>
          <w:szCs w:val="18"/>
          <w:lang w:eastAsia="ar-SA"/>
        </w:rPr>
        <w:t>Finanšu ministrijas</w:t>
      </w:r>
    </w:p>
    <w:p w14:paraId="7734D9E3" w14:textId="77777777" w:rsidR="0085313B" w:rsidRPr="004F1233" w:rsidRDefault="0085313B" w:rsidP="0085313B">
      <w:pPr>
        <w:suppressAutoHyphens/>
        <w:rPr>
          <w:rFonts w:eastAsia="Calibri" w:cs="Times New Roman"/>
          <w:sz w:val="18"/>
          <w:szCs w:val="18"/>
          <w:lang w:eastAsia="ar-SA"/>
        </w:rPr>
      </w:pPr>
      <w:r w:rsidRPr="004F1233">
        <w:rPr>
          <w:rFonts w:eastAsia="Calibri" w:cs="Times New Roman"/>
          <w:sz w:val="18"/>
          <w:szCs w:val="18"/>
          <w:lang w:eastAsia="ar-SA"/>
        </w:rPr>
        <w:t>ES fondu revīzijas departamenta</w:t>
      </w:r>
    </w:p>
    <w:p w14:paraId="4197E38F" w14:textId="77777777" w:rsidR="0085313B" w:rsidRPr="004F1233" w:rsidRDefault="0085313B" w:rsidP="0085313B">
      <w:pPr>
        <w:suppressAutoHyphens/>
        <w:rPr>
          <w:rFonts w:eastAsia="Calibri" w:cs="Times New Roman"/>
          <w:sz w:val="18"/>
          <w:szCs w:val="18"/>
          <w:lang w:eastAsia="ar-SA"/>
        </w:rPr>
      </w:pPr>
      <w:r w:rsidRPr="004F1233">
        <w:rPr>
          <w:rFonts w:eastAsia="Calibri" w:cs="Times New Roman"/>
          <w:sz w:val="18"/>
          <w:szCs w:val="18"/>
          <w:lang w:eastAsia="ar-SA"/>
        </w:rPr>
        <w:t>direktore</w:t>
      </w:r>
    </w:p>
    <w:p w14:paraId="7B01B5CB" w14:textId="77777777" w:rsidR="0085313B" w:rsidRPr="004F1233" w:rsidRDefault="0085313B" w:rsidP="0085313B">
      <w:pPr>
        <w:suppressAutoHyphens/>
        <w:rPr>
          <w:rFonts w:eastAsia="Calibri" w:cs="Times New Roman"/>
          <w:sz w:val="18"/>
          <w:szCs w:val="18"/>
          <w:lang w:eastAsia="ar-SA"/>
        </w:rPr>
      </w:pPr>
      <w:r w:rsidRPr="004F1233">
        <w:rPr>
          <w:rFonts w:eastAsia="Calibri" w:cs="Times New Roman"/>
          <w:sz w:val="18"/>
          <w:szCs w:val="18"/>
          <w:lang w:eastAsia="ar-SA"/>
        </w:rPr>
        <w:t xml:space="preserve">67095669; Fakss 67095679 </w:t>
      </w:r>
    </w:p>
    <w:p w14:paraId="0BA82C94" w14:textId="77777777" w:rsidR="0085313B" w:rsidRPr="00D135A9" w:rsidRDefault="00EF439E" w:rsidP="0085313B">
      <w:pPr>
        <w:suppressAutoHyphens/>
        <w:rPr>
          <w:rFonts w:eastAsia="Calibri" w:cs="Times New Roman"/>
          <w:sz w:val="18"/>
          <w:szCs w:val="18"/>
          <w:lang w:eastAsia="ar-SA"/>
        </w:rPr>
      </w:pPr>
      <w:hyperlink r:id="rId10" w:history="1">
        <w:r w:rsidR="0085313B" w:rsidRPr="004F1233">
          <w:rPr>
            <w:rFonts w:eastAsia="Calibri" w:cs="Times New Roman"/>
            <w:color w:val="0000FF"/>
            <w:sz w:val="18"/>
            <w:szCs w:val="18"/>
            <w:u w:val="single"/>
            <w:lang w:eastAsia="ar-SA"/>
          </w:rPr>
          <w:t>nata.lasmane@fm.gov.lv</w:t>
        </w:r>
      </w:hyperlink>
      <w:r w:rsidR="0085313B" w:rsidRPr="00D135A9">
        <w:rPr>
          <w:rFonts w:eastAsia="Calibri" w:cs="Times New Roman"/>
          <w:sz w:val="18"/>
          <w:szCs w:val="18"/>
          <w:lang w:eastAsia="ar-SA"/>
        </w:rPr>
        <w:t xml:space="preserve">  </w:t>
      </w:r>
      <w:r w:rsidR="0085313B" w:rsidRPr="00D135A9">
        <w:rPr>
          <w:rFonts w:eastAsia="Calibri" w:cs="Times New Roman"/>
          <w:sz w:val="28"/>
          <w:lang w:eastAsia="ar-SA"/>
        </w:rPr>
        <w:t xml:space="preserve"> </w:t>
      </w:r>
    </w:p>
    <w:p w14:paraId="4DC2D8BF" w14:textId="77777777" w:rsidR="0085313B" w:rsidRDefault="0085313B" w:rsidP="0085313B">
      <w:pPr>
        <w:suppressAutoHyphens/>
        <w:rPr>
          <w:rFonts w:eastAsia="Calibri" w:cs="Times New Roman"/>
          <w:b/>
          <w:sz w:val="22"/>
          <w:lang w:eastAsia="ar-SA"/>
        </w:rPr>
      </w:pPr>
    </w:p>
    <w:p w14:paraId="4701ECF4" w14:textId="77777777" w:rsidR="007C6AE9" w:rsidRPr="00D135A9" w:rsidRDefault="007C6AE9"/>
    <w:sectPr w:rsidR="007C6AE9" w:rsidRPr="00D135A9" w:rsidSect="004F1233">
      <w:footerReference w:type="default" r:id="rId11"/>
      <w:type w:val="continuous"/>
      <w:pgSz w:w="11905" w:h="16837"/>
      <w:pgMar w:top="1418" w:right="1134" w:bottom="1134" w:left="1134" w:header="72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278F9" w14:textId="77777777" w:rsidR="00FE1AB6" w:rsidRDefault="00FE1AB6" w:rsidP="0085313B">
      <w:r>
        <w:separator/>
      </w:r>
    </w:p>
  </w:endnote>
  <w:endnote w:type="continuationSeparator" w:id="0">
    <w:p w14:paraId="6CC48CEA" w14:textId="77777777" w:rsidR="00FE1AB6" w:rsidRDefault="00FE1AB6" w:rsidP="0085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30C95" w14:textId="77777777" w:rsidR="00A930EC" w:rsidRDefault="00A930EC">
    <w:pPr>
      <w:pStyle w:val="Footer"/>
      <w:jc w:val="center"/>
      <w:rPr>
        <w:sz w:val="24"/>
        <w:szCs w:val="24"/>
      </w:rPr>
    </w:pPr>
    <w:r w:rsidRPr="004F1233">
      <w:rPr>
        <w:sz w:val="24"/>
        <w:szCs w:val="24"/>
      </w:rPr>
      <w:fldChar w:fldCharType="begin"/>
    </w:r>
    <w:r w:rsidRPr="004F1233">
      <w:rPr>
        <w:sz w:val="24"/>
        <w:szCs w:val="24"/>
      </w:rPr>
      <w:instrText xml:space="preserve"> PAGE </w:instrText>
    </w:r>
    <w:r w:rsidRPr="004F1233">
      <w:rPr>
        <w:sz w:val="24"/>
        <w:szCs w:val="24"/>
      </w:rPr>
      <w:fldChar w:fldCharType="separate"/>
    </w:r>
    <w:r w:rsidR="00EF439E">
      <w:rPr>
        <w:noProof/>
        <w:sz w:val="24"/>
        <w:szCs w:val="24"/>
      </w:rPr>
      <w:t>5</w:t>
    </w:r>
    <w:r w:rsidRPr="004F1233">
      <w:rPr>
        <w:sz w:val="24"/>
        <w:szCs w:val="24"/>
      </w:rPr>
      <w:fldChar w:fldCharType="end"/>
    </w:r>
  </w:p>
  <w:p w14:paraId="45D66806" w14:textId="2AB78BB9" w:rsidR="00A930EC" w:rsidRPr="005D7A73" w:rsidRDefault="005D7A73" w:rsidP="00D4060B">
    <w:pPr>
      <w:pStyle w:val="Footer"/>
      <w:tabs>
        <w:tab w:val="clear" w:pos="8306"/>
      </w:tabs>
      <w:ind w:right="-425"/>
      <w:jc w:val="center"/>
      <w:rPr>
        <w:sz w:val="20"/>
        <w:szCs w:val="20"/>
      </w:rPr>
    </w:pPr>
    <w:r w:rsidRPr="00F10840">
      <w:rPr>
        <w:sz w:val="18"/>
        <w:szCs w:val="18"/>
      </w:rPr>
      <w:fldChar w:fldCharType="begin"/>
    </w:r>
    <w:r w:rsidRPr="00F10840">
      <w:rPr>
        <w:sz w:val="18"/>
        <w:szCs w:val="18"/>
      </w:rPr>
      <w:instrText xml:space="preserve"> FILENAME   \* MERGEFORMAT </w:instrText>
    </w:r>
    <w:r w:rsidRPr="00F10840">
      <w:rPr>
        <w:sz w:val="18"/>
        <w:szCs w:val="18"/>
      </w:rPr>
      <w:fldChar w:fldCharType="separate"/>
    </w:r>
    <w:r w:rsidR="00C828AD">
      <w:rPr>
        <w:noProof/>
        <w:sz w:val="18"/>
        <w:szCs w:val="18"/>
      </w:rPr>
      <w:t>FMzino_11</w:t>
    </w:r>
    <w:r w:rsidR="0093537F">
      <w:rPr>
        <w:noProof/>
        <w:sz w:val="18"/>
        <w:szCs w:val="18"/>
      </w:rPr>
      <w:t>02</w:t>
    </w:r>
    <w:r>
      <w:rPr>
        <w:noProof/>
        <w:sz w:val="18"/>
        <w:szCs w:val="18"/>
      </w:rPr>
      <w:t>201</w:t>
    </w:r>
    <w:r w:rsidR="00F77E42">
      <w:rPr>
        <w:noProof/>
        <w:sz w:val="18"/>
        <w:szCs w:val="18"/>
      </w:rPr>
      <w:t>5</w:t>
    </w:r>
    <w:r>
      <w:rPr>
        <w:noProof/>
        <w:sz w:val="18"/>
        <w:szCs w:val="18"/>
      </w:rPr>
      <w:t>_RI_rez</w:t>
    </w:r>
    <w:r w:rsidRPr="00F10840">
      <w:rPr>
        <w:sz w:val="18"/>
        <w:szCs w:val="18"/>
      </w:rPr>
      <w:fldChar w:fldCharType="end"/>
    </w:r>
    <w:r>
      <w:rPr>
        <w:sz w:val="18"/>
        <w:szCs w:val="18"/>
      </w:rPr>
      <w:t xml:space="preserve">; </w:t>
    </w:r>
    <w:r w:rsidRPr="00F10840">
      <w:rPr>
        <w:sz w:val="18"/>
        <w:szCs w:val="18"/>
      </w:rPr>
      <w:t>Informatī</w:t>
    </w:r>
    <w:r>
      <w:rPr>
        <w:sz w:val="18"/>
        <w:szCs w:val="18"/>
      </w:rPr>
      <w:t>vais ziņojums par Revīzijas</w:t>
    </w:r>
    <w:r w:rsidR="00D4060B">
      <w:rPr>
        <w:sz w:val="18"/>
        <w:szCs w:val="18"/>
      </w:rPr>
      <w:t xml:space="preserve"> iestādes</w:t>
    </w:r>
    <w:r>
      <w:rPr>
        <w:sz w:val="18"/>
        <w:szCs w:val="18"/>
      </w:rPr>
      <w:t xml:space="preserve"> 201</w:t>
    </w:r>
    <w:r w:rsidR="00F77E42">
      <w:rPr>
        <w:sz w:val="18"/>
        <w:szCs w:val="18"/>
      </w:rPr>
      <w:t>4</w:t>
    </w:r>
    <w:r w:rsidRPr="00F10840">
      <w:rPr>
        <w:sz w:val="18"/>
        <w:szCs w:val="18"/>
      </w:rPr>
      <w:t>.gada Eiropas Savienības fondu revīziju rezultātiem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73F6D" w14:textId="77777777" w:rsidR="00FE1AB6" w:rsidRDefault="00FE1AB6" w:rsidP="0085313B">
      <w:r>
        <w:separator/>
      </w:r>
    </w:p>
  </w:footnote>
  <w:footnote w:type="continuationSeparator" w:id="0">
    <w:p w14:paraId="4A703804" w14:textId="77777777" w:rsidR="00FE1AB6" w:rsidRDefault="00FE1AB6" w:rsidP="0085313B">
      <w:r>
        <w:continuationSeparator/>
      </w:r>
    </w:p>
  </w:footnote>
  <w:footnote w:id="1">
    <w:p w14:paraId="5085C197" w14:textId="77777777" w:rsidR="00B07BF3" w:rsidRPr="0087736B" w:rsidRDefault="00B07BF3" w:rsidP="00B07BF3">
      <w:pPr>
        <w:pStyle w:val="FootnoteText"/>
      </w:pPr>
      <w:r w:rsidRPr="0011364A">
        <w:rPr>
          <w:rStyle w:val="FootnoteReference"/>
        </w:rPr>
        <w:footnoteRef/>
      </w:r>
      <w:r w:rsidRPr="0011364A">
        <w:t xml:space="preserve"> </w:t>
      </w:r>
      <w:r w:rsidR="00A87636">
        <w:t xml:space="preserve">Eiropas Komisijas Reģionālās politikas un </w:t>
      </w:r>
      <w:proofErr w:type="spellStart"/>
      <w:r w:rsidR="00A87636">
        <w:t>pilsētpolitikas</w:t>
      </w:r>
      <w:proofErr w:type="spellEnd"/>
      <w:r w:rsidR="00A87636">
        <w:t xml:space="preserve"> ģenerāldirektorāta (turpmāk - DG REGIO) </w:t>
      </w:r>
      <w:r w:rsidRPr="0011364A">
        <w:t>audita misija Nr.</w:t>
      </w:r>
      <w:r w:rsidRPr="0011364A">
        <w:rPr>
          <w:lang w:val="en-GB"/>
        </w:rPr>
        <w:t xml:space="preserve"> 2013/LV/REGIO/C2/1285/1</w:t>
      </w:r>
      <w:r w:rsidRPr="0011364A">
        <w:t xml:space="preserve"> </w:t>
      </w:r>
      <w:r w:rsidRPr="0011364A">
        <w:rPr>
          <w:i/>
          <w:iCs/>
        </w:rPr>
        <w:t>„</w:t>
      </w:r>
      <w:proofErr w:type="spellStart"/>
      <w:r w:rsidRPr="0011364A">
        <w:rPr>
          <w:i/>
        </w:rPr>
        <w:t>Bridging</w:t>
      </w:r>
      <w:proofErr w:type="spellEnd"/>
      <w:r w:rsidRPr="0011364A">
        <w:rPr>
          <w:i/>
        </w:rPr>
        <w:t xml:space="preserve"> </w:t>
      </w:r>
      <w:proofErr w:type="spellStart"/>
      <w:r w:rsidRPr="0011364A">
        <w:rPr>
          <w:i/>
        </w:rPr>
        <w:t>the</w:t>
      </w:r>
      <w:proofErr w:type="spellEnd"/>
      <w:r w:rsidRPr="0011364A">
        <w:rPr>
          <w:i/>
        </w:rPr>
        <w:t xml:space="preserve"> </w:t>
      </w:r>
      <w:proofErr w:type="spellStart"/>
      <w:r w:rsidRPr="0011364A">
        <w:rPr>
          <w:i/>
        </w:rPr>
        <w:t>assurance</w:t>
      </w:r>
      <w:proofErr w:type="spellEnd"/>
      <w:r w:rsidRPr="0011364A">
        <w:rPr>
          <w:i/>
        </w:rPr>
        <w:t xml:space="preserve"> </w:t>
      </w:r>
      <w:proofErr w:type="spellStart"/>
      <w:r w:rsidRPr="0011364A">
        <w:rPr>
          <w:i/>
        </w:rPr>
        <w:t>gap</w:t>
      </w:r>
      <w:proofErr w:type="spellEnd"/>
      <w:r w:rsidRPr="0011364A">
        <w:rPr>
          <w:i/>
          <w:iCs/>
        </w:rPr>
        <w:t>”</w:t>
      </w:r>
      <w:r w:rsidRPr="0011364A">
        <w:rPr>
          <w:iCs/>
        </w:rPr>
        <w:t>.</w:t>
      </w:r>
      <w:r w:rsidRPr="0011364A">
        <w:rPr>
          <w:i/>
          <w:iCs/>
        </w:rPr>
        <w:t xml:space="preserve"> </w:t>
      </w:r>
      <w:r w:rsidRPr="0011364A">
        <w:t>Pašlaik notie</w:t>
      </w:r>
      <w:r w:rsidR="00C1740B">
        <w:t>k ziņojuma saskaņošanas process</w:t>
      </w:r>
    </w:p>
  </w:footnote>
  <w:footnote w:id="2">
    <w:p w14:paraId="3660A003" w14:textId="77777777" w:rsidR="00B07BF3" w:rsidRPr="00B07BF3" w:rsidRDefault="00B07BF3" w:rsidP="00B07BF3">
      <w:pPr>
        <w:pStyle w:val="FootnoteText"/>
        <w:rPr>
          <w:i/>
          <w:iCs/>
        </w:rPr>
      </w:pPr>
      <w:r>
        <w:rPr>
          <w:rStyle w:val="FootnoteReference"/>
        </w:rPr>
        <w:footnoteRef/>
      </w:r>
      <w:r>
        <w:t xml:space="preserve"> </w:t>
      </w:r>
      <w:r w:rsidRPr="00E46326">
        <w:t xml:space="preserve"> </w:t>
      </w:r>
      <w:r w:rsidRPr="00B07BF3">
        <w:t>DG REGIO audita misija Nr.</w:t>
      </w:r>
      <w:r w:rsidRPr="00B07BF3">
        <w:rPr>
          <w:lang w:val="en-GB"/>
        </w:rPr>
        <w:t xml:space="preserve"> </w:t>
      </w:r>
      <w:r w:rsidRPr="00B07BF3">
        <w:t xml:space="preserve">2013/LV/REGIO/C2/1242/1 </w:t>
      </w:r>
      <w:r w:rsidRPr="00B07BF3">
        <w:rPr>
          <w:i/>
          <w:iCs/>
        </w:rPr>
        <w:t>„</w:t>
      </w:r>
      <w:proofErr w:type="spellStart"/>
      <w:r w:rsidRPr="00B07BF3">
        <w:rPr>
          <w:i/>
        </w:rPr>
        <w:t>Review</w:t>
      </w:r>
      <w:proofErr w:type="spellEnd"/>
      <w:r w:rsidRPr="00B07BF3">
        <w:rPr>
          <w:i/>
        </w:rPr>
        <w:t xml:space="preserve"> </w:t>
      </w:r>
      <w:proofErr w:type="spellStart"/>
      <w:r w:rsidRPr="00B07BF3">
        <w:rPr>
          <w:i/>
        </w:rPr>
        <w:t>of</w:t>
      </w:r>
      <w:proofErr w:type="spellEnd"/>
      <w:r w:rsidRPr="00B07BF3">
        <w:rPr>
          <w:i/>
        </w:rPr>
        <w:t xml:space="preserve"> </w:t>
      </w:r>
      <w:proofErr w:type="spellStart"/>
      <w:r w:rsidRPr="00B07BF3">
        <w:rPr>
          <w:i/>
        </w:rPr>
        <w:t>the</w:t>
      </w:r>
      <w:proofErr w:type="spellEnd"/>
      <w:r w:rsidRPr="00B07BF3">
        <w:rPr>
          <w:i/>
        </w:rPr>
        <w:t xml:space="preserve"> </w:t>
      </w:r>
      <w:proofErr w:type="spellStart"/>
      <w:r w:rsidRPr="00B07BF3">
        <w:rPr>
          <w:i/>
        </w:rPr>
        <w:t>work</w:t>
      </w:r>
      <w:proofErr w:type="spellEnd"/>
      <w:r w:rsidRPr="00B07BF3">
        <w:rPr>
          <w:i/>
        </w:rPr>
        <w:t xml:space="preserve"> </w:t>
      </w:r>
      <w:proofErr w:type="spellStart"/>
      <w:r w:rsidRPr="00B07BF3">
        <w:rPr>
          <w:i/>
        </w:rPr>
        <w:t>of</w:t>
      </w:r>
      <w:proofErr w:type="spellEnd"/>
      <w:r w:rsidRPr="00B07BF3">
        <w:rPr>
          <w:i/>
        </w:rPr>
        <w:t xml:space="preserve"> </w:t>
      </w:r>
      <w:proofErr w:type="spellStart"/>
      <w:r w:rsidRPr="00B07BF3">
        <w:rPr>
          <w:i/>
        </w:rPr>
        <w:t>the</w:t>
      </w:r>
      <w:proofErr w:type="spellEnd"/>
      <w:r w:rsidRPr="00B07BF3">
        <w:rPr>
          <w:i/>
        </w:rPr>
        <w:t xml:space="preserve"> Audit </w:t>
      </w:r>
      <w:proofErr w:type="spellStart"/>
      <w:r w:rsidRPr="00B07BF3">
        <w:rPr>
          <w:i/>
        </w:rPr>
        <w:t>Authority</w:t>
      </w:r>
      <w:proofErr w:type="spellEnd"/>
      <w:r w:rsidRPr="00B07BF3">
        <w:rPr>
          <w:i/>
        </w:rPr>
        <w:t xml:space="preserve"> </w:t>
      </w:r>
      <w:proofErr w:type="spellStart"/>
      <w:r w:rsidRPr="00B07BF3">
        <w:rPr>
          <w:i/>
        </w:rPr>
        <w:t>pursuant</w:t>
      </w:r>
      <w:proofErr w:type="spellEnd"/>
      <w:r w:rsidRPr="00B07BF3">
        <w:rPr>
          <w:i/>
        </w:rPr>
        <w:t xml:space="preserve"> to </w:t>
      </w:r>
      <w:proofErr w:type="spellStart"/>
      <w:r w:rsidRPr="00B07BF3">
        <w:rPr>
          <w:i/>
        </w:rPr>
        <w:t>Article</w:t>
      </w:r>
      <w:proofErr w:type="spellEnd"/>
      <w:r w:rsidRPr="00B07BF3">
        <w:rPr>
          <w:i/>
        </w:rPr>
        <w:t xml:space="preserve"> 62 </w:t>
      </w:r>
      <w:proofErr w:type="spellStart"/>
      <w:r w:rsidRPr="00B07BF3">
        <w:rPr>
          <w:i/>
        </w:rPr>
        <w:t>of</w:t>
      </w:r>
      <w:proofErr w:type="spellEnd"/>
      <w:r w:rsidRPr="00B07BF3">
        <w:rPr>
          <w:i/>
        </w:rPr>
        <w:t xml:space="preserve"> </w:t>
      </w:r>
      <w:proofErr w:type="spellStart"/>
      <w:r w:rsidRPr="00B07BF3">
        <w:rPr>
          <w:i/>
        </w:rPr>
        <w:t>Council</w:t>
      </w:r>
      <w:proofErr w:type="spellEnd"/>
      <w:r w:rsidRPr="00B07BF3">
        <w:rPr>
          <w:i/>
        </w:rPr>
        <w:t xml:space="preserve"> </w:t>
      </w:r>
      <w:proofErr w:type="spellStart"/>
      <w:r w:rsidRPr="00B07BF3">
        <w:rPr>
          <w:i/>
        </w:rPr>
        <w:t>regulation</w:t>
      </w:r>
      <w:proofErr w:type="spellEnd"/>
      <w:r w:rsidRPr="00B07BF3">
        <w:rPr>
          <w:i/>
        </w:rPr>
        <w:t xml:space="preserve"> (EC) No 1083/2006</w:t>
      </w:r>
      <w:r w:rsidRPr="00B07BF3">
        <w:rPr>
          <w:i/>
          <w:iCs/>
        </w:rPr>
        <w:t xml:space="preserve">” (ERAF un KF). </w:t>
      </w:r>
      <w:r w:rsidRPr="00B07BF3">
        <w:t>Pašlaik notiek saskaņošanas process.</w:t>
      </w:r>
    </w:p>
  </w:footnote>
  <w:footnote w:id="3">
    <w:p w14:paraId="33E76AFB" w14:textId="77777777" w:rsidR="00B07BF3" w:rsidRPr="00B07BF3" w:rsidRDefault="00B07BF3" w:rsidP="00B07BF3">
      <w:pPr>
        <w:pStyle w:val="FootnoteText"/>
      </w:pPr>
      <w:r w:rsidRPr="00B07BF3">
        <w:rPr>
          <w:rStyle w:val="FootnoteReference"/>
        </w:rPr>
        <w:footnoteRef/>
      </w:r>
      <w:r w:rsidRPr="00B07BF3">
        <w:t xml:space="preserve"> DG REGIO audita misija Nr.</w:t>
      </w:r>
      <w:r w:rsidRPr="00B07BF3">
        <w:rPr>
          <w:lang w:val="en-GB"/>
        </w:rPr>
        <w:t xml:space="preserve"> 2013/LV/REGIO/C2/1285/1</w:t>
      </w:r>
      <w:r w:rsidRPr="00B07BF3">
        <w:t xml:space="preserve"> </w:t>
      </w:r>
      <w:r w:rsidRPr="00B07BF3">
        <w:rPr>
          <w:i/>
          <w:iCs/>
        </w:rPr>
        <w:t>„</w:t>
      </w:r>
      <w:proofErr w:type="spellStart"/>
      <w:r w:rsidRPr="00B07BF3">
        <w:rPr>
          <w:i/>
        </w:rPr>
        <w:t>Bridging</w:t>
      </w:r>
      <w:proofErr w:type="spellEnd"/>
      <w:r w:rsidRPr="00B07BF3">
        <w:rPr>
          <w:i/>
        </w:rPr>
        <w:t xml:space="preserve"> </w:t>
      </w:r>
      <w:proofErr w:type="spellStart"/>
      <w:r w:rsidRPr="00B07BF3">
        <w:rPr>
          <w:i/>
        </w:rPr>
        <w:t>the</w:t>
      </w:r>
      <w:proofErr w:type="spellEnd"/>
      <w:r w:rsidRPr="00B07BF3">
        <w:rPr>
          <w:i/>
        </w:rPr>
        <w:t xml:space="preserve"> </w:t>
      </w:r>
      <w:proofErr w:type="spellStart"/>
      <w:r w:rsidRPr="00B07BF3">
        <w:rPr>
          <w:i/>
        </w:rPr>
        <w:t>assurance</w:t>
      </w:r>
      <w:proofErr w:type="spellEnd"/>
      <w:r w:rsidRPr="00B07BF3">
        <w:rPr>
          <w:i/>
        </w:rPr>
        <w:t xml:space="preserve"> </w:t>
      </w:r>
      <w:proofErr w:type="spellStart"/>
      <w:r w:rsidRPr="00B07BF3">
        <w:rPr>
          <w:i/>
        </w:rPr>
        <w:t>gap</w:t>
      </w:r>
      <w:proofErr w:type="spellEnd"/>
      <w:r w:rsidRPr="00B07BF3">
        <w:rPr>
          <w:i/>
          <w:iCs/>
        </w:rPr>
        <w:t>”</w:t>
      </w:r>
      <w:r w:rsidRPr="00B07BF3">
        <w:rPr>
          <w:iCs/>
        </w:rPr>
        <w:t>.</w:t>
      </w:r>
      <w:r w:rsidRPr="00B07BF3">
        <w:rPr>
          <w:i/>
          <w:iCs/>
        </w:rPr>
        <w:t xml:space="preserve"> </w:t>
      </w:r>
      <w:r w:rsidRPr="00B07BF3">
        <w:t>Pašlaik notiek</w:t>
      </w:r>
      <w:r w:rsidR="00C1740B">
        <w:t xml:space="preserve"> ziņojuma saskaņošanas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54434"/>
    <w:multiLevelType w:val="hybridMultilevel"/>
    <w:tmpl w:val="75665692"/>
    <w:lvl w:ilvl="0" w:tplc="011A81AC">
      <w:start w:val="2010"/>
      <w:numFmt w:val="bullet"/>
      <w:lvlText w:val="-"/>
      <w:lvlJc w:val="left"/>
      <w:pPr>
        <w:ind w:left="1287" w:hanging="360"/>
      </w:pPr>
      <w:rPr>
        <w:rFonts w:ascii="Times New Roman" w:eastAsia="Times New Roman" w:hAnsi="Times New Roman" w:cs="Times New Roman" w:hint="default"/>
        <w:color w:val="000000"/>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20DB3461"/>
    <w:multiLevelType w:val="hybridMultilevel"/>
    <w:tmpl w:val="4C9C81B8"/>
    <w:lvl w:ilvl="0" w:tplc="A6CC49A4">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C84D8F"/>
    <w:multiLevelType w:val="hybridMultilevel"/>
    <w:tmpl w:val="51C6A47A"/>
    <w:lvl w:ilvl="0" w:tplc="011A81AC">
      <w:start w:val="2010"/>
      <w:numFmt w:val="bullet"/>
      <w:lvlText w:val="-"/>
      <w:lvlJc w:val="left"/>
      <w:pPr>
        <w:ind w:left="1287" w:hanging="360"/>
      </w:pPr>
      <w:rPr>
        <w:rFonts w:ascii="Times New Roman" w:eastAsia="Times New Roman" w:hAnsi="Times New Roman" w:cs="Times New Roman" w:hint="default"/>
        <w:color w:val="000000"/>
      </w:rPr>
    </w:lvl>
    <w:lvl w:ilvl="1" w:tplc="0426000F">
      <w:start w:val="1"/>
      <w:numFmt w:val="decimal"/>
      <w:lvlText w:val="%2."/>
      <w:lvlJc w:val="left"/>
      <w:pPr>
        <w:ind w:left="2007" w:hanging="360"/>
      </w:pPr>
      <w:rPr>
        <w:rFonts w:hint="default"/>
        <w:color w:val="000000"/>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6FA26AF8"/>
    <w:multiLevelType w:val="multilevel"/>
    <w:tmpl w:val="0426001F"/>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9643222"/>
    <w:multiLevelType w:val="hybridMultilevel"/>
    <w:tmpl w:val="FA4A70BA"/>
    <w:lvl w:ilvl="0" w:tplc="0426000F">
      <w:start w:val="1"/>
      <w:numFmt w:val="decimal"/>
      <w:lvlText w:val="%1."/>
      <w:lvlJc w:val="left"/>
      <w:pPr>
        <w:ind w:left="1287" w:hanging="360"/>
      </w:pPr>
      <w:rPr>
        <w:rFonts w:hint="default"/>
        <w:color w:val="000000"/>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7C161B3B"/>
    <w:multiLevelType w:val="hybridMultilevel"/>
    <w:tmpl w:val="D14024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3B"/>
    <w:rsid w:val="000043E2"/>
    <w:rsid w:val="0001371E"/>
    <w:rsid w:val="00013909"/>
    <w:rsid w:val="000345C3"/>
    <w:rsid w:val="000404B2"/>
    <w:rsid w:val="00041A10"/>
    <w:rsid w:val="000611D1"/>
    <w:rsid w:val="00077D2C"/>
    <w:rsid w:val="000815D5"/>
    <w:rsid w:val="000910CD"/>
    <w:rsid w:val="000973BD"/>
    <w:rsid w:val="000A550D"/>
    <w:rsid w:val="000A7FE5"/>
    <w:rsid w:val="000B1A55"/>
    <w:rsid w:val="000B2FB9"/>
    <w:rsid w:val="000B7926"/>
    <w:rsid w:val="000C09BD"/>
    <w:rsid w:val="000C136D"/>
    <w:rsid w:val="000E0384"/>
    <w:rsid w:val="000F0786"/>
    <w:rsid w:val="000F16E1"/>
    <w:rsid w:val="000F32FC"/>
    <w:rsid w:val="000F3B58"/>
    <w:rsid w:val="00100ECA"/>
    <w:rsid w:val="001316A7"/>
    <w:rsid w:val="0014411E"/>
    <w:rsid w:val="001454E0"/>
    <w:rsid w:val="00147252"/>
    <w:rsid w:val="00160007"/>
    <w:rsid w:val="00163596"/>
    <w:rsid w:val="001969BA"/>
    <w:rsid w:val="00197694"/>
    <w:rsid w:val="001A0AD1"/>
    <w:rsid w:val="00212469"/>
    <w:rsid w:val="00214B33"/>
    <w:rsid w:val="00216A65"/>
    <w:rsid w:val="00220710"/>
    <w:rsid w:val="00226BA9"/>
    <w:rsid w:val="002362E1"/>
    <w:rsid w:val="00255203"/>
    <w:rsid w:val="00270E0D"/>
    <w:rsid w:val="0029469A"/>
    <w:rsid w:val="002972CE"/>
    <w:rsid w:val="002A23D1"/>
    <w:rsid w:val="002B050A"/>
    <w:rsid w:val="002B6A19"/>
    <w:rsid w:val="002C6DC0"/>
    <w:rsid w:val="002D5F53"/>
    <w:rsid w:val="00311769"/>
    <w:rsid w:val="00346B26"/>
    <w:rsid w:val="00352E6A"/>
    <w:rsid w:val="00372CDA"/>
    <w:rsid w:val="00376409"/>
    <w:rsid w:val="00385BCB"/>
    <w:rsid w:val="003A1438"/>
    <w:rsid w:val="003C1A76"/>
    <w:rsid w:val="003C2B9B"/>
    <w:rsid w:val="003C5DA9"/>
    <w:rsid w:val="003D2B73"/>
    <w:rsid w:val="003D618E"/>
    <w:rsid w:val="003E395B"/>
    <w:rsid w:val="003E76A6"/>
    <w:rsid w:val="00403058"/>
    <w:rsid w:val="00434EF4"/>
    <w:rsid w:val="0043512B"/>
    <w:rsid w:val="00435E2F"/>
    <w:rsid w:val="00441E2A"/>
    <w:rsid w:val="004779B1"/>
    <w:rsid w:val="004847E0"/>
    <w:rsid w:val="00493C47"/>
    <w:rsid w:val="004A64D9"/>
    <w:rsid w:val="004C68CE"/>
    <w:rsid w:val="004C6F8D"/>
    <w:rsid w:val="004C7148"/>
    <w:rsid w:val="004E1F48"/>
    <w:rsid w:val="004F1233"/>
    <w:rsid w:val="004F1ADF"/>
    <w:rsid w:val="004F3DC1"/>
    <w:rsid w:val="00500F99"/>
    <w:rsid w:val="005022D9"/>
    <w:rsid w:val="00515992"/>
    <w:rsid w:val="00543ECB"/>
    <w:rsid w:val="00545138"/>
    <w:rsid w:val="0058379E"/>
    <w:rsid w:val="005961F8"/>
    <w:rsid w:val="005A451F"/>
    <w:rsid w:val="005B32C6"/>
    <w:rsid w:val="005D7605"/>
    <w:rsid w:val="005D7A73"/>
    <w:rsid w:val="006230D3"/>
    <w:rsid w:val="00625F23"/>
    <w:rsid w:val="0068184F"/>
    <w:rsid w:val="006849BE"/>
    <w:rsid w:val="00690773"/>
    <w:rsid w:val="006A4941"/>
    <w:rsid w:val="006D2B98"/>
    <w:rsid w:val="006E0298"/>
    <w:rsid w:val="006E2791"/>
    <w:rsid w:val="006E51A6"/>
    <w:rsid w:val="0070446B"/>
    <w:rsid w:val="00710743"/>
    <w:rsid w:val="00710D83"/>
    <w:rsid w:val="00723540"/>
    <w:rsid w:val="00726DBA"/>
    <w:rsid w:val="00733E51"/>
    <w:rsid w:val="00737A4C"/>
    <w:rsid w:val="00745C45"/>
    <w:rsid w:val="00747F86"/>
    <w:rsid w:val="00751EFD"/>
    <w:rsid w:val="0077310D"/>
    <w:rsid w:val="0078119D"/>
    <w:rsid w:val="007C1041"/>
    <w:rsid w:val="007C3964"/>
    <w:rsid w:val="007C6AE9"/>
    <w:rsid w:val="007C6F44"/>
    <w:rsid w:val="007D52D8"/>
    <w:rsid w:val="007D6DC5"/>
    <w:rsid w:val="007E2FBD"/>
    <w:rsid w:val="007E3B6A"/>
    <w:rsid w:val="007E694E"/>
    <w:rsid w:val="007F3640"/>
    <w:rsid w:val="008223D1"/>
    <w:rsid w:val="00822FE0"/>
    <w:rsid w:val="00824E3B"/>
    <w:rsid w:val="0085313B"/>
    <w:rsid w:val="00854EA1"/>
    <w:rsid w:val="00863287"/>
    <w:rsid w:val="00885E96"/>
    <w:rsid w:val="008866BC"/>
    <w:rsid w:val="008902A5"/>
    <w:rsid w:val="008911CF"/>
    <w:rsid w:val="00891C7F"/>
    <w:rsid w:val="00896983"/>
    <w:rsid w:val="008A6253"/>
    <w:rsid w:val="008B7939"/>
    <w:rsid w:val="008C0611"/>
    <w:rsid w:val="008C3466"/>
    <w:rsid w:val="008E261B"/>
    <w:rsid w:val="009015D4"/>
    <w:rsid w:val="00912101"/>
    <w:rsid w:val="00913633"/>
    <w:rsid w:val="00913ED9"/>
    <w:rsid w:val="00925377"/>
    <w:rsid w:val="00925832"/>
    <w:rsid w:val="009328E4"/>
    <w:rsid w:val="0093537F"/>
    <w:rsid w:val="00951AF5"/>
    <w:rsid w:val="0097529B"/>
    <w:rsid w:val="00980713"/>
    <w:rsid w:val="00984C2C"/>
    <w:rsid w:val="00986149"/>
    <w:rsid w:val="00994A06"/>
    <w:rsid w:val="009A1A55"/>
    <w:rsid w:val="009A2183"/>
    <w:rsid w:val="009D2886"/>
    <w:rsid w:val="009E118E"/>
    <w:rsid w:val="009F086A"/>
    <w:rsid w:val="009F3A92"/>
    <w:rsid w:val="009F5B63"/>
    <w:rsid w:val="00A354DD"/>
    <w:rsid w:val="00A40328"/>
    <w:rsid w:val="00A53F64"/>
    <w:rsid w:val="00A87636"/>
    <w:rsid w:val="00A92415"/>
    <w:rsid w:val="00A930EC"/>
    <w:rsid w:val="00AC1931"/>
    <w:rsid w:val="00AD20F2"/>
    <w:rsid w:val="00AE1B91"/>
    <w:rsid w:val="00AF4A44"/>
    <w:rsid w:val="00B060D9"/>
    <w:rsid w:val="00B07BF3"/>
    <w:rsid w:val="00B2735C"/>
    <w:rsid w:val="00B3539C"/>
    <w:rsid w:val="00B4101C"/>
    <w:rsid w:val="00B60420"/>
    <w:rsid w:val="00B63FDB"/>
    <w:rsid w:val="00B67295"/>
    <w:rsid w:val="00B928B5"/>
    <w:rsid w:val="00B956EE"/>
    <w:rsid w:val="00BE7D80"/>
    <w:rsid w:val="00BF3500"/>
    <w:rsid w:val="00BF59A5"/>
    <w:rsid w:val="00C06241"/>
    <w:rsid w:val="00C06E1F"/>
    <w:rsid w:val="00C13ABF"/>
    <w:rsid w:val="00C1740B"/>
    <w:rsid w:val="00C42C65"/>
    <w:rsid w:val="00C51062"/>
    <w:rsid w:val="00C63DAD"/>
    <w:rsid w:val="00C7287F"/>
    <w:rsid w:val="00C828AD"/>
    <w:rsid w:val="00C860AD"/>
    <w:rsid w:val="00CA4703"/>
    <w:rsid w:val="00CB3B2D"/>
    <w:rsid w:val="00CE4FA1"/>
    <w:rsid w:val="00CF56F8"/>
    <w:rsid w:val="00D135A9"/>
    <w:rsid w:val="00D23C9F"/>
    <w:rsid w:val="00D35EC9"/>
    <w:rsid w:val="00D4060B"/>
    <w:rsid w:val="00D40F06"/>
    <w:rsid w:val="00D82B0C"/>
    <w:rsid w:val="00D8580A"/>
    <w:rsid w:val="00D92C1F"/>
    <w:rsid w:val="00D95996"/>
    <w:rsid w:val="00D97893"/>
    <w:rsid w:val="00D97E06"/>
    <w:rsid w:val="00DC5F3C"/>
    <w:rsid w:val="00DD0814"/>
    <w:rsid w:val="00DE6E73"/>
    <w:rsid w:val="00E211DE"/>
    <w:rsid w:val="00E278EF"/>
    <w:rsid w:val="00E42C0A"/>
    <w:rsid w:val="00E43A36"/>
    <w:rsid w:val="00E606C9"/>
    <w:rsid w:val="00E64684"/>
    <w:rsid w:val="00E673E8"/>
    <w:rsid w:val="00E75502"/>
    <w:rsid w:val="00E9206A"/>
    <w:rsid w:val="00E97C09"/>
    <w:rsid w:val="00EA02BC"/>
    <w:rsid w:val="00EC5C8E"/>
    <w:rsid w:val="00EC7537"/>
    <w:rsid w:val="00ED7B56"/>
    <w:rsid w:val="00EE301D"/>
    <w:rsid w:val="00EE720B"/>
    <w:rsid w:val="00EF1CC3"/>
    <w:rsid w:val="00EF439E"/>
    <w:rsid w:val="00F03163"/>
    <w:rsid w:val="00F1073B"/>
    <w:rsid w:val="00F240ED"/>
    <w:rsid w:val="00F30C0E"/>
    <w:rsid w:val="00F4340B"/>
    <w:rsid w:val="00F46EB7"/>
    <w:rsid w:val="00F500AF"/>
    <w:rsid w:val="00F526CE"/>
    <w:rsid w:val="00F56BA8"/>
    <w:rsid w:val="00F57BAD"/>
    <w:rsid w:val="00F60069"/>
    <w:rsid w:val="00F77E42"/>
    <w:rsid w:val="00F85D82"/>
    <w:rsid w:val="00F917B1"/>
    <w:rsid w:val="00FB33E3"/>
    <w:rsid w:val="00FC3749"/>
    <w:rsid w:val="00FC6752"/>
    <w:rsid w:val="00FC75CD"/>
    <w:rsid w:val="00FD39B3"/>
    <w:rsid w:val="00FD5EFE"/>
    <w:rsid w:val="00FE1AB6"/>
    <w:rsid w:val="00FE55B1"/>
    <w:rsid w:val="00FF3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97A92"/>
  <w15:docId w15:val="{89C4A086-CD95-4696-B1EF-2367BA35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uiPriority w:val="99"/>
    <w:unhideWhenUsed/>
    <w:rsid w:val="0085313B"/>
    <w:rPr>
      <w:sz w:val="20"/>
      <w:szCs w:val="20"/>
    </w:rPr>
  </w:style>
  <w:style w:type="character" w:customStyle="1" w:styleId="FootnoteTextChar">
    <w:name w:val="Footnote Text Char"/>
    <w:aliases w:val="Footnote Char"/>
    <w:basedOn w:val="DefaultParagraphFont"/>
    <w:link w:val="FootnoteText"/>
    <w:uiPriority w:val="99"/>
    <w:rsid w:val="0085313B"/>
    <w:rPr>
      <w:sz w:val="20"/>
      <w:szCs w:val="20"/>
    </w:rPr>
  </w:style>
  <w:style w:type="paragraph" w:styleId="Footer">
    <w:name w:val="footer"/>
    <w:basedOn w:val="Normal"/>
    <w:link w:val="FooterChar"/>
    <w:uiPriority w:val="99"/>
    <w:rsid w:val="0085313B"/>
    <w:pPr>
      <w:tabs>
        <w:tab w:val="center" w:pos="4153"/>
        <w:tab w:val="right" w:pos="8306"/>
      </w:tabs>
      <w:suppressAutoHyphens/>
    </w:pPr>
    <w:rPr>
      <w:rFonts w:eastAsia="Calibri" w:cs="Times New Roman"/>
      <w:sz w:val="28"/>
      <w:lang w:eastAsia="ar-SA"/>
    </w:rPr>
  </w:style>
  <w:style w:type="character" w:customStyle="1" w:styleId="FooterChar">
    <w:name w:val="Footer Char"/>
    <w:basedOn w:val="DefaultParagraphFont"/>
    <w:link w:val="Footer"/>
    <w:uiPriority w:val="99"/>
    <w:rsid w:val="0085313B"/>
    <w:rPr>
      <w:rFonts w:eastAsia="Calibri" w:cs="Times New Roman"/>
      <w:sz w:val="28"/>
      <w:lang w:eastAsia="ar-SA"/>
    </w:rPr>
  </w:style>
  <w:style w:type="character" w:styleId="FootnoteReference">
    <w:name w:val="footnote reference"/>
    <w:uiPriority w:val="99"/>
    <w:unhideWhenUsed/>
    <w:rsid w:val="0085313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5B32C6"/>
    <w:rPr>
      <w:rFonts w:ascii="Tahoma" w:hAnsi="Tahoma" w:cs="Tahoma"/>
      <w:sz w:val="16"/>
      <w:szCs w:val="16"/>
    </w:rPr>
  </w:style>
  <w:style w:type="character" w:customStyle="1" w:styleId="BalloonTextChar">
    <w:name w:val="Balloon Text Char"/>
    <w:basedOn w:val="DefaultParagraphFont"/>
    <w:link w:val="BalloonText"/>
    <w:uiPriority w:val="99"/>
    <w:semiHidden/>
    <w:rsid w:val="005B32C6"/>
    <w:rPr>
      <w:rFonts w:ascii="Tahoma" w:hAnsi="Tahoma" w:cs="Tahoma"/>
      <w:sz w:val="16"/>
      <w:szCs w:val="16"/>
    </w:rPr>
  </w:style>
  <w:style w:type="character" w:styleId="CommentReference">
    <w:name w:val="annotation reference"/>
    <w:basedOn w:val="DefaultParagraphFont"/>
    <w:uiPriority w:val="99"/>
    <w:semiHidden/>
    <w:unhideWhenUsed/>
    <w:rsid w:val="001316A7"/>
    <w:rPr>
      <w:sz w:val="16"/>
      <w:szCs w:val="16"/>
    </w:rPr>
  </w:style>
  <w:style w:type="paragraph" w:styleId="CommentText">
    <w:name w:val="annotation text"/>
    <w:basedOn w:val="Normal"/>
    <w:link w:val="CommentTextChar"/>
    <w:uiPriority w:val="99"/>
    <w:semiHidden/>
    <w:unhideWhenUsed/>
    <w:rsid w:val="001316A7"/>
    <w:rPr>
      <w:sz w:val="20"/>
      <w:szCs w:val="20"/>
    </w:rPr>
  </w:style>
  <w:style w:type="character" w:customStyle="1" w:styleId="CommentTextChar">
    <w:name w:val="Comment Text Char"/>
    <w:basedOn w:val="DefaultParagraphFont"/>
    <w:link w:val="CommentText"/>
    <w:uiPriority w:val="99"/>
    <w:semiHidden/>
    <w:rsid w:val="001316A7"/>
    <w:rPr>
      <w:sz w:val="20"/>
      <w:szCs w:val="20"/>
    </w:rPr>
  </w:style>
  <w:style w:type="paragraph" w:styleId="CommentSubject">
    <w:name w:val="annotation subject"/>
    <w:basedOn w:val="CommentText"/>
    <w:next w:val="CommentText"/>
    <w:link w:val="CommentSubjectChar"/>
    <w:uiPriority w:val="99"/>
    <w:semiHidden/>
    <w:unhideWhenUsed/>
    <w:rsid w:val="001316A7"/>
    <w:rPr>
      <w:b/>
      <w:bCs/>
    </w:rPr>
  </w:style>
  <w:style w:type="character" w:customStyle="1" w:styleId="CommentSubjectChar">
    <w:name w:val="Comment Subject Char"/>
    <w:basedOn w:val="CommentTextChar"/>
    <w:link w:val="CommentSubject"/>
    <w:uiPriority w:val="99"/>
    <w:semiHidden/>
    <w:rsid w:val="001316A7"/>
    <w:rPr>
      <w:b/>
      <w:bCs/>
      <w:sz w:val="20"/>
      <w:szCs w:val="20"/>
    </w:rPr>
  </w:style>
  <w:style w:type="paragraph" w:styleId="ListParagraph">
    <w:name w:val="List Paragraph"/>
    <w:basedOn w:val="Normal"/>
    <w:uiPriority w:val="34"/>
    <w:qFormat/>
    <w:rsid w:val="00100ECA"/>
    <w:pPr>
      <w:ind w:left="720"/>
      <w:contextualSpacing/>
    </w:pPr>
  </w:style>
  <w:style w:type="paragraph" w:styleId="Header">
    <w:name w:val="header"/>
    <w:basedOn w:val="Normal"/>
    <w:link w:val="HeaderChar"/>
    <w:uiPriority w:val="99"/>
    <w:unhideWhenUsed/>
    <w:rsid w:val="006230D3"/>
    <w:pPr>
      <w:tabs>
        <w:tab w:val="center" w:pos="4153"/>
        <w:tab w:val="right" w:pos="8306"/>
      </w:tabs>
    </w:pPr>
  </w:style>
  <w:style w:type="character" w:customStyle="1" w:styleId="HeaderChar">
    <w:name w:val="Header Char"/>
    <w:basedOn w:val="DefaultParagraphFont"/>
    <w:link w:val="Header"/>
    <w:uiPriority w:val="99"/>
    <w:rsid w:val="006230D3"/>
  </w:style>
  <w:style w:type="paragraph" w:styleId="Revision">
    <w:name w:val="Revision"/>
    <w:hidden/>
    <w:uiPriority w:val="99"/>
    <w:semiHidden/>
    <w:rsid w:val="0037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6604">
      <w:bodyDiv w:val="1"/>
      <w:marLeft w:val="0"/>
      <w:marRight w:val="0"/>
      <w:marTop w:val="0"/>
      <w:marBottom w:val="0"/>
      <w:divBdr>
        <w:top w:val="none" w:sz="0" w:space="0" w:color="auto"/>
        <w:left w:val="none" w:sz="0" w:space="0" w:color="auto"/>
        <w:bottom w:val="none" w:sz="0" w:space="0" w:color="auto"/>
        <w:right w:val="none" w:sz="0" w:space="0" w:color="auto"/>
      </w:divBdr>
    </w:div>
    <w:div w:id="457650106">
      <w:bodyDiv w:val="1"/>
      <w:marLeft w:val="0"/>
      <w:marRight w:val="0"/>
      <w:marTop w:val="0"/>
      <w:marBottom w:val="0"/>
      <w:divBdr>
        <w:top w:val="none" w:sz="0" w:space="0" w:color="auto"/>
        <w:left w:val="none" w:sz="0" w:space="0" w:color="auto"/>
        <w:bottom w:val="none" w:sz="0" w:space="0" w:color="auto"/>
        <w:right w:val="none" w:sz="0" w:space="0" w:color="auto"/>
      </w:divBdr>
    </w:div>
    <w:div w:id="1205560196">
      <w:bodyDiv w:val="1"/>
      <w:marLeft w:val="0"/>
      <w:marRight w:val="0"/>
      <w:marTop w:val="0"/>
      <w:marBottom w:val="0"/>
      <w:divBdr>
        <w:top w:val="none" w:sz="0" w:space="0" w:color="auto"/>
        <w:left w:val="none" w:sz="0" w:space="0" w:color="auto"/>
        <w:bottom w:val="none" w:sz="0" w:space="0" w:color="auto"/>
        <w:right w:val="none" w:sz="0" w:space="0" w:color="auto"/>
      </w:divBdr>
    </w:div>
    <w:div w:id="1225482353">
      <w:bodyDiv w:val="1"/>
      <w:marLeft w:val="0"/>
      <w:marRight w:val="0"/>
      <w:marTop w:val="0"/>
      <w:marBottom w:val="0"/>
      <w:divBdr>
        <w:top w:val="none" w:sz="0" w:space="0" w:color="auto"/>
        <w:left w:val="none" w:sz="0" w:space="0" w:color="auto"/>
        <w:bottom w:val="none" w:sz="0" w:space="0" w:color="auto"/>
        <w:right w:val="none" w:sz="0" w:space="0" w:color="auto"/>
      </w:divBdr>
    </w:div>
    <w:div w:id="1318193418">
      <w:bodyDiv w:val="1"/>
      <w:marLeft w:val="0"/>
      <w:marRight w:val="0"/>
      <w:marTop w:val="0"/>
      <w:marBottom w:val="0"/>
      <w:divBdr>
        <w:top w:val="none" w:sz="0" w:space="0" w:color="auto"/>
        <w:left w:val="none" w:sz="0" w:space="0" w:color="auto"/>
        <w:bottom w:val="none" w:sz="0" w:space="0" w:color="auto"/>
        <w:right w:val="none" w:sz="0" w:space="0" w:color="auto"/>
      </w:divBdr>
    </w:div>
    <w:div w:id="1610579542">
      <w:bodyDiv w:val="1"/>
      <w:marLeft w:val="0"/>
      <w:marRight w:val="0"/>
      <w:marTop w:val="0"/>
      <w:marBottom w:val="0"/>
      <w:divBdr>
        <w:top w:val="none" w:sz="0" w:space="0" w:color="auto"/>
        <w:left w:val="none" w:sz="0" w:space="0" w:color="auto"/>
        <w:bottom w:val="none" w:sz="0" w:space="0" w:color="auto"/>
        <w:right w:val="none" w:sz="0" w:space="0" w:color="auto"/>
      </w:divBdr>
    </w:div>
    <w:div w:id="2018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page.php?id=8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ta.lasmane@fm.gov.lv"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Projektu revīzijās konstatētie trūkumi ar finansiālu ietekmi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5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0"/>
        <c:ser>
          <c:idx val="0"/>
          <c:order val="0"/>
          <c:spPr>
            <a:solidFill>
              <a:schemeClr val="accent1"/>
            </a:solidFill>
            <a:ln w="25400">
              <a:solidFill>
                <a:schemeClr val="lt1"/>
              </a:solidFill>
            </a:ln>
            <a:effectLst/>
            <a:sp3d contourW="25400">
              <a:contourClr>
                <a:schemeClr val="lt1"/>
              </a:contourClr>
            </a:sp3d>
          </c:spPr>
          <c:dLbls>
            <c:dLbl>
              <c:idx val="0"/>
              <c:layout>
                <c:manualLayout>
                  <c:x val="1.9021434820647418E-2"/>
                  <c:y val="7.2080052493438528E-3"/>
                </c:manualLayout>
              </c:layout>
              <c:tx>
                <c:rich>
                  <a:bodyPr/>
                  <a:lstStyle/>
                  <a:p>
                    <a:fld id="{94D8F6A5-B169-44BD-BA28-8CAC7891D217}" type="CELLRANGE">
                      <a:rPr lang="en-US" b="1" baseline="0"/>
                      <a:pPr/>
                      <a:t>[CELLRANGE]</a:t>
                    </a:fld>
                    <a:r>
                      <a:rPr lang="en-US" b="1" baseline="0"/>
                      <a:t>; </a:t>
                    </a:r>
                    <a:fld id="{AE97EBA9-016E-4B7A-B1CC-5F07FD5A495A}" type="CATEGORYNAME">
                      <a:rPr lang="en-US" b="1" baseline="0"/>
                      <a:pPr/>
                      <a:t>[CATEGORY NAME]</a:t>
                    </a:fld>
                    <a:r>
                      <a:rPr lang="en-US" b="1" baseline="0"/>
                      <a:t>; </a:t>
                    </a:r>
                    <a:fld id="{5E38E6F8-3A26-401B-81C4-CEA5CB9585ED}" type="VALUE">
                      <a:rPr lang="en-US" b="1" baseline="0"/>
                      <a:pPr/>
                      <a:t>[VALUE]</a:t>
                    </a:fld>
                    <a:endParaRPr lang="en-US" b="1"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1"/>
                </c:ext>
              </c:extLst>
            </c:dLbl>
            <c:dLbl>
              <c:idx val="1"/>
              <c:layout>
                <c:manualLayout>
                  <c:x val="6.1126202974628174E-2"/>
                  <c:y val="-0.12848206474190726"/>
                </c:manualLayout>
              </c:layout>
              <c:tx>
                <c:rich>
                  <a:bodyPr/>
                  <a:lstStyle/>
                  <a:p>
                    <a:fld id="{A8FCA144-ABA8-4DB4-A2BD-33B4F8082BF2}" type="CELLRANGE">
                      <a:rPr lang="en-US" b="1" baseline="0"/>
                      <a:pPr/>
                      <a:t>[CELLRANGE]</a:t>
                    </a:fld>
                    <a:r>
                      <a:rPr lang="en-US" b="1" baseline="0"/>
                      <a:t>; </a:t>
                    </a:r>
                    <a:fld id="{44AC7CF7-E4DD-4E89-B58C-B5D818A2F9E1}" type="CATEGORYNAME">
                      <a:rPr lang="en-US" b="1" baseline="0"/>
                      <a:pPr/>
                      <a:t>[CATEGORY NAME]</a:t>
                    </a:fld>
                    <a:r>
                      <a:rPr lang="en-US" b="1" baseline="0"/>
                      <a:t>; </a:t>
                    </a:r>
                    <a:fld id="{2D978A5F-8AE5-46E3-8469-0436D185E8C7}" type="VALUE">
                      <a:rPr lang="en-US" b="1" baseline="0"/>
                      <a:pPr/>
                      <a:t>[VALUE]</a:t>
                    </a:fld>
                    <a:endParaRPr lang="en-US" b="1" baseline="0"/>
                  </a:p>
                </c:rich>
              </c:tx>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accentCallout1">
                    <a:avLst/>
                  </a:prstGeom>
                  <a:noFill/>
                  <a:ln>
                    <a:noFill/>
                  </a:ln>
                </c15:spPr>
                <c15:showDataLabelsRange val="1"/>
              </c:ext>
            </c:extLst>
          </c:dLbls>
          <c:cat>
            <c:strRef>
              <c:f>Sheet1!$B$4:$B$5</c:f>
              <c:strCache>
                <c:ptCount val="2"/>
                <c:pt idx="0">
                  <c:v>Pārkāpumi attiecināmo izdevumu jomā</c:v>
                </c:pt>
                <c:pt idx="1">
                  <c:v>Pārkāpumi iepirkumu jomā</c:v>
                </c:pt>
              </c:strCache>
            </c:strRef>
          </c:cat>
          <c:val>
            <c:numRef>
              <c:f>Sheet1!$E$4:$E$5</c:f>
              <c:numCache>
                <c:formatCode>[$EUR]\ #,##0.00</c:formatCode>
                <c:ptCount val="2"/>
                <c:pt idx="0">
                  <c:v>6180.59</c:v>
                </c:pt>
                <c:pt idx="1">
                  <c:v>3223007.5799999996</c:v>
                </c:pt>
              </c:numCache>
            </c:numRef>
          </c:val>
          <c:extLst>
            <c:ext xmlns:c15="http://schemas.microsoft.com/office/drawing/2012/chart" uri="{02D57815-91ED-43cb-92C2-25804820EDAC}">
              <c15:datalabelsRange>
                <c15:f>Sheet1!$F$4:$F$5</c15:f>
                <c15:dlblRangeCache>
                  <c:ptCount val="2"/>
                  <c:pt idx="0">
                    <c:v>0.19%</c:v>
                  </c:pt>
                  <c:pt idx="1">
                    <c:v>99.81%</c:v>
                  </c:pt>
                </c15:dlblRangeCache>
              </c15:datalabelsRang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9ACE-6CC5-48B6-97E1-CCAA84CB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7882</Words>
  <Characters>4493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Finanšu ministrija</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2014.GADA EIROPAS SAVIENĪBAS FONDU REVĪZIJAS REZULTĀTI</dc:subject>
  <dc:creator>Paškeviča Maija</dc:creator>
  <dc:description>inese.bremane@fm.gov.lv</dc:description>
  <cp:lastModifiedBy>Inese Brēmane</cp:lastModifiedBy>
  <cp:revision>7</cp:revision>
  <cp:lastPrinted>2013-01-31T07:35:00Z</cp:lastPrinted>
  <dcterms:created xsi:type="dcterms:W3CDTF">2015-02-04T11:18:00Z</dcterms:created>
  <dcterms:modified xsi:type="dcterms:W3CDTF">2015-02-11T07:02:00Z</dcterms:modified>
</cp:coreProperties>
</file>