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859A2" w14:textId="77777777" w:rsidR="007F1763" w:rsidRPr="00CB4355" w:rsidRDefault="0085313B" w:rsidP="00641E55">
      <w:pPr>
        <w:suppressAutoHyphens/>
        <w:jc w:val="center"/>
        <w:rPr>
          <w:rFonts w:eastAsia="Calibri" w:cs="Times New Roman"/>
          <w:b/>
          <w:sz w:val="28"/>
          <w:szCs w:val="28"/>
          <w:lang w:eastAsia="ar-SA"/>
        </w:rPr>
      </w:pPr>
      <w:bookmarkStart w:id="0" w:name="_GoBack"/>
      <w:bookmarkEnd w:id="0"/>
      <w:r w:rsidRPr="00CB4355">
        <w:rPr>
          <w:rFonts w:eastAsia="Calibri" w:cs="Times New Roman"/>
          <w:b/>
          <w:sz w:val="28"/>
          <w:szCs w:val="28"/>
          <w:lang w:eastAsia="ar-SA"/>
        </w:rPr>
        <w:t>I</w:t>
      </w:r>
      <w:r w:rsidR="00E9422C" w:rsidRPr="00CB4355">
        <w:rPr>
          <w:rFonts w:eastAsia="Calibri" w:cs="Times New Roman"/>
          <w:b/>
          <w:sz w:val="28"/>
          <w:szCs w:val="28"/>
          <w:lang w:eastAsia="ar-SA"/>
        </w:rPr>
        <w:t>nformatīvais</w:t>
      </w:r>
      <w:r w:rsidRPr="00CB4355">
        <w:rPr>
          <w:rFonts w:eastAsia="Calibri" w:cs="Times New Roman"/>
          <w:b/>
          <w:sz w:val="28"/>
          <w:szCs w:val="28"/>
          <w:lang w:eastAsia="ar-SA"/>
        </w:rPr>
        <w:t xml:space="preserve"> </w:t>
      </w:r>
      <w:r w:rsidR="00E9422C" w:rsidRPr="00CB4355">
        <w:rPr>
          <w:rFonts w:eastAsia="Calibri" w:cs="Times New Roman"/>
          <w:b/>
          <w:sz w:val="28"/>
          <w:szCs w:val="28"/>
          <w:lang w:eastAsia="ar-SA"/>
        </w:rPr>
        <w:t>ziņojums</w:t>
      </w:r>
      <w:r w:rsidRPr="00CB4355">
        <w:rPr>
          <w:rFonts w:eastAsia="Calibri" w:cs="Times New Roman"/>
          <w:b/>
          <w:sz w:val="28"/>
          <w:szCs w:val="28"/>
          <w:lang w:eastAsia="ar-SA"/>
        </w:rPr>
        <w:t xml:space="preserve"> </w:t>
      </w:r>
    </w:p>
    <w:p w14:paraId="0E711E41" w14:textId="48F30092" w:rsidR="0085313B" w:rsidRPr="00CB4355" w:rsidRDefault="00C20260" w:rsidP="00553231">
      <w:pPr>
        <w:suppressAutoHyphens/>
        <w:ind w:left="567"/>
        <w:jc w:val="center"/>
        <w:rPr>
          <w:rFonts w:eastAsia="Calibri" w:cs="Times New Roman"/>
          <w:b/>
          <w:sz w:val="28"/>
          <w:szCs w:val="28"/>
          <w:lang w:eastAsia="ar-SA"/>
        </w:rPr>
      </w:pPr>
      <w:r w:rsidRPr="00CB4355">
        <w:rPr>
          <w:rFonts w:eastAsia="Calibri" w:cs="Times New Roman"/>
          <w:b/>
          <w:sz w:val="28"/>
          <w:szCs w:val="28"/>
          <w:lang w:eastAsia="ar-SA"/>
        </w:rPr>
        <w:t>„</w:t>
      </w:r>
      <w:r w:rsidR="0085313B" w:rsidRPr="00CB4355">
        <w:rPr>
          <w:rFonts w:eastAsia="Calibri" w:cs="Times New Roman"/>
          <w:b/>
          <w:sz w:val="28"/>
          <w:szCs w:val="28"/>
          <w:lang w:eastAsia="ar-SA"/>
        </w:rPr>
        <w:t>P</w:t>
      </w:r>
      <w:r w:rsidR="00E9422C" w:rsidRPr="00CB4355">
        <w:rPr>
          <w:rFonts w:eastAsia="Calibri" w:cs="Times New Roman"/>
          <w:b/>
          <w:sz w:val="28"/>
          <w:szCs w:val="28"/>
          <w:lang w:eastAsia="ar-SA"/>
        </w:rPr>
        <w:t>ar</w:t>
      </w:r>
      <w:r w:rsidR="00641E55" w:rsidRPr="00CB4355">
        <w:rPr>
          <w:rFonts w:eastAsia="Calibri" w:cs="Times New Roman"/>
          <w:b/>
          <w:sz w:val="28"/>
          <w:szCs w:val="28"/>
          <w:lang w:eastAsia="ar-SA"/>
        </w:rPr>
        <w:t xml:space="preserve"> </w:t>
      </w:r>
      <w:r w:rsidR="00E9422C" w:rsidRPr="00CB4355">
        <w:rPr>
          <w:rFonts w:eastAsia="Calibri" w:cs="Times New Roman"/>
          <w:b/>
          <w:sz w:val="28"/>
          <w:szCs w:val="28"/>
          <w:lang w:eastAsia="ar-SA"/>
        </w:rPr>
        <w:t>revīzijas</w:t>
      </w:r>
      <w:r w:rsidR="0085313B" w:rsidRPr="00CB4355">
        <w:rPr>
          <w:rFonts w:eastAsia="Calibri" w:cs="Times New Roman"/>
          <w:b/>
          <w:sz w:val="28"/>
          <w:szCs w:val="28"/>
          <w:lang w:eastAsia="ar-SA"/>
        </w:rPr>
        <w:t xml:space="preserve"> </w:t>
      </w:r>
      <w:r w:rsidR="00E9422C" w:rsidRPr="00CB4355">
        <w:rPr>
          <w:rFonts w:eastAsia="Calibri" w:cs="Times New Roman"/>
          <w:b/>
          <w:sz w:val="28"/>
          <w:szCs w:val="28"/>
          <w:lang w:eastAsia="ar-SA"/>
        </w:rPr>
        <w:t>iestādes</w:t>
      </w:r>
      <w:r w:rsidR="0085313B" w:rsidRPr="00CB4355">
        <w:rPr>
          <w:rFonts w:eastAsia="Calibri" w:cs="Times New Roman"/>
          <w:b/>
          <w:sz w:val="28"/>
          <w:szCs w:val="28"/>
          <w:lang w:eastAsia="ar-SA"/>
        </w:rPr>
        <w:t xml:space="preserve"> 201</w:t>
      </w:r>
      <w:r w:rsidR="00A5721C" w:rsidRPr="00CB4355">
        <w:rPr>
          <w:rFonts w:eastAsia="Calibri" w:cs="Times New Roman"/>
          <w:b/>
          <w:sz w:val="28"/>
          <w:szCs w:val="28"/>
          <w:lang w:eastAsia="ar-SA"/>
        </w:rPr>
        <w:t>4</w:t>
      </w:r>
      <w:r w:rsidR="0085313B" w:rsidRPr="00CB4355">
        <w:rPr>
          <w:rFonts w:eastAsia="Calibri" w:cs="Times New Roman"/>
          <w:b/>
          <w:sz w:val="28"/>
          <w:szCs w:val="28"/>
          <w:lang w:eastAsia="ar-SA"/>
        </w:rPr>
        <w:t>.</w:t>
      </w:r>
      <w:r w:rsidR="00E9422C" w:rsidRPr="00CB4355">
        <w:rPr>
          <w:rFonts w:eastAsia="Calibri" w:cs="Times New Roman"/>
          <w:b/>
          <w:sz w:val="28"/>
          <w:szCs w:val="28"/>
          <w:lang w:eastAsia="ar-SA"/>
        </w:rPr>
        <w:t>gada</w:t>
      </w:r>
      <w:r w:rsidR="0085313B" w:rsidRPr="00CB4355">
        <w:rPr>
          <w:rFonts w:eastAsia="Calibri" w:cs="Times New Roman"/>
          <w:b/>
          <w:sz w:val="28"/>
          <w:szCs w:val="28"/>
          <w:lang w:eastAsia="ar-SA"/>
        </w:rPr>
        <w:t xml:space="preserve"> </w:t>
      </w:r>
      <w:r w:rsidR="005D6F73" w:rsidRPr="00CB4355">
        <w:rPr>
          <w:rFonts w:eastAsia="Calibri" w:cs="Times New Roman"/>
          <w:b/>
          <w:sz w:val="28"/>
          <w:szCs w:val="28"/>
          <w:lang w:eastAsia="ar-SA"/>
        </w:rPr>
        <w:t>E</w:t>
      </w:r>
      <w:r w:rsidR="00E9422C" w:rsidRPr="00CB4355">
        <w:rPr>
          <w:rFonts w:eastAsia="Calibri" w:cs="Times New Roman"/>
          <w:b/>
          <w:sz w:val="28"/>
          <w:szCs w:val="28"/>
          <w:lang w:eastAsia="ar-SA"/>
        </w:rPr>
        <w:t>iropas</w:t>
      </w:r>
      <w:r w:rsidR="005D6F73" w:rsidRPr="00CB4355">
        <w:rPr>
          <w:rFonts w:eastAsia="Calibri" w:cs="Times New Roman"/>
          <w:b/>
          <w:sz w:val="28"/>
          <w:szCs w:val="28"/>
          <w:lang w:eastAsia="ar-SA"/>
        </w:rPr>
        <w:t xml:space="preserve"> E</w:t>
      </w:r>
      <w:r w:rsidR="00E9422C" w:rsidRPr="00CB4355">
        <w:rPr>
          <w:rFonts w:eastAsia="Calibri" w:cs="Times New Roman"/>
          <w:b/>
          <w:sz w:val="28"/>
          <w:szCs w:val="28"/>
          <w:lang w:eastAsia="ar-SA"/>
        </w:rPr>
        <w:t>konomikas</w:t>
      </w:r>
      <w:r w:rsidR="005D6F73" w:rsidRPr="00CB4355">
        <w:rPr>
          <w:rFonts w:eastAsia="Calibri" w:cs="Times New Roman"/>
          <w:b/>
          <w:sz w:val="28"/>
          <w:szCs w:val="28"/>
          <w:lang w:eastAsia="ar-SA"/>
        </w:rPr>
        <w:t xml:space="preserve"> </w:t>
      </w:r>
      <w:r w:rsidR="00E9422C" w:rsidRPr="00CB4355">
        <w:rPr>
          <w:rFonts w:eastAsia="Calibri" w:cs="Times New Roman"/>
          <w:b/>
          <w:sz w:val="28"/>
          <w:szCs w:val="28"/>
          <w:lang w:eastAsia="ar-SA"/>
        </w:rPr>
        <w:t>zonas</w:t>
      </w:r>
      <w:r w:rsidR="005D6F73" w:rsidRPr="00CB4355">
        <w:rPr>
          <w:rFonts w:eastAsia="Calibri" w:cs="Times New Roman"/>
          <w:b/>
          <w:sz w:val="28"/>
          <w:szCs w:val="28"/>
          <w:lang w:eastAsia="ar-SA"/>
        </w:rPr>
        <w:t xml:space="preserve"> </w:t>
      </w:r>
      <w:r w:rsidR="00E9422C" w:rsidRPr="00CB4355">
        <w:rPr>
          <w:rFonts w:eastAsia="Calibri" w:cs="Times New Roman"/>
          <w:b/>
          <w:sz w:val="28"/>
          <w:szCs w:val="28"/>
          <w:lang w:eastAsia="ar-SA"/>
        </w:rPr>
        <w:t>finanšu instrumenta</w:t>
      </w:r>
      <w:r w:rsidR="005D6F73" w:rsidRPr="00CB4355">
        <w:rPr>
          <w:rFonts w:eastAsia="Calibri" w:cs="Times New Roman"/>
          <w:b/>
          <w:sz w:val="28"/>
          <w:szCs w:val="28"/>
          <w:lang w:eastAsia="ar-SA"/>
        </w:rPr>
        <w:t xml:space="preserve"> </w:t>
      </w:r>
      <w:r w:rsidR="00E9422C" w:rsidRPr="00CB4355">
        <w:rPr>
          <w:rFonts w:eastAsia="Calibri" w:cs="Times New Roman"/>
          <w:b/>
          <w:sz w:val="28"/>
          <w:szCs w:val="28"/>
          <w:lang w:eastAsia="ar-SA"/>
        </w:rPr>
        <w:t>un</w:t>
      </w:r>
      <w:r w:rsidR="005D6F73" w:rsidRPr="00CB4355">
        <w:rPr>
          <w:rFonts w:eastAsia="Calibri" w:cs="Times New Roman"/>
          <w:b/>
          <w:sz w:val="28"/>
          <w:szCs w:val="28"/>
          <w:lang w:eastAsia="ar-SA"/>
        </w:rPr>
        <w:t xml:space="preserve"> N</w:t>
      </w:r>
      <w:r w:rsidR="00E9422C" w:rsidRPr="00CB4355">
        <w:rPr>
          <w:rFonts w:eastAsia="Calibri" w:cs="Times New Roman"/>
          <w:b/>
          <w:sz w:val="28"/>
          <w:szCs w:val="28"/>
          <w:lang w:eastAsia="ar-SA"/>
        </w:rPr>
        <w:t>orvēģijas</w:t>
      </w:r>
      <w:r w:rsidR="005D6F73" w:rsidRPr="00CB4355">
        <w:rPr>
          <w:rFonts w:eastAsia="Calibri" w:cs="Times New Roman"/>
          <w:b/>
          <w:sz w:val="28"/>
          <w:szCs w:val="28"/>
          <w:lang w:eastAsia="ar-SA"/>
        </w:rPr>
        <w:t xml:space="preserve"> </w:t>
      </w:r>
      <w:r w:rsidR="00E9422C" w:rsidRPr="00CB4355">
        <w:rPr>
          <w:rFonts w:eastAsia="Calibri" w:cs="Times New Roman"/>
          <w:b/>
          <w:sz w:val="28"/>
          <w:szCs w:val="28"/>
          <w:lang w:eastAsia="ar-SA"/>
        </w:rPr>
        <w:t>finanšu instrumenta</w:t>
      </w:r>
      <w:r w:rsidR="005D6F73" w:rsidRPr="00CB4355">
        <w:rPr>
          <w:rFonts w:eastAsia="Calibri" w:cs="Times New Roman"/>
          <w:b/>
          <w:sz w:val="28"/>
          <w:szCs w:val="28"/>
          <w:lang w:eastAsia="ar-SA"/>
        </w:rPr>
        <w:t xml:space="preserve"> </w:t>
      </w:r>
      <w:r w:rsidR="00E9422C" w:rsidRPr="00CB4355">
        <w:rPr>
          <w:rFonts w:eastAsia="Calibri" w:cs="Times New Roman"/>
          <w:b/>
          <w:sz w:val="28"/>
          <w:szCs w:val="28"/>
          <w:lang w:eastAsia="ar-SA"/>
        </w:rPr>
        <w:t>revīziju rezultātiem</w:t>
      </w:r>
      <w:r w:rsidRPr="00CB4355">
        <w:rPr>
          <w:rFonts w:eastAsia="Calibri" w:cs="Times New Roman"/>
          <w:b/>
          <w:sz w:val="28"/>
          <w:szCs w:val="28"/>
          <w:lang w:eastAsia="ar-SA"/>
        </w:rPr>
        <w:t>”</w:t>
      </w:r>
    </w:p>
    <w:p w14:paraId="24A25691" w14:textId="77777777" w:rsidR="0085313B" w:rsidRPr="00CB4355" w:rsidRDefault="0085313B" w:rsidP="0085313B">
      <w:pPr>
        <w:suppressAutoHyphens/>
        <w:jc w:val="center"/>
        <w:rPr>
          <w:rFonts w:eastAsia="Calibri" w:cs="Times New Roman"/>
          <w:sz w:val="28"/>
          <w:szCs w:val="28"/>
          <w:lang w:eastAsia="ar-SA"/>
        </w:rPr>
      </w:pPr>
    </w:p>
    <w:p w14:paraId="02DFBFF0" w14:textId="7D6D235B" w:rsidR="00BD1CFE" w:rsidRPr="00CB4355" w:rsidRDefault="0085313B" w:rsidP="007F1763">
      <w:pPr>
        <w:suppressAutoHyphens/>
        <w:spacing w:after="80"/>
        <w:ind w:left="567" w:firstLine="567"/>
        <w:jc w:val="both"/>
        <w:rPr>
          <w:rFonts w:eastAsia="Calibri" w:cs="Times New Roman"/>
          <w:sz w:val="28"/>
          <w:szCs w:val="28"/>
          <w:lang w:eastAsia="ar-SA"/>
        </w:rPr>
      </w:pPr>
      <w:r w:rsidRPr="00CB4355">
        <w:rPr>
          <w:rFonts w:eastAsia="Calibri" w:cs="Times New Roman"/>
          <w:sz w:val="28"/>
          <w:szCs w:val="28"/>
          <w:lang w:eastAsia="ar-SA"/>
        </w:rPr>
        <w:t xml:space="preserve">Atbilstoši </w:t>
      </w:r>
      <w:r w:rsidR="005D6F73" w:rsidRPr="00CB4355">
        <w:rPr>
          <w:rFonts w:eastAsia="Calibri" w:cs="Times New Roman"/>
          <w:sz w:val="28"/>
          <w:szCs w:val="28"/>
          <w:lang w:eastAsia="ar-SA"/>
        </w:rPr>
        <w:t>Eiropas Ekonomikas zonas finanšu instrumenta un Norvē</w:t>
      </w:r>
      <w:r w:rsidR="00D228AF" w:rsidRPr="00CB4355">
        <w:rPr>
          <w:rFonts w:eastAsia="Calibri" w:cs="Times New Roman"/>
          <w:sz w:val="28"/>
          <w:szCs w:val="28"/>
          <w:lang w:eastAsia="ar-SA"/>
        </w:rPr>
        <w:t>ģijas finanšu instrumenta 2009.-</w:t>
      </w:r>
      <w:r w:rsidR="005D6F73" w:rsidRPr="00CB4355">
        <w:rPr>
          <w:rFonts w:eastAsia="Calibri" w:cs="Times New Roman"/>
          <w:sz w:val="28"/>
          <w:szCs w:val="28"/>
          <w:lang w:eastAsia="ar-SA"/>
        </w:rPr>
        <w:t>2014.gada perioda vadības likuma 10</w:t>
      </w:r>
      <w:r w:rsidRPr="00CB4355">
        <w:rPr>
          <w:rFonts w:eastAsia="Calibri" w:cs="Times New Roman"/>
          <w:sz w:val="28"/>
          <w:szCs w:val="28"/>
          <w:lang w:eastAsia="ar-SA"/>
        </w:rPr>
        <w:t xml:space="preserve">.panta </w:t>
      </w:r>
      <w:r w:rsidR="00AF6643" w:rsidRPr="00CB4355">
        <w:rPr>
          <w:rFonts w:eastAsia="Calibri" w:cs="Times New Roman"/>
          <w:sz w:val="28"/>
          <w:szCs w:val="28"/>
          <w:lang w:eastAsia="ar-SA"/>
        </w:rPr>
        <w:t xml:space="preserve">piektajai </w:t>
      </w:r>
      <w:r w:rsidR="00BD1CFE" w:rsidRPr="00CB4355">
        <w:rPr>
          <w:rFonts w:eastAsia="Calibri" w:cs="Times New Roman"/>
          <w:sz w:val="28"/>
          <w:szCs w:val="28"/>
          <w:lang w:eastAsia="ar-SA"/>
        </w:rPr>
        <w:t>daļai</w:t>
      </w:r>
      <w:r w:rsidRPr="00CB4355">
        <w:rPr>
          <w:rFonts w:eastAsia="Calibri" w:cs="Times New Roman"/>
          <w:sz w:val="28"/>
          <w:szCs w:val="28"/>
          <w:lang w:eastAsia="ar-SA"/>
        </w:rPr>
        <w:t xml:space="preserve"> </w:t>
      </w:r>
      <w:r w:rsidR="00BD1CFE" w:rsidRPr="00CB4355">
        <w:rPr>
          <w:rFonts w:eastAsia="Calibri" w:cs="Times New Roman"/>
          <w:sz w:val="28"/>
          <w:szCs w:val="28"/>
          <w:lang w:eastAsia="ar-SA"/>
        </w:rPr>
        <w:t xml:space="preserve">līdz kārtējā gada 1.martam </w:t>
      </w:r>
      <w:r w:rsidR="000C52C5" w:rsidRPr="00CB4355">
        <w:rPr>
          <w:rFonts w:eastAsia="Calibri" w:cs="Times New Roman"/>
          <w:sz w:val="28"/>
          <w:szCs w:val="28"/>
          <w:lang w:eastAsia="ar-SA"/>
        </w:rPr>
        <w:t>r</w:t>
      </w:r>
      <w:r w:rsidR="00BD1CFE" w:rsidRPr="00CB4355">
        <w:rPr>
          <w:rFonts w:eastAsia="Calibri" w:cs="Times New Roman"/>
          <w:sz w:val="28"/>
          <w:szCs w:val="28"/>
          <w:lang w:eastAsia="ar-SA"/>
        </w:rPr>
        <w:t>evīzijas iestāde ar finanšu ministra starpniecību informē Ministru kabinetu par pārskata gada revīzijas rezultātiem.</w:t>
      </w:r>
    </w:p>
    <w:p w14:paraId="5CD303B2" w14:textId="4E90DABB" w:rsidR="0085313B" w:rsidRDefault="00C20260" w:rsidP="00E9422C">
      <w:pPr>
        <w:suppressAutoHyphens/>
        <w:spacing w:before="80" w:after="80"/>
        <w:ind w:left="567" w:firstLine="567"/>
        <w:jc w:val="both"/>
        <w:rPr>
          <w:rFonts w:eastAsia="Calibri" w:cs="Times New Roman"/>
          <w:sz w:val="28"/>
          <w:szCs w:val="28"/>
          <w:lang w:eastAsia="ar-SA"/>
        </w:rPr>
      </w:pPr>
      <w:r w:rsidRPr="00CB4355">
        <w:rPr>
          <w:rFonts w:eastAsia="Calibri" w:cs="Times New Roman"/>
          <w:sz w:val="28"/>
          <w:szCs w:val="28"/>
          <w:lang w:eastAsia="ar-SA"/>
        </w:rPr>
        <w:t xml:space="preserve">Atbilstoši </w:t>
      </w:r>
      <w:r w:rsidR="008F2A5B" w:rsidRPr="00CB4355">
        <w:rPr>
          <w:rFonts w:eastAsia="Calibri" w:cs="Times New Roman"/>
          <w:sz w:val="28"/>
          <w:szCs w:val="28"/>
          <w:lang w:eastAsia="ar-SA"/>
        </w:rPr>
        <w:t xml:space="preserve">Eiropas Ekonomikas zonas finanšu instrumenta komitejas 2011.gada 13.janvārī apstiprināto noteikumu par Eiropas Ekonomikas zonas finanšu instrumenta ieviešanu 2009.–2014.gadā un Norvēģijas Ārlietu ministrijas 2011.gada 11.februārī apstiprināto noteikumu par Norvēģijas finanšu instrumenta ieviešanu 2009.–2014.gadā </w:t>
      </w:r>
      <w:r w:rsidR="008D4FA8" w:rsidRPr="00CB4355">
        <w:rPr>
          <w:rFonts w:eastAsia="Calibri" w:cs="Times New Roman"/>
          <w:sz w:val="28"/>
          <w:szCs w:val="28"/>
          <w:lang w:eastAsia="ar-SA"/>
        </w:rPr>
        <w:t xml:space="preserve">(turpmāk – donorvalstu noteikumi) </w:t>
      </w:r>
      <w:r w:rsidR="0085313B" w:rsidRPr="00CB4355">
        <w:rPr>
          <w:rFonts w:eastAsia="Calibri" w:cs="Times New Roman"/>
          <w:sz w:val="28"/>
          <w:szCs w:val="28"/>
          <w:lang w:eastAsia="ar-SA"/>
        </w:rPr>
        <w:t>prasībām</w:t>
      </w:r>
      <w:r w:rsidR="00C108CA" w:rsidRPr="00CB4355">
        <w:rPr>
          <w:rFonts w:eastAsia="Calibri" w:cs="Times New Roman"/>
          <w:sz w:val="28"/>
          <w:szCs w:val="28"/>
          <w:lang w:eastAsia="ar-SA"/>
        </w:rPr>
        <w:t>,</w:t>
      </w:r>
      <w:r w:rsidR="0085313B" w:rsidRPr="00CB4355">
        <w:rPr>
          <w:rFonts w:eastAsia="Calibri" w:cs="Times New Roman"/>
          <w:sz w:val="28"/>
          <w:szCs w:val="28"/>
          <w:lang w:eastAsia="ar-SA"/>
        </w:rPr>
        <w:t xml:space="preserve"> </w:t>
      </w:r>
      <w:r w:rsidRPr="00CB4355">
        <w:rPr>
          <w:rFonts w:eastAsia="Calibri" w:cs="Times New Roman"/>
          <w:sz w:val="28"/>
          <w:szCs w:val="28"/>
          <w:lang w:eastAsia="ar-SA"/>
        </w:rPr>
        <w:t xml:space="preserve">2013.gada </w:t>
      </w:r>
      <w:r w:rsidR="00A5721C" w:rsidRPr="00CB4355">
        <w:rPr>
          <w:rFonts w:eastAsia="Calibri" w:cs="Times New Roman"/>
          <w:sz w:val="28"/>
          <w:szCs w:val="28"/>
          <w:lang w:eastAsia="ar-SA"/>
        </w:rPr>
        <w:t>19</w:t>
      </w:r>
      <w:r w:rsidRPr="00CB4355">
        <w:rPr>
          <w:rFonts w:eastAsia="Calibri" w:cs="Times New Roman"/>
          <w:sz w:val="28"/>
          <w:szCs w:val="28"/>
          <w:lang w:eastAsia="ar-SA"/>
        </w:rPr>
        <w:t xml:space="preserve">.decembrī </w:t>
      </w:r>
      <w:r w:rsidR="000C52C5" w:rsidRPr="00CB4355">
        <w:rPr>
          <w:rFonts w:eastAsia="Calibri" w:cs="Times New Roman"/>
          <w:sz w:val="28"/>
          <w:szCs w:val="28"/>
          <w:lang w:eastAsia="ar-SA"/>
        </w:rPr>
        <w:t>r</w:t>
      </w:r>
      <w:r w:rsidR="0085313B" w:rsidRPr="00CB4355">
        <w:rPr>
          <w:rFonts w:eastAsia="Calibri" w:cs="Times New Roman"/>
          <w:sz w:val="28"/>
          <w:szCs w:val="28"/>
          <w:lang w:eastAsia="ar-SA"/>
        </w:rPr>
        <w:t xml:space="preserve">evīzijas iestāde iesniedza </w:t>
      </w:r>
      <w:r w:rsidR="008F2A5B" w:rsidRPr="00CB4355">
        <w:rPr>
          <w:rFonts w:eastAsia="Calibri" w:cs="Times New Roman"/>
          <w:sz w:val="28"/>
          <w:szCs w:val="28"/>
          <w:lang w:eastAsia="ar-SA"/>
        </w:rPr>
        <w:t xml:space="preserve">Eiropas Ekonomikas zonas finanšu instrumenta komitejai un Norvēģijas Ārlietu ministrijai (turpmāk – </w:t>
      </w:r>
      <w:r w:rsidR="00EC2DB3" w:rsidRPr="00CB4355">
        <w:rPr>
          <w:rFonts w:eastAsia="Calibri" w:cs="Times New Roman"/>
          <w:sz w:val="28"/>
          <w:szCs w:val="28"/>
          <w:lang w:eastAsia="ar-SA"/>
        </w:rPr>
        <w:t>d</w:t>
      </w:r>
      <w:r w:rsidR="008F2A5B" w:rsidRPr="00CB4355">
        <w:rPr>
          <w:rFonts w:eastAsia="Calibri" w:cs="Times New Roman"/>
          <w:sz w:val="28"/>
          <w:szCs w:val="28"/>
          <w:lang w:eastAsia="ar-SA"/>
        </w:rPr>
        <w:t>onorvalstis)</w:t>
      </w:r>
      <w:r w:rsidR="0085313B" w:rsidRPr="00CB4355">
        <w:rPr>
          <w:rFonts w:eastAsia="Calibri" w:cs="Times New Roman"/>
          <w:sz w:val="28"/>
          <w:szCs w:val="28"/>
          <w:lang w:eastAsia="ar-SA"/>
        </w:rPr>
        <w:t xml:space="preserve"> </w:t>
      </w:r>
      <w:r w:rsidRPr="00CB4355">
        <w:rPr>
          <w:rFonts w:eastAsia="Calibri" w:cs="Times New Roman"/>
          <w:sz w:val="28"/>
          <w:szCs w:val="28"/>
          <w:lang w:eastAsia="ar-SA"/>
        </w:rPr>
        <w:t xml:space="preserve">gada </w:t>
      </w:r>
      <w:r w:rsidR="006A6338" w:rsidRPr="00CB4355">
        <w:rPr>
          <w:rFonts w:eastAsia="Calibri" w:cs="Times New Roman"/>
          <w:sz w:val="28"/>
          <w:szCs w:val="28"/>
          <w:lang w:eastAsia="ar-SA"/>
        </w:rPr>
        <w:t xml:space="preserve">revīzijas ziņojumu un </w:t>
      </w:r>
      <w:r w:rsidRPr="00CB4355">
        <w:rPr>
          <w:rFonts w:eastAsia="Calibri" w:cs="Times New Roman"/>
          <w:sz w:val="28"/>
          <w:szCs w:val="28"/>
          <w:lang w:eastAsia="ar-SA"/>
        </w:rPr>
        <w:t xml:space="preserve">atzinumu </w:t>
      </w:r>
      <w:r w:rsidR="006A6338" w:rsidRPr="00CB4355">
        <w:rPr>
          <w:rFonts w:eastAsia="Calibri" w:cs="Times New Roman"/>
          <w:sz w:val="28"/>
          <w:szCs w:val="28"/>
          <w:lang w:eastAsia="ar-SA"/>
        </w:rPr>
        <w:t xml:space="preserve">par </w:t>
      </w:r>
      <w:r w:rsidR="00031CF1" w:rsidRPr="00CB4355">
        <w:rPr>
          <w:rFonts w:eastAsia="Calibri" w:cs="Times New Roman"/>
          <w:sz w:val="28"/>
          <w:szCs w:val="28"/>
          <w:lang w:eastAsia="ar-SA"/>
        </w:rPr>
        <w:t xml:space="preserve">Latvijā izveidotās Eiropas Ekonomikas zonas finanšu instrumenta un Norvēģijas finanšu instrumenta (turpmāk – Finanšu instrumenti) </w:t>
      </w:r>
      <w:r w:rsidR="006A6338" w:rsidRPr="00CB4355">
        <w:rPr>
          <w:rFonts w:eastAsia="Calibri" w:cs="Times New Roman"/>
          <w:sz w:val="28"/>
          <w:szCs w:val="28"/>
          <w:lang w:eastAsia="ar-SA"/>
        </w:rPr>
        <w:t xml:space="preserve">vadības un kontroles sistēmas </w:t>
      </w:r>
      <w:r w:rsidR="00F745DF" w:rsidRPr="00CB4355">
        <w:rPr>
          <w:rFonts w:eastAsia="Calibri" w:cs="Times New Roman"/>
          <w:sz w:val="28"/>
          <w:szCs w:val="28"/>
          <w:lang w:eastAsia="ar-SA"/>
        </w:rPr>
        <w:t>darbības efektivitāti un donorvalstīm deklarēto izdevumu likumību un pareizību.</w:t>
      </w:r>
    </w:p>
    <w:p w14:paraId="7DFD63A1" w14:textId="77777777" w:rsidR="00C108CA" w:rsidRPr="00CB4355" w:rsidRDefault="00C108CA" w:rsidP="00E9422C">
      <w:pPr>
        <w:suppressAutoHyphens/>
        <w:spacing w:before="80" w:after="80"/>
        <w:ind w:left="567" w:firstLine="567"/>
        <w:jc w:val="both"/>
        <w:rPr>
          <w:rFonts w:eastAsia="Calibri" w:cs="Times New Roman"/>
          <w:sz w:val="28"/>
          <w:szCs w:val="28"/>
          <w:lang w:eastAsia="ar-SA"/>
        </w:rPr>
      </w:pPr>
    </w:p>
    <w:p w14:paraId="616D50E8" w14:textId="53F803DC" w:rsidR="009E110E" w:rsidRDefault="008D4FA8" w:rsidP="00E9422C">
      <w:pPr>
        <w:suppressAutoHyphens/>
        <w:spacing w:before="80" w:after="80"/>
        <w:jc w:val="center"/>
        <w:rPr>
          <w:rFonts w:eastAsia="Calibri" w:cs="Times New Roman"/>
          <w:b/>
          <w:bCs/>
          <w:color w:val="000000"/>
          <w:sz w:val="28"/>
          <w:szCs w:val="28"/>
          <w:lang w:eastAsia="ar-SA"/>
        </w:rPr>
      </w:pPr>
      <w:r w:rsidRPr="00CB4355">
        <w:rPr>
          <w:rFonts w:eastAsia="Calibri" w:cs="Times New Roman"/>
          <w:b/>
          <w:bCs/>
          <w:color w:val="000000"/>
          <w:sz w:val="28"/>
          <w:szCs w:val="28"/>
          <w:lang w:eastAsia="ar-SA"/>
        </w:rPr>
        <w:t>1</w:t>
      </w:r>
      <w:r w:rsidR="00E9422C" w:rsidRPr="00CB4355">
        <w:rPr>
          <w:rFonts w:eastAsia="Calibri" w:cs="Times New Roman"/>
          <w:b/>
          <w:bCs/>
          <w:color w:val="000000"/>
          <w:sz w:val="28"/>
          <w:szCs w:val="28"/>
          <w:lang w:eastAsia="ar-SA"/>
        </w:rPr>
        <w:t xml:space="preserve">. </w:t>
      </w:r>
      <w:r w:rsidR="00F745DF" w:rsidRPr="00CB4355">
        <w:rPr>
          <w:rFonts w:eastAsia="Calibri" w:cs="Times New Roman"/>
          <w:b/>
          <w:bCs/>
          <w:color w:val="000000"/>
          <w:sz w:val="28"/>
          <w:szCs w:val="28"/>
          <w:lang w:eastAsia="ar-SA"/>
        </w:rPr>
        <w:t>Sistēmu</w:t>
      </w:r>
      <w:r w:rsidR="000C52C5" w:rsidRPr="00CB4355">
        <w:rPr>
          <w:rFonts w:eastAsia="Calibri" w:cs="Times New Roman"/>
          <w:b/>
          <w:bCs/>
          <w:color w:val="000000"/>
          <w:sz w:val="28"/>
          <w:szCs w:val="28"/>
          <w:lang w:eastAsia="ar-SA"/>
        </w:rPr>
        <w:t xml:space="preserve"> revīzijas</w:t>
      </w:r>
    </w:p>
    <w:p w14:paraId="7CE40DF2" w14:textId="77777777" w:rsidR="00C108CA" w:rsidRPr="00CB4355" w:rsidRDefault="00C108CA" w:rsidP="00E9422C">
      <w:pPr>
        <w:suppressAutoHyphens/>
        <w:spacing w:before="80" w:after="80"/>
        <w:jc w:val="center"/>
        <w:rPr>
          <w:rFonts w:eastAsia="Calibri" w:cs="Times New Roman"/>
          <w:b/>
          <w:bCs/>
          <w:color w:val="000000"/>
          <w:sz w:val="28"/>
          <w:szCs w:val="28"/>
          <w:lang w:eastAsia="ar-SA"/>
        </w:rPr>
      </w:pPr>
    </w:p>
    <w:p w14:paraId="6B33C4A6" w14:textId="19A315EC" w:rsidR="00F745DF" w:rsidRPr="00CB4355" w:rsidRDefault="00F745DF" w:rsidP="00A10F40">
      <w:pPr>
        <w:suppressAutoHyphens/>
        <w:spacing w:before="80" w:after="80"/>
        <w:ind w:left="567" w:firstLine="567"/>
        <w:jc w:val="both"/>
        <w:rPr>
          <w:rFonts w:eastAsia="Calibri" w:cs="Times New Roman"/>
          <w:sz w:val="28"/>
          <w:szCs w:val="28"/>
          <w:lang w:eastAsia="ar-SA"/>
        </w:rPr>
      </w:pPr>
      <w:r w:rsidRPr="00CB4355">
        <w:rPr>
          <w:rFonts w:eastAsia="Calibri" w:cs="Times New Roman"/>
          <w:sz w:val="28"/>
          <w:szCs w:val="28"/>
          <w:lang w:eastAsia="ar-SA"/>
        </w:rPr>
        <w:t>Saskaņā ar donorvalstu noteikumiem revīzijas iestādei periodā no 2013.gada līdz 2017.gadam ir jāveic vismaz vienu programmas vadības un kontroles sistēmas revīziju katrā programmā.</w:t>
      </w:r>
    </w:p>
    <w:p w14:paraId="15B7DF15" w14:textId="7854ED72" w:rsidR="00380908" w:rsidRDefault="00380908" w:rsidP="00A10F40">
      <w:pPr>
        <w:suppressAutoHyphens/>
        <w:spacing w:before="80" w:after="80"/>
        <w:ind w:left="567" w:firstLine="567"/>
        <w:jc w:val="both"/>
        <w:rPr>
          <w:rFonts w:eastAsia="Calibri" w:cs="Times New Roman"/>
          <w:sz w:val="28"/>
          <w:szCs w:val="28"/>
          <w:lang w:eastAsia="ar-SA"/>
        </w:rPr>
      </w:pPr>
      <w:r w:rsidRPr="00CB4355">
        <w:rPr>
          <w:rFonts w:eastAsia="Calibri" w:cs="Times New Roman"/>
          <w:sz w:val="28"/>
          <w:szCs w:val="28"/>
          <w:lang w:eastAsia="ar-SA"/>
        </w:rPr>
        <w:t xml:space="preserve">Revīzijas iestāde </w:t>
      </w:r>
      <w:r w:rsidR="0010673F" w:rsidRPr="00CB4355">
        <w:rPr>
          <w:rFonts w:eastAsia="Calibri" w:cs="Times New Roman"/>
          <w:sz w:val="28"/>
          <w:szCs w:val="28"/>
          <w:lang w:eastAsia="ar-SA"/>
        </w:rPr>
        <w:t>201</w:t>
      </w:r>
      <w:r w:rsidR="007C699A" w:rsidRPr="00CB4355">
        <w:rPr>
          <w:rFonts w:eastAsia="Calibri" w:cs="Times New Roman"/>
          <w:sz w:val="28"/>
          <w:szCs w:val="28"/>
          <w:lang w:eastAsia="ar-SA"/>
        </w:rPr>
        <w:t>4</w:t>
      </w:r>
      <w:r w:rsidR="0010673F" w:rsidRPr="00CB4355">
        <w:rPr>
          <w:rFonts w:eastAsia="Calibri" w:cs="Times New Roman"/>
          <w:sz w:val="28"/>
          <w:szCs w:val="28"/>
          <w:lang w:eastAsia="ar-SA"/>
        </w:rPr>
        <w:t>.gadā</w:t>
      </w:r>
      <w:r w:rsidRPr="00CB4355">
        <w:rPr>
          <w:rFonts w:eastAsia="Calibri" w:cs="Times New Roman"/>
          <w:sz w:val="28"/>
          <w:szCs w:val="28"/>
          <w:lang w:eastAsia="ar-SA"/>
        </w:rPr>
        <w:t xml:space="preserve"> ir veikusi </w:t>
      </w:r>
      <w:r w:rsidR="00F745DF" w:rsidRPr="00CB4355">
        <w:rPr>
          <w:rFonts w:eastAsia="Calibri" w:cs="Times New Roman"/>
          <w:sz w:val="28"/>
          <w:szCs w:val="28"/>
          <w:lang w:eastAsia="ar-SA"/>
        </w:rPr>
        <w:t>trīs sistēmu revīzijas, aptverot</w:t>
      </w:r>
      <w:r w:rsidR="00CB2516" w:rsidRPr="00CB4355">
        <w:rPr>
          <w:rFonts w:eastAsia="Calibri" w:cs="Times New Roman"/>
          <w:sz w:val="28"/>
          <w:szCs w:val="28"/>
          <w:lang w:eastAsia="ar-SA"/>
        </w:rPr>
        <w:t xml:space="preserve"> piecas (Finanšu ministrija, Valsts kase,  Sabiedrības integrācijas fonds, </w:t>
      </w:r>
      <w:r w:rsidR="00866FDE" w:rsidRPr="00CB4355">
        <w:rPr>
          <w:rFonts w:eastAsia="Calibri" w:cs="Times New Roman"/>
          <w:sz w:val="28"/>
          <w:szCs w:val="28"/>
          <w:lang w:eastAsia="ar-SA"/>
        </w:rPr>
        <w:t>Ekonomikas</w:t>
      </w:r>
      <w:r w:rsidR="00CB2516" w:rsidRPr="00CB4355">
        <w:rPr>
          <w:rFonts w:eastAsia="Calibri" w:cs="Times New Roman"/>
          <w:sz w:val="28"/>
          <w:szCs w:val="28"/>
          <w:lang w:eastAsia="ar-SA"/>
        </w:rPr>
        <w:t xml:space="preserve"> ministrija un </w:t>
      </w:r>
      <w:r w:rsidR="00866FDE" w:rsidRPr="00CB4355">
        <w:rPr>
          <w:rFonts w:eastAsia="Calibri" w:cs="Times New Roman"/>
          <w:sz w:val="28"/>
          <w:szCs w:val="28"/>
          <w:lang w:eastAsia="ar-SA"/>
        </w:rPr>
        <w:t>Latvijas Investīciju</w:t>
      </w:r>
      <w:r w:rsidR="00CB2516" w:rsidRPr="00CB4355">
        <w:rPr>
          <w:rFonts w:eastAsia="Calibri" w:cs="Times New Roman"/>
          <w:sz w:val="28"/>
          <w:szCs w:val="28"/>
          <w:lang w:eastAsia="ar-SA"/>
        </w:rPr>
        <w:t xml:space="preserve"> </w:t>
      </w:r>
      <w:r w:rsidR="00866FDE" w:rsidRPr="00CB4355">
        <w:rPr>
          <w:rFonts w:eastAsia="Calibri" w:cs="Times New Roman"/>
          <w:sz w:val="28"/>
          <w:szCs w:val="28"/>
          <w:lang w:eastAsia="ar-SA"/>
        </w:rPr>
        <w:t xml:space="preserve">un </w:t>
      </w:r>
      <w:r w:rsidR="00CB2516" w:rsidRPr="00CB4355">
        <w:rPr>
          <w:rFonts w:eastAsia="Calibri" w:cs="Times New Roman"/>
          <w:sz w:val="28"/>
          <w:szCs w:val="28"/>
          <w:lang w:eastAsia="ar-SA"/>
        </w:rPr>
        <w:t>attīstības aģentūra) no 13</w:t>
      </w:r>
      <w:r w:rsidR="00F745DF" w:rsidRPr="00CB4355">
        <w:rPr>
          <w:rFonts w:eastAsia="Calibri" w:cs="Times New Roman"/>
          <w:sz w:val="28"/>
          <w:szCs w:val="28"/>
          <w:lang w:eastAsia="ar-SA"/>
        </w:rPr>
        <w:t xml:space="preserve"> Finanšu instrumentu</w:t>
      </w:r>
      <w:r w:rsidR="007C699A" w:rsidRPr="00CB4355">
        <w:rPr>
          <w:rFonts w:eastAsia="Calibri" w:cs="Times New Roman"/>
          <w:sz w:val="28"/>
          <w:szCs w:val="28"/>
          <w:lang w:eastAsia="ar-SA"/>
        </w:rPr>
        <w:t xml:space="preserve"> administrēšanā iesaistītajām institūcijām</w:t>
      </w:r>
      <w:r w:rsidR="00F745DF" w:rsidRPr="00CB4355">
        <w:rPr>
          <w:rFonts w:eastAsia="Calibri" w:cs="Times New Roman"/>
          <w:sz w:val="28"/>
          <w:szCs w:val="28"/>
          <w:lang w:eastAsia="ar-SA"/>
        </w:rPr>
        <w:t xml:space="preserve">. Apkopojot visu veikto sistēmu auditu rezultātus, </w:t>
      </w:r>
      <w:r w:rsidR="007C699A" w:rsidRPr="00CB4355">
        <w:rPr>
          <w:rFonts w:eastAsia="Calibri" w:cs="Times New Roman"/>
          <w:sz w:val="28"/>
          <w:szCs w:val="28"/>
          <w:lang w:eastAsia="ar-SA"/>
        </w:rPr>
        <w:t>r</w:t>
      </w:r>
      <w:r w:rsidR="00F745DF" w:rsidRPr="00CB4355">
        <w:rPr>
          <w:rFonts w:eastAsia="Calibri" w:cs="Times New Roman"/>
          <w:sz w:val="28"/>
          <w:szCs w:val="28"/>
          <w:lang w:eastAsia="ar-SA"/>
        </w:rPr>
        <w:t xml:space="preserve">evīzijas iestāde nonāca pie secinājuma, ka Latvijā izveidotā </w:t>
      </w:r>
      <w:r w:rsidR="00866FDE" w:rsidRPr="00CB4355">
        <w:rPr>
          <w:rFonts w:eastAsia="Calibri" w:cs="Times New Roman"/>
          <w:sz w:val="28"/>
          <w:szCs w:val="28"/>
          <w:lang w:eastAsia="ar-SA"/>
        </w:rPr>
        <w:t>Finanšu instrumentu</w:t>
      </w:r>
      <w:r w:rsidR="00F745DF" w:rsidRPr="00CB4355">
        <w:rPr>
          <w:rFonts w:eastAsia="Calibri" w:cs="Times New Roman"/>
          <w:sz w:val="28"/>
          <w:szCs w:val="28"/>
          <w:lang w:eastAsia="ar-SA"/>
        </w:rPr>
        <w:t xml:space="preserve"> vadības un kontroles sistēma darbojas, bet atsevišķās jomās uzlabojumi ir nepieciešami.  </w:t>
      </w:r>
    </w:p>
    <w:p w14:paraId="639BBA5E" w14:textId="77777777" w:rsidR="00C108CA" w:rsidRPr="00CB4355" w:rsidRDefault="00C108CA" w:rsidP="00A10F40">
      <w:pPr>
        <w:suppressAutoHyphens/>
        <w:spacing w:before="80" w:after="80"/>
        <w:ind w:left="567" w:firstLine="567"/>
        <w:jc w:val="both"/>
        <w:rPr>
          <w:rFonts w:eastAsia="Calibri" w:cs="Times New Roman"/>
          <w:sz w:val="28"/>
          <w:szCs w:val="28"/>
          <w:lang w:eastAsia="ar-SA"/>
        </w:rPr>
      </w:pPr>
    </w:p>
    <w:p w14:paraId="0A11EF3F" w14:textId="6931CE73" w:rsidR="003E0F91" w:rsidRDefault="008D4FA8" w:rsidP="00E9422C">
      <w:pPr>
        <w:suppressAutoHyphens/>
        <w:spacing w:before="80" w:after="80"/>
        <w:jc w:val="center"/>
        <w:rPr>
          <w:rFonts w:eastAsia="Calibri" w:cs="Times New Roman"/>
          <w:b/>
          <w:bCs/>
          <w:color w:val="000000"/>
          <w:sz w:val="28"/>
          <w:szCs w:val="28"/>
          <w:lang w:eastAsia="ar-SA"/>
        </w:rPr>
      </w:pPr>
      <w:r w:rsidRPr="00CB4355">
        <w:rPr>
          <w:rFonts w:eastAsia="Calibri" w:cs="Times New Roman"/>
          <w:b/>
          <w:bCs/>
          <w:color w:val="000000"/>
          <w:sz w:val="28"/>
          <w:szCs w:val="28"/>
          <w:lang w:eastAsia="ar-SA"/>
        </w:rPr>
        <w:t>2</w:t>
      </w:r>
      <w:r w:rsidR="0036487D" w:rsidRPr="00CB4355">
        <w:rPr>
          <w:rFonts w:eastAsia="Calibri" w:cs="Times New Roman"/>
          <w:b/>
          <w:bCs/>
          <w:color w:val="000000"/>
          <w:sz w:val="28"/>
          <w:szCs w:val="28"/>
          <w:lang w:eastAsia="ar-SA"/>
        </w:rPr>
        <w:t>.</w:t>
      </w:r>
      <w:r w:rsidR="00E9422C" w:rsidRPr="00CB4355">
        <w:rPr>
          <w:rFonts w:eastAsia="Calibri" w:cs="Times New Roman"/>
          <w:b/>
          <w:bCs/>
          <w:color w:val="000000"/>
          <w:sz w:val="28"/>
          <w:szCs w:val="28"/>
          <w:lang w:eastAsia="ar-SA"/>
        </w:rPr>
        <w:t xml:space="preserve"> </w:t>
      </w:r>
      <w:r w:rsidR="007C699A" w:rsidRPr="00CB4355">
        <w:rPr>
          <w:rFonts w:eastAsia="Calibri" w:cs="Times New Roman"/>
          <w:b/>
          <w:bCs/>
          <w:color w:val="000000"/>
          <w:sz w:val="28"/>
          <w:szCs w:val="28"/>
          <w:lang w:eastAsia="ar-SA"/>
        </w:rPr>
        <w:t>Projektu</w:t>
      </w:r>
      <w:r w:rsidR="00E9422C" w:rsidRPr="00CB4355">
        <w:rPr>
          <w:rFonts w:eastAsia="Calibri" w:cs="Times New Roman"/>
          <w:b/>
          <w:bCs/>
          <w:color w:val="000000"/>
          <w:sz w:val="28"/>
          <w:szCs w:val="28"/>
          <w:lang w:eastAsia="ar-SA"/>
        </w:rPr>
        <w:t xml:space="preserve"> </w:t>
      </w:r>
      <w:r w:rsidR="000C52C5" w:rsidRPr="00CB4355">
        <w:rPr>
          <w:rFonts w:eastAsia="Calibri" w:cs="Times New Roman"/>
          <w:b/>
          <w:bCs/>
          <w:color w:val="000000"/>
          <w:sz w:val="28"/>
          <w:szCs w:val="28"/>
          <w:lang w:eastAsia="ar-SA"/>
        </w:rPr>
        <w:t>revīzijas</w:t>
      </w:r>
    </w:p>
    <w:p w14:paraId="684993E5" w14:textId="77777777" w:rsidR="00C108CA" w:rsidRPr="00CB4355" w:rsidRDefault="00C108CA" w:rsidP="00E9422C">
      <w:pPr>
        <w:suppressAutoHyphens/>
        <w:spacing w:before="80" w:after="80"/>
        <w:jc w:val="center"/>
        <w:rPr>
          <w:rFonts w:eastAsia="Calibri" w:cs="Times New Roman"/>
          <w:b/>
          <w:bCs/>
          <w:color w:val="000000"/>
          <w:sz w:val="28"/>
          <w:szCs w:val="28"/>
          <w:lang w:eastAsia="ar-SA"/>
        </w:rPr>
      </w:pPr>
    </w:p>
    <w:p w14:paraId="375A99F0" w14:textId="09192588" w:rsidR="00A31B01" w:rsidRPr="00CB4355" w:rsidRDefault="00330AF3" w:rsidP="00330AF3">
      <w:pPr>
        <w:suppressAutoHyphens/>
        <w:spacing w:before="80" w:after="80"/>
        <w:ind w:left="567" w:firstLine="567"/>
        <w:jc w:val="both"/>
        <w:rPr>
          <w:rFonts w:eastAsia="Calibri" w:cs="Times New Roman"/>
          <w:sz w:val="28"/>
          <w:szCs w:val="28"/>
          <w:lang w:eastAsia="ar-SA"/>
        </w:rPr>
      </w:pPr>
      <w:r w:rsidRPr="00CB4355">
        <w:rPr>
          <w:rFonts w:eastAsia="Calibri" w:cs="Times New Roman"/>
          <w:sz w:val="28"/>
          <w:szCs w:val="28"/>
          <w:lang w:eastAsia="ar-SA"/>
        </w:rPr>
        <w:t>Revīzijas iestāde veica vienu projektu revīziju, kurā pārbaudāmās vienības (projekti</w:t>
      </w:r>
      <w:r w:rsidR="0080714A" w:rsidRPr="00CB4355">
        <w:rPr>
          <w:rFonts w:eastAsia="Calibri" w:cs="Times New Roman"/>
          <w:sz w:val="28"/>
          <w:szCs w:val="28"/>
          <w:lang w:eastAsia="ar-SA"/>
        </w:rPr>
        <w:t>) tika atlasītas pēc nejaušās izlases metodes, kā arī</w:t>
      </w:r>
      <w:r w:rsidRPr="00CB4355">
        <w:rPr>
          <w:rFonts w:eastAsia="Calibri" w:cs="Times New Roman"/>
          <w:sz w:val="28"/>
          <w:szCs w:val="28"/>
          <w:lang w:eastAsia="ar-SA"/>
        </w:rPr>
        <w:t xml:space="preserve">, pamatojoties uz riska izvērtējumu. </w:t>
      </w:r>
      <w:r w:rsidR="00C108CA" w:rsidRPr="00CB4355">
        <w:rPr>
          <w:rFonts w:eastAsia="Calibri" w:cs="Times New Roman"/>
          <w:sz w:val="28"/>
          <w:szCs w:val="28"/>
          <w:lang w:eastAsia="ar-SA"/>
        </w:rPr>
        <w:t xml:space="preserve">Kopā tika </w:t>
      </w:r>
      <w:r w:rsidR="00CB4355" w:rsidRPr="00CB4355">
        <w:rPr>
          <w:rFonts w:eastAsia="Calibri" w:cs="Times New Roman"/>
          <w:sz w:val="28"/>
          <w:szCs w:val="28"/>
          <w:lang w:eastAsia="ar-SA"/>
        </w:rPr>
        <w:t>pārbaudīti</w:t>
      </w:r>
      <w:r w:rsidR="00A31B01" w:rsidRPr="00CB4355">
        <w:rPr>
          <w:rFonts w:eastAsia="Calibri" w:cs="Times New Roman"/>
          <w:sz w:val="28"/>
          <w:szCs w:val="28"/>
          <w:lang w:eastAsia="ar-SA"/>
        </w:rPr>
        <w:t xml:space="preserve"> 16 projekti, no tiem viens projekts no Vides aizsardzības un reģionālās attīstības ministrijas administrētās programmas “Kapacitātes stiprināšana un institucionālā sadarbība starp Latvijas un Norvēģijas valsts institūcijām, vietējām un reģionālām iestādēm” un 15 projekti no Sabiedrības integrācijas fonda administrētās programmas “NVO fonds”.</w:t>
      </w:r>
    </w:p>
    <w:p w14:paraId="6D1407FE" w14:textId="35059836" w:rsidR="00E85FDB" w:rsidRPr="00CB4355" w:rsidRDefault="00330AF3" w:rsidP="00A10F40">
      <w:pPr>
        <w:suppressAutoHyphens/>
        <w:spacing w:before="80" w:after="80"/>
        <w:ind w:left="567" w:firstLine="567"/>
        <w:jc w:val="both"/>
        <w:rPr>
          <w:rFonts w:eastAsia="Calibri" w:cs="Times New Roman"/>
          <w:sz w:val="28"/>
          <w:szCs w:val="28"/>
          <w:lang w:eastAsia="ar-SA"/>
        </w:rPr>
      </w:pPr>
      <w:r w:rsidRPr="00CB4355">
        <w:rPr>
          <w:rFonts w:eastAsia="Calibri" w:cs="Times New Roman"/>
          <w:sz w:val="28"/>
          <w:szCs w:val="28"/>
          <w:lang w:eastAsia="ar-SA"/>
        </w:rPr>
        <w:lastRenderedPageBreak/>
        <w:t xml:space="preserve">Kopā tika pārbaudīti </w:t>
      </w:r>
      <w:r w:rsidR="00DD3217" w:rsidRPr="00CB4355">
        <w:rPr>
          <w:rFonts w:eastAsia="Calibri" w:cs="Times New Roman"/>
          <w:sz w:val="28"/>
          <w:szCs w:val="28"/>
          <w:lang w:eastAsia="ar-SA"/>
        </w:rPr>
        <w:t xml:space="preserve">izdevumi </w:t>
      </w:r>
      <w:r w:rsidR="00BF226B" w:rsidRPr="00CB4355">
        <w:rPr>
          <w:rFonts w:eastAsia="Calibri" w:cs="Times New Roman"/>
          <w:sz w:val="28"/>
          <w:szCs w:val="28"/>
          <w:lang w:eastAsia="ar-SA"/>
        </w:rPr>
        <w:t>352 452</w:t>
      </w:r>
      <w:r w:rsidRPr="00CB4355">
        <w:rPr>
          <w:rFonts w:eastAsia="Calibri" w:cs="Times New Roman"/>
          <w:sz w:val="28"/>
          <w:szCs w:val="28"/>
          <w:lang w:eastAsia="ar-SA"/>
        </w:rPr>
        <w:t xml:space="preserve"> EUR apmērā (skat. kopsavilkumu tabulā Nr.</w:t>
      </w:r>
      <w:r w:rsidR="00DD3217" w:rsidRPr="00CB4355">
        <w:rPr>
          <w:rFonts w:eastAsia="Calibri" w:cs="Times New Roman"/>
          <w:sz w:val="28"/>
          <w:szCs w:val="28"/>
          <w:lang w:eastAsia="ar-SA"/>
        </w:rPr>
        <w:t>1</w:t>
      </w:r>
      <w:r w:rsidRPr="00CB4355">
        <w:rPr>
          <w:rFonts w:eastAsia="Calibri" w:cs="Times New Roman"/>
          <w:sz w:val="28"/>
          <w:szCs w:val="28"/>
          <w:lang w:eastAsia="ar-SA"/>
        </w:rPr>
        <w:t xml:space="preserve">). </w:t>
      </w:r>
      <w:r w:rsidR="00156BD1" w:rsidRPr="00CB4355">
        <w:rPr>
          <w:rFonts w:eastAsia="Calibri" w:cs="Times New Roman"/>
          <w:sz w:val="28"/>
          <w:szCs w:val="28"/>
          <w:lang w:eastAsia="ar-SA"/>
        </w:rPr>
        <w:t xml:space="preserve">Revīzijas iestāde pārbaudīja </w:t>
      </w:r>
      <w:r w:rsidR="00DD3217" w:rsidRPr="00CB4355">
        <w:rPr>
          <w:rFonts w:eastAsia="Calibri" w:cs="Times New Roman"/>
          <w:sz w:val="28"/>
          <w:szCs w:val="28"/>
          <w:lang w:eastAsia="ar-SA"/>
        </w:rPr>
        <w:t>10</w:t>
      </w:r>
      <w:r w:rsidR="006A14C9" w:rsidRPr="00CB4355">
        <w:rPr>
          <w:rFonts w:eastAsia="Calibri" w:cs="Times New Roman"/>
          <w:sz w:val="28"/>
          <w:szCs w:val="28"/>
          <w:lang w:eastAsia="ar-SA"/>
        </w:rPr>
        <w:t xml:space="preserve"> procent</w:t>
      </w:r>
      <w:r w:rsidR="00F93B44" w:rsidRPr="00CB4355">
        <w:rPr>
          <w:rFonts w:eastAsia="Calibri" w:cs="Times New Roman"/>
          <w:sz w:val="28"/>
          <w:szCs w:val="28"/>
          <w:lang w:eastAsia="ar-SA"/>
        </w:rPr>
        <w:t>us</w:t>
      </w:r>
      <w:r w:rsidR="00156BD1" w:rsidRPr="00CB4355">
        <w:rPr>
          <w:rFonts w:eastAsia="Calibri" w:cs="Times New Roman"/>
          <w:sz w:val="28"/>
          <w:szCs w:val="28"/>
          <w:lang w:eastAsia="ar-SA"/>
        </w:rPr>
        <w:t xml:space="preserve"> no izdevumiem, kas bija </w:t>
      </w:r>
      <w:r w:rsidR="007C699A" w:rsidRPr="00CB4355">
        <w:rPr>
          <w:rFonts w:eastAsia="Calibri" w:cs="Times New Roman"/>
          <w:sz w:val="28"/>
          <w:szCs w:val="28"/>
          <w:lang w:eastAsia="ar-SA"/>
        </w:rPr>
        <w:t>deklarēti donorvalstīm audita periodā</w:t>
      </w:r>
      <w:r w:rsidR="00156BD1" w:rsidRPr="00CB4355">
        <w:rPr>
          <w:rFonts w:eastAsia="Calibri" w:cs="Times New Roman"/>
          <w:sz w:val="28"/>
          <w:szCs w:val="28"/>
          <w:lang w:eastAsia="ar-SA"/>
        </w:rPr>
        <w:t xml:space="preserve">. </w:t>
      </w:r>
    </w:p>
    <w:p w14:paraId="0082CF1A" w14:textId="77777777" w:rsidR="001D44E1" w:rsidRPr="00CB4355" w:rsidRDefault="001D44E1" w:rsidP="001D44E1">
      <w:pPr>
        <w:suppressAutoHyphens/>
        <w:ind w:left="567" w:firstLine="567"/>
        <w:jc w:val="both"/>
        <w:rPr>
          <w:rFonts w:eastAsia="Calibri" w:cs="Times New Roman"/>
          <w:sz w:val="28"/>
          <w:szCs w:val="28"/>
          <w:lang w:eastAsia="ar-SA"/>
        </w:rPr>
      </w:pPr>
    </w:p>
    <w:tbl>
      <w:tblPr>
        <w:tblW w:w="9463"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5"/>
        <w:gridCol w:w="3828"/>
      </w:tblGrid>
      <w:tr w:rsidR="008A141D" w:rsidRPr="00C108CA" w14:paraId="47C2708A" w14:textId="77777777" w:rsidTr="00AB6FB4">
        <w:trPr>
          <w:trHeight w:val="50"/>
        </w:trPr>
        <w:tc>
          <w:tcPr>
            <w:tcW w:w="5635" w:type="dxa"/>
            <w:shd w:val="clear" w:color="auto" w:fill="B8CCE4" w:themeFill="accent1" w:themeFillTint="66"/>
            <w:vAlign w:val="center"/>
          </w:tcPr>
          <w:p w14:paraId="3894419F" w14:textId="0D6196BA" w:rsidR="008A141D" w:rsidRPr="00CB4355" w:rsidRDefault="008A141D" w:rsidP="00DD3217">
            <w:pPr>
              <w:spacing w:before="120"/>
              <w:rPr>
                <w:rFonts w:cs="Times New Roman"/>
                <w:b/>
                <w:sz w:val="28"/>
                <w:szCs w:val="28"/>
                <w:lang w:eastAsia="lv-LV"/>
              </w:rPr>
            </w:pPr>
            <w:r w:rsidRPr="00CB4355">
              <w:rPr>
                <w:rFonts w:cs="Times New Roman"/>
                <w:b/>
                <w:sz w:val="28"/>
                <w:szCs w:val="28"/>
                <w:lang w:eastAsia="lv-LV"/>
              </w:rPr>
              <w:t>Izlases kopa (</w:t>
            </w:r>
            <w:r w:rsidR="00EC2DB3" w:rsidRPr="00CB4355">
              <w:rPr>
                <w:rFonts w:cs="Times New Roman"/>
                <w:b/>
                <w:sz w:val="28"/>
                <w:szCs w:val="28"/>
                <w:lang w:eastAsia="lv-LV"/>
              </w:rPr>
              <w:t>periodā</w:t>
            </w:r>
            <w:r w:rsidRPr="00CB4355">
              <w:rPr>
                <w:rFonts w:cs="Times New Roman"/>
                <w:b/>
                <w:sz w:val="28"/>
                <w:szCs w:val="28"/>
                <w:lang w:eastAsia="lv-LV"/>
              </w:rPr>
              <w:t xml:space="preserve"> no 01.05.201</w:t>
            </w:r>
            <w:r w:rsidR="00DD3217" w:rsidRPr="00CB4355">
              <w:rPr>
                <w:rFonts w:cs="Times New Roman"/>
                <w:b/>
                <w:sz w:val="28"/>
                <w:szCs w:val="28"/>
                <w:lang w:eastAsia="lv-LV"/>
              </w:rPr>
              <w:t>3</w:t>
            </w:r>
            <w:r w:rsidRPr="00CB4355">
              <w:rPr>
                <w:rFonts w:cs="Times New Roman"/>
                <w:b/>
                <w:sz w:val="28"/>
                <w:szCs w:val="28"/>
                <w:lang w:eastAsia="lv-LV"/>
              </w:rPr>
              <w:t xml:space="preserve">. līdz </w:t>
            </w:r>
            <w:r w:rsidR="00DD3217" w:rsidRPr="00CB4355">
              <w:rPr>
                <w:rFonts w:cs="Times New Roman"/>
                <w:b/>
                <w:sz w:val="28"/>
                <w:szCs w:val="28"/>
                <w:lang w:eastAsia="lv-LV"/>
              </w:rPr>
              <w:t>31.12.2013</w:t>
            </w:r>
            <w:r w:rsidRPr="00CB4355">
              <w:rPr>
                <w:rFonts w:cs="Times New Roman"/>
                <w:b/>
                <w:sz w:val="28"/>
                <w:szCs w:val="28"/>
                <w:lang w:eastAsia="lv-LV"/>
              </w:rPr>
              <w:t>. veiktie izdevumi)</w:t>
            </w:r>
            <w:r w:rsidR="001D3195" w:rsidRPr="00CB4355">
              <w:rPr>
                <w:rFonts w:cs="Times New Roman"/>
                <w:b/>
                <w:sz w:val="28"/>
                <w:szCs w:val="28"/>
                <w:lang w:eastAsia="lv-LV"/>
              </w:rPr>
              <w:t xml:space="preserve"> (</w:t>
            </w:r>
            <w:r w:rsidR="00DD3217" w:rsidRPr="00CB4355">
              <w:rPr>
                <w:rFonts w:cs="Times New Roman"/>
                <w:b/>
                <w:sz w:val="28"/>
                <w:szCs w:val="28"/>
                <w:lang w:eastAsia="lv-LV"/>
              </w:rPr>
              <w:t>EUR</w:t>
            </w:r>
            <w:r w:rsidR="001D3195" w:rsidRPr="00CB4355">
              <w:rPr>
                <w:rFonts w:cs="Times New Roman"/>
                <w:b/>
                <w:sz w:val="28"/>
                <w:szCs w:val="28"/>
                <w:lang w:eastAsia="lv-LV"/>
              </w:rPr>
              <w:t>)</w:t>
            </w:r>
            <w:r w:rsidRPr="00CB4355">
              <w:rPr>
                <w:rFonts w:cs="Times New Roman"/>
                <w:b/>
                <w:sz w:val="28"/>
                <w:szCs w:val="28"/>
                <w:lang w:eastAsia="lv-LV"/>
              </w:rPr>
              <w:t>, t.sk.:</w:t>
            </w:r>
            <w:r w:rsidR="001D3195" w:rsidRPr="00CB4355">
              <w:rPr>
                <w:rFonts w:cs="Times New Roman"/>
                <w:b/>
                <w:sz w:val="28"/>
                <w:szCs w:val="28"/>
                <w:lang w:eastAsia="lv-LV"/>
              </w:rPr>
              <w:t xml:space="preserve"> </w:t>
            </w:r>
          </w:p>
        </w:tc>
        <w:tc>
          <w:tcPr>
            <w:tcW w:w="3828" w:type="dxa"/>
            <w:vAlign w:val="center"/>
          </w:tcPr>
          <w:p w14:paraId="2AA6456F" w14:textId="0D7C99A7" w:rsidR="008A141D" w:rsidRPr="00CB4355" w:rsidRDefault="00DD3217" w:rsidP="001D0A20">
            <w:pPr>
              <w:jc w:val="center"/>
              <w:rPr>
                <w:rFonts w:cs="Times New Roman"/>
                <w:color w:val="000000"/>
                <w:sz w:val="28"/>
                <w:szCs w:val="28"/>
                <w:lang w:eastAsia="lv-LV"/>
              </w:rPr>
            </w:pPr>
            <w:r w:rsidRPr="00CB4355">
              <w:rPr>
                <w:rFonts w:cs="Times New Roman"/>
                <w:b/>
                <w:sz w:val="28"/>
                <w:szCs w:val="28"/>
                <w:lang w:val="en-GB" w:eastAsia="lv-LV"/>
              </w:rPr>
              <w:t>3 517 606</w:t>
            </w:r>
          </w:p>
        </w:tc>
      </w:tr>
      <w:tr w:rsidR="008A141D" w:rsidRPr="00C108CA" w14:paraId="062E3362" w14:textId="77777777" w:rsidTr="00AB6FB4">
        <w:trPr>
          <w:trHeight w:val="144"/>
        </w:trPr>
        <w:tc>
          <w:tcPr>
            <w:tcW w:w="5635" w:type="dxa"/>
            <w:tcBorders>
              <w:top w:val="single" w:sz="4" w:space="0" w:color="auto"/>
            </w:tcBorders>
            <w:shd w:val="clear" w:color="auto" w:fill="B8CCE4" w:themeFill="accent1" w:themeFillTint="66"/>
            <w:noWrap/>
            <w:vAlign w:val="center"/>
          </w:tcPr>
          <w:p w14:paraId="4FBF3EB7" w14:textId="1FA0F207" w:rsidR="008A141D" w:rsidRPr="00CB4355" w:rsidRDefault="008A141D" w:rsidP="00DD3217">
            <w:pPr>
              <w:spacing w:before="120"/>
              <w:rPr>
                <w:rFonts w:cs="Times New Roman"/>
                <w:b/>
                <w:sz w:val="28"/>
                <w:szCs w:val="28"/>
                <w:lang w:eastAsia="lv-LV"/>
              </w:rPr>
            </w:pPr>
            <w:r w:rsidRPr="00CB4355">
              <w:rPr>
                <w:rFonts w:cs="Times New Roman"/>
                <w:b/>
                <w:sz w:val="28"/>
                <w:szCs w:val="28"/>
                <w:lang w:eastAsia="lv-LV"/>
              </w:rPr>
              <w:t>Pārbaudītie izdevumi (</w:t>
            </w:r>
            <w:r w:rsidR="00DD3217" w:rsidRPr="00CB4355">
              <w:rPr>
                <w:rFonts w:cs="Times New Roman"/>
                <w:b/>
                <w:sz w:val="28"/>
                <w:szCs w:val="28"/>
                <w:lang w:eastAsia="lv-LV"/>
              </w:rPr>
              <w:t>EUR</w:t>
            </w:r>
            <w:r w:rsidRPr="00CB4355">
              <w:rPr>
                <w:rFonts w:cs="Times New Roman"/>
                <w:b/>
                <w:sz w:val="28"/>
                <w:szCs w:val="28"/>
                <w:lang w:eastAsia="lv-LV"/>
              </w:rPr>
              <w:t>)</w:t>
            </w:r>
          </w:p>
        </w:tc>
        <w:tc>
          <w:tcPr>
            <w:tcW w:w="3828" w:type="dxa"/>
            <w:tcBorders>
              <w:top w:val="single" w:sz="4" w:space="0" w:color="auto"/>
            </w:tcBorders>
            <w:vAlign w:val="center"/>
          </w:tcPr>
          <w:p w14:paraId="76D5E139" w14:textId="59946F4F" w:rsidR="008A141D" w:rsidRPr="00CB4355" w:rsidRDefault="00DD3217" w:rsidP="00B80524">
            <w:pPr>
              <w:jc w:val="center"/>
              <w:rPr>
                <w:rFonts w:cs="Times New Roman"/>
                <w:b/>
                <w:color w:val="000000"/>
                <w:sz w:val="28"/>
                <w:szCs w:val="28"/>
                <w:lang w:eastAsia="lv-LV"/>
              </w:rPr>
            </w:pPr>
            <w:r w:rsidRPr="00CB4355">
              <w:rPr>
                <w:rFonts w:cs="Times New Roman"/>
                <w:b/>
                <w:color w:val="000000"/>
                <w:sz w:val="28"/>
                <w:szCs w:val="28"/>
                <w:lang w:eastAsia="lv-LV"/>
              </w:rPr>
              <w:t>352 452</w:t>
            </w:r>
          </w:p>
        </w:tc>
      </w:tr>
      <w:tr w:rsidR="008A141D" w:rsidRPr="00C108CA" w14:paraId="34E63D7C" w14:textId="77777777" w:rsidTr="00AB6FB4">
        <w:trPr>
          <w:trHeight w:val="192"/>
        </w:trPr>
        <w:tc>
          <w:tcPr>
            <w:tcW w:w="5635" w:type="dxa"/>
            <w:tcBorders>
              <w:top w:val="single" w:sz="4" w:space="0" w:color="auto"/>
            </w:tcBorders>
            <w:shd w:val="clear" w:color="auto" w:fill="B8CCE4" w:themeFill="accent1" w:themeFillTint="66"/>
            <w:noWrap/>
            <w:vAlign w:val="center"/>
          </w:tcPr>
          <w:p w14:paraId="3575EAD4" w14:textId="77777777" w:rsidR="008A141D" w:rsidRPr="00CB4355" w:rsidRDefault="008A141D" w:rsidP="00AB6FB4">
            <w:pPr>
              <w:spacing w:before="120"/>
              <w:rPr>
                <w:rFonts w:cs="Times New Roman"/>
                <w:b/>
                <w:sz w:val="28"/>
                <w:szCs w:val="28"/>
                <w:lang w:eastAsia="lv-LV"/>
              </w:rPr>
            </w:pPr>
            <w:r w:rsidRPr="00CB4355">
              <w:rPr>
                <w:rFonts w:cs="Times New Roman"/>
                <w:b/>
                <w:sz w:val="28"/>
                <w:szCs w:val="28"/>
                <w:lang w:eastAsia="lv-LV"/>
              </w:rPr>
              <w:t>Pārbaudītie izdevumi (%)</w:t>
            </w:r>
          </w:p>
        </w:tc>
        <w:tc>
          <w:tcPr>
            <w:tcW w:w="3828" w:type="dxa"/>
            <w:tcBorders>
              <w:top w:val="single" w:sz="4" w:space="0" w:color="auto"/>
            </w:tcBorders>
            <w:vAlign w:val="center"/>
          </w:tcPr>
          <w:p w14:paraId="07BE91A6" w14:textId="336E4721" w:rsidR="008A141D" w:rsidRPr="00CB4355" w:rsidRDefault="00DD3217" w:rsidP="008A141D">
            <w:pPr>
              <w:jc w:val="center"/>
              <w:rPr>
                <w:rFonts w:cs="Times New Roman"/>
                <w:b/>
                <w:color w:val="000000"/>
                <w:sz w:val="28"/>
                <w:szCs w:val="28"/>
                <w:lang w:eastAsia="lv-LV"/>
              </w:rPr>
            </w:pPr>
            <w:r w:rsidRPr="00CB4355">
              <w:rPr>
                <w:rFonts w:cs="Times New Roman"/>
                <w:b/>
                <w:color w:val="000000"/>
                <w:sz w:val="28"/>
                <w:szCs w:val="28"/>
                <w:lang w:eastAsia="lv-LV"/>
              </w:rPr>
              <w:t>10</w:t>
            </w:r>
            <w:r w:rsidR="00553231" w:rsidRPr="00CB4355">
              <w:rPr>
                <w:rFonts w:cs="Times New Roman"/>
                <w:b/>
                <w:color w:val="000000"/>
                <w:sz w:val="28"/>
                <w:szCs w:val="28"/>
                <w:lang w:eastAsia="lv-LV"/>
              </w:rPr>
              <w:t xml:space="preserve"> </w:t>
            </w:r>
            <w:r w:rsidR="00AB6FB4" w:rsidRPr="00CB4355">
              <w:rPr>
                <w:rFonts w:cs="Times New Roman"/>
                <w:b/>
                <w:color w:val="000000"/>
                <w:sz w:val="28"/>
                <w:szCs w:val="28"/>
                <w:lang w:eastAsia="lv-LV"/>
              </w:rPr>
              <w:t>%</w:t>
            </w:r>
          </w:p>
        </w:tc>
      </w:tr>
      <w:tr w:rsidR="008A141D" w:rsidRPr="00C108CA" w14:paraId="7502F6A8" w14:textId="77777777" w:rsidTr="00AB6FB4">
        <w:trPr>
          <w:trHeight w:val="85"/>
        </w:trPr>
        <w:tc>
          <w:tcPr>
            <w:tcW w:w="5635" w:type="dxa"/>
            <w:shd w:val="clear" w:color="auto" w:fill="B8CCE4" w:themeFill="accent1" w:themeFillTint="66"/>
            <w:noWrap/>
            <w:vAlign w:val="center"/>
          </w:tcPr>
          <w:p w14:paraId="7FD19004" w14:textId="5A9ACB1E" w:rsidR="008A141D" w:rsidRPr="00CB4355" w:rsidRDefault="008A141D" w:rsidP="00DD3217">
            <w:pPr>
              <w:spacing w:before="120"/>
              <w:rPr>
                <w:rFonts w:cs="Times New Roman"/>
                <w:b/>
                <w:sz w:val="28"/>
                <w:szCs w:val="28"/>
                <w:lang w:eastAsia="lv-LV"/>
              </w:rPr>
            </w:pPr>
            <w:r w:rsidRPr="00CB4355">
              <w:rPr>
                <w:rFonts w:cs="Times New Roman"/>
                <w:b/>
                <w:sz w:val="28"/>
                <w:szCs w:val="28"/>
                <w:lang w:eastAsia="lv-LV"/>
              </w:rPr>
              <w:t>Konstatētie neattiecināmie izdevumi (</w:t>
            </w:r>
            <w:r w:rsidR="00DD3217" w:rsidRPr="00CB4355">
              <w:rPr>
                <w:rFonts w:cs="Times New Roman"/>
                <w:b/>
                <w:sz w:val="28"/>
                <w:szCs w:val="28"/>
                <w:lang w:eastAsia="lv-LV"/>
              </w:rPr>
              <w:t>EUR</w:t>
            </w:r>
            <w:r w:rsidRPr="00CB4355">
              <w:rPr>
                <w:rFonts w:cs="Times New Roman"/>
                <w:b/>
                <w:sz w:val="28"/>
                <w:szCs w:val="28"/>
                <w:lang w:eastAsia="lv-LV"/>
              </w:rPr>
              <w:t>)</w:t>
            </w:r>
          </w:p>
        </w:tc>
        <w:tc>
          <w:tcPr>
            <w:tcW w:w="3828" w:type="dxa"/>
            <w:vAlign w:val="center"/>
          </w:tcPr>
          <w:p w14:paraId="258EDEB8" w14:textId="5D524D4A" w:rsidR="008A141D" w:rsidRPr="00CB4355" w:rsidRDefault="00DD3217" w:rsidP="008A141D">
            <w:pPr>
              <w:jc w:val="center"/>
              <w:rPr>
                <w:rFonts w:cs="Times New Roman"/>
                <w:b/>
                <w:color w:val="000000"/>
                <w:sz w:val="28"/>
                <w:szCs w:val="28"/>
                <w:lang w:eastAsia="lv-LV"/>
              </w:rPr>
            </w:pPr>
            <w:r w:rsidRPr="00CB4355">
              <w:rPr>
                <w:rFonts w:cs="Times New Roman"/>
                <w:b/>
                <w:color w:val="000000"/>
                <w:sz w:val="28"/>
                <w:szCs w:val="28"/>
                <w:lang w:eastAsia="lv-LV"/>
              </w:rPr>
              <w:t>358,89</w:t>
            </w:r>
          </w:p>
        </w:tc>
      </w:tr>
      <w:tr w:rsidR="00AB6FB4" w:rsidRPr="00C108CA" w14:paraId="4E95252F" w14:textId="77777777" w:rsidTr="00AB6FB4">
        <w:trPr>
          <w:trHeight w:val="132"/>
        </w:trPr>
        <w:tc>
          <w:tcPr>
            <w:tcW w:w="5635" w:type="dxa"/>
            <w:tcBorders>
              <w:left w:val="single" w:sz="4" w:space="0" w:color="auto"/>
            </w:tcBorders>
            <w:shd w:val="clear" w:color="auto" w:fill="B8CCE4" w:themeFill="accent1" w:themeFillTint="66"/>
            <w:noWrap/>
            <w:vAlign w:val="center"/>
          </w:tcPr>
          <w:p w14:paraId="0DBD859E" w14:textId="4BD1624F" w:rsidR="00AB6FB4" w:rsidRPr="00CB4355" w:rsidRDefault="00DD3217" w:rsidP="00DD3217">
            <w:pPr>
              <w:spacing w:before="120"/>
              <w:rPr>
                <w:rFonts w:cs="Times New Roman"/>
                <w:b/>
                <w:sz w:val="28"/>
                <w:szCs w:val="28"/>
                <w:lang w:eastAsia="lv-LV"/>
              </w:rPr>
            </w:pPr>
            <w:r w:rsidRPr="00CB4355">
              <w:rPr>
                <w:rFonts w:cs="Times New Roman"/>
                <w:b/>
                <w:sz w:val="28"/>
                <w:szCs w:val="28"/>
                <w:lang w:eastAsia="lv-LV"/>
              </w:rPr>
              <w:t>Kļūdas līmenis</w:t>
            </w:r>
            <w:r w:rsidR="00AB6FB4" w:rsidRPr="00CB4355">
              <w:rPr>
                <w:rFonts w:cs="Times New Roman"/>
                <w:b/>
                <w:sz w:val="28"/>
                <w:szCs w:val="28"/>
                <w:lang w:eastAsia="lv-LV"/>
              </w:rPr>
              <w:t xml:space="preserve"> (%) </w:t>
            </w:r>
          </w:p>
        </w:tc>
        <w:tc>
          <w:tcPr>
            <w:tcW w:w="3828" w:type="dxa"/>
            <w:shd w:val="clear" w:color="auto" w:fill="FFFFFF"/>
            <w:vAlign w:val="center"/>
          </w:tcPr>
          <w:p w14:paraId="3ABBB82B" w14:textId="6F327826" w:rsidR="00AB6FB4" w:rsidRPr="00CB4355" w:rsidRDefault="00DD3217" w:rsidP="00760A78">
            <w:pPr>
              <w:jc w:val="center"/>
              <w:rPr>
                <w:rFonts w:cs="Times New Roman"/>
                <w:b/>
                <w:color w:val="000000"/>
                <w:sz w:val="28"/>
                <w:szCs w:val="28"/>
                <w:lang w:eastAsia="lv-LV"/>
              </w:rPr>
            </w:pPr>
            <w:r w:rsidRPr="00CB4355">
              <w:rPr>
                <w:rFonts w:cs="Times New Roman"/>
                <w:b/>
                <w:color w:val="000000"/>
                <w:sz w:val="28"/>
                <w:szCs w:val="28"/>
                <w:lang w:eastAsia="lv-LV"/>
              </w:rPr>
              <w:t>0,3</w:t>
            </w:r>
            <w:r w:rsidR="00553231" w:rsidRPr="00CB4355">
              <w:rPr>
                <w:rFonts w:cs="Times New Roman"/>
                <w:b/>
                <w:color w:val="000000"/>
                <w:sz w:val="28"/>
                <w:szCs w:val="28"/>
                <w:lang w:eastAsia="lv-LV"/>
              </w:rPr>
              <w:t xml:space="preserve"> </w:t>
            </w:r>
            <w:r w:rsidR="00AB6FB4" w:rsidRPr="00CB4355">
              <w:rPr>
                <w:rFonts w:cs="Times New Roman"/>
                <w:b/>
                <w:color w:val="000000"/>
                <w:sz w:val="28"/>
                <w:szCs w:val="28"/>
                <w:lang w:eastAsia="lv-LV"/>
              </w:rPr>
              <w:t>%</w:t>
            </w:r>
          </w:p>
        </w:tc>
      </w:tr>
    </w:tbl>
    <w:p w14:paraId="32AD2869" w14:textId="5D2AA66E" w:rsidR="007C699A" w:rsidRPr="00CB4355" w:rsidRDefault="001D44E1" w:rsidP="001D44E1">
      <w:pPr>
        <w:suppressAutoHyphens/>
        <w:spacing w:before="80" w:after="80"/>
        <w:ind w:left="567" w:firstLine="567"/>
        <w:jc w:val="center"/>
        <w:rPr>
          <w:rFonts w:eastAsia="Calibri" w:cs="Times New Roman"/>
          <w:sz w:val="28"/>
          <w:szCs w:val="28"/>
          <w:lang w:eastAsia="ar-SA"/>
        </w:rPr>
      </w:pPr>
      <w:r w:rsidRPr="00CB4355">
        <w:rPr>
          <w:rFonts w:eastAsia="Calibri" w:cs="Times New Roman"/>
          <w:sz w:val="28"/>
          <w:szCs w:val="28"/>
          <w:lang w:eastAsia="ar-SA"/>
        </w:rPr>
        <w:t>Attēls Nr.1 Projektu revīziju kopsavilkums</w:t>
      </w:r>
    </w:p>
    <w:p w14:paraId="441ED950" w14:textId="77777777" w:rsidR="001D44E1" w:rsidRPr="00CB4355" w:rsidRDefault="001D44E1" w:rsidP="001D44E1">
      <w:pPr>
        <w:suppressAutoHyphens/>
        <w:ind w:left="567" w:firstLine="567"/>
        <w:jc w:val="both"/>
        <w:rPr>
          <w:rFonts w:eastAsia="Calibri" w:cs="Times New Roman"/>
          <w:sz w:val="28"/>
          <w:szCs w:val="28"/>
          <w:lang w:eastAsia="ar-SA"/>
        </w:rPr>
      </w:pPr>
    </w:p>
    <w:p w14:paraId="4F790602" w14:textId="7DBEF8AE" w:rsidR="00E85FDB" w:rsidRDefault="00AB6FB4" w:rsidP="00A10F40">
      <w:pPr>
        <w:suppressAutoHyphens/>
        <w:spacing w:before="80" w:after="80"/>
        <w:ind w:left="567" w:firstLine="567"/>
        <w:jc w:val="both"/>
        <w:rPr>
          <w:rFonts w:eastAsia="Calibri" w:cs="Times New Roman"/>
          <w:sz w:val="28"/>
          <w:szCs w:val="28"/>
          <w:lang w:eastAsia="ar-SA"/>
        </w:rPr>
      </w:pPr>
      <w:r w:rsidRPr="00CB4355">
        <w:rPr>
          <w:rFonts w:eastAsia="Calibri" w:cs="Times New Roman"/>
          <w:sz w:val="28"/>
          <w:szCs w:val="28"/>
          <w:lang w:eastAsia="ar-SA"/>
        </w:rPr>
        <w:t>P</w:t>
      </w:r>
      <w:r w:rsidR="00E85FDB" w:rsidRPr="00CB4355">
        <w:rPr>
          <w:rFonts w:eastAsia="Calibri" w:cs="Times New Roman"/>
          <w:sz w:val="28"/>
          <w:szCs w:val="28"/>
          <w:lang w:eastAsia="ar-SA"/>
        </w:rPr>
        <w:t xml:space="preserve">ieļaujamais kļūdas līmenis ir </w:t>
      </w:r>
      <w:r w:rsidR="00553231" w:rsidRPr="00CB4355">
        <w:rPr>
          <w:rFonts w:eastAsia="Calibri" w:cs="Times New Roman"/>
          <w:sz w:val="28"/>
          <w:szCs w:val="28"/>
          <w:lang w:eastAsia="ar-SA"/>
        </w:rPr>
        <w:t>divi</w:t>
      </w:r>
      <w:r w:rsidR="0036487D" w:rsidRPr="00CB4355">
        <w:rPr>
          <w:rFonts w:eastAsia="Calibri" w:cs="Times New Roman"/>
          <w:sz w:val="28"/>
          <w:szCs w:val="28"/>
          <w:lang w:eastAsia="ar-SA"/>
        </w:rPr>
        <w:t xml:space="preserve"> procenti. </w:t>
      </w:r>
      <w:r w:rsidR="00E85FDB" w:rsidRPr="00CB4355">
        <w:rPr>
          <w:rFonts w:eastAsia="Calibri" w:cs="Times New Roman"/>
          <w:sz w:val="28"/>
          <w:szCs w:val="28"/>
          <w:lang w:eastAsia="ar-SA"/>
        </w:rPr>
        <w:t xml:space="preserve">No </w:t>
      </w:r>
      <w:r w:rsidR="00570487" w:rsidRPr="00CB4355">
        <w:rPr>
          <w:rFonts w:eastAsia="Calibri" w:cs="Times New Roman"/>
          <w:sz w:val="28"/>
          <w:szCs w:val="28"/>
          <w:lang w:eastAsia="ar-SA"/>
        </w:rPr>
        <w:t>Attēla</w:t>
      </w:r>
      <w:r w:rsidR="0036487D" w:rsidRPr="00CB4355">
        <w:rPr>
          <w:rFonts w:eastAsia="Calibri" w:cs="Times New Roman"/>
          <w:sz w:val="28"/>
          <w:szCs w:val="28"/>
          <w:lang w:eastAsia="ar-SA"/>
        </w:rPr>
        <w:t xml:space="preserve"> Nr.</w:t>
      </w:r>
      <w:r w:rsidR="00760A78" w:rsidRPr="00CB4355">
        <w:rPr>
          <w:rFonts w:eastAsia="Calibri" w:cs="Times New Roman"/>
          <w:sz w:val="28"/>
          <w:szCs w:val="28"/>
          <w:lang w:eastAsia="ar-SA"/>
        </w:rPr>
        <w:t>1</w:t>
      </w:r>
      <w:r w:rsidR="0036487D" w:rsidRPr="00CB4355">
        <w:rPr>
          <w:rFonts w:eastAsia="Calibri" w:cs="Times New Roman"/>
          <w:sz w:val="28"/>
          <w:szCs w:val="28"/>
          <w:lang w:eastAsia="ar-SA"/>
        </w:rPr>
        <w:t xml:space="preserve"> </w:t>
      </w:r>
      <w:r w:rsidR="00E85FDB" w:rsidRPr="00CB4355">
        <w:rPr>
          <w:rFonts w:eastAsia="Calibri" w:cs="Times New Roman"/>
          <w:sz w:val="28"/>
          <w:szCs w:val="28"/>
          <w:lang w:eastAsia="ar-SA"/>
        </w:rPr>
        <w:t xml:space="preserve">datiem redzams, ka </w:t>
      </w:r>
      <w:r w:rsidR="00F93B44" w:rsidRPr="00CB4355">
        <w:rPr>
          <w:rFonts w:eastAsia="Calibri" w:cs="Times New Roman"/>
          <w:sz w:val="28"/>
          <w:szCs w:val="28"/>
          <w:lang w:eastAsia="ar-SA"/>
        </w:rPr>
        <w:t>r</w:t>
      </w:r>
      <w:r w:rsidRPr="00CB4355">
        <w:rPr>
          <w:rFonts w:eastAsia="Calibri" w:cs="Times New Roman"/>
          <w:sz w:val="28"/>
          <w:szCs w:val="28"/>
          <w:lang w:eastAsia="ar-SA"/>
        </w:rPr>
        <w:t>evīzijas iestādes pārbaudītajos izdevumos</w:t>
      </w:r>
      <w:r w:rsidR="00E85FDB" w:rsidRPr="00CB4355">
        <w:rPr>
          <w:rFonts w:eastAsia="Calibri" w:cs="Times New Roman"/>
          <w:sz w:val="28"/>
          <w:szCs w:val="28"/>
          <w:lang w:eastAsia="ar-SA"/>
        </w:rPr>
        <w:t xml:space="preserve"> konstatētais kļūdas līmenis izlasē ir mazāks – </w:t>
      </w:r>
      <w:r w:rsidR="00760A78" w:rsidRPr="00CB4355">
        <w:rPr>
          <w:rFonts w:eastAsia="Calibri" w:cs="Times New Roman"/>
          <w:sz w:val="28"/>
          <w:szCs w:val="28"/>
          <w:lang w:eastAsia="ar-SA"/>
        </w:rPr>
        <w:t>0,3</w:t>
      </w:r>
      <w:r w:rsidR="00E9422C" w:rsidRPr="00CB4355">
        <w:rPr>
          <w:rFonts w:eastAsia="Calibri" w:cs="Times New Roman"/>
          <w:sz w:val="28"/>
          <w:szCs w:val="28"/>
          <w:lang w:eastAsia="ar-SA"/>
        </w:rPr>
        <w:t xml:space="preserve"> </w:t>
      </w:r>
      <w:r w:rsidR="0036487D" w:rsidRPr="00CB4355">
        <w:rPr>
          <w:rFonts w:eastAsia="Calibri" w:cs="Times New Roman"/>
          <w:sz w:val="28"/>
          <w:szCs w:val="28"/>
          <w:lang w:eastAsia="ar-SA"/>
        </w:rPr>
        <w:t>procenti.</w:t>
      </w:r>
    </w:p>
    <w:p w14:paraId="69BB99AC" w14:textId="77777777" w:rsidR="00C108CA" w:rsidRPr="00CB4355" w:rsidRDefault="00C108CA" w:rsidP="00A10F40">
      <w:pPr>
        <w:suppressAutoHyphens/>
        <w:spacing w:before="80" w:after="80"/>
        <w:ind w:left="567" w:firstLine="567"/>
        <w:jc w:val="both"/>
        <w:rPr>
          <w:rFonts w:eastAsia="Calibri" w:cs="Times New Roman"/>
          <w:sz w:val="28"/>
          <w:szCs w:val="28"/>
          <w:lang w:eastAsia="ar-SA"/>
        </w:rPr>
      </w:pPr>
    </w:p>
    <w:p w14:paraId="49128667" w14:textId="1CC8B559" w:rsidR="00AF6643" w:rsidRDefault="00611FEB" w:rsidP="008D4FA8">
      <w:pPr>
        <w:suppressAutoHyphens/>
        <w:spacing w:before="80" w:after="80"/>
        <w:jc w:val="center"/>
        <w:rPr>
          <w:rFonts w:eastAsia="Calibri" w:cs="Times New Roman"/>
          <w:b/>
          <w:bCs/>
          <w:color w:val="000000"/>
          <w:sz w:val="28"/>
          <w:szCs w:val="28"/>
          <w:lang w:eastAsia="ar-SA"/>
        </w:rPr>
      </w:pPr>
      <w:r w:rsidRPr="00CB4355">
        <w:rPr>
          <w:rFonts w:eastAsia="Calibri" w:cs="Times New Roman"/>
          <w:b/>
          <w:bCs/>
          <w:color w:val="000000"/>
          <w:sz w:val="28"/>
          <w:szCs w:val="28"/>
          <w:lang w:eastAsia="ar-SA"/>
        </w:rPr>
        <w:t>3. Konstatētas problēmas</w:t>
      </w:r>
    </w:p>
    <w:p w14:paraId="5D034163" w14:textId="77777777" w:rsidR="00C108CA" w:rsidRPr="00CB4355" w:rsidRDefault="00C108CA" w:rsidP="008D4FA8">
      <w:pPr>
        <w:suppressAutoHyphens/>
        <w:spacing w:before="80" w:after="80"/>
        <w:jc w:val="center"/>
        <w:rPr>
          <w:rFonts w:eastAsia="Calibri" w:cs="Times New Roman"/>
          <w:b/>
          <w:bCs/>
          <w:color w:val="000000"/>
          <w:sz w:val="28"/>
          <w:szCs w:val="28"/>
          <w:lang w:eastAsia="ar-SA"/>
        </w:rPr>
      </w:pPr>
    </w:p>
    <w:p w14:paraId="76EA7CF5" w14:textId="2AFEE1DE" w:rsidR="00611FEB" w:rsidRPr="00CB4355" w:rsidRDefault="00611FEB" w:rsidP="00611FEB">
      <w:pPr>
        <w:suppressAutoHyphens/>
        <w:spacing w:before="80" w:after="80"/>
        <w:ind w:left="567" w:firstLine="567"/>
        <w:jc w:val="both"/>
        <w:rPr>
          <w:rFonts w:eastAsia="Calibri" w:cs="Times New Roman"/>
          <w:sz w:val="28"/>
          <w:szCs w:val="28"/>
          <w:lang w:eastAsia="ar-SA"/>
        </w:rPr>
      </w:pPr>
      <w:r w:rsidRPr="00CB4355">
        <w:rPr>
          <w:rFonts w:eastAsia="Calibri" w:cs="Times New Roman"/>
          <w:sz w:val="28"/>
          <w:szCs w:val="28"/>
          <w:lang w:eastAsia="ar-SA"/>
        </w:rPr>
        <w:t xml:space="preserve">Revīzijas iestādes veikto sistēmu un projektu revīziju ietvaros tika konstatēta viena sistēmiska problēma </w:t>
      </w:r>
      <w:r w:rsidR="00AF6D7F" w:rsidRPr="00CB4355">
        <w:rPr>
          <w:rFonts w:eastAsia="Calibri" w:cs="Times New Roman"/>
          <w:sz w:val="28"/>
          <w:szCs w:val="28"/>
          <w:lang w:eastAsia="ar-SA"/>
        </w:rPr>
        <w:t>Sabiedrības integrācijas fonda iekšējā sistēmā</w:t>
      </w:r>
      <w:r w:rsidRPr="00CB4355">
        <w:rPr>
          <w:rFonts w:eastAsia="Calibri" w:cs="Times New Roman"/>
          <w:sz w:val="28"/>
          <w:szCs w:val="28"/>
          <w:lang w:eastAsia="ar-SA"/>
        </w:rPr>
        <w:t xml:space="preserve">. Tika konstatēts, ka </w:t>
      </w:r>
      <w:r w:rsidR="00AF6D7F" w:rsidRPr="00CB4355">
        <w:rPr>
          <w:rFonts w:eastAsia="Calibri" w:cs="Times New Roman"/>
          <w:sz w:val="28"/>
          <w:szCs w:val="28"/>
          <w:lang w:eastAsia="ar-SA"/>
        </w:rPr>
        <w:t>nav vienotas pieejas, kā attiecināt uz projektu izdevumiem projektu ieviešanas vajadzībām iegādāto pamatlīdzekļu nolietojumu, kas rāda neattiecināmo izdevumu risku. Revīzijas iestāde sniegusi ieteikumus sistēmas pilnveidošanai, un Sabiedrības integrācijas fonds izstrādāja pasākumu plānu ieteikumu ieviešanai.</w:t>
      </w:r>
    </w:p>
    <w:p w14:paraId="2AE59655" w14:textId="3EBDBCDA" w:rsidR="009F7DA3" w:rsidRDefault="009F7DA3" w:rsidP="009F7DA3">
      <w:pPr>
        <w:suppressAutoHyphens/>
        <w:spacing w:before="80" w:after="80"/>
        <w:ind w:left="567" w:firstLine="567"/>
        <w:jc w:val="both"/>
        <w:rPr>
          <w:rFonts w:eastAsia="Calibri" w:cs="Times New Roman"/>
          <w:sz w:val="28"/>
          <w:szCs w:val="28"/>
          <w:lang w:eastAsia="ar-SA"/>
        </w:rPr>
      </w:pPr>
      <w:r w:rsidRPr="00CB4355">
        <w:rPr>
          <w:rFonts w:eastAsia="Calibri" w:cs="Times New Roman"/>
          <w:sz w:val="28"/>
          <w:szCs w:val="28"/>
          <w:lang w:eastAsia="ar-SA"/>
        </w:rPr>
        <w:t>Sistēmu revīzijas Ekonomikas ministrijā un Latvijas Investīciju un attīstības aģentūrā rezultātā tika konstatēts, ka vēl nav pabeigta šo iestāžu administrētās programmas “</w:t>
      </w:r>
      <w:r w:rsidR="00B127DA" w:rsidRPr="00CB4355">
        <w:rPr>
          <w:rFonts w:eastAsia="Calibri" w:cs="Times New Roman"/>
          <w:sz w:val="28"/>
          <w:szCs w:val="28"/>
          <w:lang w:eastAsia="ar-SA"/>
        </w:rPr>
        <w:t>Inovācijas “zaļās”</w:t>
      </w:r>
      <w:r w:rsidRPr="00CB4355">
        <w:rPr>
          <w:rFonts w:eastAsia="Calibri" w:cs="Times New Roman"/>
          <w:sz w:val="28"/>
          <w:szCs w:val="28"/>
          <w:lang w:eastAsia="ar-SA"/>
        </w:rPr>
        <w:t xml:space="preserve"> ražošanas jomā” vadības un kontroles sistēmas izveide (nav izstrādātas visas nepieciešamas iekšējās procedūras), tādēļ pastāv risks, ka ieilgušais procedūru izstrādāšanas process var traucēt pilnvērtīgai sistēmas darbībai un programmas ietvaros piešķirtā finansējuma apguvei. Revīzijas iestāde sniegusi ieteikumus sistēmas pilnveidošanai, un Ekonomikas ministrija un Latvijas Investīciju un attīstības aģentūra izstrādāja pasākumu plānu ieteikumu ieviešanai.</w:t>
      </w:r>
    </w:p>
    <w:p w14:paraId="60F04E00" w14:textId="77777777" w:rsidR="00C108CA" w:rsidRPr="00CB4355" w:rsidRDefault="00C108CA" w:rsidP="009F7DA3">
      <w:pPr>
        <w:suppressAutoHyphens/>
        <w:spacing w:before="80" w:after="80"/>
        <w:ind w:left="567" w:firstLine="567"/>
        <w:jc w:val="both"/>
        <w:rPr>
          <w:rFonts w:eastAsia="Calibri" w:cs="Times New Roman"/>
          <w:sz w:val="28"/>
          <w:szCs w:val="28"/>
          <w:lang w:eastAsia="ar-SA"/>
        </w:rPr>
      </w:pPr>
    </w:p>
    <w:p w14:paraId="0F97E011" w14:textId="24422C75" w:rsidR="008D4FA8" w:rsidRDefault="00611FEB" w:rsidP="008D4FA8">
      <w:pPr>
        <w:suppressAutoHyphens/>
        <w:spacing w:before="80" w:after="80"/>
        <w:jc w:val="center"/>
        <w:rPr>
          <w:rFonts w:eastAsia="Calibri" w:cs="Times New Roman"/>
          <w:b/>
          <w:bCs/>
          <w:color w:val="000000"/>
          <w:sz w:val="28"/>
          <w:szCs w:val="28"/>
          <w:lang w:eastAsia="ar-SA"/>
        </w:rPr>
      </w:pPr>
      <w:r w:rsidRPr="00CB4355">
        <w:rPr>
          <w:rFonts w:eastAsia="Calibri" w:cs="Times New Roman"/>
          <w:b/>
          <w:bCs/>
          <w:color w:val="000000"/>
          <w:sz w:val="28"/>
          <w:szCs w:val="28"/>
          <w:lang w:eastAsia="ar-SA"/>
        </w:rPr>
        <w:t>4</w:t>
      </w:r>
      <w:r w:rsidR="008D4FA8" w:rsidRPr="00CB4355">
        <w:rPr>
          <w:rFonts w:eastAsia="Calibri" w:cs="Times New Roman"/>
          <w:b/>
          <w:bCs/>
          <w:color w:val="000000"/>
          <w:sz w:val="28"/>
          <w:szCs w:val="28"/>
          <w:lang w:eastAsia="ar-SA"/>
        </w:rPr>
        <w:t xml:space="preserve">. Kopsavilkums </w:t>
      </w:r>
    </w:p>
    <w:p w14:paraId="7DED4A6F" w14:textId="77777777" w:rsidR="00C108CA" w:rsidRPr="00CB4355" w:rsidRDefault="00C108CA" w:rsidP="008D4FA8">
      <w:pPr>
        <w:suppressAutoHyphens/>
        <w:spacing w:before="80" w:after="80"/>
        <w:jc w:val="center"/>
        <w:rPr>
          <w:rFonts w:eastAsia="Calibri" w:cs="Times New Roman"/>
          <w:b/>
          <w:bCs/>
          <w:color w:val="000000"/>
          <w:sz w:val="28"/>
          <w:szCs w:val="28"/>
          <w:lang w:eastAsia="ar-SA"/>
        </w:rPr>
      </w:pPr>
    </w:p>
    <w:p w14:paraId="582044FD" w14:textId="1E41FBC7" w:rsidR="008D4FA8" w:rsidRPr="00CB4355" w:rsidRDefault="008D4FA8" w:rsidP="008D4FA8">
      <w:pPr>
        <w:suppressAutoHyphens/>
        <w:spacing w:before="80" w:after="80"/>
        <w:ind w:left="567" w:firstLine="567"/>
        <w:jc w:val="both"/>
        <w:rPr>
          <w:rFonts w:eastAsia="Calibri" w:cs="Times New Roman"/>
          <w:sz w:val="28"/>
          <w:szCs w:val="28"/>
          <w:lang w:eastAsia="ar-SA"/>
        </w:rPr>
      </w:pPr>
      <w:r w:rsidRPr="00CB4355">
        <w:rPr>
          <w:rFonts w:eastAsia="Calibri" w:cs="Times New Roman"/>
          <w:sz w:val="28"/>
          <w:szCs w:val="28"/>
          <w:lang w:eastAsia="ar-SA"/>
        </w:rPr>
        <w:t>Balstotie</w:t>
      </w:r>
      <w:r w:rsidR="00BF226B" w:rsidRPr="00CB4355">
        <w:rPr>
          <w:rFonts w:eastAsia="Calibri" w:cs="Times New Roman"/>
          <w:sz w:val="28"/>
          <w:szCs w:val="28"/>
          <w:lang w:eastAsia="ar-SA"/>
        </w:rPr>
        <w:t>s uz veikto sistēmu</w:t>
      </w:r>
      <w:r w:rsidRPr="00CB4355">
        <w:rPr>
          <w:rFonts w:eastAsia="Calibri" w:cs="Times New Roman"/>
          <w:sz w:val="28"/>
          <w:szCs w:val="28"/>
          <w:lang w:eastAsia="ar-SA"/>
        </w:rPr>
        <w:t xml:space="preserve"> un </w:t>
      </w:r>
      <w:r w:rsidR="00BF226B" w:rsidRPr="00CB4355">
        <w:rPr>
          <w:rFonts w:eastAsia="Calibri" w:cs="Times New Roman"/>
          <w:sz w:val="28"/>
          <w:szCs w:val="28"/>
          <w:lang w:eastAsia="ar-SA"/>
        </w:rPr>
        <w:t>projektu</w:t>
      </w:r>
      <w:r w:rsidRPr="00CB4355">
        <w:rPr>
          <w:rFonts w:eastAsia="Calibri" w:cs="Times New Roman"/>
          <w:sz w:val="28"/>
          <w:szCs w:val="28"/>
          <w:lang w:eastAsia="ar-SA"/>
        </w:rPr>
        <w:t xml:space="preserve"> </w:t>
      </w:r>
      <w:r w:rsidR="009620A0" w:rsidRPr="00CB4355">
        <w:rPr>
          <w:rFonts w:eastAsia="Calibri" w:cs="Times New Roman"/>
          <w:sz w:val="28"/>
          <w:szCs w:val="28"/>
          <w:lang w:eastAsia="ar-SA"/>
        </w:rPr>
        <w:t>revīziju</w:t>
      </w:r>
      <w:r w:rsidR="00BF226B" w:rsidRPr="00CB4355">
        <w:rPr>
          <w:rFonts w:eastAsia="Calibri" w:cs="Times New Roman"/>
          <w:sz w:val="28"/>
          <w:szCs w:val="28"/>
          <w:lang w:eastAsia="ar-SA"/>
        </w:rPr>
        <w:t xml:space="preserve"> rezultātiem un ie</w:t>
      </w:r>
      <w:r w:rsidR="006B4589" w:rsidRPr="00CB4355">
        <w:rPr>
          <w:rFonts w:eastAsia="Calibri" w:cs="Times New Roman"/>
          <w:sz w:val="28"/>
          <w:szCs w:val="28"/>
          <w:lang w:eastAsia="ar-SA"/>
        </w:rPr>
        <w:t xml:space="preserve">gūtajiem auditu pierādījumiem, </w:t>
      </w:r>
      <w:r w:rsidR="00BF226B" w:rsidRPr="00CB4355">
        <w:rPr>
          <w:rFonts w:eastAsia="Calibri" w:cs="Times New Roman"/>
          <w:sz w:val="28"/>
          <w:szCs w:val="28"/>
          <w:lang w:eastAsia="ar-SA"/>
        </w:rPr>
        <w:t xml:space="preserve">revīzijas iestāde secināja, ka Latvijā izveidotā Finanšu instrumentu sistēma ir vērtējama 2.kategorijā (sistēma darbojas, taču tajā ir nepieciešami atsevišķi pilnveidojumi) un atklātais kļūdas līmenis ir 0,3 procenti, kas </w:t>
      </w:r>
      <w:r w:rsidR="00BF226B" w:rsidRPr="00CB4355">
        <w:rPr>
          <w:rFonts w:eastAsia="Calibri" w:cs="Times New Roman"/>
          <w:sz w:val="28"/>
          <w:szCs w:val="28"/>
          <w:lang w:eastAsia="ar-SA"/>
        </w:rPr>
        <w:lastRenderedPageBreak/>
        <w:t>ir zemāks par būtiskuma slieksni ( divi procenti), līdz ar to donorvalstīm tika iesniegts audita atzinums bez iebildēm.</w:t>
      </w:r>
    </w:p>
    <w:p w14:paraId="037D1B94" w14:textId="77777777" w:rsidR="0036487D" w:rsidRPr="00CB4355" w:rsidRDefault="0036487D" w:rsidP="00C02267">
      <w:pPr>
        <w:tabs>
          <w:tab w:val="right" w:pos="9072"/>
        </w:tabs>
        <w:suppressAutoHyphens/>
        <w:ind w:left="567"/>
        <w:rPr>
          <w:rFonts w:eastAsia="Calibri" w:cs="Times New Roman"/>
          <w:sz w:val="28"/>
          <w:szCs w:val="28"/>
          <w:lang w:eastAsia="ar-SA"/>
        </w:rPr>
      </w:pPr>
    </w:p>
    <w:p w14:paraId="1B8E1586" w14:textId="129F0226" w:rsidR="0085313B" w:rsidRPr="00CB4355" w:rsidRDefault="0085313B" w:rsidP="00C02267">
      <w:pPr>
        <w:tabs>
          <w:tab w:val="right" w:pos="9072"/>
        </w:tabs>
        <w:suppressAutoHyphens/>
        <w:ind w:left="567"/>
        <w:rPr>
          <w:rFonts w:eastAsia="Calibri" w:cs="Times New Roman"/>
          <w:sz w:val="28"/>
          <w:szCs w:val="28"/>
          <w:lang w:eastAsia="ar-SA"/>
        </w:rPr>
      </w:pPr>
      <w:r w:rsidRPr="00CB4355">
        <w:rPr>
          <w:rFonts w:eastAsia="Calibri" w:cs="Times New Roman"/>
          <w:sz w:val="28"/>
          <w:szCs w:val="28"/>
          <w:lang w:eastAsia="ar-SA"/>
        </w:rPr>
        <w:t>Finanšu ministrs</w:t>
      </w:r>
      <w:r w:rsidRPr="00CB4355">
        <w:rPr>
          <w:rFonts w:eastAsia="Calibri" w:cs="Times New Roman"/>
          <w:sz w:val="28"/>
          <w:szCs w:val="28"/>
          <w:lang w:eastAsia="ar-SA"/>
        </w:rPr>
        <w:tab/>
      </w:r>
      <w:r w:rsidR="00BF226B" w:rsidRPr="00CB4355">
        <w:rPr>
          <w:rFonts w:eastAsia="Calibri" w:cs="Times New Roman"/>
          <w:sz w:val="28"/>
          <w:szCs w:val="28"/>
          <w:lang w:eastAsia="ar-SA"/>
        </w:rPr>
        <w:t>J.Reirs</w:t>
      </w:r>
      <w:r w:rsidRPr="00CB4355">
        <w:rPr>
          <w:rFonts w:eastAsia="Calibri" w:cs="Times New Roman"/>
          <w:sz w:val="28"/>
          <w:szCs w:val="28"/>
          <w:lang w:eastAsia="ar-SA"/>
        </w:rPr>
        <w:t> </w:t>
      </w:r>
    </w:p>
    <w:p w14:paraId="13BEE211" w14:textId="77777777" w:rsidR="00EA1E29" w:rsidRPr="00CB4355" w:rsidRDefault="00EA1E29" w:rsidP="0085313B">
      <w:pPr>
        <w:suppressAutoHyphens/>
        <w:rPr>
          <w:rFonts w:eastAsia="Calibri" w:cs="Times New Roman"/>
          <w:sz w:val="28"/>
          <w:szCs w:val="28"/>
          <w:lang w:eastAsia="ar-SA"/>
        </w:rPr>
      </w:pPr>
    </w:p>
    <w:p w14:paraId="1CF35CE0" w14:textId="77777777" w:rsidR="00EA1E29" w:rsidRDefault="00EA1E29" w:rsidP="0085313B">
      <w:pPr>
        <w:suppressAutoHyphens/>
        <w:rPr>
          <w:rFonts w:eastAsia="Calibri" w:cs="Times New Roman"/>
          <w:sz w:val="18"/>
          <w:szCs w:val="18"/>
          <w:lang w:eastAsia="ar-SA"/>
        </w:rPr>
      </w:pPr>
    </w:p>
    <w:p w14:paraId="2D64C83D" w14:textId="77777777" w:rsidR="00C108CA" w:rsidRDefault="00C108CA" w:rsidP="0085313B">
      <w:pPr>
        <w:suppressAutoHyphens/>
        <w:rPr>
          <w:rFonts w:eastAsia="Calibri" w:cs="Times New Roman"/>
          <w:sz w:val="18"/>
          <w:szCs w:val="18"/>
          <w:lang w:eastAsia="ar-SA"/>
        </w:rPr>
      </w:pPr>
    </w:p>
    <w:p w14:paraId="0E628CE7" w14:textId="77777777" w:rsidR="00C108CA" w:rsidRDefault="00C108CA" w:rsidP="0085313B">
      <w:pPr>
        <w:suppressAutoHyphens/>
        <w:rPr>
          <w:rFonts w:eastAsia="Calibri" w:cs="Times New Roman"/>
          <w:sz w:val="18"/>
          <w:szCs w:val="18"/>
          <w:lang w:eastAsia="ar-SA"/>
        </w:rPr>
      </w:pPr>
    </w:p>
    <w:p w14:paraId="75C42AFE" w14:textId="77777777" w:rsidR="00C108CA" w:rsidRDefault="00C108CA" w:rsidP="0085313B">
      <w:pPr>
        <w:suppressAutoHyphens/>
        <w:rPr>
          <w:rFonts w:eastAsia="Calibri" w:cs="Times New Roman"/>
          <w:sz w:val="18"/>
          <w:szCs w:val="18"/>
          <w:lang w:eastAsia="ar-SA"/>
        </w:rPr>
      </w:pPr>
    </w:p>
    <w:p w14:paraId="01B25181" w14:textId="77777777" w:rsidR="00C108CA" w:rsidRDefault="00C108CA" w:rsidP="0085313B">
      <w:pPr>
        <w:suppressAutoHyphens/>
        <w:rPr>
          <w:rFonts w:eastAsia="Calibri" w:cs="Times New Roman"/>
          <w:sz w:val="18"/>
          <w:szCs w:val="18"/>
          <w:lang w:eastAsia="ar-SA"/>
        </w:rPr>
      </w:pPr>
    </w:p>
    <w:p w14:paraId="30ED85D3" w14:textId="77777777" w:rsidR="00C108CA" w:rsidRDefault="00C108CA" w:rsidP="0085313B">
      <w:pPr>
        <w:suppressAutoHyphens/>
        <w:rPr>
          <w:rFonts w:eastAsia="Calibri" w:cs="Times New Roman"/>
          <w:sz w:val="18"/>
          <w:szCs w:val="18"/>
          <w:lang w:eastAsia="ar-SA"/>
        </w:rPr>
      </w:pPr>
    </w:p>
    <w:p w14:paraId="2333BFD4" w14:textId="77777777" w:rsidR="00C108CA" w:rsidRDefault="00C108CA" w:rsidP="0085313B">
      <w:pPr>
        <w:suppressAutoHyphens/>
        <w:rPr>
          <w:rFonts w:eastAsia="Calibri" w:cs="Times New Roman"/>
          <w:sz w:val="18"/>
          <w:szCs w:val="18"/>
          <w:lang w:eastAsia="ar-SA"/>
        </w:rPr>
      </w:pPr>
    </w:p>
    <w:p w14:paraId="13530022" w14:textId="77777777" w:rsidR="00C108CA" w:rsidRDefault="00C108CA" w:rsidP="0085313B">
      <w:pPr>
        <w:suppressAutoHyphens/>
        <w:rPr>
          <w:rFonts w:eastAsia="Calibri" w:cs="Times New Roman"/>
          <w:sz w:val="18"/>
          <w:szCs w:val="18"/>
          <w:lang w:eastAsia="ar-SA"/>
        </w:rPr>
      </w:pPr>
    </w:p>
    <w:p w14:paraId="50AF5A28" w14:textId="16578C28" w:rsidR="0085313B" w:rsidRPr="00E9422C" w:rsidRDefault="0085313B" w:rsidP="009B20E9">
      <w:pPr>
        <w:suppressAutoHyphens/>
        <w:ind w:left="567"/>
        <w:rPr>
          <w:rFonts w:eastAsia="Calibri" w:cs="Times New Roman"/>
          <w:sz w:val="18"/>
          <w:szCs w:val="18"/>
          <w:lang w:eastAsia="ar-SA"/>
        </w:rPr>
      </w:pPr>
      <w:r w:rsidRPr="00E9422C">
        <w:rPr>
          <w:rFonts w:eastAsia="Calibri" w:cs="Times New Roman"/>
          <w:sz w:val="18"/>
          <w:szCs w:val="18"/>
          <w:lang w:eastAsia="ar-SA"/>
        </w:rPr>
        <w:fldChar w:fldCharType="begin"/>
      </w:r>
      <w:r w:rsidRPr="00E9422C">
        <w:rPr>
          <w:rFonts w:eastAsia="Calibri" w:cs="Times New Roman"/>
          <w:sz w:val="18"/>
          <w:szCs w:val="18"/>
          <w:lang w:eastAsia="ar-SA"/>
        </w:rPr>
        <w:instrText xml:space="preserve"> TIME \@ "dd.MM.yyyy H:mm" </w:instrText>
      </w:r>
      <w:r w:rsidRPr="00E9422C">
        <w:rPr>
          <w:rFonts w:eastAsia="Calibri" w:cs="Times New Roman"/>
          <w:sz w:val="18"/>
          <w:szCs w:val="18"/>
          <w:lang w:eastAsia="ar-SA"/>
        </w:rPr>
        <w:fldChar w:fldCharType="separate"/>
      </w:r>
      <w:r w:rsidR="00491A3D">
        <w:rPr>
          <w:rFonts w:eastAsia="Calibri" w:cs="Times New Roman"/>
          <w:noProof/>
          <w:sz w:val="18"/>
          <w:szCs w:val="18"/>
          <w:lang w:eastAsia="ar-SA"/>
        </w:rPr>
        <w:t>12.02.2015 8:19</w:t>
      </w:r>
      <w:r w:rsidRPr="00E9422C">
        <w:rPr>
          <w:rFonts w:eastAsia="Calibri" w:cs="Times New Roman"/>
          <w:sz w:val="18"/>
          <w:szCs w:val="18"/>
          <w:lang w:eastAsia="ar-SA"/>
        </w:rPr>
        <w:fldChar w:fldCharType="end"/>
      </w:r>
    </w:p>
    <w:p w14:paraId="72228E7D" w14:textId="13C4A8C8" w:rsidR="0085313B" w:rsidRPr="00E9422C" w:rsidRDefault="001D44E1" w:rsidP="009B20E9">
      <w:pPr>
        <w:suppressAutoHyphens/>
        <w:ind w:left="567"/>
        <w:rPr>
          <w:rFonts w:eastAsia="Calibri" w:cs="Times New Roman"/>
          <w:sz w:val="18"/>
          <w:szCs w:val="18"/>
          <w:lang w:eastAsia="ar-SA"/>
        </w:rPr>
      </w:pPr>
      <w:r>
        <w:rPr>
          <w:rFonts w:eastAsia="Calibri" w:cs="Times New Roman"/>
          <w:sz w:val="18"/>
          <w:szCs w:val="18"/>
          <w:lang w:eastAsia="ar-SA"/>
        </w:rPr>
        <w:t>585</w:t>
      </w:r>
    </w:p>
    <w:p w14:paraId="32C14912" w14:textId="77777777" w:rsidR="0029469A" w:rsidRPr="00E9422C" w:rsidRDefault="00326270" w:rsidP="009B20E9">
      <w:pPr>
        <w:suppressAutoHyphens/>
        <w:ind w:left="567"/>
        <w:rPr>
          <w:rFonts w:eastAsia="Calibri" w:cs="Times New Roman"/>
          <w:sz w:val="18"/>
          <w:szCs w:val="18"/>
          <w:lang w:eastAsia="ar-SA"/>
        </w:rPr>
      </w:pPr>
      <w:r w:rsidRPr="00E9422C">
        <w:rPr>
          <w:rFonts w:eastAsia="Calibri" w:cs="Times New Roman"/>
          <w:sz w:val="18"/>
          <w:szCs w:val="18"/>
          <w:lang w:eastAsia="ar-SA"/>
        </w:rPr>
        <w:t>O.Guza</w:t>
      </w:r>
      <w:r w:rsidR="0085313B" w:rsidRPr="00E9422C">
        <w:rPr>
          <w:rFonts w:eastAsia="Calibri" w:cs="Times New Roman"/>
          <w:sz w:val="18"/>
          <w:szCs w:val="18"/>
          <w:lang w:eastAsia="ar-SA"/>
        </w:rPr>
        <w:t xml:space="preserve"> </w:t>
      </w:r>
    </w:p>
    <w:p w14:paraId="42A9427B" w14:textId="08F90165" w:rsidR="00EC23F0" w:rsidRDefault="0085313B" w:rsidP="009B20E9">
      <w:pPr>
        <w:suppressAutoHyphens/>
        <w:ind w:left="567"/>
        <w:rPr>
          <w:rFonts w:cs="Times New Roman"/>
        </w:rPr>
      </w:pPr>
      <w:r w:rsidRPr="00E9422C">
        <w:rPr>
          <w:rFonts w:eastAsia="Calibri" w:cs="Times New Roman"/>
          <w:sz w:val="18"/>
          <w:szCs w:val="18"/>
          <w:lang w:eastAsia="ar-SA"/>
        </w:rPr>
        <w:t>670</w:t>
      </w:r>
      <w:r w:rsidR="00326270" w:rsidRPr="00E9422C">
        <w:rPr>
          <w:rFonts w:eastAsia="Calibri" w:cs="Times New Roman"/>
          <w:sz w:val="18"/>
          <w:szCs w:val="18"/>
          <w:lang w:eastAsia="ar-SA"/>
        </w:rPr>
        <w:t>83864</w:t>
      </w:r>
      <w:r w:rsidRPr="00E9422C">
        <w:rPr>
          <w:rFonts w:eastAsia="Calibri" w:cs="Times New Roman"/>
          <w:sz w:val="18"/>
          <w:szCs w:val="18"/>
          <w:lang w:eastAsia="ar-SA"/>
        </w:rPr>
        <w:t xml:space="preserve">; </w:t>
      </w:r>
      <w:hyperlink r:id="rId8" w:history="1">
        <w:r w:rsidR="00326270" w:rsidRPr="00E9422C">
          <w:rPr>
            <w:rStyle w:val="Hyperlink"/>
            <w:rFonts w:eastAsia="Calibri" w:cs="Times New Roman"/>
            <w:sz w:val="18"/>
            <w:szCs w:val="18"/>
            <w:lang w:eastAsia="ar-SA"/>
          </w:rPr>
          <w:t>olga.guza@fm.gov.lv</w:t>
        </w:r>
      </w:hyperlink>
      <w:r w:rsidRPr="00E9422C">
        <w:rPr>
          <w:rFonts w:eastAsia="Calibri" w:cs="Times New Roman"/>
          <w:sz w:val="18"/>
          <w:szCs w:val="18"/>
          <w:lang w:eastAsia="ar-SA"/>
        </w:rPr>
        <w:t xml:space="preserve">  </w:t>
      </w:r>
    </w:p>
    <w:p w14:paraId="72C9843B" w14:textId="77777777" w:rsidR="00EC23F0" w:rsidRPr="00EC23F0" w:rsidRDefault="00EC23F0" w:rsidP="00EC23F0">
      <w:pPr>
        <w:rPr>
          <w:rFonts w:cs="Times New Roman"/>
        </w:rPr>
      </w:pPr>
    </w:p>
    <w:p w14:paraId="1399934E" w14:textId="77777777" w:rsidR="00EC23F0" w:rsidRPr="00EC23F0" w:rsidRDefault="00EC23F0" w:rsidP="00EC23F0">
      <w:pPr>
        <w:rPr>
          <w:rFonts w:cs="Times New Roman"/>
        </w:rPr>
      </w:pPr>
    </w:p>
    <w:p w14:paraId="06566266" w14:textId="77777777" w:rsidR="00EC23F0" w:rsidRPr="00EC23F0" w:rsidRDefault="00EC23F0" w:rsidP="00EC23F0">
      <w:pPr>
        <w:rPr>
          <w:rFonts w:cs="Times New Roman"/>
        </w:rPr>
      </w:pPr>
    </w:p>
    <w:p w14:paraId="7A118EE0" w14:textId="77777777" w:rsidR="00EC23F0" w:rsidRPr="00EC23F0" w:rsidRDefault="00EC23F0" w:rsidP="00EC23F0">
      <w:pPr>
        <w:rPr>
          <w:rFonts w:cs="Times New Roman"/>
        </w:rPr>
      </w:pPr>
    </w:p>
    <w:p w14:paraId="2520BFDB" w14:textId="77777777" w:rsidR="00EC23F0" w:rsidRPr="00EC23F0" w:rsidRDefault="00EC23F0" w:rsidP="00EC23F0">
      <w:pPr>
        <w:rPr>
          <w:rFonts w:cs="Times New Roman"/>
        </w:rPr>
      </w:pPr>
    </w:p>
    <w:p w14:paraId="138F761B" w14:textId="77777777" w:rsidR="00EC23F0" w:rsidRPr="00EC23F0" w:rsidRDefault="00EC23F0" w:rsidP="00EC23F0">
      <w:pPr>
        <w:rPr>
          <w:rFonts w:cs="Times New Roman"/>
        </w:rPr>
      </w:pPr>
    </w:p>
    <w:p w14:paraId="3C7C88DD" w14:textId="77777777" w:rsidR="00EC23F0" w:rsidRPr="00EC23F0" w:rsidRDefault="00EC23F0" w:rsidP="00EC23F0">
      <w:pPr>
        <w:rPr>
          <w:rFonts w:cs="Times New Roman"/>
        </w:rPr>
      </w:pPr>
    </w:p>
    <w:p w14:paraId="341410AE" w14:textId="77777777" w:rsidR="00EC23F0" w:rsidRPr="00EC23F0" w:rsidRDefault="00EC23F0" w:rsidP="00EC23F0">
      <w:pPr>
        <w:rPr>
          <w:rFonts w:cs="Times New Roman"/>
        </w:rPr>
      </w:pPr>
    </w:p>
    <w:p w14:paraId="6178DE56" w14:textId="77777777" w:rsidR="00EC23F0" w:rsidRPr="00EC23F0" w:rsidRDefault="00EC23F0" w:rsidP="00EC23F0">
      <w:pPr>
        <w:rPr>
          <w:rFonts w:cs="Times New Roman"/>
        </w:rPr>
      </w:pPr>
    </w:p>
    <w:p w14:paraId="2B9D15C2" w14:textId="77777777" w:rsidR="00EC23F0" w:rsidRPr="00EC23F0" w:rsidRDefault="00EC23F0" w:rsidP="00EC23F0">
      <w:pPr>
        <w:rPr>
          <w:rFonts w:cs="Times New Roman"/>
        </w:rPr>
      </w:pPr>
    </w:p>
    <w:p w14:paraId="110D5250" w14:textId="77777777" w:rsidR="00EC23F0" w:rsidRPr="00EC23F0" w:rsidRDefault="00EC23F0" w:rsidP="00EC23F0">
      <w:pPr>
        <w:rPr>
          <w:rFonts w:cs="Times New Roman"/>
        </w:rPr>
      </w:pPr>
    </w:p>
    <w:p w14:paraId="049A8D69" w14:textId="77777777" w:rsidR="00EC23F0" w:rsidRPr="00EC23F0" w:rsidRDefault="00EC23F0" w:rsidP="00EC23F0">
      <w:pPr>
        <w:rPr>
          <w:rFonts w:cs="Times New Roman"/>
        </w:rPr>
      </w:pPr>
    </w:p>
    <w:p w14:paraId="19531731" w14:textId="77777777" w:rsidR="00EC23F0" w:rsidRPr="00EC23F0" w:rsidRDefault="00EC23F0" w:rsidP="00EC23F0">
      <w:pPr>
        <w:rPr>
          <w:rFonts w:cs="Times New Roman"/>
        </w:rPr>
      </w:pPr>
    </w:p>
    <w:p w14:paraId="53B73E68" w14:textId="23AD79E9" w:rsidR="00EC23F0" w:rsidRDefault="00EC23F0" w:rsidP="00EC23F0">
      <w:pPr>
        <w:rPr>
          <w:rFonts w:cs="Times New Roman"/>
        </w:rPr>
      </w:pPr>
    </w:p>
    <w:p w14:paraId="512AA195" w14:textId="6B85A4F9" w:rsidR="00162E35" w:rsidRPr="00EC23F0" w:rsidRDefault="00EC23F0" w:rsidP="00EC23F0">
      <w:pPr>
        <w:tabs>
          <w:tab w:val="left" w:pos="2011"/>
        </w:tabs>
        <w:rPr>
          <w:rFonts w:cs="Times New Roman"/>
        </w:rPr>
      </w:pPr>
      <w:r>
        <w:rPr>
          <w:rFonts w:cs="Times New Roman"/>
        </w:rPr>
        <w:tab/>
      </w:r>
    </w:p>
    <w:sectPr w:rsidR="00162E35" w:rsidRPr="00EC23F0" w:rsidSect="004112ED">
      <w:headerReference w:type="default" r:id="rId9"/>
      <w:footerReference w:type="default" r:id="rId10"/>
      <w:footerReference w:type="first" r:id="rId11"/>
      <w:pgSz w:w="11905" w:h="16837"/>
      <w:pgMar w:top="1135" w:right="1134" w:bottom="993" w:left="709" w:header="720" w:footer="28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239F0" w14:textId="77777777" w:rsidR="004B7340" w:rsidRDefault="004B7340" w:rsidP="0085313B">
      <w:r>
        <w:separator/>
      </w:r>
    </w:p>
  </w:endnote>
  <w:endnote w:type="continuationSeparator" w:id="0">
    <w:p w14:paraId="4540ECBC" w14:textId="77777777" w:rsidR="004B7340" w:rsidRDefault="004B7340" w:rsidP="0085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F6CA3" w14:textId="20ADC8CA" w:rsidR="00C5481F" w:rsidRPr="00EC23F0" w:rsidRDefault="00EC23F0" w:rsidP="00EC23F0">
    <w:pPr>
      <w:pStyle w:val="Footer"/>
    </w:pPr>
    <w:r>
      <w:rPr>
        <w:sz w:val="20"/>
        <w:szCs w:val="20"/>
      </w:rPr>
      <w:fldChar w:fldCharType="begin"/>
    </w:r>
    <w:r>
      <w:rPr>
        <w:sz w:val="20"/>
        <w:szCs w:val="20"/>
      </w:rPr>
      <w:instrText xml:space="preserve"> FILENAME   \* MERGEFORMAT </w:instrText>
    </w:r>
    <w:r>
      <w:rPr>
        <w:sz w:val="20"/>
        <w:szCs w:val="20"/>
      </w:rPr>
      <w:fldChar w:fldCharType="separate"/>
    </w:r>
    <w:r w:rsidR="00B127DA">
      <w:rPr>
        <w:noProof/>
        <w:sz w:val="20"/>
        <w:szCs w:val="20"/>
      </w:rPr>
      <w:t>FM</w:t>
    </w:r>
    <w:r w:rsidR="00C108CA">
      <w:rPr>
        <w:noProof/>
        <w:sz w:val="20"/>
        <w:szCs w:val="20"/>
      </w:rPr>
      <w:t>Z</w:t>
    </w:r>
    <w:r w:rsidR="00B127DA">
      <w:rPr>
        <w:noProof/>
        <w:sz w:val="20"/>
        <w:szCs w:val="20"/>
      </w:rPr>
      <w:t>ino_</w:t>
    </w:r>
    <w:r w:rsidR="00CB4355">
      <w:rPr>
        <w:noProof/>
        <w:sz w:val="20"/>
        <w:szCs w:val="20"/>
      </w:rPr>
      <w:t>12</w:t>
    </w:r>
    <w:r w:rsidR="00C108CA">
      <w:rPr>
        <w:noProof/>
        <w:sz w:val="20"/>
        <w:szCs w:val="20"/>
      </w:rPr>
      <w:t>02</w:t>
    </w:r>
    <w:r w:rsidR="00B127DA">
      <w:rPr>
        <w:noProof/>
        <w:sz w:val="20"/>
        <w:szCs w:val="20"/>
      </w:rPr>
      <w:t>15_RI_NOR_rez</w:t>
    </w:r>
    <w:r>
      <w:rPr>
        <w:sz w:val="20"/>
        <w:szCs w:val="20"/>
      </w:rPr>
      <w:fldChar w:fldCharType="end"/>
    </w:r>
    <w:r w:rsidRPr="00672C46">
      <w:rPr>
        <w:sz w:val="20"/>
        <w:szCs w:val="20"/>
      </w:rPr>
      <w:t xml:space="preserve">;  Informatīvais ziņojums </w:t>
    </w:r>
    <w:r>
      <w:rPr>
        <w:sz w:val="20"/>
        <w:szCs w:val="20"/>
      </w:rPr>
      <w:t>„P</w:t>
    </w:r>
    <w:r w:rsidRPr="00672C46">
      <w:rPr>
        <w:sz w:val="20"/>
        <w:szCs w:val="20"/>
      </w:rPr>
      <w:t xml:space="preserve">ar </w:t>
    </w:r>
    <w:r>
      <w:rPr>
        <w:sz w:val="20"/>
        <w:szCs w:val="20"/>
      </w:rPr>
      <w:t>revīzijas iestādes 2014</w:t>
    </w:r>
    <w:r w:rsidRPr="00672C46">
      <w:rPr>
        <w:sz w:val="20"/>
        <w:szCs w:val="20"/>
      </w:rPr>
      <w:t>.gada Eiropas Ekonomikas zonas finanšu instrumenta un Norvēģijas finanšu instrumenta revīziju rezultātiem</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DD4B3" w14:textId="5533D6A1" w:rsidR="004112ED" w:rsidRPr="00E537C8" w:rsidRDefault="00E537C8">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127DA">
      <w:rPr>
        <w:noProof/>
        <w:sz w:val="20"/>
        <w:szCs w:val="20"/>
      </w:rPr>
      <w:t>FM</w:t>
    </w:r>
    <w:r w:rsidR="00C108CA">
      <w:rPr>
        <w:noProof/>
        <w:sz w:val="20"/>
        <w:szCs w:val="20"/>
      </w:rPr>
      <w:t>Z</w:t>
    </w:r>
    <w:r w:rsidR="00B127DA">
      <w:rPr>
        <w:noProof/>
        <w:sz w:val="20"/>
        <w:szCs w:val="20"/>
      </w:rPr>
      <w:t>ino_</w:t>
    </w:r>
    <w:r w:rsidR="00CB4355">
      <w:rPr>
        <w:noProof/>
        <w:sz w:val="20"/>
        <w:szCs w:val="20"/>
      </w:rPr>
      <w:t>12</w:t>
    </w:r>
    <w:r w:rsidR="00C108CA">
      <w:rPr>
        <w:noProof/>
        <w:sz w:val="20"/>
        <w:szCs w:val="20"/>
      </w:rPr>
      <w:t>02</w:t>
    </w:r>
    <w:r w:rsidR="00B127DA">
      <w:rPr>
        <w:noProof/>
        <w:sz w:val="20"/>
        <w:szCs w:val="20"/>
      </w:rPr>
      <w:t>15_RI_NOR_rez</w:t>
    </w:r>
    <w:r>
      <w:rPr>
        <w:sz w:val="20"/>
        <w:szCs w:val="20"/>
      </w:rPr>
      <w:fldChar w:fldCharType="end"/>
    </w:r>
    <w:r w:rsidRPr="00672C46">
      <w:rPr>
        <w:sz w:val="20"/>
        <w:szCs w:val="20"/>
      </w:rPr>
      <w:t xml:space="preserve">;  Informatīvais ziņojums </w:t>
    </w:r>
    <w:r w:rsidR="000C52C5">
      <w:rPr>
        <w:sz w:val="20"/>
        <w:szCs w:val="20"/>
      </w:rPr>
      <w:t>„P</w:t>
    </w:r>
    <w:r w:rsidRPr="00672C46">
      <w:rPr>
        <w:sz w:val="20"/>
        <w:szCs w:val="20"/>
      </w:rPr>
      <w:t xml:space="preserve">ar </w:t>
    </w:r>
    <w:r w:rsidR="000C52C5">
      <w:rPr>
        <w:sz w:val="20"/>
        <w:szCs w:val="20"/>
      </w:rPr>
      <w:t>r</w:t>
    </w:r>
    <w:r w:rsidR="00EC23F0">
      <w:rPr>
        <w:sz w:val="20"/>
        <w:szCs w:val="20"/>
      </w:rPr>
      <w:t>evīzijas iestādes 2014</w:t>
    </w:r>
    <w:r w:rsidRPr="00672C46">
      <w:rPr>
        <w:sz w:val="20"/>
        <w:szCs w:val="20"/>
      </w:rPr>
      <w:t>.gada Eiropas Ekonomikas zonas finanšu instrumenta un Norvēģijas finanšu instrumenta revīziju rezultātiem</w:t>
    </w:r>
    <w:r w:rsidR="000C52C5">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89B35" w14:textId="77777777" w:rsidR="004B7340" w:rsidRDefault="004B7340" w:rsidP="0085313B">
      <w:r>
        <w:separator/>
      </w:r>
    </w:p>
  </w:footnote>
  <w:footnote w:type="continuationSeparator" w:id="0">
    <w:p w14:paraId="56CB07D8" w14:textId="77777777" w:rsidR="004B7340" w:rsidRDefault="004B7340" w:rsidP="00853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642589"/>
      <w:docPartObj>
        <w:docPartGallery w:val="Page Numbers (Top of Page)"/>
        <w:docPartUnique/>
      </w:docPartObj>
    </w:sdtPr>
    <w:sdtEndPr>
      <w:rPr>
        <w:noProof/>
      </w:rPr>
    </w:sdtEndPr>
    <w:sdtContent>
      <w:p w14:paraId="34D847CB" w14:textId="77777777" w:rsidR="008C42DE" w:rsidRDefault="008C42DE">
        <w:pPr>
          <w:pStyle w:val="Header"/>
          <w:jc w:val="center"/>
        </w:pPr>
        <w:r>
          <w:fldChar w:fldCharType="begin"/>
        </w:r>
        <w:r>
          <w:instrText xml:space="preserve"> PAGE   \* MERGEFORMAT </w:instrText>
        </w:r>
        <w:r>
          <w:fldChar w:fldCharType="separate"/>
        </w:r>
        <w:r w:rsidR="00491A3D">
          <w:rPr>
            <w:noProof/>
          </w:rPr>
          <w:t>3</w:t>
        </w:r>
        <w:r>
          <w:rPr>
            <w:noProof/>
          </w:rPr>
          <w:fldChar w:fldCharType="end"/>
        </w:r>
      </w:p>
    </w:sdtContent>
  </w:sdt>
  <w:p w14:paraId="6846FD67" w14:textId="77777777" w:rsidR="008C42DE" w:rsidRDefault="008C4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1685"/>
    <w:multiLevelType w:val="multilevel"/>
    <w:tmpl w:val="64D830A4"/>
    <w:lvl w:ilvl="0">
      <w:start w:val="3"/>
      <w:numFmt w:val="decimal"/>
      <w:lvlText w:val="%1."/>
      <w:lvlJc w:val="left"/>
      <w:pPr>
        <w:ind w:left="360" w:hanging="360"/>
      </w:pPr>
      <w:rPr>
        <w:rFonts w:eastAsiaTheme="minorHAnsi" w:cstheme="minorBidi" w:hint="default"/>
      </w:rPr>
    </w:lvl>
    <w:lvl w:ilvl="1">
      <w:start w:val="1"/>
      <w:numFmt w:val="decimal"/>
      <w:lvlText w:val="%1.%2."/>
      <w:lvlJc w:val="left"/>
      <w:pPr>
        <w:ind w:left="1494" w:hanging="360"/>
      </w:pPr>
      <w:rPr>
        <w:rFonts w:eastAsiaTheme="minorHAnsi" w:cstheme="minorBidi" w:hint="default"/>
      </w:rPr>
    </w:lvl>
    <w:lvl w:ilvl="2">
      <w:start w:val="1"/>
      <w:numFmt w:val="decimal"/>
      <w:lvlText w:val="%1.%2.%3."/>
      <w:lvlJc w:val="left"/>
      <w:pPr>
        <w:ind w:left="2988" w:hanging="720"/>
      </w:pPr>
      <w:rPr>
        <w:rFonts w:eastAsiaTheme="minorHAnsi" w:cstheme="minorBidi" w:hint="default"/>
      </w:rPr>
    </w:lvl>
    <w:lvl w:ilvl="3">
      <w:start w:val="1"/>
      <w:numFmt w:val="decimal"/>
      <w:lvlText w:val="%1.%2.%3.%4."/>
      <w:lvlJc w:val="left"/>
      <w:pPr>
        <w:ind w:left="4122" w:hanging="720"/>
      </w:pPr>
      <w:rPr>
        <w:rFonts w:eastAsiaTheme="minorHAnsi" w:cstheme="minorBidi" w:hint="default"/>
      </w:rPr>
    </w:lvl>
    <w:lvl w:ilvl="4">
      <w:start w:val="1"/>
      <w:numFmt w:val="decimal"/>
      <w:lvlText w:val="%1.%2.%3.%4.%5."/>
      <w:lvlJc w:val="left"/>
      <w:pPr>
        <w:ind w:left="5616" w:hanging="1080"/>
      </w:pPr>
      <w:rPr>
        <w:rFonts w:eastAsiaTheme="minorHAnsi" w:cstheme="minorBidi" w:hint="default"/>
      </w:rPr>
    </w:lvl>
    <w:lvl w:ilvl="5">
      <w:start w:val="1"/>
      <w:numFmt w:val="decimal"/>
      <w:lvlText w:val="%1.%2.%3.%4.%5.%6."/>
      <w:lvlJc w:val="left"/>
      <w:pPr>
        <w:ind w:left="6750" w:hanging="1080"/>
      </w:pPr>
      <w:rPr>
        <w:rFonts w:eastAsiaTheme="minorHAnsi" w:cstheme="minorBidi" w:hint="default"/>
      </w:rPr>
    </w:lvl>
    <w:lvl w:ilvl="6">
      <w:start w:val="1"/>
      <w:numFmt w:val="decimal"/>
      <w:lvlText w:val="%1.%2.%3.%4.%5.%6.%7."/>
      <w:lvlJc w:val="left"/>
      <w:pPr>
        <w:ind w:left="8244" w:hanging="1440"/>
      </w:pPr>
      <w:rPr>
        <w:rFonts w:eastAsiaTheme="minorHAnsi" w:cstheme="minorBidi" w:hint="default"/>
      </w:rPr>
    </w:lvl>
    <w:lvl w:ilvl="7">
      <w:start w:val="1"/>
      <w:numFmt w:val="decimal"/>
      <w:lvlText w:val="%1.%2.%3.%4.%5.%6.%7.%8."/>
      <w:lvlJc w:val="left"/>
      <w:pPr>
        <w:ind w:left="9378" w:hanging="1440"/>
      </w:pPr>
      <w:rPr>
        <w:rFonts w:eastAsiaTheme="minorHAnsi" w:cstheme="minorBidi" w:hint="default"/>
      </w:rPr>
    </w:lvl>
    <w:lvl w:ilvl="8">
      <w:start w:val="1"/>
      <w:numFmt w:val="decimal"/>
      <w:lvlText w:val="%1.%2.%3.%4.%5.%6.%7.%8.%9."/>
      <w:lvlJc w:val="left"/>
      <w:pPr>
        <w:ind w:left="10872" w:hanging="1800"/>
      </w:pPr>
      <w:rPr>
        <w:rFonts w:eastAsiaTheme="minorHAnsi" w:cstheme="minorBidi" w:hint="default"/>
      </w:rPr>
    </w:lvl>
  </w:abstractNum>
  <w:abstractNum w:abstractNumId="1">
    <w:nsid w:val="07B55F10"/>
    <w:multiLevelType w:val="multilevel"/>
    <w:tmpl w:val="880835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9A2446"/>
    <w:multiLevelType w:val="hybridMultilevel"/>
    <w:tmpl w:val="7FAEA43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20DB3461"/>
    <w:multiLevelType w:val="hybridMultilevel"/>
    <w:tmpl w:val="4C9C81B8"/>
    <w:lvl w:ilvl="0" w:tplc="A6CC49A4">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0FC69C9"/>
    <w:multiLevelType w:val="hybridMultilevel"/>
    <w:tmpl w:val="F0905812"/>
    <w:lvl w:ilvl="0" w:tplc="35CACD0A">
      <w:start w:val="1"/>
      <w:numFmt w:val="decimal"/>
      <w:lvlText w:val="%1."/>
      <w:lvlJc w:val="left"/>
      <w:pPr>
        <w:ind w:left="502" w:hanging="360"/>
      </w:pPr>
      <w:rPr>
        <w:rFonts w:ascii="Times New Roman" w:hAnsi="Times New Roman" w:hint="default"/>
        <w:b w:val="0"/>
        <w:i w:val="0"/>
        <w:smallCaps w:val="0"/>
        <w:color w:val="auto"/>
        <w:sz w:val="24"/>
        <w:szCs w:val="24"/>
      </w:rPr>
    </w:lvl>
    <w:lvl w:ilvl="1" w:tplc="A6CC49A4">
      <w:start w:val="1"/>
      <w:numFmt w:val="bullet"/>
      <w:lvlText w:val="−"/>
      <w:lvlJc w:val="left"/>
      <w:pPr>
        <w:ind w:left="1440" w:hanging="360"/>
      </w:pPr>
      <w:rPr>
        <w:rFonts w:ascii="Times New Roman" w:hAnsi="Times New Roman" w:cs="Times New Roman"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262E83"/>
    <w:multiLevelType w:val="multilevel"/>
    <w:tmpl w:val="26E464E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nsid w:val="65510DED"/>
    <w:multiLevelType w:val="hybridMultilevel"/>
    <w:tmpl w:val="CF441CC8"/>
    <w:lvl w:ilvl="0" w:tplc="9800C5D6">
      <w:start w:val="1"/>
      <w:numFmt w:val="decimal"/>
      <w:lvlText w:val="%1."/>
      <w:lvlJc w:val="left"/>
      <w:pPr>
        <w:ind w:left="2280" w:hanging="84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6FA26AF8"/>
    <w:multiLevelType w:val="hybridMultilevel"/>
    <w:tmpl w:val="519A182C"/>
    <w:lvl w:ilvl="0" w:tplc="35CACD0A">
      <w:start w:val="1"/>
      <w:numFmt w:val="decimal"/>
      <w:lvlText w:val="%1."/>
      <w:lvlJc w:val="left"/>
      <w:pPr>
        <w:ind w:left="502" w:hanging="360"/>
      </w:pPr>
      <w:rPr>
        <w:rFonts w:ascii="Times New Roman" w:hAnsi="Times New Roman" w:hint="default"/>
        <w:b w:val="0"/>
        <w:i w:val="0"/>
        <w:smallCaps w:val="0"/>
        <w:color w:val="auto"/>
        <w:sz w:val="24"/>
        <w:szCs w:val="24"/>
      </w:rPr>
    </w:lvl>
    <w:lvl w:ilvl="1" w:tplc="B2DAC3E0">
      <w:start w:val="1"/>
      <w:numFmt w:val="decimal"/>
      <w:lvlText w:val="5.%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8D608A6"/>
    <w:multiLevelType w:val="hybridMultilevel"/>
    <w:tmpl w:val="00DAEE04"/>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9">
    <w:nsid w:val="79173CDB"/>
    <w:multiLevelType w:val="multilevel"/>
    <w:tmpl w:val="B7DAB8D4"/>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7C161B3B"/>
    <w:multiLevelType w:val="hybridMultilevel"/>
    <w:tmpl w:val="D14024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8"/>
  </w:num>
  <w:num w:numId="8">
    <w:abstractNumId w:val="6"/>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3B"/>
    <w:rsid w:val="00000DE7"/>
    <w:rsid w:val="000073FD"/>
    <w:rsid w:val="000111A0"/>
    <w:rsid w:val="00013909"/>
    <w:rsid w:val="000243F4"/>
    <w:rsid w:val="000267DF"/>
    <w:rsid w:val="00031CF1"/>
    <w:rsid w:val="00046366"/>
    <w:rsid w:val="000501F3"/>
    <w:rsid w:val="00050D74"/>
    <w:rsid w:val="00061A78"/>
    <w:rsid w:val="0006635E"/>
    <w:rsid w:val="000815D5"/>
    <w:rsid w:val="00086C85"/>
    <w:rsid w:val="000910CD"/>
    <w:rsid w:val="000A7FE5"/>
    <w:rsid w:val="000B2FB9"/>
    <w:rsid w:val="000C52C5"/>
    <w:rsid w:val="000C6DBC"/>
    <w:rsid w:val="000D124F"/>
    <w:rsid w:val="000E5405"/>
    <w:rsid w:val="000F16E1"/>
    <w:rsid w:val="000F32FC"/>
    <w:rsid w:val="000F3B58"/>
    <w:rsid w:val="00100ECA"/>
    <w:rsid w:val="0010673F"/>
    <w:rsid w:val="00123EB6"/>
    <w:rsid w:val="001316A7"/>
    <w:rsid w:val="0013194A"/>
    <w:rsid w:val="0014565B"/>
    <w:rsid w:val="00156BD1"/>
    <w:rsid w:val="00162E35"/>
    <w:rsid w:val="00163596"/>
    <w:rsid w:val="00167F46"/>
    <w:rsid w:val="001A0AD1"/>
    <w:rsid w:val="001D3195"/>
    <w:rsid w:val="001D44E1"/>
    <w:rsid w:val="001D7507"/>
    <w:rsid w:val="001E1EBD"/>
    <w:rsid w:val="001F7ACB"/>
    <w:rsid w:val="00214B33"/>
    <w:rsid w:val="00216A65"/>
    <w:rsid w:val="002210FC"/>
    <w:rsid w:val="0022241F"/>
    <w:rsid w:val="00224196"/>
    <w:rsid w:val="002327E0"/>
    <w:rsid w:val="002362E1"/>
    <w:rsid w:val="00255203"/>
    <w:rsid w:val="0027003E"/>
    <w:rsid w:val="00270E0D"/>
    <w:rsid w:val="0029469A"/>
    <w:rsid w:val="002972CE"/>
    <w:rsid w:val="002A23D1"/>
    <w:rsid w:val="002B7778"/>
    <w:rsid w:val="002C4F91"/>
    <w:rsid w:val="002D5F53"/>
    <w:rsid w:val="002E1428"/>
    <w:rsid w:val="002E7429"/>
    <w:rsid w:val="0031046F"/>
    <w:rsid w:val="00326270"/>
    <w:rsid w:val="00330AF3"/>
    <w:rsid w:val="0033663E"/>
    <w:rsid w:val="00346B26"/>
    <w:rsid w:val="0036487D"/>
    <w:rsid w:val="00376409"/>
    <w:rsid w:val="00380908"/>
    <w:rsid w:val="003A022F"/>
    <w:rsid w:val="003A3502"/>
    <w:rsid w:val="003C1A76"/>
    <w:rsid w:val="003E0F91"/>
    <w:rsid w:val="003E1764"/>
    <w:rsid w:val="003E277A"/>
    <w:rsid w:val="003E76A6"/>
    <w:rsid w:val="00402EAF"/>
    <w:rsid w:val="00403058"/>
    <w:rsid w:val="004112ED"/>
    <w:rsid w:val="0043512B"/>
    <w:rsid w:val="00441E2A"/>
    <w:rsid w:val="00464EDD"/>
    <w:rsid w:val="00466C6D"/>
    <w:rsid w:val="00474B16"/>
    <w:rsid w:val="00487796"/>
    <w:rsid w:val="00491A3D"/>
    <w:rsid w:val="004A64D9"/>
    <w:rsid w:val="004B7340"/>
    <w:rsid w:val="004C7148"/>
    <w:rsid w:val="004E1F48"/>
    <w:rsid w:val="004E2849"/>
    <w:rsid w:val="004E7005"/>
    <w:rsid w:val="00526186"/>
    <w:rsid w:val="0053189E"/>
    <w:rsid w:val="00541666"/>
    <w:rsid w:val="00546F3F"/>
    <w:rsid w:val="00553231"/>
    <w:rsid w:val="00570487"/>
    <w:rsid w:val="005771D5"/>
    <w:rsid w:val="00593E2E"/>
    <w:rsid w:val="005A451F"/>
    <w:rsid w:val="005B32C6"/>
    <w:rsid w:val="005D6F73"/>
    <w:rsid w:val="005D7605"/>
    <w:rsid w:val="00611FEB"/>
    <w:rsid w:val="006230D3"/>
    <w:rsid w:val="00625F23"/>
    <w:rsid w:val="00641E55"/>
    <w:rsid w:val="00672C46"/>
    <w:rsid w:val="006849BE"/>
    <w:rsid w:val="00690773"/>
    <w:rsid w:val="006A14C9"/>
    <w:rsid w:val="006A5E29"/>
    <w:rsid w:val="006A6338"/>
    <w:rsid w:val="006A70A9"/>
    <w:rsid w:val="006B4589"/>
    <w:rsid w:val="006E0298"/>
    <w:rsid w:val="0070446B"/>
    <w:rsid w:val="00716A80"/>
    <w:rsid w:val="00723540"/>
    <w:rsid w:val="00726DBA"/>
    <w:rsid w:val="00737415"/>
    <w:rsid w:val="00745C45"/>
    <w:rsid w:val="00747F86"/>
    <w:rsid w:val="00751EFD"/>
    <w:rsid w:val="00753A5E"/>
    <w:rsid w:val="00760A78"/>
    <w:rsid w:val="00766F81"/>
    <w:rsid w:val="00787AF5"/>
    <w:rsid w:val="007945A6"/>
    <w:rsid w:val="007B794E"/>
    <w:rsid w:val="007C699A"/>
    <w:rsid w:val="007C6AE9"/>
    <w:rsid w:val="007C6F44"/>
    <w:rsid w:val="007F1763"/>
    <w:rsid w:val="008069F7"/>
    <w:rsid w:val="0080714A"/>
    <w:rsid w:val="008200FC"/>
    <w:rsid w:val="008223D1"/>
    <w:rsid w:val="008339FB"/>
    <w:rsid w:val="0085313B"/>
    <w:rsid w:val="00854EA1"/>
    <w:rsid w:val="00866FDE"/>
    <w:rsid w:val="008866BC"/>
    <w:rsid w:val="008902A5"/>
    <w:rsid w:val="008A141D"/>
    <w:rsid w:val="008A6253"/>
    <w:rsid w:val="008B7939"/>
    <w:rsid w:val="008C0611"/>
    <w:rsid w:val="008C3466"/>
    <w:rsid w:val="008C42DE"/>
    <w:rsid w:val="008D4FA8"/>
    <w:rsid w:val="008D7C03"/>
    <w:rsid w:val="008E261B"/>
    <w:rsid w:val="008F2A5B"/>
    <w:rsid w:val="008F7B80"/>
    <w:rsid w:val="00913633"/>
    <w:rsid w:val="009328E4"/>
    <w:rsid w:val="0094763D"/>
    <w:rsid w:val="009620A0"/>
    <w:rsid w:val="0096663D"/>
    <w:rsid w:val="0097529B"/>
    <w:rsid w:val="009803BE"/>
    <w:rsid w:val="00980713"/>
    <w:rsid w:val="00986149"/>
    <w:rsid w:val="009A2183"/>
    <w:rsid w:val="009B20E9"/>
    <w:rsid w:val="009D0176"/>
    <w:rsid w:val="009D2886"/>
    <w:rsid w:val="009E110E"/>
    <w:rsid w:val="009F7DA3"/>
    <w:rsid w:val="00A10F40"/>
    <w:rsid w:val="00A111A2"/>
    <w:rsid w:val="00A31B01"/>
    <w:rsid w:val="00A40328"/>
    <w:rsid w:val="00A5721C"/>
    <w:rsid w:val="00AA3552"/>
    <w:rsid w:val="00AB6FB4"/>
    <w:rsid w:val="00AC7A7F"/>
    <w:rsid w:val="00AE1B91"/>
    <w:rsid w:val="00AF6643"/>
    <w:rsid w:val="00AF6D7F"/>
    <w:rsid w:val="00B01CD2"/>
    <w:rsid w:val="00B01FBE"/>
    <w:rsid w:val="00B127DA"/>
    <w:rsid w:val="00B241D1"/>
    <w:rsid w:val="00B2735C"/>
    <w:rsid w:val="00B3539C"/>
    <w:rsid w:val="00B4101C"/>
    <w:rsid w:val="00B80524"/>
    <w:rsid w:val="00B85853"/>
    <w:rsid w:val="00B9124A"/>
    <w:rsid w:val="00B928B5"/>
    <w:rsid w:val="00B956EE"/>
    <w:rsid w:val="00BD1CFE"/>
    <w:rsid w:val="00BE1108"/>
    <w:rsid w:val="00BE7D80"/>
    <w:rsid w:val="00BF226B"/>
    <w:rsid w:val="00BF4A15"/>
    <w:rsid w:val="00C013BA"/>
    <w:rsid w:val="00C02267"/>
    <w:rsid w:val="00C06E1F"/>
    <w:rsid w:val="00C108CA"/>
    <w:rsid w:val="00C13ABF"/>
    <w:rsid w:val="00C20260"/>
    <w:rsid w:val="00C468F4"/>
    <w:rsid w:val="00C51062"/>
    <w:rsid w:val="00C5481F"/>
    <w:rsid w:val="00C63DAD"/>
    <w:rsid w:val="00C7287F"/>
    <w:rsid w:val="00CB2516"/>
    <w:rsid w:val="00CB3B2D"/>
    <w:rsid w:val="00CB4355"/>
    <w:rsid w:val="00CB7CD4"/>
    <w:rsid w:val="00CF28AE"/>
    <w:rsid w:val="00D135A9"/>
    <w:rsid w:val="00D228AF"/>
    <w:rsid w:val="00D35EC9"/>
    <w:rsid w:val="00D43AD0"/>
    <w:rsid w:val="00D679DE"/>
    <w:rsid w:val="00D92C1F"/>
    <w:rsid w:val="00D97E06"/>
    <w:rsid w:val="00DA22D9"/>
    <w:rsid w:val="00DA416A"/>
    <w:rsid w:val="00DD0814"/>
    <w:rsid w:val="00DD3217"/>
    <w:rsid w:val="00DF4251"/>
    <w:rsid w:val="00E211DE"/>
    <w:rsid w:val="00E217B8"/>
    <w:rsid w:val="00E27CA4"/>
    <w:rsid w:val="00E42C0A"/>
    <w:rsid w:val="00E43A36"/>
    <w:rsid w:val="00E537C8"/>
    <w:rsid w:val="00E606C9"/>
    <w:rsid w:val="00E673E8"/>
    <w:rsid w:val="00E85FDB"/>
    <w:rsid w:val="00E9422C"/>
    <w:rsid w:val="00E97C09"/>
    <w:rsid w:val="00EA02BC"/>
    <w:rsid w:val="00EA0C32"/>
    <w:rsid w:val="00EA1E29"/>
    <w:rsid w:val="00EA3E60"/>
    <w:rsid w:val="00EC23F0"/>
    <w:rsid w:val="00EC2DB3"/>
    <w:rsid w:val="00EC5C8E"/>
    <w:rsid w:val="00EC7537"/>
    <w:rsid w:val="00ED1B41"/>
    <w:rsid w:val="00EE301D"/>
    <w:rsid w:val="00EE720B"/>
    <w:rsid w:val="00EF1CC3"/>
    <w:rsid w:val="00F27293"/>
    <w:rsid w:val="00F41CB4"/>
    <w:rsid w:val="00F447AA"/>
    <w:rsid w:val="00F46EB7"/>
    <w:rsid w:val="00F500AF"/>
    <w:rsid w:val="00F57BAB"/>
    <w:rsid w:val="00F67D81"/>
    <w:rsid w:val="00F745DF"/>
    <w:rsid w:val="00F93B44"/>
    <w:rsid w:val="00FD0705"/>
    <w:rsid w:val="00FD0927"/>
    <w:rsid w:val="00FD5EFE"/>
    <w:rsid w:val="00FE55B1"/>
    <w:rsid w:val="00FF32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BCF6"/>
  <w15:docId w15:val="{3253BD38-83DB-4F5F-814C-0F576015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w:basedOn w:val="Normal"/>
    <w:link w:val="FootnoteTextChar"/>
    <w:uiPriority w:val="99"/>
    <w:unhideWhenUsed/>
    <w:rsid w:val="0085313B"/>
    <w:rPr>
      <w:sz w:val="20"/>
      <w:szCs w:val="20"/>
    </w:rPr>
  </w:style>
  <w:style w:type="character" w:customStyle="1" w:styleId="FootnoteTextChar">
    <w:name w:val="Footnote Text Char"/>
    <w:aliases w:val="Footnote Char"/>
    <w:basedOn w:val="DefaultParagraphFont"/>
    <w:link w:val="FootnoteText"/>
    <w:uiPriority w:val="99"/>
    <w:rsid w:val="0085313B"/>
    <w:rPr>
      <w:sz w:val="20"/>
      <w:szCs w:val="20"/>
    </w:rPr>
  </w:style>
  <w:style w:type="paragraph" w:styleId="Footer">
    <w:name w:val="footer"/>
    <w:basedOn w:val="Normal"/>
    <w:link w:val="FooterChar"/>
    <w:uiPriority w:val="99"/>
    <w:rsid w:val="0085313B"/>
    <w:pPr>
      <w:tabs>
        <w:tab w:val="center" w:pos="4153"/>
        <w:tab w:val="right" w:pos="8306"/>
      </w:tabs>
      <w:suppressAutoHyphens/>
    </w:pPr>
    <w:rPr>
      <w:rFonts w:eastAsia="Calibri" w:cs="Times New Roman"/>
      <w:sz w:val="28"/>
      <w:lang w:eastAsia="ar-SA"/>
    </w:rPr>
  </w:style>
  <w:style w:type="character" w:customStyle="1" w:styleId="FooterChar">
    <w:name w:val="Footer Char"/>
    <w:basedOn w:val="DefaultParagraphFont"/>
    <w:link w:val="Footer"/>
    <w:uiPriority w:val="99"/>
    <w:rsid w:val="0085313B"/>
    <w:rPr>
      <w:rFonts w:eastAsia="Calibri" w:cs="Times New Roman"/>
      <w:sz w:val="28"/>
      <w:lang w:eastAsia="ar-SA"/>
    </w:rPr>
  </w:style>
  <w:style w:type="character" w:styleId="FootnoteReference">
    <w:name w:val="footnote reference"/>
    <w:uiPriority w:val="99"/>
    <w:unhideWhenUsed/>
    <w:rsid w:val="0085313B"/>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5B32C6"/>
    <w:rPr>
      <w:rFonts w:ascii="Tahoma" w:hAnsi="Tahoma" w:cs="Tahoma"/>
      <w:sz w:val="16"/>
      <w:szCs w:val="16"/>
    </w:rPr>
  </w:style>
  <w:style w:type="character" w:customStyle="1" w:styleId="BalloonTextChar">
    <w:name w:val="Balloon Text Char"/>
    <w:basedOn w:val="DefaultParagraphFont"/>
    <w:link w:val="BalloonText"/>
    <w:uiPriority w:val="99"/>
    <w:semiHidden/>
    <w:rsid w:val="005B32C6"/>
    <w:rPr>
      <w:rFonts w:ascii="Tahoma" w:hAnsi="Tahoma" w:cs="Tahoma"/>
      <w:sz w:val="16"/>
      <w:szCs w:val="16"/>
    </w:rPr>
  </w:style>
  <w:style w:type="character" w:styleId="CommentReference">
    <w:name w:val="annotation reference"/>
    <w:basedOn w:val="DefaultParagraphFont"/>
    <w:uiPriority w:val="99"/>
    <w:semiHidden/>
    <w:unhideWhenUsed/>
    <w:rsid w:val="001316A7"/>
    <w:rPr>
      <w:sz w:val="16"/>
      <w:szCs w:val="16"/>
    </w:rPr>
  </w:style>
  <w:style w:type="paragraph" w:styleId="CommentText">
    <w:name w:val="annotation text"/>
    <w:basedOn w:val="Normal"/>
    <w:link w:val="CommentTextChar"/>
    <w:uiPriority w:val="99"/>
    <w:semiHidden/>
    <w:unhideWhenUsed/>
    <w:rsid w:val="001316A7"/>
    <w:rPr>
      <w:sz w:val="20"/>
      <w:szCs w:val="20"/>
    </w:rPr>
  </w:style>
  <w:style w:type="character" w:customStyle="1" w:styleId="CommentTextChar">
    <w:name w:val="Comment Text Char"/>
    <w:basedOn w:val="DefaultParagraphFont"/>
    <w:link w:val="CommentText"/>
    <w:uiPriority w:val="99"/>
    <w:semiHidden/>
    <w:rsid w:val="001316A7"/>
    <w:rPr>
      <w:sz w:val="20"/>
      <w:szCs w:val="20"/>
    </w:rPr>
  </w:style>
  <w:style w:type="paragraph" w:styleId="CommentSubject">
    <w:name w:val="annotation subject"/>
    <w:basedOn w:val="CommentText"/>
    <w:next w:val="CommentText"/>
    <w:link w:val="CommentSubjectChar"/>
    <w:uiPriority w:val="99"/>
    <w:semiHidden/>
    <w:unhideWhenUsed/>
    <w:rsid w:val="001316A7"/>
    <w:rPr>
      <w:b/>
      <w:bCs/>
    </w:rPr>
  </w:style>
  <w:style w:type="character" w:customStyle="1" w:styleId="CommentSubjectChar">
    <w:name w:val="Comment Subject Char"/>
    <w:basedOn w:val="CommentTextChar"/>
    <w:link w:val="CommentSubject"/>
    <w:uiPriority w:val="99"/>
    <w:semiHidden/>
    <w:rsid w:val="001316A7"/>
    <w:rPr>
      <w:b/>
      <w:bCs/>
      <w:sz w:val="20"/>
      <w:szCs w:val="20"/>
    </w:rPr>
  </w:style>
  <w:style w:type="paragraph" w:styleId="ListParagraph">
    <w:name w:val="List Paragraph"/>
    <w:basedOn w:val="Normal"/>
    <w:uiPriority w:val="34"/>
    <w:qFormat/>
    <w:rsid w:val="00100ECA"/>
    <w:pPr>
      <w:ind w:left="720"/>
      <w:contextualSpacing/>
    </w:pPr>
  </w:style>
  <w:style w:type="paragraph" w:styleId="Header">
    <w:name w:val="header"/>
    <w:basedOn w:val="Normal"/>
    <w:link w:val="HeaderChar"/>
    <w:uiPriority w:val="99"/>
    <w:unhideWhenUsed/>
    <w:rsid w:val="006230D3"/>
    <w:pPr>
      <w:tabs>
        <w:tab w:val="center" w:pos="4153"/>
        <w:tab w:val="right" w:pos="8306"/>
      </w:tabs>
    </w:pPr>
  </w:style>
  <w:style w:type="character" w:customStyle="1" w:styleId="HeaderChar">
    <w:name w:val="Header Char"/>
    <w:basedOn w:val="DefaultParagraphFont"/>
    <w:link w:val="Header"/>
    <w:uiPriority w:val="99"/>
    <w:rsid w:val="006230D3"/>
  </w:style>
  <w:style w:type="paragraph" w:customStyle="1" w:styleId="tv2131">
    <w:name w:val="tv2131"/>
    <w:basedOn w:val="Normal"/>
    <w:rsid w:val="007945A6"/>
    <w:pPr>
      <w:spacing w:before="240" w:line="360" w:lineRule="auto"/>
      <w:ind w:firstLine="300"/>
      <w:jc w:val="both"/>
    </w:pPr>
    <w:rPr>
      <w:rFonts w:ascii="Verdana" w:eastAsia="Times New Roman" w:hAnsi="Verdana" w:cs="Times New Roman"/>
      <w:sz w:val="18"/>
      <w:szCs w:val="18"/>
      <w:lang w:eastAsia="lv-LV"/>
    </w:rPr>
  </w:style>
  <w:style w:type="paragraph" w:styleId="NoSpacing">
    <w:name w:val="No Spacing"/>
    <w:uiPriority w:val="1"/>
    <w:qFormat/>
    <w:rsid w:val="00DA22D9"/>
    <w:rPr>
      <w:rFonts w:eastAsia="Times New Roman" w:cs="Times New Roman"/>
      <w:sz w:val="22"/>
    </w:rPr>
  </w:style>
  <w:style w:type="paragraph" w:customStyle="1" w:styleId="EYBodyText">
    <w:name w:val="EY Body Text"/>
    <w:basedOn w:val="Normal"/>
    <w:uiPriority w:val="99"/>
    <w:rsid w:val="00766F81"/>
    <w:pPr>
      <w:overflowPunct w:val="0"/>
      <w:autoSpaceDE w:val="0"/>
      <w:autoSpaceDN w:val="0"/>
      <w:adjustRightInd w:val="0"/>
      <w:spacing w:after="120" w:line="280" w:lineRule="atLeast"/>
      <w:textAlignment w:val="baseline"/>
    </w:pPr>
    <w:rPr>
      <w:rFonts w:eastAsia="MS Mincho" w:cs="Arial"/>
      <w:bCs/>
      <w:sz w:val="22"/>
      <w:szCs w:val="20"/>
    </w:rPr>
  </w:style>
  <w:style w:type="character" w:styleId="Hyperlink">
    <w:name w:val="Hyperlink"/>
    <w:basedOn w:val="DefaultParagraphFont"/>
    <w:uiPriority w:val="99"/>
    <w:unhideWhenUsed/>
    <w:rsid w:val="00326270"/>
    <w:rPr>
      <w:color w:val="0000FF" w:themeColor="hyperlink"/>
      <w:u w:val="single"/>
    </w:rPr>
  </w:style>
  <w:style w:type="paragraph" w:styleId="Revision">
    <w:name w:val="Revision"/>
    <w:hidden/>
    <w:uiPriority w:val="99"/>
    <w:semiHidden/>
    <w:rsid w:val="00E94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8707">
      <w:bodyDiv w:val="1"/>
      <w:marLeft w:val="0"/>
      <w:marRight w:val="0"/>
      <w:marTop w:val="0"/>
      <w:marBottom w:val="0"/>
      <w:divBdr>
        <w:top w:val="none" w:sz="0" w:space="0" w:color="auto"/>
        <w:left w:val="none" w:sz="0" w:space="0" w:color="auto"/>
        <w:bottom w:val="none" w:sz="0" w:space="0" w:color="auto"/>
        <w:right w:val="none" w:sz="0" w:space="0" w:color="auto"/>
      </w:divBdr>
      <w:divsChild>
        <w:div w:id="382292247">
          <w:marLeft w:val="0"/>
          <w:marRight w:val="0"/>
          <w:marTop w:val="0"/>
          <w:marBottom w:val="0"/>
          <w:divBdr>
            <w:top w:val="none" w:sz="0" w:space="0" w:color="auto"/>
            <w:left w:val="none" w:sz="0" w:space="0" w:color="auto"/>
            <w:bottom w:val="none" w:sz="0" w:space="0" w:color="auto"/>
            <w:right w:val="none" w:sz="0" w:space="0" w:color="auto"/>
          </w:divBdr>
        </w:div>
      </w:divsChild>
    </w:div>
    <w:div w:id="775632871">
      <w:bodyDiv w:val="1"/>
      <w:marLeft w:val="0"/>
      <w:marRight w:val="0"/>
      <w:marTop w:val="0"/>
      <w:marBottom w:val="0"/>
      <w:divBdr>
        <w:top w:val="none" w:sz="0" w:space="0" w:color="auto"/>
        <w:left w:val="none" w:sz="0" w:space="0" w:color="auto"/>
        <w:bottom w:val="none" w:sz="0" w:space="0" w:color="auto"/>
        <w:right w:val="none" w:sz="0" w:space="0" w:color="auto"/>
      </w:divBdr>
      <w:divsChild>
        <w:div w:id="386301373">
          <w:marLeft w:val="0"/>
          <w:marRight w:val="0"/>
          <w:marTop w:val="0"/>
          <w:marBottom w:val="0"/>
          <w:divBdr>
            <w:top w:val="none" w:sz="0" w:space="0" w:color="auto"/>
            <w:left w:val="none" w:sz="0" w:space="0" w:color="auto"/>
            <w:bottom w:val="none" w:sz="0" w:space="0" w:color="auto"/>
            <w:right w:val="none" w:sz="0" w:space="0" w:color="auto"/>
          </w:divBdr>
        </w:div>
      </w:divsChild>
    </w:div>
    <w:div w:id="1496604889">
      <w:bodyDiv w:val="1"/>
      <w:marLeft w:val="0"/>
      <w:marRight w:val="0"/>
      <w:marTop w:val="0"/>
      <w:marBottom w:val="0"/>
      <w:divBdr>
        <w:top w:val="none" w:sz="0" w:space="0" w:color="auto"/>
        <w:left w:val="none" w:sz="0" w:space="0" w:color="auto"/>
        <w:bottom w:val="none" w:sz="0" w:space="0" w:color="auto"/>
        <w:right w:val="none" w:sz="0" w:space="0" w:color="auto"/>
      </w:divBdr>
    </w:div>
    <w:div w:id="2107773616">
      <w:bodyDiv w:val="1"/>
      <w:marLeft w:val="0"/>
      <w:marRight w:val="0"/>
      <w:marTop w:val="0"/>
      <w:marBottom w:val="0"/>
      <w:divBdr>
        <w:top w:val="none" w:sz="0" w:space="0" w:color="auto"/>
        <w:left w:val="none" w:sz="0" w:space="0" w:color="auto"/>
        <w:bottom w:val="none" w:sz="0" w:space="0" w:color="auto"/>
        <w:right w:val="none" w:sz="0" w:space="0" w:color="auto"/>
      </w:divBdr>
      <w:divsChild>
        <w:div w:id="1804883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guz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F9C1-72C3-46F7-8EC5-0094D8AB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Informatīvais ziņojums "Par revīzijas iestādes 2014.gada Eiropas Ekonomikas zonas finanšu instrumenta un Norvēģijas finanšu instrumenta revīziju rezultātiem"</vt:lpstr>
    </vt:vector>
  </TitlesOfParts>
  <Manager>nata.lasmane@fm.gov.lv</Manager>
  <Company>Latvijas Republikas Finanšu ministrija</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revīzijas iestādes 2014.gada Eiropas Ekonomikas zonas finanšu instrumenta un Norvēģijas finanšu instrumenta revīziju rezultātiem"</dc:title>
  <dc:subject>Informatīvais ziņojums Ministru kabinetam</dc:subject>
  <dc:creator>olga.guza@fm.gov.lv</dc:creator>
  <dc:description>Olga Guza
Tālr. 67083864; Fakss 67095679</dc:description>
  <cp:lastModifiedBy>Guza Olga</cp:lastModifiedBy>
  <cp:revision>55</cp:revision>
  <cp:lastPrinted>2015-01-29T09:19:00Z</cp:lastPrinted>
  <dcterms:created xsi:type="dcterms:W3CDTF">2014-02-13T10:43:00Z</dcterms:created>
  <dcterms:modified xsi:type="dcterms:W3CDTF">2015-02-12T06:20:00Z</dcterms:modified>
  <cp:category>Informatīvais ziņojums Ministru kabinetam</cp:category>
</cp:coreProperties>
</file>