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75EA4" w14:textId="77777777" w:rsidR="00EC3DB4" w:rsidRDefault="00920FA1" w:rsidP="00C07B88">
      <w:pPr>
        <w:pStyle w:val="NoSpacing"/>
        <w:jc w:val="center"/>
        <w:rPr>
          <w:rFonts w:ascii="Times New Roman" w:hAnsi="Times New Roman" w:cs="Times New Roman"/>
          <w:b/>
          <w:sz w:val="26"/>
          <w:szCs w:val="26"/>
        </w:rPr>
      </w:pPr>
      <w:bookmarkStart w:id="0" w:name="_GoBack"/>
      <w:r w:rsidRPr="00D34E56">
        <w:rPr>
          <w:rFonts w:ascii="Times New Roman" w:hAnsi="Times New Roman" w:cs="Times New Roman"/>
          <w:b/>
          <w:sz w:val="26"/>
          <w:szCs w:val="26"/>
        </w:rPr>
        <w:t>Informatīvais ziņojums „</w:t>
      </w:r>
      <w:r w:rsidR="006E06EA" w:rsidRPr="00D34E56">
        <w:rPr>
          <w:rFonts w:ascii="Times New Roman" w:hAnsi="Times New Roman" w:cs="Times New Roman"/>
          <w:b/>
          <w:sz w:val="26"/>
          <w:szCs w:val="26"/>
        </w:rPr>
        <w:t xml:space="preserve">Par </w:t>
      </w:r>
      <w:r w:rsidR="00F5634A" w:rsidRPr="00D34E56">
        <w:rPr>
          <w:rFonts w:ascii="Times New Roman" w:hAnsi="Times New Roman" w:cs="Times New Roman"/>
          <w:b/>
          <w:sz w:val="26"/>
          <w:szCs w:val="26"/>
        </w:rPr>
        <w:t>Valsts ieņēmum</w:t>
      </w:r>
      <w:r w:rsidR="000C2CF7">
        <w:rPr>
          <w:rFonts w:ascii="Times New Roman" w:hAnsi="Times New Roman" w:cs="Times New Roman"/>
          <w:b/>
          <w:sz w:val="26"/>
          <w:szCs w:val="26"/>
        </w:rPr>
        <w:t>u</w:t>
      </w:r>
      <w:r w:rsidR="00F5634A" w:rsidRPr="00D34E56">
        <w:rPr>
          <w:rFonts w:ascii="Times New Roman" w:hAnsi="Times New Roman" w:cs="Times New Roman"/>
          <w:b/>
          <w:sz w:val="26"/>
          <w:szCs w:val="26"/>
        </w:rPr>
        <w:t xml:space="preserve"> dienesta Ventspils </w:t>
      </w:r>
      <w:r w:rsidR="000E0A4D" w:rsidRPr="00D34E56">
        <w:rPr>
          <w:rFonts w:ascii="Times New Roman" w:hAnsi="Times New Roman" w:cs="Times New Roman"/>
          <w:b/>
          <w:sz w:val="26"/>
          <w:szCs w:val="26"/>
        </w:rPr>
        <w:t>nodaļas</w:t>
      </w:r>
      <w:r w:rsidR="00F5634A" w:rsidRPr="00D34E56">
        <w:rPr>
          <w:rFonts w:ascii="Times New Roman" w:hAnsi="Times New Roman" w:cs="Times New Roman"/>
          <w:b/>
          <w:sz w:val="26"/>
          <w:szCs w:val="26"/>
        </w:rPr>
        <w:t xml:space="preserve"> nodrošināšanu ar darbam piemērotām telpām</w:t>
      </w:r>
      <w:r w:rsidRPr="00D34E56">
        <w:rPr>
          <w:rFonts w:ascii="Times New Roman" w:hAnsi="Times New Roman" w:cs="Times New Roman"/>
          <w:b/>
          <w:sz w:val="26"/>
          <w:szCs w:val="26"/>
        </w:rPr>
        <w:t>”</w:t>
      </w:r>
      <w:bookmarkEnd w:id="0"/>
    </w:p>
    <w:p w14:paraId="78C671C5" w14:textId="77777777" w:rsidR="00C07B88" w:rsidRDefault="00C07B88" w:rsidP="00C07B88">
      <w:pPr>
        <w:pStyle w:val="NoSpacing"/>
        <w:jc w:val="center"/>
        <w:rPr>
          <w:rFonts w:ascii="Times New Roman" w:hAnsi="Times New Roman" w:cs="Times New Roman"/>
          <w:b/>
          <w:sz w:val="26"/>
          <w:szCs w:val="26"/>
        </w:rPr>
      </w:pPr>
    </w:p>
    <w:p w14:paraId="1194E999" w14:textId="77777777" w:rsidR="00463374" w:rsidRDefault="006E06EA" w:rsidP="00B9187D">
      <w:pPr>
        <w:pStyle w:val="NoSpacing"/>
        <w:ind w:firstLine="851"/>
        <w:jc w:val="both"/>
        <w:rPr>
          <w:rFonts w:ascii="Times New Roman" w:hAnsi="Times New Roman" w:cs="Times New Roman"/>
          <w:sz w:val="24"/>
          <w:szCs w:val="24"/>
        </w:rPr>
      </w:pPr>
      <w:r w:rsidRPr="00D34E56">
        <w:rPr>
          <w:rFonts w:ascii="Times New Roman" w:hAnsi="Times New Roman" w:cs="Times New Roman"/>
          <w:sz w:val="24"/>
          <w:szCs w:val="24"/>
        </w:rPr>
        <w:t>Informatīvais ziņojums ir sagatavots</w:t>
      </w:r>
      <w:r w:rsidR="00212C9C" w:rsidRPr="00D34E56">
        <w:rPr>
          <w:rFonts w:ascii="Times New Roman" w:hAnsi="Times New Roman" w:cs="Times New Roman"/>
          <w:sz w:val="24"/>
          <w:szCs w:val="24"/>
        </w:rPr>
        <w:t xml:space="preserve"> saistībā ar nepieciešamību nodrošināt</w:t>
      </w:r>
      <w:r w:rsidRPr="00D34E56">
        <w:rPr>
          <w:rFonts w:ascii="Times New Roman" w:hAnsi="Times New Roman" w:cs="Times New Roman"/>
          <w:sz w:val="24"/>
          <w:szCs w:val="24"/>
        </w:rPr>
        <w:t xml:space="preserve"> </w:t>
      </w:r>
      <w:r w:rsidR="00A270E1" w:rsidRPr="00D34E56">
        <w:rPr>
          <w:rFonts w:ascii="Times New Roman" w:hAnsi="Times New Roman"/>
          <w:sz w:val="24"/>
          <w:szCs w:val="24"/>
        </w:rPr>
        <w:t>Valsts ieņēmum</w:t>
      </w:r>
      <w:r w:rsidR="000C2CF7">
        <w:rPr>
          <w:rFonts w:ascii="Times New Roman" w:hAnsi="Times New Roman"/>
          <w:sz w:val="24"/>
          <w:szCs w:val="24"/>
        </w:rPr>
        <w:t>u</w:t>
      </w:r>
      <w:r w:rsidR="00A270E1" w:rsidRPr="00D34E56">
        <w:rPr>
          <w:rFonts w:ascii="Times New Roman" w:hAnsi="Times New Roman"/>
          <w:sz w:val="24"/>
          <w:szCs w:val="24"/>
        </w:rPr>
        <w:t xml:space="preserve"> dienesta</w:t>
      </w:r>
      <w:r w:rsidR="00173720" w:rsidRPr="00D34E56">
        <w:rPr>
          <w:rFonts w:ascii="Times New Roman" w:hAnsi="Times New Roman"/>
          <w:sz w:val="24"/>
          <w:szCs w:val="24"/>
        </w:rPr>
        <w:t xml:space="preserve"> (turpmāk – VID)</w:t>
      </w:r>
      <w:r w:rsidR="00A270E1" w:rsidRPr="00D34E56">
        <w:rPr>
          <w:rFonts w:ascii="Times New Roman" w:hAnsi="Times New Roman"/>
          <w:sz w:val="24"/>
          <w:szCs w:val="24"/>
        </w:rPr>
        <w:t xml:space="preserve"> Ventspils nodaļu ar darbam piemērotām telpām</w:t>
      </w:r>
      <w:r w:rsidR="00463374" w:rsidRPr="00D34E56">
        <w:rPr>
          <w:rFonts w:ascii="Times New Roman" w:hAnsi="Times New Roman" w:cs="Times New Roman"/>
          <w:sz w:val="24"/>
          <w:szCs w:val="24"/>
        </w:rPr>
        <w:t>.</w:t>
      </w:r>
    </w:p>
    <w:p w14:paraId="18D24337" w14:textId="77777777" w:rsidR="00B9187D" w:rsidRPr="00D34E56" w:rsidRDefault="00B9187D" w:rsidP="00B9187D">
      <w:pPr>
        <w:pStyle w:val="NoSpacing"/>
        <w:ind w:firstLine="851"/>
        <w:jc w:val="both"/>
        <w:rPr>
          <w:rFonts w:ascii="Times New Roman" w:hAnsi="Times New Roman" w:cs="Times New Roman"/>
          <w:sz w:val="24"/>
          <w:szCs w:val="24"/>
        </w:rPr>
      </w:pPr>
    </w:p>
    <w:p w14:paraId="55694409" w14:textId="77777777" w:rsidR="00463374" w:rsidRDefault="00B9187D" w:rsidP="00B9187D">
      <w:pPr>
        <w:pStyle w:val="NoSpacing"/>
        <w:ind w:firstLine="851"/>
        <w:jc w:val="center"/>
        <w:rPr>
          <w:rFonts w:ascii="Times New Roman" w:hAnsi="Times New Roman" w:cs="Times New Roman"/>
          <w:b/>
          <w:sz w:val="24"/>
          <w:szCs w:val="24"/>
        </w:rPr>
      </w:pPr>
      <w:r w:rsidRPr="00B9187D">
        <w:rPr>
          <w:rFonts w:ascii="Times New Roman" w:hAnsi="Times New Roman" w:cs="Times New Roman"/>
          <w:b/>
          <w:sz w:val="24"/>
          <w:szCs w:val="24"/>
        </w:rPr>
        <w:t>I.</w:t>
      </w:r>
      <w:r>
        <w:rPr>
          <w:rFonts w:ascii="Times New Roman" w:hAnsi="Times New Roman" w:cs="Times New Roman"/>
          <w:b/>
          <w:sz w:val="24"/>
          <w:szCs w:val="24"/>
        </w:rPr>
        <w:t xml:space="preserve"> </w:t>
      </w:r>
      <w:r w:rsidR="00463374" w:rsidRPr="00D34E56">
        <w:rPr>
          <w:rFonts w:ascii="Times New Roman" w:hAnsi="Times New Roman" w:cs="Times New Roman"/>
          <w:b/>
          <w:sz w:val="24"/>
          <w:szCs w:val="24"/>
        </w:rPr>
        <w:t>Situācijas izklāsts</w:t>
      </w:r>
    </w:p>
    <w:p w14:paraId="4263E9CE" w14:textId="77777777" w:rsidR="00B9187D" w:rsidRPr="00840D9C" w:rsidRDefault="00B9187D" w:rsidP="00B9187D">
      <w:pPr>
        <w:pStyle w:val="NoSpacing"/>
        <w:ind w:firstLine="851"/>
        <w:rPr>
          <w:rFonts w:ascii="Times New Roman" w:hAnsi="Times New Roman" w:cs="Times New Roman"/>
          <w:sz w:val="24"/>
          <w:szCs w:val="24"/>
        </w:rPr>
      </w:pPr>
    </w:p>
    <w:p w14:paraId="0E0D6A31" w14:textId="77777777" w:rsidR="008F45A3" w:rsidRDefault="007836E2" w:rsidP="00B9187D">
      <w:pPr>
        <w:pStyle w:val="naiskr"/>
        <w:tabs>
          <w:tab w:val="left" w:pos="141"/>
        </w:tabs>
        <w:spacing w:before="0" w:after="0"/>
        <w:ind w:right="158" w:firstLine="709"/>
        <w:jc w:val="both"/>
      </w:pPr>
      <w:r w:rsidRPr="007615A8">
        <w:t>VID Ventspils klientu apkalpošanas centrs un citas VID Ventspils nodaļas struktūrvienības šobrīd ir izvietotas telpās Dzintaru ielā 18, Ventspilī, un Dzintaru ielā 22/9, Ventspilī</w:t>
      </w:r>
      <w:r w:rsidR="00502FED" w:rsidRPr="007615A8">
        <w:t xml:space="preserve">. </w:t>
      </w:r>
      <w:r w:rsidRPr="007615A8">
        <w:t xml:space="preserve"> </w:t>
      </w:r>
      <w:r w:rsidR="00502FED" w:rsidRPr="007615A8">
        <w:t>Telpas</w:t>
      </w:r>
      <w:r w:rsidRPr="007615A8">
        <w:t xml:space="preserve"> atrodas aptuveni 3 km attālumā no Ventspils pilsētas cen</w:t>
      </w:r>
      <w:r w:rsidR="00502FED" w:rsidRPr="007615A8">
        <w:t>tra Ventas upes labajā krastā. Esošā k</w:t>
      </w:r>
      <w:r w:rsidRPr="007615A8">
        <w:t>lientu apkalpošanas zāle nav piemērota un ērta lielākai klientu plūsmai. Šādos gadījumos nodokļu maksātāji veido rindu šaurā, pagarā korido</w:t>
      </w:r>
      <w:r w:rsidR="00502FED" w:rsidRPr="007615A8">
        <w:t>rā</w:t>
      </w:r>
      <w:r w:rsidRPr="007615A8">
        <w:t xml:space="preserve"> </w:t>
      </w:r>
      <w:r w:rsidR="00502FED" w:rsidRPr="007615A8">
        <w:t>un</w:t>
      </w:r>
      <w:r w:rsidRPr="007615A8">
        <w:t>, gaidot rindā, var rasties spriedze. Esošo VID Ventspils klientu apkalpošanas centra telpu pārveidošanas iespējas ir ierobežotas.</w:t>
      </w:r>
      <w:r w:rsidR="00223CDB" w:rsidRPr="007615A8">
        <w:t xml:space="preserve"> Arī automašīnu stāvvietu skaits</w:t>
      </w:r>
      <w:r w:rsidR="00203DFF" w:rsidRPr="007615A8">
        <w:t xml:space="preserve"> ir nepietiekams.</w:t>
      </w:r>
      <w:r w:rsidRPr="007615A8">
        <w:t xml:space="preserve"> Šobrīd nodokļu maksātājiem VID Ventspils klientu apkalpošanas centra apmeklējumu apvienot ar citu valsts un pašvaldību iestāžu vai kredītiestāžu apmeklējumu ir samērā neērti un laikietilpīgi, ņemot vērā to ģeogrāfisko atrašanās vietu (Ventspils pilsētas un novada dome, Zemesgrāmata, Valsts zemes dienests, Policija, Ventspils tiesa, Prokuratūra  un autostacija atrodas Ventspils pilsētas centra rajonā Ventas upes kreisajā krastā). Izvietojot VID Ventspils nodaļu darbam piemērotās telpās Ventspils pilsētas centra rajonā, Ventspils pilsētas un tās apkārtnes iedzīvotājiem tiktu nodrošināta valsts un pašvaldību iestāžu pieejamība vienkopus un uzlabota VID Ventspils klientu apkalpošanas centra apmeklētāju apkalpošanas kvalitāte, tādējādi nodrošinot valsts pārvaldes ērtāku un kvalitatīvāku pieejamību Ventspils pilsētas un tās apkārtnes iedzīvotājiem.</w:t>
      </w:r>
    </w:p>
    <w:p w14:paraId="3D4D3FE5" w14:textId="07740B77" w:rsidR="00DD71A3" w:rsidRPr="00D34E56" w:rsidRDefault="00CD2782" w:rsidP="00B9187D">
      <w:pPr>
        <w:pStyle w:val="naiskr"/>
        <w:tabs>
          <w:tab w:val="left" w:pos="141"/>
        </w:tabs>
        <w:spacing w:before="0" w:after="0"/>
        <w:ind w:right="158" w:firstLine="709"/>
        <w:jc w:val="both"/>
      </w:pPr>
      <w:r w:rsidRPr="00CD2782">
        <w:t xml:space="preserve">Latvijas Nacionālā attīstības plāna 2014.-2020.gadam viens no rīcības virzieniem ir „Pakalpojumu pieejamība līdzvērtīgāku darba iespēju un dzīves apstākļu radīšanai” un viens no tā mērķiem ir „[418] Publisko pakalpojumu optimizēšanas un pieejamības nodrošināšana (elektronizācijas iespējas, klientu apkalpošanas nodošana </w:t>
      </w:r>
      <w:r w:rsidR="00840D9C">
        <w:t>klientu apkalpošanas centriem (</w:t>
      </w:r>
      <w:r w:rsidR="00840D9C" w:rsidRPr="00CD2782">
        <w:t>„</w:t>
      </w:r>
      <w:r w:rsidR="00840D9C">
        <w:t>attīstības aģentūrām</w:t>
      </w:r>
      <w:r w:rsidR="00840D9C" w:rsidRPr="00CD2782">
        <w:t>”</w:t>
      </w:r>
      <w:r w:rsidR="00840D9C">
        <w:t xml:space="preserve">)) atbilstoši </w:t>
      </w:r>
      <w:r w:rsidR="00840D9C" w:rsidRPr="00CD2782">
        <w:t>„</w:t>
      </w:r>
      <w:r w:rsidR="00840D9C">
        <w:t>vienas pieturas</w:t>
      </w:r>
      <w:r w:rsidR="00840D9C" w:rsidRPr="00CD2782">
        <w:t>”</w:t>
      </w:r>
      <w:r w:rsidRPr="00CD2782">
        <w:t xml:space="preserve"> aģentūras principam, balstoties uz valsts pārvaldes publisko pakalpojumu izvērtēšanas rezultātiem”.</w:t>
      </w:r>
    </w:p>
    <w:p w14:paraId="33AF91EC" w14:textId="727D93F1" w:rsidR="000C2CF7" w:rsidRDefault="008F45A3" w:rsidP="007836E2">
      <w:pPr>
        <w:pStyle w:val="naiskr"/>
        <w:tabs>
          <w:tab w:val="left" w:pos="141"/>
        </w:tabs>
        <w:spacing w:before="0" w:after="0"/>
        <w:ind w:right="158" w:firstLine="709"/>
        <w:jc w:val="both"/>
      </w:pPr>
      <w:r w:rsidRPr="00D34E56">
        <w:t xml:space="preserve">Ievērojot minēto, VID vērsās pie Ventspils pilsētas domes ar lūgumu izskatīt iespēju piedāvāt VID </w:t>
      </w:r>
      <w:r w:rsidR="000C2CF7">
        <w:t>nomāt</w:t>
      </w:r>
      <w:r w:rsidRPr="00D34E56">
        <w:t xml:space="preserve"> telpas Ventspils pilsētas centra teritorijā. Izvērtējot Ventspils pilsētas centra teritorijā esošos nekustamos īpašumus, par piemērotāko VID Ventspils nodaļas vajadzībām tika atzīts pašvaldības </w:t>
      </w:r>
      <w:r w:rsidR="00CD2782">
        <w:t>sabiedrībai ar ierobežotu atbildību</w:t>
      </w:r>
      <w:r w:rsidR="00CD2782" w:rsidRPr="00D34E56">
        <w:t xml:space="preserve"> </w:t>
      </w:r>
      <w:r w:rsidRPr="00D34E56">
        <w:t xml:space="preserve">„Ventspils nekustamie īpašumi” piederošais nekustamais īpašums (nekustamā īpašuma kadastra Nr.2700 004 1106) Kuldīgas ielā 2,Ventspilī. </w:t>
      </w:r>
    </w:p>
    <w:p w14:paraId="717DE672" w14:textId="77777777" w:rsidR="007957BD" w:rsidRDefault="008F45A3" w:rsidP="007836E2">
      <w:pPr>
        <w:pStyle w:val="naiskr"/>
        <w:tabs>
          <w:tab w:val="left" w:pos="141"/>
        </w:tabs>
        <w:spacing w:before="0" w:after="0"/>
        <w:ind w:right="158" w:firstLine="709"/>
        <w:jc w:val="both"/>
      </w:pPr>
      <w:r w:rsidRPr="00D34E56">
        <w:t xml:space="preserve">2015.gada 27.janvārī VID organizēja sanāksmi ar Ventspils </w:t>
      </w:r>
      <w:r w:rsidR="002D44D8" w:rsidRPr="00D34E56">
        <w:t xml:space="preserve">pilsētas </w:t>
      </w:r>
      <w:r w:rsidRPr="00D34E56">
        <w:t xml:space="preserve">domes, </w:t>
      </w:r>
      <w:r w:rsidRPr="00576546">
        <w:t>valsts akciju sabiedrības „Valsts nekustamie īpašumi” (turpmāk – VNĪ)</w:t>
      </w:r>
      <w:r w:rsidRPr="00D34E56">
        <w:t xml:space="preserve"> un arhitektu pārstāvju dalību, kurā konceptuāli tika atbalstīta VID Ve</w:t>
      </w:r>
      <w:r w:rsidR="002D44D8" w:rsidRPr="00D34E56">
        <w:t>n</w:t>
      </w:r>
      <w:r w:rsidRPr="00D34E56">
        <w:t>tspils nodaļas izvietošana nekustamajā īpašumā Kuldīgas ielā 2,Ventspilī.</w:t>
      </w:r>
    </w:p>
    <w:p w14:paraId="4BA1F1F7" w14:textId="77777777" w:rsidR="00CD4010" w:rsidRDefault="00CD7646" w:rsidP="000C2CF7">
      <w:pPr>
        <w:pStyle w:val="naiskr"/>
        <w:tabs>
          <w:tab w:val="left" w:pos="141"/>
        </w:tabs>
        <w:spacing w:before="0" w:after="0"/>
        <w:ind w:right="158" w:firstLine="709"/>
        <w:jc w:val="both"/>
      </w:pPr>
      <w:r w:rsidRPr="00F9285C">
        <w:t>Vienlaikus ir izvērtēta iespēja VID Ventspils nodaļas vajadzībām pielāgot telpas citos Ventspils pilsētas centra teritorijā un VNĪ pārvaldībā esošajos valsts nekustam</w:t>
      </w:r>
      <w:r w:rsidR="000820FF" w:rsidRPr="00F9285C">
        <w:t xml:space="preserve">ajos īpašumos – </w:t>
      </w:r>
      <w:r w:rsidRPr="00F9285C">
        <w:t>nekustamajā īpašumā (nekustamā īpašuma kadastra Nr.2700 002 1003) Pils ielā 38, Ventspilī, un nekustamajā īpašumā (nekustamā īpašuma kadastra Nr.2700 002 1002) Kuģinieku ielā 2, Ventspilī. Rezultātā secināts, ka minētajos nekustamajos īpašumos esošo ēku tehniskais stāvoklis ir slikts un tās ir funkcionāli neatbilstošas VID Ventspils nodaļas vajadzībām.</w:t>
      </w:r>
    </w:p>
    <w:p w14:paraId="10FAE2A3" w14:textId="1ECC66D3" w:rsidR="000C2CF7" w:rsidRPr="00D34E56" w:rsidRDefault="000C2CF7" w:rsidP="000C2CF7">
      <w:pPr>
        <w:pStyle w:val="naiskr"/>
        <w:tabs>
          <w:tab w:val="left" w:pos="141"/>
        </w:tabs>
        <w:spacing w:before="0" w:after="0"/>
        <w:ind w:right="158" w:firstLine="709"/>
        <w:jc w:val="both"/>
      </w:pPr>
      <w:r w:rsidRPr="00D34E56">
        <w:t xml:space="preserve">Ventspils pilsētas dome (2015.gada 19.februāra vēstule Nr.1-89/685) ir piedāvājusi VNĪ izskatīt nekustamo īpašumu maiņas darījumu, mainot pašvaldības SIA „Ventspils nekustamie īpašumi” piederošo nekustamo īpašumu Kuldīgas ielā 2,Ventspilī, pret VNĪ piederošo nekustamo īpašumu (nekustamā īpašuma kadastra Nr.2700 008 0601) </w:t>
      </w:r>
      <w:r w:rsidRPr="00D34E56">
        <w:lastRenderedPageBreak/>
        <w:t>Rūpniecības ielā 2, Ventspilī</w:t>
      </w:r>
      <w:r w:rsidRPr="000C2CF7">
        <w:t xml:space="preserve"> </w:t>
      </w:r>
      <w:r>
        <w:t>(</w:t>
      </w:r>
      <w:r w:rsidRPr="00D34E56">
        <w:t>ierakstīts Ventspils tiesas zemesgrāmatu nodaļas Ventspils pilsētas zemesgrāmatas nodal</w:t>
      </w:r>
      <w:r w:rsidR="00CD7040">
        <w:t>ījumā Nr.37 uz VNĪ vārda. Lēmuma</w:t>
      </w:r>
      <w:r w:rsidRPr="00D34E56">
        <w:t xml:space="preserve"> datums 20.05.2008.</w:t>
      </w:r>
      <w:r>
        <w:t>)</w:t>
      </w:r>
      <w:r w:rsidR="00CD7040">
        <w:t>.</w:t>
      </w:r>
      <w:r w:rsidRPr="000C2CF7">
        <w:t xml:space="preserve"> </w:t>
      </w:r>
      <w:r w:rsidRPr="00D34E56">
        <w:t>Nekustamais īpašums Rūpniecības ielā 2, Ventspilī</w:t>
      </w:r>
      <w:r>
        <w:t>,</w:t>
      </w:r>
      <w:r w:rsidRPr="00D34E56">
        <w:t xml:space="preserve"> sastāv no zemes vienības (zemes vienības kadastra apzīmējums 2700 008 0601) 2,7715 ha platībā. Saskaņā ar Nekustamā īpašuma valsts kadastra informācijas sistēmas datiem nekustamā īpašuma kadastrālā vērtība uz 2015.gada 1.janvāri ir 87 019 </w:t>
      </w:r>
      <w:r w:rsidRPr="00D34E56">
        <w:rPr>
          <w:i/>
        </w:rPr>
        <w:t xml:space="preserve">euro. </w:t>
      </w:r>
      <w:r w:rsidRPr="00D34E56">
        <w:t xml:space="preserve">Nekustamā īpašuma lietošanas mērķis – neapgūta sabiedriskas nozīmes objektu apbūves zeme. Saskaņā ar VNĪ rīcībā esošajiem nekustamā īpašuma rentabilitātes rādītājiem par periodu no 2013.gada 1.janvāra līdz 2015.gada 28.februārim nekustamā īpašuma pārvaldīšana VNĪ ir nesusi zaudējumus 7 482 </w:t>
      </w:r>
      <w:r w:rsidRPr="00D34E56">
        <w:rPr>
          <w:i/>
        </w:rPr>
        <w:t>euro</w:t>
      </w:r>
      <w:r w:rsidRPr="00D34E56">
        <w:t xml:space="preserve"> apmērā.</w:t>
      </w:r>
    </w:p>
    <w:p w14:paraId="07EE8D4C" w14:textId="2D86AD8C" w:rsidR="00A422B3" w:rsidRDefault="000C2CF7" w:rsidP="00A422B3">
      <w:pPr>
        <w:pStyle w:val="naiskr"/>
        <w:tabs>
          <w:tab w:val="left" w:pos="141"/>
        </w:tabs>
        <w:spacing w:before="0" w:after="0"/>
        <w:ind w:right="158" w:firstLine="709"/>
        <w:jc w:val="both"/>
      </w:pPr>
      <w:r w:rsidRPr="00D34E56">
        <w:t>Ventspils pilsētas dome jau vairāk kā gadu strādā pie projekta idejas „Daudzfunkcionāls interešu izglītības centrs”</w:t>
      </w:r>
      <w:r w:rsidR="00627B25">
        <w:t xml:space="preserve"> (turpmāk – Projekts)</w:t>
      </w:r>
      <w:r w:rsidRPr="00D34E56">
        <w:t>, kas iekļauta arī Ventspils pilsētas attīstības programmā 2014.</w:t>
      </w:r>
      <w:r w:rsidR="000820FF">
        <w:t>-</w:t>
      </w:r>
      <w:r w:rsidRPr="00D34E56">
        <w:t>2020.gad</w:t>
      </w:r>
      <w:r w:rsidR="000D79A7">
        <w:t>am</w:t>
      </w:r>
      <w:r w:rsidRPr="00D34E56">
        <w:t xml:space="preserve">. </w:t>
      </w:r>
      <w:r w:rsidR="00627B25">
        <w:t>P</w:t>
      </w:r>
      <w:r w:rsidRPr="00D34E56">
        <w:t>rojekta realizācijai ir nepieciešams brīvs, neapbūvēts zemesgabals. Projektu plānots realizēt 2014.</w:t>
      </w:r>
      <w:r w:rsidR="000820FF">
        <w:t>-</w:t>
      </w:r>
      <w:r w:rsidRPr="00D34E56">
        <w:t>2020.gada Eiropas Savienības</w:t>
      </w:r>
      <w:r w:rsidR="0015487C">
        <w:t xml:space="preserve"> (turpmāk </w:t>
      </w:r>
      <w:r w:rsidR="00840D9C">
        <w:t>–</w:t>
      </w:r>
      <w:r w:rsidR="0015487C">
        <w:t xml:space="preserve"> ES)</w:t>
      </w:r>
      <w:r w:rsidRPr="00D34E56">
        <w:t xml:space="preserve"> fondu plānošanas perioda </w:t>
      </w:r>
      <w:r w:rsidR="0015487C" w:rsidRPr="0015487C">
        <w:t>darbības programmas „Izaugsme un nodarbinātība” specifiskā atbalsta mērķa 5.6.2. „Teritoriju revitalizācija, reģenerējot degradētās teritorijas atbilstoši pašvaldību integrētajām attīstības prog</w:t>
      </w:r>
      <w:r w:rsidR="0015487C">
        <w:t xml:space="preserve">rammām” (turpmāk – 5.6.2.SAM) </w:t>
      </w:r>
      <w:r w:rsidRPr="00D34E56">
        <w:t>ietvaros un tā funkcija pilnībā atbilst likuma „Par pašvaldībām” 15.panta pirmās daļas 4.punktā noteiktai pašvaldības autonomai funkcijai – gādāt par iedzīvotāju izglītību.</w:t>
      </w:r>
    </w:p>
    <w:p w14:paraId="11135401" w14:textId="5D0F2484" w:rsidR="00A422B3" w:rsidRDefault="00A422B3" w:rsidP="00A422B3">
      <w:pPr>
        <w:pStyle w:val="naiskr"/>
        <w:tabs>
          <w:tab w:val="left" w:pos="141"/>
        </w:tabs>
        <w:spacing w:before="0" w:after="0"/>
        <w:ind w:right="158" w:firstLine="709"/>
        <w:jc w:val="both"/>
      </w:pPr>
      <w:r w:rsidRPr="00A422B3">
        <w:t>Ventspils pilsētas pašvaldība par piemērotāko nekustamo īpašumu Ventspilī šāda Projekta realizācijai ir atzinusi VNĪ piederošo nekustamo īpašumu Rūpniecības ielā 2, Ventspilī. Atbilstoši Būvniecības likumā noteiktajam būvniecības procesa regulējumam, Ventspils pilsētas pašvaldībai šobrīd nav tiesiska pamata uzsākt Projekta īstenošanai nepieciešamās darbības.</w:t>
      </w:r>
    </w:p>
    <w:p w14:paraId="28F8C2D5" w14:textId="2CE24E2F" w:rsidR="00A422B3" w:rsidRDefault="00E974D0" w:rsidP="00A422B3">
      <w:pPr>
        <w:pStyle w:val="naiskr"/>
        <w:tabs>
          <w:tab w:val="left" w:pos="141"/>
        </w:tabs>
        <w:spacing w:before="0" w:after="0"/>
        <w:ind w:right="158" w:firstLine="709"/>
        <w:jc w:val="both"/>
      </w:pPr>
      <w:r>
        <w:t>Lai nodrošinātu sekmīgu ES fondu finansējuma apguv</w:t>
      </w:r>
      <w:r w:rsidR="00165CCD">
        <w:t>es uzsākšanu</w:t>
      </w:r>
      <w:r>
        <w:t xml:space="preserve">, ir nepieciešams </w:t>
      </w:r>
      <w:r w:rsidR="00165CCD">
        <w:t xml:space="preserve">nekavējoties </w:t>
      </w:r>
      <w:r w:rsidR="00627B25">
        <w:t>uzsākt P</w:t>
      </w:r>
      <w:r>
        <w:t xml:space="preserve">rojekta </w:t>
      </w:r>
      <w:r w:rsidR="000D79A7">
        <w:t xml:space="preserve">ietvaros plānotās būvniecības tehniskās dokumentācijas </w:t>
      </w:r>
      <w:r>
        <w:t xml:space="preserve">sagatavošanu. </w:t>
      </w:r>
      <w:r w:rsidR="0015487C">
        <w:t>5.6.2.SAM īstenošan</w:t>
      </w:r>
      <w:r w:rsidR="009C2CBC">
        <w:t>as nosacījumi (2015.gada</w:t>
      </w:r>
      <w:r w:rsidR="0015487C">
        <w:t xml:space="preserve"> 23.aprīlī Valsts sekretāru sanāksmē izsludināts Ministru kabineta n</w:t>
      </w:r>
      <w:r w:rsidR="00840D9C">
        <w:t xml:space="preserve">oteikumu projekts </w:t>
      </w:r>
      <w:r w:rsidR="00840D9C" w:rsidRPr="00D34E56">
        <w:t>„</w:t>
      </w:r>
      <w:r w:rsidR="00840D9C">
        <w:t xml:space="preserve">Darbības programmas </w:t>
      </w:r>
      <w:r w:rsidR="00840D9C" w:rsidRPr="00D34E56">
        <w:t>„</w:t>
      </w:r>
      <w:r w:rsidR="00840D9C">
        <w:t>Izaugsme un nodarbinātība”</w:t>
      </w:r>
      <w:r w:rsidR="0015487C" w:rsidRPr="0015487C">
        <w:t xml:space="preserve"> 5</w:t>
      </w:r>
      <w:r w:rsidR="00840D9C">
        <w:t xml:space="preserve">.6.2.specifiskā atbalsta mērķa </w:t>
      </w:r>
      <w:r w:rsidR="00840D9C" w:rsidRPr="00D34E56">
        <w:t>„</w:t>
      </w:r>
      <w:r w:rsidR="0015487C" w:rsidRPr="0015487C">
        <w:t>Teritoriju revitalizācija, reģenerējot degradētās teritorijas atbilstoši pašvaldību integrētajām attīstības pr</w:t>
      </w:r>
      <w:r w:rsidR="00840D9C">
        <w:t>ogrammām” īstenošanas noteikumi”</w:t>
      </w:r>
      <w:r w:rsidR="0015487C">
        <w:t>) paredz, ka ieguldījumi ir veicami projekta iesniedzēja īpašumā esošā infrastruktūrā</w:t>
      </w:r>
      <w:r w:rsidR="00774E29" w:rsidRPr="00774E29">
        <w:t xml:space="preserve"> vai īpašumā, kura turējuma tiesības projekta iesniedzējs ir ieguvis vismaz uz projekta dzīves cikla termiņu</w:t>
      </w:r>
      <w:r w:rsidR="0015487C">
        <w:t xml:space="preserve">. </w:t>
      </w:r>
      <w:r w:rsidR="009E7A2C" w:rsidRPr="00E974D0">
        <w:t>Ministru kabineta 2014.gada 19.augusta noteikumu Nr.500 „Vispārīgie būvnoteikumi” 3.1.apakšpunkt</w:t>
      </w:r>
      <w:r w:rsidR="009E7A2C">
        <w:t>s</w:t>
      </w:r>
      <w:r w:rsidR="009E7A2C" w:rsidRPr="00E974D0">
        <w:t xml:space="preserve"> nosaka, ka būvniecību var ierosināt </w:t>
      </w:r>
      <w:r w:rsidR="009E7A2C" w:rsidRPr="00CF1AD2">
        <w:t>zemes vai būves īpašnieks</w:t>
      </w:r>
      <w:r w:rsidR="009E7A2C">
        <w:t>, kā arī lietotājs, kuram ar līgumu noteiktas tiesības būvēt</w:t>
      </w:r>
      <w:r w:rsidR="009E7A2C" w:rsidRPr="00CF1AD2">
        <w:t>.</w:t>
      </w:r>
      <w:r w:rsidR="00A422B3" w:rsidRPr="00A422B3">
        <w:t xml:space="preserve"> Ņemot vērā to, ka no piespiedu dalītā īpašuma tiesiskām attiecībām izrietošo problēmu risināšana ir izvirzīta kā Laimdotas Straujumas vadītās valdības viena no prioritātēm un ir iekļauta Deklarācijā par Laimdotas Straujumas vadītā Ministru kabineta iecerēto darbību, proti, tajā ir noteikts, ka valdība turpinās izstrādāt un pilnveidot arī dalītā īpašuma tiesisko regulējumu (dalītā īpašuma tiesiskais regulējums ir ne tikai apbūves tiesību noteikšana un piespiedu dalītā īpašuma tiesisko attiecību izbeigšanas tiesiskā regulējuma izstrāde, bet arī turpmāka dalītā īpašuma, tajā skaitā piespiedu dalītā īpašuma izveidošanas ierobežošana), iecere iznomāt ar apbūves tiesībām VNĪ īpašumā esošo zemesgabalu Projekta īstenošanai nebūtu atbalstāma, ņemot vērā to, ka tādējādi tiktu radīts jauns dalītais īpašums, līdz ar to nekavējoties risināms jautājums par Projekta īstenošanai nepieciešamā zemesgabala atsavināšanu.</w:t>
      </w:r>
      <w:r w:rsidR="00A422B3">
        <w:t xml:space="preserve"> </w:t>
      </w:r>
    </w:p>
    <w:p w14:paraId="578B939F" w14:textId="2CD29EC1" w:rsidR="00961E92" w:rsidRDefault="00CF1AD2" w:rsidP="00A422B3">
      <w:pPr>
        <w:pStyle w:val="naiskr"/>
        <w:tabs>
          <w:tab w:val="left" w:pos="141"/>
        </w:tabs>
        <w:spacing w:before="0" w:after="0"/>
        <w:ind w:right="158" w:firstLine="709"/>
        <w:jc w:val="both"/>
      </w:pPr>
      <w:r w:rsidRPr="00CF1AD2">
        <w:t xml:space="preserve">Eiropas Savienības struktūrfondu un Kohēzijas fonda 2014.-2020.gada plānošanas perioda uzraudzības komitejas sēdē </w:t>
      </w:r>
      <w:r w:rsidR="009C2CBC">
        <w:t>2015.gada</w:t>
      </w:r>
      <w:r>
        <w:t xml:space="preserve"> 30.aprīlī</w:t>
      </w:r>
      <w:r w:rsidRPr="00CF1AD2">
        <w:t xml:space="preserve"> tika apstiprināti 5.6.2.SAM projektu </w:t>
      </w:r>
      <w:r>
        <w:t>iesniegumu vērtēšanas kritēriji</w:t>
      </w:r>
      <w:r w:rsidR="00961E92">
        <w:t>.</w:t>
      </w:r>
      <w:r>
        <w:t xml:space="preserve"> </w:t>
      </w:r>
      <w:r w:rsidR="00961E92">
        <w:t>4.5.k</w:t>
      </w:r>
      <w:r w:rsidR="00961E92" w:rsidRPr="00CF1AD2">
        <w:t xml:space="preserve">valitātes </w:t>
      </w:r>
      <w:r w:rsidR="00961E92" w:rsidRPr="00961E92">
        <w:t>kritērijs</w:t>
      </w:r>
      <w:r w:rsidR="007A6D61">
        <w:t xml:space="preserve"> nosaka, ka</w:t>
      </w:r>
      <w:r w:rsidR="00961E92">
        <w:rPr>
          <w:i/>
        </w:rPr>
        <w:t xml:space="preserve"> </w:t>
      </w:r>
      <w:r w:rsidR="00961E92">
        <w:t xml:space="preserve">projekta ietvaros plānotajām būvniecības darbībām ir </w:t>
      </w:r>
      <w:r w:rsidR="007A6D61">
        <w:t xml:space="preserve">jābūt </w:t>
      </w:r>
      <w:r w:rsidR="00961E92">
        <w:t>vismaz vid</w:t>
      </w:r>
      <w:r w:rsidR="007A6D61">
        <w:t>ējā</w:t>
      </w:r>
      <w:r w:rsidR="00961E92">
        <w:t xml:space="preserve"> gatavības pak</w:t>
      </w:r>
      <w:r w:rsidR="007A6D61">
        <w:t>āpē</w:t>
      </w:r>
      <w:r w:rsidR="00961E92">
        <w:t>: „</w:t>
      </w:r>
      <w:r w:rsidR="00961E92" w:rsidRPr="007A6D61">
        <w:rPr>
          <w:i/>
        </w:rPr>
        <w:t>ir veikta būvvaldes atzīme par projektēšanas nosacījumu izpildi būvatļaujā vai apliecinājuma kartē, vai paskaidrojuma rakstā, vai ir iesniegta būvvaldes izziņa, kas liecina, ka būvdarbiem būvatļauja, paskaidrojuma raksts vai apliecinājuma karte nav nepieciešama un par būvniecības darbībām nav izsludināts iepirkums.</w:t>
      </w:r>
      <w:r w:rsidR="007A6D61" w:rsidRPr="007A6D61">
        <w:rPr>
          <w:i/>
        </w:rPr>
        <w:t>”</w:t>
      </w:r>
      <w:r w:rsidR="007A6D61">
        <w:rPr>
          <w:i/>
        </w:rPr>
        <w:t xml:space="preserve"> </w:t>
      </w:r>
      <w:r w:rsidR="007A6D61">
        <w:t>Kritērija neizpildes gadījumā projekta iesniegums tiek noraidīts.</w:t>
      </w:r>
    </w:p>
    <w:p w14:paraId="03D53F6A" w14:textId="1E6353F3" w:rsidR="00E95766" w:rsidRDefault="000C2CF7" w:rsidP="00CD7646">
      <w:pPr>
        <w:pStyle w:val="naiskr"/>
        <w:tabs>
          <w:tab w:val="left" w:pos="141"/>
        </w:tabs>
        <w:spacing w:before="0" w:after="0"/>
        <w:ind w:right="158" w:firstLine="709"/>
        <w:jc w:val="both"/>
      </w:pPr>
      <w:r w:rsidRPr="00D34E56">
        <w:t>Ventspils pilsētas pašvaldība, ar lūgumu izskatīt iespēju nodot nekustamo īpašumu Rūpniecības ielā 2, Ventspilī, Ventspils pilsētas pašvaldības rīcībā, ir vērsusies pie VNĪ jau iepriekš (2014.gada 4.novembra vēstule Nr.1-89/685).</w:t>
      </w:r>
      <w:r w:rsidR="0015487C">
        <w:t xml:space="preserve"> </w:t>
      </w:r>
    </w:p>
    <w:p w14:paraId="3DC9CE13" w14:textId="77777777" w:rsidR="0015487C" w:rsidRDefault="0015487C" w:rsidP="00CD7646">
      <w:pPr>
        <w:pStyle w:val="naiskr"/>
        <w:tabs>
          <w:tab w:val="left" w:pos="141"/>
        </w:tabs>
        <w:spacing w:before="0" w:after="0"/>
        <w:ind w:right="158" w:firstLine="709"/>
        <w:jc w:val="both"/>
      </w:pPr>
    </w:p>
    <w:p w14:paraId="26F75DF6" w14:textId="77777777" w:rsidR="00173720" w:rsidRDefault="000E4AAB" w:rsidP="00B9187D">
      <w:pPr>
        <w:pStyle w:val="naiskr"/>
        <w:tabs>
          <w:tab w:val="left" w:pos="141"/>
        </w:tabs>
        <w:spacing w:before="0" w:after="0"/>
        <w:ind w:right="158" w:firstLine="709"/>
        <w:jc w:val="center"/>
        <w:rPr>
          <w:b/>
        </w:rPr>
      </w:pPr>
      <w:r w:rsidRPr="00D34E56">
        <w:rPr>
          <w:b/>
        </w:rPr>
        <w:t>I</w:t>
      </w:r>
      <w:r w:rsidR="00FD5F61" w:rsidRPr="00D34E56">
        <w:rPr>
          <w:b/>
        </w:rPr>
        <w:t>I. Priekšlikumi turpmākai rīcībai</w:t>
      </w:r>
    </w:p>
    <w:p w14:paraId="7ADC65D4" w14:textId="77777777" w:rsidR="00B9187D" w:rsidRPr="00840D9C" w:rsidRDefault="00B9187D" w:rsidP="00840D9C">
      <w:pPr>
        <w:pStyle w:val="naiskr"/>
        <w:tabs>
          <w:tab w:val="left" w:pos="141"/>
        </w:tabs>
        <w:spacing w:before="0" w:after="0"/>
        <w:ind w:right="158" w:firstLine="709"/>
      </w:pPr>
    </w:p>
    <w:p w14:paraId="743B7072" w14:textId="77777777" w:rsidR="00173720" w:rsidRPr="00D34E56" w:rsidRDefault="00173720" w:rsidP="00B9187D">
      <w:pPr>
        <w:pStyle w:val="naiskr"/>
        <w:tabs>
          <w:tab w:val="left" w:pos="141"/>
        </w:tabs>
        <w:spacing w:before="0" w:after="0"/>
        <w:ind w:right="158" w:firstLine="709"/>
        <w:jc w:val="both"/>
      </w:pPr>
      <w:r w:rsidRPr="00D34E56">
        <w:t xml:space="preserve">Nekustamais īpašums (nekustamā īpašuma kadastra Nr.2700 004 1106) Kuldīgas ielā 2,Ventspilī, sastāv no zemes vienības (zemes vienības kadastra apzīmējums 2700 004 </w:t>
      </w:r>
      <w:r w:rsidR="0068000B">
        <w:t>1106</w:t>
      </w:r>
      <w:r w:rsidRPr="00D34E56">
        <w:t>) 2717 m</w:t>
      </w:r>
      <w:r w:rsidRPr="00D34E56">
        <w:rPr>
          <w:vertAlign w:val="superscript"/>
        </w:rPr>
        <w:t>2</w:t>
      </w:r>
      <w:r w:rsidRPr="00D34E56">
        <w:t xml:space="preserve"> platībā, administratīvās ēkas (būves kadastra apzīmējums 2700 004</w:t>
      </w:r>
      <w:r w:rsidR="0068000B">
        <w:t xml:space="preserve"> 1106</w:t>
      </w:r>
      <w:r w:rsidRPr="00D34E56">
        <w:t xml:space="preserve"> 001), trīs garāžām (būvj</w:t>
      </w:r>
      <w:r w:rsidR="0068000B">
        <w:t>u kadastra apzīmējumi: 2700 004 1106 002, 2700 004 1106 004 un 2700 004</w:t>
      </w:r>
      <w:r w:rsidRPr="00D34E56">
        <w:t xml:space="preserve"> 1</w:t>
      </w:r>
      <w:r w:rsidR="0068000B">
        <w:t>10</w:t>
      </w:r>
      <w:r w:rsidRPr="00D34E56">
        <w:t>6 005), noliktavas (būves kadastra apzī</w:t>
      </w:r>
      <w:r w:rsidR="0068000B">
        <w:t>mējums 2700 004</w:t>
      </w:r>
      <w:r w:rsidRPr="00D34E56">
        <w:t xml:space="preserve"> 1</w:t>
      </w:r>
      <w:r w:rsidR="0068000B">
        <w:t>10</w:t>
      </w:r>
      <w:r w:rsidRPr="00D34E56">
        <w:t>6 003) un šķūņa (būv</w:t>
      </w:r>
      <w:r w:rsidR="0068000B">
        <w:t>es kadastra apzīmējums 2700 004</w:t>
      </w:r>
      <w:r w:rsidRPr="00D34E56">
        <w:t xml:space="preserve"> 1</w:t>
      </w:r>
      <w:r w:rsidR="0068000B">
        <w:t>10</w:t>
      </w:r>
      <w:r w:rsidRPr="00D34E56">
        <w:t>6 006). Nekustamais īpašums ierakstīts Ventspils tiesas zemesgrāmatu nodaļas Ventspils pilsētas zemesgrāmatas nodalījumā Nr.1253 uz pašvaldības SIA „Ventspils nekustamie īpašumi” vārda. Lēmuma datums:19.09.2011.</w:t>
      </w:r>
      <w:r w:rsidR="00E45BA3" w:rsidRPr="00D34E56">
        <w:t xml:space="preserve"> </w:t>
      </w:r>
    </w:p>
    <w:p w14:paraId="2755BE20" w14:textId="77777777" w:rsidR="00E45BA3" w:rsidRPr="00D34E56" w:rsidRDefault="00E45BA3" w:rsidP="00E45BA3">
      <w:pPr>
        <w:spacing w:after="0" w:line="240" w:lineRule="auto"/>
        <w:ind w:firstLine="709"/>
        <w:jc w:val="both"/>
        <w:rPr>
          <w:rFonts w:ascii="Times New Roman" w:hAnsi="Times New Roman"/>
          <w:sz w:val="24"/>
          <w:szCs w:val="24"/>
        </w:rPr>
      </w:pPr>
      <w:r w:rsidRPr="00D34E56">
        <w:rPr>
          <w:rFonts w:ascii="Times New Roman" w:hAnsi="Times New Roman"/>
          <w:sz w:val="24"/>
          <w:szCs w:val="24"/>
        </w:rPr>
        <w:t>Nekustamais īpašums atrodas valsts nozīmes pilsētbūvniecības pieminekļa „Ventspils pilsētas vēsturiskais centrs” (valsts aizsardzības Nr.7454) teritorijā. Administratīvā ēka (</w:t>
      </w:r>
      <w:r w:rsidR="0068000B">
        <w:rPr>
          <w:rFonts w:ascii="Times New Roman" w:hAnsi="Times New Roman"/>
          <w:sz w:val="24"/>
          <w:szCs w:val="24"/>
        </w:rPr>
        <w:t xml:space="preserve">būves </w:t>
      </w:r>
      <w:r w:rsidRPr="00D34E56">
        <w:rPr>
          <w:rFonts w:ascii="Times New Roman" w:hAnsi="Times New Roman"/>
          <w:sz w:val="24"/>
          <w:szCs w:val="24"/>
        </w:rPr>
        <w:t xml:space="preserve">kadastra apzīmējums 2700 004 1106 001) ir valsts nozīmes arhitektūras piemineklis „Dzīvojamā </w:t>
      </w:r>
      <w:r w:rsidR="00084AD3">
        <w:rPr>
          <w:rFonts w:ascii="Times New Roman" w:hAnsi="Times New Roman"/>
          <w:sz w:val="24"/>
          <w:szCs w:val="24"/>
        </w:rPr>
        <w:t>ēka</w:t>
      </w:r>
      <w:r w:rsidRPr="00D34E56">
        <w:rPr>
          <w:rFonts w:ascii="Times New Roman" w:hAnsi="Times New Roman"/>
          <w:sz w:val="24"/>
          <w:szCs w:val="24"/>
        </w:rPr>
        <w:t>” (valsts aizsardzības Nr.8788). Minētajā ēkā atrodas valsts nozīmes mākslas pieminekļi „Krāsns” (valsts aizsardzības Nr.4567); „Interjera dekoratīvā apdare (2 telpās)” (valsts aizsardzības Nr.4566) un „Durvju komplekts” (valsts aizsardzības Nr.4565).</w:t>
      </w:r>
    </w:p>
    <w:p w14:paraId="1F6B9D15" w14:textId="5E8A20F3" w:rsidR="0004003C" w:rsidRPr="00D742AE" w:rsidRDefault="00E45BA3" w:rsidP="00D742AE">
      <w:pPr>
        <w:spacing w:after="0" w:line="240" w:lineRule="auto"/>
        <w:ind w:firstLine="709"/>
        <w:jc w:val="both"/>
        <w:rPr>
          <w:rFonts w:ascii="Times New Roman" w:hAnsi="Times New Roman"/>
          <w:sz w:val="24"/>
          <w:szCs w:val="24"/>
        </w:rPr>
      </w:pPr>
      <w:r w:rsidRPr="00D34E56">
        <w:rPr>
          <w:rFonts w:ascii="Times New Roman" w:hAnsi="Times New Roman"/>
          <w:sz w:val="24"/>
          <w:szCs w:val="24"/>
        </w:rPr>
        <w:t xml:space="preserve">Saskaņā ar Nekustamā īpašuma valsts kadastra informācijas sistēmas datiem nekustamā īpašuma kadastrālā vērtība uz 2015.gada 1.janvāri ir 91 182 </w:t>
      </w:r>
      <w:r w:rsidRPr="00D34E56">
        <w:rPr>
          <w:rFonts w:ascii="Times New Roman" w:hAnsi="Times New Roman"/>
          <w:i/>
          <w:sz w:val="24"/>
          <w:szCs w:val="24"/>
        </w:rPr>
        <w:t>euro</w:t>
      </w:r>
      <w:r w:rsidRPr="00D34E56">
        <w:rPr>
          <w:rFonts w:ascii="Times New Roman" w:hAnsi="Times New Roman"/>
          <w:sz w:val="24"/>
          <w:szCs w:val="24"/>
        </w:rPr>
        <w:t xml:space="preserve">, t.sk. zemei – 42 531 </w:t>
      </w:r>
      <w:r w:rsidRPr="00D34E56">
        <w:rPr>
          <w:rFonts w:ascii="Times New Roman" w:hAnsi="Times New Roman"/>
          <w:i/>
          <w:sz w:val="24"/>
          <w:szCs w:val="24"/>
        </w:rPr>
        <w:t>euro</w:t>
      </w:r>
      <w:r w:rsidRPr="00D34E56">
        <w:rPr>
          <w:rFonts w:ascii="Times New Roman" w:hAnsi="Times New Roman"/>
          <w:sz w:val="24"/>
          <w:szCs w:val="24"/>
        </w:rPr>
        <w:t xml:space="preserve">. </w:t>
      </w:r>
      <w:r w:rsidR="0068000B">
        <w:rPr>
          <w:rFonts w:ascii="Times New Roman" w:hAnsi="Times New Roman"/>
          <w:sz w:val="24"/>
          <w:szCs w:val="24"/>
        </w:rPr>
        <w:t>Zemes</w:t>
      </w:r>
      <w:r w:rsidRPr="00D34E56">
        <w:rPr>
          <w:rFonts w:ascii="Times New Roman" w:hAnsi="Times New Roman"/>
          <w:sz w:val="24"/>
          <w:szCs w:val="24"/>
        </w:rPr>
        <w:t xml:space="preserve"> lietošanas mērķi </w:t>
      </w:r>
      <w:r w:rsidR="000820FF">
        <w:rPr>
          <w:rFonts w:ascii="Times New Roman" w:hAnsi="Times New Roman"/>
          <w:sz w:val="24"/>
          <w:szCs w:val="24"/>
        </w:rPr>
        <w:t xml:space="preserve">– </w:t>
      </w:r>
      <w:r w:rsidRPr="00D34E56">
        <w:rPr>
          <w:rFonts w:ascii="Times New Roman" w:hAnsi="Times New Roman"/>
          <w:sz w:val="24"/>
          <w:szCs w:val="24"/>
        </w:rPr>
        <w:t>individuālo dzīvojamo māju apbūve – 1358 m</w:t>
      </w:r>
      <w:r w:rsidRPr="00D34E56">
        <w:rPr>
          <w:rFonts w:ascii="Times New Roman" w:hAnsi="Times New Roman"/>
          <w:sz w:val="24"/>
          <w:szCs w:val="24"/>
          <w:vertAlign w:val="superscript"/>
        </w:rPr>
        <w:t>2</w:t>
      </w:r>
      <w:r w:rsidR="0068000B">
        <w:rPr>
          <w:rFonts w:ascii="Times New Roman" w:hAnsi="Times New Roman"/>
          <w:sz w:val="24"/>
          <w:szCs w:val="24"/>
        </w:rPr>
        <w:t xml:space="preserve"> un komercdarbības</w:t>
      </w:r>
      <w:r w:rsidRPr="00D34E56">
        <w:rPr>
          <w:rFonts w:ascii="Times New Roman" w:hAnsi="Times New Roman"/>
          <w:sz w:val="24"/>
          <w:szCs w:val="24"/>
        </w:rPr>
        <w:t xml:space="preserve"> objektu apbūve – 1359 m</w:t>
      </w:r>
      <w:r w:rsidRPr="00D34E56">
        <w:rPr>
          <w:rFonts w:ascii="Times New Roman" w:hAnsi="Times New Roman"/>
          <w:sz w:val="24"/>
          <w:szCs w:val="24"/>
          <w:vertAlign w:val="superscript"/>
        </w:rPr>
        <w:t>2</w:t>
      </w:r>
      <w:r w:rsidRPr="00D34E56">
        <w:rPr>
          <w:rFonts w:ascii="Times New Roman" w:hAnsi="Times New Roman"/>
          <w:sz w:val="24"/>
          <w:szCs w:val="24"/>
        </w:rPr>
        <w:t>.</w:t>
      </w:r>
      <w:r w:rsidR="00D742AE">
        <w:rPr>
          <w:rFonts w:ascii="Times New Roman" w:hAnsi="Times New Roman"/>
          <w:sz w:val="24"/>
          <w:szCs w:val="24"/>
        </w:rPr>
        <w:t xml:space="preserve"> </w:t>
      </w:r>
      <w:r w:rsidR="0004003C" w:rsidRPr="00D742AE">
        <w:rPr>
          <w:rFonts w:ascii="Times New Roman" w:hAnsi="Times New Roman"/>
          <w:sz w:val="24"/>
          <w:szCs w:val="24"/>
        </w:rPr>
        <w:t>Administratīvās ēkas (būv</w:t>
      </w:r>
      <w:r w:rsidR="00084AD3" w:rsidRPr="00D742AE">
        <w:rPr>
          <w:rFonts w:ascii="Times New Roman" w:hAnsi="Times New Roman"/>
          <w:sz w:val="24"/>
          <w:szCs w:val="24"/>
        </w:rPr>
        <w:t>es kadastra apzīmējums 2700 004</w:t>
      </w:r>
      <w:r w:rsidR="0004003C" w:rsidRPr="00D742AE">
        <w:rPr>
          <w:rFonts w:ascii="Times New Roman" w:hAnsi="Times New Roman"/>
          <w:sz w:val="24"/>
          <w:szCs w:val="24"/>
        </w:rPr>
        <w:t xml:space="preserve"> 1</w:t>
      </w:r>
      <w:r w:rsidR="00084AD3" w:rsidRPr="00D742AE">
        <w:rPr>
          <w:rFonts w:ascii="Times New Roman" w:hAnsi="Times New Roman"/>
          <w:sz w:val="24"/>
          <w:szCs w:val="24"/>
        </w:rPr>
        <w:t>10</w:t>
      </w:r>
      <w:r w:rsidR="0004003C" w:rsidRPr="00D742AE">
        <w:rPr>
          <w:rFonts w:ascii="Times New Roman" w:hAnsi="Times New Roman"/>
          <w:sz w:val="24"/>
          <w:szCs w:val="24"/>
        </w:rPr>
        <w:t>6 001) celšan</w:t>
      </w:r>
      <w:r w:rsidR="00D742AE" w:rsidRPr="00D742AE">
        <w:rPr>
          <w:rFonts w:ascii="Times New Roman" w:hAnsi="Times New Roman"/>
          <w:sz w:val="24"/>
          <w:szCs w:val="24"/>
        </w:rPr>
        <w:t>as gads 1920; stāvu skaits – 3.</w:t>
      </w:r>
    </w:p>
    <w:p w14:paraId="7E75DEBB" w14:textId="7A07E22C" w:rsidR="00AB0B89" w:rsidRPr="00D34E56" w:rsidRDefault="00AB0B89" w:rsidP="00922AD5">
      <w:pPr>
        <w:pStyle w:val="naiskr"/>
        <w:tabs>
          <w:tab w:val="left" w:pos="141"/>
        </w:tabs>
        <w:spacing w:before="0" w:after="0"/>
        <w:ind w:right="158" w:firstLine="709"/>
        <w:jc w:val="both"/>
      </w:pPr>
      <w:r w:rsidRPr="00D34E56">
        <w:t>Līdz 2013.gadam nekustamajā īpašumā</w:t>
      </w:r>
      <w:r w:rsidR="00444B8C" w:rsidRPr="00D34E56">
        <w:t xml:space="preserve"> bija</w:t>
      </w:r>
      <w:r w:rsidRPr="00D34E56">
        <w:t xml:space="preserve"> izvietots Iekšlietu ministrijas </w:t>
      </w:r>
      <w:r w:rsidR="00922AD5" w:rsidRPr="00D34E56">
        <w:t>Valsts policijas</w:t>
      </w:r>
      <w:r w:rsidRPr="00D34E56">
        <w:t xml:space="preserve"> Kurzemes reģiona pārvaldes Ventspils iecirknis.</w:t>
      </w:r>
    </w:p>
    <w:p w14:paraId="0AEE9D4E" w14:textId="1E9506FA" w:rsidR="00E95766" w:rsidRDefault="002F6F6D" w:rsidP="00847251">
      <w:pPr>
        <w:spacing w:after="0" w:line="240" w:lineRule="auto"/>
        <w:ind w:left="30" w:firstLine="679"/>
        <w:jc w:val="both"/>
        <w:rPr>
          <w:rFonts w:ascii="Times New Roman" w:eastAsia="Calibri" w:hAnsi="Times New Roman" w:cs="Times New Roman"/>
          <w:sz w:val="24"/>
          <w:szCs w:val="24"/>
          <w:lang w:eastAsia="lv-LV"/>
        </w:rPr>
      </w:pPr>
      <w:r w:rsidRPr="00D34E56">
        <w:rPr>
          <w:rFonts w:ascii="Times New Roman" w:eastAsia="Calibri" w:hAnsi="Times New Roman" w:cs="Times New Roman"/>
          <w:sz w:val="24"/>
          <w:szCs w:val="24"/>
          <w:lang w:eastAsia="lv-LV"/>
        </w:rPr>
        <w:t xml:space="preserve">Saskaņā ar 2015.gada 10.marta vizuālās apsekošanas </w:t>
      </w:r>
      <w:r w:rsidR="00502FED">
        <w:rPr>
          <w:rFonts w:ascii="Times New Roman" w:eastAsia="Calibri" w:hAnsi="Times New Roman" w:cs="Times New Roman"/>
          <w:sz w:val="24"/>
          <w:szCs w:val="24"/>
          <w:lang w:eastAsia="lv-LV"/>
        </w:rPr>
        <w:t>aktā norādīto</w:t>
      </w:r>
      <w:r w:rsidR="000E4AAB" w:rsidRPr="00D34E56">
        <w:rPr>
          <w:rFonts w:ascii="Times New Roman" w:eastAsia="Calibri" w:hAnsi="Times New Roman" w:cs="Times New Roman"/>
          <w:sz w:val="24"/>
          <w:szCs w:val="24"/>
          <w:lang w:eastAsia="lv-LV"/>
        </w:rPr>
        <w:t xml:space="preserve"> administratīvās</w:t>
      </w:r>
      <w:r w:rsidR="00A701E0" w:rsidRPr="00D34E56">
        <w:rPr>
          <w:rFonts w:ascii="Times New Roman" w:eastAsia="Calibri" w:hAnsi="Times New Roman" w:cs="Times New Roman"/>
          <w:sz w:val="24"/>
          <w:szCs w:val="24"/>
          <w:lang w:eastAsia="lv-LV"/>
        </w:rPr>
        <w:t xml:space="preserve"> ēkas </w:t>
      </w:r>
      <w:r w:rsidR="000E4AAB" w:rsidRPr="00D34E56">
        <w:rPr>
          <w:rFonts w:ascii="Times New Roman" w:eastAsia="Calibri" w:hAnsi="Times New Roman" w:cs="Times New Roman"/>
          <w:sz w:val="24"/>
          <w:szCs w:val="24"/>
          <w:lang w:eastAsia="lv-LV"/>
        </w:rPr>
        <w:t>(būves kadastra apzīmējums 2700 0041 1066 001)</w:t>
      </w:r>
      <w:r w:rsidR="00A701E0" w:rsidRPr="00D34E56">
        <w:rPr>
          <w:rFonts w:ascii="Times New Roman" w:eastAsia="Calibri" w:hAnsi="Times New Roman" w:cs="Times New Roman"/>
          <w:sz w:val="24"/>
          <w:szCs w:val="24"/>
          <w:lang w:eastAsia="lv-LV"/>
        </w:rPr>
        <w:t xml:space="preserve"> kopējais vizuāli tehniskais nolietojums sastāda  48,9%.  Ēkas pamati būvēti no laukakmens mūra 0,7</w:t>
      </w:r>
      <w:r w:rsidR="000820FF">
        <w:rPr>
          <w:rFonts w:ascii="Times New Roman" w:eastAsia="Calibri" w:hAnsi="Times New Roman" w:cs="Times New Roman"/>
          <w:sz w:val="24"/>
          <w:szCs w:val="24"/>
          <w:lang w:eastAsia="lv-LV"/>
        </w:rPr>
        <w:t>-</w:t>
      </w:r>
      <w:r w:rsidR="00A701E0" w:rsidRPr="00D34E56">
        <w:rPr>
          <w:rFonts w:ascii="Times New Roman" w:eastAsia="Calibri" w:hAnsi="Times New Roman" w:cs="Times New Roman"/>
          <w:sz w:val="24"/>
          <w:szCs w:val="24"/>
          <w:lang w:eastAsia="lv-LV"/>
        </w:rPr>
        <w:t>1,0</w:t>
      </w:r>
      <w:r w:rsidR="000820FF">
        <w:rPr>
          <w:rFonts w:ascii="Times New Roman" w:eastAsia="Calibri" w:hAnsi="Times New Roman" w:cs="Times New Roman"/>
          <w:sz w:val="24"/>
          <w:szCs w:val="24"/>
          <w:lang w:eastAsia="lv-LV"/>
        </w:rPr>
        <w:t xml:space="preserve"> m</w:t>
      </w:r>
      <w:r w:rsidR="00A701E0" w:rsidRPr="00D34E56">
        <w:rPr>
          <w:rFonts w:ascii="Times New Roman" w:eastAsia="Calibri" w:hAnsi="Times New Roman" w:cs="Times New Roman"/>
          <w:sz w:val="24"/>
          <w:szCs w:val="24"/>
          <w:lang w:eastAsia="lv-LV"/>
        </w:rPr>
        <w:t xml:space="preserve"> biezumā. Sakarā ar nepietiekamu pamatu vertikālo un horizontālo hidroizolāciju ķieģeļu sienas mūris piesūcies a</w:t>
      </w:r>
      <w:r w:rsidR="000E4AAB" w:rsidRPr="00D34E56">
        <w:rPr>
          <w:rFonts w:ascii="Times New Roman" w:eastAsia="Calibri" w:hAnsi="Times New Roman" w:cs="Times New Roman"/>
          <w:sz w:val="24"/>
          <w:szCs w:val="24"/>
          <w:lang w:eastAsia="lv-LV"/>
        </w:rPr>
        <w:t xml:space="preserve">r kapilāro mitrumu un tādēļ ir </w:t>
      </w:r>
      <w:r w:rsidR="00A701E0" w:rsidRPr="00D34E56">
        <w:rPr>
          <w:rFonts w:ascii="Times New Roman" w:eastAsia="Calibri" w:hAnsi="Times New Roman" w:cs="Times New Roman"/>
          <w:sz w:val="24"/>
          <w:szCs w:val="24"/>
          <w:lang w:eastAsia="lv-LV"/>
        </w:rPr>
        <w:t xml:space="preserve">bojāts </w:t>
      </w:r>
      <w:r w:rsidR="00444B8C" w:rsidRPr="00D34E56">
        <w:rPr>
          <w:rFonts w:ascii="Times New Roman" w:eastAsia="Calibri" w:hAnsi="Times New Roman" w:cs="Times New Roman"/>
          <w:sz w:val="24"/>
          <w:szCs w:val="24"/>
          <w:lang w:eastAsia="lv-LV"/>
        </w:rPr>
        <w:t xml:space="preserve">pirmā </w:t>
      </w:r>
      <w:r w:rsidR="00A701E0" w:rsidRPr="00D34E56">
        <w:rPr>
          <w:rFonts w:ascii="Times New Roman" w:eastAsia="Calibri" w:hAnsi="Times New Roman" w:cs="Times New Roman"/>
          <w:sz w:val="24"/>
          <w:szCs w:val="24"/>
          <w:lang w:eastAsia="lv-LV"/>
        </w:rPr>
        <w:t>stāva virszemes sienu apm</w:t>
      </w:r>
      <w:r w:rsidR="000E4AAB" w:rsidRPr="00D34E56">
        <w:rPr>
          <w:rFonts w:ascii="Times New Roman" w:eastAsia="Calibri" w:hAnsi="Times New Roman" w:cs="Times New Roman"/>
          <w:sz w:val="24"/>
          <w:szCs w:val="24"/>
          <w:lang w:eastAsia="lv-LV"/>
        </w:rPr>
        <w:t xml:space="preserve">etums. Pamatu sēšanās dēļ ēkas </w:t>
      </w:r>
      <w:r w:rsidR="00A701E0" w:rsidRPr="00D34E56">
        <w:rPr>
          <w:rFonts w:ascii="Times New Roman" w:eastAsia="Calibri" w:hAnsi="Times New Roman" w:cs="Times New Roman"/>
          <w:sz w:val="24"/>
          <w:szCs w:val="24"/>
          <w:lang w:eastAsia="lv-LV"/>
        </w:rPr>
        <w:t xml:space="preserve">sienā gar Prāmju ielu radušās ievērojamas plaisas. </w:t>
      </w:r>
      <w:r w:rsidR="000E4AAB" w:rsidRPr="00D34E56">
        <w:rPr>
          <w:rFonts w:ascii="Times New Roman" w:eastAsia="Calibri" w:hAnsi="Times New Roman" w:cs="Times New Roman"/>
          <w:sz w:val="24"/>
          <w:szCs w:val="24"/>
          <w:lang w:eastAsia="lv-LV"/>
        </w:rPr>
        <w:t>Ēkas</w:t>
      </w:r>
      <w:r w:rsidR="00A701E0" w:rsidRPr="00D34E56">
        <w:rPr>
          <w:rFonts w:ascii="Times New Roman" w:eastAsia="Calibri" w:hAnsi="Times New Roman" w:cs="Times New Roman"/>
          <w:sz w:val="24"/>
          <w:szCs w:val="24"/>
          <w:lang w:eastAsia="lv-LV"/>
        </w:rPr>
        <w:t xml:space="preserve"> ārsienām daudzu gadu laikā nav veikts apmetuma un krāsojuma remonts. Pagalma piebū</w:t>
      </w:r>
      <w:r w:rsidR="000E4AAB" w:rsidRPr="00D34E56">
        <w:rPr>
          <w:rFonts w:ascii="Times New Roman" w:eastAsia="Calibri" w:hAnsi="Times New Roman" w:cs="Times New Roman"/>
          <w:sz w:val="24"/>
          <w:szCs w:val="24"/>
          <w:lang w:eastAsia="lv-LV"/>
        </w:rPr>
        <w:t xml:space="preserve">vēm pie ārsienām piestiprināts </w:t>
      </w:r>
      <w:r w:rsidR="00A701E0" w:rsidRPr="00D34E56">
        <w:rPr>
          <w:rFonts w:ascii="Times New Roman" w:eastAsia="Calibri" w:hAnsi="Times New Roman" w:cs="Times New Roman"/>
          <w:sz w:val="24"/>
          <w:szCs w:val="24"/>
          <w:lang w:eastAsia="lv-LV"/>
        </w:rPr>
        <w:t>metāla stiegrojuma režģis sakarā ar nepieciešamību īslaicīgās uzturēšanās telpas nodrošināt pret ielaušanos.</w:t>
      </w:r>
      <w:r w:rsidR="00444B8C" w:rsidRPr="00D34E56">
        <w:rPr>
          <w:rFonts w:ascii="Times New Roman" w:eastAsia="Calibri" w:hAnsi="Times New Roman" w:cs="Times New Roman"/>
          <w:sz w:val="24"/>
          <w:szCs w:val="24"/>
          <w:lang w:eastAsia="lv-LV"/>
        </w:rPr>
        <w:t xml:space="preserve"> </w:t>
      </w:r>
      <w:r w:rsidR="00A701E0" w:rsidRPr="00D34E56">
        <w:rPr>
          <w:rFonts w:ascii="Times New Roman" w:eastAsia="Calibri" w:hAnsi="Times New Roman" w:cs="Times New Roman"/>
          <w:sz w:val="24"/>
          <w:szCs w:val="24"/>
          <w:lang w:eastAsia="lv-LV"/>
        </w:rPr>
        <w:t>Ēkas logi un ārdurvis atrodas neapmierinošā tehniskā stāvoklī: logu vērtnes ar trupes bojājumiem, deformētas, nosēdušās; fasādes ārdurvis ir kvalificētas kā valsts nozīmes mākslas pieminekļi, restaurējamas.</w:t>
      </w:r>
      <w:r w:rsidR="00444B8C" w:rsidRPr="00D34E56">
        <w:rPr>
          <w:rFonts w:ascii="Times New Roman" w:eastAsia="Calibri" w:hAnsi="Times New Roman" w:cs="Times New Roman"/>
          <w:sz w:val="24"/>
          <w:szCs w:val="24"/>
          <w:lang w:eastAsia="lv-LV"/>
        </w:rPr>
        <w:t xml:space="preserve"> Pirmā un otrā </w:t>
      </w:r>
      <w:r w:rsidR="00A701E0" w:rsidRPr="00D34E56">
        <w:rPr>
          <w:rFonts w:ascii="Times New Roman" w:eastAsia="Calibri" w:hAnsi="Times New Roman" w:cs="Times New Roman"/>
          <w:sz w:val="24"/>
          <w:szCs w:val="24"/>
          <w:lang w:eastAsia="lv-LV"/>
        </w:rPr>
        <w:t>stāv</w:t>
      </w:r>
      <w:r w:rsidR="00444B8C" w:rsidRPr="00D34E56">
        <w:rPr>
          <w:rFonts w:ascii="Times New Roman" w:eastAsia="Calibri" w:hAnsi="Times New Roman" w:cs="Times New Roman"/>
          <w:sz w:val="24"/>
          <w:szCs w:val="24"/>
          <w:lang w:eastAsia="lv-LV"/>
        </w:rPr>
        <w:t>a</w:t>
      </w:r>
      <w:r w:rsidR="00A701E0" w:rsidRPr="00D34E56">
        <w:rPr>
          <w:rFonts w:ascii="Times New Roman" w:eastAsia="Calibri" w:hAnsi="Times New Roman" w:cs="Times New Roman"/>
          <w:sz w:val="24"/>
          <w:szCs w:val="24"/>
          <w:lang w:eastAsia="lv-LV"/>
        </w:rPr>
        <w:t xml:space="preserve"> koka pārsegumiem nav konstatētas deformācijas un izlieces. Jumta un bēniņu pārs</w:t>
      </w:r>
      <w:r w:rsidR="00EE1327">
        <w:rPr>
          <w:rFonts w:ascii="Times New Roman" w:eastAsia="Calibri" w:hAnsi="Times New Roman" w:cs="Times New Roman"/>
          <w:sz w:val="24"/>
          <w:szCs w:val="24"/>
          <w:lang w:eastAsia="lv-LV"/>
        </w:rPr>
        <w:t>egumu koka konstrukcijām redzam</w:t>
      </w:r>
      <w:r w:rsidR="00A701E0" w:rsidRPr="00D34E56">
        <w:rPr>
          <w:rFonts w:ascii="Times New Roman" w:eastAsia="Calibri" w:hAnsi="Times New Roman" w:cs="Times New Roman"/>
          <w:sz w:val="24"/>
          <w:szCs w:val="24"/>
          <w:lang w:eastAsia="lv-LV"/>
        </w:rPr>
        <w:t>ās vietās būtisku bojājumu</w:t>
      </w:r>
      <w:r w:rsidR="00EE1327" w:rsidRPr="00EE1327">
        <w:rPr>
          <w:rFonts w:ascii="Times New Roman" w:eastAsia="Calibri" w:hAnsi="Times New Roman" w:cs="Times New Roman"/>
          <w:sz w:val="24"/>
          <w:szCs w:val="24"/>
          <w:lang w:eastAsia="lv-LV"/>
        </w:rPr>
        <w:t xml:space="preserve"> </w:t>
      </w:r>
      <w:r w:rsidR="00EE1327" w:rsidRPr="00D34E56">
        <w:rPr>
          <w:rFonts w:ascii="Times New Roman" w:eastAsia="Calibri" w:hAnsi="Times New Roman" w:cs="Times New Roman"/>
          <w:sz w:val="24"/>
          <w:szCs w:val="24"/>
          <w:lang w:eastAsia="lv-LV"/>
        </w:rPr>
        <w:t>nav</w:t>
      </w:r>
      <w:r w:rsidR="00A701E0" w:rsidRPr="00D34E56">
        <w:rPr>
          <w:rFonts w:ascii="Times New Roman" w:eastAsia="Calibri" w:hAnsi="Times New Roman" w:cs="Times New Roman"/>
          <w:sz w:val="24"/>
          <w:szCs w:val="24"/>
          <w:lang w:eastAsia="lv-LV"/>
        </w:rPr>
        <w:t xml:space="preserve">. Dažās vietās spāru balsta vietās uz mūrlatas </w:t>
      </w:r>
      <w:r w:rsidR="00EE1327">
        <w:rPr>
          <w:rFonts w:ascii="Times New Roman" w:eastAsia="Calibri" w:hAnsi="Times New Roman" w:cs="Times New Roman"/>
          <w:sz w:val="24"/>
          <w:szCs w:val="24"/>
          <w:lang w:eastAsia="lv-LV"/>
        </w:rPr>
        <w:t xml:space="preserve">ir </w:t>
      </w:r>
      <w:r w:rsidR="00A701E0" w:rsidRPr="00D34E56">
        <w:rPr>
          <w:rFonts w:ascii="Times New Roman" w:eastAsia="Calibri" w:hAnsi="Times New Roman" w:cs="Times New Roman"/>
          <w:sz w:val="24"/>
          <w:szCs w:val="24"/>
          <w:lang w:eastAsia="lv-LV"/>
        </w:rPr>
        <w:t>nelieli mitruma bojājumi. Jumta koka konstrukcijām</w:t>
      </w:r>
      <w:r w:rsidR="000E4AAB" w:rsidRPr="00D34E56">
        <w:rPr>
          <w:rFonts w:ascii="Times New Roman" w:eastAsia="Calibri" w:hAnsi="Times New Roman" w:cs="Times New Roman"/>
          <w:sz w:val="24"/>
          <w:szCs w:val="24"/>
          <w:lang w:eastAsia="lv-LV"/>
        </w:rPr>
        <w:t xml:space="preserve"> vizuāli nav redzama koka daļu </w:t>
      </w:r>
      <w:r w:rsidR="00A701E0" w:rsidRPr="00D34E56">
        <w:rPr>
          <w:rFonts w:ascii="Times New Roman" w:eastAsia="Calibri" w:hAnsi="Times New Roman" w:cs="Times New Roman"/>
          <w:sz w:val="24"/>
          <w:szCs w:val="24"/>
          <w:lang w:eastAsia="lv-LV"/>
        </w:rPr>
        <w:t>apstrāde ar antipirēnu, kā arī nav apliecinošu dokumentu par konstrukciju pretuguns apstrādi. Jumta viļņotās azbestcem</w:t>
      </w:r>
      <w:r w:rsidR="00EE1327">
        <w:rPr>
          <w:rFonts w:ascii="Times New Roman" w:eastAsia="Calibri" w:hAnsi="Times New Roman" w:cs="Times New Roman"/>
          <w:sz w:val="24"/>
          <w:szCs w:val="24"/>
          <w:lang w:eastAsia="lv-LV"/>
        </w:rPr>
        <w:t>enta loksnes ieklātas uz cinkota</w:t>
      </w:r>
      <w:r w:rsidR="00A701E0" w:rsidRPr="00D34E56">
        <w:rPr>
          <w:rFonts w:ascii="Times New Roman" w:eastAsia="Calibri" w:hAnsi="Times New Roman" w:cs="Times New Roman"/>
          <w:sz w:val="24"/>
          <w:szCs w:val="24"/>
          <w:lang w:eastAsia="lv-LV"/>
        </w:rPr>
        <w:t xml:space="preserve"> skārda seguma, kas liecina, ka skārda segums ir bijis ar defektiem. Pašlaik caurtecējumi bēniņu daļā nav konstatēt</w:t>
      </w:r>
      <w:r w:rsidR="000E4AAB" w:rsidRPr="00D34E56">
        <w:rPr>
          <w:rFonts w:ascii="Times New Roman" w:eastAsia="Calibri" w:hAnsi="Times New Roman" w:cs="Times New Roman"/>
          <w:sz w:val="24"/>
          <w:szCs w:val="24"/>
          <w:lang w:eastAsia="lv-LV"/>
        </w:rPr>
        <w:t>i</w:t>
      </w:r>
      <w:r w:rsidR="00A701E0" w:rsidRPr="00D34E56">
        <w:rPr>
          <w:rFonts w:ascii="Times New Roman" w:eastAsia="Calibri" w:hAnsi="Times New Roman" w:cs="Times New Roman"/>
          <w:sz w:val="24"/>
          <w:szCs w:val="24"/>
          <w:lang w:eastAsia="lv-LV"/>
        </w:rPr>
        <w:t>, bet no ārpuses redzams, ka azbestcementa loksnes vietām ir saplaisājušas, atdalījušās no latojuma un nosegskārda piekļāvuma vietās pie skursteņiem redzami notecējumi. Iekštelpu apdare atrodas neapmierinošā stāvoklī: krāsojums un tapetes nomelnējušas, ir uzpūtumi; betona grīdas pirmajā stāvā saplaisājušas, bedrainas; linoleja segums izdilis, saplēsts; parketa segums koridoros nokrāsots ar eļļas krāsu, telpās nomelnējis un nav slīpēts; dēļu grīdas k</w:t>
      </w:r>
      <w:r w:rsidR="000E4AAB" w:rsidRPr="00D34E56">
        <w:rPr>
          <w:rFonts w:ascii="Times New Roman" w:eastAsia="Calibri" w:hAnsi="Times New Roman" w:cs="Times New Roman"/>
          <w:sz w:val="24"/>
          <w:szCs w:val="24"/>
          <w:lang w:eastAsia="lv-LV"/>
        </w:rPr>
        <w:t xml:space="preserve">rāsojums nodilis. </w:t>
      </w:r>
      <w:r w:rsidR="00444B8C" w:rsidRPr="00D34E56">
        <w:rPr>
          <w:rFonts w:ascii="Times New Roman" w:eastAsia="Calibri" w:hAnsi="Times New Roman" w:cs="Times New Roman"/>
          <w:sz w:val="24"/>
          <w:szCs w:val="24"/>
          <w:lang w:eastAsia="lv-LV"/>
        </w:rPr>
        <w:t xml:space="preserve">Otrā </w:t>
      </w:r>
      <w:r w:rsidR="000E4AAB" w:rsidRPr="00D34E56">
        <w:rPr>
          <w:rFonts w:ascii="Times New Roman" w:eastAsia="Calibri" w:hAnsi="Times New Roman" w:cs="Times New Roman"/>
          <w:sz w:val="24"/>
          <w:szCs w:val="24"/>
          <w:lang w:eastAsia="lv-LV"/>
        </w:rPr>
        <w:t>stāva zāles</w:t>
      </w:r>
      <w:r w:rsidR="00A701E0" w:rsidRPr="00D34E56">
        <w:rPr>
          <w:rFonts w:ascii="Times New Roman" w:eastAsia="Calibri" w:hAnsi="Times New Roman" w:cs="Times New Roman"/>
          <w:sz w:val="24"/>
          <w:szCs w:val="24"/>
          <w:lang w:eastAsia="lv-LV"/>
        </w:rPr>
        <w:t xml:space="preserve"> </w:t>
      </w:r>
      <w:r w:rsidR="00514F4C" w:rsidRPr="00D34E56">
        <w:rPr>
          <w:rFonts w:ascii="Times New Roman" w:eastAsia="Calibri" w:hAnsi="Times New Roman" w:cs="Times New Roman"/>
          <w:sz w:val="24"/>
          <w:szCs w:val="24"/>
          <w:lang w:eastAsia="lv-LV"/>
        </w:rPr>
        <w:t xml:space="preserve">krāsojums </w:t>
      </w:r>
      <w:r w:rsidR="00EE1327">
        <w:rPr>
          <w:rFonts w:ascii="Times New Roman" w:eastAsia="Calibri" w:hAnsi="Times New Roman" w:cs="Times New Roman"/>
          <w:sz w:val="24"/>
          <w:szCs w:val="24"/>
          <w:lang w:eastAsia="lv-LV"/>
        </w:rPr>
        <w:t xml:space="preserve">ir </w:t>
      </w:r>
      <w:r w:rsidR="00514F4C" w:rsidRPr="00D34E56">
        <w:rPr>
          <w:rFonts w:ascii="Times New Roman" w:eastAsia="Calibri" w:hAnsi="Times New Roman" w:cs="Times New Roman"/>
          <w:sz w:val="24"/>
          <w:szCs w:val="24"/>
          <w:lang w:eastAsia="lv-LV"/>
        </w:rPr>
        <w:t xml:space="preserve">ar notecējumiem un </w:t>
      </w:r>
      <w:r w:rsidR="00A701E0" w:rsidRPr="00D34E56">
        <w:rPr>
          <w:rFonts w:ascii="Times New Roman" w:eastAsia="Calibri" w:hAnsi="Times New Roman" w:cs="Times New Roman"/>
          <w:sz w:val="24"/>
          <w:szCs w:val="24"/>
          <w:lang w:eastAsia="lv-LV"/>
        </w:rPr>
        <w:t>atjaunojams.</w:t>
      </w:r>
      <w:r w:rsidR="00444B8C" w:rsidRPr="00D34E56">
        <w:rPr>
          <w:rFonts w:ascii="Times New Roman" w:eastAsia="Calibri" w:hAnsi="Times New Roman" w:cs="Times New Roman"/>
          <w:sz w:val="24"/>
          <w:szCs w:val="24"/>
          <w:lang w:eastAsia="lv-LV"/>
        </w:rPr>
        <w:t xml:space="preserve"> </w:t>
      </w:r>
      <w:r w:rsidR="00A701E0" w:rsidRPr="00D34E56">
        <w:rPr>
          <w:rFonts w:ascii="Times New Roman" w:eastAsia="Calibri" w:hAnsi="Times New Roman" w:cs="Times New Roman"/>
          <w:sz w:val="24"/>
          <w:szCs w:val="24"/>
          <w:lang w:eastAsia="lv-LV"/>
        </w:rPr>
        <w:t>Ēkas apkure vēsturiski veikta ar malkas krāsnīm</w:t>
      </w:r>
      <w:r w:rsidR="00514F4C" w:rsidRPr="00D34E56">
        <w:rPr>
          <w:rFonts w:ascii="Times New Roman" w:eastAsia="Calibri" w:hAnsi="Times New Roman" w:cs="Times New Roman"/>
          <w:sz w:val="24"/>
          <w:szCs w:val="24"/>
          <w:lang w:eastAsia="lv-LV"/>
        </w:rPr>
        <w:t>, kuras pašlaik ir nolietojušās. M</w:t>
      </w:r>
      <w:r w:rsidR="00A701E0" w:rsidRPr="00D34E56">
        <w:rPr>
          <w:rFonts w:ascii="Times New Roman" w:eastAsia="Calibri" w:hAnsi="Times New Roman" w:cs="Times New Roman"/>
          <w:sz w:val="24"/>
          <w:szCs w:val="24"/>
          <w:lang w:eastAsia="lv-LV"/>
        </w:rPr>
        <w:t xml:space="preserve">ūrējums saplaisājis, iekšpuse izdegusi, kurtuves durtiņas deformējušās. </w:t>
      </w:r>
      <w:r w:rsidR="00444B8C" w:rsidRPr="00D34E56">
        <w:rPr>
          <w:rFonts w:ascii="Times New Roman" w:eastAsia="Calibri" w:hAnsi="Times New Roman" w:cs="Times New Roman"/>
          <w:sz w:val="24"/>
          <w:szCs w:val="24"/>
          <w:lang w:eastAsia="lv-LV"/>
        </w:rPr>
        <w:t xml:space="preserve">Otrā </w:t>
      </w:r>
      <w:r w:rsidR="00A701E0" w:rsidRPr="00D34E56">
        <w:rPr>
          <w:rFonts w:ascii="Times New Roman" w:eastAsia="Calibri" w:hAnsi="Times New Roman" w:cs="Times New Roman"/>
          <w:sz w:val="24"/>
          <w:szCs w:val="24"/>
          <w:lang w:eastAsia="lv-LV"/>
        </w:rPr>
        <w:t>stāvā atrodas divas krāsnis, kurām ir kultūrvēsturiska nozīme</w:t>
      </w:r>
      <w:r w:rsidR="00514F4C" w:rsidRPr="00D34E56">
        <w:rPr>
          <w:rFonts w:ascii="Times New Roman" w:eastAsia="Calibri" w:hAnsi="Times New Roman" w:cs="Times New Roman"/>
          <w:sz w:val="24"/>
          <w:szCs w:val="24"/>
          <w:lang w:eastAsia="lv-LV"/>
        </w:rPr>
        <w:t>,</w:t>
      </w:r>
      <w:r w:rsidR="00A701E0" w:rsidRPr="00D34E56">
        <w:rPr>
          <w:rFonts w:ascii="Times New Roman" w:eastAsia="Calibri" w:hAnsi="Times New Roman" w:cs="Times New Roman"/>
          <w:sz w:val="24"/>
          <w:szCs w:val="24"/>
          <w:lang w:eastAsia="lv-LV"/>
        </w:rPr>
        <w:t xml:space="preserve"> un ir sagl</w:t>
      </w:r>
      <w:r w:rsidR="00514F4C" w:rsidRPr="00D34E56">
        <w:rPr>
          <w:rFonts w:ascii="Times New Roman" w:eastAsia="Calibri" w:hAnsi="Times New Roman" w:cs="Times New Roman"/>
          <w:sz w:val="24"/>
          <w:szCs w:val="24"/>
          <w:lang w:eastAsia="lv-LV"/>
        </w:rPr>
        <w:t>abājamas. 2008.gadā ēkā ierīkota elektriskā apkure,</w:t>
      </w:r>
      <w:r w:rsidR="00A701E0" w:rsidRPr="00D34E56">
        <w:rPr>
          <w:rFonts w:ascii="Times New Roman" w:eastAsia="Calibri" w:hAnsi="Times New Roman" w:cs="Times New Roman"/>
          <w:sz w:val="24"/>
          <w:szCs w:val="24"/>
          <w:lang w:eastAsia="lv-LV"/>
        </w:rPr>
        <w:t xml:space="preserve"> uzstādot telpās elektriskos radiatorus. Daļa radiatoru ir demontēti.</w:t>
      </w:r>
      <w:r w:rsidR="00514F4C" w:rsidRPr="00D34E56">
        <w:rPr>
          <w:rFonts w:ascii="Times New Roman" w:eastAsia="Calibri" w:hAnsi="Times New Roman" w:cs="Times New Roman"/>
          <w:sz w:val="24"/>
          <w:szCs w:val="24"/>
          <w:lang w:eastAsia="lv-LV"/>
        </w:rPr>
        <w:t xml:space="preserve"> </w:t>
      </w:r>
      <w:r w:rsidR="00A701E0" w:rsidRPr="00D34E56">
        <w:rPr>
          <w:rFonts w:ascii="Times New Roman" w:eastAsia="Calibri" w:hAnsi="Times New Roman" w:cs="Times New Roman"/>
          <w:sz w:val="24"/>
          <w:szCs w:val="24"/>
          <w:lang w:eastAsia="lv-LV"/>
        </w:rPr>
        <w:t>Pastāv iespēja ēkā izbūvēt centrālapkuri ar pieslēgumu pilsētas siltuma tīkliem Kuldīgas vai Prāmju ielas pusē.</w:t>
      </w:r>
      <w:r w:rsidR="00444B8C" w:rsidRPr="00D34E56">
        <w:rPr>
          <w:rFonts w:ascii="Times New Roman" w:eastAsia="Calibri" w:hAnsi="Times New Roman" w:cs="Times New Roman"/>
          <w:sz w:val="24"/>
          <w:szCs w:val="24"/>
          <w:lang w:eastAsia="lv-LV"/>
        </w:rPr>
        <w:t xml:space="preserve"> </w:t>
      </w:r>
      <w:r w:rsidR="00A701E0" w:rsidRPr="00D34E56">
        <w:rPr>
          <w:rFonts w:ascii="Times New Roman" w:eastAsia="Calibri" w:hAnsi="Times New Roman" w:cs="Times New Roman"/>
          <w:sz w:val="24"/>
          <w:szCs w:val="24"/>
          <w:lang w:eastAsia="lv-LV"/>
        </w:rPr>
        <w:t>Ēkas ūdensapgāde pieslēgta pilsētas ūdensvadam no Prāmju ielas puses ar skaitītāja izvietojumu ielas</w:t>
      </w:r>
      <w:r w:rsidR="00514F4C" w:rsidRPr="00D34E56">
        <w:rPr>
          <w:rFonts w:ascii="Times New Roman" w:eastAsia="Calibri" w:hAnsi="Times New Roman" w:cs="Times New Roman"/>
          <w:sz w:val="24"/>
          <w:szCs w:val="24"/>
          <w:lang w:eastAsia="lv-LV"/>
        </w:rPr>
        <w:t xml:space="preserve"> akā. P</w:t>
      </w:r>
      <w:r w:rsidR="00A701E0" w:rsidRPr="00D34E56">
        <w:rPr>
          <w:rFonts w:ascii="Times New Roman" w:eastAsia="Calibri" w:hAnsi="Times New Roman" w:cs="Times New Roman"/>
          <w:sz w:val="24"/>
          <w:szCs w:val="24"/>
          <w:lang w:eastAsia="lv-LV"/>
        </w:rPr>
        <w:t>ašlai</w:t>
      </w:r>
      <w:r w:rsidR="00514F4C" w:rsidRPr="00D34E56">
        <w:rPr>
          <w:rFonts w:ascii="Times New Roman" w:eastAsia="Calibri" w:hAnsi="Times New Roman" w:cs="Times New Roman"/>
          <w:sz w:val="24"/>
          <w:szCs w:val="24"/>
          <w:lang w:eastAsia="lv-LV"/>
        </w:rPr>
        <w:t xml:space="preserve">k ēka </w:t>
      </w:r>
      <w:r w:rsidR="00444B8C" w:rsidRPr="00D34E56">
        <w:rPr>
          <w:rFonts w:ascii="Times New Roman" w:eastAsia="Calibri" w:hAnsi="Times New Roman" w:cs="Times New Roman"/>
          <w:sz w:val="24"/>
          <w:szCs w:val="24"/>
          <w:lang w:eastAsia="lv-LV"/>
        </w:rPr>
        <w:t xml:space="preserve">ir </w:t>
      </w:r>
      <w:r w:rsidR="00514F4C" w:rsidRPr="00D34E56">
        <w:rPr>
          <w:rFonts w:ascii="Times New Roman" w:eastAsia="Calibri" w:hAnsi="Times New Roman" w:cs="Times New Roman"/>
          <w:sz w:val="24"/>
          <w:szCs w:val="24"/>
          <w:lang w:eastAsia="lv-LV"/>
        </w:rPr>
        <w:t>atslēgta no ūdensapgādes.</w:t>
      </w:r>
      <w:r w:rsidR="00444B8C" w:rsidRPr="00D34E56">
        <w:rPr>
          <w:rFonts w:ascii="Times New Roman" w:eastAsia="Calibri" w:hAnsi="Times New Roman" w:cs="Times New Roman"/>
          <w:sz w:val="24"/>
          <w:szCs w:val="24"/>
          <w:lang w:eastAsia="lv-LV"/>
        </w:rPr>
        <w:t xml:space="preserve"> Otrā </w:t>
      </w:r>
      <w:r w:rsidR="00A701E0" w:rsidRPr="00D34E56">
        <w:rPr>
          <w:rFonts w:ascii="Times New Roman" w:eastAsia="Calibri" w:hAnsi="Times New Roman" w:cs="Times New Roman"/>
          <w:sz w:val="24"/>
          <w:szCs w:val="24"/>
          <w:lang w:eastAsia="lv-LV"/>
        </w:rPr>
        <w:t>stāv</w:t>
      </w:r>
      <w:r w:rsidR="00444B8C" w:rsidRPr="00D34E56">
        <w:rPr>
          <w:rFonts w:ascii="Times New Roman" w:eastAsia="Calibri" w:hAnsi="Times New Roman" w:cs="Times New Roman"/>
          <w:sz w:val="24"/>
          <w:szCs w:val="24"/>
          <w:lang w:eastAsia="lv-LV"/>
        </w:rPr>
        <w:t>a</w:t>
      </w:r>
      <w:r w:rsidR="00A701E0" w:rsidRPr="00D34E56">
        <w:rPr>
          <w:rFonts w:ascii="Times New Roman" w:eastAsia="Calibri" w:hAnsi="Times New Roman" w:cs="Times New Roman"/>
          <w:sz w:val="24"/>
          <w:szCs w:val="24"/>
          <w:lang w:eastAsia="lv-LV"/>
        </w:rPr>
        <w:t xml:space="preserve"> tualete ir labā vizuālā un tehniskā stāvoklī, </w:t>
      </w:r>
      <w:r w:rsidR="00444B8C" w:rsidRPr="00D34E56">
        <w:rPr>
          <w:rFonts w:ascii="Times New Roman" w:eastAsia="Calibri" w:hAnsi="Times New Roman" w:cs="Times New Roman"/>
          <w:sz w:val="24"/>
          <w:szCs w:val="24"/>
          <w:lang w:eastAsia="lv-LV"/>
        </w:rPr>
        <w:t xml:space="preserve">bet pirmā </w:t>
      </w:r>
      <w:r w:rsidR="00A701E0" w:rsidRPr="00D34E56">
        <w:rPr>
          <w:rFonts w:ascii="Times New Roman" w:eastAsia="Calibri" w:hAnsi="Times New Roman" w:cs="Times New Roman"/>
          <w:sz w:val="24"/>
          <w:szCs w:val="24"/>
          <w:lang w:eastAsia="lv-LV"/>
        </w:rPr>
        <w:t>stāv</w:t>
      </w:r>
      <w:r w:rsidR="00444B8C" w:rsidRPr="00D34E56">
        <w:rPr>
          <w:rFonts w:ascii="Times New Roman" w:eastAsia="Calibri" w:hAnsi="Times New Roman" w:cs="Times New Roman"/>
          <w:sz w:val="24"/>
          <w:szCs w:val="24"/>
          <w:lang w:eastAsia="lv-LV"/>
        </w:rPr>
        <w:t>a</w:t>
      </w:r>
      <w:r w:rsidR="00A701E0" w:rsidRPr="00D34E56">
        <w:rPr>
          <w:rFonts w:ascii="Times New Roman" w:eastAsia="Calibri" w:hAnsi="Times New Roman" w:cs="Times New Roman"/>
          <w:sz w:val="24"/>
          <w:szCs w:val="24"/>
          <w:lang w:eastAsia="lv-LV"/>
        </w:rPr>
        <w:t xml:space="preserve"> tualete</w:t>
      </w:r>
      <w:r w:rsidR="00514F4C" w:rsidRPr="00D34E56">
        <w:rPr>
          <w:rFonts w:ascii="Times New Roman" w:eastAsia="Calibri" w:hAnsi="Times New Roman" w:cs="Times New Roman"/>
          <w:sz w:val="24"/>
          <w:szCs w:val="24"/>
          <w:lang w:eastAsia="lv-LV"/>
        </w:rPr>
        <w:t xml:space="preserve"> ir</w:t>
      </w:r>
      <w:r w:rsidR="00A701E0" w:rsidRPr="00D34E56">
        <w:rPr>
          <w:rFonts w:ascii="Times New Roman" w:eastAsia="Calibri" w:hAnsi="Times New Roman" w:cs="Times New Roman"/>
          <w:sz w:val="24"/>
          <w:szCs w:val="24"/>
          <w:lang w:eastAsia="lv-LV"/>
        </w:rPr>
        <w:t xml:space="preserve"> neapmierinošā stāvoklī. Telpu ventilācija notiek caur logiem, mehāniskā </w:t>
      </w:r>
      <w:r w:rsidR="00514F4C" w:rsidRPr="00D34E56">
        <w:rPr>
          <w:rFonts w:ascii="Times New Roman" w:eastAsia="Calibri" w:hAnsi="Times New Roman" w:cs="Times New Roman"/>
          <w:sz w:val="24"/>
          <w:szCs w:val="24"/>
          <w:lang w:eastAsia="lv-LV"/>
        </w:rPr>
        <w:t xml:space="preserve">ventilācija </w:t>
      </w:r>
      <w:r w:rsidR="00A701E0" w:rsidRPr="00D34E56">
        <w:rPr>
          <w:rFonts w:ascii="Times New Roman" w:eastAsia="Calibri" w:hAnsi="Times New Roman" w:cs="Times New Roman"/>
          <w:sz w:val="24"/>
          <w:szCs w:val="24"/>
          <w:lang w:eastAsia="lv-LV"/>
        </w:rPr>
        <w:t xml:space="preserve">nav izbūvēta. </w:t>
      </w:r>
    </w:p>
    <w:p w14:paraId="7F156611" w14:textId="77777777" w:rsidR="00B06471" w:rsidRPr="00D34E56" w:rsidRDefault="00B06471" w:rsidP="00847251">
      <w:pPr>
        <w:spacing w:after="0" w:line="240" w:lineRule="auto"/>
        <w:ind w:left="30" w:firstLine="679"/>
        <w:jc w:val="both"/>
        <w:rPr>
          <w:rFonts w:ascii="Times New Roman" w:eastAsia="Calibri" w:hAnsi="Times New Roman" w:cs="Times New Roman"/>
          <w:sz w:val="24"/>
          <w:szCs w:val="24"/>
          <w:lang w:eastAsia="lv-LV"/>
        </w:rPr>
      </w:pPr>
    </w:p>
    <w:p w14:paraId="72F984DF" w14:textId="77777777" w:rsidR="000C2CF7" w:rsidRDefault="00166F20" w:rsidP="000C2CF7">
      <w:pPr>
        <w:pStyle w:val="naiskr"/>
        <w:tabs>
          <w:tab w:val="left" w:pos="141"/>
        </w:tabs>
        <w:spacing w:before="0" w:after="0"/>
        <w:ind w:right="158" w:firstLine="709"/>
        <w:jc w:val="both"/>
      </w:pPr>
      <w:r w:rsidRPr="00D34E56">
        <w:t>VID Ventspils nodaļa ir sagatavojusi administratīvās ēkas (būv</w:t>
      </w:r>
      <w:r w:rsidR="00084AD3">
        <w:t>es kadastra apzīmējums 2700 004</w:t>
      </w:r>
      <w:r w:rsidRPr="00D34E56">
        <w:t xml:space="preserve"> 1</w:t>
      </w:r>
      <w:r w:rsidR="00084AD3">
        <w:t>10</w:t>
      </w:r>
      <w:r w:rsidRPr="00D34E56">
        <w:t>6 001) telpu pārbūves plānus ar iespēju izvi</w:t>
      </w:r>
      <w:r w:rsidR="00EE1327">
        <w:t xml:space="preserve">etot ēkā VID Ventspils nodaļu. </w:t>
      </w:r>
    </w:p>
    <w:p w14:paraId="57C3B8EC" w14:textId="6B73638B" w:rsidR="00364399" w:rsidRDefault="00CC2AC3" w:rsidP="00364399">
      <w:pPr>
        <w:pStyle w:val="naiskr"/>
        <w:tabs>
          <w:tab w:val="left" w:pos="141"/>
        </w:tabs>
        <w:spacing w:before="0" w:after="0"/>
        <w:ind w:right="158" w:firstLine="709"/>
        <w:jc w:val="both"/>
      </w:pPr>
      <w:r w:rsidRPr="006903D1">
        <w:t xml:space="preserve">Telpu pārbūves plānus iespējams uzsākt, ja </w:t>
      </w:r>
      <w:r w:rsidR="0028419F" w:rsidRPr="006903D1">
        <w:t>Ministru kabinetā likumprojekta „Par valsts budžetu 201</w:t>
      </w:r>
      <w:r w:rsidR="00325C08" w:rsidRPr="006903D1">
        <w:t>7</w:t>
      </w:r>
      <w:r w:rsidR="0028419F" w:rsidRPr="006903D1">
        <w:t>.gadam” un likumprojekta „Par vidēja termiņa budžeta ietvaru 201</w:t>
      </w:r>
      <w:r w:rsidR="00325C08" w:rsidRPr="006903D1">
        <w:t>7</w:t>
      </w:r>
      <w:r w:rsidR="0028419F" w:rsidRPr="006903D1">
        <w:t>., 201</w:t>
      </w:r>
      <w:r w:rsidR="00325C08" w:rsidRPr="006903D1">
        <w:t>8</w:t>
      </w:r>
      <w:r w:rsidR="0028419F" w:rsidRPr="006903D1">
        <w:t>. un 201</w:t>
      </w:r>
      <w:r w:rsidR="00325C08" w:rsidRPr="006903D1">
        <w:t>9</w:t>
      </w:r>
      <w:r w:rsidR="0028419F" w:rsidRPr="006903D1">
        <w:t>.gadam” sagatavošanas procesā tiek atbalstīta Finanšu ministrijas (</w:t>
      </w:r>
      <w:r w:rsidR="00DC20E4" w:rsidRPr="006903D1">
        <w:t>VID</w:t>
      </w:r>
      <w:r w:rsidR="0028419F" w:rsidRPr="006903D1">
        <w:t xml:space="preserve">) jaunā politikas iniciatīva </w:t>
      </w:r>
      <w:r w:rsidR="00DC20E4" w:rsidRPr="006903D1">
        <w:t xml:space="preserve">un </w:t>
      </w:r>
      <w:r w:rsidR="0028419F" w:rsidRPr="006903D1">
        <w:t>finansējuma piešķiršan</w:t>
      </w:r>
      <w:r w:rsidR="00DC20E4" w:rsidRPr="006903D1">
        <w:t>a</w:t>
      </w:r>
      <w:r w:rsidR="0028419F" w:rsidRPr="006903D1">
        <w:t xml:space="preserve"> </w:t>
      </w:r>
      <w:r w:rsidR="00DC20E4" w:rsidRPr="006903D1">
        <w:t xml:space="preserve">ilgtermiņa saistībām </w:t>
      </w:r>
      <w:r w:rsidR="00692867" w:rsidRPr="006903D1">
        <w:t xml:space="preserve">nekustamā īpašuma </w:t>
      </w:r>
      <w:r w:rsidR="00DC20E4" w:rsidRPr="006903D1">
        <w:t>Kuldīgas ielā 2, Ventspilī, nomas maksas izdevumu segšanai VNĪ</w:t>
      </w:r>
      <w:r w:rsidRPr="006903D1">
        <w:t>.</w:t>
      </w:r>
      <w:r w:rsidR="0028419F" w:rsidRPr="006903D1">
        <w:t xml:space="preserve"> </w:t>
      </w:r>
      <w:r w:rsidRPr="006903D1">
        <w:t>Šo</w:t>
      </w:r>
      <w:r w:rsidR="0028419F" w:rsidRPr="006903D1">
        <w:t xml:space="preserve">brīd </w:t>
      </w:r>
      <w:r w:rsidRPr="006903D1">
        <w:t xml:space="preserve">saskaņā ar sagatavoto </w:t>
      </w:r>
      <w:r w:rsidR="00BD2773" w:rsidRPr="006903D1">
        <w:t>provizorisko</w:t>
      </w:r>
      <w:r w:rsidR="0028419F" w:rsidRPr="006903D1">
        <w:t xml:space="preserve"> </w:t>
      </w:r>
      <w:r w:rsidRPr="006903D1">
        <w:t xml:space="preserve">būvniecības </w:t>
      </w:r>
      <w:r w:rsidR="0028419F" w:rsidRPr="006903D1">
        <w:t>darbu izpildes laika grafik</w:t>
      </w:r>
      <w:r w:rsidR="00DC20E4" w:rsidRPr="006903D1">
        <w:t>u</w:t>
      </w:r>
      <w:r w:rsidR="00BD2773" w:rsidRPr="006903D1">
        <w:t xml:space="preserve"> (sk</w:t>
      </w:r>
      <w:r w:rsidR="001A3D0F" w:rsidRPr="006903D1">
        <w:t>.</w:t>
      </w:r>
      <w:r w:rsidR="006903D1">
        <w:t> </w:t>
      </w:r>
      <w:r w:rsidR="00BD2773" w:rsidRPr="006903D1">
        <w:t>1.tabulu)</w:t>
      </w:r>
      <w:r w:rsidRPr="006903D1">
        <w:t xml:space="preserve"> </w:t>
      </w:r>
      <w:r w:rsidR="0028419F" w:rsidRPr="006903D1">
        <w:t xml:space="preserve">pirmsprojekta </w:t>
      </w:r>
      <w:r w:rsidR="0045551C" w:rsidRPr="006903D1">
        <w:t>sagatavošanas</w:t>
      </w:r>
      <w:r w:rsidR="0028419F" w:rsidRPr="006903D1">
        <w:t xml:space="preserve"> darb</w:t>
      </w:r>
      <w:r w:rsidRPr="006903D1">
        <w:t>us</w:t>
      </w:r>
      <w:r w:rsidR="0028419F" w:rsidRPr="006903D1">
        <w:t xml:space="preserve"> </w:t>
      </w:r>
      <w:r w:rsidR="00325C08" w:rsidRPr="006903D1">
        <w:t xml:space="preserve">jāuzsāk </w:t>
      </w:r>
      <w:r w:rsidR="00DC20E4" w:rsidRPr="006903D1">
        <w:t>201</w:t>
      </w:r>
      <w:r w:rsidR="00325C08" w:rsidRPr="006903D1">
        <w:t>6</w:t>
      </w:r>
      <w:r w:rsidR="00DC20E4" w:rsidRPr="006903D1">
        <w:t>.gad</w:t>
      </w:r>
      <w:r w:rsidR="00D02293" w:rsidRPr="006903D1">
        <w:t>ā.</w:t>
      </w:r>
      <w:r w:rsidR="00DC20E4" w:rsidRPr="006903D1">
        <w:t xml:space="preserve"> </w:t>
      </w:r>
      <w:r w:rsidR="0028419F" w:rsidRPr="006903D1">
        <w:t>Provizorisk</w:t>
      </w:r>
      <w:r w:rsidR="00DC20E4" w:rsidRPr="006903D1">
        <w:t>o</w:t>
      </w:r>
      <w:r w:rsidR="0028419F" w:rsidRPr="006903D1">
        <w:t xml:space="preserve"> būvprojekta izstrādes</w:t>
      </w:r>
      <w:r w:rsidR="00D02293" w:rsidRPr="006903D1">
        <w:t xml:space="preserve">, ekspertīzes </w:t>
      </w:r>
      <w:r w:rsidR="00692867" w:rsidRPr="006903D1">
        <w:t xml:space="preserve">un </w:t>
      </w:r>
      <w:r w:rsidR="0028419F" w:rsidRPr="006903D1">
        <w:t>saskaņošanas</w:t>
      </w:r>
      <w:r w:rsidR="00DC20E4" w:rsidRPr="006903D1">
        <w:t xml:space="preserve"> termiņu varētu plānot </w:t>
      </w:r>
      <w:r w:rsidR="00692867" w:rsidRPr="006903D1">
        <w:t xml:space="preserve">līdz </w:t>
      </w:r>
      <w:r w:rsidR="00DC20E4" w:rsidRPr="006903D1">
        <w:t>201</w:t>
      </w:r>
      <w:r w:rsidR="00325C08" w:rsidRPr="006903D1">
        <w:t>7</w:t>
      </w:r>
      <w:r w:rsidR="00DC20E4" w:rsidRPr="006903D1">
        <w:t xml:space="preserve">.gada </w:t>
      </w:r>
      <w:r w:rsidR="001F529D" w:rsidRPr="006903D1">
        <w:t>3</w:t>
      </w:r>
      <w:r w:rsidR="00D02293" w:rsidRPr="006903D1">
        <w:t>1.</w:t>
      </w:r>
      <w:r w:rsidR="001F529D" w:rsidRPr="006903D1">
        <w:t>okto</w:t>
      </w:r>
      <w:r w:rsidR="00D02293" w:rsidRPr="006903D1">
        <w:t>brim</w:t>
      </w:r>
      <w:r w:rsidR="00DC20E4" w:rsidRPr="006903D1">
        <w:t xml:space="preserve">, bet </w:t>
      </w:r>
      <w:r w:rsidR="0028419F" w:rsidRPr="006903D1">
        <w:t>būvdarbu pabeigšanas termiņ</w:t>
      </w:r>
      <w:r w:rsidR="00DC20E4" w:rsidRPr="006903D1">
        <w:t>u</w:t>
      </w:r>
      <w:r w:rsidR="0028419F" w:rsidRPr="006903D1">
        <w:t xml:space="preserve"> </w:t>
      </w:r>
      <w:r w:rsidR="00692867" w:rsidRPr="006903D1">
        <w:t xml:space="preserve">līdz </w:t>
      </w:r>
      <w:r w:rsidR="0028419F" w:rsidRPr="006903D1">
        <w:t>201</w:t>
      </w:r>
      <w:r w:rsidR="00325C08" w:rsidRPr="006903D1">
        <w:t>9</w:t>
      </w:r>
      <w:r w:rsidR="0028419F" w:rsidRPr="006903D1">
        <w:t xml:space="preserve">.gada </w:t>
      </w:r>
      <w:r w:rsidR="001F529D" w:rsidRPr="006903D1">
        <w:t>31.maijam</w:t>
      </w:r>
      <w:r w:rsidR="0028419F" w:rsidRPr="006903D1">
        <w:t>.</w:t>
      </w:r>
    </w:p>
    <w:p w14:paraId="60DBE810" w14:textId="77777777" w:rsidR="00DB03ED" w:rsidRPr="006903D1" w:rsidRDefault="00DB03ED" w:rsidP="00840D9C">
      <w:pPr>
        <w:pStyle w:val="naiskr"/>
        <w:tabs>
          <w:tab w:val="left" w:pos="141"/>
        </w:tabs>
        <w:spacing w:before="0" w:after="0"/>
        <w:ind w:right="159" w:firstLine="709"/>
        <w:jc w:val="both"/>
      </w:pPr>
    </w:p>
    <w:p w14:paraId="5536A97D" w14:textId="77777777" w:rsidR="0045551C" w:rsidRPr="00721E07" w:rsidRDefault="0045551C" w:rsidP="00840D9C">
      <w:pPr>
        <w:spacing w:after="120" w:line="240" w:lineRule="auto"/>
        <w:jc w:val="both"/>
        <w:rPr>
          <w:rFonts w:ascii="Times New Roman" w:hAnsi="Times New Roman" w:cs="Times New Roman"/>
          <w:b/>
          <w:sz w:val="24"/>
          <w:szCs w:val="24"/>
        </w:rPr>
      </w:pPr>
      <w:r w:rsidRPr="00721E07">
        <w:rPr>
          <w:rFonts w:ascii="Times New Roman" w:hAnsi="Times New Roman" w:cs="Times New Roman"/>
          <w:b/>
          <w:sz w:val="24"/>
          <w:szCs w:val="24"/>
        </w:rPr>
        <w:t xml:space="preserve">1.tabula. </w:t>
      </w:r>
      <w:r w:rsidR="00BD2773" w:rsidRPr="00721E07">
        <w:rPr>
          <w:rFonts w:ascii="Times New Roman" w:hAnsi="Times New Roman" w:cs="Times New Roman"/>
          <w:b/>
          <w:sz w:val="24"/>
          <w:szCs w:val="24"/>
        </w:rPr>
        <w:t>P</w:t>
      </w:r>
      <w:r w:rsidRPr="00721E07">
        <w:rPr>
          <w:rFonts w:ascii="Times New Roman" w:hAnsi="Times New Roman" w:cs="Times New Roman"/>
          <w:b/>
          <w:sz w:val="24"/>
          <w:szCs w:val="24"/>
        </w:rPr>
        <w:t>rovizoriskais būvniecības darbu izpildes laika grafiks</w:t>
      </w:r>
    </w:p>
    <w:tbl>
      <w:tblPr>
        <w:tblW w:w="893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0"/>
        <w:gridCol w:w="4010"/>
        <w:gridCol w:w="1417"/>
        <w:gridCol w:w="1418"/>
        <w:gridCol w:w="1281"/>
      </w:tblGrid>
      <w:tr w:rsidR="008871CD" w:rsidRPr="00721E07" w14:paraId="6CEED39A" w14:textId="77777777" w:rsidTr="00CC2AC3">
        <w:trPr>
          <w:trHeight w:val="460"/>
          <w:jc w:val="center"/>
        </w:trPr>
        <w:tc>
          <w:tcPr>
            <w:tcW w:w="810" w:type="dxa"/>
            <w:shd w:val="clear" w:color="auto" w:fill="F2F2F2" w:themeFill="background1" w:themeFillShade="F2"/>
            <w:vAlign w:val="center"/>
            <w:hideMark/>
          </w:tcPr>
          <w:p w14:paraId="2D10FD2C" w14:textId="77777777" w:rsidR="008871CD" w:rsidRPr="00721E07" w:rsidRDefault="008871CD" w:rsidP="008871CD">
            <w:pPr>
              <w:spacing w:after="0" w:line="240" w:lineRule="auto"/>
              <w:jc w:val="center"/>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Nr.</w:t>
            </w:r>
            <w:r w:rsidRPr="00721E07">
              <w:rPr>
                <w:rFonts w:ascii="Times New Roman" w:eastAsia="Times New Roman" w:hAnsi="Times New Roman" w:cs="Times New Roman"/>
                <w:bCs/>
                <w:sz w:val="16"/>
                <w:szCs w:val="16"/>
                <w:lang w:eastAsia="lv-LV"/>
              </w:rPr>
              <w:br/>
              <w:t>p.k.</w:t>
            </w:r>
          </w:p>
        </w:tc>
        <w:tc>
          <w:tcPr>
            <w:tcW w:w="4010" w:type="dxa"/>
            <w:shd w:val="clear" w:color="auto" w:fill="F2F2F2" w:themeFill="background1" w:themeFillShade="F2"/>
            <w:vAlign w:val="center"/>
            <w:hideMark/>
          </w:tcPr>
          <w:p w14:paraId="7FCD55E0" w14:textId="77777777" w:rsidR="008871CD" w:rsidRPr="00721E07" w:rsidRDefault="008871CD" w:rsidP="008871CD">
            <w:pPr>
              <w:spacing w:after="0" w:line="240" w:lineRule="auto"/>
              <w:jc w:val="center"/>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Darbība</w:t>
            </w:r>
          </w:p>
        </w:tc>
        <w:tc>
          <w:tcPr>
            <w:tcW w:w="1417" w:type="dxa"/>
            <w:shd w:val="clear" w:color="auto" w:fill="F2F2F2" w:themeFill="background1" w:themeFillShade="F2"/>
            <w:vAlign w:val="center"/>
            <w:hideMark/>
          </w:tcPr>
          <w:p w14:paraId="03646ADD" w14:textId="2F0CDF49" w:rsidR="008871CD" w:rsidRPr="00721E07" w:rsidRDefault="008871CD" w:rsidP="000820FF">
            <w:pPr>
              <w:spacing w:after="0" w:line="240" w:lineRule="auto"/>
              <w:jc w:val="center"/>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Uzsākts</w:t>
            </w:r>
            <w:r w:rsidRPr="00721E07">
              <w:rPr>
                <w:rFonts w:ascii="Times New Roman" w:eastAsia="Times New Roman" w:hAnsi="Times New Roman" w:cs="Times New Roman"/>
                <w:bCs/>
                <w:sz w:val="16"/>
                <w:szCs w:val="16"/>
                <w:lang w:eastAsia="lv-LV"/>
              </w:rPr>
              <w:br/>
            </w:r>
            <w:r w:rsidR="0045551C" w:rsidRPr="00721E07">
              <w:rPr>
                <w:rFonts w:ascii="Times New Roman" w:eastAsia="Times New Roman" w:hAnsi="Times New Roman" w:cs="Times New Roman"/>
                <w:bCs/>
                <w:sz w:val="16"/>
                <w:szCs w:val="16"/>
                <w:lang w:eastAsia="lv-LV"/>
              </w:rPr>
              <w:t>(</w:t>
            </w:r>
            <w:r w:rsidR="000820FF">
              <w:rPr>
                <w:rFonts w:ascii="Times New Roman" w:eastAsia="Times New Roman" w:hAnsi="Times New Roman" w:cs="Times New Roman"/>
                <w:bCs/>
                <w:sz w:val="16"/>
                <w:szCs w:val="16"/>
                <w:lang w:eastAsia="lv-LV"/>
              </w:rPr>
              <w:t>dd.</w:t>
            </w:r>
            <w:r w:rsidR="0045551C" w:rsidRPr="00721E07">
              <w:rPr>
                <w:rFonts w:ascii="Times New Roman" w:eastAsia="Times New Roman" w:hAnsi="Times New Roman" w:cs="Times New Roman"/>
                <w:bCs/>
                <w:sz w:val="16"/>
                <w:szCs w:val="16"/>
                <w:lang w:eastAsia="lv-LV"/>
              </w:rPr>
              <w:t>mm.</w:t>
            </w:r>
            <w:r w:rsidR="000820FF">
              <w:rPr>
                <w:rFonts w:ascii="Times New Roman" w:eastAsia="Times New Roman" w:hAnsi="Times New Roman" w:cs="Times New Roman"/>
                <w:bCs/>
                <w:sz w:val="16"/>
                <w:szCs w:val="16"/>
                <w:lang w:eastAsia="lv-LV"/>
              </w:rPr>
              <w:t>gggg</w:t>
            </w:r>
            <w:r w:rsidR="0045551C" w:rsidRPr="00721E07">
              <w:rPr>
                <w:rFonts w:ascii="Times New Roman" w:eastAsia="Times New Roman" w:hAnsi="Times New Roman" w:cs="Times New Roman"/>
                <w:bCs/>
                <w:sz w:val="16"/>
                <w:szCs w:val="16"/>
                <w:lang w:eastAsia="lv-LV"/>
              </w:rPr>
              <w:t>.)</w:t>
            </w:r>
          </w:p>
        </w:tc>
        <w:tc>
          <w:tcPr>
            <w:tcW w:w="1418" w:type="dxa"/>
            <w:shd w:val="clear" w:color="auto" w:fill="F2F2F2" w:themeFill="background1" w:themeFillShade="F2"/>
            <w:vAlign w:val="center"/>
            <w:hideMark/>
          </w:tcPr>
          <w:p w14:paraId="3E6456C2" w14:textId="4C0644C7" w:rsidR="008871CD" w:rsidRPr="00721E07" w:rsidRDefault="008871CD" w:rsidP="000820FF">
            <w:pPr>
              <w:spacing w:after="0" w:line="240" w:lineRule="auto"/>
              <w:jc w:val="center"/>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Pabeigts</w:t>
            </w:r>
            <w:r w:rsidRPr="00721E07">
              <w:rPr>
                <w:rFonts w:ascii="Times New Roman" w:eastAsia="Times New Roman" w:hAnsi="Times New Roman" w:cs="Times New Roman"/>
                <w:bCs/>
                <w:sz w:val="16"/>
                <w:szCs w:val="16"/>
                <w:lang w:eastAsia="lv-LV"/>
              </w:rPr>
              <w:br/>
              <w:t>(</w:t>
            </w:r>
            <w:r w:rsidR="000820FF">
              <w:rPr>
                <w:rFonts w:ascii="Times New Roman" w:eastAsia="Times New Roman" w:hAnsi="Times New Roman" w:cs="Times New Roman"/>
                <w:bCs/>
                <w:sz w:val="16"/>
                <w:szCs w:val="16"/>
                <w:lang w:eastAsia="lv-LV"/>
              </w:rPr>
              <w:t>dd.</w:t>
            </w:r>
            <w:r w:rsidRPr="00721E07">
              <w:rPr>
                <w:rFonts w:ascii="Times New Roman" w:eastAsia="Times New Roman" w:hAnsi="Times New Roman" w:cs="Times New Roman"/>
                <w:bCs/>
                <w:sz w:val="16"/>
                <w:szCs w:val="16"/>
                <w:lang w:eastAsia="lv-LV"/>
              </w:rPr>
              <w:t>mm.</w:t>
            </w:r>
            <w:r w:rsidR="000820FF">
              <w:rPr>
                <w:rFonts w:ascii="Times New Roman" w:eastAsia="Times New Roman" w:hAnsi="Times New Roman" w:cs="Times New Roman"/>
                <w:bCs/>
                <w:sz w:val="16"/>
                <w:szCs w:val="16"/>
                <w:lang w:eastAsia="lv-LV"/>
              </w:rPr>
              <w:t>gggg</w:t>
            </w:r>
            <w:r w:rsidR="0045551C" w:rsidRPr="00721E07">
              <w:rPr>
                <w:rFonts w:ascii="Times New Roman" w:eastAsia="Times New Roman" w:hAnsi="Times New Roman" w:cs="Times New Roman"/>
                <w:bCs/>
                <w:sz w:val="16"/>
                <w:szCs w:val="16"/>
                <w:lang w:eastAsia="lv-LV"/>
              </w:rPr>
              <w:t>.)</w:t>
            </w:r>
          </w:p>
        </w:tc>
        <w:tc>
          <w:tcPr>
            <w:tcW w:w="1281" w:type="dxa"/>
            <w:shd w:val="clear" w:color="auto" w:fill="F2F2F2" w:themeFill="background1" w:themeFillShade="F2"/>
            <w:vAlign w:val="center"/>
            <w:hideMark/>
          </w:tcPr>
          <w:p w14:paraId="2A612C57" w14:textId="77777777" w:rsidR="008871CD" w:rsidRPr="00721E07" w:rsidRDefault="008871CD" w:rsidP="008871CD">
            <w:pPr>
              <w:spacing w:after="0" w:line="240" w:lineRule="auto"/>
              <w:jc w:val="center"/>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Vidējais mēnešu skaits</w:t>
            </w:r>
          </w:p>
        </w:tc>
      </w:tr>
      <w:tr w:rsidR="00864DE7" w:rsidRPr="00864DE7" w14:paraId="5C1EE1F9" w14:textId="77777777" w:rsidTr="00864DE7">
        <w:trPr>
          <w:trHeight w:val="221"/>
          <w:jc w:val="center"/>
        </w:trPr>
        <w:tc>
          <w:tcPr>
            <w:tcW w:w="810" w:type="dxa"/>
            <w:shd w:val="clear" w:color="000000" w:fill="FFFFFF"/>
            <w:vAlign w:val="center"/>
            <w:hideMark/>
          </w:tcPr>
          <w:p w14:paraId="2138BE86" w14:textId="77777777" w:rsidR="00864DE7" w:rsidRPr="00864DE7" w:rsidRDefault="00864DE7" w:rsidP="008871CD">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1.</w:t>
            </w:r>
          </w:p>
        </w:tc>
        <w:tc>
          <w:tcPr>
            <w:tcW w:w="4010" w:type="dxa"/>
            <w:shd w:val="clear" w:color="000000" w:fill="FFFFFF"/>
            <w:vAlign w:val="center"/>
            <w:hideMark/>
          </w:tcPr>
          <w:p w14:paraId="18F1CCA9" w14:textId="77777777" w:rsidR="00864DE7" w:rsidRPr="00864DE7" w:rsidRDefault="00864DE7" w:rsidP="008871CD">
            <w:pPr>
              <w:spacing w:after="0" w:line="240" w:lineRule="auto"/>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Pirmsprojekta sagatavošanas darbi</w:t>
            </w:r>
          </w:p>
        </w:tc>
        <w:tc>
          <w:tcPr>
            <w:tcW w:w="1417" w:type="dxa"/>
            <w:shd w:val="clear" w:color="000000" w:fill="FFFFFF"/>
            <w:vAlign w:val="center"/>
            <w:hideMark/>
          </w:tcPr>
          <w:p w14:paraId="0F4528CB"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01.04.2016</w:t>
            </w:r>
          </w:p>
        </w:tc>
        <w:tc>
          <w:tcPr>
            <w:tcW w:w="1418" w:type="dxa"/>
            <w:shd w:val="clear" w:color="000000" w:fill="FFFFFF"/>
            <w:vAlign w:val="center"/>
            <w:hideMark/>
          </w:tcPr>
          <w:p w14:paraId="6B3AAC77"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31.07.2016</w:t>
            </w:r>
          </w:p>
        </w:tc>
        <w:tc>
          <w:tcPr>
            <w:tcW w:w="1281" w:type="dxa"/>
            <w:shd w:val="clear" w:color="000000" w:fill="FFFFFF"/>
            <w:vAlign w:val="center"/>
            <w:hideMark/>
          </w:tcPr>
          <w:p w14:paraId="44F73E53"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4</w:t>
            </w:r>
          </w:p>
        </w:tc>
      </w:tr>
      <w:tr w:rsidR="00864DE7" w:rsidRPr="00864DE7" w14:paraId="0E3DDD20" w14:textId="77777777" w:rsidTr="00864DE7">
        <w:trPr>
          <w:trHeight w:val="200"/>
          <w:jc w:val="center"/>
        </w:trPr>
        <w:tc>
          <w:tcPr>
            <w:tcW w:w="810" w:type="dxa"/>
            <w:shd w:val="clear" w:color="000000" w:fill="FFFFFF"/>
            <w:vAlign w:val="center"/>
            <w:hideMark/>
          </w:tcPr>
          <w:p w14:paraId="27CFF5E9" w14:textId="77777777" w:rsidR="00864DE7" w:rsidRPr="00864DE7" w:rsidRDefault="00864DE7" w:rsidP="008871CD">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2.</w:t>
            </w:r>
          </w:p>
        </w:tc>
        <w:tc>
          <w:tcPr>
            <w:tcW w:w="4010" w:type="dxa"/>
            <w:shd w:val="clear" w:color="000000" w:fill="FFFFFF"/>
            <w:vAlign w:val="center"/>
            <w:hideMark/>
          </w:tcPr>
          <w:p w14:paraId="7019A70F" w14:textId="73ADA9A6" w:rsidR="00864DE7" w:rsidRPr="00864DE7" w:rsidRDefault="00864DE7" w:rsidP="000B6970">
            <w:pPr>
              <w:spacing w:after="0" w:line="240" w:lineRule="auto"/>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 xml:space="preserve">Iepirkuma procedūra </w:t>
            </w:r>
            <w:r w:rsidR="000B6970">
              <w:rPr>
                <w:rFonts w:ascii="Times New Roman" w:eastAsia="Times New Roman" w:hAnsi="Times New Roman" w:cs="Times New Roman"/>
                <w:sz w:val="16"/>
                <w:szCs w:val="16"/>
                <w:lang w:eastAsia="lv-LV"/>
              </w:rPr>
              <w:t>būv</w:t>
            </w:r>
            <w:r w:rsidRPr="00864DE7">
              <w:rPr>
                <w:rFonts w:ascii="Times New Roman" w:eastAsia="Times New Roman" w:hAnsi="Times New Roman" w:cs="Times New Roman"/>
                <w:sz w:val="16"/>
                <w:szCs w:val="16"/>
                <w:lang w:eastAsia="lv-LV"/>
              </w:rPr>
              <w:t>projekta izstrādei</w:t>
            </w:r>
          </w:p>
        </w:tc>
        <w:tc>
          <w:tcPr>
            <w:tcW w:w="1417" w:type="dxa"/>
            <w:shd w:val="clear" w:color="000000" w:fill="FFFFFF"/>
            <w:vAlign w:val="center"/>
            <w:hideMark/>
          </w:tcPr>
          <w:p w14:paraId="232AEC3A"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01.08.2016</w:t>
            </w:r>
          </w:p>
        </w:tc>
        <w:tc>
          <w:tcPr>
            <w:tcW w:w="1418" w:type="dxa"/>
            <w:shd w:val="clear" w:color="000000" w:fill="FFFFFF"/>
            <w:vAlign w:val="center"/>
            <w:hideMark/>
          </w:tcPr>
          <w:p w14:paraId="40B537A0"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31.01.2017</w:t>
            </w:r>
          </w:p>
        </w:tc>
        <w:tc>
          <w:tcPr>
            <w:tcW w:w="1281" w:type="dxa"/>
            <w:shd w:val="clear" w:color="000000" w:fill="FFFFFF"/>
            <w:vAlign w:val="center"/>
            <w:hideMark/>
          </w:tcPr>
          <w:p w14:paraId="0323C4B4"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6</w:t>
            </w:r>
          </w:p>
        </w:tc>
      </w:tr>
      <w:tr w:rsidR="00864DE7" w:rsidRPr="00864DE7" w14:paraId="0155BCF8" w14:textId="77777777" w:rsidTr="00864DE7">
        <w:trPr>
          <w:trHeight w:val="257"/>
          <w:jc w:val="center"/>
        </w:trPr>
        <w:tc>
          <w:tcPr>
            <w:tcW w:w="810" w:type="dxa"/>
            <w:shd w:val="clear" w:color="000000" w:fill="FFFFFF"/>
            <w:vAlign w:val="center"/>
            <w:hideMark/>
          </w:tcPr>
          <w:p w14:paraId="7658BCC9" w14:textId="77777777" w:rsidR="00864DE7" w:rsidRPr="00864DE7" w:rsidRDefault="00864DE7" w:rsidP="008871CD">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3.</w:t>
            </w:r>
          </w:p>
        </w:tc>
        <w:tc>
          <w:tcPr>
            <w:tcW w:w="4010" w:type="dxa"/>
            <w:shd w:val="clear" w:color="000000" w:fill="FFFFFF"/>
            <w:vAlign w:val="center"/>
            <w:hideMark/>
          </w:tcPr>
          <w:p w14:paraId="454F69A6" w14:textId="6C342CB3" w:rsidR="00864DE7" w:rsidRPr="00864DE7" w:rsidRDefault="000B6970" w:rsidP="008871CD">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Būv</w:t>
            </w:r>
            <w:r w:rsidR="00864DE7" w:rsidRPr="00864DE7">
              <w:rPr>
                <w:rFonts w:ascii="Times New Roman" w:eastAsia="Times New Roman" w:hAnsi="Times New Roman" w:cs="Times New Roman"/>
                <w:sz w:val="16"/>
                <w:szCs w:val="16"/>
                <w:lang w:eastAsia="lv-LV"/>
              </w:rPr>
              <w:t>projekta izstrāde un ekspertīze</w:t>
            </w:r>
          </w:p>
        </w:tc>
        <w:tc>
          <w:tcPr>
            <w:tcW w:w="1417" w:type="dxa"/>
            <w:shd w:val="clear" w:color="000000" w:fill="FFFFFF"/>
            <w:vAlign w:val="center"/>
            <w:hideMark/>
          </w:tcPr>
          <w:p w14:paraId="1294DE3F"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01.02.2017</w:t>
            </w:r>
          </w:p>
        </w:tc>
        <w:tc>
          <w:tcPr>
            <w:tcW w:w="1418" w:type="dxa"/>
            <w:shd w:val="clear" w:color="000000" w:fill="FFFFFF"/>
            <w:vAlign w:val="center"/>
            <w:hideMark/>
          </w:tcPr>
          <w:p w14:paraId="741EE1AA"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31.10.2017</w:t>
            </w:r>
          </w:p>
        </w:tc>
        <w:tc>
          <w:tcPr>
            <w:tcW w:w="1281" w:type="dxa"/>
            <w:shd w:val="clear" w:color="000000" w:fill="FFFFFF"/>
            <w:vAlign w:val="center"/>
            <w:hideMark/>
          </w:tcPr>
          <w:p w14:paraId="5FC41B3C"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9</w:t>
            </w:r>
          </w:p>
        </w:tc>
      </w:tr>
      <w:tr w:rsidR="00864DE7" w:rsidRPr="00864DE7" w14:paraId="084DC51C" w14:textId="77777777" w:rsidTr="00864DE7">
        <w:trPr>
          <w:trHeight w:val="275"/>
          <w:jc w:val="center"/>
        </w:trPr>
        <w:tc>
          <w:tcPr>
            <w:tcW w:w="810" w:type="dxa"/>
            <w:shd w:val="clear" w:color="000000" w:fill="FFFFFF"/>
            <w:vAlign w:val="center"/>
            <w:hideMark/>
          </w:tcPr>
          <w:p w14:paraId="513F2659" w14:textId="77777777" w:rsidR="00864DE7" w:rsidRPr="00864DE7" w:rsidRDefault="00864DE7" w:rsidP="008871CD">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4.</w:t>
            </w:r>
          </w:p>
        </w:tc>
        <w:tc>
          <w:tcPr>
            <w:tcW w:w="4010" w:type="dxa"/>
            <w:shd w:val="clear" w:color="000000" w:fill="FFFFFF"/>
            <w:vAlign w:val="center"/>
            <w:hideMark/>
          </w:tcPr>
          <w:p w14:paraId="7EAEFD45" w14:textId="77777777" w:rsidR="00864DE7" w:rsidRPr="00864DE7" w:rsidRDefault="00864DE7" w:rsidP="008871CD">
            <w:pPr>
              <w:spacing w:after="0" w:line="240" w:lineRule="auto"/>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Iepirkuma procedūra būvniecības darbiem</w:t>
            </w:r>
          </w:p>
        </w:tc>
        <w:tc>
          <w:tcPr>
            <w:tcW w:w="1417" w:type="dxa"/>
            <w:shd w:val="clear" w:color="000000" w:fill="FFFFFF"/>
            <w:vAlign w:val="center"/>
            <w:hideMark/>
          </w:tcPr>
          <w:p w14:paraId="1A373CAD"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01.11.2017</w:t>
            </w:r>
          </w:p>
        </w:tc>
        <w:tc>
          <w:tcPr>
            <w:tcW w:w="1418" w:type="dxa"/>
            <w:shd w:val="clear" w:color="000000" w:fill="FFFFFF"/>
            <w:vAlign w:val="center"/>
            <w:hideMark/>
          </w:tcPr>
          <w:p w14:paraId="541F6F05"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31.05.2018</w:t>
            </w:r>
          </w:p>
        </w:tc>
        <w:tc>
          <w:tcPr>
            <w:tcW w:w="1281" w:type="dxa"/>
            <w:shd w:val="clear" w:color="000000" w:fill="FFFFFF"/>
            <w:vAlign w:val="center"/>
            <w:hideMark/>
          </w:tcPr>
          <w:p w14:paraId="54F2F92B"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7</w:t>
            </w:r>
          </w:p>
        </w:tc>
      </w:tr>
      <w:tr w:rsidR="00864DE7" w:rsidRPr="00864DE7" w14:paraId="7C1F3D58" w14:textId="77777777" w:rsidTr="00864DE7">
        <w:trPr>
          <w:trHeight w:val="138"/>
          <w:jc w:val="center"/>
        </w:trPr>
        <w:tc>
          <w:tcPr>
            <w:tcW w:w="810" w:type="dxa"/>
            <w:shd w:val="clear" w:color="000000" w:fill="FFFFFF"/>
            <w:vAlign w:val="center"/>
            <w:hideMark/>
          </w:tcPr>
          <w:p w14:paraId="2A8F7886" w14:textId="77777777" w:rsidR="00864DE7" w:rsidRPr="00864DE7" w:rsidRDefault="00864DE7" w:rsidP="008871CD">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5.</w:t>
            </w:r>
          </w:p>
        </w:tc>
        <w:tc>
          <w:tcPr>
            <w:tcW w:w="4010" w:type="dxa"/>
            <w:shd w:val="clear" w:color="000000" w:fill="FFFFFF"/>
            <w:vAlign w:val="center"/>
            <w:hideMark/>
          </w:tcPr>
          <w:p w14:paraId="5D0F6CBE" w14:textId="77777777" w:rsidR="00864DE7" w:rsidRPr="00864DE7" w:rsidRDefault="00864DE7" w:rsidP="008871CD">
            <w:pPr>
              <w:spacing w:after="0" w:line="240" w:lineRule="auto"/>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Būvniecības darbi</w:t>
            </w:r>
          </w:p>
        </w:tc>
        <w:tc>
          <w:tcPr>
            <w:tcW w:w="1417" w:type="dxa"/>
            <w:shd w:val="clear" w:color="000000" w:fill="FFFFFF"/>
            <w:vAlign w:val="center"/>
            <w:hideMark/>
          </w:tcPr>
          <w:p w14:paraId="33CB9A7A"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01.06.2018</w:t>
            </w:r>
          </w:p>
        </w:tc>
        <w:tc>
          <w:tcPr>
            <w:tcW w:w="1418" w:type="dxa"/>
            <w:shd w:val="clear" w:color="000000" w:fill="FFFFFF"/>
            <w:vAlign w:val="center"/>
            <w:hideMark/>
          </w:tcPr>
          <w:p w14:paraId="24F211EA"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31.05.2019</w:t>
            </w:r>
          </w:p>
        </w:tc>
        <w:tc>
          <w:tcPr>
            <w:tcW w:w="1281" w:type="dxa"/>
            <w:shd w:val="clear" w:color="000000" w:fill="FFFFFF"/>
            <w:vAlign w:val="center"/>
            <w:hideMark/>
          </w:tcPr>
          <w:p w14:paraId="75A5FE71" w14:textId="77777777" w:rsidR="00864DE7" w:rsidRPr="00864DE7" w:rsidRDefault="00864DE7" w:rsidP="00864DE7">
            <w:pPr>
              <w:spacing w:after="0" w:line="240" w:lineRule="auto"/>
              <w:jc w:val="center"/>
              <w:rPr>
                <w:rFonts w:ascii="Times New Roman" w:eastAsia="Times New Roman" w:hAnsi="Times New Roman" w:cs="Times New Roman"/>
                <w:sz w:val="16"/>
                <w:szCs w:val="16"/>
                <w:lang w:eastAsia="lv-LV"/>
              </w:rPr>
            </w:pPr>
            <w:r w:rsidRPr="00864DE7">
              <w:rPr>
                <w:rFonts w:ascii="Times New Roman" w:eastAsia="Times New Roman" w:hAnsi="Times New Roman" w:cs="Times New Roman"/>
                <w:sz w:val="16"/>
                <w:szCs w:val="16"/>
                <w:lang w:eastAsia="lv-LV"/>
              </w:rPr>
              <w:t>12</w:t>
            </w:r>
          </w:p>
        </w:tc>
      </w:tr>
      <w:tr w:rsidR="00864DE7" w:rsidRPr="00864DE7" w14:paraId="799B5FA5" w14:textId="77777777" w:rsidTr="00864DE7">
        <w:trPr>
          <w:trHeight w:val="228"/>
          <w:jc w:val="center"/>
        </w:trPr>
        <w:tc>
          <w:tcPr>
            <w:tcW w:w="4820" w:type="dxa"/>
            <w:gridSpan w:val="2"/>
            <w:shd w:val="clear" w:color="000000" w:fill="FFFFFF"/>
            <w:vAlign w:val="center"/>
            <w:hideMark/>
          </w:tcPr>
          <w:p w14:paraId="55814264" w14:textId="77777777" w:rsidR="00864DE7" w:rsidRPr="00864DE7" w:rsidRDefault="00864DE7" w:rsidP="008871CD">
            <w:pPr>
              <w:spacing w:after="0" w:line="240" w:lineRule="auto"/>
              <w:jc w:val="right"/>
              <w:rPr>
                <w:rFonts w:ascii="Times New Roman" w:eastAsia="Times New Roman" w:hAnsi="Times New Roman" w:cs="Times New Roman"/>
                <w:b/>
                <w:bCs/>
                <w:sz w:val="16"/>
                <w:szCs w:val="16"/>
                <w:lang w:eastAsia="lv-LV"/>
              </w:rPr>
            </w:pPr>
            <w:r w:rsidRPr="00864DE7">
              <w:rPr>
                <w:rFonts w:ascii="Times New Roman" w:eastAsia="Times New Roman" w:hAnsi="Times New Roman" w:cs="Times New Roman"/>
                <w:b/>
                <w:bCs/>
                <w:sz w:val="16"/>
                <w:szCs w:val="16"/>
                <w:lang w:eastAsia="lv-LV"/>
              </w:rPr>
              <w:t>KOPĀ:</w:t>
            </w:r>
          </w:p>
        </w:tc>
        <w:tc>
          <w:tcPr>
            <w:tcW w:w="1417" w:type="dxa"/>
            <w:shd w:val="clear" w:color="000000" w:fill="FFFFFF"/>
            <w:vAlign w:val="center"/>
            <w:hideMark/>
          </w:tcPr>
          <w:p w14:paraId="5ADCE60B" w14:textId="77777777" w:rsidR="00864DE7" w:rsidRPr="00864DE7" w:rsidRDefault="00864DE7" w:rsidP="00864DE7">
            <w:pPr>
              <w:spacing w:after="0" w:line="240" w:lineRule="auto"/>
              <w:jc w:val="center"/>
              <w:rPr>
                <w:rFonts w:ascii="Times New Roman" w:eastAsia="Times New Roman" w:hAnsi="Times New Roman" w:cs="Times New Roman"/>
                <w:b/>
                <w:sz w:val="16"/>
                <w:szCs w:val="16"/>
                <w:lang w:eastAsia="lv-LV"/>
              </w:rPr>
            </w:pPr>
            <w:r w:rsidRPr="00864DE7">
              <w:rPr>
                <w:rFonts w:ascii="Times New Roman" w:eastAsia="Times New Roman" w:hAnsi="Times New Roman" w:cs="Times New Roman"/>
                <w:b/>
                <w:sz w:val="16"/>
                <w:szCs w:val="16"/>
                <w:lang w:eastAsia="lv-LV"/>
              </w:rPr>
              <w:t>01.04.2016</w:t>
            </w:r>
          </w:p>
        </w:tc>
        <w:tc>
          <w:tcPr>
            <w:tcW w:w="1418" w:type="dxa"/>
            <w:shd w:val="clear" w:color="000000" w:fill="FFFFFF"/>
            <w:vAlign w:val="center"/>
            <w:hideMark/>
          </w:tcPr>
          <w:p w14:paraId="67722D87" w14:textId="77777777" w:rsidR="00864DE7" w:rsidRPr="00864DE7" w:rsidRDefault="00864DE7" w:rsidP="00864DE7">
            <w:pPr>
              <w:spacing w:after="0" w:line="240" w:lineRule="auto"/>
              <w:jc w:val="center"/>
              <w:rPr>
                <w:rFonts w:ascii="Times New Roman" w:eastAsia="Times New Roman" w:hAnsi="Times New Roman" w:cs="Times New Roman"/>
                <w:b/>
                <w:sz w:val="16"/>
                <w:szCs w:val="16"/>
                <w:lang w:eastAsia="lv-LV"/>
              </w:rPr>
            </w:pPr>
            <w:r w:rsidRPr="00864DE7">
              <w:rPr>
                <w:rFonts w:ascii="Times New Roman" w:eastAsia="Times New Roman" w:hAnsi="Times New Roman" w:cs="Times New Roman"/>
                <w:b/>
                <w:sz w:val="16"/>
                <w:szCs w:val="16"/>
                <w:lang w:eastAsia="lv-LV"/>
              </w:rPr>
              <w:t>31.05.2019</w:t>
            </w:r>
          </w:p>
        </w:tc>
        <w:tc>
          <w:tcPr>
            <w:tcW w:w="1281" w:type="dxa"/>
            <w:shd w:val="clear" w:color="000000" w:fill="FFFFFF"/>
            <w:vAlign w:val="center"/>
            <w:hideMark/>
          </w:tcPr>
          <w:p w14:paraId="224985B6" w14:textId="77777777" w:rsidR="00864DE7" w:rsidRPr="00864DE7" w:rsidRDefault="00864DE7" w:rsidP="00864DE7">
            <w:pPr>
              <w:spacing w:after="0" w:line="240" w:lineRule="auto"/>
              <w:jc w:val="center"/>
              <w:rPr>
                <w:rFonts w:ascii="Times New Roman" w:eastAsia="Times New Roman" w:hAnsi="Times New Roman" w:cs="Times New Roman"/>
                <w:b/>
                <w:sz w:val="16"/>
                <w:szCs w:val="16"/>
                <w:lang w:eastAsia="lv-LV"/>
              </w:rPr>
            </w:pPr>
            <w:r w:rsidRPr="00864DE7">
              <w:rPr>
                <w:rFonts w:ascii="Times New Roman" w:eastAsia="Times New Roman" w:hAnsi="Times New Roman" w:cs="Times New Roman"/>
                <w:b/>
                <w:sz w:val="16"/>
                <w:szCs w:val="16"/>
                <w:lang w:eastAsia="lv-LV"/>
              </w:rPr>
              <w:t>38</w:t>
            </w:r>
          </w:p>
        </w:tc>
      </w:tr>
    </w:tbl>
    <w:p w14:paraId="454CDB57" w14:textId="77777777" w:rsidR="00840D9C" w:rsidRDefault="00840D9C" w:rsidP="00840D9C">
      <w:pPr>
        <w:pStyle w:val="naiskr"/>
        <w:tabs>
          <w:tab w:val="left" w:pos="141"/>
        </w:tabs>
        <w:spacing w:before="0" w:after="0"/>
        <w:ind w:firstLine="709"/>
        <w:jc w:val="both"/>
      </w:pPr>
    </w:p>
    <w:p w14:paraId="04B6F7EA" w14:textId="77777777" w:rsidR="00840D9C" w:rsidRDefault="0028419F" w:rsidP="00840D9C">
      <w:pPr>
        <w:pStyle w:val="naiskr"/>
        <w:tabs>
          <w:tab w:val="left" w:pos="141"/>
        </w:tabs>
        <w:spacing w:before="0" w:after="0"/>
        <w:ind w:firstLine="709"/>
        <w:jc w:val="both"/>
      </w:pPr>
      <w:r w:rsidRPr="00721E07">
        <w:t xml:space="preserve">Provizoriskās </w:t>
      </w:r>
      <w:r w:rsidR="00692867" w:rsidRPr="00721E07">
        <w:t xml:space="preserve">kapitālieguldījumu izmaksas </w:t>
      </w:r>
      <w:r w:rsidR="0045551C" w:rsidRPr="00721E07">
        <w:t>nekustamā īpašuma Kuldīgas ielā 2, Ventspilī, piemērošanai VID Ventspils nodaļas vajadzībām</w:t>
      </w:r>
      <w:r w:rsidR="00DC20E4" w:rsidRPr="00721E07">
        <w:t xml:space="preserve">, </w:t>
      </w:r>
      <w:r w:rsidRPr="00721E07">
        <w:t>aprēķinātas</w:t>
      </w:r>
      <w:r w:rsidR="00D02293" w:rsidRPr="00721E07">
        <w:t xml:space="preserve"> </w:t>
      </w:r>
      <w:r w:rsidR="00350E42" w:rsidRPr="00721E07">
        <w:t xml:space="preserve">2,4 milj. </w:t>
      </w:r>
      <w:r w:rsidRPr="00721E07">
        <w:rPr>
          <w:i/>
        </w:rPr>
        <w:t xml:space="preserve">euro </w:t>
      </w:r>
      <w:r w:rsidRPr="00721E07">
        <w:t xml:space="preserve">apmērā, </w:t>
      </w:r>
      <w:r w:rsidR="00EE1327">
        <w:t>ņemot vērā projektējamo</w:t>
      </w:r>
      <w:r w:rsidR="0045551C" w:rsidRPr="00721E07">
        <w:t xml:space="preserve"> platību </w:t>
      </w:r>
      <w:r w:rsidR="00131F70" w:rsidRPr="00721E07">
        <w:t>kopā 2036,7 m</w:t>
      </w:r>
      <w:r w:rsidR="00131F70" w:rsidRPr="00721E07">
        <w:rPr>
          <w:vertAlign w:val="superscript"/>
        </w:rPr>
        <w:t>2</w:t>
      </w:r>
      <w:r w:rsidR="001F529D" w:rsidRPr="00721E07">
        <w:t xml:space="preserve">, </w:t>
      </w:r>
      <w:r w:rsidR="00131F70" w:rsidRPr="00721E07">
        <w:t xml:space="preserve">tai skaitā </w:t>
      </w:r>
      <w:r w:rsidR="00EE1327">
        <w:t>projektējamā</w:t>
      </w:r>
      <w:r w:rsidR="001F529D" w:rsidRPr="00721E07">
        <w:t xml:space="preserve"> platība </w:t>
      </w:r>
      <w:r w:rsidR="00131F70" w:rsidRPr="00721E07">
        <w:t>a</w:t>
      </w:r>
      <w:r w:rsidR="00EE1327">
        <w:t>dministratīvai</w:t>
      </w:r>
      <w:r w:rsidR="0045551C" w:rsidRPr="00721E07">
        <w:t xml:space="preserve"> ēkai 1579,1 m</w:t>
      </w:r>
      <w:r w:rsidR="0045551C" w:rsidRPr="00721E07">
        <w:rPr>
          <w:vertAlign w:val="superscript"/>
        </w:rPr>
        <w:t>2</w:t>
      </w:r>
      <w:r w:rsidR="0045551C" w:rsidRPr="00721E07">
        <w:t>, bet pārēj</w:t>
      </w:r>
      <w:r w:rsidR="000820FF">
        <w:t>ā</w:t>
      </w:r>
      <w:r w:rsidR="0045551C" w:rsidRPr="00721E07">
        <w:t>m ēkām kopā</w:t>
      </w:r>
      <w:r w:rsidR="00131F70" w:rsidRPr="00721E07">
        <w:t xml:space="preserve"> 457,6 m</w:t>
      </w:r>
      <w:r w:rsidR="00131F70" w:rsidRPr="00721E07">
        <w:rPr>
          <w:vertAlign w:val="superscript"/>
        </w:rPr>
        <w:t>2</w:t>
      </w:r>
      <w:r w:rsidR="001F529D" w:rsidRPr="00721E07">
        <w:rPr>
          <w:vertAlign w:val="superscript"/>
        </w:rPr>
        <w:t xml:space="preserve"> </w:t>
      </w:r>
      <w:r w:rsidR="001F529D" w:rsidRPr="00721E07">
        <w:t>(sk. 2.tabulu)</w:t>
      </w:r>
      <w:r w:rsidR="00131F70" w:rsidRPr="00721E07">
        <w:t>.</w:t>
      </w:r>
      <w:r w:rsidR="00BD2773" w:rsidRPr="00721E07">
        <w:t xml:space="preserve"> </w:t>
      </w:r>
      <w:r w:rsidR="0045551C" w:rsidRPr="00721E07">
        <w:t>P</w:t>
      </w:r>
      <w:r w:rsidRPr="00721E07">
        <w:t>apildus tiek aprēķināta atlīdzība projekta vadītājam būvniecības laikā un piesaistītā kapitāla izmaksas (resursa cena)</w:t>
      </w:r>
      <w:r w:rsidR="001F529D" w:rsidRPr="00721E07">
        <w:t xml:space="preserve"> (sk. </w:t>
      </w:r>
      <w:r w:rsidR="00721E07">
        <w:t>4</w:t>
      </w:r>
      <w:r w:rsidR="001F529D" w:rsidRPr="00721E07">
        <w:t>.tabulu)</w:t>
      </w:r>
      <w:r w:rsidRPr="00721E07">
        <w:t xml:space="preserve">. </w:t>
      </w:r>
      <w:r w:rsidR="00692867" w:rsidRPr="00721E07">
        <w:t>B</w:t>
      </w:r>
      <w:r w:rsidRPr="00721E07">
        <w:t>ūvniecības darbu finansēšanu plānots v</w:t>
      </w:r>
      <w:r w:rsidR="00C517CE">
        <w:t>eikt no VNĪ finanšu līdzekļiem.</w:t>
      </w:r>
    </w:p>
    <w:p w14:paraId="0A9A0E87" w14:textId="7A517A3C" w:rsidR="00364399" w:rsidRDefault="00C517CE" w:rsidP="00840D9C">
      <w:pPr>
        <w:pStyle w:val="naiskr"/>
        <w:tabs>
          <w:tab w:val="left" w:pos="141"/>
        </w:tabs>
        <w:spacing w:before="0" w:after="0"/>
        <w:ind w:firstLine="709"/>
        <w:jc w:val="both"/>
      </w:pPr>
      <w:r w:rsidRPr="006F66C6">
        <w:t xml:space="preserve">VNĪ ir piederīgi pie vispārējās valdības institucionālā sektora, kas savukārt nozīmē, ka šī institucionālā vienība ar savu saimnieciskās darbības rezultātu (veiktajiem kapitālieguldījumiem un peļņu/zaudējumiem Eiropas kontu sistēmas (EKS) metodoloģijas izpratnē) ietekmē vispārējās valdības budžetu (neto aizdevumus/neto aizņēmumus). Atbilstoši EKS metodoloģijai kapitālieguldījumi kā izdevumi tiek iegrāmatoti tajā laika periodā, kad faktiski tiek veikta projekta būvniecība nevis tad, kad tiek veikta dotācija no valsts budžeta vai samaksāta nomas maksa, kas ietver attiecīgo izmaksu komponenti. Dotā projekta īstenošana provizoriski pasliktinās vispārējās valdības budžeta bilanci (neto aizdevumus/neto aizņēmumus) par 1 461 807 </w:t>
      </w:r>
      <w:r w:rsidRPr="006F66C6">
        <w:rPr>
          <w:i/>
        </w:rPr>
        <w:t>euro</w:t>
      </w:r>
      <w:r w:rsidRPr="006F66C6">
        <w:t xml:space="preserve"> 2017.gadā un 943 017 </w:t>
      </w:r>
      <w:r w:rsidRPr="006F66C6">
        <w:rPr>
          <w:i/>
        </w:rPr>
        <w:t>euro</w:t>
      </w:r>
      <w:r w:rsidRPr="006F66C6">
        <w:t xml:space="preserve"> 2018.gadā (sk. 2.tabulu).</w:t>
      </w:r>
    </w:p>
    <w:p w14:paraId="1A12DE03" w14:textId="77777777" w:rsidR="00DB03ED" w:rsidRPr="00721E07" w:rsidRDefault="00DB03ED" w:rsidP="00C517CE">
      <w:pPr>
        <w:pStyle w:val="naiskr"/>
        <w:tabs>
          <w:tab w:val="left" w:pos="141"/>
        </w:tabs>
        <w:spacing w:before="0" w:after="0"/>
        <w:jc w:val="both"/>
      </w:pPr>
    </w:p>
    <w:p w14:paraId="428B596B" w14:textId="77777777" w:rsidR="0028419F" w:rsidRPr="00084AD3" w:rsidRDefault="0045551C" w:rsidP="00C74EA6">
      <w:pPr>
        <w:keepNext/>
        <w:spacing w:after="120" w:line="240" w:lineRule="auto"/>
        <w:jc w:val="both"/>
        <w:rPr>
          <w:rFonts w:ascii="Times New Roman" w:hAnsi="Times New Roman" w:cs="Times New Roman"/>
          <w:b/>
          <w:i/>
          <w:sz w:val="24"/>
          <w:szCs w:val="24"/>
        </w:rPr>
      </w:pPr>
      <w:r w:rsidRPr="00721E07">
        <w:rPr>
          <w:rFonts w:ascii="Times New Roman" w:hAnsi="Times New Roman" w:cs="Times New Roman"/>
          <w:b/>
          <w:sz w:val="24"/>
          <w:szCs w:val="24"/>
        </w:rPr>
        <w:t>2</w:t>
      </w:r>
      <w:r w:rsidR="0028419F" w:rsidRPr="00721E07">
        <w:rPr>
          <w:rFonts w:ascii="Times New Roman" w:hAnsi="Times New Roman" w:cs="Times New Roman"/>
          <w:b/>
          <w:sz w:val="24"/>
          <w:szCs w:val="24"/>
        </w:rPr>
        <w:t xml:space="preserve">.tabula. </w:t>
      </w:r>
      <w:r w:rsidR="00BD2773" w:rsidRPr="00721E07">
        <w:rPr>
          <w:rFonts w:ascii="Times New Roman" w:hAnsi="Times New Roman" w:cs="Times New Roman"/>
          <w:b/>
          <w:sz w:val="24"/>
          <w:szCs w:val="24"/>
        </w:rPr>
        <w:t xml:space="preserve">Provizoriski aprēķinātais </w:t>
      </w:r>
      <w:r w:rsidR="0028419F" w:rsidRPr="00721E07">
        <w:rPr>
          <w:rFonts w:ascii="Times New Roman" w:hAnsi="Times New Roman" w:cs="Times New Roman"/>
          <w:b/>
          <w:sz w:val="24"/>
          <w:szCs w:val="24"/>
        </w:rPr>
        <w:t>nepieciešamo kapitālieguldījumu</w:t>
      </w:r>
      <w:r w:rsidR="000A030D" w:rsidRPr="00721E07">
        <w:rPr>
          <w:rFonts w:ascii="Times New Roman" w:hAnsi="Times New Roman" w:cs="Times New Roman"/>
          <w:b/>
          <w:sz w:val="24"/>
          <w:szCs w:val="24"/>
        </w:rPr>
        <w:t xml:space="preserve"> </w:t>
      </w:r>
      <w:r w:rsidR="00BD2773" w:rsidRPr="00721E07">
        <w:rPr>
          <w:rFonts w:ascii="Times New Roman" w:hAnsi="Times New Roman" w:cs="Times New Roman"/>
          <w:b/>
          <w:sz w:val="24"/>
          <w:szCs w:val="24"/>
        </w:rPr>
        <w:t>apmērs</w:t>
      </w:r>
      <w:r w:rsidR="00084AD3">
        <w:rPr>
          <w:rFonts w:ascii="Times New Roman" w:hAnsi="Times New Roman" w:cs="Times New Roman"/>
          <w:b/>
          <w:sz w:val="24"/>
          <w:szCs w:val="24"/>
        </w:rPr>
        <w:t xml:space="preserve">, </w:t>
      </w:r>
      <w:r w:rsidR="00084AD3">
        <w:rPr>
          <w:rFonts w:ascii="Times New Roman" w:hAnsi="Times New Roman" w:cs="Times New Roman"/>
          <w:b/>
          <w:i/>
          <w:sz w:val="24"/>
          <w:szCs w:val="24"/>
        </w:rPr>
        <w:t>euro</w:t>
      </w:r>
    </w:p>
    <w:tbl>
      <w:tblPr>
        <w:tblW w:w="91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
        <w:gridCol w:w="2525"/>
        <w:gridCol w:w="988"/>
        <w:gridCol w:w="867"/>
        <w:gridCol w:w="2144"/>
        <w:gridCol w:w="1134"/>
        <w:gridCol w:w="993"/>
      </w:tblGrid>
      <w:tr w:rsidR="00350E42" w:rsidRPr="00D34E56" w14:paraId="69171F68" w14:textId="77777777" w:rsidTr="00B1734C">
        <w:trPr>
          <w:trHeight w:val="559"/>
        </w:trPr>
        <w:tc>
          <w:tcPr>
            <w:tcW w:w="474" w:type="dxa"/>
            <w:vMerge w:val="restart"/>
            <w:shd w:val="pct5" w:color="auto" w:fill="auto"/>
            <w:vAlign w:val="center"/>
            <w:hideMark/>
          </w:tcPr>
          <w:p w14:paraId="76F22D5E" w14:textId="77777777" w:rsidR="00350E42" w:rsidRPr="00D34E56" w:rsidRDefault="00350E42" w:rsidP="00350E42">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Nr.</w:t>
            </w:r>
            <w:r w:rsidRPr="00D34E56">
              <w:rPr>
                <w:rFonts w:ascii="Times New Roman" w:eastAsia="Times New Roman" w:hAnsi="Times New Roman" w:cs="Times New Roman"/>
                <w:bCs/>
                <w:sz w:val="16"/>
                <w:szCs w:val="16"/>
                <w:lang w:eastAsia="lv-LV"/>
              </w:rPr>
              <w:br/>
              <w:t>p.k.</w:t>
            </w:r>
          </w:p>
        </w:tc>
        <w:tc>
          <w:tcPr>
            <w:tcW w:w="2525" w:type="dxa"/>
            <w:vMerge w:val="restart"/>
            <w:shd w:val="pct5" w:color="auto" w:fill="auto"/>
            <w:vAlign w:val="center"/>
            <w:hideMark/>
          </w:tcPr>
          <w:p w14:paraId="43C364A3" w14:textId="77777777" w:rsidR="00350E42" w:rsidRPr="00D34E56" w:rsidRDefault="00350E42" w:rsidP="00350E42">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Investīciju projekta izdevumu pozīcijas (K)</w:t>
            </w:r>
          </w:p>
        </w:tc>
        <w:tc>
          <w:tcPr>
            <w:tcW w:w="988" w:type="dxa"/>
            <w:vMerge w:val="restart"/>
            <w:shd w:val="pct5" w:color="auto" w:fill="auto"/>
            <w:vAlign w:val="center"/>
            <w:hideMark/>
          </w:tcPr>
          <w:p w14:paraId="39F893DD" w14:textId="7BB046DE" w:rsidR="00350E42" w:rsidRPr="00D34E56" w:rsidRDefault="00350E42" w:rsidP="00350E42">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Kopējās</w:t>
            </w:r>
            <w:r w:rsidRPr="00D34E56">
              <w:rPr>
                <w:rFonts w:ascii="Times New Roman" w:eastAsia="Times New Roman" w:hAnsi="Times New Roman" w:cs="Times New Roman"/>
                <w:bCs/>
                <w:sz w:val="16"/>
                <w:szCs w:val="16"/>
                <w:lang w:eastAsia="lv-LV"/>
              </w:rPr>
              <w:br/>
              <w:t>izmaksas</w:t>
            </w:r>
            <w:r w:rsidR="006F66C6">
              <w:rPr>
                <w:rFonts w:ascii="Times New Roman" w:eastAsia="Times New Roman" w:hAnsi="Times New Roman" w:cs="Times New Roman"/>
                <w:bCs/>
                <w:sz w:val="16"/>
                <w:szCs w:val="16"/>
                <w:lang w:eastAsia="lv-LV"/>
              </w:rPr>
              <w:t xml:space="preserve"> (EUR bez PVN)</w:t>
            </w:r>
            <w:r w:rsidR="00247C69" w:rsidRPr="00D34E56">
              <w:rPr>
                <w:rFonts w:ascii="Times New Roman" w:eastAsia="Times New Roman" w:hAnsi="Times New Roman" w:cs="Times New Roman"/>
                <w:bCs/>
                <w:sz w:val="16"/>
                <w:szCs w:val="16"/>
                <w:lang w:eastAsia="lv-LV"/>
              </w:rPr>
              <w:t>*</w:t>
            </w:r>
          </w:p>
        </w:tc>
        <w:tc>
          <w:tcPr>
            <w:tcW w:w="3011" w:type="dxa"/>
            <w:gridSpan w:val="2"/>
            <w:shd w:val="pct5" w:color="auto" w:fill="auto"/>
            <w:vAlign w:val="center"/>
            <w:hideMark/>
          </w:tcPr>
          <w:p w14:paraId="104D462D" w14:textId="77777777" w:rsidR="00350E42" w:rsidRPr="00D34E56" w:rsidRDefault="00350E42" w:rsidP="00350E42">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Izmaksu aprēķināšana</w:t>
            </w:r>
          </w:p>
        </w:tc>
        <w:tc>
          <w:tcPr>
            <w:tcW w:w="2127" w:type="dxa"/>
            <w:gridSpan w:val="2"/>
            <w:shd w:val="pct5" w:color="auto" w:fill="auto"/>
            <w:vAlign w:val="center"/>
            <w:hideMark/>
          </w:tcPr>
          <w:p w14:paraId="7F89EB5C" w14:textId="77777777" w:rsidR="00350E42" w:rsidRPr="00D34E56" w:rsidRDefault="00350E42" w:rsidP="00350E42">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 xml:space="preserve">VNĪ finansējuma sadalījums pa gadiem atbilstoši būvniecības laika grafikam </w:t>
            </w:r>
          </w:p>
        </w:tc>
      </w:tr>
      <w:tr w:rsidR="00350E42" w:rsidRPr="00D34E56" w14:paraId="492651CF" w14:textId="77777777" w:rsidTr="00B1734C">
        <w:trPr>
          <w:trHeight w:val="255"/>
        </w:trPr>
        <w:tc>
          <w:tcPr>
            <w:tcW w:w="474" w:type="dxa"/>
            <w:vMerge/>
            <w:shd w:val="pct5" w:color="auto" w:fill="auto"/>
            <w:vAlign w:val="center"/>
            <w:hideMark/>
          </w:tcPr>
          <w:p w14:paraId="371CC3B4"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2525" w:type="dxa"/>
            <w:vMerge/>
            <w:shd w:val="pct5" w:color="auto" w:fill="auto"/>
            <w:vAlign w:val="center"/>
            <w:hideMark/>
          </w:tcPr>
          <w:p w14:paraId="658CB1F2"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988" w:type="dxa"/>
            <w:vMerge/>
            <w:shd w:val="pct5" w:color="auto" w:fill="auto"/>
            <w:vAlign w:val="center"/>
            <w:hideMark/>
          </w:tcPr>
          <w:p w14:paraId="61937DC8"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867" w:type="dxa"/>
            <w:shd w:val="pct5" w:color="auto" w:fill="auto"/>
            <w:vAlign w:val="center"/>
            <w:hideMark/>
          </w:tcPr>
          <w:p w14:paraId="724D5EEF" w14:textId="77777777" w:rsidR="00350E42" w:rsidRPr="00D34E56" w:rsidRDefault="00350E42" w:rsidP="000A030D">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1 579,10</w:t>
            </w:r>
          </w:p>
        </w:tc>
        <w:tc>
          <w:tcPr>
            <w:tcW w:w="2144" w:type="dxa"/>
            <w:shd w:val="pct5" w:color="auto" w:fill="auto"/>
            <w:vAlign w:val="center"/>
            <w:hideMark/>
          </w:tcPr>
          <w:p w14:paraId="1D3FEBA4" w14:textId="77777777" w:rsidR="00350E42" w:rsidRPr="00D34E56" w:rsidRDefault="00350E42" w:rsidP="00121F94">
            <w:pPr>
              <w:spacing w:after="0" w:line="240" w:lineRule="auto"/>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m</w:t>
            </w:r>
            <w:r w:rsidRPr="00D34E56">
              <w:rPr>
                <w:rFonts w:ascii="Times New Roman" w:eastAsia="Times New Roman" w:hAnsi="Times New Roman" w:cs="Times New Roman"/>
                <w:bCs/>
                <w:sz w:val="16"/>
                <w:szCs w:val="16"/>
                <w:vertAlign w:val="superscript"/>
                <w:lang w:eastAsia="lv-LV"/>
              </w:rPr>
              <w:t>2</w:t>
            </w:r>
            <w:r w:rsidRPr="00D34E56">
              <w:rPr>
                <w:rFonts w:ascii="Times New Roman" w:eastAsia="Times New Roman" w:hAnsi="Times New Roman" w:cs="Times New Roman"/>
                <w:bCs/>
                <w:sz w:val="16"/>
                <w:szCs w:val="16"/>
                <w:lang w:eastAsia="lv-LV"/>
              </w:rPr>
              <w:t xml:space="preserve"> ēkas 001</w:t>
            </w:r>
            <w:r w:rsidR="00121F94">
              <w:rPr>
                <w:rFonts w:ascii="Times New Roman" w:eastAsia="Times New Roman" w:hAnsi="Times New Roman" w:cs="Times New Roman"/>
                <w:bCs/>
                <w:sz w:val="16"/>
                <w:szCs w:val="16"/>
                <w:lang w:eastAsia="lv-LV"/>
              </w:rPr>
              <w:t xml:space="preserve"> kopējā </w:t>
            </w:r>
            <w:r w:rsidRPr="00D34E56">
              <w:rPr>
                <w:rFonts w:ascii="Times New Roman" w:eastAsia="Times New Roman" w:hAnsi="Times New Roman" w:cs="Times New Roman"/>
                <w:bCs/>
                <w:sz w:val="16"/>
                <w:szCs w:val="16"/>
                <w:lang w:eastAsia="lv-LV"/>
              </w:rPr>
              <w:t xml:space="preserve"> </w:t>
            </w:r>
            <w:r w:rsidR="00121F94">
              <w:rPr>
                <w:rFonts w:ascii="Times New Roman" w:eastAsia="Times New Roman" w:hAnsi="Times New Roman" w:cs="Times New Roman"/>
                <w:bCs/>
                <w:sz w:val="16"/>
                <w:szCs w:val="16"/>
                <w:lang w:eastAsia="lv-LV"/>
              </w:rPr>
              <w:t>projektējamā</w:t>
            </w:r>
            <w:r w:rsidRPr="00D34E56">
              <w:rPr>
                <w:rFonts w:ascii="Times New Roman" w:eastAsia="Times New Roman" w:hAnsi="Times New Roman" w:cs="Times New Roman"/>
                <w:bCs/>
                <w:sz w:val="16"/>
                <w:szCs w:val="16"/>
                <w:lang w:eastAsia="lv-LV"/>
              </w:rPr>
              <w:t xml:space="preserve"> platība; </w:t>
            </w:r>
          </w:p>
        </w:tc>
        <w:tc>
          <w:tcPr>
            <w:tcW w:w="1134" w:type="dxa"/>
            <w:vMerge w:val="restart"/>
            <w:shd w:val="pct5" w:color="auto" w:fill="auto"/>
            <w:vAlign w:val="center"/>
            <w:hideMark/>
          </w:tcPr>
          <w:p w14:paraId="496D3841" w14:textId="5EDB9B0B" w:rsidR="006F66C6" w:rsidRDefault="00350E42" w:rsidP="00121F94">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201</w:t>
            </w:r>
            <w:r w:rsidR="00121F94">
              <w:rPr>
                <w:rFonts w:ascii="Times New Roman" w:eastAsia="Times New Roman" w:hAnsi="Times New Roman" w:cs="Times New Roman"/>
                <w:bCs/>
                <w:sz w:val="16"/>
                <w:szCs w:val="16"/>
                <w:lang w:eastAsia="lv-LV"/>
              </w:rPr>
              <w:t>7</w:t>
            </w:r>
            <w:r w:rsidRPr="00D34E56">
              <w:rPr>
                <w:rFonts w:ascii="Times New Roman" w:eastAsia="Times New Roman" w:hAnsi="Times New Roman" w:cs="Times New Roman"/>
                <w:bCs/>
                <w:sz w:val="16"/>
                <w:szCs w:val="16"/>
                <w:lang w:eastAsia="lv-LV"/>
              </w:rPr>
              <w:t>.</w:t>
            </w:r>
            <w:r w:rsidR="006F66C6">
              <w:rPr>
                <w:rFonts w:ascii="Times New Roman" w:eastAsia="Times New Roman" w:hAnsi="Times New Roman" w:cs="Times New Roman"/>
                <w:bCs/>
                <w:sz w:val="16"/>
                <w:szCs w:val="16"/>
                <w:lang w:eastAsia="lv-LV"/>
              </w:rPr>
              <w:t>gads</w:t>
            </w:r>
          </w:p>
          <w:p w14:paraId="383FACF3" w14:textId="7E13F644" w:rsidR="00350E42" w:rsidRPr="00D34E56" w:rsidRDefault="006F66C6" w:rsidP="00121F94">
            <w:pPr>
              <w:spacing w:after="0" w:line="240" w:lineRule="auto"/>
              <w:jc w:val="center"/>
              <w:outlineLvl w:val="0"/>
              <w:rPr>
                <w:rFonts w:ascii="Times New Roman" w:eastAsia="Times New Roman" w:hAnsi="Times New Roman" w:cs="Times New Roman"/>
                <w:bCs/>
                <w:sz w:val="16"/>
                <w:szCs w:val="16"/>
                <w:lang w:eastAsia="lv-LV"/>
              </w:rPr>
            </w:pPr>
            <w:r>
              <w:t xml:space="preserve"> </w:t>
            </w:r>
            <w:r w:rsidRPr="006F66C6">
              <w:rPr>
                <w:rFonts w:ascii="Times New Roman" w:eastAsia="Times New Roman" w:hAnsi="Times New Roman" w:cs="Times New Roman"/>
                <w:bCs/>
                <w:sz w:val="16"/>
                <w:szCs w:val="16"/>
                <w:lang w:eastAsia="lv-LV"/>
              </w:rPr>
              <w:t>(EUR bez PVN)</w:t>
            </w:r>
          </w:p>
        </w:tc>
        <w:tc>
          <w:tcPr>
            <w:tcW w:w="993" w:type="dxa"/>
            <w:vMerge w:val="restart"/>
            <w:shd w:val="pct5" w:color="auto" w:fill="auto"/>
            <w:vAlign w:val="center"/>
            <w:hideMark/>
          </w:tcPr>
          <w:p w14:paraId="5862EB30" w14:textId="77777777" w:rsidR="006F66C6" w:rsidRPr="006F66C6" w:rsidRDefault="00350E42" w:rsidP="00121F94">
            <w:pPr>
              <w:spacing w:after="0" w:line="240" w:lineRule="auto"/>
              <w:jc w:val="center"/>
              <w:outlineLvl w:val="0"/>
              <w:rPr>
                <w:rFonts w:ascii="Times New Roman" w:hAnsi="Times New Roman" w:cs="Times New Roman"/>
                <w:sz w:val="16"/>
                <w:szCs w:val="16"/>
              </w:rPr>
            </w:pPr>
            <w:r w:rsidRPr="006F66C6">
              <w:rPr>
                <w:rFonts w:ascii="Times New Roman" w:eastAsia="Times New Roman" w:hAnsi="Times New Roman" w:cs="Times New Roman"/>
                <w:bCs/>
                <w:sz w:val="16"/>
                <w:szCs w:val="16"/>
                <w:lang w:eastAsia="lv-LV"/>
              </w:rPr>
              <w:t>201</w:t>
            </w:r>
            <w:r w:rsidR="00121F94" w:rsidRPr="006F66C6">
              <w:rPr>
                <w:rFonts w:ascii="Times New Roman" w:eastAsia="Times New Roman" w:hAnsi="Times New Roman" w:cs="Times New Roman"/>
                <w:bCs/>
                <w:sz w:val="16"/>
                <w:szCs w:val="16"/>
                <w:lang w:eastAsia="lv-LV"/>
              </w:rPr>
              <w:t>8</w:t>
            </w:r>
            <w:r w:rsidRPr="006F66C6">
              <w:rPr>
                <w:rFonts w:ascii="Times New Roman" w:eastAsia="Times New Roman" w:hAnsi="Times New Roman" w:cs="Times New Roman"/>
                <w:bCs/>
                <w:sz w:val="16"/>
                <w:szCs w:val="16"/>
                <w:lang w:eastAsia="lv-LV"/>
              </w:rPr>
              <w:t>.</w:t>
            </w:r>
            <w:r w:rsidR="006F66C6" w:rsidRPr="006F66C6">
              <w:rPr>
                <w:rFonts w:ascii="Times New Roman" w:hAnsi="Times New Roman" w:cs="Times New Roman"/>
                <w:sz w:val="16"/>
                <w:szCs w:val="16"/>
              </w:rPr>
              <w:t>gads</w:t>
            </w:r>
          </w:p>
          <w:p w14:paraId="7DDAACDB" w14:textId="29D7D714" w:rsidR="00350E42" w:rsidRPr="00D34E56" w:rsidRDefault="006F66C6" w:rsidP="00121F94">
            <w:pPr>
              <w:spacing w:after="0" w:line="240" w:lineRule="auto"/>
              <w:jc w:val="center"/>
              <w:outlineLvl w:val="0"/>
              <w:rPr>
                <w:rFonts w:ascii="Times New Roman" w:eastAsia="Times New Roman" w:hAnsi="Times New Roman" w:cs="Times New Roman"/>
                <w:bCs/>
                <w:sz w:val="16"/>
                <w:szCs w:val="16"/>
                <w:lang w:eastAsia="lv-LV"/>
              </w:rPr>
            </w:pPr>
            <w:r w:rsidRPr="006F66C6">
              <w:rPr>
                <w:rFonts w:ascii="Times New Roman" w:eastAsia="Times New Roman" w:hAnsi="Times New Roman" w:cs="Times New Roman"/>
                <w:bCs/>
                <w:sz w:val="16"/>
                <w:szCs w:val="16"/>
                <w:lang w:eastAsia="lv-LV"/>
              </w:rPr>
              <w:t>(EUR bez PVN)</w:t>
            </w:r>
          </w:p>
        </w:tc>
      </w:tr>
      <w:tr w:rsidR="00350E42" w:rsidRPr="00D34E56" w14:paraId="55315A24" w14:textId="77777777" w:rsidTr="00B1734C">
        <w:trPr>
          <w:trHeight w:val="345"/>
        </w:trPr>
        <w:tc>
          <w:tcPr>
            <w:tcW w:w="474" w:type="dxa"/>
            <w:vMerge/>
            <w:vAlign w:val="center"/>
            <w:hideMark/>
          </w:tcPr>
          <w:p w14:paraId="5E1D3C9A" w14:textId="65E570DE"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2525" w:type="dxa"/>
            <w:vMerge/>
            <w:vAlign w:val="center"/>
            <w:hideMark/>
          </w:tcPr>
          <w:p w14:paraId="22AAC7F3"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988" w:type="dxa"/>
            <w:vMerge/>
            <w:vAlign w:val="center"/>
            <w:hideMark/>
          </w:tcPr>
          <w:p w14:paraId="0CC56D41"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867" w:type="dxa"/>
            <w:shd w:val="clear" w:color="auto" w:fill="F2F2F2" w:themeFill="background1" w:themeFillShade="F2"/>
            <w:vAlign w:val="center"/>
            <w:hideMark/>
          </w:tcPr>
          <w:p w14:paraId="0CFCFE07" w14:textId="77777777" w:rsidR="00350E42" w:rsidRPr="00D34E56" w:rsidRDefault="00350E42" w:rsidP="000A030D">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457,60</w:t>
            </w:r>
          </w:p>
        </w:tc>
        <w:tc>
          <w:tcPr>
            <w:tcW w:w="2144" w:type="dxa"/>
            <w:shd w:val="clear" w:color="auto" w:fill="F2F2F2" w:themeFill="background1" w:themeFillShade="F2"/>
            <w:vAlign w:val="center"/>
            <w:hideMark/>
          </w:tcPr>
          <w:p w14:paraId="60AA1AD9" w14:textId="77777777" w:rsidR="00350E42" w:rsidRPr="00D34E56" w:rsidRDefault="00350E42" w:rsidP="00350E42">
            <w:pPr>
              <w:spacing w:after="0" w:line="240" w:lineRule="auto"/>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m</w:t>
            </w:r>
            <w:r w:rsidRPr="00D34E56">
              <w:rPr>
                <w:rFonts w:ascii="Times New Roman" w:eastAsia="Times New Roman" w:hAnsi="Times New Roman" w:cs="Times New Roman"/>
                <w:bCs/>
                <w:sz w:val="16"/>
                <w:szCs w:val="16"/>
                <w:vertAlign w:val="superscript"/>
                <w:lang w:eastAsia="lv-LV"/>
              </w:rPr>
              <w:t>2</w:t>
            </w:r>
            <w:r w:rsidRPr="00D34E56">
              <w:rPr>
                <w:rFonts w:ascii="Times New Roman" w:eastAsia="Times New Roman" w:hAnsi="Times New Roman" w:cs="Times New Roman"/>
                <w:bCs/>
                <w:sz w:val="16"/>
                <w:szCs w:val="16"/>
                <w:lang w:eastAsia="lv-LV"/>
              </w:rPr>
              <w:t xml:space="preserve"> ēku 002; 003; 004; 005; 007 kopējā </w:t>
            </w:r>
            <w:r w:rsidR="00121F94">
              <w:rPr>
                <w:rFonts w:ascii="Times New Roman" w:eastAsia="Times New Roman" w:hAnsi="Times New Roman" w:cs="Times New Roman"/>
                <w:bCs/>
                <w:sz w:val="16"/>
                <w:szCs w:val="16"/>
                <w:lang w:eastAsia="lv-LV"/>
              </w:rPr>
              <w:t xml:space="preserve">projektējamā </w:t>
            </w:r>
            <w:r w:rsidRPr="00D34E56">
              <w:rPr>
                <w:rFonts w:ascii="Times New Roman" w:eastAsia="Times New Roman" w:hAnsi="Times New Roman" w:cs="Times New Roman"/>
                <w:bCs/>
                <w:sz w:val="16"/>
                <w:szCs w:val="16"/>
                <w:lang w:eastAsia="lv-LV"/>
              </w:rPr>
              <w:t xml:space="preserve">platība; </w:t>
            </w:r>
          </w:p>
        </w:tc>
        <w:tc>
          <w:tcPr>
            <w:tcW w:w="1134" w:type="dxa"/>
            <w:vMerge/>
            <w:vAlign w:val="center"/>
            <w:hideMark/>
          </w:tcPr>
          <w:p w14:paraId="78D4DB88"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993" w:type="dxa"/>
            <w:vMerge/>
            <w:vAlign w:val="center"/>
            <w:hideMark/>
          </w:tcPr>
          <w:p w14:paraId="18F6F568"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r>
      <w:tr w:rsidR="00350E42" w:rsidRPr="00D34E56" w14:paraId="14927513" w14:textId="77777777" w:rsidTr="00B1734C">
        <w:trPr>
          <w:trHeight w:val="127"/>
        </w:trPr>
        <w:tc>
          <w:tcPr>
            <w:tcW w:w="474" w:type="dxa"/>
            <w:vMerge/>
            <w:vAlign w:val="center"/>
            <w:hideMark/>
          </w:tcPr>
          <w:p w14:paraId="615BFC3B"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2525" w:type="dxa"/>
            <w:vMerge/>
            <w:vAlign w:val="center"/>
            <w:hideMark/>
          </w:tcPr>
          <w:p w14:paraId="20E84584"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988" w:type="dxa"/>
            <w:vMerge/>
            <w:vAlign w:val="center"/>
            <w:hideMark/>
          </w:tcPr>
          <w:p w14:paraId="09BFA9E1"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867" w:type="dxa"/>
            <w:shd w:val="clear" w:color="auto" w:fill="F2F2F2" w:themeFill="background1" w:themeFillShade="F2"/>
            <w:vAlign w:val="center"/>
            <w:hideMark/>
          </w:tcPr>
          <w:p w14:paraId="18E4D6CF" w14:textId="77777777" w:rsidR="00350E42" w:rsidRPr="00D34E56" w:rsidRDefault="00350E42" w:rsidP="000A030D">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2 036,70</w:t>
            </w:r>
          </w:p>
        </w:tc>
        <w:tc>
          <w:tcPr>
            <w:tcW w:w="2144" w:type="dxa"/>
            <w:shd w:val="clear" w:color="auto" w:fill="F2F2F2" w:themeFill="background1" w:themeFillShade="F2"/>
            <w:vAlign w:val="center"/>
            <w:hideMark/>
          </w:tcPr>
          <w:p w14:paraId="1E119446" w14:textId="77777777" w:rsidR="00350E42" w:rsidRPr="00D34E56" w:rsidRDefault="00350E42" w:rsidP="00350E42">
            <w:pPr>
              <w:spacing w:after="0" w:line="240" w:lineRule="auto"/>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m</w:t>
            </w:r>
            <w:r w:rsidRPr="00D34E56">
              <w:rPr>
                <w:rFonts w:ascii="Times New Roman" w:eastAsia="Times New Roman" w:hAnsi="Times New Roman" w:cs="Times New Roman"/>
                <w:bCs/>
                <w:sz w:val="16"/>
                <w:szCs w:val="16"/>
                <w:vertAlign w:val="superscript"/>
                <w:lang w:eastAsia="lv-LV"/>
              </w:rPr>
              <w:t>2</w:t>
            </w:r>
            <w:r w:rsidRPr="00D34E56">
              <w:rPr>
                <w:rFonts w:ascii="Times New Roman" w:eastAsia="Times New Roman" w:hAnsi="Times New Roman" w:cs="Times New Roman"/>
                <w:bCs/>
                <w:sz w:val="16"/>
                <w:szCs w:val="16"/>
                <w:lang w:eastAsia="lv-LV"/>
              </w:rPr>
              <w:t xml:space="preserve"> </w:t>
            </w:r>
            <w:r w:rsidR="00EE1327">
              <w:rPr>
                <w:rFonts w:ascii="Times New Roman" w:eastAsia="Times New Roman" w:hAnsi="Times New Roman" w:cs="Times New Roman"/>
                <w:bCs/>
                <w:sz w:val="16"/>
                <w:szCs w:val="16"/>
                <w:lang w:eastAsia="lv-LV"/>
              </w:rPr>
              <w:t>visu ēku</w:t>
            </w:r>
            <w:r w:rsidRPr="00D34E56">
              <w:rPr>
                <w:rFonts w:ascii="Times New Roman" w:eastAsia="Times New Roman" w:hAnsi="Times New Roman" w:cs="Times New Roman"/>
                <w:bCs/>
                <w:sz w:val="16"/>
                <w:szCs w:val="16"/>
                <w:lang w:eastAsia="lv-LV"/>
              </w:rPr>
              <w:t xml:space="preserve"> kopējā </w:t>
            </w:r>
            <w:r w:rsidR="00121F94">
              <w:rPr>
                <w:rFonts w:ascii="Times New Roman" w:eastAsia="Times New Roman" w:hAnsi="Times New Roman" w:cs="Times New Roman"/>
                <w:bCs/>
                <w:sz w:val="16"/>
                <w:szCs w:val="16"/>
                <w:lang w:eastAsia="lv-LV"/>
              </w:rPr>
              <w:t xml:space="preserve"> projektējamā </w:t>
            </w:r>
            <w:r w:rsidRPr="00D34E56">
              <w:rPr>
                <w:rFonts w:ascii="Times New Roman" w:eastAsia="Times New Roman" w:hAnsi="Times New Roman" w:cs="Times New Roman"/>
                <w:bCs/>
                <w:sz w:val="16"/>
                <w:szCs w:val="16"/>
                <w:lang w:eastAsia="lv-LV"/>
              </w:rPr>
              <w:t xml:space="preserve">platība; </w:t>
            </w:r>
          </w:p>
        </w:tc>
        <w:tc>
          <w:tcPr>
            <w:tcW w:w="1134" w:type="dxa"/>
            <w:vMerge/>
            <w:vAlign w:val="center"/>
            <w:hideMark/>
          </w:tcPr>
          <w:p w14:paraId="23720970"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c>
          <w:tcPr>
            <w:tcW w:w="993" w:type="dxa"/>
            <w:vMerge/>
            <w:vAlign w:val="center"/>
            <w:hideMark/>
          </w:tcPr>
          <w:p w14:paraId="68E0D684" w14:textId="77777777" w:rsidR="00350E42" w:rsidRPr="00D34E56" w:rsidRDefault="00350E42" w:rsidP="00350E42">
            <w:pPr>
              <w:spacing w:after="0" w:line="240" w:lineRule="auto"/>
              <w:rPr>
                <w:rFonts w:ascii="Times New Roman" w:eastAsia="Times New Roman" w:hAnsi="Times New Roman" w:cs="Times New Roman"/>
                <w:bCs/>
                <w:sz w:val="16"/>
                <w:szCs w:val="16"/>
                <w:lang w:eastAsia="lv-LV"/>
              </w:rPr>
            </w:pPr>
          </w:p>
        </w:tc>
      </w:tr>
      <w:tr w:rsidR="00350E42" w:rsidRPr="00D34E56" w14:paraId="488E39AD" w14:textId="77777777" w:rsidTr="00B1734C">
        <w:trPr>
          <w:trHeight w:val="255"/>
        </w:trPr>
        <w:tc>
          <w:tcPr>
            <w:tcW w:w="474" w:type="dxa"/>
            <w:shd w:val="clear" w:color="000000" w:fill="FFFFFF"/>
            <w:vAlign w:val="center"/>
            <w:hideMark/>
          </w:tcPr>
          <w:p w14:paraId="51A21BB0"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1.</w:t>
            </w:r>
          </w:p>
        </w:tc>
        <w:tc>
          <w:tcPr>
            <w:tcW w:w="2525" w:type="dxa"/>
            <w:shd w:val="clear" w:color="000000" w:fill="FFFFFF"/>
            <w:vAlign w:val="center"/>
            <w:hideMark/>
          </w:tcPr>
          <w:p w14:paraId="530D1B35"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Pirms projekta izpēte;</w:t>
            </w:r>
          </w:p>
        </w:tc>
        <w:tc>
          <w:tcPr>
            <w:tcW w:w="988" w:type="dxa"/>
            <w:shd w:val="clear" w:color="000000" w:fill="FFFFFF"/>
            <w:vAlign w:val="center"/>
            <w:hideMark/>
          </w:tcPr>
          <w:p w14:paraId="38D9AC27"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0</w:t>
            </w:r>
          </w:p>
        </w:tc>
        <w:tc>
          <w:tcPr>
            <w:tcW w:w="867" w:type="dxa"/>
            <w:shd w:val="clear" w:color="000000" w:fill="FFFFFF"/>
            <w:vAlign w:val="center"/>
            <w:hideMark/>
          </w:tcPr>
          <w:p w14:paraId="11AE1D3A" w14:textId="77777777" w:rsidR="00350E42" w:rsidRPr="00D34E56" w:rsidRDefault="00350E42" w:rsidP="000A030D">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0,00%</w:t>
            </w:r>
          </w:p>
        </w:tc>
        <w:tc>
          <w:tcPr>
            <w:tcW w:w="2144" w:type="dxa"/>
            <w:shd w:val="clear" w:color="000000" w:fill="FFFFFF"/>
            <w:vAlign w:val="center"/>
            <w:hideMark/>
          </w:tcPr>
          <w:p w14:paraId="5FA3F15E"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informatīvi no (4.p.) - fakts;</w:t>
            </w:r>
          </w:p>
        </w:tc>
        <w:tc>
          <w:tcPr>
            <w:tcW w:w="1134" w:type="dxa"/>
            <w:shd w:val="clear" w:color="000000" w:fill="FFFFFF"/>
            <w:vAlign w:val="center"/>
            <w:hideMark/>
          </w:tcPr>
          <w:p w14:paraId="2F6F7EF0"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w:t>
            </w:r>
          </w:p>
        </w:tc>
        <w:tc>
          <w:tcPr>
            <w:tcW w:w="993" w:type="dxa"/>
            <w:shd w:val="clear" w:color="000000" w:fill="FFFFFF"/>
            <w:vAlign w:val="center"/>
            <w:hideMark/>
          </w:tcPr>
          <w:p w14:paraId="63658438"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w:t>
            </w:r>
          </w:p>
        </w:tc>
      </w:tr>
      <w:tr w:rsidR="00350E42" w:rsidRPr="00D34E56" w14:paraId="0DFD938D" w14:textId="77777777" w:rsidTr="00B1734C">
        <w:trPr>
          <w:trHeight w:val="255"/>
        </w:trPr>
        <w:tc>
          <w:tcPr>
            <w:tcW w:w="474" w:type="dxa"/>
            <w:shd w:val="clear" w:color="000000" w:fill="FFFFFF"/>
            <w:vAlign w:val="center"/>
            <w:hideMark/>
          </w:tcPr>
          <w:p w14:paraId="134779D1"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2.</w:t>
            </w:r>
          </w:p>
        </w:tc>
        <w:tc>
          <w:tcPr>
            <w:tcW w:w="2525" w:type="dxa"/>
            <w:shd w:val="clear" w:color="000000" w:fill="FFFFFF"/>
            <w:vAlign w:val="center"/>
            <w:hideMark/>
          </w:tcPr>
          <w:p w14:paraId="381903D8"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Tehniskā projekta izstrāde un autoruzraudzība;</w:t>
            </w:r>
          </w:p>
        </w:tc>
        <w:tc>
          <w:tcPr>
            <w:tcW w:w="988" w:type="dxa"/>
            <w:shd w:val="clear" w:color="000000" w:fill="FFFFFF"/>
            <w:vAlign w:val="center"/>
            <w:hideMark/>
          </w:tcPr>
          <w:p w14:paraId="32B542CC" w14:textId="77777777" w:rsidR="00350E42" w:rsidRPr="00D34E56" w:rsidRDefault="00350E42" w:rsidP="000A030D">
            <w:pPr>
              <w:spacing w:after="0" w:line="240" w:lineRule="auto"/>
              <w:jc w:val="right"/>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153 408</w:t>
            </w:r>
          </w:p>
        </w:tc>
        <w:tc>
          <w:tcPr>
            <w:tcW w:w="867" w:type="dxa"/>
            <w:shd w:val="clear" w:color="000000" w:fill="FFFFFF"/>
            <w:vAlign w:val="center"/>
            <w:hideMark/>
          </w:tcPr>
          <w:p w14:paraId="6ED050F7" w14:textId="77777777" w:rsidR="00350E42" w:rsidRPr="00D34E56" w:rsidRDefault="00350E42" w:rsidP="000A030D">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6,96%</w:t>
            </w:r>
          </w:p>
        </w:tc>
        <w:tc>
          <w:tcPr>
            <w:tcW w:w="2144" w:type="dxa"/>
            <w:shd w:val="clear" w:color="000000" w:fill="FFFFFF"/>
            <w:vAlign w:val="center"/>
            <w:hideMark/>
          </w:tcPr>
          <w:p w14:paraId="48BF1129"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no būvniecības</w:t>
            </w:r>
            <w:r w:rsidR="0046706A">
              <w:rPr>
                <w:rFonts w:ascii="Times New Roman" w:eastAsia="Times New Roman" w:hAnsi="Times New Roman" w:cs="Times New Roman"/>
                <w:sz w:val="16"/>
                <w:szCs w:val="16"/>
                <w:lang w:eastAsia="lv-LV"/>
              </w:rPr>
              <w:t xml:space="preserve"> darbu</w:t>
            </w:r>
            <w:r w:rsidRPr="00D34E56">
              <w:rPr>
                <w:rFonts w:ascii="Times New Roman" w:eastAsia="Times New Roman" w:hAnsi="Times New Roman" w:cs="Times New Roman"/>
                <w:sz w:val="16"/>
                <w:szCs w:val="16"/>
                <w:lang w:eastAsia="lv-LV"/>
              </w:rPr>
              <w:t xml:space="preserve"> izmaksām (4.p.)</w:t>
            </w:r>
          </w:p>
        </w:tc>
        <w:tc>
          <w:tcPr>
            <w:tcW w:w="1134" w:type="dxa"/>
            <w:shd w:val="clear" w:color="000000" w:fill="FFFFFF"/>
            <w:vAlign w:val="center"/>
            <w:hideMark/>
          </w:tcPr>
          <w:p w14:paraId="65022E6E" w14:textId="77777777" w:rsidR="00350E42" w:rsidRPr="00D34E56" w:rsidRDefault="00350E42" w:rsidP="000A030D">
            <w:pPr>
              <w:spacing w:after="0" w:line="240" w:lineRule="auto"/>
              <w:jc w:val="right"/>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123 776,43</w:t>
            </w:r>
          </w:p>
        </w:tc>
        <w:tc>
          <w:tcPr>
            <w:tcW w:w="993" w:type="dxa"/>
            <w:shd w:val="clear" w:color="000000" w:fill="FFFFFF"/>
            <w:vAlign w:val="center"/>
            <w:hideMark/>
          </w:tcPr>
          <w:p w14:paraId="1FBC1851" w14:textId="77777777" w:rsidR="00350E42" w:rsidRPr="00D34E56" w:rsidRDefault="00350E42" w:rsidP="000A030D">
            <w:pPr>
              <w:spacing w:after="0" w:line="240" w:lineRule="auto"/>
              <w:jc w:val="right"/>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29 631,74</w:t>
            </w:r>
          </w:p>
        </w:tc>
      </w:tr>
      <w:tr w:rsidR="00350E42" w:rsidRPr="00D34E56" w14:paraId="38E3332B" w14:textId="77777777" w:rsidTr="00B1734C">
        <w:trPr>
          <w:trHeight w:val="547"/>
        </w:trPr>
        <w:tc>
          <w:tcPr>
            <w:tcW w:w="474" w:type="dxa"/>
            <w:shd w:val="clear" w:color="000000" w:fill="FFFFFF"/>
            <w:vAlign w:val="center"/>
            <w:hideMark/>
          </w:tcPr>
          <w:p w14:paraId="54123D92"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2.1.</w:t>
            </w:r>
          </w:p>
        </w:tc>
        <w:tc>
          <w:tcPr>
            <w:tcW w:w="2525" w:type="dxa"/>
            <w:shd w:val="clear" w:color="000000" w:fill="FFFFFF"/>
            <w:vAlign w:val="center"/>
            <w:hideMark/>
          </w:tcPr>
          <w:p w14:paraId="5AD0F077"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Tehniskā projekta izstrāde (t.sk. (topogrāfija, ģeoloģija; būvprojekta un restaurācijas projekta izstrāde)</w:t>
            </w:r>
          </w:p>
        </w:tc>
        <w:tc>
          <w:tcPr>
            <w:tcW w:w="988" w:type="dxa"/>
            <w:shd w:val="clear" w:color="000000" w:fill="FFFFFF"/>
            <w:vAlign w:val="center"/>
            <w:hideMark/>
          </w:tcPr>
          <w:p w14:paraId="1CA5EAB0"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99 532</w:t>
            </w:r>
          </w:p>
        </w:tc>
        <w:tc>
          <w:tcPr>
            <w:tcW w:w="867" w:type="dxa"/>
            <w:shd w:val="clear" w:color="000000" w:fill="FFFFFF"/>
            <w:vAlign w:val="center"/>
            <w:hideMark/>
          </w:tcPr>
          <w:p w14:paraId="2429132B" w14:textId="77777777" w:rsidR="00350E42" w:rsidRPr="00D34E56" w:rsidRDefault="00350E42" w:rsidP="000A030D">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4,51%</w:t>
            </w:r>
          </w:p>
        </w:tc>
        <w:tc>
          <w:tcPr>
            <w:tcW w:w="2144" w:type="dxa"/>
            <w:shd w:val="clear" w:color="000000" w:fill="FFFFFF"/>
            <w:vAlign w:val="center"/>
            <w:hideMark/>
          </w:tcPr>
          <w:p w14:paraId="56D1190F"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no būvniecības</w:t>
            </w:r>
            <w:r w:rsidR="0046706A">
              <w:rPr>
                <w:rFonts w:ascii="Times New Roman" w:eastAsia="Times New Roman" w:hAnsi="Times New Roman" w:cs="Times New Roman"/>
                <w:sz w:val="16"/>
                <w:szCs w:val="16"/>
                <w:lang w:eastAsia="lv-LV"/>
              </w:rPr>
              <w:t xml:space="preserve"> darbu</w:t>
            </w:r>
            <w:r w:rsidRPr="00D34E56">
              <w:rPr>
                <w:rFonts w:ascii="Times New Roman" w:eastAsia="Times New Roman" w:hAnsi="Times New Roman" w:cs="Times New Roman"/>
                <w:sz w:val="16"/>
                <w:szCs w:val="16"/>
                <w:lang w:eastAsia="lv-LV"/>
              </w:rPr>
              <w:t xml:space="preserve"> izmaksām (4.p.)</w:t>
            </w:r>
          </w:p>
        </w:tc>
        <w:tc>
          <w:tcPr>
            <w:tcW w:w="1134" w:type="dxa"/>
            <w:shd w:val="clear" w:color="000000" w:fill="FFFFFF"/>
            <w:vAlign w:val="center"/>
            <w:hideMark/>
          </w:tcPr>
          <w:p w14:paraId="2EBB3662"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99 532,28</w:t>
            </w:r>
          </w:p>
        </w:tc>
        <w:tc>
          <w:tcPr>
            <w:tcW w:w="993" w:type="dxa"/>
            <w:shd w:val="clear" w:color="000000" w:fill="FFFFFF"/>
            <w:vAlign w:val="center"/>
            <w:hideMark/>
          </w:tcPr>
          <w:p w14:paraId="5F221096"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w:t>
            </w:r>
          </w:p>
        </w:tc>
      </w:tr>
      <w:tr w:rsidR="00350E42" w:rsidRPr="00D34E56" w14:paraId="685954C1" w14:textId="77777777" w:rsidTr="00B1734C">
        <w:trPr>
          <w:trHeight w:val="255"/>
        </w:trPr>
        <w:tc>
          <w:tcPr>
            <w:tcW w:w="474" w:type="dxa"/>
            <w:shd w:val="clear" w:color="000000" w:fill="FFFFFF"/>
            <w:vAlign w:val="center"/>
            <w:hideMark/>
          </w:tcPr>
          <w:p w14:paraId="7F2EC8F1"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2.2.</w:t>
            </w:r>
          </w:p>
        </w:tc>
        <w:tc>
          <w:tcPr>
            <w:tcW w:w="2525" w:type="dxa"/>
            <w:shd w:val="clear" w:color="000000" w:fill="FFFFFF"/>
            <w:vAlign w:val="center"/>
            <w:hideMark/>
          </w:tcPr>
          <w:p w14:paraId="40DFBAF7"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Tehniskā projekta autoruzraudzība;</w:t>
            </w:r>
          </w:p>
        </w:tc>
        <w:tc>
          <w:tcPr>
            <w:tcW w:w="988" w:type="dxa"/>
            <w:shd w:val="clear" w:color="000000" w:fill="FFFFFF"/>
            <w:vAlign w:val="center"/>
            <w:hideMark/>
          </w:tcPr>
          <w:p w14:paraId="6214617B"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53 876</w:t>
            </w:r>
          </w:p>
        </w:tc>
        <w:tc>
          <w:tcPr>
            <w:tcW w:w="867" w:type="dxa"/>
            <w:shd w:val="clear" w:color="000000" w:fill="FFFFFF"/>
            <w:vAlign w:val="center"/>
            <w:hideMark/>
          </w:tcPr>
          <w:p w14:paraId="42EC9E06" w14:textId="77777777" w:rsidR="00350E42" w:rsidRPr="00D34E56" w:rsidRDefault="00350E42" w:rsidP="000A030D">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2,44%</w:t>
            </w:r>
          </w:p>
        </w:tc>
        <w:tc>
          <w:tcPr>
            <w:tcW w:w="2144" w:type="dxa"/>
            <w:shd w:val="clear" w:color="000000" w:fill="FFFFFF"/>
            <w:vAlign w:val="center"/>
            <w:hideMark/>
          </w:tcPr>
          <w:p w14:paraId="0A772D11"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xml:space="preserve">no būvniecības </w:t>
            </w:r>
            <w:r w:rsidR="0046706A">
              <w:rPr>
                <w:rFonts w:ascii="Times New Roman" w:eastAsia="Times New Roman" w:hAnsi="Times New Roman" w:cs="Times New Roman"/>
                <w:sz w:val="16"/>
                <w:szCs w:val="16"/>
                <w:lang w:eastAsia="lv-LV"/>
              </w:rPr>
              <w:t xml:space="preserve">darbu </w:t>
            </w:r>
            <w:r w:rsidRPr="00D34E56">
              <w:rPr>
                <w:rFonts w:ascii="Times New Roman" w:eastAsia="Times New Roman" w:hAnsi="Times New Roman" w:cs="Times New Roman"/>
                <w:sz w:val="16"/>
                <w:szCs w:val="16"/>
                <w:lang w:eastAsia="lv-LV"/>
              </w:rPr>
              <w:t>izmaksām (4.p.)</w:t>
            </w:r>
          </w:p>
        </w:tc>
        <w:tc>
          <w:tcPr>
            <w:tcW w:w="1134" w:type="dxa"/>
            <w:shd w:val="clear" w:color="000000" w:fill="FFFFFF"/>
            <w:vAlign w:val="center"/>
            <w:hideMark/>
          </w:tcPr>
          <w:p w14:paraId="19089356"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24 244,15</w:t>
            </w:r>
          </w:p>
        </w:tc>
        <w:tc>
          <w:tcPr>
            <w:tcW w:w="993" w:type="dxa"/>
            <w:shd w:val="clear" w:color="000000" w:fill="FFFFFF"/>
            <w:vAlign w:val="center"/>
            <w:hideMark/>
          </w:tcPr>
          <w:p w14:paraId="7908F985"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29 631,74</w:t>
            </w:r>
          </w:p>
        </w:tc>
      </w:tr>
      <w:tr w:rsidR="00350E42" w:rsidRPr="00D34E56" w14:paraId="051A16BF" w14:textId="77777777" w:rsidTr="00B1734C">
        <w:trPr>
          <w:trHeight w:val="255"/>
        </w:trPr>
        <w:tc>
          <w:tcPr>
            <w:tcW w:w="474" w:type="dxa"/>
            <w:shd w:val="clear" w:color="000000" w:fill="FFFFFF"/>
            <w:vAlign w:val="center"/>
            <w:hideMark/>
          </w:tcPr>
          <w:p w14:paraId="4615709E"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3.</w:t>
            </w:r>
          </w:p>
        </w:tc>
        <w:tc>
          <w:tcPr>
            <w:tcW w:w="2525" w:type="dxa"/>
            <w:shd w:val="clear" w:color="000000" w:fill="FFFFFF"/>
            <w:vAlign w:val="center"/>
            <w:hideMark/>
          </w:tcPr>
          <w:p w14:paraId="3F8E2495"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Tehniskā projekta ekspertīze;</w:t>
            </w:r>
          </w:p>
        </w:tc>
        <w:tc>
          <w:tcPr>
            <w:tcW w:w="988" w:type="dxa"/>
            <w:shd w:val="clear" w:color="000000" w:fill="FFFFFF"/>
            <w:vAlign w:val="center"/>
            <w:hideMark/>
          </w:tcPr>
          <w:p w14:paraId="4B1E3109"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42 579</w:t>
            </w:r>
          </w:p>
        </w:tc>
        <w:tc>
          <w:tcPr>
            <w:tcW w:w="867" w:type="dxa"/>
            <w:shd w:val="clear" w:color="000000" w:fill="FFFFFF"/>
            <w:vAlign w:val="center"/>
            <w:hideMark/>
          </w:tcPr>
          <w:p w14:paraId="604BF5FE" w14:textId="77777777" w:rsidR="00350E42" w:rsidRPr="00D34E56" w:rsidRDefault="00350E42" w:rsidP="000A030D">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1,93%</w:t>
            </w:r>
          </w:p>
        </w:tc>
        <w:tc>
          <w:tcPr>
            <w:tcW w:w="2144" w:type="dxa"/>
            <w:shd w:val="clear" w:color="000000" w:fill="FFFFFF"/>
            <w:vAlign w:val="center"/>
            <w:hideMark/>
          </w:tcPr>
          <w:p w14:paraId="5D28F54D"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xml:space="preserve">no būvniecības </w:t>
            </w:r>
            <w:r w:rsidR="0046706A">
              <w:rPr>
                <w:rFonts w:ascii="Times New Roman" w:eastAsia="Times New Roman" w:hAnsi="Times New Roman" w:cs="Times New Roman"/>
                <w:sz w:val="16"/>
                <w:szCs w:val="16"/>
                <w:lang w:eastAsia="lv-LV"/>
              </w:rPr>
              <w:t xml:space="preserve">darbu </w:t>
            </w:r>
            <w:r w:rsidRPr="00D34E56">
              <w:rPr>
                <w:rFonts w:ascii="Times New Roman" w:eastAsia="Times New Roman" w:hAnsi="Times New Roman" w:cs="Times New Roman"/>
                <w:sz w:val="16"/>
                <w:szCs w:val="16"/>
                <w:lang w:eastAsia="lv-LV"/>
              </w:rPr>
              <w:t>izmaksām (4.p.)</w:t>
            </w:r>
          </w:p>
        </w:tc>
        <w:tc>
          <w:tcPr>
            <w:tcW w:w="1134" w:type="dxa"/>
            <w:shd w:val="clear" w:color="000000" w:fill="FFFFFF"/>
            <w:vAlign w:val="center"/>
            <w:hideMark/>
          </w:tcPr>
          <w:p w14:paraId="0757779F"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42 579,44</w:t>
            </w:r>
          </w:p>
        </w:tc>
        <w:tc>
          <w:tcPr>
            <w:tcW w:w="993" w:type="dxa"/>
            <w:shd w:val="clear" w:color="000000" w:fill="FFFFFF"/>
            <w:vAlign w:val="center"/>
            <w:hideMark/>
          </w:tcPr>
          <w:p w14:paraId="4194D0C6"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w:t>
            </w:r>
          </w:p>
        </w:tc>
      </w:tr>
      <w:tr w:rsidR="00350E42" w:rsidRPr="00D34E56" w14:paraId="4F0558B1" w14:textId="77777777" w:rsidTr="00B1734C">
        <w:trPr>
          <w:trHeight w:val="255"/>
        </w:trPr>
        <w:tc>
          <w:tcPr>
            <w:tcW w:w="474" w:type="dxa"/>
            <w:shd w:val="clear" w:color="000000" w:fill="FFFFFF"/>
            <w:vAlign w:val="center"/>
            <w:hideMark/>
          </w:tcPr>
          <w:p w14:paraId="54E7568E" w14:textId="77777777" w:rsidR="00350E42" w:rsidRPr="00D34E56" w:rsidRDefault="00350E42" w:rsidP="00350E42">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4.</w:t>
            </w:r>
          </w:p>
        </w:tc>
        <w:tc>
          <w:tcPr>
            <w:tcW w:w="2525" w:type="dxa"/>
            <w:shd w:val="clear" w:color="000000" w:fill="FFFFFF"/>
            <w:vAlign w:val="center"/>
            <w:hideMark/>
          </w:tcPr>
          <w:p w14:paraId="49F07621" w14:textId="77777777" w:rsidR="00350E42" w:rsidRPr="00D34E56" w:rsidRDefault="00350E42" w:rsidP="00350E42">
            <w:pPr>
              <w:spacing w:after="0" w:line="240" w:lineRule="auto"/>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Būvniecības darbi;</w:t>
            </w:r>
          </w:p>
        </w:tc>
        <w:tc>
          <w:tcPr>
            <w:tcW w:w="988" w:type="dxa"/>
            <w:shd w:val="clear" w:color="000000" w:fill="FFFFFF"/>
            <w:vAlign w:val="center"/>
            <w:hideMark/>
          </w:tcPr>
          <w:p w14:paraId="28F0A316" w14:textId="77777777" w:rsidR="00350E42" w:rsidRPr="00D34E56" w:rsidRDefault="00350E42" w:rsidP="000A030D">
            <w:pPr>
              <w:spacing w:after="0" w:line="240" w:lineRule="auto"/>
              <w:jc w:val="right"/>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2 205 431</w:t>
            </w:r>
          </w:p>
        </w:tc>
        <w:tc>
          <w:tcPr>
            <w:tcW w:w="867" w:type="dxa"/>
            <w:shd w:val="clear" w:color="000000" w:fill="FFFFFF"/>
            <w:vAlign w:val="center"/>
            <w:hideMark/>
          </w:tcPr>
          <w:p w14:paraId="32AD4754" w14:textId="77777777" w:rsidR="00350E42" w:rsidRPr="00D34E56" w:rsidRDefault="00350E42" w:rsidP="000A030D">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1 082,85</w:t>
            </w:r>
          </w:p>
        </w:tc>
        <w:tc>
          <w:tcPr>
            <w:tcW w:w="2144" w:type="dxa"/>
            <w:shd w:val="clear" w:color="000000" w:fill="FFFFFF"/>
            <w:vAlign w:val="center"/>
            <w:hideMark/>
          </w:tcPr>
          <w:p w14:paraId="3C962E2B" w14:textId="77777777" w:rsidR="00350E42" w:rsidRPr="00D34E56" w:rsidRDefault="00350E42" w:rsidP="00350E42">
            <w:pPr>
              <w:spacing w:after="0" w:line="240" w:lineRule="auto"/>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i/>
                <w:sz w:val="16"/>
                <w:szCs w:val="16"/>
                <w:lang w:eastAsia="lv-LV"/>
              </w:rPr>
              <w:t>euro</w:t>
            </w:r>
            <w:r w:rsidRPr="00D34E56">
              <w:rPr>
                <w:rFonts w:ascii="Times New Roman" w:eastAsia="Times New Roman" w:hAnsi="Times New Roman" w:cs="Times New Roman"/>
                <w:bCs/>
                <w:sz w:val="16"/>
                <w:szCs w:val="16"/>
                <w:lang w:eastAsia="lv-LV"/>
              </w:rPr>
              <w:t xml:space="preserve"> uz 1 m</w:t>
            </w:r>
            <w:r w:rsidRPr="00D34E56">
              <w:rPr>
                <w:rFonts w:ascii="Times New Roman" w:eastAsia="Times New Roman" w:hAnsi="Times New Roman" w:cs="Times New Roman"/>
                <w:bCs/>
                <w:sz w:val="16"/>
                <w:szCs w:val="16"/>
                <w:vertAlign w:val="superscript"/>
                <w:lang w:eastAsia="lv-LV"/>
              </w:rPr>
              <w:t>2</w:t>
            </w:r>
          </w:p>
        </w:tc>
        <w:tc>
          <w:tcPr>
            <w:tcW w:w="1134" w:type="dxa"/>
            <w:shd w:val="clear" w:color="000000" w:fill="FFFFFF"/>
            <w:vAlign w:val="center"/>
            <w:hideMark/>
          </w:tcPr>
          <w:p w14:paraId="6875FA7D" w14:textId="77777777" w:rsidR="00350E42" w:rsidRPr="00D34E56" w:rsidRDefault="00350E42" w:rsidP="000A030D">
            <w:pPr>
              <w:spacing w:after="0" w:line="240" w:lineRule="auto"/>
              <w:jc w:val="right"/>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1 295 451,54</w:t>
            </w:r>
          </w:p>
        </w:tc>
        <w:tc>
          <w:tcPr>
            <w:tcW w:w="993" w:type="dxa"/>
            <w:shd w:val="clear" w:color="000000" w:fill="FFFFFF"/>
            <w:vAlign w:val="center"/>
            <w:hideMark/>
          </w:tcPr>
          <w:p w14:paraId="11178992" w14:textId="77777777" w:rsidR="00350E42" w:rsidRPr="00D34E56" w:rsidRDefault="00350E42" w:rsidP="000A030D">
            <w:pPr>
              <w:spacing w:after="0" w:line="240" w:lineRule="auto"/>
              <w:jc w:val="right"/>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909 979,01</w:t>
            </w:r>
          </w:p>
        </w:tc>
      </w:tr>
      <w:tr w:rsidR="00350E42" w:rsidRPr="00D34E56" w14:paraId="39766809" w14:textId="77777777" w:rsidTr="00B1734C">
        <w:trPr>
          <w:trHeight w:val="255"/>
        </w:trPr>
        <w:tc>
          <w:tcPr>
            <w:tcW w:w="474" w:type="dxa"/>
            <w:shd w:val="clear" w:color="000000" w:fill="FFFFFF"/>
            <w:vAlign w:val="center"/>
            <w:hideMark/>
          </w:tcPr>
          <w:p w14:paraId="1B28500D"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4.1.</w:t>
            </w:r>
          </w:p>
        </w:tc>
        <w:tc>
          <w:tcPr>
            <w:tcW w:w="2525" w:type="dxa"/>
            <w:shd w:val="clear" w:color="000000" w:fill="FFFFFF"/>
            <w:vAlign w:val="center"/>
            <w:hideMark/>
          </w:tcPr>
          <w:p w14:paraId="7493BCB7"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Būvniecības darbi (administratīvā ēkā 001)</w:t>
            </w:r>
          </w:p>
        </w:tc>
        <w:tc>
          <w:tcPr>
            <w:tcW w:w="988" w:type="dxa"/>
            <w:shd w:val="clear" w:color="000000" w:fill="FFFFFF"/>
            <w:vAlign w:val="center"/>
            <w:hideMark/>
          </w:tcPr>
          <w:p w14:paraId="62BBA8F2"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1 893 799</w:t>
            </w:r>
          </w:p>
        </w:tc>
        <w:tc>
          <w:tcPr>
            <w:tcW w:w="867" w:type="dxa"/>
            <w:shd w:val="clear" w:color="000000" w:fill="FFFFFF"/>
            <w:vAlign w:val="center"/>
            <w:hideMark/>
          </w:tcPr>
          <w:p w14:paraId="544D3E7A" w14:textId="77777777" w:rsidR="00350E42" w:rsidRPr="00D34E56" w:rsidRDefault="00350E42" w:rsidP="000A030D">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1 199,29</w:t>
            </w:r>
          </w:p>
        </w:tc>
        <w:tc>
          <w:tcPr>
            <w:tcW w:w="2144" w:type="dxa"/>
            <w:shd w:val="clear" w:color="000000" w:fill="FFFFFF"/>
            <w:vAlign w:val="center"/>
            <w:hideMark/>
          </w:tcPr>
          <w:p w14:paraId="3262C41C" w14:textId="77777777" w:rsidR="00350E42" w:rsidRPr="00D34E56" w:rsidRDefault="00350E42" w:rsidP="00350E42">
            <w:pPr>
              <w:spacing w:after="0" w:line="240" w:lineRule="auto"/>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i/>
                <w:sz w:val="16"/>
                <w:szCs w:val="16"/>
                <w:lang w:eastAsia="lv-LV"/>
              </w:rPr>
              <w:t>euro</w:t>
            </w:r>
            <w:r w:rsidRPr="00D34E56">
              <w:rPr>
                <w:rFonts w:ascii="Times New Roman" w:eastAsia="Times New Roman" w:hAnsi="Times New Roman" w:cs="Times New Roman"/>
                <w:bCs/>
                <w:sz w:val="16"/>
                <w:szCs w:val="16"/>
                <w:lang w:eastAsia="lv-LV"/>
              </w:rPr>
              <w:t xml:space="preserve"> uz 1 m</w:t>
            </w:r>
            <w:r w:rsidRPr="00D34E56">
              <w:rPr>
                <w:rFonts w:ascii="Times New Roman" w:eastAsia="Times New Roman" w:hAnsi="Times New Roman" w:cs="Times New Roman"/>
                <w:bCs/>
                <w:sz w:val="16"/>
                <w:szCs w:val="16"/>
                <w:vertAlign w:val="superscript"/>
                <w:lang w:eastAsia="lv-LV"/>
              </w:rPr>
              <w:t xml:space="preserve">2 </w:t>
            </w:r>
          </w:p>
        </w:tc>
        <w:tc>
          <w:tcPr>
            <w:tcW w:w="1134" w:type="dxa"/>
            <w:shd w:val="clear" w:color="000000" w:fill="FFFFFF"/>
            <w:vAlign w:val="center"/>
            <w:hideMark/>
          </w:tcPr>
          <w:p w14:paraId="120A2E55"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1 155 217,20</w:t>
            </w:r>
          </w:p>
        </w:tc>
        <w:tc>
          <w:tcPr>
            <w:tcW w:w="993" w:type="dxa"/>
            <w:shd w:val="clear" w:color="000000" w:fill="FFFFFF"/>
            <w:vAlign w:val="center"/>
            <w:hideMark/>
          </w:tcPr>
          <w:p w14:paraId="2BA02349"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738 581,49</w:t>
            </w:r>
          </w:p>
        </w:tc>
      </w:tr>
      <w:tr w:rsidR="00350E42" w:rsidRPr="00D34E56" w14:paraId="010C579F" w14:textId="77777777" w:rsidTr="00B1734C">
        <w:trPr>
          <w:trHeight w:val="540"/>
        </w:trPr>
        <w:tc>
          <w:tcPr>
            <w:tcW w:w="474" w:type="dxa"/>
            <w:shd w:val="clear" w:color="000000" w:fill="FFFFFF"/>
            <w:vAlign w:val="center"/>
            <w:hideMark/>
          </w:tcPr>
          <w:p w14:paraId="0E81E3CF"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4.2.</w:t>
            </w:r>
          </w:p>
        </w:tc>
        <w:tc>
          <w:tcPr>
            <w:tcW w:w="2525" w:type="dxa"/>
            <w:shd w:val="clear" w:color="000000" w:fill="FFFFFF"/>
            <w:vAlign w:val="center"/>
            <w:hideMark/>
          </w:tcPr>
          <w:p w14:paraId="280D3B11"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Būvniecības darbi (pārējās ēkas 002; 003; 004; 005; 007  un teritorijas labiekārtošana);</w:t>
            </w:r>
          </w:p>
        </w:tc>
        <w:tc>
          <w:tcPr>
            <w:tcW w:w="988" w:type="dxa"/>
            <w:shd w:val="clear" w:color="000000" w:fill="FFFFFF"/>
            <w:vAlign w:val="center"/>
            <w:hideMark/>
          </w:tcPr>
          <w:p w14:paraId="1E9FBDDD"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311 632</w:t>
            </w:r>
          </w:p>
        </w:tc>
        <w:tc>
          <w:tcPr>
            <w:tcW w:w="867" w:type="dxa"/>
            <w:shd w:val="clear" w:color="000000" w:fill="FFFFFF"/>
            <w:vAlign w:val="center"/>
            <w:hideMark/>
          </w:tcPr>
          <w:p w14:paraId="71439415" w14:textId="77777777" w:rsidR="00350E42" w:rsidRPr="00D34E56" w:rsidRDefault="00350E42" w:rsidP="000A030D">
            <w:pPr>
              <w:spacing w:after="0" w:line="240" w:lineRule="auto"/>
              <w:jc w:val="center"/>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sz w:val="16"/>
                <w:szCs w:val="16"/>
                <w:lang w:eastAsia="lv-LV"/>
              </w:rPr>
              <w:t>681,01</w:t>
            </w:r>
          </w:p>
        </w:tc>
        <w:tc>
          <w:tcPr>
            <w:tcW w:w="2144" w:type="dxa"/>
            <w:shd w:val="clear" w:color="000000" w:fill="FFFFFF"/>
            <w:vAlign w:val="center"/>
            <w:hideMark/>
          </w:tcPr>
          <w:p w14:paraId="4894F0CD" w14:textId="77777777" w:rsidR="00350E42" w:rsidRPr="00D34E56" w:rsidRDefault="00350E42" w:rsidP="00350E42">
            <w:pPr>
              <w:spacing w:after="0" w:line="240" w:lineRule="auto"/>
              <w:outlineLvl w:val="0"/>
              <w:rPr>
                <w:rFonts w:ascii="Times New Roman" w:eastAsia="Times New Roman" w:hAnsi="Times New Roman" w:cs="Times New Roman"/>
                <w:bCs/>
                <w:sz w:val="16"/>
                <w:szCs w:val="16"/>
                <w:lang w:eastAsia="lv-LV"/>
              </w:rPr>
            </w:pPr>
            <w:r w:rsidRPr="00D34E56">
              <w:rPr>
                <w:rFonts w:ascii="Times New Roman" w:eastAsia="Times New Roman" w:hAnsi="Times New Roman" w:cs="Times New Roman"/>
                <w:bCs/>
                <w:i/>
                <w:sz w:val="16"/>
                <w:szCs w:val="16"/>
                <w:lang w:eastAsia="lv-LV"/>
              </w:rPr>
              <w:t>euro</w:t>
            </w:r>
            <w:r w:rsidRPr="00D34E56">
              <w:rPr>
                <w:rFonts w:ascii="Times New Roman" w:eastAsia="Times New Roman" w:hAnsi="Times New Roman" w:cs="Times New Roman"/>
                <w:bCs/>
                <w:sz w:val="16"/>
                <w:szCs w:val="16"/>
                <w:lang w:eastAsia="lv-LV"/>
              </w:rPr>
              <w:t xml:space="preserve"> uz 1 m</w:t>
            </w:r>
            <w:r w:rsidRPr="00D34E56">
              <w:rPr>
                <w:rFonts w:ascii="Times New Roman" w:eastAsia="Times New Roman" w:hAnsi="Times New Roman" w:cs="Times New Roman"/>
                <w:bCs/>
                <w:sz w:val="16"/>
                <w:szCs w:val="16"/>
                <w:vertAlign w:val="superscript"/>
                <w:lang w:eastAsia="lv-LV"/>
              </w:rPr>
              <w:t>2</w:t>
            </w:r>
          </w:p>
        </w:tc>
        <w:tc>
          <w:tcPr>
            <w:tcW w:w="1134" w:type="dxa"/>
            <w:shd w:val="clear" w:color="000000" w:fill="FFFFFF"/>
            <w:vAlign w:val="center"/>
            <w:hideMark/>
          </w:tcPr>
          <w:p w14:paraId="14E6B607"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140 234,34</w:t>
            </w:r>
          </w:p>
        </w:tc>
        <w:tc>
          <w:tcPr>
            <w:tcW w:w="993" w:type="dxa"/>
            <w:shd w:val="clear" w:color="000000" w:fill="FFFFFF"/>
            <w:vAlign w:val="center"/>
            <w:hideMark/>
          </w:tcPr>
          <w:p w14:paraId="71E1DDF1"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171 397,52</w:t>
            </w:r>
          </w:p>
        </w:tc>
      </w:tr>
      <w:tr w:rsidR="00350E42" w:rsidRPr="00D34E56" w14:paraId="7C83923F" w14:textId="77777777" w:rsidTr="00B1734C">
        <w:trPr>
          <w:trHeight w:val="255"/>
        </w:trPr>
        <w:tc>
          <w:tcPr>
            <w:tcW w:w="474" w:type="dxa"/>
            <w:shd w:val="clear" w:color="000000" w:fill="FFFFFF"/>
            <w:vAlign w:val="center"/>
            <w:hideMark/>
          </w:tcPr>
          <w:p w14:paraId="518A25FC"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5.</w:t>
            </w:r>
          </w:p>
        </w:tc>
        <w:tc>
          <w:tcPr>
            <w:tcW w:w="2525" w:type="dxa"/>
            <w:shd w:val="clear" w:color="000000" w:fill="FFFFFF"/>
            <w:vAlign w:val="center"/>
            <w:hideMark/>
          </w:tcPr>
          <w:p w14:paraId="3BE0095E"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Būvniecības tehniskā uzraudzība;</w:t>
            </w:r>
          </w:p>
        </w:tc>
        <w:tc>
          <w:tcPr>
            <w:tcW w:w="988" w:type="dxa"/>
            <w:shd w:val="clear" w:color="000000" w:fill="FFFFFF"/>
            <w:vAlign w:val="center"/>
            <w:hideMark/>
          </w:tcPr>
          <w:p w14:paraId="1CD431C5"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0</w:t>
            </w:r>
          </w:p>
        </w:tc>
        <w:tc>
          <w:tcPr>
            <w:tcW w:w="867" w:type="dxa"/>
            <w:shd w:val="clear" w:color="000000" w:fill="FFFFFF"/>
            <w:vAlign w:val="center"/>
            <w:hideMark/>
          </w:tcPr>
          <w:p w14:paraId="13860525" w14:textId="77777777" w:rsidR="00350E42" w:rsidRPr="00D34E56" w:rsidRDefault="00350E42" w:rsidP="000A030D">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0,00%</w:t>
            </w:r>
          </w:p>
        </w:tc>
        <w:tc>
          <w:tcPr>
            <w:tcW w:w="2144" w:type="dxa"/>
            <w:shd w:val="clear" w:color="000000" w:fill="FFFFFF"/>
            <w:vAlign w:val="center"/>
            <w:hideMark/>
          </w:tcPr>
          <w:p w14:paraId="17802739"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no būvniecības</w:t>
            </w:r>
            <w:r w:rsidR="0046706A">
              <w:rPr>
                <w:rFonts w:ascii="Times New Roman" w:eastAsia="Times New Roman" w:hAnsi="Times New Roman" w:cs="Times New Roman"/>
                <w:sz w:val="16"/>
                <w:szCs w:val="16"/>
                <w:lang w:eastAsia="lv-LV"/>
              </w:rPr>
              <w:t xml:space="preserve"> darbu</w:t>
            </w:r>
            <w:r w:rsidRPr="00D34E56">
              <w:rPr>
                <w:rFonts w:ascii="Times New Roman" w:eastAsia="Times New Roman" w:hAnsi="Times New Roman" w:cs="Times New Roman"/>
                <w:sz w:val="16"/>
                <w:szCs w:val="16"/>
                <w:lang w:eastAsia="lv-LV"/>
              </w:rPr>
              <w:t xml:space="preserve"> izmaksām (4.p.)</w:t>
            </w:r>
          </w:p>
        </w:tc>
        <w:tc>
          <w:tcPr>
            <w:tcW w:w="1134" w:type="dxa"/>
            <w:shd w:val="clear" w:color="000000" w:fill="FFFFFF"/>
            <w:vAlign w:val="center"/>
            <w:hideMark/>
          </w:tcPr>
          <w:p w14:paraId="2A6D73D3"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w:t>
            </w:r>
          </w:p>
        </w:tc>
        <w:tc>
          <w:tcPr>
            <w:tcW w:w="993" w:type="dxa"/>
            <w:shd w:val="clear" w:color="000000" w:fill="FFFFFF"/>
            <w:vAlign w:val="center"/>
            <w:hideMark/>
          </w:tcPr>
          <w:p w14:paraId="44012F62"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w:t>
            </w:r>
          </w:p>
        </w:tc>
      </w:tr>
      <w:tr w:rsidR="00350E42" w:rsidRPr="00D34E56" w14:paraId="5FE7EB4B" w14:textId="77777777" w:rsidTr="00B1734C">
        <w:trPr>
          <w:trHeight w:val="255"/>
        </w:trPr>
        <w:tc>
          <w:tcPr>
            <w:tcW w:w="474" w:type="dxa"/>
            <w:shd w:val="clear" w:color="000000" w:fill="FFFFFF"/>
            <w:vAlign w:val="center"/>
            <w:hideMark/>
          </w:tcPr>
          <w:p w14:paraId="5E8E7E4F" w14:textId="77777777" w:rsidR="00350E42" w:rsidRPr="00D34E56" w:rsidRDefault="00350E42" w:rsidP="00350E42">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6.</w:t>
            </w:r>
          </w:p>
        </w:tc>
        <w:tc>
          <w:tcPr>
            <w:tcW w:w="2525" w:type="dxa"/>
            <w:shd w:val="clear" w:color="000000" w:fill="FFFFFF"/>
            <w:vAlign w:val="center"/>
            <w:hideMark/>
          </w:tcPr>
          <w:p w14:paraId="1B908D9E"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Citas ar būvniecību saistītās izmaksas</w:t>
            </w:r>
            <w:r w:rsidRPr="00D34E56">
              <w:rPr>
                <w:rFonts w:ascii="Times New Roman" w:eastAsia="Times New Roman" w:hAnsi="Times New Roman" w:cs="Times New Roman"/>
                <w:sz w:val="16"/>
                <w:szCs w:val="16"/>
                <w:vertAlign w:val="superscript"/>
                <w:lang w:eastAsia="lv-LV"/>
              </w:rPr>
              <w:t>[2]</w:t>
            </w:r>
            <w:r w:rsidRPr="00D34E56">
              <w:rPr>
                <w:rFonts w:ascii="Times New Roman" w:eastAsia="Times New Roman" w:hAnsi="Times New Roman" w:cs="Times New Roman"/>
                <w:sz w:val="16"/>
                <w:szCs w:val="16"/>
                <w:lang w:eastAsia="lv-LV"/>
              </w:rPr>
              <w:t>.</w:t>
            </w:r>
          </w:p>
        </w:tc>
        <w:tc>
          <w:tcPr>
            <w:tcW w:w="988" w:type="dxa"/>
            <w:shd w:val="clear" w:color="000000" w:fill="FFFFFF"/>
            <w:vAlign w:val="center"/>
            <w:hideMark/>
          </w:tcPr>
          <w:p w14:paraId="1395B5FA"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3 406</w:t>
            </w:r>
          </w:p>
        </w:tc>
        <w:tc>
          <w:tcPr>
            <w:tcW w:w="867" w:type="dxa"/>
            <w:shd w:val="clear" w:color="000000" w:fill="FFFFFF"/>
            <w:vAlign w:val="center"/>
            <w:hideMark/>
          </w:tcPr>
          <w:p w14:paraId="7172E78C" w14:textId="77777777" w:rsidR="00350E42" w:rsidRPr="00D34E56" w:rsidRDefault="00350E42" w:rsidP="000A030D">
            <w:pPr>
              <w:spacing w:after="0" w:line="240" w:lineRule="auto"/>
              <w:jc w:val="center"/>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0,15%</w:t>
            </w:r>
          </w:p>
        </w:tc>
        <w:tc>
          <w:tcPr>
            <w:tcW w:w="2144" w:type="dxa"/>
            <w:shd w:val="clear" w:color="000000" w:fill="FFFFFF"/>
            <w:vAlign w:val="center"/>
            <w:hideMark/>
          </w:tcPr>
          <w:p w14:paraId="6029DABF" w14:textId="77777777" w:rsidR="00350E42" w:rsidRPr="00D34E56" w:rsidRDefault="00350E42" w:rsidP="00350E42">
            <w:pPr>
              <w:spacing w:after="0" w:line="240" w:lineRule="auto"/>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xml:space="preserve">no būvniecības </w:t>
            </w:r>
            <w:r w:rsidR="0046706A">
              <w:rPr>
                <w:rFonts w:ascii="Times New Roman" w:eastAsia="Times New Roman" w:hAnsi="Times New Roman" w:cs="Times New Roman"/>
                <w:sz w:val="16"/>
                <w:szCs w:val="16"/>
                <w:lang w:eastAsia="lv-LV"/>
              </w:rPr>
              <w:t xml:space="preserve">darbu </w:t>
            </w:r>
            <w:r w:rsidRPr="00D34E56">
              <w:rPr>
                <w:rFonts w:ascii="Times New Roman" w:eastAsia="Times New Roman" w:hAnsi="Times New Roman" w:cs="Times New Roman"/>
                <w:sz w:val="16"/>
                <w:szCs w:val="16"/>
                <w:lang w:eastAsia="lv-LV"/>
              </w:rPr>
              <w:t>izmaksām (4.p.)</w:t>
            </w:r>
          </w:p>
        </w:tc>
        <w:tc>
          <w:tcPr>
            <w:tcW w:w="1134" w:type="dxa"/>
            <w:shd w:val="clear" w:color="000000" w:fill="FFFFFF"/>
            <w:vAlign w:val="center"/>
            <w:hideMark/>
          </w:tcPr>
          <w:p w14:paraId="40B9B903"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 </w:t>
            </w:r>
          </w:p>
        </w:tc>
        <w:tc>
          <w:tcPr>
            <w:tcW w:w="993" w:type="dxa"/>
            <w:shd w:val="clear" w:color="000000" w:fill="FFFFFF"/>
            <w:vAlign w:val="center"/>
            <w:hideMark/>
          </w:tcPr>
          <w:p w14:paraId="2FFB89F3" w14:textId="77777777" w:rsidR="00350E42" w:rsidRPr="00D34E56" w:rsidRDefault="00350E42" w:rsidP="000A030D">
            <w:pPr>
              <w:spacing w:after="0" w:line="240" w:lineRule="auto"/>
              <w:jc w:val="right"/>
              <w:outlineLvl w:val="0"/>
              <w:rPr>
                <w:rFonts w:ascii="Times New Roman" w:eastAsia="Times New Roman" w:hAnsi="Times New Roman" w:cs="Times New Roman"/>
                <w:sz w:val="16"/>
                <w:szCs w:val="16"/>
                <w:lang w:eastAsia="lv-LV"/>
              </w:rPr>
            </w:pPr>
            <w:r w:rsidRPr="00D34E56">
              <w:rPr>
                <w:rFonts w:ascii="Times New Roman" w:eastAsia="Times New Roman" w:hAnsi="Times New Roman" w:cs="Times New Roman"/>
                <w:sz w:val="16"/>
                <w:szCs w:val="16"/>
                <w:lang w:eastAsia="lv-LV"/>
              </w:rPr>
              <w:t>3 406,36</w:t>
            </w:r>
          </w:p>
        </w:tc>
      </w:tr>
      <w:tr w:rsidR="00350E42" w:rsidRPr="00D34E56" w14:paraId="7D6A5778" w14:textId="77777777" w:rsidTr="00B1734C">
        <w:trPr>
          <w:trHeight w:val="255"/>
        </w:trPr>
        <w:tc>
          <w:tcPr>
            <w:tcW w:w="2999" w:type="dxa"/>
            <w:gridSpan w:val="2"/>
            <w:shd w:val="clear" w:color="000000" w:fill="FFFFFF"/>
            <w:vAlign w:val="center"/>
            <w:hideMark/>
          </w:tcPr>
          <w:p w14:paraId="5F3A890A" w14:textId="77777777" w:rsidR="00350E42" w:rsidRPr="00D34E56" w:rsidRDefault="00350E42" w:rsidP="00350E42">
            <w:pPr>
              <w:spacing w:after="0" w:line="240" w:lineRule="auto"/>
              <w:jc w:val="right"/>
              <w:outlineLvl w:val="0"/>
              <w:rPr>
                <w:rFonts w:ascii="Times New Roman" w:eastAsia="Times New Roman" w:hAnsi="Times New Roman" w:cs="Times New Roman"/>
                <w:b/>
                <w:bCs/>
                <w:sz w:val="16"/>
                <w:szCs w:val="16"/>
                <w:lang w:eastAsia="lv-LV"/>
              </w:rPr>
            </w:pPr>
            <w:r w:rsidRPr="00D34E56">
              <w:rPr>
                <w:rFonts w:ascii="Times New Roman" w:eastAsia="Times New Roman" w:hAnsi="Times New Roman" w:cs="Times New Roman"/>
                <w:b/>
                <w:bCs/>
                <w:sz w:val="16"/>
                <w:szCs w:val="16"/>
                <w:lang w:eastAsia="lv-LV"/>
              </w:rPr>
              <w:t>K = Pavisam kopā (EUR bez PVN):</w:t>
            </w:r>
          </w:p>
        </w:tc>
        <w:tc>
          <w:tcPr>
            <w:tcW w:w="988" w:type="dxa"/>
            <w:shd w:val="clear" w:color="000000" w:fill="FFFFFF"/>
            <w:vAlign w:val="center"/>
            <w:hideMark/>
          </w:tcPr>
          <w:p w14:paraId="63A83AF1" w14:textId="77777777" w:rsidR="00350E42" w:rsidRPr="00D34E56" w:rsidRDefault="00350E42" w:rsidP="000A030D">
            <w:pPr>
              <w:spacing w:after="0" w:line="240" w:lineRule="auto"/>
              <w:jc w:val="right"/>
              <w:outlineLvl w:val="0"/>
              <w:rPr>
                <w:rFonts w:ascii="Times New Roman" w:eastAsia="Times New Roman" w:hAnsi="Times New Roman" w:cs="Times New Roman"/>
                <w:b/>
                <w:bCs/>
                <w:sz w:val="16"/>
                <w:szCs w:val="16"/>
                <w:lang w:eastAsia="lv-LV"/>
              </w:rPr>
            </w:pPr>
            <w:r w:rsidRPr="00D34E56">
              <w:rPr>
                <w:rFonts w:ascii="Times New Roman" w:eastAsia="Times New Roman" w:hAnsi="Times New Roman" w:cs="Times New Roman"/>
                <w:b/>
                <w:bCs/>
                <w:sz w:val="16"/>
                <w:szCs w:val="16"/>
                <w:lang w:eastAsia="lv-LV"/>
              </w:rPr>
              <w:t>2 404 825</w:t>
            </w:r>
          </w:p>
        </w:tc>
        <w:tc>
          <w:tcPr>
            <w:tcW w:w="867" w:type="dxa"/>
            <w:shd w:val="clear" w:color="000000" w:fill="FFFFFF"/>
            <w:vAlign w:val="center"/>
            <w:hideMark/>
          </w:tcPr>
          <w:p w14:paraId="47EA287C" w14:textId="77777777" w:rsidR="00350E42" w:rsidRPr="00D34E56" w:rsidRDefault="003C2EDA" w:rsidP="000A030D">
            <w:pPr>
              <w:spacing w:after="0" w:line="240" w:lineRule="auto"/>
              <w:jc w:val="center"/>
              <w:outlineLvl w:val="0"/>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t>x</w:t>
            </w:r>
          </w:p>
        </w:tc>
        <w:tc>
          <w:tcPr>
            <w:tcW w:w="2144" w:type="dxa"/>
            <w:shd w:val="clear" w:color="000000" w:fill="FFFFFF"/>
            <w:vAlign w:val="center"/>
            <w:hideMark/>
          </w:tcPr>
          <w:p w14:paraId="7D1FFD54" w14:textId="77777777" w:rsidR="00350E42" w:rsidRPr="00D34E56" w:rsidRDefault="00350E42" w:rsidP="00350E42">
            <w:pPr>
              <w:spacing w:after="0" w:line="240" w:lineRule="auto"/>
              <w:jc w:val="center"/>
              <w:outlineLvl w:val="0"/>
              <w:rPr>
                <w:rFonts w:ascii="Times New Roman" w:eastAsia="Times New Roman" w:hAnsi="Times New Roman" w:cs="Times New Roman"/>
                <w:b/>
                <w:sz w:val="16"/>
                <w:szCs w:val="16"/>
                <w:lang w:eastAsia="lv-LV"/>
              </w:rPr>
            </w:pPr>
            <w:r w:rsidRPr="00D34E56">
              <w:rPr>
                <w:rFonts w:ascii="Times New Roman" w:eastAsia="Times New Roman" w:hAnsi="Times New Roman" w:cs="Times New Roman"/>
                <w:b/>
                <w:sz w:val="16"/>
                <w:szCs w:val="16"/>
                <w:lang w:eastAsia="lv-LV"/>
              </w:rPr>
              <w:t> </w:t>
            </w:r>
            <w:r w:rsidR="003C2EDA">
              <w:rPr>
                <w:rFonts w:ascii="Times New Roman" w:eastAsia="Times New Roman" w:hAnsi="Times New Roman" w:cs="Times New Roman"/>
                <w:b/>
                <w:sz w:val="16"/>
                <w:szCs w:val="16"/>
                <w:lang w:eastAsia="lv-LV"/>
              </w:rPr>
              <w:t>x</w:t>
            </w:r>
          </w:p>
        </w:tc>
        <w:tc>
          <w:tcPr>
            <w:tcW w:w="1134" w:type="dxa"/>
            <w:shd w:val="clear" w:color="000000" w:fill="FFFFFF"/>
            <w:vAlign w:val="center"/>
            <w:hideMark/>
          </w:tcPr>
          <w:p w14:paraId="4F466904" w14:textId="77777777" w:rsidR="00350E42" w:rsidRPr="00D34E56" w:rsidRDefault="00350E42" w:rsidP="000A030D">
            <w:pPr>
              <w:spacing w:after="0" w:line="240" w:lineRule="auto"/>
              <w:jc w:val="right"/>
              <w:outlineLvl w:val="0"/>
              <w:rPr>
                <w:rFonts w:ascii="Times New Roman" w:eastAsia="Times New Roman" w:hAnsi="Times New Roman" w:cs="Times New Roman"/>
                <w:b/>
                <w:bCs/>
                <w:sz w:val="16"/>
                <w:szCs w:val="16"/>
                <w:lang w:eastAsia="lv-LV"/>
              </w:rPr>
            </w:pPr>
            <w:r w:rsidRPr="00D34E56">
              <w:rPr>
                <w:rFonts w:ascii="Times New Roman" w:eastAsia="Times New Roman" w:hAnsi="Times New Roman" w:cs="Times New Roman"/>
                <w:b/>
                <w:bCs/>
                <w:sz w:val="16"/>
                <w:szCs w:val="16"/>
                <w:lang w:eastAsia="lv-LV"/>
              </w:rPr>
              <w:t>1 461 807,41</w:t>
            </w:r>
          </w:p>
        </w:tc>
        <w:tc>
          <w:tcPr>
            <w:tcW w:w="993" w:type="dxa"/>
            <w:shd w:val="clear" w:color="000000" w:fill="FFFFFF"/>
            <w:vAlign w:val="center"/>
            <w:hideMark/>
          </w:tcPr>
          <w:p w14:paraId="5B378EB3" w14:textId="77777777" w:rsidR="00350E42" w:rsidRPr="00D34E56" w:rsidRDefault="00350E42" w:rsidP="000A030D">
            <w:pPr>
              <w:spacing w:after="0" w:line="240" w:lineRule="auto"/>
              <w:jc w:val="right"/>
              <w:outlineLvl w:val="0"/>
              <w:rPr>
                <w:rFonts w:ascii="Times New Roman" w:eastAsia="Times New Roman" w:hAnsi="Times New Roman" w:cs="Times New Roman"/>
                <w:b/>
                <w:bCs/>
                <w:sz w:val="16"/>
                <w:szCs w:val="16"/>
                <w:lang w:eastAsia="lv-LV"/>
              </w:rPr>
            </w:pPr>
            <w:r w:rsidRPr="00D34E56">
              <w:rPr>
                <w:rFonts w:ascii="Times New Roman" w:eastAsia="Times New Roman" w:hAnsi="Times New Roman" w:cs="Times New Roman"/>
                <w:b/>
                <w:bCs/>
                <w:sz w:val="16"/>
                <w:szCs w:val="16"/>
                <w:lang w:eastAsia="lv-LV"/>
              </w:rPr>
              <w:t>943 017,11</w:t>
            </w:r>
          </w:p>
        </w:tc>
      </w:tr>
    </w:tbl>
    <w:p w14:paraId="73AA8CC1" w14:textId="77777777" w:rsidR="00247C69" w:rsidRPr="00241682" w:rsidRDefault="00247C69" w:rsidP="00241682">
      <w:pPr>
        <w:pStyle w:val="naiskr"/>
        <w:tabs>
          <w:tab w:val="left" w:pos="0"/>
        </w:tabs>
        <w:spacing w:before="0" w:after="120"/>
        <w:ind w:right="158"/>
        <w:jc w:val="both"/>
        <w:rPr>
          <w:sz w:val="13"/>
          <w:szCs w:val="13"/>
        </w:rPr>
      </w:pPr>
      <w:r w:rsidRPr="00241682">
        <w:rPr>
          <w:sz w:val="13"/>
          <w:szCs w:val="13"/>
        </w:rPr>
        <w:t>*provizoriski aprēķinātais kapitālieguldījumu apmērs var tikt precizēts pēc tehniskā projekta izstrādes, būvniecības līguma noslēgšanas vai būvniecības darbu laikā.</w:t>
      </w:r>
    </w:p>
    <w:p w14:paraId="3F221881" w14:textId="77777777" w:rsidR="00DB03ED" w:rsidRDefault="00DB03ED" w:rsidP="00840D9C">
      <w:pPr>
        <w:pStyle w:val="naiskr"/>
        <w:tabs>
          <w:tab w:val="left" w:pos="141"/>
        </w:tabs>
        <w:spacing w:before="0" w:after="0"/>
        <w:ind w:firstLine="709"/>
        <w:jc w:val="both"/>
      </w:pPr>
    </w:p>
    <w:p w14:paraId="532C0DE2" w14:textId="5C1D83D2" w:rsidR="00364399" w:rsidRDefault="0028419F" w:rsidP="00840D9C">
      <w:pPr>
        <w:pStyle w:val="naiskr"/>
        <w:tabs>
          <w:tab w:val="left" w:pos="141"/>
        </w:tabs>
        <w:spacing w:before="0" w:after="0"/>
        <w:ind w:firstLine="709"/>
        <w:jc w:val="both"/>
      </w:pPr>
      <w:r w:rsidRPr="00721E07">
        <w:t>Kapitālieguldījumu izmaksas plānots segt</w:t>
      </w:r>
      <w:r w:rsidR="00084AD3" w:rsidRPr="00084AD3">
        <w:t xml:space="preserve"> </w:t>
      </w:r>
      <w:r w:rsidR="00084AD3" w:rsidRPr="00721E07">
        <w:t>pēc būvniecības darbu pabeigšanas</w:t>
      </w:r>
      <w:r w:rsidRPr="00721E07">
        <w:t xml:space="preserve">, ietverot tās </w:t>
      </w:r>
      <w:r w:rsidR="00692867" w:rsidRPr="00721E07">
        <w:t xml:space="preserve">ilgtermiņa </w:t>
      </w:r>
      <w:r w:rsidRPr="00721E07">
        <w:t xml:space="preserve">nomas maksas apmērā </w:t>
      </w:r>
      <w:r w:rsidR="00692867" w:rsidRPr="00721E07">
        <w:t xml:space="preserve">uz 20 gadiem </w:t>
      </w:r>
      <w:r w:rsidR="001A3D0F" w:rsidRPr="00721E07">
        <w:t>(sk. 3.tabulu)</w:t>
      </w:r>
      <w:r w:rsidRPr="00721E07">
        <w:t xml:space="preserve">. Līdz ar to </w:t>
      </w:r>
      <w:r w:rsidR="00692867" w:rsidRPr="00721E07">
        <w:t>Finanšu ministrijai (VID) ilgtermiņa saistības nekustamā īpašuma Kuldīgas ielā 2, Ventspilī, nomas maksas izdevumu segšanai VNĪ</w:t>
      </w:r>
      <w:r w:rsidRPr="00721E07">
        <w:t xml:space="preserve"> </w:t>
      </w:r>
      <w:r w:rsidR="00692867" w:rsidRPr="00721E07">
        <w:t xml:space="preserve">jāparedz </w:t>
      </w:r>
      <w:r w:rsidR="0045551C" w:rsidRPr="00721E07">
        <w:t xml:space="preserve">sākot </w:t>
      </w:r>
      <w:r w:rsidRPr="00721E07">
        <w:t>no 201</w:t>
      </w:r>
      <w:r w:rsidR="00A920A7">
        <w:t>9</w:t>
      </w:r>
      <w:r w:rsidRPr="00721E07">
        <w:t>.gada</w:t>
      </w:r>
      <w:r w:rsidR="0045551C" w:rsidRPr="00721E07">
        <w:t xml:space="preserve"> 1.jūnija</w:t>
      </w:r>
      <w:r w:rsidR="00324E1C" w:rsidRPr="00721E07">
        <w:t xml:space="preserve"> (sk. </w:t>
      </w:r>
      <w:r w:rsidR="001E7761">
        <w:t xml:space="preserve">3. un </w:t>
      </w:r>
      <w:r w:rsidR="00A920A7">
        <w:t>6</w:t>
      </w:r>
      <w:r w:rsidR="00324E1C" w:rsidRPr="00721E07">
        <w:t>.tabulu)</w:t>
      </w:r>
      <w:r w:rsidRPr="00721E07">
        <w:t>.</w:t>
      </w:r>
      <w:r w:rsidR="006934F5">
        <w:t xml:space="preserve"> </w:t>
      </w:r>
    </w:p>
    <w:p w14:paraId="77883339" w14:textId="77777777" w:rsidR="00DB03ED" w:rsidRPr="00721E07" w:rsidRDefault="00DB03ED" w:rsidP="00840D9C">
      <w:pPr>
        <w:pStyle w:val="naiskr"/>
        <w:tabs>
          <w:tab w:val="left" w:pos="141"/>
        </w:tabs>
        <w:spacing w:before="0" w:after="0"/>
        <w:ind w:firstLine="709"/>
        <w:jc w:val="both"/>
      </w:pPr>
    </w:p>
    <w:p w14:paraId="5D7501A4" w14:textId="77777777" w:rsidR="00692867" w:rsidRPr="00721E07" w:rsidRDefault="0045551C" w:rsidP="00B63176">
      <w:pPr>
        <w:spacing w:after="120" w:line="240" w:lineRule="auto"/>
        <w:jc w:val="both"/>
        <w:rPr>
          <w:rFonts w:ascii="Times New Roman" w:hAnsi="Times New Roman" w:cs="Times New Roman"/>
          <w:b/>
          <w:sz w:val="24"/>
          <w:szCs w:val="24"/>
        </w:rPr>
      </w:pPr>
      <w:r w:rsidRPr="00721E07">
        <w:rPr>
          <w:rFonts w:ascii="Times New Roman" w:hAnsi="Times New Roman" w:cs="Times New Roman"/>
          <w:b/>
          <w:sz w:val="24"/>
          <w:szCs w:val="24"/>
        </w:rPr>
        <w:t>3</w:t>
      </w:r>
      <w:r w:rsidR="00692867" w:rsidRPr="00721E07">
        <w:rPr>
          <w:rFonts w:ascii="Times New Roman" w:hAnsi="Times New Roman" w:cs="Times New Roman"/>
          <w:b/>
          <w:sz w:val="24"/>
          <w:szCs w:val="24"/>
        </w:rPr>
        <w:t>.tabula.</w:t>
      </w:r>
      <w:r w:rsidR="000A030D" w:rsidRPr="00721E07">
        <w:rPr>
          <w:rFonts w:ascii="Times New Roman" w:hAnsi="Times New Roman" w:cs="Times New Roman"/>
          <w:b/>
          <w:sz w:val="24"/>
          <w:szCs w:val="24"/>
        </w:rPr>
        <w:t xml:space="preserve"> </w:t>
      </w:r>
      <w:r w:rsidR="00692867" w:rsidRPr="00721E07">
        <w:rPr>
          <w:rFonts w:ascii="Times New Roman" w:hAnsi="Times New Roman" w:cs="Times New Roman"/>
          <w:b/>
          <w:sz w:val="24"/>
          <w:szCs w:val="24"/>
        </w:rPr>
        <w:t xml:space="preserve">Provizoriskais </w:t>
      </w:r>
      <w:r w:rsidR="00B63176" w:rsidRPr="00721E07">
        <w:rPr>
          <w:rFonts w:ascii="Times New Roman" w:hAnsi="Times New Roman" w:cs="Times New Roman"/>
          <w:b/>
          <w:sz w:val="24"/>
          <w:szCs w:val="24"/>
        </w:rPr>
        <w:t>nekustamā īpašuma Kuldīgas ielā 2, Ventspilī</w:t>
      </w:r>
      <w:r w:rsidR="005B5933">
        <w:rPr>
          <w:rFonts w:ascii="Times New Roman" w:hAnsi="Times New Roman" w:cs="Times New Roman"/>
          <w:b/>
          <w:sz w:val="24"/>
          <w:szCs w:val="24"/>
        </w:rPr>
        <w:t>,</w:t>
      </w:r>
      <w:r w:rsidR="00B63176" w:rsidRPr="00721E07">
        <w:rPr>
          <w:rFonts w:ascii="Times New Roman" w:hAnsi="Times New Roman" w:cs="Times New Roman"/>
          <w:b/>
          <w:sz w:val="24"/>
          <w:szCs w:val="24"/>
        </w:rPr>
        <w:t xml:space="preserve"> </w:t>
      </w:r>
      <w:r w:rsidR="00692867" w:rsidRPr="00721E07">
        <w:rPr>
          <w:rFonts w:ascii="Times New Roman" w:hAnsi="Times New Roman" w:cs="Times New Roman"/>
          <w:b/>
          <w:sz w:val="24"/>
          <w:szCs w:val="24"/>
        </w:rPr>
        <w:t>nomas maksas aprēķins</w:t>
      </w:r>
      <w:r w:rsidR="00B63176" w:rsidRPr="00721E07">
        <w:rPr>
          <w:rFonts w:ascii="Times New Roman" w:hAnsi="Times New Roman" w:cs="Times New Roman"/>
          <w:b/>
          <w:sz w:val="24"/>
          <w:szCs w:val="24"/>
        </w:rPr>
        <w:t xml:space="preserve"> </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4"/>
        <w:gridCol w:w="627"/>
        <w:gridCol w:w="1842"/>
        <w:gridCol w:w="1134"/>
        <w:gridCol w:w="993"/>
        <w:gridCol w:w="992"/>
        <w:gridCol w:w="992"/>
        <w:gridCol w:w="2126"/>
      </w:tblGrid>
      <w:tr w:rsidR="00B1734C" w:rsidRPr="00B1734C" w14:paraId="2030FD9A" w14:textId="77777777" w:rsidTr="00241682">
        <w:trPr>
          <w:trHeight w:val="357"/>
          <w:tblHeader/>
        </w:trPr>
        <w:tc>
          <w:tcPr>
            <w:tcW w:w="474" w:type="dxa"/>
            <w:shd w:val="clear" w:color="000000" w:fill="F2F2F2" w:themeFill="background1" w:themeFillShade="F2"/>
            <w:vAlign w:val="center"/>
            <w:hideMark/>
          </w:tcPr>
          <w:p w14:paraId="6CCCDC3F"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Nr.</w:t>
            </w:r>
            <w:r w:rsidRPr="00B1734C">
              <w:rPr>
                <w:rFonts w:ascii="Times New Roman" w:eastAsia="Times New Roman" w:hAnsi="Times New Roman" w:cs="Times New Roman"/>
                <w:bCs/>
                <w:sz w:val="16"/>
                <w:szCs w:val="16"/>
                <w:lang w:eastAsia="lv-LV"/>
              </w:rPr>
              <w:br/>
              <w:t>p.k.</w:t>
            </w:r>
          </w:p>
        </w:tc>
        <w:tc>
          <w:tcPr>
            <w:tcW w:w="627" w:type="dxa"/>
            <w:shd w:val="clear" w:color="000000" w:fill="F2F2F2" w:themeFill="background1" w:themeFillShade="F2"/>
            <w:vAlign w:val="center"/>
            <w:hideMark/>
          </w:tcPr>
          <w:p w14:paraId="0A2A5DC4"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Saīsinājumi</w:t>
            </w:r>
          </w:p>
        </w:tc>
        <w:tc>
          <w:tcPr>
            <w:tcW w:w="1842" w:type="dxa"/>
            <w:shd w:val="clear" w:color="000000" w:fill="F2F2F2" w:themeFill="background1" w:themeFillShade="F2"/>
            <w:vAlign w:val="center"/>
            <w:hideMark/>
          </w:tcPr>
          <w:p w14:paraId="165BEBDE"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Izmaksu nosaukums</w:t>
            </w:r>
          </w:p>
        </w:tc>
        <w:tc>
          <w:tcPr>
            <w:tcW w:w="1134" w:type="dxa"/>
            <w:shd w:val="clear" w:color="000000" w:fill="F2F2F2" w:themeFill="background1" w:themeFillShade="F2"/>
            <w:vAlign w:val="center"/>
            <w:hideMark/>
          </w:tcPr>
          <w:p w14:paraId="5F7457F2" w14:textId="2BB79501"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Vidēji</w:t>
            </w:r>
            <w:r>
              <w:rPr>
                <w:rFonts w:ascii="Times New Roman" w:eastAsia="Times New Roman" w:hAnsi="Times New Roman" w:cs="Times New Roman"/>
                <w:bCs/>
                <w:sz w:val="16"/>
                <w:szCs w:val="16"/>
                <w:lang w:eastAsia="lv-LV"/>
              </w:rPr>
              <w:t xml:space="preserve"> </w:t>
            </w:r>
            <w:r w:rsidRPr="00B1734C">
              <w:rPr>
                <w:rFonts w:ascii="Times New Roman" w:eastAsia="Times New Roman" w:hAnsi="Times New Roman" w:cs="Times New Roman"/>
                <w:bCs/>
                <w:sz w:val="16"/>
                <w:szCs w:val="16"/>
                <w:lang w:eastAsia="lv-LV"/>
              </w:rPr>
              <w:t>20 gados</w:t>
            </w:r>
            <w:r w:rsidR="00364399">
              <w:rPr>
                <w:rFonts w:ascii="Times New Roman" w:eastAsia="Times New Roman" w:hAnsi="Times New Roman" w:cs="Times New Roman"/>
                <w:bCs/>
                <w:sz w:val="16"/>
                <w:szCs w:val="16"/>
                <w:lang w:eastAsia="lv-LV"/>
              </w:rPr>
              <w:t xml:space="preserve"> (EUR)</w:t>
            </w:r>
          </w:p>
        </w:tc>
        <w:tc>
          <w:tcPr>
            <w:tcW w:w="993" w:type="dxa"/>
            <w:shd w:val="clear" w:color="000000" w:fill="F2F2F2" w:themeFill="background1" w:themeFillShade="F2"/>
            <w:vAlign w:val="center"/>
            <w:hideMark/>
          </w:tcPr>
          <w:p w14:paraId="0D5ED6E1" w14:textId="3CDC010F"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Vidēji</w:t>
            </w:r>
            <w:r w:rsidRPr="00B1734C">
              <w:rPr>
                <w:rFonts w:ascii="Times New Roman" w:eastAsia="Times New Roman" w:hAnsi="Times New Roman" w:cs="Times New Roman"/>
                <w:bCs/>
                <w:sz w:val="16"/>
                <w:szCs w:val="16"/>
                <w:lang w:eastAsia="lv-LV"/>
              </w:rPr>
              <w:br/>
              <w:t>gadā</w:t>
            </w:r>
            <w:r w:rsidR="00364399">
              <w:rPr>
                <w:rFonts w:ascii="Times New Roman" w:eastAsia="Times New Roman" w:hAnsi="Times New Roman" w:cs="Times New Roman"/>
                <w:bCs/>
                <w:sz w:val="16"/>
                <w:szCs w:val="16"/>
                <w:lang w:eastAsia="lv-LV"/>
              </w:rPr>
              <w:t xml:space="preserve"> (EUR)</w:t>
            </w:r>
          </w:p>
        </w:tc>
        <w:tc>
          <w:tcPr>
            <w:tcW w:w="992" w:type="dxa"/>
            <w:shd w:val="clear" w:color="000000" w:fill="F2F2F2" w:themeFill="background1" w:themeFillShade="F2"/>
            <w:vAlign w:val="center"/>
            <w:hideMark/>
          </w:tcPr>
          <w:p w14:paraId="0A6621CD" w14:textId="5F217C8B"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Vidēji</w:t>
            </w:r>
            <w:r w:rsidRPr="00B1734C">
              <w:rPr>
                <w:rFonts w:ascii="Times New Roman" w:eastAsia="Times New Roman" w:hAnsi="Times New Roman" w:cs="Times New Roman"/>
                <w:bCs/>
                <w:sz w:val="16"/>
                <w:szCs w:val="16"/>
                <w:lang w:eastAsia="lv-LV"/>
              </w:rPr>
              <w:br/>
              <w:t>mēnesī</w:t>
            </w:r>
            <w:r w:rsidR="00364399">
              <w:rPr>
                <w:rFonts w:ascii="Times New Roman" w:eastAsia="Times New Roman" w:hAnsi="Times New Roman" w:cs="Times New Roman"/>
                <w:bCs/>
                <w:sz w:val="16"/>
                <w:szCs w:val="16"/>
                <w:lang w:eastAsia="lv-LV"/>
              </w:rPr>
              <w:t xml:space="preserve"> (EUR)</w:t>
            </w:r>
          </w:p>
        </w:tc>
        <w:tc>
          <w:tcPr>
            <w:tcW w:w="992" w:type="dxa"/>
            <w:shd w:val="clear" w:color="000000" w:fill="F2F2F2" w:themeFill="background1" w:themeFillShade="F2"/>
            <w:vAlign w:val="center"/>
            <w:hideMark/>
          </w:tcPr>
          <w:p w14:paraId="0B2B6176" w14:textId="22B3CBCC"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Mēnesī</w:t>
            </w:r>
            <w:r w:rsidRPr="00B1734C">
              <w:rPr>
                <w:rFonts w:ascii="Times New Roman" w:eastAsia="Times New Roman" w:hAnsi="Times New Roman" w:cs="Times New Roman"/>
                <w:bCs/>
                <w:sz w:val="16"/>
                <w:szCs w:val="16"/>
                <w:lang w:eastAsia="lv-LV"/>
              </w:rPr>
              <w:br/>
              <w:t>uz 1 m</w:t>
            </w:r>
            <w:r w:rsidRPr="00B1734C">
              <w:rPr>
                <w:rFonts w:ascii="Times New Roman" w:eastAsia="Times New Roman" w:hAnsi="Times New Roman" w:cs="Times New Roman"/>
                <w:bCs/>
                <w:sz w:val="16"/>
                <w:szCs w:val="16"/>
                <w:vertAlign w:val="superscript"/>
                <w:lang w:eastAsia="lv-LV"/>
              </w:rPr>
              <w:t>2</w:t>
            </w:r>
            <w:r w:rsidR="00364399">
              <w:rPr>
                <w:rFonts w:ascii="Times New Roman" w:eastAsia="Times New Roman" w:hAnsi="Times New Roman" w:cs="Times New Roman"/>
                <w:bCs/>
                <w:sz w:val="16"/>
                <w:szCs w:val="16"/>
                <w:vertAlign w:val="superscript"/>
                <w:lang w:eastAsia="lv-LV"/>
              </w:rPr>
              <w:t xml:space="preserve"> </w:t>
            </w:r>
            <w:r w:rsidR="00364399" w:rsidRPr="00364399">
              <w:rPr>
                <w:rFonts w:ascii="Times New Roman" w:eastAsia="Times New Roman" w:hAnsi="Times New Roman" w:cs="Times New Roman"/>
                <w:bCs/>
                <w:sz w:val="16"/>
                <w:szCs w:val="16"/>
                <w:lang w:eastAsia="lv-LV"/>
              </w:rPr>
              <w:t>(EUR)</w:t>
            </w:r>
          </w:p>
        </w:tc>
        <w:tc>
          <w:tcPr>
            <w:tcW w:w="2126" w:type="dxa"/>
            <w:shd w:val="clear" w:color="000000" w:fill="F2F2F2" w:themeFill="background1" w:themeFillShade="F2"/>
            <w:vAlign w:val="center"/>
            <w:hideMark/>
          </w:tcPr>
          <w:p w14:paraId="1A4690E2"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Piezīmes</w:t>
            </w:r>
          </w:p>
        </w:tc>
      </w:tr>
      <w:tr w:rsidR="00B1734C" w:rsidRPr="00B1734C" w14:paraId="3431998F" w14:textId="77777777" w:rsidTr="00B1734C">
        <w:trPr>
          <w:trHeight w:val="390"/>
        </w:trPr>
        <w:tc>
          <w:tcPr>
            <w:tcW w:w="474" w:type="dxa"/>
            <w:shd w:val="clear" w:color="000000" w:fill="FFFFFF"/>
            <w:vAlign w:val="center"/>
            <w:hideMark/>
          </w:tcPr>
          <w:p w14:paraId="127DCC13"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1.</w:t>
            </w:r>
          </w:p>
        </w:tc>
        <w:tc>
          <w:tcPr>
            <w:tcW w:w="627" w:type="dxa"/>
            <w:shd w:val="clear" w:color="000000" w:fill="FFFFFF"/>
            <w:vAlign w:val="center"/>
            <w:hideMark/>
          </w:tcPr>
          <w:p w14:paraId="7F0AA12E" w14:textId="77777777" w:rsidR="00B1734C" w:rsidRPr="00B1734C" w:rsidRDefault="00B1734C" w:rsidP="00B1734C">
            <w:pPr>
              <w:spacing w:after="0" w:line="240" w:lineRule="auto"/>
              <w:jc w:val="center"/>
              <w:rPr>
                <w:rFonts w:ascii="Times New Roman" w:eastAsia="Times New Roman" w:hAnsi="Times New Roman" w:cs="Times New Roman"/>
                <w:bCs/>
                <w:color w:val="800000"/>
                <w:sz w:val="16"/>
                <w:szCs w:val="16"/>
                <w:lang w:eastAsia="lv-LV"/>
              </w:rPr>
            </w:pPr>
            <w:r w:rsidRPr="00B1734C">
              <w:rPr>
                <w:rFonts w:ascii="Times New Roman" w:eastAsia="Times New Roman" w:hAnsi="Times New Roman" w:cs="Times New Roman"/>
                <w:bCs/>
                <w:color w:val="800000"/>
                <w:sz w:val="16"/>
                <w:szCs w:val="16"/>
                <w:lang w:eastAsia="lv-LV"/>
              </w:rPr>
              <w:t>Ktizm</w:t>
            </w:r>
          </w:p>
        </w:tc>
        <w:tc>
          <w:tcPr>
            <w:tcW w:w="1842" w:type="dxa"/>
            <w:shd w:val="clear" w:color="000000" w:fill="FFFFFF"/>
            <w:vAlign w:val="center"/>
            <w:hideMark/>
          </w:tcPr>
          <w:p w14:paraId="55D66F53" w14:textId="77777777" w:rsidR="00B1734C" w:rsidRPr="00B1734C" w:rsidRDefault="00B1734C" w:rsidP="00B1734C">
            <w:pPr>
              <w:spacing w:after="0" w:line="240" w:lineRule="auto"/>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Tiešās izmaksas:</w:t>
            </w:r>
          </w:p>
        </w:tc>
        <w:tc>
          <w:tcPr>
            <w:tcW w:w="1134" w:type="dxa"/>
            <w:shd w:val="clear" w:color="000000" w:fill="FFFFFF"/>
            <w:vAlign w:val="center"/>
            <w:hideMark/>
          </w:tcPr>
          <w:p w14:paraId="1E79A8AF"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4 570 845,60</w:t>
            </w:r>
          </w:p>
        </w:tc>
        <w:tc>
          <w:tcPr>
            <w:tcW w:w="993" w:type="dxa"/>
            <w:shd w:val="clear" w:color="000000" w:fill="FFFFFF"/>
            <w:vAlign w:val="center"/>
            <w:hideMark/>
          </w:tcPr>
          <w:p w14:paraId="3C48F9C5"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228 542,28</w:t>
            </w:r>
          </w:p>
        </w:tc>
        <w:tc>
          <w:tcPr>
            <w:tcW w:w="992" w:type="dxa"/>
            <w:shd w:val="clear" w:color="000000" w:fill="FFFFFF"/>
            <w:vAlign w:val="center"/>
            <w:hideMark/>
          </w:tcPr>
          <w:p w14:paraId="56A2DD3F"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19 045,19</w:t>
            </w:r>
          </w:p>
        </w:tc>
        <w:tc>
          <w:tcPr>
            <w:tcW w:w="992" w:type="dxa"/>
            <w:shd w:val="clear" w:color="000000" w:fill="FFFFFF"/>
            <w:vAlign w:val="center"/>
            <w:hideMark/>
          </w:tcPr>
          <w:p w14:paraId="410E9C31" w14:textId="77777777" w:rsidR="00B1734C" w:rsidRPr="00B1734C" w:rsidRDefault="00B1734C" w:rsidP="00B1734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9,351</w:t>
            </w:r>
          </w:p>
        </w:tc>
        <w:tc>
          <w:tcPr>
            <w:tcW w:w="2126" w:type="dxa"/>
            <w:shd w:val="clear" w:color="000000" w:fill="FFFFFF"/>
            <w:vAlign w:val="center"/>
            <w:hideMark/>
          </w:tcPr>
          <w:p w14:paraId="688AE9A0" w14:textId="77777777" w:rsidR="00B1734C" w:rsidRPr="00B1734C" w:rsidRDefault="00B1734C" w:rsidP="00324E1C">
            <w:pPr>
              <w:spacing w:after="0" w:line="240" w:lineRule="auto"/>
              <w:jc w:val="center"/>
              <w:rPr>
                <w:rFonts w:ascii="Times New Roman" w:eastAsia="Times New Roman" w:hAnsi="Times New Roman" w:cs="Times New Roman"/>
                <w:bCs/>
                <w:sz w:val="16"/>
                <w:szCs w:val="16"/>
                <w:lang w:eastAsia="lv-LV"/>
              </w:rPr>
            </w:pPr>
            <w:r w:rsidRPr="00B1734C">
              <w:rPr>
                <w:rFonts w:ascii="Times New Roman" w:eastAsia="Times New Roman" w:hAnsi="Times New Roman" w:cs="Times New Roman"/>
                <w:bCs/>
                <w:sz w:val="16"/>
                <w:szCs w:val="16"/>
                <w:lang w:eastAsia="lv-LV"/>
              </w:rPr>
              <w:t>Kopsumma (1.1.-1.</w:t>
            </w:r>
            <w:r w:rsidR="00324E1C">
              <w:rPr>
                <w:rFonts w:ascii="Times New Roman" w:eastAsia="Times New Roman" w:hAnsi="Times New Roman" w:cs="Times New Roman"/>
                <w:bCs/>
                <w:sz w:val="16"/>
                <w:szCs w:val="16"/>
                <w:lang w:eastAsia="lv-LV"/>
              </w:rPr>
              <w:t>7</w:t>
            </w:r>
            <w:r w:rsidRPr="00B1734C">
              <w:rPr>
                <w:rFonts w:ascii="Times New Roman" w:eastAsia="Times New Roman" w:hAnsi="Times New Roman" w:cs="Times New Roman"/>
                <w:bCs/>
                <w:sz w:val="16"/>
                <w:szCs w:val="16"/>
                <w:lang w:eastAsia="lv-LV"/>
              </w:rPr>
              <w:t>.apakšpunktam):</w:t>
            </w:r>
          </w:p>
        </w:tc>
      </w:tr>
      <w:tr w:rsidR="00B1734C" w:rsidRPr="00B1734C" w14:paraId="6372803C" w14:textId="77777777" w:rsidTr="00B1734C">
        <w:trPr>
          <w:trHeight w:val="1470"/>
        </w:trPr>
        <w:tc>
          <w:tcPr>
            <w:tcW w:w="474" w:type="dxa"/>
            <w:shd w:val="clear" w:color="000000" w:fill="FFFFFF"/>
            <w:vAlign w:val="center"/>
            <w:hideMark/>
          </w:tcPr>
          <w:p w14:paraId="6DDCD525"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1.1</w:t>
            </w:r>
          </w:p>
        </w:tc>
        <w:tc>
          <w:tcPr>
            <w:tcW w:w="627" w:type="dxa"/>
            <w:shd w:val="clear" w:color="000000" w:fill="FFFFFF"/>
            <w:vAlign w:val="center"/>
            <w:hideMark/>
          </w:tcPr>
          <w:p w14:paraId="4BE9D03F" w14:textId="77777777" w:rsidR="00B1734C" w:rsidRPr="00B1734C" w:rsidRDefault="00B1734C" w:rsidP="00B1734C">
            <w:pPr>
              <w:spacing w:after="0" w:line="240" w:lineRule="auto"/>
              <w:jc w:val="center"/>
              <w:rPr>
                <w:rFonts w:ascii="Times New Roman" w:eastAsia="Times New Roman" w:hAnsi="Times New Roman" w:cs="Times New Roman"/>
                <w:b/>
                <w:bCs/>
                <w:color w:val="800000"/>
                <w:sz w:val="16"/>
                <w:szCs w:val="16"/>
                <w:lang w:eastAsia="lv-LV"/>
              </w:rPr>
            </w:pPr>
            <w:r w:rsidRPr="00B1734C">
              <w:rPr>
                <w:rFonts w:ascii="Times New Roman" w:eastAsia="Times New Roman" w:hAnsi="Times New Roman" w:cs="Times New Roman"/>
                <w:b/>
                <w:bCs/>
                <w:color w:val="800000"/>
                <w:sz w:val="16"/>
                <w:szCs w:val="16"/>
                <w:lang w:eastAsia="lv-LV"/>
              </w:rPr>
              <w:t>A</w:t>
            </w:r>
          </w:p>
        </w:tc>
        <w:tc>
          <w:tcPr>
            <w:tcW w:w="1842" w:type="dxa"/>
            <w:shd w:val="clear" w:color="000000" w:fill="FFFFFF"/>
            <w:vAlign w:val="center"/>
            <w:hideMark/>
          </w:tcPr>
          <w:p w14:paraId="63E6D8A0"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Apsaimniekošana (inženierkomunikāciju apkope, iekšējā uzkopšana un ārējā sanitārā uzkopšana, kā arī plānotās materiālu un ātri nolietojamā inventāra izmaksas)</w:t>
            </w:r>
          </w:p>
        </w:tc>
        <w:tc>
          <w:tcPr>
            <w:tcW w:w="1134" w:type="dxa"/>
            <w:shd w:val="clear" w:color="000000" w:fill="FFFFFF"/>
            <w:vAlign w:val="center"/>
            <w:hideMark/>
          </w:tcPr>
          <w:p w14:paraId="2A1166DD"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569 802,74</w:t>
            </w:r>
          </w:p>
        </w:tc>
        <w:tc>
          <w:tcPr>
            <w:tcW w:w="993" w:type="dxa"/>
            <w:shd w:val="clear" w:color="000000" w:fill="FFFFFF"/>
            <w:vAlign w:val="center"/>
            <w:hideMark/>
          </w:tcPr>
          <w:p w14:paraId="78A405F9"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28 490,14</w:t>
            </w:r>
          </w:p>
        </w:tc>
        <w:tc>
          <w:tcPr>
            <w:tcW w:w="992" w:type="dxa"/>
            <w:shd w:val="clear" w:color="000000" w:fill="FFFFFF"/>
            <w:vAlign w:val="center"/>
            <w:hideMark/>
          </w:tcPr>
          <w:p w14:paraId="47860B8E"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2 374,18</w:t>
            </w:r>
          </w:p>
        </w:tc>
        <w:tc>
          <w:tcPr>
            <w:tcW w:w="992" w:type="dxa"/>
            <w:shd w:val="clear" w:color="000000" w:fill="FFFFFF"/>
            <w:vAlign w:val="center"/>
            <w:hideMark/>
          </w:tcPr>
          <w:p w14:paraId="7C762837"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1,165</w:t>
            </w:r>
          </w:p>
        </w:tc>
        <w:tc>
          <w:tcPr>
            <w:tcW w:w="2126" w:type="dxa"/>
            <w:shd w:val="clear" w:color="000000" w:fill="FFFFFF"/>
            <w:vAlign w:val="center"/>
            <w:hideMark/>
          </w:tcPr>
          <w:p w14:paraId="5BF1B9D1"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NĪ uzturēšanas plānotās izmaksas un plānotās materiālu un ātri nolietojamā inventāra izmaksas (uzturēšanas izmaksas tiks precizētas pēc apsaimniekošanas plāna iesniegšanas)</w:t>
            </w:r>
          </w:p>
        </w:tc>
      </w:tr>
      <w:tr w:rsidR="00B1734C" w:rsidRPr="00B1734C" w14:paraId="6114436B" w14:textId="77777777" w:rsidTr="00324E1C">
        <w:trPr>
          <w:trHeight w:val="495"/>
        </w:trPr>
        <w:tc>
          <w:tcPr>
            <w:tcW w:w="474" w:type="dxa"/>
            <w:shd w:val="clear" w:color="000000" w:fill="FFFFFF"/>
            <w:vAlign w:val="center"/>
            <w:hideMark/>
          </w:tcPr>
          <w:p w14:paraId="3AAE5A8F"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1.2</w:t>
            </w:r>
          </w:p>
        </w:tc>
        <w:tc>
          <w:tcPr>
            <w:tcW w:w="627" w:type="dxa"/>
            <w:shd w:val="clear" w:color="000000" w:fill="FFFFFF"/>
            <w:vAlign w:val="center"/>
            <w:hideMark/>
          </w:tcPr>
          <w:p w14:paraId="4DD4F4D8" w14:textId="77777777" w:rsidR="00B1734C" w:rsidRPr="00B1734C" w:rsidRDefault="00B1734C" w:rsidP="00B1734C">
            <w:pPr>
              <w:spacing w:after="0" w:line="240" w:lineRule="auto"/>
              <w:jc w:val="center"/>
              <w:rPr>
                <w:rFonts w:ascii="Times New Roman" w:eastAsia="Times New Roman" w:hAnsi="Times New Roman" w:cs="Times New Roman"/>
                <w:b/>
                <w:bCs/>
                <w:color w:val="800000"/>
                <w:sz w:val="16"/>
                <w:szCs w:val="16"/>
                <w:lang w:eastAsia="lv-LV"/>
              </w:rPr>
            </w:pPr>
            <w:r w:rsidRPr="00B1734C">
              <w:rPr>
                <w:rFonts w:ascii="Times New Roman" w:eastAsia="Times New Roman" w:hAnsi="Times New Roman" w:cs="Times New Roman"/>
                <w:b/>
                <w:bCs/>
                <w:color w:val="800000"/>
                <w:sz w:val="16"/>
                <w:szCs w:val="16"/>
                <w:lang w:eastAsia="lv-LV"/>
              </w:rPr>
              <w:t>Baps</w:t>
            </w:r>
          </w:p>
        </w:tc>
        <w:tc>
          <w:tcPr>
            <w:tcW w:w="1842" w:type="dxa"/>
            <w:shd w:val="clear" w:color="000000" w:fill="FFFFFF"/>
            <w:vAlign w:val="center"/>
            <w:hideMark/>
          </w:tcPr>
          <w:p w14:paraId="7DC1D496"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Apsaimniekošanā tieši iesaistītā personāla atlīdzība</w:t>
            </w:r>
          </w:p>
        </w:tc>
        <w:tc>
          <w:tcPr>
            <w:tcW w:w="1134" w:type="dxa"/>
            <w:shd w:val="clear" w:color="000000" w:fill="FFFFFF"/>
            <w:vAlign w:val="center"/>
            <w:hideMark/>
          </w:tcPr>
          <w:p w14:paraId="100581B2"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43 992,00</w:t>
            </w:r>
          </w:p>
        </w:tc>
        <w:tc>
          <w:tcPr>
            <w:tcW w:w="993" w:type="dxa"/>
            <w:shd w:val="clear" w:color="000000" w:fill="FFFFFF"/>
            <w:vAlign w:val="center"/>
            <w:hideMark/>
          </w:tcPr>
          <w:p w14:paraId="3E4D3F3D"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2 199,60</w:t>
            </w:r>
          </w:p>
        </w:tc>
        <w:tc>
          <w:tcPr>
            <w:tcW w:w="992" w:type="dxa"/>
            <w:shd w:val="clear" w:color="000000" w:fill="FFFFFF"/>
            <w:vAlign w:val="center"/>
            <w:hideMark/>
          </w:tcPr>
          <w:p w14:paraId="347FDC21"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183,30</w:t>
            </w:r>
          </w:p>
        </w:tc>
        <w:tc>
          <w:tcPr>
            <w:tcW w:w="992" w:type="dxa"/>
            <w:shd w:val="clear" w:color="000000" w:fill="FFFFFF"/>
            <w:vAlign w:val="center"/>
            <w:hideMark/>
          </w:tcPr>
          <w:p w14:paraId="282CB714"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0,090</w:t>
            </w:r>
          </w:p>
        </w:tc>
        <w:tc>
          <w:tcPr>
            <w:tcW w:w="2126" w:type="dxa"/>
            <w:shd w:val="clear" w:color="000000" w:fill="FFFFFF"/>
            <w:vAlign w:val="center"/>
            <w:hideMark/>
          </w:tcPr>
          <w:p w14:paraId="567852FB"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 xml:space="preserve">Saskaņā ar VAS VNĪ 2015.gada 11.marta rīkojumu Nr.40 - 0,09 EUR/m2 </w:t>
            </w:r>
          </w:p>
        </w:tc>
      </w:tr>
      <w:tr w:rsidR="00B1734C" w:rsidRPr="00B1734C" w14:paraId="7CD933E4" w14:textId="77777777" w:rsidTr="00B1734C">
        <w:trPr>
          <w:trHeight w:val="555"/>
        </w:trPr>
        <w:tc>
          <w:tcPr>
            <w:tcW w:w="474" w:type="dxa"/>
            <w:shd w:val="clear" w:color="000000" w:fill="FFFFFF"/>
            <w:vAlign w:val="center"/>
            <w:hideMark/>
          </w:tcPr>
          <w:p w14:paraId="616B50B6"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1.3.</w:t>
            </w:r>
          </w:p>
        </w:tc>
        <w:tc>
          <w:tcPr>
            <w:tcW w:w="627" w:type="dxa"/>
            <w:shd w:val="clear" w:color="000000" w:fill="FFFFFF"/>
            <w:vAlign w:val="center"/>
            <w:hideMark/>
          </w:tcPr>
          <w:p w14:paraId="6D044515" w14:textId="77777777" w:rsidR="00B1734C" w:rsidRPr="00B1734C" w:rsidRDefault="00B1734C" w:rsidP="00B1734C">
            <w:pPr>
              <w:spacing w:after="0" w:line="240" w:lineRule="auto"/>
              <w:jc w:val="center"/>
              <w:rPr>
                <w:rFonts w:ascii="Times New Roman" w:eastAsia="Times New Roman" w:hAnsi="Times New Roman" w:cs="Times New Roman"/>
                <w:b/>
                <w:bCs/>
                <w:color w:val="800000"/>
                <w:sz w:val="16"/>
                <w:szCs w:val="16"/>
                <w:lang w:eastAsia="lv-LV"/>
              </w:rPr>
            </w:pPr>
            <w:r w:rsidRPr="00B1734C">
              <w:rPr>
                <w:rFonts w:ascii="Times New Roman" w:eastAsia="Times New Roman" w:hAnsi="Times New Roman" w:cs="Times New Roman"/>
                <w:b/>
                <w:bCs/>
                <w:color w:val="800000"/>
                <w:sz w:val="16"/>
                <w:szCs w:val="16"/>
                <w:lang w:eastAsia="lv-LV"/>
              </w:rPr>
              <w:t>P</w:t>
            </w:r>
          </w:p>
        </w:tc>
        <w:tc>
          <w:tcPr>
            <w:tcW w:w="1842" w:type="dxa"/>
            <w:shd w:val="clear" w:color="000000" w:fill="FFFFFF"/>
            <w:vAlign w:val="center"/>
            <w:hideMark/>
          </w:tcPr>
          <w:p w14:paraId="57DB3734"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Pamatlīdzekļu (p/l) uzturēšanas izmaksas</w:t>
            </w:r>
          </w:p>
        </w:tc>
        <w:tc>
          <w:tcPr>
            <w:tcW w:w="1134" w:type="dxa"/>
            <w:shd w:val="clear" w:color="000000" w:fill="FFFFFF"/>
            <w:vAlign w:val="center"/>
            <w:hideMark/>
          </w:tcPr>
          <w:p w14:paraId="0FE1BA68"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0,00</w:t>
            </w:r>
          </w:p>
        </w:tc>
        <w:tc>
          <w:tcPr>
            <w:tcW w:w="993" w:type="dxa"/>
            <w:shd w:val="clear" w:color="000000" w:fill="FFFFFF"/>
            <w:vAlign w:val="center"/>
            <w:hideMark/>
          </w:tcPr>
          <w:p w14:paraId="61B8EC90"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0,00</w:t>
            </w:r>
          </w:p>
        </w:tc>
        <w:tc>
          <w:tcPr>
            <w:tcW w:w="992" w:type="dxa"/>
            <w:shd w:val="clear" w:color="000000" w:fill="FFFFFF"/>
            <w:vAlign w:val="center"/>
            <w:hideMark/>
          </w:tcPr>
          <w:p w14:paraId="0E5846C7"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0,00</w:t>
            </w:r>
          </w:p>
        </w:tc>
        <w:tc>
          <w:tcPr>
            <w:tcW w:w="992" w:type="dxa"/>
            <w:shd w:val="clear" w:color="000000" w:fill="FFFFFF"/>
            <w:vAlign w:val="center"/>
            <w:hideMark/>
          </w:tcPr>
          <w:p w14:paraId="6B9FFA6F"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0,00</w:t>
            </w:r>
          </w:p>
        </w:tc>
        <w:tc>
          <w:tcPr>
            <w:tcW w:w="2126" w:type="dxa"/>
            <w:shd w:val="clear" w:color="000000" w:fill="FFFFFF"/>
            <w:vAlign w:val="center"/>
            <w:hideMark/>
          </w:tcPr>
          <w:p w14:paraId="735772BA"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p/l plānotās izmaksas, kuras izmanto NĪ un tam piegulošās teritorijas uzkopšanā</w:t>
            </w:r>
          </w:p>
        </w:tc>
      </w:tr>
      <w:tr w:rsidR="00B1734C" w:rsidRPr="00B1734C" w14:paraId="3AC40200" w14:textId="77777777" w:rsidTr="00B1734C">
        <w:trPr>
          <w:trHeight w:val="540"/>
        </w:trPr>
        <w:tc>
          <w:tcPr>
            <w:tcW w:w="474" w:type="dxa"/>
            <w:shd w:val="clear" w:color="000000" w:fill="FFFFFF"/>
            <w:vAlign w:val="center"/>
            <w:hideMark/>
          </w:tcPr>
          <w:p w14:paraId="33A8A871"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1.4.</w:t>
            </w:r>
          </w:p>
        </w:tc>
        <w:tc>
          <w:tcPr>
            <w:tcW w:w="627" w:type="dxa"/>
            <w:shd w:val="clear" w:color="000000" w:fill="FFFFFF"/>
            <w:vAlign w:val="center"/>
            <w:hideMark/>
          </w:tcPr>
          <w:p w14:paraId="6852BF34" w14:textId="77777777" w:rsidR="00B1734C" w:rsidRPr="00B1734C" w:rsidRDefault="00B1734C" w:rsidP="00B1734C">
            <w:pPr>
              <w:spacing w:after="0" w:line="240" w:lineRule="auto"/>
              <w:jc w:val="center"/>
              <w:rPr>
                <w:rFonts w:ascii="Times New Roman" w:eastAsia="Times New Roman" w:hAnsi="Times New Roman" w:cs="Times New Roman"/>
                <w:b/>
                <w:bCs/>
                <w:color w:val="800000"/>
                <w:sz w:val="16"/>
                <w:szCs w:val="16"/>
                <w:lang w:eastAsia="lv-LV"/>
              </w:rPr>
            </w:pPr>
            <w:r w:rsidRPr="00B1734C">
              <w:rPr>
                <w:rFonts w:ascii="Times New Roman" w:eastAsia="Times New Roman" w:hAnsi="Times New Roman" w:cs="Times New Roman"/>
                <w:b/>
                <w:bCs/>
                <w:color w:val="800000"/>
                <w:sz w:val="16"/>
                <w:szCs w:val="16"/>
                <w:lang w:eastAsia="lv-LV"/>
              </w:rPr>
              <w:t>N</w:t>
            </w:r>
            <w:r w:rsidRPr="00B1734C">
              <w:rPr>
                <w:rFonts w:ascii="Times New Roman" w:eastAsia="Times New Roman" w:hAnsi="Times New Roman" w:cs="Times New Roman"/>
                <w:b/>
                <w:bCs/>
                <w:color w:val="800000"/>
                <w:sz w:val="16"/>
                <w:szCs w:val="16"/>
                <w:vertAlign w:val="subscript"/>
                <w:lang w:eastAsia="lv-LV"/>
              </w:rPr>
              <w:t>1</w:t>
            </w:r>
          </w:p>
        </w:tc>
        <w:tc>
          <w:tcPr>
            <w:tcW w:w="1842" w:type="dxa"/>
            <w:shd w:val="clear" w:color="000000" w:fill="FFFFFF"/>
            <w:vAlign w:val="center"/>
            <w:hideMark/>
          </w:tcPr>
          <w:p w14:paraId="497E2B05"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Izdevumi plānotajiem kārtējiem vai kapitālajiem remontiem</w:t>
            </w:r>
          </w:p>
        </w:tc>
        <w:tc>
          <w:tcPr>
            <w:tcW w:w="1134" w:type="dxa"/>
            <w:shd w:val="clear" w:color="000000" w:fill="FFFFFF"/>
            <w:vAlign w:val="center"/>
            <w:hideMark/>
          </w:tcPr>
          <w:p w14:paraId="084545B2"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362 205,60</w:t>
            </w:r>
          </w:p>
        </w:tc>
        <w:tc>
          <w:tcPr>
            <w:tcW w:w="993" w:type="dxa"/>
            <w:shd w:val="clear" w:color="000000" w:fill="FFFFFF"/>
            <w:vAlign w:val="center"/>
            <w:hideMark/>
          </w:tcPr>
          <w:p w14:paraId="648F8033"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18 110,28</w:t>
            </w:r>
          </w:p>
        </w:tc>
        <w:tc>
          <w:tcPr>
            <w:tcW w:w="992" w:type="dxa"/>
            <w:shd w:val="clear" w:color="000000" w:fill="FFFFFF"/>
            <w:vAlign w:val="center"/>
            <w:hideMark/>
          </w:tcPr>
          <w:p w14:paraId="703609C1"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1 509,19</w:t>
            </w:r>
          </w:p>
        </w:tc>
        <w:tc>
          <w:tcPr>
            <w:tcW w:w="992" w:type="dxa"/>
            <w:shd w:val="clear" w:color="000000" w:fill="FFFFFF"/>
            <w:vAlign w:val="center"/>
            <w:hideMark/>
          </w:tcPr>
          <w:p w14:paraId="64211A29"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0,741</w:t>
            </w:r>
          </w:p>
        </w:tc>
        <w:tc>
          <w:tcPr>
            <w:tcW w:w="2126" w:type="dxa"/>
            <w:shd w:val="clear" w:color="000000" w:fill="FFFFFF"/>
            <w:vAlign w:val="center"/>
            <w:hideMark/>
          </w:tcPr>
          <w:p w14:paraId="64F58A35" w14:textId="77777777" w:rsidR="00B1734C" w:rsidRPr="00B1734C" w:rsidRDefault="00121F94" w:rsidP="0046706A">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N</w:t>
            </w:r>
            <w:r w:rsidR="00B1734C" w:rsidRPr="00B1734C">
              <w:rPr>
                <w:rFonts w:ascii="Times New Roman" w:eastAsia="Times New Roman" w:hAnsi="Times New Roman" w:cs="Times New Roman"/>
                <w:sz w:val="16"/>
                <w:szCs w:val="16"/>
                <w:lang w:eastAsia="lv-LV"/>
              </w:rPr>
              <w:t xml:space="preserve">o </w:t>
            </w:r>
            <w:r w:rsidR="0046706A" w:rsidRPr="00B1734C">
              <w:rPr>
                <w:rFonts w:ascii="Times New Roman" w:eastAsia="Times New Roman" w:hAnsi="Times New Roman" w:cs="Times New Roman"/>
                <w:sz w:val="16"/>
                <w:szCs w:val="16"/>
                <w:lang w:eastAsia="lv-LV"/>
              </w:rPr>
              <w:t xml:space="preserve">prognozētās </w:t>
            </w:r>
            <w:r w:rsidR="00B1734C" w:rsidRPr="00B1734C">
              <w:rPr>
                <w:rFonts w:ascii="Times New Roman" w:eastAsia="Times New Roman" w:hAnsi="Times New Roman" w:cs="Times New Roman"/>
                <w:sz w:val="16"/>
                <w:szCs w:val="16"/>
                <w:lang w:eastAsia="lv-LV"/>
              </w:rPr>
              <w:t>NĪ apdrošināšanas atjaunošanas vērtības</w:t>
            </w:r>
          </w:p>
        </w:tc>
      </w:tr>
      <w:tr w:rsidR="00B1734C" w:rsidRPr="00B1734C" w14:paraId="23233209" w14:textId="77777777" w:rsidTr="00B1734C">
        <w:trPr>
          <w:trHeight w:val="300"/>
        </w:trPr>
        <w:tc>
          <w:tcPr>
            <w:tcW w:w="474" w:type="dxa"/>
            <w:shd w:val="clear" w:color="000000" w:fill="FFFFFF"/>
            <w:vAlign w:val="center"/>
            <w:hideMark/>
          </w:tcPr>
          <w:p w14:paraId="0C8D7F50"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1.5.</w:t>
            </w:r>
          </w:p>
        </w:tc>
        <w:tc>
          <w:tcPr>
            <w:tcW w:w="627" w:type="dxa"/>
            <w:shd w:val="clear" w:color="000000" w:fill="FFFFFF"/>
            <w:vAlign w:val="center"/>
            <w:hideMark/>
          </w:tcPr>
          <w:p w14:paraId="2B59D437" w14:textId="77777777" w:rsidR="00B1734C" w:rsidRPr="00B1734C" w:rsidRDefault="00B1734C" w:rsidP="00B1734C">
            <w:pPr>
              <w:spacing w:after="0" w:line="240" w:lineRule="auto"/>
              <w:jc w:val="center"/>
              <w:rPr>
                <w:rFonts w:ascii="Times New Roman" w:eastAsia="Times New Roman" w:hAnsi="Times New Roman" w:cs="Times New Roman"/>
                <w:b/>
                <w:bCs/>
                <w:color w:val="800000"/>
                <w:sz w:val="16"/>
                <w:szCs w:val="16"/>
                <w:lang w:eastAsia="lv-LV"/>
              </w:rPr>
            </w:pPr>
            <w:r w:rsidRPr="00B1734C">
              <w:rPr>
                <w:rFonts w:ascii="Times New Roman" w:eastAsia="Times New Roman" w:hAnsi="Times New Roman" w:cs="Times New Roman"/>
                <w:b/>
                <w:bCs/>
                <w:color w:val="800000"/>
                <w:sz w:val="16"/>
                <w:szCs w:val="16"/>
                <w:lang w:eastAsia="lv-LV"/>
              </w:rPr>
              <w:t>Apdr</w:t>
            </w:r>
          </w:p>
        </w:tc>
        <w:tc>
          <w:tcPr>
            <w:tcW w:w="1842" w:type="dxa"/>
            <w:shd w:val="clear" w:color="000000" w:fill="FFFFFF"/>
            <w:vAlign w:val="center"/>
            <w:hideMark/>
          </w:tcPr>
          <w:p w14:paraId="302F05A4"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Apdrošināšana</w:t>
            </w:r>
          </w:p>
        </w:tc>
        <w:tc>
          <w:tcPr>
            <w:tcW w:w="1134" w:type="dxa"/>
            <w:shd w:val="clear" w:color="000000" w:fill="FFFFFF"/>
            <w:vAlign w:val="center"/>
            <w:hideMark/>
          </w:tcPr>
          <w:p w14:paraId="16F83F3F"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5 376,00</w:t>
            </w:r>
          </w:p>
        </w:tc>
        <w:tc>
          <w:tcPr>
            <w:tcW w:w="993" w:type="dxa"/>
            <w:shd w:val="clear" w:color="000000" w:fill="FFFFFF"/>
            <w:vAlign w:val="center"/>
            <w:hideMark/>
          </w:tcPr>
          <w:p w14:paraId="4C9EFF1F"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268,80</w:t>
            </w:r>
          </w:p>
        </w:tc>
        <w:tc>
          <w:tcPr>
            <w:tcW w:w="992" w:type="dxa"/>
            <w:shd w:val="clear" w:color="000000" w:fill="FFFFFF"/>
            <w:vAlign w:val="center"/>
            <w:hideMark/>
          </w:tcPr>
          <w:p w14:paraId="0AAE1AB0"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22,40</w:t>
            </w:r>
          </w:p>
        </w:tc>
        <w:tc>
          <w:tcPr>
            <w:tcW w:w="992" w:type="dxa"/>
            <w:shd w:val="clear" w:color="000000" w:fill="FFFFFF"/>
            <w:vAlign w:val="center"/>
            <w:hideMark/>
          </w:tcPr>
          <w:p w14:paraId="54427DEB"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0,011</w:t>
            </w:r>
          </w:p>
        </w:tc>
        <w:tc>
          <w:tcPr>
            <w:tcW w:w="2126" w:type="dxa"/>
            <w:shd w:val="clear" w:color="000000" w:fill="FFFFFF"/>
            <w:vAlign w:val="center"/>
            <w:hideMark/>
          </w:tcPr>
          <w:p w14:paraId="15E5921D" w14:textId="77777777" w:rsidR="00B1734C" w:rsidRPr="00B1734C" w:rsidRDefault="00121F94" w:rsidP="00B1734C">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w:t>
            </w:r>
            <w:r w:rsidR="00B1734C" w:rsidRPr="00B1734C">
              <w:rPr>
                <w:rFonts w:ascii="Times New Roman" w:eastAsia="Times New Roman" w:hAnsi="Times New Roman" w:cs="Times New Roman"/>
                <w:sz w:val="16"/>
                <w:szCs w:val="16"/>
                <w:lang w:eastAsia="lv-LV"/>
              </w:rPr>
              <w:t>rognozētā apdrošināšanas prēmija gadā</w:t>
            </w:r>
          </w:p>
        </w:tc>
      </w:tr>
      <w:tr w:rsidR="00B1734C" w:rsidRPr="00B1734C" w14:paraId="2DCF95F2" w14:textId="77777777" w:rsidTr="00B1734C">
        <w:trPr>
          <w:trHeight w:val="480"/>
        </w:trPr>
        <w:tc>
          <w:tcPr>
            <w:tcW w:w="474" w:type="dxa"/>
            <w:shd w:val="clear" w:color="000000" w:fill="FFFFFF"/>
            <w:vAlign w:val="center"/>
            <w:hideMark/>
          </w:tcPr>
          <w:p w14:paraId="18435266"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1.6.</w:t>
            </w:r>
          </w:p>
        </w:tc>
        <w:tc>
          <w:tcPr>
            <w:tcW w:w="627" w:type="dxa"/>
            <w:shd w:val="clear" w:color="000000" w:fill="FFFFFF"/>
            <w:vAlign w:val="center"/>
            <w:hideMark/>
          </w:tcPr>
          <w:p w14:paraId="69BCBF56" w14:textId="77777777" w:rsidR="00B1734C" w:rsidRPr="00B1734C" w:rsidRDefault="00B1734C" w:rsidP="00B1734C">
            <w:pPr>
              <w:spacing w:after="0" w:line="240" w:lineRule="auto"/>
              <w:jc w:val="center"/>
              <w:rPr>
                <w:rFonts w:ascii="Times New Roman" w:eastAsia="Times New Roman" w:hAnsi="Times New Roman" w:cs="Times New Roman"/>
                <w:b/>
                <w:bCs/>
                <w:color w:val="800000"/>
                <w:sz w:val="16"/>
                <w:szCs w:val="16"/>
                <w:lang w:eastAsia="lv-LV"/>
              </w:rPr>
            </w:pPr>
            <w:r w:rsidRPr="00B1734C">
              <w:rPr>
                <w:rFonts w:ascii="Times New Roman" w:eastAsia="Times New Roman" w:hAnsi="Times New Roman" w:cs="Times New Roman"/>
                <w:b/>
                <w:bCs/>
                <w:color w:val="800000"/>
                <w:sz w:val="16"/>
                <w:szCs w:val="16"/>
                <w:lang w:eastAsia="lv-LV"/>
              </w:rPr>
              <w:t>Nod</w:t>
            </w:r>
          </w:p>
        </w:tc>
        <w:tc>
          <w:tcPr>
            <w:tcW w:w="1842" w:type="dxa"/>
            <w:shd w:val="clear" w:color="000000" w:fill="FFFFFF"/>
            <w:vAlign w:val="center"/>
            <w:hideMark/>
          </w:tcPr>
          <w:p w14:paraId="09052D7F"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Nekustamā īpašuma nodoklis zemei</w:t>
            </w:r>
          </w:p>
        </w:tc>
        <w:tc>
          <w:tcPr>
            <w:tcW w:w="1134" w:type="dxa"/>
            <w:shd w:val="clear" w:color="000000" w:fill="FFFFFF"/>
            <w:vAlign w:val="center"/>
            <w:hideMark/>
          </w:tcPr>
          <w:p w14:paraId="26AF2027"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12 708,00</w:t>
            </w:r>
          </w:p>
        </w:tc>
        <w:tc>
          <w:tcPr>
            <w:tcW w:w="993" w:type="dxa"/>
            <w:shd w:val="clear" w:color="000000" w:fill="FFFFFF"/>
            <w:vAlign w:val="center"/>
            <w:hideMark/>
          </w:tcPr>
          <w:p w14:paraId="277148CB"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635,40</w:t>
            </w:r>
          </w:p>
        </w:tc>
        <w:tc>
          <w:tcPr>
            <w:tcW w:w="992" w:type="dxa"/>
            <w:shd w:val="clear" w:color="000000" w:fill="FFFFFF"/>
            <w:vAlign w:val="center"/>
            <w:hideMark/>
          </w:tcPr>
          <w:p w14:paraId="4002584E"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52,95</w:t>
            </w:r>
          </w:p>
        </w:tc>
        <w:tc>
          <w:tcPr>
            <w:tcW w:w="992" w:type="dxa"/>
            <w:shd w:val="clear" w:color="000000" w:fill="FFFFFF"/>
            <w:vAlign w:val="center"/>
            <w:hideMark/>
          </w:tcPr>
          <w:p w14:paraId="350289E5"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0,026</w:t>
            </w:r>
          </w:p>
        </w:tc>
        <w:tc>
          <w:tcPr>
            <w:tcW w:w="2126" w:type="dxa"/>
            <w:shd w:val="clear" w:color="000000" w:fill="FFFFFF"/>
            <w:vAlign w:val="center"/>
            <w:hideMark/>
          </w:tcPr>
          <w:p w14:paraId="3D70DCB3"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1,5% no zemes kadastrālās vērtības, kas uz 01.01.2015. ir EUR 42 531</w:t>
            </w:r>
          </w:p>
        </w:tc>
      </w:tr>
      <w:tr w:rsidR="00B1734C" w:rsidRPr="00B1734C" w14:paraId="5B5A7650" w14:textId="77777777" w:rsidTr="00324E1C">
        <w:trPr>
          <w:trHeight w:val="254"/>
        </w:trPr>
        <w:tc>
          <w:tcPr>
            <w:tcW w:w="474" w:type="dxa"/>
            <w:shd w:val="clear" w:color="000000" w:fill="FFFFFF"/>
            <w:vAlign w:val="center"/>
            <w:hideMark/>
          </w:tcPr>
          <w:p w14:paraId="0FB8335E"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1.7.</w:t>
            </w:r>
          </w:p>
        </w:tc>
        <w:tc>
          <w:tcPr>
            <w:tcW w:w="627" w:type="dxa"/>
            <w:shd w:val="clear" w:color="000000" w:fill="FFFFFF"/>
            <w:vAlign w:val="center"/>
            <w:hideMark/>
          </w:tcPr>
          <w:p w14:paraId="28975772" w14:textId="77777777" w:rsidR="00B1734C" w:rsidRPr="00B1734C" w:rsidRDefault="00B1734C" w:rsidP="00B1734C">
            <w:pPr>
              <w:spacing w:after="0" w:line="240" w:lineRule="auto"/>
              <w:jc w:val="center"/>
              <w:rPr>
                <w:rFonts w:ascii="Times New Roman" w:eastAsia="Times New Roman" w:hAnsi="Times New Roman" w:cs="Times New Roman"/>
                <w:b/>
                <w:bCs/>
                <w:color w:val="800000"/>
                <w:sz w:val="16"/>
                <w:szCs w:val="16"/>
                <w:lang w:eastAsia="lv-LV"/>
              </w:rPr>
            </w:pPr>
            <w:r>
              <w:rPr>
                <w:rFonts w:ascii="Times New Roman" w:eastAsia="Times New Roman" w:hAnsi="Times New Roman" w:cs="Times New Roman"/>
                <w:b/>
                <w:bCs/>
                <w:color w:val="800000"/>
                <w:sz w:val="16"/>
                <w:szCs w:val="16"/>
                <w:lang w:eastAsia="lv-LV"/>
              </w:rPr>
              <w:t>K</w:t>
            </w:r>
            <w:r w:rsidRPr="00B1734C">
              <w:rPr>
                <w:rFonts w:ascii="Times New Roman" w:eastAsia="Times New Roman" w:hAnsi="Times New Roman" w:cs="Times New Roman"/>
                <w:b/>
                <w:bCs/>
                <w:color w:val="800000"/>
                <w:sz w:val="16"/>
                <w:szCs w:val="16"/>
                <w:lang w:eastAsia="lv-LV"/>
              </w:rPr>
              <w:t> </w:t>
            </w:r>
          </w:p>
        </w:tc>
        <w:tc>
          <w:tcPr>
            <w:tcW w:w="1842" w:type="dxa"/>
            <w:shd w:val="clear" w:color="000000" w:fill="FFFFFF"/>
            <w:vAlign w:val="center"/>
            <w:hideMark/>
          </w:tcPr>
          <w:p w14:paraId="51027007" w14:textId="77777777" w:rsidR="00B1734C" w:rsidRPr="00B1734C" w:rsidRDefault="00B1734C" w:rsidP="00B1734C">
            <w:pPr>
              <w:spacing w:after="0" w:line="240" w:lineRule="auto"/>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Kapitālieguldījumi</w:t>
            </w:r>
          </w:p>
        </w:tc>
        <w:tc>
          <w:tcPr>
            <w:tcW w:w="1134" w:type="dxa"/>
            <w:shd w:val="clear" w:color="000000" w:fill="FFFFFF"/>
            <w:vAlign w:val="center"/>
            <w:hideMark/>
          </w:tcPr>
          <w:p w14:paraId="65909E8C"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3 576 761,26</w:t>
            </w:r>
          </w:p>
        </w:tc>
        <w:tc>
          <w:tcPr>
            <w:tcW w:w="993" w:type="dxa"/>
            <w:shd w:val="clear" w:color="000000" w:fill="FFFFFF"/>
            <w:vAlign w:val="center"/>
            <w:hideMark/>
          </w:tcPr>
          <w:p w14:paraId="781F512C"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178 838,06</w:t>
            </w:r>
          </w:p>
        </w:tc>
        <w:tc>
          <w:tcPr>
            <w:tcW w:w="992" w:type="dxa"/>
            <w:shd w:val="clear" w:color="000000" w:fill="FFFFFF"/>
            <w:vAlign w:val="center"/>
            <w:hideMark/>
          </w:tcPr>
          <w:p w14:paraId="647A0FE6"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14 903,17</w:t>
            </w:r>
          </w:p>
        </w:tc>
        <w:tc>
          <w:tcPr>
            <w:tcW w:w="992" w:type="dxa"/>
            <w:shd w:val="clear" w:color="000000" w:fill="FFFFFF"/>
            <w:vAlign w:val="center"/>
            <w:hideMark/>
          </w:tcPr>
          <w:p w14:paraId="39C0E1C4" w14:textId="77777777" w:rsidR="00B1734C" w:rsidRPr="00B1734C" w:rsidRDefault="00B1734C" w:rsidP="00B1734C">
            <w:pPr>
              <w:spacing w:after="0" w:line="240" w:lineRule="auto"/>
              <w:jc w:val="center"/>
              <w:rPr>
                <w:rFonts w:ascii="Times New Roman" w:eastAsia="Times New Roman" w:hAnsi="Times New Roman" w:cs="Times New Roman"/>
                <w:sz w:val="16"/>
                <w:szCs w:val="16"/>
                <w:lang w:eastAsia="lv-LV"/>
              </w:rPr>
            </w:pPr>
            <w:r w:rsidRPr="00B1734C">
              <w:rPr>
                <w:rFonts w:ascii="Times New Roman" w:eastAsia="Times New Roman" w:hAnsi="Times New Roman" w:cs="Times New Roman"/>
                <w:sz w:val="16"/>
                <w:szCs w:val="16"/>
                <w:lang w:eastAsia="lv-LV"/>
              </w:rPr>
              <w:t>7,318</w:t>
            </w:r>
          </w:p>
        </w:tc>
        <w:tc>
          <w:tcPr>
            <w:tcW w:w="2126" w:type="dxa"/>
            <w:shd w:val="clear" w:color="000000" w:fill="FFFFFF"/>
            <w:vAlign w:val="center"/>
            <w:hideMark/>
          </w:tcPr>
          <w:p w14:paraId="37A1F5AB" w14:textId="77777777" w:rsidR="00B1734C" w:rsidRPr="00B1734C" w:rsidRDefault="00121F94" w:rsidP="00324E1C">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S</w:t>
            </w:r>
            <w:r w:rsidR="00B1734C" w:rsidRPr="00B1734C">
              <w:rPr>
                <w:rFonts w:ascii="Times New Roman" w:eastAsia="Times New Roman" w:hAnsi="Times New Roman" w:cs="Times New Roman"/>
                <w:sz w:val="16"/>
                <w:szCs w:val="16"/>
                <w:lang w:eastAsia="lv-LV"/>
              </w:rPr>
              <w:t>k.</w:t>
            </w:r>
            <w:r w:rsidR="00324E1C">
              <w:rPr>
                <w:rFonts w:ascii="Times New Roman" w:eastAsia="Times New Roman" w:hAnsi="Times New Roman" w:cs="Times New Roman"/>
                <w:sz w:val="16"/>
                <w:szCs w:val="16"/>
                <w:lang w:eastAsia="lv-LV"/>
              </w:rPr>
              <w:t>4.tabulu</w:t>
            </w:r>
          </w:p>
        </w:tc>
      </w:tr>
      <w:tr w:rsidR="00B1734C" w:rsidRPr="00B1734C" w14:paraId="1A24E965" w14:textId="77777777" w:rsidTr="00324E1C">
        <w:trPr>
          <w:trHeight w:val="555"/>
        </w:trPr>
        <w:tc>
          <w:tcPr>
            <w:tcW w:w="474" w:type="dxa"/>
            <w:shd w:val="clear" w:color="000000" w:fill="FFFFFF"/>
            <w:vAlign w:val="center"/>
            <w:hideMark/>
          </w:tcPr>
          <w:p w14:paraId="3879C90F" w14:textId="77777777" w:rsidR="00B1734C" w:rsidRPr="00324E1C" w:rsidRDefault="00B1734C" w:rsidP="00B1734C">
            <w:pPr>
              <w:spacing w:after="0" w:line="240" w:lineRule="auto"/>
              <w:jc w:val="center"/>
              <w:rPr>
                <w:rFonts w:ascii="Times New Roman" w:eastAsia="Times New Roman" w:hAnsi="Times New Roman" w:cs="Times New Roman"/>
                <w:bCs/>
                <w:sz w:val="16"/>
                <w:szCs w:val="16"/>
                <w:lang w:eastAsia="lv-LV"/>
              </w:rPr>
            </w:pPr>
            <w:r w:rsidRPr="00324E1C">
              <w:rPr>
                <w:rFonts w:ascii="Times New Roman" w:eastAsia="Times New Roman" w:hAnsi="Times New Roman" w:cs="Times New Roman"/>
                <w:bCs/>
                <w:sz w:val="16"/>
                <w:szCs w:val="16"/>
                <w:lang w:eastAsia="lv-LV"/>
              </w:rPr>
              <w:t>2.</w:t>
            </w:r>
          </w:p>
        </w:tc>
        <w:tc>
          <w:tcPr>
            <w:tcW w:w="627" w:type="dxa"/>
            <w:shd w:val="clear" w:color="000000" w:fill="FFFFFF"/>
            <w:vAlign w:val="center"/>
            <w:hideMark/>
          </w:tcPr>
          <w:p w14:paraId="332310CD" w14:textId="77777777" w:rsidR="00B1734C" w:rsidRPr="00324E1C" w:rsidRDefault="00B1734C" w:rsidP="00B1734C">
            <w:pPr>
              <w:spacing w:after="0" w:line="240" w:lineRule="auto"/>
              <w:jc w:val="center"/>
              <w:rPr>
                <w:rFonts w:ascii="Times New Roman" w:eastAsia="Times New Roman" w:hAnsi="Times New Roman" w:cs="Times New Roman"/>
                <w:bCs/>
                <w:color w:val="800000"/>
                <w:sz w:val="16"/>
                <w:szCs w:val="16"/>
                <w:lang w:eastAsia="lv-LV"/>
              </w:rPr>
            </w:pPr>
            <w:r w:rsidRPr="00324E1C">
              <w:rPr>
                <w:rFonts w:ascii="Times New Roman" w:eastAsia="Times New Roman" w:hAnsi="Times New Roman" w:cs="Times New Roman"/>
                <w:bCs/>
                <w:color w:val="800000"/>
                <w:sz w:val="16"/>
                <w:szCs w:val="16"/>
                <w:lang w:eastAsia="lv-LV"/>
              </w:rPr>
              <w:t>Nizm</w:t>
            </w:r>
          </w:p>
        </w:tc>
        <w:tc>
          <w:tcPr>
            <w:tcW w:w="1842" w:type="dxa"/>
            <w:shd w:val="clear" w:color="000000" w:fill="FFFFFF"/>
            <w:vAlign w:val="center"/>
            <w:hideMark/>
          </w:tcPr>
          <w:p w14:paraId="634865D5" w14:textId="77777777" w:rsidR="00B1734C" w:rsidRPr="00324E1C" w:rsidRDefault="00B1734C" w:rsidP="00B1734C">
            <w:pPr>
              <w:spacing w:after="0" w:line="240" w:lineRule="auto"/>
              <w:rPr>
                <w:rFonts w:ascii="Times New Roman" w:eastAsia="Times New Roman" w:hAnsi="Times New Roman" w:cs="Times New Roman"/>
                <w:bCs/>
                <w:sz w:val="16"/>
                <w:szCs w:val="16"/>
                <w:lang w:eastAsia="lv-LV"/>
              </w:rPr>
            </w:pPr>
            <w:r w:rsidRPr="00324E1C">
              <w:rPr>
                <w:rFonts w:ascii="Times New Roman" w:eastAsia="Times New Roman" w:hAnsi="Times New Roman" w:cs="Times New Roman"/>
                <w:bCs/>
                <w:sz w:val="16"/>
                <w:szCs w:val="16"/>
                <w:lang w:eastAsia="lv-LV"/>
              </w:rPr>
              <w:t>Netiešās administratīvās izmaksas</w:t>
            </w:r>
          </w:p>
        </w:tc>
        <w:tc>
          <w:tcPr>
            <w:tcW w:w="1134" w:type="dxa"/>
            <w:shd w:val="clear" w:color="000000" w:fill="FFFFFF"/>
            <w:vAlign w:val="center"/>
            <w:hideMark/>
          </w:tcPr>
          <w:p w14:paraId="6B7782A7" w14:textId="77777777" w:rsidR="00B1734C" w:rsidRPr="00324E1C" w:rsidRDefault="00B1734C" w:rsidP="00B1734C">
            <w:pPr>
              <w:spacing w:after="0" w:line="240" w:lineRule="auto"/>
              <w:jc w:val="center"/>
              <w:rPr>
                <w:rFonts w:ascii="Times New Roman" w:eastAsia="Times New Roman" w:hAnsi="Times New Roman" w:cs="Times New Roman"/>
                <w:bCs/>
                <w:sz w:val="16"/>
                <w:szCs w:val="16"/>
                <w:lang w:eastAsia="lv-LV"/>
              </w:rPr>
            </w:pPr>
            <w:r w:rsidRPr="00324E1C">
              <w:rPr>
                <w:rFonts w:ascii="Times New Roman" w:eastAsia="Times New Roman" w:hAnsi="Times New Roman" w:cs="Times New Roman"/>
                <w:bCs/>
                <w:sz w:val="16"/>
                <w:szCs w:val="16"/>
                <w:lang w:eastAsia="lv-LV"/>
              </w:rPr>
              <w:t>205 298,40</w:t>
            </w:r>
          </w:p>
        </w:tc>
        <w:tc>
          <w:tcPr>
            <w:tcW w:w="993" w:type="dxa"/>
            <w:shd w:val="clear" w:color="000000" w:fill="FFFFFF"/>
            <w:vAlign w:val="center"/>
            <w:hideMark/>
          </w:tcPr>
          <w:p w14:paraId="62DC3E8C" w14:textId="77777777" w:rsidR="00B1734C" w:rsidRPr="00324E1C" w:rsidRDefault="00B1734C" w:rsidP="00B1734C">
            <w:pPr>
              <w:spacing w:after="0" w:line="240" w:lineRule="auto"/>
              <w:jc w:val="center"/>
              <w:rPr>
                <w:rFonts w:ascii="Times New Roman" w:eastAsia="Times New Roman" w:hAnsi="Times New Roman" w:cs="Times New Roman"/>
                <w:bCs/>
                <w:sz w:val="16"/>
                <w:szCs w:val="16"/>
                <w:lang w:eastAsia="lv-LV"/>
              </w:rPr>
            </w:pPr>
            <w:r w:rsidRPr="00324E1C">
              <w:rPr>
                <w:rFonts w:ascii="Times New Roman" w:eastAsia="Times New Roman" w:hAnsi="Times New Roman" w:cs="Times New Roman"/>
                <w:bCs/>
                <w:sz w:val="16"/>
                <w:szCs w:val="16"/>
                <w:lang w:eastAsia="lv-LV"/>
              </w:rPr>
              <w:t>10 264,92</w:t>
            </w:r>
          </w:p>
        </w:tc>
        <w:tc>
          <w:tcPr>
            <w:tcW w:w="992" w:type="dxa"/>
            <w:shd w:val="clear" w:color="000000" w:fill="FFFFFF"/>
            <w:vAlign w:val="center"/>
            <w:hideMark/>
          </w:tcPr>
          <w:p w14:paraId="365860B2" w14:textId="77777777" w:rsidR="00B1734C" w:rsidRPr="00324E1C" w:rsidRDefault="00B1734C" w:rsidP="00B1734C">
            <w:pPr>
              <w:spacing w:after="0" w:line="240" w:lineRule="auto"/>
              <w:jc w:val="center"/>
              <w:rPr>
                <w:rFonts w:ascii="Times New Roman" w:eastAsia="Times New Roman" w:hAnsi="Times New Roman" w:cs="Times New Roman"/>
                <w:sz w:val="16"/>
                <w:szCs w:val="16"/>
                <w:lang w:eastAsia="lv-LV"/>
              </w:rPr>
            </w:pPr>
            <w:r w:rsidRPr="00324E1C">
              <w:rPr>
                <w:rFonts w:ascii="Times New Roman" w:eastAsia="Times New Roman" w:hAnsi="Times New Roman" w:cs="Times New Roman"/>
                <w:sz w:val="16"/>
                <w:szCs w:val="16"/>
                <w:lang w:eastAsia="lv-LV"/>
              </w:rPr>
              <w:t>855,41</w:t>
            </w:r>
          </w:p>
        </w:tc>
        <w:tc>
          <w:tcPr>
            <w:tcW w:w="992" w:type="dxa"/>
            <w:shd w:val="clear" w:color="000000" w:fill="FFFFFF"/>
            <w:vAlign w:val="center"/>
            <w:hideMark/>
          </w:tcPr>
          <w:p w14:paraId="77824C5A" w14:textId="77777777" w:rsidR="00B1734C" w:rsidRPr="00324E1C" w:rsidRDefault="00B1734C" w:rsidP="00B1734C">
            <w:pPr>
              <w:spacing w:after="0" w:line="240" w:lineRule="auto"/>
              <w:jc w:val="center"/>
              <w:rPr>
                <w:rFonts w:ascii="Times New Roman" w:eastAsia="Times New Roman" w:hAnsi="Times New Roman" w:cs="Times New Roman"/>
                <w:bCs/>
                <w:sz w:val="16"/>
                <w:szCs w:val="16"/>
                <w:lang w:eastAsia="lv-LV"/>
              </w:rPr>
            </w:pPr>
            <w:r w:rsidRPr="00324E1C">
              <w:rPr>
                <w:rFonts w:ascii="Times New Roman" w:eastAsia="Times New Roman" w:hAnsi="Times New Roman" w:cs="Times New Roman"/>
                <w:bCs/>
                <w:sz w:val="16"/>
                <w:szCs w:val="16"/>
                <w:lang w:eastAsia="lv-LV"/>
              </w:rPr>
              <w:t>0,420</w:t>
            </w:r>
          </w:p>
        </w:tc>
        <w:tc>
          <w:tcPr>
            <w:tcW w:w="2126" w:type="dxa"/>
            <w:shd w:val="clear" w:color="000000" w:fill="FFFFFF"/>
            <w:vAlign w:val="center"/>
            <w:hideMark/>
          </w:tcPr>
          <w:p w14:paraId="5CB801AB" w14:textId="77777777" w:rsidR="00B1734C" w:rsidRPr="00324E1C" w:rsidRDefault="00B1734C" w:rsidP="00B1734C">
            <w:pPr>
              <w:spacing w:after="0" w:line="240" w:lineRule="auto"/>
              <w:rPr>
                <w:rFonts w:ascii="Times New Roman" w:eastAsia="Times New Roman" w:hAnsi="Times New Roman" w:cs="Times New Roman"/>
                <w:sz w:val="16"/>
                <w:szCs w:val="16"/>
                <w:lang w:eastAsia="lv-LV"/>
              </w:rPr>
            </w:pPr>
            <w:r w:rsidRPr="00324E1C">
              <w:rPr>
                <w:rFonts w:ascii="Times New Roman" w:eastAsia="Times New Roman" w:hAnsi="Times New Roman" w:cs="Times New Roman"/>
                <w:sz w:val="16"/>
                <w:szCs w:val="16"/>
                <w:lang w:eastAsia="lv-LV"/>
              </w:rPr>
              <w:t xml:space="preserve">Saskaņā ar VAS VNĪ 2015.gada 11.marta rīkojumu Nr.40 - 0,42 EUR/m2 </w:t>
            </w:r>
          </w:p>
        </w:tc>
      </w:tr>
      <w:tr w:rsidR="00B1734C" w:rsidRPr="00B1734C" w14:paraId="611520DA" w14:textId="77777777" w:rsidTr="00B1734C">
        <w:trPr>
          <w:trHeight w:val="225"/>
        </w:trPr>
        <w:tc>
          <w:tcPr>
            <w:tcW w:w="2943" w:type="dxa"/>
            <w:gridSpan w:val="3"/>
            <w:shd w:val="clear" w:color="000000" w:fill="FFFFFF"/>
            <w:vAlign w:val="center"/>
            <w:hideMark/>
          </w:tcPr>
          <w:p w14:paraId="151A8D3A" w14:textId="77777777" w:rsidR="00B1734C" w:rsidRPr="00B1734C" w:rsidRDefault="00B1734C" w:rsidP="00B1734C">
            <w:pPr>
              <w:spacing w:after="0" w:line="240" w:lineRule="auto"/>
              <w:jc w:val="right"/>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PAVISAM KOPĀ (bez PVN):</w:t>
            </w:r>
          </w:p>
        </w:tc>
        <w:tc>
          <w:tcPr>
            <w:tcW w:w="1134" w:type="dxa"/>
            <w:shd w:val="clear" w:color="000000" w:fill="FFFFFF"/>
            <w:vAlign w:val="center"/>
            <w:hideMark/>
          </w:tcPr>
          <w:p w14:paraId="36A8B320"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4 776 144,00</w:t>
            </w:r>
          </w:p>
        </w:tc>
        <w:tc>
          <w:tcPr>
            <w:tcW w:w="993" w:type="dxa"/>
            <w:shd w:val="clear" w:color="000000" w:fill="FFFFFF"/>
            <w:vAlign w:val="center"/>
            <w:hideMark/>
          </w:tcPr>
          <w:p w14:paraId="00ECB04A"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238 807,20</w:t>
            </w:r>
          </w:p>
        </w:tc>
        <w:tc>
          <w:tcPr>
            <w:tcW w:w="992" w:type="dxa"/>
            <w:shd w:val="clear" w:color="000000" w:fill="FFFFFF"/>
            <w:vAlign w:val="center"/>
            <w:hideMark/>
          </w:tcPr>
          <w:p w14:paraId="1333BC4F"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19 900,60</w:t>
            </w:r>
          </w:p>
        </w:tc>
        <w:tc>
          <w:tcPr>
            <w:tcW w:w="992" w:type="dxa"/>
            <w:shd w:val="clear" w:color="000000" w:fill="FFFFFF"/>
            <w:vAlign w:val="center"/>
            <w:hideMark/>
          </w:tcPr>
          <w:p w14:paraId="42CBE9BC"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9,771</w:t>
            </w:r>
          </w:p>
        </w:tc>
        <w:tc>
          <w:tcPr>
            <w:tcW w:w="2126" w:type="dxa"/>
            <w:shd w:val="clear" w:color="000000" w:fill="FFFFFF"/>
            <w:vAlign w:val="center"/>
            <w:hideMark/>
          </w:tcPr>
          <w:p w14:paraId="23D297C5" w14:textId="77777777" w:rsidR="00B1734C" w:rsidRPr="00B1734C" w:rsidRDefault="00B1734C" w:rsidP="00324E1C">
            <w:pPr>
              <w:spacing w:after="0" w:line="240" w:lineRule="auto"/>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Kopsumma (1. + 2.punkts);</w:t>
            </w:r>
          </w:p>
        </w:tc>
      </w:tr>
      <w:tr w:rsidR="00B1734C" w:rsidRPr="00B1734C" w14:paraId="209D514E" w14:textId="77777777" w:rsidTr="00B1734C">
        <w:trPr>
          <w:trHeight w:val="225"/>
        </w:trPr>
        <w:tc>
          <w:tcPr>
            <w:tcW w:w="2943" w:type="dxa"/>
            <w:gridSpan w:val="3"/>
            <w:shd w:val="clear" w:color="000000" w:fill="FFFFFF"/>
            <w:vAlign w:val="center"/>
            <w:hideMark/>
          </w:tcPr>
          <w:p w14:paraId="029A458F" w14:textId="77777777" w:rsidR="00B1734C" w:rsidRPr="00B1734C" w:rsidRDefault="00B1734C" w:rsidP="00B1734C">
            <w:pPr>
              <w:spacing w:after="0" w:line="240" w:lineRule="auto"/>
              <w:jc w:val="right"/>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PVN (21%):</w:t>
            </w:r>
          </w:p>
        </w:tc>
        <w:tc>
          <w:tcPr>
            <w:tcW w:w="1134" w:type="dxa"/>
            <w:shd w:val="clear" w:color="000000" w:fill="FFFFFF"/>
            <w:vAlign w:val="center"/>
            <w:hideMark/>
          </w:tcPr>
          <w:p w14:paraId="736B23D0"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1 002 990,24</w:t>
            </w:r>
          </w:p>
        </w:tc>
        <w:tc>
          <w:tcPr>
            <w:tcW w:w="993" w:type="dxa"/>
            <w:shd w:val="clear" w:color="000000" w:fill="FFFFFF"/>
            <w:vAlign w:val="center"/>
            <w:hideMark/>
          </w:tcPr>
          <w:p w14:paraId="7049CA7D"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50 149,51</w:t>
            </w:r>
          </w:p>
        </w:tc>
        <w:tc>
          <w:tcPr>
            <w:tcW w:w="992" w:type="dxa"/>
            <w:shd w:val="clear" w:color="000000" w:fill="FFFFFF"/>
            <w:vAlign w:val="center"/>
            <w:hideMark/>
          </w:tcPr>
          <w:p w14:paraId="59EA0BC7"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4 179,13</w:t>
            </w:r>
          </w:p>
        </w:tc>
        <w:tc>
          <w:tcPr>
            <w:tcW w:w="992" w:type="dxa"/>
            <w:shd w:val="clear" w:color="000000" w:fill="FFFFFF"/>
            <w:vAlign w:val="center"/>
            <w:hideMark/>
          </w:tcPr>
          <w:p w14:paraId="02D2C091"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2,052</w:t>
            </w:r>
          </w:p>
        </w:tc>
        <w:tc>
          <w:tcPr>
            <w:tcW w:w="2126" w:type="dxa"/>
            <w:shd w:val="clear" w:color="000000" w:fill="FFFFFF"/>
            <w:vAlign w:val="center"/>
            <w:hideMark/>
          </w:tcPr>
          <w:p w14:paraId="6A322409" w14:textId="77777777" w:rsidR="00B1734C" w:rsidRPr="00B1734C" w:rsidRDefault="00B1734C" w:rsidP="00324E1C">
            <w:pPr>
              <w:spacing w:after="0" w:line="240" w:lineRule="auto"/>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 xml:space="preserve">Pievienotās </w:t>
            </w:r>
            <w:r w:rsidR="00324E1C" w:rsidRPr="00B1734C">
              <w:rPr>
                <w:rFonts w:ascii="Times New Roman" w:eastAsia="Times New Roman" w:hAnsi="Times New Roman" w:cs="Times New Roman"/>
                <w:b/>
                <w:bCs/>
                <w:sz w:val="16"/>
                <w:szCs w:val="16"/>
                <w:lang w:eastAsia="lv-LV"/>
              </w:rPr>
              <w:t>vērtības</w:t>
            </w:r>
            <w:r w:rsidRPr="00B1734C">
              <w:rPr>
                <w:rFonts w:ascii="Times New Roman" w:eastAsia="Times New Roman" w:hAnsi="Times New Roman" w:cs="Times New Roman"/>
                <w:b/>
                <w:bCs/>
                <w:sz w:val="16"/>
                <w:szCs w:val="16"/>
                <w:lang w:eastAsia="lv-LV"/>
              </w:rPr>
              <w:t xml:space="preserve"> nodoklis 21 %;</w:t>
            </w:r>
          </w:p>
        </w:tc>
      </w:tr>
      <w:tr w:rsidR="00B1734C" w:rsidRPr="00B1734C" w14:paraId="13FEF3AB" w14:textId="77777777" w:rsidTr="00B1734C">
        <w:trPr>
          <w:trHeight w:val="225"/>
        </w:trPr>
        <w:tc>
          <w:tcPr>
            <w:tcW w:w="2943" w:type="dxa"/>
            <w:gridSpan w:val="3"/>
            <w:shd w:val="clear" w:color="000000" w:fill="FFFFFF"/>
            <w:vAlign w:val="center"/>
            <w:hideMark/>
          </w:tcPr>
          <w:p w14:paraId="4E44D442" w14:textId="77777777" w:rsidR="00B1734C" w:rsidRPr="00B1734C" w:rsidRDefault="00B1734C" w:rsidP="00B1734C">
            <w:pPr>
              <w:spacing w:after="0" w:line="240" w:lineRule="auto"/>
              <w:jc w:val="right"/>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PAVISAM KOPĀ (ar PVN):</w:t>
            </w:r>
          </w:p>
        </w:tc>
        <w:tc>
          <w:tcPr>
            <w:tcW w:w="1134" w:type="dxa"/>
            <w:shd w:val="clear" w:color="000000" w:fill="FFFFFF"/>
            <w:vAlign w:val="center"/>
            <w:hideMark/>
          </w:tcPr>
          <w:p w14:paraId="418FC749"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5 779 134,24</w:t>
            </w:r>
          </w:p>
        </w:tc>
        <w:tc>
          <w:tcPr>
            <w:tcW w:w="993" w:type="dxa"/>
            <w:shd w:val="clear" w:color="000000" w:fill="FFFFFF"/>
            <w:vAlign w:val="center"/>
            <w:hideMark/>
          </w:tcPr>
          <w:p w14:paraId="43DD1728"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288 956,71</w:t>
            </w:r>
          </w:p>
        </w:tc>
        <w:tc>
          <w:tcPr>
            <w:tcW w:w="992" w:type="dxa"/>
            <w:shd w:val="clear" w:color="000000" w:fill="FFFFFF"/>
            <w:vAlign w:val="center"/>
            <w:hideMark/>
          </w:tcPr>
          <w:p w14:paraId="13CE38FE"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24 079,73</w:t>
            </w:r>
          </w:p>
        </w:tc>
        <w:tc>
          <w:tcPr>
            <w:tcW w:w="992" w:type="dxa"/>
            <w:shd w:val="clear" w:color="000000" w:fill="FFFFFF"/>
            <w:vAlign w:val="center"/>
            <w:hideMark/>
          </w:tcPr>
          <w:p w14:paraId="696D2B7B" w14:textId="77777777" w:rsidR="00B1734C" w:rsidRPr="00B1734C" w:rsidRDefault="00B1734C" w:rsidP="00B1734C">
            <w:pPr>
              <w:spacing w:after="0" w:line="240" w:lineRule="auto"/>
              <w:jc w:val="center"/>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11,823</w:t>
            </w:r>
          </w:p>
        </w:tc>
        <w:tc>
          <w:tcPr>
            <w:tcW w:w="2126" w:type="dxa"/>
            <w:shd w:val="clear" w:color="000000" w:fill="FFFFFF"/>
            <w:vAlign w:val="center"/>
            <w:hideMark/>
          </w:tcPr>
          <w:p w14:paraId="1C2A0B44" w14:textId="77777777" w:rsidR="00B1734C" w:rsidRPr="00B1734C" w:rsidRDefault="00B1734C" w:rsidP="00324E1C">
            <w:pPr>
              <w:spacing w:after="0" w:line="240" w:lineRule="auto"/>
              <w:rPr>
                <w:rFonts w:ascii="Times New Roman" w:eastAsia="Times New Roman" w:hAnsi="Times New Roman" w:cs="Times New Roman"/>
                <w:b/>
                <w:bCs/>
                <w:sz w:val="16"/>
                <w:szCs w:val="16"/>
                <w:lang w:eastAsia="lv-LV"/>
              </w:rPr>
            </w:pPr>
            <w:r w:rsidRPr="00B1734C">
              <w:rPr>
                <w:rFonts w:ascii="Times New Roman" w:eastAsia="Times New Roman" w:hAnsi="Times New Roman" w:cs="Times New Roman"/>
                <w:b/>
                <w:bCs/>
                <w:sz w:val="16"/>
                <w:szCs w:val="16"/>
                <w:lang w:eastAsia="lv-LV"/>
              </w:rPr>
              <w:t>Gala rezultāts.</w:t>
            </w:r>
          </w:p>
        </w:tc>
      </w:tr>
    </w:tbl>
    <w:p w14:paraId="36D690EF" w14:textId="77777777" w:rsidR="00B1734C" w:rsidRDefault="00B63176" w:rsidP="00B63176">
      <w:pPr>
        <w:pStyle w:val="naiskr"/>
        <w:tabs>
          <w:tab w:val="left" w:pos="0"/>
        </w:tabs>
        <w:spacing w:before="0" w:after="120"/>
        <w:ind w:right="158"/>
        <w:jc w:val="both"/>
        <w:rPr>
          <w:sz w:val="13"/>
          <w:szCs w:val="13"/>
        </w:rPr>
      </w:pPr>
      <w:r w:rsidRPr="00D34E56">
        <w:rPr>
          <w:sz w:val="13"/>
          <w:szCs w:val="13"/>
        </w:rPr>
        <w:t>*Nomas maksas aprēķins ir provizorisks un sagatavots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provizoriskais nomas maksas aprēķins ir precizējams atbils</w:t>
      </w:r>
      <w:r w:rsidR="0046706A">
        <w:rPr>
          <w:sz w:val="13"/>
          <w:szCs w:val="13"/>
        </w:rPr>
        <w:t>toši VNĪ faktiski veikto kapitālieguldījumu</w:t>
      </w:r>
      <w:r w:rsidRPr="00D34E56">
        <w:rPr>
          <w:sz w:val="13"/>
          <w:szCs w:val="13"/>
        </w:rPr>
        <w:t xml:space="preserve"> un </w:t>
      </w:r>
      <w:r w:rsidR="00084AD3">
        <w:rPr>
          <w:sz w:val="13"/>
          <w:szCs w:val="13"/>
        </w:rPr>
        <w:t>pārvaldīšanas</w:t>
      </w:r>
      <w:r w:rsidRPr="00D34E56">
        <w:rPr>
          <w:sz w:val="13"/>
          <w:szCs w:val="13"/>
        </w:rPr>
        <w:t xml:space="preserve"> izmaksām (Ministru kabineta 2011.gada 06.decembtra noteikumu Nr.934 „Noteikumi par valsts nekustamā īpašuma pārvaldīšanas principiem un kārtību” 4.punktā ir noteiktas nekustamā īpašuma pārvaldīšanas darbības)</w:t>
      </w:r>
      <w:r w:rsidR="0046706A">
        <w:rPr>
          <w:sz w:val="13"/>
          <w:szCs w:val="13"/>
        </w:rPr>
        <w:t>.</w:t>
      </w:r>
      <w:r w:rsidRPr="00D34E56">
        <w:rPr>
          <w:sz w:val="13"/>
          <w:szCs w:val="13"/>
        </w:rPr>
        <w:t xml:space="preserve"> </w:t>
      </w:r>
    </w:p>
    <w:p w14:paraId="702C88C7" w14:textId="77777777" w:rsidR="00DB03ED" w:rsidRDefault="00DB03ED" w:rsidP="00B63176">
      <w:pPr>
        <w:pStyle w:val="naiskr"/>
        <w:tabs>
          <w:tab w:val="left" w:pos="0"/>
        </w:tabs>
        <w:spacing w:before="0" w:after="120"/>
        <w:ind w:right="158"/>
        <w:jc w:val="both"/>
        <w:rPr>
          <w:sz w:val="13"/>
          <w:szCs w:val="13"/>
        </w:rPr>
      </w:pPr>
    </w:p>
    <w:p w14:paraId="6082E1EF" w14:textId="77777777" w:rsidR="00B1734C" w:rsidRPr="00721E07" w:rsidRDefault="00B1734C" w:rsidP="00B1734C">
      <w:pPr>
        <w:spacing w:after="120" w:line="240" w:lineRule="auto"/>
        <w:jc w:val="both"/>
        <w:rPr>
          <w:rFonts w:ascii="Times New Roman" w:hAnsi="Times New Roman" w:cs="Times New Roman"/>
          <w:b/>
          <w:sz w:val="24"/>
          <w:szCs w:val="24"/>
        </w:rPr>
      </w:pPr>
      <w:r w:rsidRPr="00721E07">
        <w:rPr>
          <w:rFonts w:ascii="Times New Roman" w:hAnsi="Times New Roman" w:cs="Times New Roman"/>
          <w:b/>
          <w:sz w:val="24"/>
          <w:szCs w:val="24"/>
        </w:rPr>
        <w:t xml:space="preserve">4.tabula. </w:t>
      </w:r>
      <w:r w:rsidR="00324E1C" w:rsidRPr="00721E07">
        <w:rPr>
          <w:rFonts w:ascii="Times New Roman" w:hAnsi="Times New Roman" w:cs="Times New Roman"/>
          <w:b/>
          <w:sz w:val="24"/>
          <w:szCs w:val="24"/>
        </w:rPr>
        <w:t xml:space="preserve">Nomas maksas aprēķinā iekļauto </w:t>
      </w:r>
      <w:r w:rsidR="00396B09">
        <w:rPr>
          <w:rFonts w:ascii="Times New Roman" w:hAnsi="Times New Roman" w:cs="Times New Roman"/>
          <w:b/>
          <w:sz w:val="24"/>
          <w:szCs w:val="24"/>
        </w:rPr>
        <w:t xml:space="preserve">provizorisko </w:t>
      </w:r>
      <w:r w:rsidR="00324E1C" w:rsidRPr="00721E07">
        <w:rPr>
          <w:rFonts w:ascii="Times New Roman" w:hAnsi="Times New Roman" w:cs="Times New Roman"/>
          <w:b/>
          <w:sz w:val="24"/>
          <w:szCs w:val="24"/>
        </w:rPr>
        <w:t>kapitālieguldījumu atšifrējums</w:t>
      </w: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0"/>
        <w:gridCol w:w="712"/>
        <w:gridCol w:w="2835"/>
        <w:gridCol w:w="1418"/>
        <w:gridCol w:w="3685"/>
      </w:tblGrid>
      <w:tr w:rsidR="00B1734C" w:rsidRPr="00721E07" w14:paraId="6A66C3A8" w14:textId="77777777" w:rsidTr="0000231E">
        <w:trPr>
          <w:trHeight w:val="489"/>
        </w:trPr>
        <w:tc>
          <w:tcPr>
            <w:tcW w:w="530" w:type="dxa"/>
            <w:shd w:val="clear" w:color="000000" w:fill="F2F2F2" w:themeFill="background1" w:themeFillShade="F2"/>
            <w:vAlign w:val="center"/>
            <w:hideMark/>
          </w:tcPr>
          <w:p w14:paraId="1822881C" w14:textId="77777777" w:rsidR="00B1734C" w:rsidRPr="00721E07" w:rsidRDefault="00B1734C" w:rsidP="00241682">
            <w:pPr>
              <w:spacing w:after="0" w:line="240" w:lineRule="auto"/>
              <w:jc w:val="center"/>
              <w:outlineLvl w:val="0"/>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Nr.</w:t>
            </w:r>
            <w:r w:rsidRPr="00721E07">
              <w:rPr>
                <w:rFonts w:ascii="Times New Roman" w:eastAsia="Times New Roman" w:hAnsi="Times New Roman" w:cs="Times New Roman"/>
                <w:bCs/>
                <w:sz w:val="16"/>
                <w:szCs w:val="16"/>
                <w:lang w:eastAsia="lv-LV"/>
              </w:rPr>
              <w:br/>
              <w:t>p.k.</w:t>
            </w:r>
          </w:p>
        </w:tc>
        <w:tc>
          <w:tcPr>
            <w:tcW w:w="712" w:type="dxa"/>
            <w:shd w:val="clear" w:color="000000" w:fill="F2F2F2" w:themeFill="background1" w:themeFillShade="F2"/>
            <w:vAlign w:val="center"/>
            <w:hideMark/>
          </w:tcPr>
          <w:p w14:paraId="7FCC5E6E" w14:textId="77777777" w:rsidR="00B1734C" w:rsidRPr="00721E07" w:rsidRDefault="00B1734C" w:rsidP="00241682">
            <w:pPr>
              <w:spacing w:after="0" w:line="240" w:lineRule="auto"/>
              <w:jc w:val="center"/>
              <w:outlineLvl w:val="0"/>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Saīsinājumi</w:t>
            </w:r>
          </w:p>
        </w:tc>
        <w:tc>
          <w:tcPr>
            <w:tcW w:w="2835" w:type="dxa"/>
            <w:shd w:val="clear" w:color="000000" w:fill="F2F2F2" w:themeFill="background1" w:themeFillShade="F2"/>
            <w:vAlign w:val="center"/>
            <w:hideMark/>
          </w:tcPr>
          <w:p w14:paraId="5E4F8E02" w14:textId="77777777" w:rsidR="00B1734C" w:rsidRPr="00721E07" w:rsidRDefault="00B1734C" w:rsidP="00241682">
            <w:pPr>
              <w:spacing w:after="0" w:line="240" w:lineRule="auto"/>
              <w:jc w:val="center"/>
              <w:outlineLvl w:val="0"/>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Izmaksu nosaukums</w:t>
            </w:r>
          </w:p>
        </w:tc>
        <w:tc>
          <w:tcPr>
            <w:tcW w:w="1418" w:type="dxa"/>
            <w:shd w:val="clear" w:color="000000" w:fill="F2F2F2" w:themeFill="background1" w:themeFillShade="F2"/>
            <w:vAlign w:val="center"/>
            <w:hideMark/>
          </w:tcPr>
          <w:p w14:paraId="2D07B9DF" w14:textId="669E08C7" w:rsidR="00B1734C" w:rsidRPr="00721E07" w:rsidRDefault="00B1734C" w:rsidP="00241682">
            <w:pPr>
              <w:spacing w:after="0" w:line="240" w:lineRule="auto"/>
              <w:jc w:val="center"/>
              <w:outlineLvl w:val="0"/>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Vidēji 20 gados</w:t>
            </w:r>
            <w:r w:rsidR="00364399">
              <w:rPr>
                <w:rFonts w:ascii="Times New Roman" w:eastAsia="Times New Roman" w:hAnsi="Times New Roman" w:cs="Times New Roman"/>
                <w:bCs/>
                <w:sz w:val="16"/>
                <w:szCs w:val="16"/>
                <w:lang w:eastAsia="lv-LV"/>
              </w:rPr>
              <w:t xml:space="preserve"> (EUR)</w:t>
            </w:r>
          </w:p>
        </w:tc>
        <w:tc>
          <w:tcPr>
            <w:tcW w:w="3685" w:type="dxa"/>
            <w:shd w:val="clear" w:color="000000" w:fill="F2F2F2" w:themeFill="background1" w:themeFillShade="F2"/>
            <w:vAlign w:val="center"/>
            <w:hideMark/>
          </w:tcPr>
          <w:p w14:paraId="1C725D01" w14:textId="77777777" w:rsidR="00B1734C" w:rsidRPr="00721E07" w:rsidRDefault="00B1734C" w:rsidP="00241682">
            <w:pPr>
              <w:spacing w:after="0" w:line="240" w:lineRule="auto"/>
              <w:jc w:val="center"/>
              <w:outlineLvl w:val="0"/>
              <w:rPr>
                <w:rFonts w:ascii="Times New Roman" w:eastAsia="Times New Roman" w:hAnsi="Times New Roman" w:cs="Times New Roman"/>
                <w:bCs/>
                <w:sz w:val="16"/>
                <w:szCs w:val="16"/>
                <w:lang w:eastAsia="lv-LV"/>
              </w:rPr>
            </w:pPr>
            <w:r w:rsidRPr="00721E07">
              <w:rPr>
                <w:rFonts w:ascii="Times New Roman" w:eastAsia="Times New Roman" w:hAnsi="Times New Roman" w:cs="Times New Roman"/>
                <w:bCs/>
                <w:sz w:val="16"/>
                <w:szCs w:val="16"/>
                <w:lang w:eastAsia="lv-LV"/>
              </w:rPr>
              <w:t>Piezīmes</w:t>
            </w:r>
          </w:p>
        </w:tc>
      </w:tr>
      <w:tr w:rsidR="00B1734C" w:rsidRPr="00721E07" w14:paraId="775B62E4" w14:textId="77777777" w:rsidTr="0000231E">
        <w:trPr>
          <w:trHeight w:val="225"/>
        </w:trPr>
        <w:tc>
          <w:tcPr>
            <w:tcW w:w="530" w:type="dxa"/>
            <w:shd w:val="clear" w:color="000000" w:fill="FFFFFF"/>
            <w:vAlign w:val="center"/>
            <w:hideMark/>
          </w:tcPr>
          <w:p w14:paraId="036CEB23" w14:textId="77777777" w:rsidR="00B1734C" w:rsidRPr="00721E07" w:rsidRDefault="00B1734C" w:rsidP="00B1734C">
            <w:pPr>
              <w:spacing w:after="0" w:line="240" w:lineRule="auto"/>
              <w:jc w:val="center"/>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1.</w:t>
            </w:r>
          </w:p>
        </w:tc>
        <w:tc>
          <w:tcPr>
            <w:tcW w:w="712" w:type="dxa"/>
            <w:shd w:val="clear" w:color="000000" w:fill="FFFFFF"/>
            <w:vAlign w:val="center"/>
            <w:hideMark/>
          </w:tcPr>
          <w:p w14:paraId="04854ECC" w14:textId="77777777" w:rsidR="00B1734C" w:rsidRPr="00721E07" w:rsidRDefault="00B1734C" w:rsidP="00B1734C">
            <w:pPr>
              <w:spacing w:after="0" w:line="240" w:lineRule="auto"/>
              <w:jc w:val="center"/>
              <w:outlineLvl w:val="0"/>
              <w:rPr>
                <w:rFonts w:ascii="Times New Roman" w:eastAsia="Times New Roman" w:hAnsi="Times New Roman" w:cs="Times New Roman"/>
                <w:b/>
                <w:bCs/>
                <w:sz w:val="16"/>
                <w:szCs w:val="16"/>
                <w:lang w:eastAsia="lv-LV"/>
              </w:rPr>
            </w:pPr>
            <w:r w:rsidRPr="00721E07">
              <w:rPr>
                <w:rFonts w:ascii="Times New Roman" w:eastAsia="Times New Roman" w:hAnsi="Times New Roman" w:cs="Times New Roman"/>
                <w:b/>
                <w:bCs/>
                <w:sz w:val="16"/>
                <w:szCs w:val="16"/>
                <w:lang w:eastAsia="lv-LV"/>
              </w:rPr>
              <w:t>K</w:t>
            </w:r>
          </w:p>
        </w:tc>
        <w:tc>
          <w:tcPr>
            <w:tcW w:w="2835" w:type="dxa"/>
            <w:shd w:val="clear" w:color="000000" w:fill="FFFFFF"/>
            <w:vAlign w:val="center"/>
            <w:hideMark/>
          </w:tcPr>
          <w:p w14:paraId="092C9A9D" w14:textId="77777777" w:rsidR="00B1734C" w:rsidRPr="00721E07" w:rsidRDefault="00B1734C" w:rsidP="00B1734C">
            <w:pPr>
              <w:spacing w:after="0" w:line="240" w:lineRule="auto"/>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 xml:space="preserve">Būvniecības izmaksas </w:t>
            </w:r>
          </w:p>
        </w:tc>
        <w:tc>
          <w:tcPr>
            <w:tcW w:w="1418" w:type="dxa"/>
            <w:shd w:val="clear" w:color="000000" w:fill="FFFFFF"/>
            <w:vAlign w:val="center"/>
            <w:hideMark/>
          </w:tcPr>
          <w:p w14:paraId="0F343CD9" w14:textId="77777777" w:rsidR="00B1734C" w:rsidRPr="00721E07" w:rsidRDefault="00B1734C" w:rsidP="00B1734C">
            <w:pPr>
              <w:spacing w:after="0" w:line="240" w:lineRule="auto"/>
              <w:jc w:val="center"/>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2 404 824,51</w:t>
            </w:r>
            <w:r w:rsidR="00241682" w:rsidRPr="00721E07">
              <w:rPr>
                <w:rFonts w:ascii="Times New Roman" w:eastAsia="Times New Roman" w:hAnsi="Times New Roman" w:cs="Times New Roman"/>
                <w:sz w:val="16"/>
                <w:szCs w:val="16"/>
                <w:lang w:eastAsia="lv-LV"/>
              </w:rPr>
              <w:t>*</w:t>
            </w:r>
          </w:p>
        </w:tc>
        <w:tc>
          <w:tcPr>
            <w:tcW w:w="3685" w:type="dxa"/>
            <w:shd w:val="clear" w:color="000000" w:fill="FFFFFF"/>
            <w:vAlign w:val="center"/>
            <w:hideMark/>
          </w:tcPr>
          <w:p w14:paraId="620F1311" w14:textId="77777777" w:rsidR="00B1734C" w:rsidRPr="00721E07" w:rsidRDefault="00241682" w:rsidP="00B1734C">
            <w:pPr>
              <w:spacing w:after="0" w:line="240" w:lineRule="auto"/>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Skat. 2. tabulu</w:t>
            </w:r>
          </w:p>
        </w:tc>
      </w:tr>
      <w:tr w:rsidR="00B1734C" w:rsidRPr="00721E07" w14:paraId="26548959" w14:textId="77777777" w:rsidTr="0000231E">
        <w:trPr>
          <w:trHeight w:val="225"/>
        </w:trPr>
        <w:tc>
          <w:tcPr>
            <w:tcW w:w="530" w:type="dxa"/>
            <w:shd w:val="clear" w:color="000000" w:fill="FFFFFF"/>
            <w:vAlign w:val="center"/>
            <w:hideMark/>
          </w:tcPr>
          <w:p w14:paraId="07EDBE5E" w14:textId="77777777" w:rsidR="00B1734C" w:rsidRPr="00721E07" w:rsidRDefault="00B1734C" w:rsidP="00B1734C">
            <w:pPr>
              <w:spacing w:after="0" w:line="240" w:lineRule="auto"/>
              <w:jc w:val="center"/>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2.</w:t>
            </w:r>
          </w:p>
        </w:tc>
        <w:tc>
          <w:tcPr>
            <w:tcW w:w="712" w:type="dxa"/>
            <w:shd w:val="clear" w:color="000000" w:fill="FFFFFF"/>
            <w:vAlign w:val="center"/>
            <w:hideMark/>
          </w:tcPr>
          <w:p w14:paraId="46ACC13D" w14:textId="77777777" w:rsidR="00B1734C" w:rsidRPr="00721E07" w:rsidRDefault="00B1734C" w:rsidP="00B1734C">
            <w:pPr>
              <w:spacing w:after="0" w:line="240" w:lineRule="auto"/>
              <w:jc w:val="center"/>
              <w:outlineLvl w:val="0"/>
              <w:rPr>
                <w:rFonts w:ascii="Times New Roman" w:eastAsia="Times New Roman" w:hAnsi="Times New Roman" w:cs="Times New Roman"/>
                <w:b/>
                <w:bCs/>
                <w:sz w:val="16"/>
                <w:szCs w:val="16"/>
                <w:lang w:eastAsia="lv-LV"/>
              </w:rPr>
            </w:pPr>
            <w:r w:rsidRPr="00721E07">
              <w:rPr>
                <w:rFonts w:ascii="Times New Roman" w:eastAsia="Times New Roman" w:hAnsi="Times New Roman" w:cs="Times New Roman"/>
                <w:b/>
                <w:bCs/>
                <w:sz w:val="16"/>
                <w:szCs w:val="16"/>
                <w:lang w:eastAsia="lv-LV"/>
              </w:rPr>
              <w:t>Bbūvn</w:t>
            </w:r>
          </w:p>
        </w:tc>
        <w:tc>
          <w:tcPr>
            <w:tcW w:w="2835" w:type="dxa"/>
            <w:shd w:val="clear" w:color="000000" w:fill="FFFFFF"/>
            <w:vAlign w:val="center"/>
            <w:hideMark/>
          </w:tcPr>
          <w:p w14:paraId="6C7E17A0" w14:textId="77777777" w:rsidR="00B1734C" w:rsidRPr="00721E07" w:rsidRDefault="00B1734C" w:rsidP="00B1734C">
            <w:pPr>
              <w:spacing w:after="0" w:line="240" w:lineRule="auto"/>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 xml:space="preserve">Būvniecības laikā tieši iesaistītā personāla izmaksas </w:t>
            </w:r>
          </w:p>
        </w:tc>
        <w:tc>
          <w:tcPr>
            <w:tcW w:w="1418" w:type="dxa"/>
            <w:shd w:val="clear" w:color="000000" w:fill="FFFFFF"/>
            <w:vAlign w:val="center"/>
            <w:hideMark/>
          </w:tcPr>
          <w:p w14:paraId="3C5D467E" w14:textId="77777777" w:rsidR="00B1734C" w:rsidRPr="00721E07" w:rsidRDefault="00B1734C" w:rsidP="00B1734C">
            <w:pPr>
              <w:spacing w:after="0" w:line="240" w:lineRule="auto"/>
              <w:jc w:val="center"/>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6 214,28</w:t>
            </w:r>
          </w:p>
        </w:tc>
        <w:tc>
          <w:tcPr>
            <w:tcW w:w="3685" w:type="dxa"/>
            <w:shd w:val="clear" w:color="000000" w:fill="FFFFFF"/>
            <w:vAlign w:val="center"/>
            <w:hideMark/>
          </w:tcPr>
          <w:p w14:paraId="616622DE" w14:textId="77777777" w:rsidR="00B1734C" w:rsidRPr="00721E07" w:rsidRDefault="00B1734C" w:rsidP="00241682">
            <w:pPr>
              <w:spacing w:after="0" w:line="240" w:lineRule="auto"/>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Projekta vadītāj</w:t>
            </w:r>
            <w:r w:rsidR="00241682" w:rsidRPr="00721E07">
              <w:rPr>
                <w:rFonts w:ascii="Times New Roman" w:eastAsia="Times New Roman" w:hAnsi="Times New Roman" w:cs="Times New Roman"/>
                <w:sz w:val="16"/>
                <w:szCs w:val="16"/>
                <w:lang w:eastAsia="lv-LV"/>
              </w:rPr>
              <w:t xml:space="preserve">a atlīdzība </w:t>
            </w:r>
            <w:r w:rsidRPr="00721E07">
              <w:rPr>
                <w:rFonts w:ascii="Times New Roman" w:eastAsia="Times New Roman" w:hAnsi="Times New Roman" w:cs="Times New Roman"/>
                <w:sz w:val="16"/>
                <w:szCs w:val="16"/>
                <w:lang w:eastAsia="lv-LV"/>
              </w:rPr>
              <w:t>būvniecības laikā</w:t>
            </w:r>
          </w:p>
        </w:tc>
      </w:tr>
      <w:tr w:rsidR="00B1734C" w:rsidRPr="00721E07" w14:paraId="6E263F34" w14:textId="77777777" w:rsidTr="0000231E">
        <w:trPr>
          <w:trHeight w:val="225"/>
        </w:trPr>
        <w:tc>
          <w:tcPr>
            <w:tcW w:w="530" w:type="dxa"/>
            <w:shd w:val="clear" w:color="000000" w:fill="FFFFFF"/>
            <w:vAlign w:val="center"/>
            <w:hideMark/>
          </w:tcPr>
          <w:p w14:paraId="1425E7FD" w14:textId="77777777" w:rsidR="00B1734C" w:rsidRPr="00721E07" w:rsidRDefault="00B1734C" w:rsidP="00B1734C">
            <w:pPr>
              <w:spacing w:after="0" w:line="240" w:lineRule="auto"/>
              <w:jc w:val="center"/>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3.</w:t>
            </w:r>
          </w:p>
        </w:tc>
        <w:tc>
          <w:tcPr>
            <w:tcW w:w="712" w:type="dxa"/>
            <w:shd w:val="clear" w:color="000000" w:fill="FFFFFF"/>
            <w:vAlign w:val="center"/>
            <w:hideMark/>
          </w:tcPr>
          <w:p w14:paraId="0D41816C" w14:textId="77777777" w:rsidR="00B1734C" w:rsidRPr="00721E07" w:rsidRDefault="00B1734C" w:rsidP="00B1734C">
            <w:pPr>
              <w:spacing w:after="0" w:line="240" w:lineRule="auto"/>
              <w:jc w:val="center"/>
              <w:outlineLvl w:val="0"/>
              <w:rPr>
                <w:rFonts w:ascii="Times New Roman" w:eastAsia="Times New Roman" w:hAnsi="Times New Roman" w:cs="Times New Roman"/>
                <w:b/>
                <w:bCs/>
                <w:sz w:val="16"/>
                <w:szCs w:val="16"/>
                <w:lang w:eastAsia="lv-LV"/>
              </w:rPr>
            </w:pPr>
            <w:r w:rsidRPr="00721E07">
              <w:rPr>
                <w:rFonts w:ascii="Times New Roman" w:eastAsia="Times New Roman" w:hAnsi="Times New Roman" w:cs="Times New Roman"/>
                <w:b/>
                <w:bCs/>
                <w:sz w:val="16"/>
                <w:szCs w:val="16"/>
                <w:lang w:eastAsia="lv-LV"/>
              </w:rPr>
              <w:t>F</w:t>
            </w:r>
          </w:p>
        </w:tc>
        <w:tc>
          <w:tcPr>
            <w:tcW w:w="2835" w:type="dxa"/>
            <w:shd w:val="clear" w:color="000000" w:fill="FFFFFF"/>
            <w:vAlign w:val="center"/>
            <w:hideMark/>
          </w:tcPr>
          <w:p w14:paraId="250EBBAA" w14:textId="77777777" w:rsidR="00B1734C" w:rsidRPr="00721E07" w:rsidRDefault="00B1734C" w:rsidP="00B1734C">
            <w:pPr>
              <w:spacing w:after="0" w:line="240" w:lineRule="auto"/>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Piesaistītā kapitāla izmaksas</w:t>
            </w:r>
          </w:p>
        </w:tc>
        <w:tc>
          <w:tcPr>
            <w:tcW w:w="1418" w:type="dxa"/>
            <w:shd w:val="clear" w:color="000000" w:fill="FFFFFF"/>
            <w:vAlign w:val="center"/>
            <w:hideMark/>
          </w:tcPr>
          <w:p w14:paraId="414241C6" w14:textId="77777777" w:rsidR="00B1734C" w:rsidRPr="00721E07" w:rsidRDefault="00B1734C" w:rsidP="00B1734C">
            <w:pPr>
              <w:spacing w:after="0" w:line="240" w:lineRule="auto"/>
              <w:jc w:val="center"/>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1 165 722,47</w:t>
            </w:r>
          </w:p>
        </w:tc>
        <w:tc>
          <w:tcPr>
            <w:tcW w:w="3685" w:type="dxa"/>
            <w:shd w:val="clear" w:color="000000" w:fill="FFFFFF"/>
            <w:vAlign w:val="center"/>
            <w:hideMark/>
          </w:tcPr>
          <w:p w14:paraId="25E21AAE" w14:textId="77777777" w:rsidR="00B1734C" w:rsidRPr="00721E07" w:rsidRDefault="00B1734C" w:rsidP="00B1734C">
            <w:pPr>
              <w:spacing w:after="0" w:line="240" w:lineRule="auto"/>
              <w:outlineLvl w:val="0"/>
              <w:rPr>
                <w:rFonts w:ascii="Times New Roman" w:eastAsia="Times New Roman" w:hAnsi="Times New Roman" w:cs="Times New Roman"/>
                <w:sz w:val="16"/>
                <w:szCs w:val="16"/>
                <w:lang w:eastAsia="lv-LV"/>
              </w:rPr>
            </w:pPr>
            <w:r w:rsidRPr="00721E07">
              <w:rPr>
                <w:rFonts w:ascii="Times New Roman" w:eastAsia="Times New Roman" w:hAnsi="Times New Roman" w:cs="Times New Roman"/>
                <w:sz w:val="16"/>
                <w:szCs w:val="16"/>
                <w:lang w:eastAsia="lv-LV"/>
              </w:rPr>
              <w:t> </w:t>
            </w:r>
          </w:p>
        </w:tc>
      </w:tr>
      <w:tr w:rsidR="00B1734C" w:rsidRPr="00721E07" w14:paraId="0B470162" w14:textId="77777777" w:rsidTr="0000231E">
        <w:trPr>
          <w:trHeight w:val="210"/>
        </w:trPr>
        <w:tc>
          <w:tcPr>
            <w:tcW w:w="4077" w:type="dxa"/>
            <w:gridSpan w:val="3"/>
            <w:shd w:val="clear" w:color="000000" w:fill="FFFFFF"/>
            <w:vAlign w:val="center"/>
            <w:hideMark/>
          </w:tcPr>
          <w:p w14:paraId="4C539E5C" w14:textId="77777777" w:rsidR="00B1734C" w:rsidRPr="00721E07" w:rsidRDefault="00B1734C" w:rsidP="00B1734C">
            <w:pPr>
              <w:spacing w:after="0" w:line="240" w:lineRule="auto"/>
              <w:jc w:val="right"/>
              <w:outlineLvl w:val="0"/>
              <w:rPr>
                <w:rFonts w:ascii="Times New Roman" w:eastAsia="Times New Roman" w:hAnsi="Times New Roman" w:cs="Times New Roman"/>
                <w:b/>
                <w:bCs/>
                <w:sz w:val="16"/>
                <w:szCs w:val="16"/>
                <w:lang w:eastAsia="lv-LV"/>
              </w:rPr>
            </w:pPr>
            <w:r w:rsidRPr="00721E07">
              <w:rPr>
                <w:rFonts w:ascii="Times New Roman" w:eastAsia="Times New Roman" w:hAnsi="Times New Roman" w:cs="Times New Roman"/>
                <w:b/>
                <w:bCs/>
                <w:sz w:val="16"/>
                <w:szCs w:val="16"/>
                <w:lang w:eastAsia="lv-LV"/>
              </w:rPr>
              <w:t>Kapitālieguldījumi kopā (bez PVN)</w:t>
            </w:r>
          </w:p>
        </w:tc>
        <w:tc>
          <w:tcPr>
            <w:tcW w:w="1418" w:type="dxa"/>
            <w:shd w:val="clear" w:color="000000" w:fill="FFFFFF"/>
            <w:vAlign w:val="center"/>
            <w:hideMark/>
          </w:tcPr>
          <w:p w14:paraId="3EEEFBA0" w14:textId="77777777" w:rsidR="00B1734C" w:rsidRPr="00721E07" w:rsidRDefault="00B1734C" w:rsidP="00B1734C">
            <w:pPr>
              <w:spacing w:after="0" w:line="240" w:lineRule="auto"/>
              <w:jc w:val="center"/>
              <w:outlineLvl w:val="0"/>
              <w:rPr>
                <w:rFonts w:ascii="Times New Roman" w:eastAsia="Times New Roman" w:hAnsi="Times New Roman" w:cs="Times New Roman"/>
                <w:b/>
                <w:bCs/>
                <w:sz w:val="16"/>
                <w:szCs w:val="16"/>
                <w:lang w:eastAsia="lv-LV"/>
              </w:rPr>
            </w:pPr>
            <w:r w:rsidRPr="00721E07">
              <w:rPr>
                <w:rFonts w:ascii="Times New Roman" w:eastAsia="Times New Roman" w:hAnsi="Times New Roman" w:cs="Times New Roman"/>
                <w:b/>
                <w:bCs/>
                <w:sz w:val="16"/>
                <w:szCs w:val="16"/>
                <w:lang w:eastAsia="lv-LV"/>
              </w:rPr>
              <w:t>3 576 761,26</w:t>
            </w:r>
          </w:p>
        </w:tc>
        <w:tc>
          <w:tcPr>
            <w:tcW w:w="3685" w:type="dxa"/>
            <w:shd w:val="clear" w:color="000000" w:fill="FFFFFF"/>
            <w:vAlign w:val="center"/>
            <w:hideMark/>
          </w:tcPr>
          <w:p w14:paraId="7137F88C" w14:textId="77777777" w:rsidR="00B1734C" w:rsidRPr="00721E07" w:rsidRDefault="00B1734C" w:rsidP="00B1734C">
            <w:pPr>
              <w:spacing w:after="0" w:line="240" w:lineRule="auto"/>
              <w:jc w:val="center"/>
              <w:outlineLvl w:val="0"/>
              <w:rPr>
                <w:rFonts w:ascii="Times New Roman" w:eastAsia="Times New Roman" w:hAnsi="Times New Roman" w:cs="Times New Roman"/>
                <w:b/>
                <w:bCs/>
                <w:sz w:val="16"/>
                <w:szCs w:val="16"/>
                <w:lang w:eastAsia="lv-LV"/>
              </w:rPr>
            </w:pPr>
            <w:r w:rsidRPr="00721E07">
              <w:rPr>
                <w:rFonts w:ascii="Times New Roman" w:eastAsia="Times New Roman" w:hAnsi="Times New Roman" w:cs="Times New Roman"/>
                <w:b/>
                <w:bCs/>
                <w:sz w:val="16"/>
                <w:szCs w:val="16"/>
                <w:lang w:eastAsia="lv-LV"/>
              </w:rPr>
              <w:t> </w:t>
            </w:r>
          </w:p>
        </w:tc>
      </w:tr>
    </w:tbl>
    <w:p w14:paraId="3E0CBD15" w14:textId="77777777" w:rsidR="00241682" w:rsidRPr="00721E07" w:rsidRDefault="00241682" w:rsidP="00241682">
      <w:pPr>
        <w:pStyle w:val="naiskr"/>
        <w:tabs>
          <w:tab w:val="left" w:pos="0"/>
        </w:tabs>
        <w:spacing w:before="0" w:after="120"/>
        <w:ind w:right="158"/>
        <w:jc w:val="both"/>
        <w:rPr>
          <w:sz w:val="13"/>
          <w:szCs w:val="13"/>
        </w:rPr>
      </w:pPr>
      <w:r w:rsidRPr="00721E07">
        <w:rPr>
          <w:sz w:val="13"/>
          <w:szCs w:val="13"/>
        </w:rPr>
        <w:t>*provizoriski aprēķinātais kapitālieguldījumu apmērs var tikt precizēts pēc tehniskā projekta izstrādes, būvniecības līguma noslēgšanas vai būvniecības darbu laikā.</w:t>
      </w:r>
    </w:p>
    <w:p w14:paraId="066AD2F4" w14:textId="7E43F030" w:rsidR="00046658" w:rsidRDefault="006903D1" w:rsidP="00840D9C">
      <w:pPr>
        <w:pStyle w:val="naiskr"/>
        <w:tabs>
          <w:tab w:val="left" w:pos="0"/>
        </w:tabs>
        <w:spacing w:before="0" w:after="0"/>
        <w:ind w:right="159"/>
        <w:jc w:val="both"/>
      </w:pPr>
      <w:r>
        <w:tab/>
      </w:r>
      <w:r w:rsidR="00E15356">
        <w:t>F</w:t>
      </w:r>
      <w:r w:rsidR="00E15356" w:rsidRPr="007D3B18">
        <w:t xml:space="preserve">aktiskie </w:t>
      </w:r>
      <w:r w:rsidR="00E15356">
        <w:t xml:space="preserve">uzturēšanas </w:t>
      </w:r>
      <w:r w:rsidR="00E15356" w:rsidRPr="007D3B18">
        <w:t xml:space="preserve">izdevumi </w:t>
      </w:r>
      <w:r w:rsidR="00946D8D" w:rsidRPr="007D3B18">
        <w:t xml:space="preserve">VID budžetā 2014.gadā par VID Ventspils nodaļas </w:t>
      </w:r>
      <w:r w:rsidR="003A5B35" w:rsidRPr="007D3B18">
        <w:t>telp</w:t>
      </w:r>
      <w:r w:rsidR="00E15356">
        <w:t xml:space="preserve">ām </w:t>
      </w:r>
      <w:r w:rsidR="002D44D8" w:rsidRPr="007D3B18">
        <w:t>nekusta</w:t>
      </w:r>
      <w:r w:rsidR="00555194" w:rsidRPr="007D3B18">
        <w:t>ma</w:t>
      </w:r>
      <w:r w:rsidR="002D44D8" w:rsidRPr="007D3B18">
        <w:t xml:space="preserve">jā īpašumā </w:t>
      </w:r>
      <w:r w:rsidR="00490186" w:rsidRPr="007D3B18">
        <w:t>Dzintaru ielā 22/9</w:t>
      </w:r>
      <w:r w:rsidR="0046706A">
        <w:t>,</w:t>
      </w:r>
      <w:r w:rsidR="00946D8D" w:rsidRPr="007D3B18">
        <w:t xml:space="preserve"> </w:t>
      </w:r>
      <w:r w:rsidR="0046706A" w:rsidRPr="007D3B18">
        <w:t>Ventspilī</w:t>
      </w:r>
      <w:r w:rsidR="0046706A">
        <w:t>,</w:t>
      </w:r>
      <w:r w:rsidR="0046706A" w:rsidRPr="007D3B18">
        <w:t xml:space="preserve"> </w:t>
      </w:r>
      <w:r w:rsidR="00946D8D" w:rsidRPr="007D3B18">
        <w:t>un Dzintaru ielā 18,</w:t>
      </w:r>
      <w:r w:rsidR="0046706A">
        <w:t xml:space="preserve"> </w:t>
      </w:r>
      <w:r w:rsidR="0046706A" w:rsidRPr="007D3B18">
        <w:t>Ventspilī</w:t>
      </w:r>
      <w:r w:rsidR="0046706A">
        <w:t>,</w:t>
      </w:r>
      <w:r w:rsidR="00946D8D" w:rsidRPr="007D3B18">
        <w:t xml:space="preserve"> </w:t>
      </w:r>
      <w:r w:rsidR="00E15356">
        <w:t xml:space="preserve">kopā </w:t>
      </w:r>
      <w:r w:rsidR="002D44D8" w:rsidRPr="007D3B18">
        <w:t>sastād</w:t>
      </w:r>
      <w:r w:rsidR="00946D8D" w:rsidRPr="007D3B18">
        <w:t>īja</w:t>
      </w:r>
      <w:r w:rsidR="002D44D8" w:rsidRPr="007D3B18">
        <w:t xml:space="preserve"> </w:t>
      </w:r>
      <w:r w:rsidR="00946D8D" w:rsidRPr="007D3B18">
        <w:t>43 53</w:t>
      </w:r>
      <w:r w:rsidR="007D3B18" w:rsidRPr="007D3B18">
        <w:t>3</w:t>
      </w:r>
      <w:r w:rsidR="002D44D8" w:rsidRPr="007D3B18">
        <w:t xml:space="preserve"> </w:t>
      </w:r>
      <w:r w:rsidR="002D44D8" w:rsidRPr="007D3B18">
        <w:rPr>
          <w:i/>
        </w:rPr>
        <w:t>euro</w:t>
      </w:r>
      <w:r w:rsidR="00A920A7">
        <w:t xml:space="preserve"> (tai skaitā</w:t>
      </w:r>
      <w:r w:rsidR="008E659C">
        <w:t xml:space="preserve"> </w:t>
      </w:r>
      <w:r w:rsidR="00E15356">
        <w:t xml:space="preserve">22 078 </w:t>
      </w:r>
      <w:r w:rsidR="00E15356" w:rsidRPr="00E15356">
        <w:rPr>
          <w:i/>
        </w:rPr>
        <w:t>euro</w:t>
      </w:r>
      <w:r w:rsidR="00E15356">
        <w:t xml:space="preserve"> izdevumi komunāliem maksājumiem un 1</w:t>
      </w:r>
      <w:r w:rsidR="000820FF">
        <w:t> </w:t>
      </w:r>
      <w:r w:rsidR="00E15356">
        <w:t xml:space="preserve">447 </w:t>
      </w:r>
      <w:r w:rsidR="00E15356" w:rsidRPr="00E15356">
        <w:rPr>
          <w:i/>
        </w:rPr>
        <w:t>euro</w:t>
      </w:r>
      <w:r w:rsidR="00E15356">
        <w:t xml:space="preserve"> apsardzes pakalpojumiem (kopā 23 525 </w:t>
      </w:r>
      <w:r w:rsidR="00E15356" w:rsidRPr="00E15356">
        <w:rPr>
          <w:i/>
        </w:rPr>
        <w:t>euro</w:t>
      </w:r>
      <w:r w:rsidR="00E15356">
        <w:t xml:space="preserve">) un 20 008 </w:t>
      </w:r>
      <w:r w:rsidR="00E15356" w:rsidRPr="00E15356">
        <w:rPr>
          <w:i/>
        </w:rPr>
        <w:t>euro</w:t>
      </w:r>
      <w:r w:rsidR="00E15356">
        <w:t xml:space="preserve"> izdevumi, kas saistīti ar t</w:t>
      </w:r>
      <w:r w:rsidR="00E15356" w:rsidRPr="00E15356">
        <w:t>elpu un teritorijas uzkopšan</w:t>
      </w:r>
      <w:r w:rsidR="00E15356">
        <w:t>u, p</w:t>
      </w:r>
      <w:r w:rsidR="00E15356" w:rsidRPr="00E15356">
        <w:t>aklāju nomaiņ</w:t>
      </w:r>
      <w:r w:rsidR="00E15356">
        <w:t>u, a</w:t>
      </w:r>
      <w:r w:rsidR="00E15356" w:rsidRPr="00E15356">
        <w:t>pdrošināšan</w:t>
      </w:r>
      <w:r w:rsidR="00E15356">
        <w:t>u, n</w:t>
      </w:r>
      <w:r w:rsidR="00E15356" w:rsidRPr="00E15356">
        <w:t>ekustamā īpašuma nodokli</w:t>
      </w:r>
      <w:r w:rsidR="00E15356">
        <w:t>, r</w:t>
      </w:r>
      <w:r w:rsidR="00E15356" w:rsidRPr="00E15356">
        <w:t>emont</w:t>
      </w:r>
      <w:r w:rsidR="00E15356">
        <w:t>u un a</w:t>
      </w:r>
      <w:r w:rsidR="00E15356" w:rsidRPr="00E15356">
        <w:t>psaimniekošan</w:t>
      </w:r>
      <w:r w:rsidR="00E15356">
        <w:t>u</w:t>
      </w:r>
      <w:r w:rsidR="00A920A7">
        <w:t>)</w:t>
      </w:r>
      <w:r w:rsidR="002D44D8" w:rsidRPr="007D3B18">
        <w:t>.</w:t>
      </w:r>
      <w:r>
        <w:t xml:space="preserve"> </w:t>
      </w:r>
      <w:r w:rsidR="00946D8D" w:rsidRPr="007D3B18">
        <w:t>201</w:t>
      </w:r>
      <w:r w:rsidR="00A920A7">
        <w:t>9</w:t>
      </w:r>
      <w:r w:rsidR="00946D8D" w:rsidRPr="007D3B18">
        <w:t xml:space="preserve">.gadā </w:t>
      </w:r>
      <w:r w:rsidR="007D3B18">
        <w:t>uzturēšanas izdevumi</w:t>
      </w:r>
      <w:r>
        <w:t xml:space="preserve">, kas saistīti ar </w:t>
      </w:r>
      <w:r w:rsidRPr="007D3B18">
        <w:t>nekustamā īpašum</w:t>
      </w:r>
      <w:r>
        <w:t>a</w:t>
      </w:r>
      <w:r w:rsidRPr="007D3B18">
        <w:t xml:space="preserve"> </w:t>
      </w:r>
      <w:r w:rsidR="005B5933" w:rsidRPr="007D3B18">
        <w:t>Dzintaru ielā 22/9</w:t>
      </w:r>
      <w:r w:rsidR="005B5933">
        <w:t>,</w:t>
      </w:r>
      <w:r w:rsidR="005B5933" w:rsidRPr="007D3B18">
        <w:t xml:space="preserve"> Ventspilī</w:t>
      </w:r>
      <w:r w:rsidR="005B5933">
        <w:t>,</w:t>
      </w:r>
      <w:r w:rsidR="005B5933" w:rsidRPr="007D3B18">
        <w:t xml:space="preserve"> un Dzintaru ielā 18,</w:t>
      </w:r>
      <w:r w:rsidR="005B5933">
        <w:t xml:space="preserve"> </w:t>
      </w:r>
      <w:r w:rsidR="005B5933" w:rsidRPr="007D3B18">
        <w:t>Ventspilī</w:t>
      </w:r>
      <w:r>
        <w:t>,</w:t>
      </w:r>
      <w:r w:rsidRPr="006903D1">
        <w:t xml:space="preserve"> </w:t>
      </w:r>
      <w:r>
        <w:t>t</w:t>
      </w:r>
      <w:r w:rsidRPr="00E15356">
        <w:t>elpu un teritorijas uzkopšan</w:t>
      </w:r>
      <w:r>
        <w:t>u, p</w:t>
      </w:r>
      <w:r w:rsidRPr="00E15356">
        <w:t>aklāju nomaiņ</w:t>
      </w:r>
      <w:r>
        <w:t>u, a</w:t>
      </w:r>
      <w:r w:rsidRPr="00E15356">
        <w:t>pdrošināšan</w:t>
      </w:r>
      <w:r>
        <w:t>u, n</w:t>
      </w:r>
      <w:r w:rsidRPr="00E15356">
        <w:t>ekustamā īpašuma nodokli</w:t>
      </w:r>
      <w:r>
        <w:t>, r</w:t>
      </w:r>
      <w:r w:rsidRPr="00E15356">
        <w:t>emont</w:t>
      </w:r>
      <w:r>
        <w:t>u un a</w:t>
      </w:r>
      <w:r w:rsidRPr="00E15356">
        <w:t>psaimniekošan</w:t>
      </w:r>
      <w:r>
        <w:t xml:space="preserve">u </w:t>
      </w:r>
      <w:r w:rsidR="007D3B18">
        <w:t>jāparedz</w:t>
      </w:r>
      <w:r w:rsidR="00946D8D" w:rsidRPr="007D3B18">
        <w:t xml:space="preserve"> </w:t>
      </w:r>
      <w:r>
        <w:t>līdz 31.jūlijam (pārcelšanās laiks plānots divi mēneši)</w:t>
      </w:r>
      <w:r w:rsidR="00E15356">
        <w:t xml:space="preserve">. Vienlaikus 2019.gadā </w:t>
      </w:r>
      <w:r>
        <w:t xml:space="preserve">jāplāno </w:t>
      </w:r>
      <w:r w:rsidR="007D3B18">
        <w:t xml:space="preserve">vienreizējos izdevumus </w:t>
      </w:r>
      <w:r w:rsidR="007D3B18" w:rsidRPr="007D3B18">
        <w:t>pārcelšanās un aprīkojuma iegādes izdevum</w:t>
      </w:r>
      <w:r w:rsidR="007D3B18">
        <w:t xml:space="preserve">u segšanai </w:t>
      </w:r>
      <w:r w:rsidR="007D3B18" w:rsidRPr="007D3B18">
        <w:t>(sk. 5.</w:t>
      </w:r>
      <w:r>
        <w:t xml:space="preserve"> un 6.</w:t>
      </w:r>
      <w:r w:rsidR="007D3B18" w:rsidRPr="007D3B18">
        <w:t>tabulu)</w:t>
      </w:r>
      <w:r w:rsidR="007D3B18">
        <w:t xml:space="preserve">. </w:t>
      </w:r>
      <w:r w:rsidR="00482D66" w:rsidRPr="007D3B18">
        <w:t>P</w:t>
      </w:r>
      <w:r w:rsidR="003A5B35" w:rsidRPr="007D3B18">
        <w:t xml:space="preserve">apildus nepieciešamais </w:t>
      </w:r>
      <w:r w:rsidR="002A19BF" w:rsidRPr="007D3B18">
        <w:t>finansējums</w:t>
      </w:r>
      <w:r w:rsidR="00946D8D" w:rsidRPr="007D3B18">
        <w:t xml:space="preserve"> nomas </w:t>
      </w:r>
      <w:r>
        <w:t xml:space="preserve">maksas </w:t>
      </w:r>
      <w:r w:rsidR="00946D8D" w:rsidRPr="007D3B18">
        <w:t>izdevumu segšanai</w:t>
      </w:r>
      <w:r w:rsidR="00CC2AC3" w:rsidRPr="007D3B18">
        <w:t xml:space="preserve"> </w:t>
      </w:r>
      <w:r>
        <w:t>jāplāno</w:t>
      </w:r>
      <w:r w:rsidR="003A5B35" w:rsidRPr="007D3B18">
        <w:t xml:space="preserve"> </w:t>
      </w:r>
      <w:r>
        <w:t xml:space="preserve">sākot no </w:t>
      </w:r>
      <w:r w:rsidR="003A5B35" w:rsidRPr="007D3B18">
        <w:t>201</w:t>
      </w:r>
      <w:r>
        <w:t>9</w:t>
      </w:r>
      <w:r w:rsidR="003A5B35" w:rsidRPr="007D3B18">
        <w:t>.gad</w:t>
      </w:r>
      <w:r>
        <w:t>a</w:t>
      </w:r>
      <w:r w:rsidR="00482D66" w:rsidRPr="007D3B18">
        <w:t xml:space="preserve"> (sk. </w:t>
      </w:r>
      <w:r w:rsidR="00396B09" w:rsidRPr="007D3B18">
        <w:t>6</w:t>
      </w:r>
      <w:r w:rsidR="00482D66" w:rsidRPr="007D3B18">
        <w:t>.tabulu)</w:t>
      </w:r>
      <w:r w:rsidR="003A5B35" w:rsidRPr="007D3B18">
        <w:t xml:space="preserve">. </w:t>
      </w:r>
    </w:p>
    <w:p w14:paraId="5C20C4D8" w14:textId="77777777" w:rsidR="00DB03ED" w:rsidRPr="000B02D1" w:rsidRDefault="00DB03ED" w:rsidP="00840D9C">
      <w:pPr>
        <w:pStyle w:val="naiskr"/>
        <w:tabs>
          <w:tab w:val="left" w:pos="0"/>
        </w:tabs>
        <w:spacing w:before="0" w:after="0"/>
        <w:ind w:right="159"/>
        <w:jc w:val="both"/>
      </w:pPr>
    </w:p>
    <w:p w14:paraId="6F9194F3" w14:textId="77777777" w:rsidR="0000231E" w:rsidRPr="00364399" w:rsidRDefault="00396B09" w:rsidP="00046658">
      <w:pPr>
        <w:spacing w:after="12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5</w:t>
      </w:r>
      <w:r w:rsidR="0000231E" w:rsidRPr="00721E07">
        <w:rPr>
          <w:rFonts w:ascii="Times New Roman" w:hAnsi="Times New Roman" w:cs="Times New Roman"/>
          <w:b/>
          <w:sz w:val="24"/>
          <w:szCs w:val="24"/>
        </w:rPr>
        <w:t>.</w:t>
      </w:r>
      <w:r w:rsidR="0000231E" w:rsidRPr="00364399">
        <w:rPr>
          <w:rFonts w:ascii="Times New Roman" w:hAnsi="Times New Roman" w:cs="Times New Roman"/>
          <w:b/>
          <w:sz w:val="24"/>
          <w:szCs w:val="24"/>
        </w:rPr>
        <w:t xml:space="preserve">tabula. Provizoriskie pārcelšanās un </w:t>
      </w:r>
      <w:r w:rsidRPr="00364399">
        <w:rPr>
          <w:rFonts w:ascii="Times New Roman" w:hAnsi="Times New Roman" w:cs="Times New Roman"/>
          <w:b/>
          <w:sz w:val="24"/>
          <w:szCs w:val="24"/>
        </w:rPr>
        <w:t xml:space="preserve">aprīkojuma iegādes </w:t>
      </w:r>
      <w:r w:rsidR="0000231E" w:rsidRPr="00364399">
        <w:rPr>
          <w:rFonts w:ascii="Times New Roman" w:hAnsi="Times New Roman" w:cs="Times New Roman"/>
          <w:b/>
          <w:sz w:val="24"/>
          <w:szCs w:val="24"/>
        </w:rPr>
        <w:t>izdevumi</w:t>
      </w:r>
    </w:p>
    <w:tbl>
      <w:tblPr>
        <w:tblStyle w:val="TableGrid"/>
        <w:tblW w:w="9072" w:type="dxa"/>
        <w:tblInd w:w="108" w:type="dxa"/>
        <w:tblLook w:val="04A0" w:firstRow="1" w:lastRow="0" w:firstColumn="1" w:lastColumn="0" w:noHBand="0" w:noVBand="1"/>
      </w:tblPr>
      <w:tblGrid>
        <w:gridCol w:w="5387"/>
        <w:gridCol w:w="1701"/>
        <w:gridCol w:w="1984"/>
      </w:tblGrid>
      <w:tr w:rsidR="00871298" w:rsidRPr="00364399" w14:paraId="16480406" w14:textId="77777777" w:rsidTr="00C74EA6">
        <w:trPr>
          <w:trHeight w:val="20"/>
          <w:tblHeader/>
        </w:trPr>
        <w:tc>
          <w:tcPr>
            <w:tcW w:w="5387" w:type="dxa"/>
            <w:shd w:val="clear" w:color="auto" w:fill="F2F2F2" w:themeFill="background1" w:themeFillShade="F2"/>
            <w:vAlign w:val="center"/>
          </w:tcPr>
          <w:p w14:paraId="3F0C13E1" w14:textId="77777777" w:rsidR="00871298" w:rsidRPr="00364399" w:rsidRDefault="008C40C3" w:rsidP="00364399">
            <w:pPr>
              <w:spacing w:after="120"/>
              <w:ind w:left="-75" w:firstLine="75"/>
              <w:jc w:val="center"/>
              <w:rPr>
                <w:rFonts w:ascii="Times New Roman" w:hAnsi="Times New Roman" w:cs="Times New Roman"/>
                <w:sz w:val="16"/>
                <w:szCs w:val="16"/>
              </w:rPr>
            </w:pPr>
            <w:r w:rsidRPr="00364399">
              <w:rPr>
                <w:rFonts w:ascii="Times New Roman" w:hAnsi="Times New Roman" w:cs="Times New Roman"/>
                <w:sz w:val="16"/>
                <w:szCs w:val="16"/>
              </w:rPr>
              <w:t xml:space="preserve">Izdevumu </w:t>
            </w:r>
            <w:r w:rsidR="00662990" w:rsidRPr="00364399">
              <w:rPr>
                <w:rFonts w:ascii="Times New Roman" w:hAnsi="Times New Roman" w:cs="Times New Roman"/>
                <w:sz w:val="16"/>
                <w:szCs w:val="16"/>
              </w:rPr>
              <w:t>pozīcijas</w:t>
            </w:r>
          </w:p>
        </w:tc>
        <w:tc>
          <w:tcPr>
            <w:tcW w:w="1701" w:type="dxa"/>
            <w:shd w:val="clear" w:color="auto" w:fill="F2F2F2" w:themeFill="background1" w:themeFillShade="F2"/>
            <w:vAlign w:val="center"/>
          </w:tcPr>
          <w:p w14:paraId="4D638444" w14:textId="77777777" w:rsidR="00871298" w:rsidRPr="00364399" w:rsidRDefault="00871298" w:rsidP="00662990">
            <w:pPr>
              <w:spacing w:after="120"/>
              <w:jc w:val="center"/>
              <w:rPr>
                <w:rFonts w:ascii="Times New Roman" w:hAnsi="Times New Roman" w:cs="Times New Roman"/>
                <w:sz w:val="16"/>
                <w:szCs w:val="16"/>
              </w:rPr>
            </w:pPr>
            <w:r w:rsidRPr="00364399">
              <w:rPr>
                <w:rFonts w:ascii="Times New Roman" w:hAnsi="Times New Roman" w:cs="Times New Roman"/>
                <w:sz w:val="16"/>
                <w:szCs w:val="16"/>
              </w:rPr>
              <w:t>Aprēķins</w:t>
            </w:r>
          </w:p>
        </w:tc>
        <w:tc>
          <w:tcPr>
            <w:tcW w:w="1984" w:type="dxa"/>
            <w:shd w:val="clear" w:color="auto" w:fill="F2F2F2" w:themeFill="background1" w:themeFillShade="F2"/>
            <w:vAlign w:val="center"/>
          </w:tcPr>
          <w:p w14:paraId="7DD60342" w14:textId="321CBD75" w:rsidR="00871298" w:rsidRPr="00364399" w:rsidRDefault="00871298" w:rsidP="00662990">
            <w:pPr>
              <w:spacing w:after="120"/>
              <w:jc w:val="center"/>
              <w:rPr>
                <w:rFonts w:ascii="Times New Roman" w:hAnsi="Times New Roman" w:cs="Times New Roman"/>
                <w:sz w:val="16"/>
                <w:szCs w:val="16"/>
              </w:rPr>
            </w:pPr>
            <w:r w:rsidRPr="00364399">
              <w:rPr>
                <w:rFonts w:ascii="Times New Roman" w:hAnsi="Times New Roman" w:cs="Times New Roman"/>
                <w:sz w:val="16"/>
                <w:szCs w:val="16"/>
              </w:rPr>
              <w:t>Izdevumi</w:t>
            </w:r>
            <w:r w:rsidR="00364399">
              <w:rPr>
                <w:rFonts w:ascii="Times New Roman" w:hAnsi="Times New Roman" w:cs="Times New Roman"/>
                <w:sz w:val="16"/>
                <w:szCs w:val="16"/>
              </w:rPr>
              <w:t xml:space="preserve"> (EUR</w:t>
            </w:r>
            <w:r w:rsidR="00046658">
              <w:rPr>
                <w:rFonts w:ascii="Times New Roman" w:hAnsi="Times New Roman" w:cs="Times New Roman"/>
                <w:sz w:val="16"/>
                <w:szCs w:val="16"/>
              </w:rPr>
              <w:t xml:space="preserve"> ar PVN</w:t>
            </w:r>
            <w:r w:rsidR="00364399">
              <w:rPr>
                <w:rFonts w:ascii="Times New Roman" w:hAnsi="Times New Roman" w:cs="Times New Roman"/>
                <w:sz w:val="16"/>
                <w:szCs w:val="16"/>
              </w:rPr>
              <w:t>)</w:t>
            </w:r>
          </w:p>
        </w:tc>
      </w:tr>
      <w:tr w:rsidR="00662990" w:rsidRPr="00364399" w14:paraId="242E7551" w14:textId="77777777" w:rsidTr="00C74EA6">
        <w:trPr>
          <w:trHeight w:val="20"/>
        </w:trPr>
        <w:tc>
          <w:tcPr>
            <w:tcW w:w="7088" w:type="dxa"/>
            <w:gridSpan w:val="2"/>
            <w:vAlign w:val="center"/>
          </w:tcPr>
          <w:p w14:paraId="63CF1632" w14:textId="77777777" w:rsidR="00662990" w:rsidRPr="00364399" w:rsidRDefault="00662990" w:rsidP="00662990">
            <w:pPr>
              <w:spacing w:after="120"/>
              <w:rPr>
                <w:rFonts w:ascii="Times New Roman" w:hAnsi="Times New Roman" w:cs="Times New Roman"/>
                <w:sz w:val="16"/>
                <w:szCs w:val="16"/>
              </w:rPr>
            </w:pPr>
            <w:r w:rsidRPr="00364399">
              <w:rPr>
                <w:rFonts w:ascii="Times New Roman" w:hAnsi="Times New Roman" w:cs="Times New Roman"/>
                <w:b/>
                <w:sz w:val="16"/>
                <w:szCs w:val="16"/>
              </w:rPr>
              <w:t>Pārcelšanās izdevumi kopā:</w:t>
            </w:r>
          </w:p>
        </w:tc>
        <w:tc>
          <w:tcPr>
            <w:tcW w:w="1984" w:type="dxa"/>
          </w:tcPr>
          <w:p w14:paraId="1A9368F6" w14:textId="77777777" w:rsidR="00662990" w:rsidRPr="00364399" w:rsidRDefault="00662990" w:rsidP="00152E1A">
            <w:pPr>
              <w:spacing w:after="120"/>
              <w:jc w:val="right"/>
              <w:rPr>
                <w:rFonts w:ascii="Times New Roman" w:hAnsi="Times New Roman" w:cs="Times New Roman"/>
                <w:b/>
                <w:sz w:val="16"/>
                <w:szCs w:val="16"/>
              </w:rPr>
            </w:pPr>
            <w:r w:rsidRPr="00364399">
              <w:rPr>
                <w:rFonts w:ascii="Times New Roman" w:hAnsi="Times New Roman" w:cs="Times New Roman"/>
                <w:b/>
                <w:sz w:val="16"/>
                <w:szCs w:val="16"/>
              </w:rPr>
              <w:t>8 478,00</w:t>
            </w:r>
          </w:p>
        </w:tc>
      </w:tr>
      <w:tr w:rsidR="00871298" w:rsidRPr="00364399" w14:paraId="6DA96F42" w14:textId="77777777" w:rsidTr="00C74EA6">
        <w:trPr>
          <w:trHeight w:val="20"/>
        </w:trPr>
        <w:tc>
          <w:tcPr>
            <w:tcW w:w="5387" w:type="dxa"/>
            <w:vAlign w:val="center"/>
          </w:tcPr>
          <w:p w14:paraId="25577700" w14:textId="77777777" w:rsidR="00871298" w:rsidRPr="00364399" w:rsidRDefault="00871298" w:rsidP="00662990">
            <w:pPr>
              <w:spacing w:after="120"/>
              <w:rPr>
                <w:rFonts w:ascii="Times New Roman" w:hAnsi="Times New Roman" w:cs="Times New Roman"/>
                <w:sz w:val="16"/>
                <w:szCs w:val="16"/>
              </w:rPr>
            </w:pPr>
            <w:r w:rsidRPr="00364399">
              <w:rPr>
                <w:rFonts w:ascii="Times New Roman" w:hAnsi="Times New Roman" w:cs="Times New Roman"/>
                <w:sz w:val="16"/>
                <w:szCs w:val="16"/>
              </w:rPr>
              <w:t>Sīkā inventāra līdz 100 kg pārvietošana 50 darbiniekiem</w:t>
            </w:r>
          </w:p>
        </w:tc>
        <w:tc>
          <w:tcPr>
            <w:tcW w:w="1701" w:type="dxa"/>
          </w:tcPr>
          <w:p w14:paraId="277CF4EC" w14:textId="68C6CB2F" w:rsidR="00871298" w:rsidRPr="00364399" w:rsidRDefault="00871298"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400gab *0,64</w:t>
            </w:r>
            <w:r w:rsidR="00046658">
              <w:rPr>
                <w:rFonts w:ascii="Times New Roman" w:hAnsi="Times New Roman" w:cs="Times New Roman"/>
                <w:sz w:val="16"/>
                <w:szCs w:val="16"/>
              </w:rPr>
              <w:t xml:space="preserve"> EUR</w:t>
            </w:r>
          </w:p>
        </w:tc>
        <w:tc>
          <w:tcPr>
            <w:tcW w:w="1984" w:type="dxa"/>
          </w:tcPr>
          <w:p w14:paraId="7FCCC4DE" w14:textId="77777777" w:rsidR="00871298" w:rsidRPr="00364399" w:rsidRDefault="00871298"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256,00</w:t>
            </w:r>
          </w:p>
        </w:tc>
      </w:tr>
      <w:tr w:rsidR="00871298" w:rsidRPr="00364399" w14:paraId="70B6B989" w14:textId="77777777" w:rsidTr="00C74EA6">
        <w:trPr>
          <w:trHeight w:val="20"/>
        </w:trPr>
        <w:tc>
          <w:tcPr>
            <w:tcW w:w="5387" w:type="dxa"/>
            <w:vAlign w:val="center"/>
          </w:tcPr>
          <w:p w14:paraId="181E2580" w14:textId="77777777" w:rsidR="00871298" w:rsidRPr="00364399" w:rsidRDefault="00871298" w:rsidP="00662990">
            <w:pPr>
              <w:spacing w:after="120"/>
              <w:rPr>
                <w:rFonts w:ascii="Times New Roman" w:hAnsi="Times New Roman" w:cs="Times New Roman"/>
                <w:sz w:val="16"/>
                <w:szCs w:val="16"/>
              </w:rPr>
            </w:pPr>
            <w:r w:rsidRPr="00364399">
              <w:rPr>
                <w:rFonts w:ascii="Times New Roman" w:hAnsi="Times New Roman" w:cs="Times New Roman"/>
                <w:sz w:val="16"/>
                <w:szCs w:val="16"/>
              </w:rPr>
              <w:t>Biroja tehnikas pārvietošana</w:t>
            </w:r>
          </w:p>
        </w:tc>
        <w:tc>
          <w:tcPr>
            <w:tcW w:w="1701" w:type="dxa"/>
          </w:tcPr>
          <w:p w14:paraId="57914FFA" w14:textId="0688415D" w:rsidR="00871298" w:rsidRPr="00364399" w:rsidRDefault="00871298"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90 gab. *1,80</w:t>
            </w:r>
            <w:r w:rsidR="00046658">
              <w:rPr>
                <w:rFonts w:ascii="Times New Roman" w:hAnsi="Times New Roman" w:cs="Times New Roman"/>
                <w:sz w:val="16"/>
                <w:szCs w:val="16"/>
              </w:rPr>
              <w:t xml:space="preserve"> </w:t>
            </w:r>
            <w:r w:rsidR="00046658" w:rsidRPr="00046658">
              <w:rPr>
                <w:rFonts w:ascii="Times New Roman" w:hAnsi="Times New Roman" w:cs="Times New Roman"/>
                <w:sz w:val="16"/>
                <w:szCs w:val="16"/>
              </w:rPr>
              <w:t>EUR</w:t>
            </w:r>
          </w:p>
        </w:tc>
        <w:tc>
          <w:tcPr>
            <w:tcW w:w="1984" w:type="dxa"/>
          </w:tcPr>
          <w:p w14:paraId="7CB617A9" w14:textId="77777777" w:rsidR="00871298" w:rsidRPr="00364399" w:rsidRDefault="00004136"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162,00</w:t>
            </w:r>
          </w:p>
        </w:tc>
      </w:tr>
      <w:tr w:rsidR="00871298" w:rsidRPr="00364399" w14:paraId="56A5F693" w14:textId="77777777" w:rsidTr="00C74EA6">
        <w:trPr>
          <w:trHeight w:val="20"/>
        </w:trPr>
        <w:tc>
          <w:tcPr>
            <w:tcW w:w="5387" w:type="dxa"/>
            <w:vAlign w:val="center"/>
          </w:tcPr>
          <w:p w14:paraId="2CF8A273" w14:textId="77777777" w:rsidR="00871298" w:rsidRPr="00364399" w:rsidRDefault="00004136" w:rsidP="00662990">
            <w:pPr>
              <w:spacing w:after="120"/>
              <w:rPr>
                <w:rFonts w:ascii="Times New Roman" w:hAnsi="Times New Roman" w:cs="Times New Roman"/>
                <w:sz w:val="16"/>
                <w:szCs w:val="16"/>
              </w:rPr>
            </w:pPr>
            <w:r w:rsidRPr="00364399">
              <w:rPr>
                <w:rFonts w:ascii="Times New Roman" w:hAnsi="Times New Roman" w:cs="Times New Roman"/>
                <w:sz w:val="16"/>
                <w:szCs w:val="16"/>
              </w:rPr>
              <w:t>Lietu bibliotēkas pārvietošana</w:t>
            </w:r>
          </w:p>
        </w:tc>
        <w:tc>
          <w:tcPr>
            <w:tcW w:w="1701" w:type="dxa"/>
          </w:tcPr>
          <w:p w14:paraId="597CDBFC" w14:textId="0104C49B" w:rsidR="00871298" w:rsidRPr="00364399" w:rsidRDefault="00004136"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3300 t/m *1,80</w:t>
            </w:r>
            <w:r w:rsidR="00046658">
              <w:t xml:space="preserve"> </w:t>
            </w:r>
            <w:r w:rsidR="00046658" w:rsidRPr="00046658">
              <w:rPr>
                <w:rFonts w:ascii="Times New Roman" w:hAnsi="Times New Roman" w:cs="Times New Roman"/>
                <w:sz w:val="16"/>
                <w:szCs w:val="16"/>
              </w:rPr>
              <w:t>EUR</w:t>
            </w:r>
          </w:p>
        </w:tc>
        <w:tc>
          <w:tcPr>
            <w:tcW w:w="1984" w:type="dxa"/>
          </w:tcPr>
          <w:p w14:paraId="261033F5" w14:textId="77777777" w:rsidR="00871298" w:rsidRPr="00364399" w:rsidRDefault="00004136"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5940,00</w:t>
            </w:r>
          </w:p>
        </w:tc>
      </w:tr>
      <w:tr w:rsidR="00871298" w:rsidRPr="00364399" w14:paraId="59902635" w14:textId="77777777" w:rsidTr="00C74EA6">
        <w:trPr>
          <w:trHeight w:val="20"/>
        </w:trPr>
        <w:tc>
          <w:tcPr>
            <w:tcW w:w="5387" w:type="dxa"/>
            <w:vAlign w:val="center"/>
          </w:tcPr>
          <w:p w14:paraId="37F14490" w14:textId="77777777" w:rsidR="00871298" w:rsidRPr="00364399" w:rsidRDefault="00004136" w:rsidP="00662990">
            <w:pPr>
              <w:spacing w:after="120"/>
              <w:rPr>
                <w:rFonts w:ascii="Times New Roman" w:hAnsi="Times New Roman" w:cs="Times New Roman"/>
                <w:sz w:val="16"/>
                <w:szCs w:val="16"/>
              </w:rPr>
            </w:pPr>
            <w:r w:rsidRPr="00364399">
              <w:rPr>
                <w:rFonts w:ascii="Times New Roman" w:hAnsi="Times New Roman" w:cs="Times New Roman"/>
                <w:sz w:val="16"/>
                <w:szCs w:val="16"/>
              </w:rPr>
              <w:t>Darbinieka pakalpojums, veicot ar mazgabarīta inventāra pārvietošanu saistītos pakalpojumus</w:t>
            </w:r>
          </w:p>
        </w:tc>
        <w:tc>
          <w:tcPr>
            <w:tcW w:w="1701" w:type="dxa"/>
          </w:tcPr>
          <w:p w14:paraId="3DE01603" w14:textId="2E3BE937" w:rsidR="00871298" w:rsidRPr="00364399" w:rsidRDefault="00004136"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530 h *4,00</w:t>
            </w:r>
            <w:r w:rsidR="00046658">
              <w:t xml:space="preserve"> </w:t>
            </w:r>
            <w:r w:rsidR="00046658" w:rsidRPr="00046658">
              <w:rPr>
                <w:rFonts w:ascii="Times New Roman" w:hAnsi="Times New Roman" w:cs="Times New Roman"/>
                <w:sz w:val="16"/>
                <w:szCs w:val="16"/>
              </w:rPr>
              <w:t>EUR</w:t>
            </w:r>
          </w:p>
        </w:tc>
        <w:tc>
          <w:tcPr>
            <w:tcW w:w="1984" w:type="dxa"/>
          </w:tcPr>
          <w:p w14:paraId="58B958CA" w14:textId="77777777" w:rsidR="00871298" w:rsidRPr="00364399" w:rsidRDefault="00004136"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2120,00</w:t>
            </w:r>
          </w:p>
        </w:tc>
      </w:tr>
      <w:tr w:rsidR="00662990" w:rsidRPr="00364399" w14:paraId="0BBBE045" w14:textId="77777777" w:rsidTr="00C74EA6">
        <w:trPr>
          <w:trHeight w:val="20"/>
        </w:trPr>
        <w:tc>
          <w:tcPr>
            <w:tcW w:w="7088" w:type="dxa"/>
            <w:gridSpan w:val="2"/>
            <w:vAlign w:val="center"/>
          </w:tcPr>
          <w:p w14:paraId="0A169D84" w14:textId="77777777" w:rsidR="00662990" w:rsidRPr="00364399" w:rsidRDefault="00662990" w:rsidP="00662990">
            <w:pPr>
              <w:spacing w:after="120"/>
              <w:rPr>
                <w:rFonts w:ascii="Times New Roman" w:hAnsi="Times New Roman" w:cs="Times New Roman"/>
                <w:sz w:val="16"/>
                <w:szCs w:val="16"/>
              </w:rPr>
            </w:pPr>
            <w:r w:rsidRPr="00364399">
              <w:rPr>
                <w:rFonts w:ascii="Times New Roman" w:hAnsi="Times New Roman" w:cs="Times New Roman"/>
                <w:b/>
                <w:sz w:val="16"/>
                <w:szCs w:val="16"/>
              </w:rPr>
              <w:t>Aprīkojuma iegādes izdevumi kopā:</w:t>
            </w:r>
          </w:p>
        </w:tc>
        <w:tc>
          <w:tcPr>
            <w:tcW w:w="1984" w:type="dxa"/>
          </w:tcPr>
          <w:p w14:paraId="20A597C3" w14:textId="77777777" w:rsidR="00662990" w:rsidRPr="00364399" w:rsidRDefault="00662990" w:rsidP="00152E1A">
            <w:pPr>
              <w:spacing w:after="120"/>
              <w:jc w:val="right"/>
              <w:rPr>
                <w:rFonts w:ascii="Times New Roman" w:hAnsi="Times New Roman" w:cs="Times New Roman"/>
                <w:b/>
                <w:sz w:val="16"/>
                <w:szCs w:val="16"/>
              </w:rPr>
            </w:pPr>
            <w:r w:rsidRPr="00364399">
              <w:rPr>
                <w:rFonts w:ascii="Times New Roman" w:hAnsi="Times New Roman" w:cs="Times New Roman"/>
                <w:b/>
                <w:sz w:val="16"/>
                <w:szCs w:val="16"/>
              </w:rPr>
              <w:t>43 350,00</w:t>
            </w:r>
          </w:p>
        </w:tc>
      </w:tr>
      <w:tr w:rsidR="00871298" w:rsidRPr="00364399" w14:paraId="0BABC4B5" w14:textId="77777777" w:rsidTr="00C74EA6">
        <w:trPr>
          <w:trHeight w:val="20"/>
        </w:trPr>
        <w:tc>
          <w:tcPr>
            <w:tcW w:w="5387" w:type="dxa"/>
            <w:vAlign w:val="center"/>
          </w:tcPr>
          <w:p w14:paraId="41977508" w14:textId="77777777" w:rsidR="00871298" w:rsidRPr="00364399" w:rsidRDefault="008C40C3" w:rsidP="00662990">
            <w:pPr>
              <w:spacing w:after="120"/>
              <w:rPr>
                <w:rFonts w:ascii="Times New Roman" w:hAnsi="Times New Roman" w:cs="Times New Roman"/>
                <w:sz w:val="16"/>
                <w:szCs w:val="16"/>
              </w:rPr>
            </w:pPr>
            <w:r w:rsidRPr="00364399">
              <w:rPr>
                <w:rFonts w:ascii="Times New Roman" w:hAnsi="Times New Roman" w:cs="Times New Roman"/>
                <w:sz w:val="16"/>
                <w:szCs w:val="16"/>
              </w:rPr>
              <w:t>Darba galds (t.sk. klientu zālē)</w:t>
            </w:r>
          </w:p>
        </w:tc>
        <w:tc>
          <w:tcPr>
            <w:tcW w:w="1701" w:type="dxa"/>
          </w:tcPr>
          <w:p w14:paraId="6A71960F" w14:textId="0645927C" w:rsidR="00871298" w:rsidRPr="00364399" w:rsidRDefault="008C40C3"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50 gab.  *342,00</w:t>
            </w:r>
            <w:r w:rsidR="00046658">
              <w:t xml:space="preserve"> </w:t>
            </w:r>
            <w:r w:rsidR="00046658" w:rsidRPr="00046658">
              <w:rPr>
                <w:rFonts w:ascii="Times New Roman" w:hAnsi="Times New Roman" w:cs="Times New Roman"/>
                <w:sz w:val="16"/>
                <w:szCs w:val="16"/>
              </w:rPr>
              <w:t>EUR</w:t>
            </w:r>
          </w:p>
        </w:tc>
        <w:tc>
          <w:tcPr>
            <w:tcW w:w="1984" w:type="dxa"/>
          </w:tcPr>
          <w:p w14:paraId="2296BBB5" w14:textId="77777777" w:rsidR="00871298" w:rsidRPr="00364399" w:rsidRDefault="008C40C3"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17 100,00</w:t>
            </w:r>
          </w:p>
        </w:tc>
      </w:tr>
      <w:tr w:rsidR="008C40C3" w:rsidRPr="00364399" w14:paraId="0A4F610C" w14:textId="77777777" w:rsidTr="00C74EA6">
        <w:trPr>
          <w:trHeight w:val="20"/>
        </w:trPr>
        <w:tc>
          <w:tcPr>
            <w:tcW w:w="5387" w:type="dxa"/>
            <w:vAlign w:val="center"/>
          </w:tcPr>
          <w:p w14:paraId="57A5FED6" w14:textId="77777777" w:rsidR="008C40C3" w:rsidRPr="00364399" w:rsidRDefault="008C40C3" w:rsidP="00662990">
            <w:pPr>
              <w:spacing w:after="120"/>
              <w:rPr>
                <w:rFonts w:ascii="Times New Roman" w:hAnsi="Times New Roman" w:cs="Times New Roman"/>
                <w:sz w:val="16"/>
                <w:szCs w:val="16"/>
              </w:rPr>
            </w:pPr>
            <w:r w:rsidRPr="00364399">
              <w:rPr>
                <w:rFonts w:ascii="Times New Roman" w:hAnsi="Times New Roman" w:cs="Times New Roman"/>
                <w:sz w:val="16"/>
                <w:szCs w:val="16"/>
              </w:rPr>
              <w:t>Dokumentu skapis</w:t>
            </w:r>
          </w:p>
        </w:tc>
        <w:tc>
          <w:tcPr>
            <w:tcW w:w="1701" w:type="dxa"/>
          </w:tcPr>
          <w:p w14:paraId="162E4298" w14:textId="317D4163" w:rsidR="008C40C3" w:rsidRPr="00364399" w:rsidRDefault="008C40C3"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80 gab. *140,00</w:t>
            </w:r>
            <w:r w:rsidR="00046658">
              <w:t xml:space="preserve"> </w:t>
            </w:r>
            <w:r w:rsidR="00046658" w:rsidRPr="00046658">
              <w:rPr>
                <w:rFonts w:ascii="Times New Roman" w:hAnsi="Times New Roman" w:cs="Times New Roman"/>
                <w:sz w:val="16"/>
                <w:szCs w:val="16"/>
              </w:rPr>
              <w:t>EUR</w:t>
            </w:r>
          </w:p>
        </w:tc>
        <w:tc>
          <w:tcPr>
            <w:tcW w:w="1984" w:type="dxa"/>
          </w:tcPr>
          <w:p w14:paraId="07BD7573" w14:textId="77777777" w:rsidR="008C40C3" w:rsidRPr="00364399" w:rsidRDefault="008C40C3"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11 200,00</w:t>
            </w:r>
          </w:p>
        </w:tc>
      </w:tr>
      <w:tr w:rsidR="008C40C3" w:rsidRPr="00364399" w14:paraId="006E52DD" w14:textId="77777777" w:rsidTr="00C74EA6">
        <w:trPr>
          <w:trHeight w:val="20"/>
        </w:trPr>
        <w:tc>
          <w:tcPr>
            <w:tcW w:w="5387" w:type="dxa"/>
            <w:vAlign w:val="center"/>
          </w:tcPr>
          <w:p w14:paraId="224AB98A" w14:textId="77777777" w:rsidR="008C40C3" w:rsidRPr="00364399" w:rsidRDefault="008C40C3" w:rsidP="00662990">
            <w:pPr>
              <w:spacing w:after="120"/>
              <w:rPr>
                <w:rFonts w:ascii="Times New Roman" w:hAnsi="Times New Roman" w:cs="Times New Roman"/>
                <w:sz w:val="16"/>
                <w:szCs w:val="16"/>
              </w:rPr>
            </w:pPr>
            <w:r w:rsidRPr="00364399">
              <w:rPr>
                <w:rFonts w:ascii="Times New Roman" w:hAnsi="Times New Roman" w:cs="Times New Roman"/>
                <w:sz w:val="16"/>
                <w:szCs w:val="16"/>
              </w:rPr>
              <w:t>Datorkrēsli</w:t>
            </w:r>
          </w:p>
        </w:tc>
        <w:tc>
          <w:tcPr>
            <w:tcW w:w="1701" w:type="dxa"/>
          </w:tcPr>
          <w:p w14:paraId="27BCB51B" w14:textId="16F01FFD" w:rsidR="008C40C3" w:rsidRPr="00364399" w:rsidRDefault="008C40C3"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50 gab. *236,00</w:t>
            </w:r>
            <w:r w:rsidR="00046658">
              <w:t xml:space="preserve"> </w:t>
            </w:r>
            <w:r w:rsidR="00046658" w:rsidRPr="00046658">
              <w:rPr>
                <w:rFonts w:ascii="Times New Roman" w:hAnsi="Times New Roman" w:cs="Times New Roman"/>
                <w:sz w:val="16"/>
                <w:szCs w:val="16"/>
              </w:rPr>
              <w:t>EUR</w:t>
            </w:r>
          </w:p>
        </w:tc>
        <w:tc>
          <w:tcPr>
            <w:tcW w:w="1984" w:type="dxa"/>
          </w:tcPr>
          <w:p w14:paraId="0D7C9BB6" w14:textId="77777777" w:rsidR="008C40C3" w:rsidRPr="00364399" w:rsidRDefault="008C40C3"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11 800,00</w:t>
            </w:r>
          </w:p>
        </w:tc>
      </w:tr>
      <w:tr w:rsidR="008C40C3" w:rsidRPr="00364399" w14:paraId="065F3889" w14:textId="77777777" w:rsidTr="00C74EA6">
        <w:trPr>
          <w:trHeight w:val="20"/>
        </w:trPr>
        <w:tc>
          <w:tcPr>
            <w:tcW w:w="5387" w:type="dxa"/>
            <w:vAlign w:val="center"/>
          </w:tcPr>
          <w:p w14:paraId="236D8F2D" w14:textId="77777777" w:rsidR="008C40C3" w:rsidRPr="00364399" w:rsidRDefault="008C40C3" w:rsidP="00662990">
            <w:pPr>
              <w:spacing w:after="120"/>
              <w:rPr>
                <w:rFonts w:ascii="Times New Roman" w:hAnsi="Times New Roman" w:cs="Times New Roman"/>
                <w:sz w:val="16"/>
                <w:szCs w:val="16"/>
              </w:rPr>
            </w:pPr>
            <w:r w:rsidRPr="00364399">
              <w:rPr>
                <w:rFonts w:ascii="Times New Roman" w:hAnsi="Times New Roman" w:cs="Times New Roman"/>
                <w:sz w:val="16"/>
                <w:szCs w:val="16"/>
              </w:rPr>
              <w:t>Drēbju skapis</w:t>
            </w:r>
          </w:p>
        </w:tc>
        <w:tc>
          <w:tcPr>
            <w:tcW w:w="1701" w:type="dxa"/>
          </w:tcPr>
          <w:p w14:paraId="3D1A6F3D" w14:textId="28314462" w:rsidR="008C40C3" w:rsidRPr="00364399" w:rsidRDefault="008C40C3"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10 gab. *157,00</w:t>
            </w:r>
            <w:r w:rsidR="00046658">
              <w:t xml:space="preserve"> </w:t>
            </w:r>
            <w:r w:rsidR="00046658" w:rsidRPr="00046658">
              <w:rPr>
                <w:rFonts w:ascii="Times New Roman" w:hAnsi="Times New Roman" w:cs="Times New Roman"/>
                <w:sz w:val="16"/>
                <w:szCs w:val="16"/>
              </w:rPr>
              <w:t>EUR</w:t>
            </w:r>
          </w:p>
        </w:tc>
        <w:tc>
          <w:tcPr>
            <w:tcW w:w="1984" w:type="dxa"/>
          </w:tcPr>
          <w:p w14:paraId="3A2A5DDA" w14:textId="6B4FA64D" w:rsidR="008C40C3" w:rsidRPr="00364399" w:rsidRDefault="00364399" w:rsidP="00152E1A">
            <w:pPr>
              <w:spacing w:after="120"/>
              <w:jc w:val="right"/>
              <w:rPr>
                <w:rFonts w:ascii="Times New Roman" w:hAnsi="Times New Roman" w:cs="Times New Roman"/>
                <w:sz w:val="16"/>
                <w:szCs w:val="16"/>
              </w:rPr>
            </w:pPr>
            <w:r>
              <w:rPr>
                <w:rFonts w:ascii="Times New Roman" w:hAnsi="Times New Roman" w:cs="Times New Roman"/>
                <w:sz w:val="16"/>
                <w:szCs w:val="16"/>
              </w:rPr>
              <w:t>1 570</w:t>
            </w:r>
            <w:r w:rsidR="008C40C3" w:rsidRPr="00364399">
              <w:rPr>
                <w:rFonts w:ascii="Times New Roman" w:hAnsi="Times New Roman" w:cs="Times New Roman"/>
                <w:sz w:val="16"/>
                <w:szCs w:val="16"/>
              </w:rPr>
              <w:t>,00</w:t>
            </w:r>
          </w:p>
        </w:tc>
      </w:tr>
      <w:tr w:rsidR="008C40C3" w14:paraId="5BD73038" w14:textId="77777777" w:rsidTr="00C74EA6">
        <w:trPr>
          <w:trHeight w:val="20"/>
        </w:trPr>
        <w:tc>
          <w:tcPr>
            <w:tcW w:w="5387" w:type="dxa"/>
            <w:vAlign w:val="center"/>
          </w:tcPr>
          <w:p w14:paraId="0E088610" w14:textId="77777777" w:rsidR="008C40C3" w:rsidRPr="00364399" w:rsidRDefault="00662990" w:rsidP="00662990">
            <w:pPr>
              <w:spacing w:after="120"/>
              <w:rPr>
                <w:rFonts w:ascii="Times New Roman" w:hAnsi="Times New Roman" w:cs="Times New Roman"/>
                <w:sz w:val="16"/>
                <w:szCs w:val="16"/>
              </w:rPr>
            </w:pPr>
            <w:r w:rsidRPr="00364399">
              <w:rPr>
                <w:rFonts w:ascii="Times New Roman" w:hAnsi="Times New Roman" w:cs="Times New Roman"/>
                <w:sz w:val="16"/>
                <w:szCs w:val="16"/>
              </w:rPr>
              <w:t>Apmeklētāju krēsli</w:t>
            </w:r>
          </w:p>
        </w:tc>
        <w:tc>
          <w:tcPr>
            <w:tcW w:w="1701" w:type="dxa"/>
          </w:tcPr>
          <w:p w14:paraId="780BC051" w14:textId="39BD5EAC" w:rsidR="008C40C3" w:rsidRPr="00364399" w:rsidRDefault="00662990"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60 gab. *28,00</w:t>
            </w:r>
            <w:r w:rsidR="00046658">
              <w:t xml:space="preserve"> </w:t>
            </w:r>
            <w:r w:rsidR="00046658" w:rsidRPr="00046658">
              <w:rPr>
                <w:rFonts w:ascii="Times New Roman" w:hAnsi="Times New Roman" w:cs="Times New Roman"/>
                <w:sz w:val="16"/>
                <w:szCs w:val="16"/>
              </w:rPr>
              <w:t>EUR</w:t>
            </w:r>
          </w:p>
        </w:tc>
        <w:tc>
          <w:tcPr>
            <w:tcW w:w="1984" w:type="dxa"/>
          </w:tcPr>
          <w:p w14:paraId="75DDDF94" w14:textId="77777777" w:rsidR="008C40C3" w:rsidRDefault="00662990" w:rsidP="00152E1A">
            <w:pPr>
              <w:spacing w:after="120"/>
              <w:jc w:val="right"/>
              <w:rPr>
                <w:rFonts w:ascii="Times New Roman" w:hAnsi="Times New Roman" w:cs="Times New Roman"/>
                <w:sz w:val="16"/>
                <w:szCs w:val="16"/>
              </w:rPr>
            </w:pPr>
            <w:r w:rsidRPr="00364399">
              <w:rPr>
                <w:rFonts w:ascii="Times New Roman" w:hAnsi="Times New Roman" w:cs="Times New Roman"/>
                <w:sz w:val="16"/>
                <w:szCs w:val="16"/>
              </w:rPr>
              <w:t>1680,00</w:t>
            </w:r>
          </w:p>
        </w:tc>
      </w:tr>
    </w:tbl>
    <w:p w14:paraId="6961AD22" w14:textId="77777777" w:rsidR="00871298" w:rsidRDefault="00662990" w:rsidP="00046658">
      <w:pPr>
        <w:pStyle w:val="naiskr"/>
        <w:tabs>
          <w:tab w:val="left" w:pos="0"/>
        </w:tabs>
        <w:spacing w:before="0" w:after="120"/>
        <w:ind w:right="158" w:firstLine="284"/>
        <w:jc w:val="both"/>
        <w:rPr>
          <w:sz w:val="13"/>
          <w:szCs w:val="13"/>
        </w:rPr>
      </w:pPr>
      <w:r w:rsidRPr="00721E07">
        <w:rPr>
          <w:sz w:val="13"/>
          <w:szCs w:val="13"/>
        </w:rPr>
        <w:t>*provizoriski aprēķināt</w:t>
      </w:r>
      <w:r>
        <w:rPr>
          <w:sz w:val="13"/>
          <w:szCs w:val="13"/>
        </w:rPr>
        <w:t xml:space="preserve">ais pārcelšanās un aprīkojuma izdevumu </w:t>
      </w:r>
      <w:r w:rsidRPr="00721E07">
        <w:rPr>
          <w:sz w:val="13"/>
          <w:szCs w:val="13"/>
        </w:rPr>
        <w:t xml:space="preserve">apmērs var tikt precizēts </w:t>
      </w:r>
      <w:r>
        <w:rPr>
          <w:sz w:val="13"/>
          <w:szCs w:val="13"/>
        </w:rPr>
        <w:t>pēc pārcelšanās darbu pabeigšanas.</w:t>
      </w:r>
    </w:p>
    <w:p w14:paraId="633BD48E" w14:textId="77777777" w:rsidR="00BF5801" w:rsidRPr="00BF5801" w:rsidRDefault="00BF5801" w:rsidP="00BF5801">
      <w:pPr>
        <w:pStyle w:val="naiskr"/>
        <w:tabs>
          <w:tab w:val="left" w:pos="0"/>
        </w:tabs>
        <w:spacing w:before="0" w:after="120"/>
        <w:ind w:right="158"/>
        <w:jc w:val="both"/>
        <w:rPr>
          <w:sz w:val="13"/>
          <w:szCs w:val="13"/>
        </w:rPr>
      </w:pPr>
    </w:p>
    <w:p w14:paraId="09563850" w14:textId="77777777" w:rsidR="00B63176" w:rsidRDefault="00396B09" w:rsidP="00C74EA6">
      <w:pPr>
        <w:keepNext/>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B63176" w:rsidRPr="00721E07">
        <w:rPr>
          <w:rFonts w:ascii="Times New Roman" w:hAnsi="Times New Roman" w:cs="Times New Roman"/>
          <w:b/>
          <w:sz w:val="24"/>
          <w:szCs w:val="24"/>
        </w:rPr>
        <w:t xml:space="preserve">.tabula. </w:t>
      </w:r>
      <w:r w:rsidR="002A19BF" w:rsidRPr="00721E07">
        <w:rPr>
          <w:rFonts w:ascii="Times New Roman" w:hAnsi="Times New Roman" w:cs="Times New Roman"/>
          <w:b/>
          <w:sz w:val="24"/>
          <w:szCs w:val="24"/>
        </w:rPr>
        <w:t>Papildus nepieciešamais finansējums</w:t>
      </w:r>
    </w:p>
    <w:tbl>
      <w:tblPr>
        <w:tblW w:w="921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6"/>
        <w:gridCol w:w="1246"/>
        <w:gridCol w:w="1842"/>
        <w:gridCol w:w="1134"/>
        <w:gridCol w:w="1276"/>
        <w:gridCol w:w="1843"/>
        <w:gridCol w:w="1417"/>
      </w:tblGrid>
      <w:tr w:rsidR="00396B09" w:rsidRPr="00396B09" w14:paraId="09B366D1" w14:textId="77777777" w:rsidTr="00AC23F3">
        <w:trPr>
          <w:trHeight w:val="155"/>
        </w:trPr>
        <w:tc>
          <w:tcPr>
            <w:tcW w:w="456" w:type="dxa"/>
            <w:vMerge w:val="restart"/>
            <w:shd w:val="pct5" w:color="auto" w:fill="auto"/>
            <w:vAlign w:val="center"/>
            <w:hideMark/>
          </w:tcPr>
          <w:p w14:paraId="4BBAF7AE" w14:textId="77777777" w:rsidR="00396B09" w:rsidRPr="00396B09" w:rsidRDefault="00396B09"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Nr.</w:t>
            </w:r>
            <w:r w:rsidRPr="00396B09">
              <w:rPr>
                <w:rFonts w:ascii="Times New Roman" w:eastAsia="Times New Roman" w:hAnsi="Times New Roman" w:cs="Times New Roman"/>
                <w:sz w:val="16"/>
                <w:szCs w:val="16"/>
                <w:lang w:eastAsia="lv-LV"/>
              </w:rPr>
              <w:br/>
              <w:t>p.k.</w:t>
            </w:r>
          </w:p>
        </w:tc>
        <w:tc>
          <w:tcPr>
            <w:tcW w:w="1246" w:type="dxa"/>
            <w:vMerge w:val="restart"/>
            <w:shd w:val="pct5" w:color="auto" w:fill="auto"/>
            <w:vAlign w:val="center"/>
            <w:hideMark/>
          </w:tcPr>
          <w:p w14:paraId="5EBCA4E7" w14:textId="77777777" w:rsidR="00396B09" w:rsidRPr="00396B09" w:rsidRDefault="00396B09"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Pārskata periods</w:t>
            </w:r>
            <w:r w:rsidRPr="00396B09">
              <w:rPr>
                <w:rFonts w:ascii="Times New Roman" w:eastAsia="Times New Roman" w:hAnsi="Times New Roman" w:cs="Times New Roman"/>
                <w:sz w:val="16"/>
                <w:szCs w:val="16"/>
                <w:lang w:eastAsia="lv-LV"/>
              </w:rPr>
              <w:br/>
              <w:t>(gads)</w:t>
            </w:r>
          </w:p>
        </w:tc>
        <w:tc>
          <w:tcPr>
            <w:tcW w:w="4252" w:type="dxa"/>
            <w:gridSpan w:val="3"/>
            <w:tcBorders>
              <w:bottom w:val="dotted" w:sz="4" w:space="0" w:color="auto"/>
            </w:tcBorders>
            <w:shd w:val="pct5" w:color="auto" w:fill="auto"/>
            <w:vAlign w:val="center"/>
            <w:hideMark/>
          </w:tcPr>
          <w:p w14:paraId="060F11D4" w14:textId="77777777" w:rsidR="00396B09" w:rsidRPr="00396B09" w:rsidRDefault="00396B09"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 xml:space="preserve">Papildus nepieciešamais finansējums </w:t>
            </w:r>
          </w:p>
        </w:tc>
        <w:tc>
          <w:tcPr>
            <w:tcW w:w="1843" w:type="dxa"/>
            <w:vMerge w:val="restart"/>
            <w:shd w:val="pct5" w:color="auto" w:fill="auto"/>
            <w:vAlign w:val="center"/>
            <w:hideMark/>
          </w:tcPr>
          <w:p w14:paraId="0B2BB8AD" w14:textId="5FAD5571" w:rsidR="00396B09" w:rsidRPr="00396B09" w:rsidRDefault="00396B09"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VID budžetā finansējums telpu uzturēšanas izdevumu segšanai (201</w:t>
            </w:r>
            <w:r w:rsidR="00A920A7">
              <w:rPr>
                <w:rFonts w:ascii="Times New Roman" w:eastAsia="Times New Roman" w:hAnsi="Times New Roman" w:cs="Times New Roman"/>
                <w:sz w:val="16"/>
                <w:szCs w:val="16"/>
                <w:lang w:eastAsia="lv-LV"/>
              </w:rPr>
              <w:t>9</w:t>
            </w:r>
            <w:r w:rsidRPr="00396B09">
              <w:rPr>
                <w:rFonts w:ascii="Times New Roman" w:eastAsia="Times New Roman" w:hAnsi="Times New Roman" w:cs="Times New Roman"/>
                <w:sz w:val="16"/>
                <w:szCs w:val="16"/>
                <w:lang w:eastAsia="lv-LV"/>
              </w:rPr>
              <w:t>.gadā līdz 31.07.201</w:t>
            </w:r>
            <w:r w:rsidR="00A920A7">
              <w:rPr>
                <w:rFonts w:ascii="Times New Roman" w:eastAsia="Times New Roman" w:hAnsi="Times New Roman" w:cs="Times New Roman"/>
                <w:sz w:val="16"/>
                <w:szCs w:val="16"/>
                <w:lang w:eastAsia="lv-LV"/>
              </w:rPr>
              <w:t>9</w:t>
            </w:r>
            <w:r w:rsidRPr="00396B09">
              <w:rPr>
                <w:rFonts w:ascii="Times New Roman" w:eastAsia="Times New Roman" w:hAnsi="Times New Roman" w:cs="Times New Roman"/>
                <w:sz w:val="16"/>
                <w:szCs w:val="16"/>
                <w:lang w:eastAsia="lv-LV"/>
              </w:rPr>
              <w:t>.</w:t>
            </w:r>
            <w:r w:rsidR="00046658">
              <w:rPr>
                <w:rFonts w:ascii="Times New Roman" w:eastAsia="Times New Roman" w:hAnsi="Times New Roman" w:cs="Times New Roman"/>
                <w:sz w:val="16"/>
                <w:szCs w:val="16"/>
                <w:lang w:eastAsia="lv-LV"/>
              </w:rPr>
              <w:t xml:space="preserve"> EUR</w:t>
            </w:r>
            <w:r w:rsidRPr="00396B09">
              <w:rPr>
                <w:rFonts w:ascii="Times New Roman" w:eastAsia="Times New Roman" w:hAnsi="Times New Roman" w:cs="Times New Roman"/>
                <w:sz w:val="16"/>
                <w:szCs w:val="16"/>
                <w:lang w:eastAsia="lv-LV"/>
              </w:rPr>
              <w:t>)</w:t>
            </w:r>
          </w:p>
        </w:tc>
        <w:tc>
          <w:tcPr>
            <w:tcW w:w="1417" w:type="dxa"/>
            <w:vMerge w:val="restart"/>
            <w:shd w:val="pct5" w:color="auto" w:fill="auto"/>
            <w:vAlign w:val="center"/>
            <w:hideMark/>
          </w:tcPr>
          <w:p w14:paraId="27588357" w14:textId="2180808A" w:rsidR="00396B09" w:rsidRPr="00396B09" w:rsidRDefault="00396B09"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 xml:space="preserve">Kopā </w:t>
            </w:r>
            <w:r w:rsidRPr="00396B09">
              <w:rPr>
                <w:rFonts w:ascii="Times New Roman" w:eastAsia="Times New Roman" w:hAnsi="Times New Roman" w:cs="Times New Roman"/>
                <w:sz w:val="16"/>
                <w:szCs w:val="16"/>
                <w:lang w:eastAsia="lv-LV"/>
              </w:rPr>
              <w:br/>
              <w:t xml:space="preserve">papildus nepieciešamais finansējums </w:t>
            </w:r>
            <w:r w:rsidR="00046658">
              <w:rPr>
                <w:rFonts w:ascii="Times New Roman" w:eastAsia="Times New Roman" w:hAnsi="Times New Roman" w:cs="Times New Roman"/>
                <w:sz w:val="16"/>
                <w:szCs w:val="16"/>
                <w:lang w:eastAsia="lv-LV"/>
              </w:rPr>
              <w:t>(EUR)</w:t>
            </w:r>
          </w:p>
        </w:tc>
      </w:tr>
      <w:tr w:rsidR="00396B09" w:rsidRPr="00396B09" w14:paraId="67C9C73C" w14:textId="77777777" w:rsidTr="00B95373">
        <w:trPr>
          <w:trHeight w:val="668"/>
        </w:trPr>
        <w:tc>
          <w:tcPr>
            <w:tcW w:w="456" w:type="dxa"/>
            <w:vMerge/>
            <w:vAlign w:val="center"/>
            <w:hideMark/>
          </w:tcPr>
          <w:p w14:paraId="427C1AF8" w14:textId="77777777" w:rsidR="00396B09" w:rsidRPr="00396B09" w:rsidRDefault="00396B09" w:rsidP="00396B09">
            <w:pPr>
              <w:spacing w:after="0" w:line="240" w:lineRule="auto"/>
              <w:rPr>
                <w:rFonts w:ascii="Times New Roman" w:eastAsia="Times New Roman" w:hAnsi="Times New Roman" w:cs="Times New Roman"/>
                <w:sz w:val="16"/>
                <w:szCs w:val="16"/>
                <w:lang w:eastAsia="lv-LV"/>
              </w:rPr>
            </w:pPr>
          </w:p>
        </w:tc>
        <w:tc>
          <w:tcPr>
            <w:tcW w:w="1246" w:type="dxa"/>
            <w:vMerge/>
            <w:vAlign w:val="center"/>
            <w:hideMark/>
          </w:tcPr>
          <w:p w14:paraId="2E237B08" w14:textId="77777777" w:rsidR="00396B09" w:rsidRPr="00396B09" w:rsidRDefault="00396B09" w:rsidP="00396B09">
            <w:pPr>
              <w:spacing w:after="0" w:line="240" w:lineRule="auto"/>
              <w:rPr>
                <w:rFonts w:ascii="Times New Roman" w:eastAsia="Times New Roman" w:hAnsi="Times New Roman" w:cs="Times New Roman"/>
                <w:sz w:val="16"/>
                <w:szCs w:val="16"/>
                <w:lang w:eastAsia="lv-LV"/>
              </w:rPr>
            </w:pPr>
          </w:p>
        </w:tc>
        <w:tc>
          <w:tcPr>
            <w:tcW w:w="1842" w:type="dxa"/>
            <w:shd w:val="pct5" w:color="auto" w:fill="auto"/>
            <w:vAlign w:val="center"/>
            <w:hideMark/>
          </w:tcPr>
          <w:p w14:paraId="22339AB4" w14:textId="17B3B701" w:rsidR="00396B09" w:rsidRPr="00396B09" w:rsidRDefault="00396B09" w:rsidP="00046658">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ilgtermiņa saistībām nomas maksas izdevumu segšanai VNĪ</w:t>
            </w:r>
            <w:r w:rsidR="00046658">
              <w:rPr>
                <w:rFonts w:ascii="Times New Roman" w:eastAsia="Times New Roman" w:hAnsi="Times New Roman" w:cs="Times New Roman"/>
                <w:sz w:val="16"/>
                <w:szCs w:val="16"/>
                <w:lang w:eastAsia="lv-LV"/>
              </w:rPr>
              <w:t xml:space="preserve"> (EUR)</w:t>
            </w:r>
          </w:p>
        </w:tc>
        <w:tc>
          <w:tcPr>
            <w:tcW w:w="1134" w:type="dxa"/>
            <w:shd w:val="pct5" w:color="auto" w:fill="auto"/>
            <w:vAlign w:val="center"/>
            <w:hideMark/>
          </w:tcPr>
          <w:p w14:paraId="30C2B918" w14:textId="64806ADE" w:rsidR="00396B09" w:rsidRPr="00396B09" w:rsidRDefault="00396B09" w:rsidP="00046658">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pārcelšanas izdevumu segšanai</w:t>
            </w:r>
            <w:r w:rsidR="00046658">
              <w:rPr>
                <w:rFonts w:ascii="Times New Roman" w:eastAsia="Times New Roman" w:hAnsi="Times New Roman" w:cs="Times New Roman"/>
                <w:sz w:val="16"/>
                <w:szCs w:val="16"/>
                <w:lang w:eastAsia="lv-LV"/>
              </w:rPr>
              <w:t xml:space="preserve"> (EUR)</w:t>
            </w:r>
          </w:p>
        </w:tc>
        <w:tc>
          <w:tcPr>
            <w:tcW w:w="1276" w:type="dxa"/>
            <w:shd w:val="pct5" w:color="auto" w:fill="auto"/>
            <w:vAlign w:val="center"/>
            <w:hideMark/>
          </w:tcPr>
          <w:p w14:paraId="39438F0F" w14:textId="2D90A7C2" w:rsidR="00396B09" w:rsidRPr="00396B09" w:rsidRDefault="00396B09" w:rsidP="00046658">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aprīkojuma iegādes izdevumu segšanai</w:t>
            </w:r>
            <w:r w:rsidR="00046658">
              <w:rPr>
                <w:rFonts w:ascii="Times New Roman" w:eastAsia="Times New Roman" w:hAnsi="Times New Roman" w:cs="Times New Roman"/>
                <w:sz w:val="16"/>
                <w:szCs w:val="16"/>
                <w:lang w:eastAsia="lv-LV"/>
              </w:rPr>
              <w:t xml:space="preserve"> </w:t>
            </w:r>
            <w:r w:rsidR="00046658" w:rsidRPr="00046658">
              <w:rPr>
                <w:rFonts w:ascii="Times New Roman" w:eastAsia="Times New Roman" w:hAnsi="Times New Roman" w:cs="Times New Roman"/>
                <w:sz w:val="16"/>
                <w:szCs w:val="16"/>
                <w:lang w:eastAsia="lv-LV"/>
              </w:rPr>
              <w:t>(EUR)</w:t>
            </w:r>
          </w:p>
        </w:tc>
        <w:tc>
          <w:tcPr>
            <w:tcW w:w="1843" w:type="dxa"/>
            <w:vMerge/>
            <w:vAlign w:val="center"/>
            <w:hideMark/>
          </w:tcPr>
          <w:p w14:paraId="6FD3F4E8" w14:textId="77777777" w:rsidR="00396B09" w:rsidRPr="00396B09" w:rsidRDefault="00396B09" w:rsidP="00396B09">
            <w:pPr>
              <w:spacing w:after="0" w:line="240" w:lineRule="auto"/>
              <w:rPr>
                <w:rFonts w:ascii="Times New Roman" w:eastAsia="Times New Roman" w:hAnsi="Times New Roman" w:cs="Times New Roman"/>
                <w:sz w:val="16"/>
                <w:szCs w:val="16"/>
                <w:lang w:eastAsia="lv-LV"/>
              </w:rPr>
            </w:pPr>
          </w:p>
        </w:tc>
        <w:tc>
          <w:tcPr>
            <w:tcW w:w="1417" w:type="dxa"/>
            <w:vMerge/>
            <w:vAlign w:val="center"/>
            <w:hideMark/>
          </w:tcPr>
          <w:p w14:paraId="31676CE8" w14:textId="77777777" w:rsidR="00396B09" w:rsidRPr="00396B09" w:rsidRDefault="00396B09" w:rsidP="00396B09">
            <w:pPr>
              <w:spacing w:after="0" w:line="240" w:lineRule="auto"/>
              <w:rPr>
                <w:rFonts w:ascii="Times New Roman" w:eastAsia="Times New Roman" w:hAnsi="Times New Roman" w:cs="Times New Roman"/>
                <w:sz w:val="16"/>
                <w:szCs w:val="16"/>
                <w:lang w:eastAsia="lv-LV"/>
              </w:rPr>
            </w:pPr>
          </w:p>
        </w:tc>
      </w:tr>
      <w:tr w:rsidR="00396B09" w:rsidRPr="00396B09" w14:paraId="1E5BE4DF" w14:textId="77777777" w:rsidTr="00B95373">
        <w:trPr>
          <w:trHeight w:val="128"/>
        </w:trPr>
        <w:tc>
          <w:tcPr>
            <w:tcW w:w="456" w:type="dxa"/>
            <w:shd w:val="clear" w:color="auto" w:fill="auto"/>
            <w:vAlign w:val="center"/>
            <w:hideMark/>
          </w:tcPr>
          <w:p w14:paraId="42ED4986" w14:textId="77777777" w:rsidR="00396B09" w:rsidRPr="00396B09" w:rsidRDefault="00396B09" w:rsidP="00396B09">
            <w:pPr>
              <w:spacing w:after="0" w:line="240" w:lineRule="auto"/>
              <w:jc w:val="center"/>
              <w:rPr>
                <w:rFonts w:ascii="Times New Roman" w:eastAsia="Times New Roman" w:hAnsi="Times New Roman" w:cs="Times New Roman"/>
                <w:i/>
                <w:iCs/>
                <w:sz w:val="16"/>
                <w:szCs w:val="16"/>
                <w:lang w:eastAsia="lv-LV"/>
              </w:rPr>
            </w:pPr>
            <w:r w:rsidRPr="00396B09">
              <w:rPr>
                <w:rFonts w:ascii="Times New Roman" w:eastAsia="Times New Roman" w:hAnsi="Times New Roman" w:cs="Times New Roman"/>
                <w:i/>
                <w:iCs/>
                <w:sz w:val="16"/>
                <w:szCs w:val="16"/>
                <w:lang w:eastAsia="lv-LV"/>
              </w:rPr>
              <w:t>1.</w:t>
            </w:r>
          </w:p>
        </w:tc>
        <w:tc>
          <w:tcPr>
            <w:tcW w:w="1246" w:type="dxa"/>
            <w:shd w:val="clear" w:color="auto" w:fill="auto"/>
            <w:vAlign w:val="center"/>
            <w:hideMark/>
          </w:tcPr>
          <w:p w14:paraId="242A75C5" w14:textId="77777777" w:rsidR="00396B09" w:rsidRPr="00396B09" w:rsidRDefault="00396B09" w:rsidP="00396B09">
            <w:pPr>
              <w:spacing w:after="0" w:line="240" w:lineRule="auto"/>
              <w:jc w:val="center"/>
              <w:rPr>
                <w:rFonts w:ascii="Times New Roman" w:eastAsia="Times New Roman" w:hAnsi="Times New Roman" w:cs="Times New Roman"/>
                <w:i/>
                <w:iCs/>
                <w:sz w:val="16"/>
                <w:szCs w:val="16"/>
                <w:lang w:eastAsia="lv-LV"/>
              </w:rPr>
            </w:pPr>
            <w:r w:rsidRPr="00396B09">
              <w:rPr>
                <w:rFonts w:ascii="Times New Roman" w:eastAsia="Times New Roman" w:hAnsi="Times New Roman" w:cs="Times New Roman"/>
                <w:i/>
                <w:iCs/>
                <w:sz w:val="16"/>
                <w:szCs w:val="16"/>
                <w:lang w:eastAsia="lv-LV"/>
              </w:rPr>
              <w:t>2.</w:t>
            </w:r>
          </w:p>
        </w:tc>
        <w:tc>
          <w:tcPr>
            <w:tcW w:w="1842" w:type="dxa"/>
            <w:shd w:val="clear" w:color="auto" w:fill="auto"/>
            <w:vAlign w:val="center"/>
            <w:hideMark/>
          </w:tcPr>
          <w:p w14:paraId="0BF4C31D" w14:textId="77777777" w:rsidR="00396B09" w:rsidRPr="00396B09" w:rsidRDefault="00396B09" w:rsidP="00396B09">
            <w:pPr>
              <w:spacing w:after="0" w:line="240" w:lineRule="auto"/>
              <w:jc w:val="center"/>
              <w:rPr>
                <w:rFonts w:ascii="Times New Roman" w:eastAsia="Times New Roman" w:hAnsi="Times New Roman" w:cs="Times New Roman"/>
                <w:i/>
                <w:iCs/>
                <w:sz w:val="16"/>
                <w:szCs w:val="16"/>
                <w:lang w:eastAsia="lv-LV"/>
              </w:rPr>
            </w:pPr>
            <w:r w:rsidRPr="00396B09">
              <w:rPr>
                <w:rFonts w:ascii="Times New Roman" w:eastAsia="Times New Roman" w:hAnsi="Times New Roman" w:cs="Times New Roman"/>
                <w:i/>
                <w:iCs/>
                <w:sz w:val="16"/>
                <w:szCs w:val="16"/>
                <w:lang w:eastAsia="lv-LV"/>
              </w:rPr>
              <w:t>3.</w:t>
            </w:r>
          </w:p>
        </w:tc>
        <w:tc>
          <w:tcPr>
            <w:tcW w:w="1134" w:type="dxa"/>
            <w:shd w:val="clear" w:color="auto" w:fill="auto"/>
            <w:vAlign w:val="center"/>
            <w:hideMark/>
          </w:tcPr>
          <w:p w14:paraId="47EDDA05" w14:textId="77777777" w:rsidR="00396B09" w:rsidRPr="00396B09" w:rsidRDefault="00396B09" w:rsidP="00396B09">
            <w:pPr>
              <w:spacing w:after="0" w:line="240" w:lineRule="auto"/>
              <w:jc w:val="center"/>
              <w:rPr>
                <w:rFonts w:ascii="Times New Roman" w:eastAsia="Times New Roman" w:hAnsi="Times New Roman" w:cs="Times New Roman"/>
                <w:i/>
                <w:iCs/>
                <w:sz w:val="16"/>
                <w:szCs w:val="16"/>
                <w:lang w:eastAsia="lv-LV"/>
              </w:rPr>
            </w:pPr>
            <w:r w:rsidRPr="00396B09">
              <w:rPr>
                <w:rFonts w:ascii="Times New Roman" w:eastAsia="Times New Roman" w:hAnsi="Times New Roman" w:cs="Times New Roman"/>
                <w:i/>
                <w:iCs/>
                <w:sz w:val="16"/>
                <w:szCs w:val="16"/>
                <w:lang w:eastAsia="lv-LV"/>
              </w:rPr>
              <w:t>4.</w:t>
            </w:r>
          </w:p>
        </w:tc>
        <w:tc>
          <w:tcPr>
            <w:tcW w:w="1276" w:type="dxa"/>
            <w:shd w:val="clear" w:color="auto" w:fill="auto"/>
            <w:vAlign w:val="center"/>
            <w:hideMark/>
          </w:tcPr>
          <w:p w14:paraId="0AD1CB49" w14:textId="77777777" w:rsidR="00396B09" w:rsidRPr="00396B09" w:rsidRDefault="00396B09" w:rsidP="00396B09">
            <w:pPr>
              <w:spacing w:after="0" w:line="240" w:lineRule="auto"/>
              <w:jc w:val="center"/>
              <w:rPr>
                <w:rFonts w:ascii="Times New Roman" w:eastAsia="Times New Roman" w:hAnsi="Times New Roman" w:cs="Times New Roman"/>
                <w:i/>
                <w:iCs/>
                <w:sz w:val="16"/>
                <w:szCs w:val="16"/>
                <w:lang w:eastAsia="lv-LV"/>
              </w:rPr>
            </w:pPr>
            <w:r w:rsidRPr="00396B09">
              <w:rPr>
                <w:rFonts w:ascii="Times New Roman" w:eastAsia="Times New Roman" w:hAnsi="Times New Roman" w:cs="Times New Roman"/>
                <w:i/>
                <w:iCs/>
                <w:sz w:val="16"/>
                <w:szCs w:val="16"/>
                <w:lang w:eastAsia="lv-LV"/>
              </w:rPr>
              <w:t>5.</w:t>
            </w:r>
          </w:p>
        </w:tc>
        <w:tc>
          <w:tcPr>
            <w:tcW w:w="1843" w:type="dxa"/>
            <w:shd w:val="clear" w:color="auto" w:fill="auto"/>
            <w:vAlign w:val="center"/>
            <w:hideMark/>
          </w:tcPr>
          <w:p w14:paraId="2D705E5A" w14:textId="77777777" w:rsidR="00396B09" w:rsidRPr="00396B09" w:rsidRDefault="00396B09" w:rsidP="00396B09">
            <w:pPr>
              <w:spacing w:after="0" w:line="240" w:lineRule="auto"/>
              <w:jc w:val="center"/>
              <w:rPr>
                <w:rFonts w:ascii="Times New Roman" w:eastAsia="Times New Roman" w:hAnsi="Times New Roman" w:cs="Times New Roman"/>
                <w:i/>
                <w:iCs/>
                <w:sz w:val="16"/>
                <w:szCs w:val="16"/>
                <w:lang w:eastAsia="lv-LV"/>
              </w:rPr>
            </w:pPr>
            <w:r w:rsidRPr="00396B09">
              <w:rPr>
                <w:rFonts w:ascii="Times New Roman" w:eastAsia="Times New Roman" w:hAnsi="Times New Roman" w:cs="Times New Roman"/>
                <w:i/>
                <w:iCs/>
                <w:sz w:val="16"/>
                <w:szCs w:val="16"/>
                <w:lang w:eastAsia="lv-LV"/>
              </w:rPr>
              <w:t>6.</w:t>
            </w:r>
          </w:p>
        </w:tc>
        <w:tc>
          <w:tcPr>
            <w:tcW w:w="1417" w:type="dxa"/>
            <w:shd w:val="clear" w:color="auto" w:fill="auto"/>
            <w:vAlign w:val="center"/>
            <w:hideMark/>
          </w:tcPr>
          <w:p w14:paraId="4AE06A54" w14:textId="77777777" w:rsidR="00396B09" w:rsidRPr="00396B09" w:rsidRDefault="00396B09" w:rsidP="00396B09">
            <w:pPr>
              <w:spacing w:after="0" w:line="240" w:lineRule="auto"/>
              <w:jc w:val="center"/>
              <w:rPr>
                <w:rFonts w:ascii="Times New Roman" w:eastAsia="Times New Roman" w:hAnsi="Times New Roman" w:cs="Times New Roman"/>
                <w:i/>
                <w:iCs/>
                <w:sz w:val="16"/>
                <w:szCs w:val="16"/>
                <w:lang w:eastAsia="lv-LV"/>
              </w:rPr>
            </w:pPr>
            <w:r w:rsidRPr="00396B09">
              <w:rPr>
                <w:rFonts w:ascii="Times New Roman" w:eastAsia="Times New Roman" w:hAnsi="Times New Roman" w:cs="Times New Roman"/>
                <w:i/>
                <w:iCs/>
                <w:sz w:val="16"/>
                <w:szCs w:val="16"/>
                <w:lang w:eastAsia="lv-LV"/>
              </w:rPr>
              <w:t>7.=3.+4.+5.-6.</w:t>
            </w:r>
          </w:p>
        </w:tc>
      </w:tr>
      <w:tr w:rsidR="00E15356" w:rsidRPr="00396B09" w14:paraId="42FE73FD" w14:textId="77777777" w:rsidTr="00B95373">
        <w:trPr>
          <w:trHeight w:val="401"/>
        </w:trPr>
        <w:tc>
          <w:tcPr>
            <w:tcW w:w="456" w:type="dxa"/>
            <w:shd w:val="clear" w:color="auto" w:fill="auto"/>
            <w:vAlign w:val="center"/>
            <w:hideMark/>
          </w:tcPr>
          <w:p w14:paraId="4667F602"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w:t>
            </w:r>
          </w:p>
        </w:tc>
        <w:tc>
          <w:tcPr>
            <w:tcW w:w="1246" w:type="dxa"/>
            <w:shd w:val="clear" w:color="auto" w:fill="auto"/>
            <w:vAlign w:val="center"/>
            <w:hideMark/>
          </w:tcPr>
          <w:p w14:paraId="1D559102"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201</w:t>
            </w:r>
            <w:r>
              <w:rPr>
                <w:rFonts w:ascii="Times New Roman" w:eastAsia="Times New Roman" w:hAnsi="Times New Roman" w:cs="Times New Roman"/>
                <w:sz w:val="16"/>
                <w:szCs w:val="16"/>
                <w:lang w:eastAsia="lv-LV"/>
              </w:rPr>
              <w:t>9</w:t>
            </w:r>
            <w:r w:rsidRPr="00396B09">
              <w:rPr>
                <w:rFonts w:ascii="Times New Roman" w:eastAsia="Times New Roman" w:hAnsi="Times New Roman" w:cs="Times New Roman"/>
                <w:sz w:val="16"/>
                <w:szCs w:val="16"/>
                <w:lang w:eastAsia="lv-LV"/>
              </w:rPr>
              <w:t xml:space="preserve"> (noma no 1.jūnija)</w:t>
            </w:r>
          </w:p>
        </w:tc>
        <w:tc>
          <w:tcPr>
            <w:tcW w:w="1842" w:type="dxa"/>
            <w:shd w:val="clear" w:color="auto" w:fill="auto"/>
            <w:vAlign w:val="center"/>
            <w:hideMark/>
          </w:tcPr>
          <w:p w14:paraId="76A8AAE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168 558</w:t>
            </w:r>
          </w:p>
        </w:tc>
        <w:tc>
          <w:tcPr>
            <w:tcW w:w="1134" w:type="dxa"/>
            <w:shd w:val="clear" w:color="auto" w:fill="auto"/>
            <w:vAlign w:val="center"/>
            <w:hideMark/>
          </w:tcPr>
          <w:p w14:paraId="3FB05992"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8 750</w:t>
            </w:r>
          </w:p>
        </w:tc>
        <w:tc>
          <w:tcPr>
            <w:tcW w:w="1276" w:type="dxa"/>
            <w:shd w:val="clear" w:color="auto" w:fill="auto"/>
            <w:vAlign w:val="center"/>
            <w:hideMark/>
          </w:tcPr>
          <w:p w14:paraId="6B691C2A"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43 350</w:t>
            </w:r>
          </w:p>
        </w:tc>
        <w:tc>
          <w:tcPr>
            <w:tcW w:w="1843" w:type="dxa"/>
            <w:shd w:val="clear" w:color="auto" w:fill="auto"/>
            <w:vAlign w:val="center"/>
            <w:hideMark/>
          </w:tcPr>
          <w:p w14:paraId="3A6A6734"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11 671</w:t>
            </w:r>
          </w:p>
        </w:tc>
        <w:tc>
          <w:tcPr>
            <w:tcW w:w="1417" w:type="dxa"/>
            <w:shd w:val="clear" w:color="auto" w:fill="auto"/>
            <w:vAlign w:val="center"/>
            <w:hideMark/>
          </w:tcPr>
          <w:p w14:paraId="1F05F7C1"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208 987</w:t>
            </w:r>
          </w:p>
        </w:tc>
      </w:tr>
      <w:tr w:rsidR="00E15356" w:rsidRPr="00396B09" w14:paraId="3D92D300" w14:textId="77777777" w:rsidTr="00B95373">
        <w:trPr>
          <w:trHeight w:val="225"/>
        </w:trPr>
        <w:tc>
          <w:tcPr>
            <w:tcW w:w="456" w:type="dxa"/>
            <w:shd w:val="clear" w:color="auto" w:fill="auto"/>
            <w:vAlign w:val="center"/>
            <w:hideMark/>
          </w:tcPr>
          <w:p w14:paraId="36B498B0"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w:t>
            </w:r>
          </w:p>
        </w:tc>
        <w:tc>
          <w:tcPr>
            <w:tcW w:w="1246" w:type="dxa"/>
            <w:shd w:val="clear" w:color="auto" w:fill="auto"/>
            <w:vAlign w:val="center"/>
            <w:hideMark/>
          </w:tcPr>
          <w:p w14:paraId="4952615E"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2020</w:t>
            </w:r>
          </w:p>
        </w:tc>
        <w:tc>
          <w:tcPr>
            <w:tcW w:w="1842" w:type="dxa"/>
            <w:shd w:val="clear" w:color="auto" w:fill="auto"/>
            <w:vAlign w:val="center"/>
            <w:hideMark/>
          </w:tcPr>
          <w:p w14:paraId="786E2D49"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35CC3711"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7669503A"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4137C518"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139105A9"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5FFD850F" w14:textId="77777777" w:rsidTr="00B95373">
        <w:trPr>
          <w:trHeight w:val="225"/>
        </w:trPr>
        <w:tc>
          <w:tcPr>
            <w:tcW w:w="456" w:type="dxa"/>
            <w:shd w:val="clear" w:color="auto" w:fill="auto"/>
            <w:vAlign w:val="center"/>
            <w:hideMark/>
          </w:tcPr>
          <w:p w14:paraId="44B58017"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3.</w:t>
            </w:r>
          </w:p>
        </w:tc>
        <w:tc>
          <w:tcPr>
            <w:tcW w:w="1246" w:type="dxa"/>
            <w:shd w:val="clear" w:color="auto" w:fill="auto"/>
            <w:vAlign w:val="center"/>
            <w:hideMark/>
          </w:tcPr>
          <w:p w14:paraId="01FFCB13"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2021</w:t>
            </w:r>
          </w:p>
        </w:tc>
        <w:tc>
          <w:tcPr>
            <w:tcW w:w="1842" w:type="dxa"/>
            <w:shd w:val="clear" w:color="auto" w:fill="auto"/>
            <w:vAlign w:val="center"/>
            <w:hideMark/>
          </w:tcPr>
          <w:p w14:paraId="4D1E4DC6"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1E9A95C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2B70AC8A"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1C97FB48"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0D8FC822"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079A80DE" w14:textId="77777777" w:rsidTr="00B95373">
        <w:trPr>
          <w:trHeight w:val="225"/>
        </w:trPr>
        <w:tc>
          <w:tcPr>
            <w:tcW w:w="456" w:type="dxa"/>
            <w:shd w:val="clear" w:color="auto" w:fill="auto"/>
            <w:vAlign w:val="center"/>
            <w:hideMark/>
          </w:tcPr>
          <w:p w14:paraId="1BE67FF2"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4.</w:t>
            </w:r>
          </w:p>
        </w:tc>
        <w:tc>
          <w:tcPr>
            <w:tcW w:w="1246" w:type="dxa"/>
            <w:shd w:val="clear" w:color="auto" w:fill="auto"/>
            <w:vAlign w:val="center"/>
            <w:hideMark/>
          </w:tcPr>
          <w:p w14:paraId="74C7252D"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2022</w:t>
            </w:r>
          </w:p>
        </w:tc>
        <w:tc>
          <w:tcPr>
            <w:tcW w:w="1842" w:type="dxa"/>
            <w:shd w:val="clear" w:color="auto" w:fill="auto"/>
            <w:vAlign w:val="center"/>
            <w:hideMark/>
          </w:tcPr>
          <w:p w14:paraId="16EA2D61"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30DBA9CC"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760DBC7D"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08050F42"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4527169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5DBD1E39" w14:textId="77777777" w:rsidTr="00B95373">
        <w:trPr>
          <w:trHeight w:val="225"/>
        </w:trPr>
        <w:tc>
          <w:tcPr>
            <w:tcW w:w="456" w:type="dxa"/>
            <w:shd w:val="clear" w:color="auto" w:fill="auto"/>
            <w:vAlign w:val="center"/>
            <w:hideMark/>
          </w:tcPr>
          <w:p w14:paraId="4D4E683D"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5.</w:t>
            </w:r>
          </w:p>
        </w:tc>
        <w:tc>
          <w:tcPr>
            <w:tcW w:w="1246" w:type="dxa"/>
            <w:shd w:val="clear" w:color="auto" w:fill="auto"/>
            <w:vAlign w:val="center"/>
            <w:hideMark/>
          </w:tcPr>
          <w:p w14:paraId="5401D0B7"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2023</w:t>
            </w:r>
          </w:p>
        </w:tc>
        <w:tc>
          <w:tcPr>
            <w:tcW w:w="1842" w:type="dxa"/>
            <w:shd w:val="clear" w:color="auto" w:fill="auto"/>
            <w:vAlign w:val="center"/>
            <w:hideMark/>
          </w:tcPr>
          <w:p w14:paraId="64B0CD2D"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6DBC293C"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6686E698"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6049428A"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758A827E"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5C1304B6" w14:textId="77777777" w:rsidTr="00B95373">
        <w:trPr>
          <w:trHeight w:val="225"/>
        </w:trPr>
        <w:tc>
          <w:tcPr>
            <w:tcW w:w="456" w:type="dxa"/>
            <w:shd w:val="clear" w:color="auto" w:fill="auto"/>
            <w:vAlign w:val="center"/>
            <w:hideMark/>
          </w:tcPr>
          <w:p w14:paraId="3B3D53B0"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6.</w:t>
            </w:r>
          </w:p>
        </w:tc>
        <w:tc>
          <w:tcPr>
            <w:tcW w:w="1246" w:type="dxa"/>
            <w:shd w:val="clear" w:color="auto" w:fill="auto"/>
            <w:vAlign w:val="center"/>
            <w:hideMark/>
          </w:tcPr>
          <w:p w14:paraId="3AC05EC1"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2024</w:t>
            </w:r>
          </w:p>
        </w:tc>
        <w:tc>
          <w:tcPr>
            <w:tcW w:w="1842" w:type="dxa"/>
            <w:shd w:val="clear" w:color="auto" w:fill="auto"/>
            <w:vAlign w:val="center"/>
            <w:hideMark/>
          </w:tcPr>
          <w:p w14:paraId="00FFE776"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745F4912"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06832204"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6FBCB6D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35BE2EB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2A072D5A" w14:textId="77777777" w:rsidTr="00B95373">
        <w:trPr>
          <w:trHeight w:val="225"/>
        </w:trPr>
        <w:tc>
          <w:tcPr>
            <w:tcW w:w="456" w:type="dxa"/>
            <w:shd w:val="clear" w:color="auto" w:fill="auto"/>
            <w:vAlign w:val="center"/>
            <w:hideMark/>
          </w:tcPr>
          <w:p w14:paraId="60A898FA"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7.</w:t>
            </w:r>
          </w:p>
        </w:tc>
        <w:tc>
          <w:tcPr>
            <w:tcW w:w="1246" w:type="dxa"/>
            <w:shd w:val="clear" w:color="auto" w:fill="auto"/>
            <w:vAlign w:val="center"/>
            <w:hideMark/>
          </w:tcPr>
          <w:p w14:paraId="3F018703"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2025</w:t>
            </w:r>
          </w:p>
        </w:tc>
        <w:tc>
          <w:tcPr>
            <w:tcW w:w="1842" w:type="dxa"/>
            <w:shd w:val="clear" w:color="auto" w:fill="auto"/>
            <w:vAlign w:val="center"/>
            <w:hideMark/>
          </w:tcPr>
          <w:p w14:paraId="38A54FEA"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38F784F9"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0AB50A72"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5E5E5D8D"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6537D585"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2AEBADE9" w14:textId="77777777" w:rsidTr="00B95373">
        <w:trPr>
          <w:trHeight w:val="225"/>
        </w:trPr>
        <w:tc>
          <w:tcPr>
            <w:tcW w:w="456" w:type="dxa"/>
            <w:shd w:val="clear" w:color="auto" w:fill="auto"/>
            <w:vAlign w:val="center"/>
            <w:hideMark/>
          </w:tcPr>
          <w:p w14:paraId="7063ADF5"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8.</w:t>
            </w:r>
          </w:p>
        </w:tc>
        <w:tc>
          <w:tcPr>
            <w:tcW w:w="1246" w:type="dxa"/>
            <w:shd w:val="clear" w:color="auto" w:fill="auto"/>
            <w:vAlign w:val="center"/>
            <w:hideMark/>
          </w:tcPr>
          <w:p w14:paraId="3B158F28"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2026</w:t>
            </w:r>
          </w:p>
        </w:tc>
        <w:tc>
          <w:tcPr>
            <w:tcW w:w="1842" w:type="dxa"/>
            <w:shd w:val="clear" w:color="auto" w:fill="auto"/>
            <w:vAlign w:val="center"/>
            <w:hideMark/>
          </w:tcPr>
          <w:p w14:paraId="4521D4D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3DEDFCE4"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6E0B7BA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4994E601"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704890E6"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0E3EBF08" w14:textId="77777777" w:rsidTr="00B95373">
        <w:trPr>
          <w:trHeight w:val="225"/>
        </w:trPr>
        <w:tc>
          <w:tcPr>
            <w:tcW w:w="456" w:type="dxa"/>
            <w:shd w:val="clear" w:color="auto" w:fill="auto"/>
            <w:vAlign w:val="center"/>
            <w:hideMark/>
          </w:tcPr>
          <w:p w14:paraId="2E7B7BEB"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9.</w:t>
            </w:r>
          </w:p>
        </w:tc>
        <w:tc>
          <w:tcPr>
            <w:tcW w:w="1246" w:type="dxa"/>
            <w:shd w:val="clear" w:color="auto" w:fill="auto"/>
            <w:vAlign w:val="center"/>
            <w:hideMark/>
          </w:tcPr>
          <w:p w14:paraId="524DA9A8"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2027</w:t>
            </w:r>
          </w:p>
        </w:tc>
        <w:tc>
          <w:tcPr>
            <w:tcW w:w="1842" w:type="dxa"/>
            <w:shd w:val="clear" w:color="auto" w:fill="auto"/>
            <w:vAlign w:val="center"/>
            <w:hideMark/>
          </w:tcPr>
          <w:p w14:paraId="08727038"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2947D42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43A3DF9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00C6BAB8"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62F5E428"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41A63111" w14:textId="77777777" w:rsidTr="00B95373">
        <w:trPr>
          <w:trHeight w:val="225"/>
        </w:trPr>
        <w:tc>
          <w:tcPr>
            <w:tcW w:w="456" w:type="dxa"/>
            <w:shd w:val="clear" w:color="auto" w:fill="auto"/>
            <w:vAlign w:val="center"/>
            <w:hideMark/>
          </w:tcPr>
          <w:p w14:paraId="18335573"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10.</w:t>
            </w:r>
          </w:p>
        </w:tc>
        <w:tc>
          <w:tcPr>
            <w:tcW w:w="1246" w:type="dxa"/>
            <w:shd w:val="clear" w:color="auto" w:fill="auto"/>
            <w:vAlign w:val="center"/>
            <w:hideMark/>
          </w:tcPr>
          <w:p w14:paraId="0461D175"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2028</w:t>
            </w:r>
          </w:p>
        </w:tc>
        <w:tc>
          <w:tcPr>
            <w:tcW w:w="1842" w:type="dxa"/>
            <w:shd w:val="clear" w:color="auto" w:fill="auto"/>
            <w:vAlign w:val="center"/>
            <w:hideMark/>
          </w:tcPr>
          <w:p w14:paraId="37AD1D3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0746AB2A"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3D21181D"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39A6F0AB"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546BABA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0CEFEEFB" w14:textId="77777777" w:rsidTr="00B95373">
        <w:trPr>
          <w:trHeight w:val="225"/>
        </w:trPr>
        <w:tc>
          <w:tcPr>
            <w:tcW w:w="456" w:type="dxa"/>
            <w:shd w:val="clear" w:color="auto" w:fill="auto"/>
            <w:vAlign w:val="center"/>
            <w:hideMark/>
          </w:tcPr>
          <w:p w14:paraId="1FB52083"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11.</w:t>
            </w:r>
          </w:p>
        </w:tc>
        <w:tc>
          <w:tcPr>
            <w:tcW w:w="1246" w:type="dxa"/>
            <w:shd w:val="clear" w:color="auto" w:fill="auto"/>
            <w:vAlign w:val="center"/>
            <w:hideMark/>
          </w:tcPr>
          <w:p w14:paraId="02ACF213"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2029</w:t>
            </w:r>
          </w:p>
        </w:tc>
        <w:tc>
          <w:tcPr>
            <w:tcW w:w="1842" w:type="dxa"/>
            <w:shd w:val="clear" w:color="auto" w:fill="auto"/>
            <w:vAlign w:val="center"/>
            <w:hideMark/>
          </w:tcPr>
          <w:p w14:paraId="3FCF6405"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123CF89A"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4819DBD3"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23130A1E"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2C77D9EC"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412FA88B" w14:textId="77777777" w:rsidTr="00B95373">
        <w:trPr>
          <w:trHeight w:val="225"/>
        </w:trPr>
        <w:tc>
          <w:tcPr>
            <w:tcW w:w="456" w:type="dxa"/>
            <w:shd w:val="clear" w:color="auto" w:fill="auto"/>
            <w:vAlign w:val="center"/>
            <w:hideMark/>
          </w:tcPr>
          <w:p w14:paraId="6BAFC828"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12.</w:t>
            </w:r>
          </w:p>
        </w:tc>
        <w:tc>
          <w:tcPr>
            <w:tcW w:w="1246" w:type="dxa"/>
            <w:shd w:val="clear" w:color="auto" w:fill="auto"/>
            <w:vAlign w:val="center"/>
            <w:hideMark/>
          </w:tcPr>
          <w:p w14:paraId="519E907B"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2030</w:t>
            </w:r>
          </w:p>
        </w:tc>
        <w:tc>
          <w:tcPr>
            <w:tcW w:w="1842" w:type="dxa"/>
            <w:shd w:val="clear" w:color="auto" w:fill="auto"/>
            <w:vAlign w:val="center"/>
            <w:hideMark/>
          </w:tcPr>
          <w:p w14:paraId="4B19928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2F1728B3"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268124D5"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436ED5F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0E147094"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28EA978B" w14:textId="77777777" w:rsidTr="00B95373">
        <w:trPr>
          <w:trHeight w:val="225"/>
        </w:trPr>
        <w:tc>
          <w:tcPr>
            <w:tcW w:w="456" w:type="dxa"/>
            <w:shd w:val="clear" w:color="auto" w:fill="auto"/>
            <w:vAlign w:val="center"/>
            <w:hideMark/>
          </w:tcPr>
          <w:p w14:paraId="5C61C0F9"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13.</w:t>
            </w:r>
          </w:p>
        </w:tc>
        <w:tc>
          <w:tcPr>
            <w:tcW w:w="1246" w:type="dxa"/>
            <w:shd w:val="clear" w:color="auto" w:fill="auto"/>
            <w:vAlign w:val="center"/>
            <w:hideMark/>
          </w:tcPr>
          <w:p w14:paraId="2D35008D"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2031</w:t>
            </w:r>
          </w:p>
        </w:tc>
        <w:tc>
          <w:tcPr>
            <w:tcW w:w="1842" w:type="dxa"/>
            <w:shd w:val="clear" w:color="auto" w:fill="auto"/>
            <w:vAlign w:val="center"/>
            <w:hideMark/>
          </w:tcPr>
          <w:p w14:paraId="6562F0D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1FBF7813"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0F6E3B4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12E6075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1DB44C94"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010A1308" w14:textId="77777777" w:rsidTr="00B95373">
        <w:trPr>
          <w:trHeight w:val="225"/>
        </w:trPr>
        <w:tc>
          <w:tcPr>
            <w:tcW w:w="456" w:type="dxa"/>
            <w:shd w:val="clear" w:color="auto" w:fill="auto"/>
            <w:vAlign w:val="center"/>
            <w:hideMark/>
          </w:tcPr>
          <w:p w14:paraId="4AC477CD"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14.</w:t>
            </w:r>
          </w:p>
        </w:tc>
        <w:tc>
          <w:tcPr>
            <w:tcW w:w="1246" w:type="dxa"/>
            <w:shd w:val="clear" w:color="auto" w:fill="auto"/>
            <w:vAlign w:val="center"/>
            <w:hideMark/>
          </w:tcPr>
          <w:p w14:paraId="6E34D82C"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2032</w:t>
            </w:r>
          </w:p>
        </w:tc>
        <w:tc>
          <w:tcPr>
            <w:tcW w:w="1842" w:type="dxa"/>
            <w:shd w:val="clear" w:color="auto" w:fill="auto"/>
            <w:vAlign w:val="center"/>
            <w:hideMark/>
          </w:tcPr>
          <w:p w14:paraId="7C5614FB"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0D6FCAE9"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14C80B83"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596E6346"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7AE3679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7FA49403" w14:textId="77777777" w:rsidTr="00B95373">
        <w:trPr>
          <w:trHeight w:val="225"/>
        </w:trPr>
        <w:tc>
          <w:tcPr>
            <w:tcW w:w="456" w:type="dxa"/>
            <w:shd w:val="clear" w:color="auto" w:fill="auto"/>
            <w:vAlign w:val="center"/>
            <w:hideMark/>
          </w:tcPr>
          <w:p w14:paraId="7A88C117"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15.</w:t>
            </w:r>
          </w:p>
        </w:tc>
        <w:tc>
          <w:tcPr>
            <w:tcW w:w="1246" w:type="dxa"/>
            <w:shd w:val="clear" w:color="auto" w:fill="auto"/>
            <w:vAlign w:val="center"/>
            <w:hideMark/>
          </w:tcPr>
          <w:p w14:paraId="6B648F7B"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2033</w:t>
            </w:r>
          </w:p>
        </w:tc>
        <w:tc>
          <w:tcPr>
            <w:tcW w:w="1842" w:type="dxa"/>
            <w:shd w:val="clear" w:color="auto" w:fill="auto"/>
            <w:vAlign w:val="center"/>
            <w:hideMark/>
          </w:tcPr>
          <w:p w14:paraId="0BE15E4B"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5FEB196B"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593B0439"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481DDD31"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3CBB7C83"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61270EF2" w14:textId="77777777" w:rsidTr="00B95373">
        <w:trPr>
          <w:trHeight w:val="225"/>
        </w:trPr>
        <w:tc>
          <w:tcPr>
            <w:tcW w:w="456" w:type="dxa"/>
            <w:shd w:val="clear" w:color="auto" w:fill="auto"/>
            <w:vAlign w:val="center"/>
            <w:hideMark/>
          </w:tcPr>
          <w:p w14:paraId="67CF42E7"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16.</w:t>
            </w:r>
          </w:p>
        </w:tc>
        <w:tc>
          <w:tcPr>
            <w:tcW w:w="1246" w:type="dxa"/>
            <w:shd w:val="clear" w:color="auto" w:fill="auto"/>
            <w:vAlign w:val="center"/>
            <w:hideMark/>
          </w:tcPr>
          <w:p w14:paraId="15469606"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2034</w:t>
            </w:r>
          </w:p>
        </w:tc>
        <w:tc>
          <w:tcPr>
            <w:tcW w:w="1842" w:type="dxa"/>
            <w:shd w:val="clear" w:color="auto" w:fill="auto"/>
            <w:vAlign w:val="center"/>
            <w:hideMark/>
          </w:tcPr>
          <w:p w14:paraId="4FF6328E"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32FE4B4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609AA68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27F36AAD"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40503C53"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775F882B" w14:textId="77777777" w:rsidTr="00B95373">
        <w:trPr>
          <w:trHeight w:val="225"/>
        </w:trPr>
        <w:tc>
          <w:tcPr>
            <w:tcW w:w="456" w:type="dxa"/>
            <w:shd w:val="clear" w:color="auto" w:fill="auto"/>
            <w:vAlign w:val="center"/>
            <w:hideMark/>
          </w:tcPr>
          <w:p w14:paraId="32754F1A"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17.</w:t>
            </w:r>
          </w:p>
        </w:tc>
        <w:tc>
          <w:tcPr>
            <w:tcW w:w="1246" w:type="dxa"/>
            <w:shd w:val="clear" w:color="auto" w:fill="auto"/>
            <w:vAlign w:val="center"/>
            <w:hideMark/>
          </w:tcPr>
          <w:p w14:paraId="59687594"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2035</w:t>
            </w:r>
          </w:p>
        </w:tc>
        <w:tc>
          <w:tcPr>
            <w:tcW w:w="1842" w:type="dxa"/>
            <w:shd w:val="clear" w:color="auto" w:fill="auto"/>
            <w:vAlign w:val="center"/>
            <w:hideMark/>
          </w:tcPr>
          <w:p w14:paraId="1773A681"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4AC76061"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5DC947F2"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0DD9FF89"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7F2CDE7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5FA913F1" w14:textId="77777777" w:rsidTr="00B95373">
        <w:trPr>
          <w:trHeight w:val="225"/>
        </w:trPr>
        <w:tc>
          <w:tcPr>
            <w:tcW w:w="456" w:type="dxa"/>
            <w:shd w:val="clear" w:color="auto" w:fill="auto"/>
            <w:vAlign w:val="center"/>
            <w:hideMark/>
          </w:tcPr>
          <w:p w14:paraId="26F7CD16"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18.</w:t>
            </w:r>
          </w:p>
        </w:tc>
        <w:tc>
          <w:tcPr>
            <w:tcW w:w="1246" w:type="dxa"/>
            <w:shd w:val="clear" w:color="auto" w:fill="auto"/>
            <w:vAlign w:val="center"/>
            <w:hideMark/>
          </w:tcPr>
          <w:p w14:paraId="0B839B63"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2036</w:t>
            </w:r>
          </w:p>
        </w:tc>
        <w:tc>
          <w:tcPr>
            <w:tcW w:w="1842" w:type="dxa"/>
            <w:shd w:val="clear" w:color="auto" w:fill="auto"/>
            <w:vAlign w:val="center"/>
            <w:hideMark/>
          </w:tcPr>
          <w:p w14:paraId="52ECE90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65B37C24"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31AE546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07E9FA9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3640668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4C43C297" w14:textId="77777777" w:rsidTr="00B95373">
        <w:trPr>
          <w:trHeight w:val="225"/>
        </w:trPr>
        <w:tc>
          <w:tcPr>
            <w:tcW w:w="456" w:type="dxa"/>
            <w:shd w:val="clear" w:color="auto" w:fill="auto"/>
            <w:vAlign w:val="center"/>
            <w:hideMark/>
          </w:tcPr>
          <w:p w14:paraId="746EDD6A"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19.</w:t>
            </w:r>
          </w:p>
        </w:tc>
        <w:tc>
          <w:tcPr>
            <w:tcW w:w="1246" w:type="dxa"/>
            <w:shd w:val="clear" w:color="auto" w:fill="auto"/>
            <w:vAlign w:val="center"/>
            <w:hideMark/>
          </w:tcPr>
          <w:p w14:paraId="5C3115AE"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2037</w:t>
            </w:r>
          </w:p>
        </w:tc>
        <w:tc>
          <w:tcPr>
            <w:tcW w:w="1842" w:type="dxa"/>
            <w:shd w:val="clear" w:color="auto" w:fill="auto"/>
            <w:vAlign w:val="center"/>
            <w:hideMark/>
          </w:tcPr>
          <w:p w14:paraId="62199CE2"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0BA480CB"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40ED946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7564320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1FDF156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114627E2" w14:textId="77777777" w:rsidTr="00B95373">
        <w:trPr>
          <w:trHeight w:val="225"/>
        </w:trPr>
        <w:tc>
          <w:tcPr>
            <w:tcW w:w="456" w:type="dxa"/>
            <w:shd w:val="clear" w:color="auto" w:fill="auto"/>
            <w:vAlign w:val="center"/>
            <w:hideMark/>
          </w:tcPr>
          <w:p w14:paraId="5E8CF5F7"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w:t>
            </w:r>
          </w:p>
        </w:tc>
        <w:tc>
          <w:tcPr>
            <w:tcW w:w="1246" w:type="dxa"/>
            <w:shd w:val="clear" w:color="auto" w:fill="auto"/>
            <w:vAlign w:val="center"/>
            <w:hideMark/>
          </w:tcPr>
          <w:p w14:paraId="60C50023"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w:t>
            </w:r>
            <w:r>
              <w:rPr>
                <w:rFonts w:ascii="Times New Roman" w:eastAsia="Times New Roman" w:hAnsi="Times New Roman" w:cs="Times New Roman"/>
                <w:sz w:val="16"/>
                <w:szCs w:val="16"/>
                <w:lang w:eastAsia="lv-LV"/>
              </w:rPr>
              <w:t>8</w:t>
            </w:r>
          </w:p>
        </w:tc>
        <w:tc>
          <w:tcPr>
            <w:tcW w:w="1842" w:type="dxa"/>
            <w:shd w:val="clear" w:color="auto" w:fill="auto"/>
            <w:vAlign w:val="center"/>
            <w:hideMark/>
          </w:tcPr>
          <w:p w14:paraId="00A31EC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288 957</w:t>
            </w:r>
          </w:p>
        </w:tc>
        <w:tc>
          <w:tcPr>
            <w:tcW w:w="1134" w:type="dxa"/>
            <w:shd w:val="clear" w:color="auto" w:fill="auto"/>
            <w:vAlign w:val="center"/>
            <w:hideMark/>
          </w:tcPr>
          <w:p w14:paraId="0CE06687"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17C9FF4C"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3B53B2B5"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noWrap/>
            <w:vAlign w:val="bottom"/>
            <w:hideMark/>
          </w:tcPr>
          <w:p w14:paraId="14FB8C68"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268 949</w:t>
            </w:r>
          </w:p>
        </w:tc>
      </w:tr>
      <w:tr w:rsidR="00E15356" w:rsidRPr="00396B09" w14:paraId="413D4DDB" w14:textId="77777777" w:rsidTr="00B95373">
        <w:trPr>
          <w:trHeight w:val="344"/>
        </w:trPr>
        <w:tc>
          <w:tcPr>
            <w:tcW w:w="456" w:type="dxa"/>
            <w:shd w:val="clear" w:color="auto" w:fill="auto"/>
            <w:vAlign w:val="center"/>
            <w:hideMark/>
          </w:tcPr>
          <w:p w14:paraId="4B74C21F" w14:textId="77777777" w:rsidR="00E15356" w:rsidRPr="00396B09" w:rsidRDefault="00E15356" w:rsidP="00396B09">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21.</w:t>
            </w:r>
          </w:p>
        </w:tc>
        <w:tc>
          <w:tcPr>
            <w:tcW w:w="1246" w:type="dxa"/>
            <w:shd w:val="clear" w:color="auto" w:fill="auto"/>
            <w:vAlign w:val="center"/>
            <w:hideMark/>
          </w:tcPr>
          <w:p w14:paraId="594801DE" w14:textId="77777777" w:rsidR="00E15356" w:rsidRPr="00396B09" w:rsidRDefault="00E15356" w:rsidP="00A920A7">
            <w:pPr>
              <w:spacing w:after="0" w:line="240" w:lineRule="auto"/>
              <w:jc w:val="center"/>
              <w:rPr>
                <w:rFonts w:ascii="Times New Roman" w:eastAsia="Times New Roman" w:hAnsi="Times New Roman" w:cs="Times New Roman"/>
                <w:sz w:val="16"/>
                <w:szCs w:val="16"/>
                <w:lang w:eastAsia="lv-LV"/>
              </w:rPr>
            </w:pPr>
            <w:r w:rsidRPr="00396B09">
              <w:rPr>
                <w:rFonts w:ascii="Times New Roman" w:eastAsia="Times New Roman" w:hAnsi="Times New Roman" w:cs="Times New Roman"/>
                <w:sz w:val="16"/>
                <w:szCs w:val="16"/>
                <w:lang w:eastAsia="lv-LV"/>
              </w:rPr>
              <w:t>203</w:t>
            </w:r>
            <w:r>
              <w:rPr>
                <w:rFonts w:ascii="Times New Roman" w:eastAsia="Times New Roman" w:hAnsi="Times New Roman" w:cs="Times New Roman"/>
                <w:sz w:val="16"/>
                <w:szCs w:val="16"/>
                <w:lang w:eastAsia="lv-LV"/>
              </w:rPr>
              <w:t>9</w:t>
            </w:r>
            <w:r w:rsidRPr="00396B09">
              <w:rPr>
                <w:rFonts w:ascii="Times New Roman" w:eastAsia="Times New Roman" w:hAnsi="Times New Roman" w:cs="Times New Roman"/>
                <w:sz w:val="16"/>
                <w:szCs w:val="16"/>
                <w:lang w:eastAsia="lv-LV"/>
              </w:rPr>
              <w:t xml:space="preserve"> (noma līdz 31.maijam)</w:t>
            </w:r>
          </w:p>
        </w:tc>
        <w:tc>
          <w:tcPr>
            <w:tcW w:w="1842" w:type="dxa"/>
            <w:shd w:val="clear" w:color="auto" w:fill="auto"/>
            <w:vAlign w:val="center"/>
            <w:hideMark/>
          </w:tcPr>
          <w:p w14:paraId="3A7C7CFD"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120 399</w:t>
            </w:r>
          </w:p>
        </w:tc>
        <w:tc>
          <w:tcPr>
            <w:tcW w:w="1134" w:type="dxa"/>
            <w:shd w:val="clear" w:color="auto" w:fill="auto"/>
            <w:vAlign w:val="center"/>
            <w:hideMark/>
          </w:tcPr>
          <w:p w14:paraId="54D3B97F"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276" w:type="dxa"/>
            <w:shd w:val="clear" w:color="auto" w:fill="auto"/>
            <w:vAlign w:val="center"/>
            <w:hideMark/>
          </w:tcPr>
          <w:p w14:paraId="598010D5"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 </w:t>
            </w:r>
          </w:p>
        </w:tc>
        <w:tc>
          <w:tcPr>
            <w:tcW w:w="1843" w:type="dxa"/>
            <w:shd w:val="clear" w:color="auto" w:fill="auto"/>
            <w:vAlign w:val="center"/>
            <w:hideMark/>
          </w:tcPr>
          <w:p w14:paraId="21129119"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20 008</w:t>
            </w:r>
          </w:p>
        </w:tc>
        <w:tc>
          <w:tcPr>
            <w:tcW w:w="1417" w:type="dxa"/>
            <w:shd w:val="clear" w:color="auto" w:fill="auto"/>
            <w:vAlign w:val="center"/>
            <w:hideMark/>
          </w:tcPr>
          <w:p w14:paraId="60553E20" w14:textId="77777777" w:rsidR="00E15356" w:rsidRPr="00E15356" w:rsidRDefault="00E15356" w:rsidP="00E15356">
            <w:pPr>
              <w:spacing w:after="0" w:line="240" w:lineRule="auto"/>
              <w:jc w:val="right"/>
              <w:rPr>
                <w:rFonts w:ascii="Times New Roman" w:eastAsia="Times New Roman" w:hAnsi="Times New Roman" w:cs="Times New Roman"/>
                <w:sz w:val="16"/>
                <w:szCs w:val="16"/>
                <w:lang w:eastAsia="lv-LV"/>
              </w:rPr>
            </w:pPr>
            <w:r w:rsidRPr="00E15356">
              <w:rPr>
                <w:rFonts w:ascii="Times New Roman" w:eastAsia="Times New Roman" w:hAnsi="Times New Roman" w:cs="Times New Roman"/>
                <w:sz w:val="16"/>
                <w:szCs w:val="16"/>
                <w:lang w:eastAsia="lv-LV"/>
              </w:rPr>
              <w:t>100 391</w:t>
            </w:r>
          </w:p>
        </w:tc>
      </w:tr>
      <w:tr w:rsidR="00E15356" w:rsidRPr="00396B09" w14:paraId="73F982DE" w14:textId="77777777" w:rsidTr="00B95373">
        <w:trPr>
          <w:trHeight w:val="225"/>
        </w:trPr>
        <w:tc>
          <w:tcPr>
            <w:tcW w:w="1702" w:type="dxa"/>
            <w:gridSpan w:val="2"/>
            <w:shd w:val="clear" w:color="auto" w:fill="auto"/>
            <w:vAlign w:val="center"/>
            <w:hideMark/>
          </w:tcPr>
          <w:p w14:paraId="67E0AA8A" w14:textId="77777777" w:rsidR="00E15356" w:rsidRPr="00396B09" w:rsidRDefault="00E15356" w:rsidP="00396B09">
            <w:pPr>
              <w:spacing w:after="0" w:line="240" w:lineRule="auto"/>
              <w:jc w:val="center"/>
              <w:rPr>
                <w:rFonts w:ascii="Times New Roman" w:eastAsia="Times New Roman" w:hAnsi="Times New Roman" w:cs="Times New Roman"/>
                <w:b/>
                <w:bCs/>
                <w:sz w:val="16"/>
                <w:szCs w:val="16"/>
                <w:lang w:eastAsia="lv-LV"/>
              </w:rPr>
            </w:pPr>
            <w:r w:rsidRPr="00396B09">
              <w:rPr>
                <w:rFonts w:ascii="Times New Roman" w:eastAsia="Times New Roman" w:hAnsi="Times New Roman" w:cs="Times New Roman"/>
                <w:b/>
                <w:bCs/>
                <w:sz w:val="16"/>
                <w:szCs w:val="16"/>
                <w:lang w:eastAsia="lv-LV"/>
              </w:rPr>
              <w:t>PAVISAM KOPĀ:</w:t>
            </w:r>
          </w:p>
        </w:tc>
        <w:tc>
          <w:tcPr>
            <w:tcW w:w="1842" w:type="dxa"/>
            <w:shd w:val="clear" w:color="auto" w:fill="auto"/>
            <w:vAlign w:val="center"/>
            <w:hideMark/>
          </w:tcPr>
          <w:p w14:paraId="30FB6420" w14:textId="77777777" w:rsidR="00E15356" w:rsidRPr="00E15356" w:rsidRDefault="00E15356" w:rsidP="00E15356">
            <w:pPr>
              <w:spacing w:after="0" w:line="240" w:lineRule="auto"/>
              <w:jc w:val="right"/>
              <w:rPr>
                <w:rFonts w:ascii="Times New Roman" w:eastAsia="Times New Roman" w:hAnsi="Times New Roman" w:cs="Times New Roman"/>
                <w:b/>
                <w:sz w:val="16"/>
                <w:szCs w:val="16"/>
                <w:lang w:eastAsia="lv-LV"/>
              </w:rPr>
            </w:pPr>
            <w:r w:rsidRPr="00E15356">
              <w:rPr>
                <w:rFonts w:ascii="Times New Roman" w:eastAsia="Times New Roman" w:hAnsi="Times New Roman" w:cs="Times New Roman"/>
                <w:b/>
                <w:sz w:val="16"/>
                <w:szCs w:val="16"/>
                <w:lang w:eastAsia="lv-LV"/>
              </w:rPr>
              <w:t>5 779 134</w:t>
            </w:r>
          </w:p>
        </w:tc>
        <w:tc>
          <w:tcPr>
            <w:tcW w:w="1134" w:type="dxa"/>
            <w:shd w:val="clear" w:color="auto" w:fill="auto"/>
            <w:vAlign w:val="center"/>
            <w:hideMark/>
          </w:tcPr>
          <w:p w14:paraId="373CD9FF" w14:textId="77777777" w:rsidR="00E15356" w:rsidRPr="00E15356" w:rsidRDefault="00E15356" w:rsidP="00E15356">
            <w:pPr>
              <w:spacing w:after="0" w:line="240" w:lineRule="auto"/>
              <w:jc w:val="right"/>
              <w:rPr>
                <w:rFonts w:ascii="Times New Roman" w:eastAsia="Times New Roman" w:hAnsi="Times New Roman" w:cs="Times New Roman"/>
                <w:b/>
                <w:sz w:val="16"/>
                <w:szCs w:val="16"/>
                <w:lang w:eastAsia="lv-LV"/>
              </w:rPr>
            </w:pPr>
            <w:r w:rsidRPr="00E15356">
              <w:rPr>
                <w:rFonts w:ascii="Times New Roman" w:eastAsia="Times New Roman" w:hAnsi="Times New Roman" w:cs="Times New Roman"/>
                <w:b/>
                <w:sz w:val="16"/>
                <w:szCs w:val="16"/>
                <w:lang w:eastAsia="lv-LV"/>
              </w:rPr>
              <w:t>8 750</w:t>
            </w:r>
          </w:p>
        </w:tc>
        <w:tc>
          <w:tcPr>
            <w:tcW w:w="1276" w:type="dxa"/>
            <w:shd w:val="clear" w:color="auto" w:fill="auto"/>
            <w:vAlign w:val="center"/>
            <w:hideMark/>
          </w:tcPr>
          <w:p w14:paraId="3483D238" w14:textId="77777777" w:rsidR="00E15356" w:rsidRPr="00E15356" w:rsidRDefault="00E15356" w:rsidP="00E15356">
            <w:pPr>
              <w:spacing w:after="0" w:line="240" w:lineRule="auto"/>
              <w:jc w:val="right"/>
              <w:rPr>
                <w:rFonts w:ascii="Times New Roman" w:eastAsia="Times New Roman" w:hAnsi="Times New Roman" w:cs="Times New Roman"/>
                <w:b/>
                <w:sz w:val="16"/>
                <w:szCs w:val="16"/>
                <w:lang w:eastAsia="lv-LV"/>
              </w:rPr>
            </w:pPr>
            <w:r w:rsidRPr="00E15356">
              <w:rPr>
                <w:rFonts w:ascii="Times New Roman" w:eastAsia="Times New Roman" w:hAnsi="Times New Roman" w:cs="Times New Roman"/>
                <w:b/>
                <w:sz w:val="16"/>
                <w:szCs w:val="16"/>
                <w:lang w:eastAsia="lv-LV"/>
              </w:rPr>
              <w:t>43 350</w:t>
            </w:r>
          </w:p>
        </w:tc>
        <w:tc>
          <w:tcPr>
            <w:tcW w:w="1843" w:type="dxa"/>
            <w:shd w:val="clear" w:color="auto" w:fill="auto"/>
            <w:vAlign w:val="center"/>
            <w:hideMark/>
          </w:tcPr>
          <w:p w14:paraId="40248C3B" w14:textId="77777777" w:rsidR="00E15356" w:rsidRPr="00E15356" w:rsidRDefault="00E15356" w:rsidP="00E15356">
            <w:pPr>
              <w:spacing w:after="0" w:line="240" w:lineRule="auto"/>
              <w:jc w:val="right"/>
              <w:rPr>
                <w:rFonts w:ascii="Times New Roman" w:eastAsia="Times New Roman" w:hAnsi="Times New Roman" w:cs="Times New Roman"/>
                <w:b/>
                <w:sz w:val="16"/>
                <w:szCs w:val="16"/>
                <w:lang w:eastAsia="lv-LV"/>
              </w:rPr>
            </w:pPr>
            <w:r w:rsidRPr="00E15356">
              <w:rPr>
                <w:rFonts w:ascii="Times New Roman" w:eastAsia="Times New Roman" w:hAnsi="Times New Roman" w:cs="Times New Roman"/>
                <w:b/>
                <w:sz w:val="16"/>
                <w:szCs w:val="16"/>
                <w:lang w:eastAsia="lv-LV"/>
              </w:rPr>
              <w:t>411 831</w:t>
            </w:r>
          </w:p>
        </w:tc>
        <w:tc>
          <w:tcPr>
            <w:tcW w:w="1417" w:type="dxa"/>
            <w:shd w:val="clear" w:color="auto" w:fill="auto"/>
            <w:vAlign w:val="center"/>
            <w:hideMark/>
          </w:tcPr>
          <w:p w14:paraId="55247DC3" w14:textId="77777777" w:rsidR="00E15356" w:rsidRPr="00E15356" w:rsidRDefault="00E15356" w:rsidP="00E15356">
            <w:pPr>
              <w:spacing w:after="0" w:line="240" w:lineRule="auto"/>
              <w:jc w:val="right"/>
              <w:rPr>
                <w:rFonts w:ascii="Times New Roman" w:eastAsia="Times New Roman" w:hAnsi="Times New Roman" w:cs="Times New Roman"/>
                <w:b/>
                <w:sz w:val="16"/>
                <w:szCs w:val="16"/>
                <w:lang w:eastAsia="lv-LV"/>
              </w:rPr>
            </w:pPr>
            <w:r w:rsidRPr="00E15356">
              <w:rPr>
                <w:rFonts w:ascii="Times New Roman" w:eastAsia="Times New Roman" w:hAnsi="Times New Roman" w:cs="Times New Roman"/>
                <w:b/>
                <w:sz w:val="16"/>
                <w:szCs w:val="16"/>
                <w:lang w:eastAsia="lv-LV"/>
              </w:rPr>
              <w:t>5 419 403</w:t>
            </w:r>
          </w:p>
        </w:tc>
      </w:tr>
    </w:tbl>
    <w:p w14:paraId="461E8778" w14:textId="77777777" w:rsidR="007154B3" w:rsidRPr="00840D9C" w:rsidRDefault="007154B3" w:rsidP="00840D9C">
      <w:pPr>
        <w:spacing w:after="0" w:line="240" w:lineRule="auto"/>
        <w:jc w:val="both"/>
        <w:rPr>
          <w:rFonts w:ascii="Times New Roman" w:hAnsi="Times New Roman" w:cs="Times New Roman"/>
          <w:sz w:val="24"/>
          <w:szCs w:val="24"/>
        </w:rPr>
      </w:pPr>
    </w:p>
    <w:p w14:paraId="1C3FD426" w14:textId="77777777" w:rsidR="007154B3" w:rsidRPr="007154B3" w:rsidRDefault="007154B3" w:rsidP="007154B3">
      <w:pPr>
        <w:spacing w:after="120" w:line="240" w:lineRule="auto"/>
        <w:ind w:firstLine="709"/>
        <w:jc w:val="both"/>
        <w:rPr>
          <w:rFonts w:ascii="Times New Roman" w:hAnsi="Times New Roman" w:cs="Times New Roman"/>
          <w:b/>
          <w:sz w:val="24"/>
          <w:szCs w:val="24"/>
        </w:rPr>
      </w:pPr>
      <w:r w:rsidRPr="000B02D1">
        <w:rPr>
          <w:rFonts w:ascii="Times New Roman" w:hAnsi="Times New Roman" w:cs="Times New Roman"/>
          <w:bCs/>
          <w:sz w:val="24"/>
          <w:szCs w:val="24"/>
        </w:rPr>
        <w:t xml:space="preserve">Norādītie aprēķini par nomas maksu, būvniecības darbu kapitālieguldījumiem, aktivitāšu laika grafiku, aprīkojuma, pārcelšanās, komunālo pakalpojumu un ietekmes uz valsts budžeta naudas plūsmu (sadalījumā pa gadiem) izmaksu aprēķini ir provizoriski, sagatavoti </w:t>
      </w:r>
      <w:r w:rsidR="002D01DC" w:rsidRPr="000B02D1">
        <w:rPr>
          <w:rFonts w:ascii="Times New Roman" w:hAnsi="Times New Roman" w:cs="Times New Roman"/>
          <w:bCs/>
          <w:sz w:val="24"/>
          <w:szCs w:val="24"/>
        </w:rPr>
        <w:t>atbilstoši</w:t>
      </w:r>
      <w:r w:rsidRPr="000B02D1">
        <w:rPr>
          <w:rFonts w:ascii="Times New Roman" w:hAnsi="Times New Roman" w:cs="Times New Roman"/>
          <w:bCs/>
          <w:sz w:val="24"/>
          <w:szCs w:val="24"/>
        </w:rPr>
        <w:t xml:space="preserve"> šī brīža izmaksām un balstīti uz vairākiem ar darbu izpildi saistītiem pieņēmumiem, līdz ar to tie var tikt precizēti pēc attīstības projekta stadiju (fāžu) pabeigšanas, kā, piemēram: (a) pēc tehniskā uzdevuma (specifisko prasību) saskaņošanas ar ēkas lietotāju, (b) pēc publiskā iepirkuma būvprojekta izstrādei rezultāta, (c) pēc būvprojekta izstrādes, (d) pēc publiskā iepirkuma par būvniecības darbu veikšanu rezultāta un (e) būvniecības darbu laikā, ja tiks konstatēti iepriekš neplānoti un neparedzami apstākļi, kā, piemēram, būvniecības darbu laikā atsedzot un konstatējot ka būvju konstruktīvo elementu faktiskais stāvoklis ir sliktās (darbietilpīgāks) nekā būvprojektā noteikts, jo šāda un līdzīga rakstura informācija nav pilnvērtīgi iegūstama būvprojekta izstrādes laikā, kā arī ņemot vērā ietekmējošos apstākļu, kā būvniecības, apsaimniekošanas un komunālo maksājumu (apkure, elektroenerģija un pārējie komunālie pakalpojumi) jomu cenu svārstības, kuras ir mainīgas vidējā plānošanās termiņā līdz objekta nodošanai ekspluatācijā.</w:t>
      </w:r>
    </w:p>
    <w:p w14:paraId="57BA6934" w14:textId="5A905459" w:rsidR="00FD5F61" w:rsidRPr="00DD71A3" w:rsidRDefault="000C2CF7" w:rsidP="000B02D1">
      <w:pPr>
        <w:pStyle w:val="naiskr"/>
        <w:tabs>
          <w:tab w:val="left" w:pos="141"/>
        </w:tabs>
        <w:spacing w:before="0" w:after="0"/>
        <w:ind w:right="-1" w:firstLine="709"/>
        <w:jc w:val="both"/>
      </w:pPr>
      <w:r w:rsidRPr="006903D1">
        <w:t>Telpu pārbūves plānu</w:t>
      </w:r>
      <w:r>
        <w:t xml:space="preserve"> īstenošanai nepieciešams realizēt </w:t>
      </w:r>
      <w:r w:rsidRPr="00D34E56">
        <w:t>pašvaldības SIA „Ventspils nekustamie īpašumi” piederoš</w:t>
      </w:r>
      <w:r>
        <w:t>ā</w:t>
      </w:r>
      <w:r w:rsidRPr="00D34E56">
        <w:t xml:space="preserve"> nekustam</w:t>
      </w:r>
      <w:r>
        <w:t>ā</w:t>
      </w:r>
      <w:r w:rsidRPr="00D34E56">
        <w:t xml:space="preserve"> īpašum</w:t>
      </w:r>
      <w:r>
        <w:t>a</w:t>
      </w:r>
      <w:r w:rsidRPr="00D34E56">
        <w:t xml:space="preserve"> Kuldīgas ielā 2,Ventspilī, </w:t>
      </w:r>
      <w:r>
        <w:t xml:space="preserve">maiņu </w:t>
      </w:r>
      <w:r w:rsidRPr="00D34E56">
        <w:t>pret VNĪ piederošo nekustamo īpašumu Rūpniecības ielā 2, Ventspilī</w:t>
      </w:r>
      <w:r>
        <w:t xml:space="preserve">. </w:t>
      </w:r>
      <w:r w:rsidR="00FD5F61" w:rsidRPr="00D34E56">
        <w:t>Publiskas personas finanšu līdzekļu un mantas izšķērdēšanas novēršanas likuma 3.pantā publi</w:t>
      </w:r>
      <w:r w:rsidR="00B956F8" w:rsidRPr="00D34E56">
        <w:t>skas personas kapitālsabiedrība</w:t>
      </w:r>
      <w:r w:rsidR="004735F5" w:rsidRPr="00D34E56">
        <w:t>i noteikts</w:t>
      </w:r>
      <w:r w:rsidR="00B956F8" w:rsidRPr="00D34E56">
        <w:t xml:space="preserve"> pienākum</w:t>
      </w:r>
      <w:r w:rsidR="00B05ADF">
        <w:t>s</w:t>
      </w:r>
      <w:r w:rsidR="00FD5F61" w:rsidRPr="00D34E56">
        <w:t xml:space="preserve"> rīkoties ar finanšu līdzekļiem un mantu lietderīgi, tas ir, rīcībai jābūt tādai, lai mērķi sasniegtu ar mazāko finanšu līdzekļu un mantas </w:t>
      </w:r>
      <w:r w:rsidR="00B956F8" w:rsidRPr="00D34E56">
        <w:t>izlietojumu</w:t>
      </w:r>
      <w:r w:rsidR="000C738F" w:rsidRPr="00D34E56">
        <w:t xml:space="preserve">. </w:t>
      </w:r>
      <w:r w:rsidR="007836E2" w:rsidRPr="007615A8">
        <w:t xml:space="preserve">Saskaņā ar akciju sabiedrības „BDO” veiktajiem novērtējumiem </w:t>
      </w:r>
      <w:r w:rsidR="00B05ADF">
        <w:t xml:space="preserve">– </w:t>
      </w:r>
      <w:r w:rsidR="007836E2" w:rsidRPr="007615A8">
        <w:t xml:space="preserve">nekustamā īpašuma Rūpniecības ielā 2, Ventspilī, tirgus vērtība uz 2015.gada </w:t>
      </w:r>
      <w:r w:rsidR="00170B70">
        <w:t>20.februāri ir noteikta 380 000 </w:t>
      </w:r>
      <w:r w:rsidR="007836E2" w:rsidRPr="007615A8">
        <w:rPr>
          <w:i/>
        </w:rPr>
        <w:t xml:space="preserve">euro; </w:t>
      </w:r>
      <w:r w:rsidR="007836E2" w:rsidRPr="007615A8">
        <w:t xml:space="preserve">nekustamā īpašuma Kuldīgas ielā 2, Ventspilī, tirgus vērtība uz 2015.gada 20.februāri ir noteikta 379 000 </w:t>
      </w:r>
      <w:r w:rsidR="007836E2" w:rsidRPr="007615A8">
        <w:rPr>
          <w:i/>
        </w:rPr>
        <w:t>euro</w:t>
      </w:r>
      <w:r w:rsidR="007836E2" w:rsidRPr="007615A8">
        <w:t xml:space="preserve">. Nekustamajiem īpašumiem noteiktās tirgus vērtības ir līdzvērtīgas (tirgus vērtību starpība ir 0,26%) un </w:t>
      </w:r>
      <w:r w:rsidR="007836E2" w:rsidRPr="000B02D1">
        <w:t xml:space="preserve">to starpība tiks segta </w:t>
      </w:r>
      <w:r w:rsidR="00585503" w:rsidRPr="000B02D1">
        <w:t xml:space="preserve">no </w:t>
      </w:r>
      <w:r w:rsidR="00CD7646" w:rsidRPr="000B02D1">
        <w:t>pašvaldības SIA „Ventspils nekustamie īpašumi”</w:t>
      </w:r>
      <w:r w:rsidR="00585503" w:rsidRPr="000B02D1">
        <w:t xml:space="preserve"> </w:t>
      </w:r>
      <w:r w:rsidR="005B46E8">
        <w:t xml:space="preserve">finanšu resursiem </w:t>
      </w:r>
      <w:r w:rsidR="005B46E8" w:rsidRPr="00DD71A3">
        <w:t>maiņas līgumā noteiktā kārtībā</w:t>
      </w:r>
      <w:r w:rsidR="007836E2" w:rsidRPr="00DD71A3">
        <w:t>.</w:t>
      </w:r>
      <w:r w:rsidR="00502FED" w:rsidRPr="00DD71A3">
        <w:t xml:space="preserve"> </w:t>
      </w:r>
      <w:r w:rsidR="00FA0F32" w:rsidRPr="00DD71A3">
        <w:t>Nekustamo īpašumu vērtējumi ir veikti saskaņā ar Latvijas Īpašumu vērtēšanas standartos LVS 401:2013 formulēto nekustamā īpašuma tirgus vērtības definīciju, izmantojot tirgus pieeju.</w:t>
      </w:r>
      <w:r w:rsidRPr="00DD71A3">
        <w:t xml:space="preserve"> </w:t>
      </w:r>
      <w:r w:rsidR="004735F5" w:rsidRPr="00DD71A3">
        <w:t>N</w:t>
      </w:r>
      <w:r w:rsidR="00850D8C" w:rsidRPr="00DD71A3">
        <w:t>ekustamo īpašumu maiņa</w:t>
      </w:r>
      <w:r w:rsidR="00166F20" w:rsidRPr="00DD71A3">
        <w:t xml:space="preserve"> </w:t>
      </w:r>
      <w:r w:rsidR="00B956F8" w:rsidRPr="00DD71A3">
        <w:t>ir</w:t>
      </w:r>
      <w:r w:rsidR="00166F20" w:rsidRPr="00DD71A3">
        <w:t xml:space="preserve"> </w:t>
      </w:r>
      <w:r w:rsidR="008F45A3" w:rsidRPr="00DD71A3">
        <w:t xml:space="preserve">atbalstāma un </w:t>
      </w:r>
      <w:r w:rsidR="00166F20" w:rsidRPr="00DD71A3">
        <w:t>lietderīga</w:t>
      </w:r>
      <w:r w:rsidR="00B956F8" w:rsidRPr="00DD71A3">
        <w:t>, jo</w:t>
      </w:r>
      <w:r w:rsidR="00166F20" w:rsidRPr="00DD71A3">
        <w:t xml:space="preserve"> </w:t>
      </w:r>
      <w:r w:rsidR="00B956F8" w:rsidRPr="00DD71A3">
        <w:t>t</w:t>
      </w:r>
      <w:r w:rsidR="00166F20" w:rsidRPr="00DD71A3">
        <w:t>ādējādi tiktu</w:t>
      </w:r>
      <w:r w:rsidR="00B956F8" w:rsidRPr="00DD71A3">
        <w:t xml:space="preserve"> īstenotas</w:t>
      </w:r>
      <w:r w:rsidR="00FD5F61" w:rsidRPr="00DD71A3">
        <w:t xml:space="preserve"> publiskajām personām ar normatīvajiem aktiem n</w:t>
      </w:r>
      <w:r w:rsidR="00B956F8" w:rsidRPr="00DD71A3">
        <w:t xml:space="preserve">oteiktās funkcijas </w:t>
      </w:r>
      <w:r w:rsidR="00444B8C" w:rsidRPr="00DD71A3">
        <w:t>–</w:t>
      </w:r>
      <w:r w:rsidR="00B956F8" w:rsidRPr="00DD71A3">
        <w:t xml:space="preserve"> </w:t>
      </w:r>
      <w:r w:rsidR="008F45A3" w:rsidRPr="00DD71A3">
        <w:t>VID Ve</w:t>
      </w:r>
      <w:r w:rsidR="002D44D8" w:rsidRPr="00DD71A3">
        <w:t>n</w:t>
      </w:r>
      <w:r w:rsidR="008F45A3" w:rsidRPr="00DD71A3">
        <w:t>tspils nodaļa</w:t>
      </w:r>
      <w:r w:rsidR="00FD5F61" w:rsidRPr="00DD71A3">
        <w:t xml:space="preserve"> </w:t>
      </w:r>
      <w:r w:rsidR="008F45A3" w:rsidRPr="00DD71A3">
        <w:t xml:space="preserve">nodrošināta </w:t>
      </w:r>
      <w:r w:rsidR="00FD5F61" w:rsidRPr="00DD71A3">
        <w:t xml:space="preserve">ar darbam piemērotām telpām Ventspils pilsētas centra teritorijā un </w:t>
      </w:r>
      <w:r w:rsidR="008F45A3" w:rsidRPr="00DD71A3">
        <w:t>veicināta</w:t>
      </w:r>
      <w:r w:rsidR="00FD5F61" w:rsidRPr="00DD71A3">
        <w:t xml:space="preserve"> </w:t>
      </w:r>
      <w:r w:rsidR="00B956F8" w:rsidRPr="00DD71A3">
        <w:t xml:space="preserve">pašvaldībai </w:t>
      </w:r>
      <w:r w:rsidR="008F45A3" w:rsidRPr="00DD71A3">
        <w:t>noteiktās</w:t>
      </w:r>
      <w:r w:rsidR="00B956F8" w:rsidRPr="00DD71A3">
        <w:t xml:space="preserve"> </w:t>
      </w:r>
      <w:r w:rsidR="008F45A3" w:rsidRPr="00DD71A3">
        <w:t>autonomās funkcijas</w:t>
      </w:r>
      <w:r w:rsidR="00FD5F61" w:rsidRPr="00DD71A3">
        <w:t xml:space="preserve"> </w:t>
      </w:r>
      <w:r w:rsidR="00444B8C" w:rsidRPr="00DD71A3">
        <w:t>–</w:t>
      </w:r>
      <w:r w:rsidR="00FD5F61" w:rsidRPr="00DD71A3">
        <w:t xml:space="preserve"> </w:t>
      </w:r>
      <w:r w:rsidR="00B956F8" w:rsidRPr="00DD71A3">
        <w:t>gādāt par iedzīvotāju izglītību</w:t>
      </w:r>
      <w:r w:rsidR="008F45A3" w:rsidRPr="00DD71A3">
        <w:t xml:space="preserve"> </w:t>
      </w:r>
      <w:r w:rsidR="00444B8C" w:rsidRPr="00DD71A3">
        <w:t>–</w:t>
      </w:r>
      <w:r w:rsidR="008F45A3" w:rsidRPr="00DD71A3">
        <w:t xml:space="preserve"> īstenošana</w:t>
      </w:r>
      <w:r w:rsidR="005B46E8" w:rsidRPr="00DD71A3">
        <w:t>.</w:t>
      </w:r>
      <w:r w:rsidR="00BF5801" w:rsidRPr="00DD71A3">
        <w:t xml:space="preserve"> </w:t>
      </w:r>
      <w:r w:rsidR="00585503" w:rsidRPr="00DD71A3">
        <w:t>P</w:t>
      </w:r>
      <w:r w:rsidR="008F65C6" w:rsidRPr="00DD71A3">
        <w:t>ēc maiņas</w:t>
      </w:r>
      <w:r w:rsidR="00585503" w:rsidRPr="00DD71A3">
        <w:t xml:space="preserve"> darījuma realizācijas nekustamais īpašums</w:t>
      </w:r>
      <w:r w:rsidR="008F65C6" w:rsidRPr="00DD71A3">
        <w:t xml:space="preserve"> Kuldīgas ielā 2, Ventspilī, </w:t>
      </w:r>
      <w:r w:rsidR="00585503" w:rsidRPr="00DD71A3">
        <w:t xml:space="preserve">zemesgrāmatā tiks </w:t>
      </w:r>
      <w:r w:rsidR="002E2346" w:rsidRPr="00DD71A3">
        <w:t>pā</w:t>
      </w:r>
      <w:r w:rsidR="00A45570" w:rsidRPr="00DD71A3">
        <w:t>rreģistrēts</w:t>
      </w:r>
      <w:r w:rsidR="00585503" w:rsidRPr="00DD71A3">
        <w:t xml:space="preserve"> uz VNĪ vārda</w:t>
      </w:r>
      <w:r w:rsidR="008F65C6" w:rsidRPr="00DD71A3">
        <w:t>.</w:t>
      </w:r>
    </w:p>
    <w:p w14:paraId="2562E0F6" w14:textId="77777777" w:rsidR="00E33224" w:rsidRPr="00DD71A3" w:rsidRDefault="00E33224" w:rsidP="000C2CF7">
      <w:pPr>
        <w:pStyle w:val="naiskr"/>
        <w:tabs>
          <w:tab w:val="left" w:pos="141"/>
        </w:tabs>
        <w:spacing w:before="0" w:after="0"/>
        <w:ind w:right="158" w:firstLine="709"/>
        <w:jc w:val="both"/>
      </w:pPr>
    </w:p>
    <w:p w14:paraId="5D5CF483" w14:textId="3705966C" w:rsidR="006A22BF" w:rsidRPr="00DD71A3" w:rsidRDefault="00E33224" w:rsidP="006A22BF">
      <w:pPr>
        <w:pStyle w:val="NoSpacing"/>
        <w:ind w:firstLine="709"/>
        <w:jc w:val="both"/>
        <w:rPr>
          <w:rFonts w:ascii="Times New Roman" w:hAnsi="Times New Roman" w:cs="Times New Roman"/>
          <w:sz w:val="24"/>
          <w:szCs w:val="24"/>
          <w:lang w:eastAsia="lv-LV"/>
        </w:rPr>
      </w:pPr>
      <w:r w:rsidRPr="00DD71A3">
        <w:rPr>
          <w:rFonts w:ascii="Times New Roman" w:hAnsi="Times New Roman" w:cs="Times New Roman"/>
          <w:sz w:val="24"/>
          <w:szCs w:val="24"/>
          <w:lang w:eastAsia="lv-LV"/>
        </w:rPr>
        <w:t>VID Ventspils nodaļa šobrīd izmanto divas ēkas ar kopējo platību 865,9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(to skaitā 597,6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Dzintaru ielā 18, Ventspilī</w:t>
      </w:r>
      <w:r w:rsidR="002E2346" w:rsidRPr="00DD71A3">
        <w:rPr>
          <w:rFonts w:ascii="Times New Roman" w:hAnsi="Times New Roman" w:cs="Times New Roman"/>
          <w:sz w:val="24"/>
          <w:szCs w:val="24"/>
          <w:lang w:eastAsia="lv-LV"/>
        </w:rPr>
        <w:t>,</w:t>
      </w:r>
      <w:r w:rsidRPr="00DD71A3">
        <w:rPr>
          <w:rFonts w:ascii="Times New Roman" w:hAnsi="Times New Roman" w:cs="Times New Roman"/>
          <w:sz w:val="24"/>
          <w:szCs w:val="24"/>
          <w:lang w:eastAsia="lv-LV"/>
        </w:rPr>
        <w:t xml:space="preserve"> un 268,3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Dzintaru ielā 22/9, Ventspilī). Pārceļoties uz jaunām telpām Kuldīgas ielā 2, Ventspilī, kopā tiks izmantoti 1102,8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(to skaitā 546,6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 pirmajā stāvā un 556,2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 otrajā stāvā). VID Ventspils nodaļas Nodokļu pārvaldes Ventspils klientu apkalpošanas centra vajadzībām šobrīd tiek izmantoti 306,6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(to skaitā 268,3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Dzintaru ielā 22/9, Ventspilī, un 38,3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Dzintaru ielā 18, Ventspilī). Pārceļoties uz jaunām telpām Kuldīgas ielā 2, Ventspilī, tiks izmantoti 486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Telpu platība tiek palielināta par 179,4</w:t>
      </w:r>
      <w:r w:rsidR="00B05ADF" w:rsidRPr="00DD71A3">
        <w:rPr>
          <w:rFonts w:ascii="Times New Roman" w:hAnsi="Times New Roman" w:cs="Times New Roman"/>
          <w:sz w:val="24"/>
          <w:szCs w:val="24"/>
          <w:lang w:eastAsia="lv-LV"/>
        </w:rPr>
        <w:t> </w:t>
      </w:r>
      <w:r w:rsidRPr="00DD71A3">
        <w:rPr>
          <w:rFonts w:ascii="Times New Roman" w:hAnsi="Times New Roman" w:cs="Times New Roman"/>
          <w:sz w:val="24"/>
          <w:szCs w:val="24"/>
          <w:lang w:eastAsia="lv-LV"/>
        </w:rPr>
        <w:t>m</w:t>
      </w:r>
      <w:r w:rsidRPr="00DD71A3">
        <w:rPr>
          <w:rFonts w:ascii="Times New Roman" w:hAnsi="Times New Roman" w:cs="Times New Roman"/>
          <w:sz w:val="24"/>
          <w:szCs w:val="24"/>
          <w:vertAlign w:val="superscript"/>
          <w:lang w:eastAsia="lv-LV"/>
        </w:rPr>
        <w:t>2</w:t>
      </w:r>
      <w:r w:rsidR="006A22BF" w:rsidRPr="00DD71A3">
        <w:rPr>
          <w:rFonts w:ascii="Times New Roman" w:hAnsi="Times New Roman" w:cs="Times New Roman"/>
          <w:sz w:val="24"/>
          <w:szCs w:val="24"/>
          <w:lang w:eastAsia="lv-LV"/>
        </w:rPr>
        <w:t xml:space="preserve">, to skaitā: </w:t>
      </w:r>
    </w:p>
    <w:p w14:paraId="521D39CE" w14:textId="77777777" w:rsidR="006A22BF" w:rsidRPr="00DD71A3" w:rsidRDefault="00E33224" w:rsidP="00E33224">
      <w:pPr>
        <w:pStyle w:val="NoSpacing"/>
        <w:numPr>
          <w:ilvl w:val="0"/>
          <w:numId w:val="12"/>
        </w:numPr>
        <w:jc w:val="both"/>
        <w:rPr>
          <w:rFonts w:ascii="Times New Roman" w:hAnsi="Times New Roman" w:cs="Times New Roman"/>
          <w:sz w:val="24"/>
          <w:szCs w:val="24"/>
          <w:lang w:eastAsia="lv-LV"/>
        </w:rPr>
      </w:pPr>
      <w:r w:rsidRPr="00DD71A3">
        <w:rPr>
          <w:rFonts w:ascii="Times New Roman" w:hAnsi="Times New Roman" w:cs="Times New Roman"/>
          <w:sz w:val="24"/>
          <w:szCs w:val="24"/>
          <w:lang w:eastAsia="lv-LV"/>
        </w:rPr>
        <w:t>41,2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 papildu telpas</w:t>
      </w:r>
      <w:r w:rsidR="006A22BF" w:rsidRPr="00DD71A3">
        <w:rPr>
          <w:rFonts w:ascii="Times New Roman" w:hAnsi="Times New Roman" w:cs="Times New Roman"/>
          <w:sz w:val="24"/>
          <w:szCs w:val="24"/>
          <w:lang w:eastAsia="lv-LV"/>
        </w:rPr>
        <w:t xml:space="preserve"> diviem kabinetiem, ku</w:t>
      </w:r>
      <w:r w:rsidR="00B06471" w:rsidRPr="00DD71A3">
        <w:rPr>
          <w:rFonts w:ascii="Times New Roman" w:hAnsi="Times New Roman" w:cs="Times New Roman"/>
          <w:sz w:val="24"/>
          <w:szCs w:val="24"/>
          <w:lang w:eastAsia="lv-LV"/>
        </w:rPr>
        <w:t>ros būs iespējams izvietot sešu darbinieku</w:t>
      </w:r>
      <w:r w:rsidR="006A22BF" w:rsidRPr="00DD71A3">
        <w:rPr>
          <w:rFonts w:ascii="Times New Roman" w:hAnsi="Times New Roman" w:cs="Times New Roman"/>
          <w:sz w:val="24"/>
          <w:szCs w:val="24"/>
          <w:lang w:eastAsia="lv-LV"/>
        </w:rPr>
        <w:t>, kuru darbavietas šobrīd izvietotas</w:t>
      </w:r>
      <w:r w:rsidRPr="00DD71A3">
        <w:rPr>
          <w:rFonts w:ascii="Times New Roman" w:hAnsi="Times New Roman" w:cs="Times New Roman"/>
          <w:sz w:val="24"/>
          <w:szCs w:val="24"/>
          <w:lang w:eastAsia="lv-LV"/>
        </w:rPr>
        <w:t xml:space="preserve"> </w:t>
      </w:r>
      <w:r w:rsidR="006A22BF" w:rsidRPr="00DD71A3">
        <w:rPr>
          <w:rFonts w:ascii="Times New Roman" w:hAnsi="Times New Roman" w:cs="Times New Roman"/>
          <w:sz w:val="24"/>
          <w:szCs w:val="24"/>
          <w:lang w:eastAsia="lv-LV"/>
        </w:rPr>
        <w:t>klientu zālē</w:t>
      </w:r>
      <w:r w:rsidR="00B06471" w:rsidRPr="00DD71A3">
        <w:rPr>
          <w:rFonts w:ascii="Times New Roman" w:hAnsi="Times New Roman" w:cs="Times New Roman"/>
          <w:sz w:val="24"/>
          <w:szCs w:val="24"/>
          <w:lang w:eastAsia="lv-LV"/>
        </w:rPr>
        <w:t>, darbavietas</w:t>
      </w:r>
      <w:r w:rsidRPr="00DD71A3">
        <w:rPr>
          <w:rFonts w:ascii="Times New Roman" w:hAnsi="Times New Roman" w:cs="Times New Roman"/>
          <w:sz w:val="24"/>
          <w:szCs w:val="24"/>
          <w:lang w:eastAsia="lv-LV"/>
        </w:rPr>
        <w:t>;</w:t>
      </w:r>
    </w:p>
    <w:p w14:paraId="463F631C" w14:textId="77777777" w:rsidR="006A22BF" w:rsidRPr="00DD71A3" w:rsidRDefault="00E33224" w:rsidP="00E33224">
      <w:pPr>
        <w:pStyle w:val="NoSpacing"/>
        <w:numPr>
          <w:ilvl w:val="0"/>
          <w:numId w:val="12"/>
        </w:numPr>
        <w:jc w:val="both"/>
        <w:rPr>
          <w:rFonts w:ascii="Times New Roman" w:hAnsi="Times New Roman" w:cs="Times New Roman"/>
          <w:sz w:val="24"/>
          <w:szCs w:val="24"/>
          <w:lang w:eastAsia="lv-LV"/>
        </w:rPr>
      </w:pPr>
      <w:r w:rsidRPr="00DD71A3">
        <w:rPr>
          <w:rFonts w:ascii="Times New Roman" w:hAnsi="Times New Roman" w:cs="Times New Roman"/>
          <w:sz w:val="24"/>
          <w:szCs w:val="24"/>
          <w:lang w:eastAsia="lv-LV"/>
        </w:rPr>
        <w:t>92,3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 papildu telpas (</w:t>
      </w:r>
      <w:r w:rsidR="006A22BF" w:rsidRPr="00DD71A3">
        <w:rPr>
          <w:rFonts w:ascii="Times New Roman" w:hAnsi="Times New Roman" w:cs="Times New Roman"/>
          <w:sz w:val="24"/>
          <w:szCs w:val="24"/>
          <w:lang w:eastAsia="lv-LV"/>
        </w:rPr>
        <w:t xml:space="preserve">to skaitā </w:t>
      </w:r>
      <w:r w:rsidRPr="00DD71A3">
        <w:rPr>
          <w:rFonts w:ascii="Times New Roman" w:hAnsi="Times New Roman" w:cs="Times New Roman"/>
          <w:sz w:val="24"/>
          <w:szCs w:val="24"/>
          <w:lang w:eastAsia="lv-LV"/>
        </w:rPr>
        <w:t>45,2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(gaitenis)</w:t>
      </w:r>
      <w:r w:rsidR="006A22BF" w:rsidRPr="00DD71A3">
        <w:rPr>
          <w:rFonts w:ascii="Times New Roman" w:hAnsi="Times New Roman" w:cs="Times New Roman"/>
          <w:sz w:val="24"/>
          <w:szCs w:val="24"/>
          <w:lang w:eastAsia="lv-LV"/>
        </w:rPr>
        <w:t>,</w:t>
      </w:r>
      <w:r w:rsidRPr="00DD71A3">
        <w:rPr>
          <w:rFonts w:ascii="Times New Roman" w:hAnsi="Times New Roman" w:cs="Times New Roman"/>
          <w:sz w:val="24"/>
          <w:szCs w:val="24"/>
          <w:lang w:eastAsia="lv-LV"/>
        </w:rPr>
        <w:t xml:space="preserve"> 12,8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(gaitenis</w:t>
      </w:r>
      <w:r w:rsidR="006A22BF" w:rsidRPr="00DD71A3">
        <w:rPr>
          <w:rFonts w:ascii="Times New Roman" w:hAnsi="Times New Roman" w:cs="Times New Roman"/>
          <w:sz w:val="24"/>
          <w:szCs w:val="24"/>
          <w:lang w:eastAsia="lv-LV"/>
        </w:rPr>
        <w:t>),</w:t>
      </w:r>
      <w:r w:rsidRPr="00DD71A3">
        <w:rPr>
          <w:rFonts w:ascii="Times New Roman" w:hAnsi="Times New Roman" w:cs="Times New Roman"/>
          <w:sz w:val="24"/>
          <w:szCs w:val="24"/>
          <w:lang w:eastAsia="lv-LV"/>
        </w:rPr>
        <w:t xml:space="preserve"> 10,6 m</w:t>
      </w:r>
      <w:r w:rsidRPr="00DD71A3">
        <w:rPr>
          <w:rFonts w:ascii="Times New Roman" w:hAnsi="Times New Roman" w:cs="Times New Roman"/>
          <w:sz w:val="24"/>
          <w:szCs w:val="24"/>
          <w:vertAlign w:val="superscript"/>
          <w:lang w:eastAsia="lv-LV"/>
        </w:rPr>
        <w:t>2</w:t>
      </w:r>
      <w:r w:rsidR="006A22BF" w:rsidRPr="00DD71A3">
        <w:rPr>
          <w:rFonts w:ascii="Times New Roman" w:hAnsi="Times New Roman" w:cs="Times New Roman"/>
          <w:sz w:val="24"/>
          <w:szCs w:val="24"/>
          <w:lang w:eastAsia="lv-LV"/>
        </w:rPr>
        <w:t xml:space="preserve"> (sarga postenis), </w:t>
      </w:r>
      <w:r w:rsidRPr="00DD71A3">
        <w:rPr>
          <w:rFonts w:ascii="Times New Roman" w:hAnsi="Times New Roman" w:cs="Times New Roman"/>
          <w:sz w:val="24"/>
          <w:szCs w:val="24"/>
          <w:lang w:eastAsia="lv-LV"/>
        </w:rPr>
        <w:t>13,1 m</w:t>
      </w:r>
      <w:r w:rsidRPr="00DD71A3">
        <w:rPr>
          <w:rFonts w:ascii="Times New Roman" w:hAnsi="Times New Roman" w:cs="Times New Roman"/>
          <w:sz w:val="24"/>
          <w:szCs w:val="24"/>
          <w:vertAlign w:val="superscript"/>
          <w:lang w:eastAsia="lv-LV"/>
        </w:rPr>
        <w:t>2</w:t>
      </w:r>
      <w:r w:rsidR="006A22BF" w:rsidRPr="00DD71A3">
        <w:rPr>
          <w:rFonts w:ascii="Times New Roman" w:hAnsi="Times New Roman" w:cs="Times New Roman"/>
          <w:sz w:val="24"/>
          <w:szCs w:val="24"/>
          <w:lang w:eastAsia="lv-LV"/>
        </w:rPr>
        <w:t xml:space="preserve"> (kāpņu telpa) un</w:t>
      </w:r>
      <w:r w:rsidRPr="00DD71A3">
        <w:rPr>
          <w:rFonts w:ascii="Times New Roman" w:hAnsi="Times New Roman" w:cs="Times New Roman"/>
          <w:sz w:val="24"/>
          <w:szCs w:val="24"/>
          <w:lang w:eastAsia="lv-LV"/>
        </w:rPr>
        <w:t xml:space="preserve"> 10,6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(vējtveris));</w:t>
      </w:r>
    </w:p>
    <w:p w14:paraId="08CA09C2" w14:textId="7EAB913F" w:rsidR="00E33224" w:rsidRPr="00DD71A3" w:rsidRDefault="00E33224" w:rsidP="00E33224">
      <w:pPr>
        <w:pStyle w:val="NoSpacing"/>
        <w:numPr>
          <w:ilvl w:val="0"/>
          <w:numId w:val="12"/>
        </w:numPr>
        <w:jc w:val="both"/>
        <w:rPr>
          <w:rFonts w:ascii="Times New Roman" w:hAnsi="Times New Roman" w:cs="Times New Roman"/>
          <w:sz w:val="24"/>
          <w:szCs w:val="24"/>
          <w:lang w:eastAsia="lv-LV"/>
        </w:rPr>
      </w:pPr>
      <w:r w:rsidRPr="00DD71A3">
        <w:rPr>
          <w:rFonts w:ascii="Times New Roman" w:hAnsi="Times New Roman" w:cs="Times New Roman"/>
          <w:sz w:val="24"/>
          <w:szCs w:val="24"/>
          <w:lang w:eastAsia="lv-LV"/>
        </w:rPr>
        <w:t xml:space="preserve"> 43,8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 papildu arhīva telpas (šobrīd </w:t>
      </w:r>
      <w:r w:rsidR="00B05ADF" w:rsidRPr="00DD71A3">
        <w:rPr>
          <w:rFonts w:ascii="Times New Roman" w:hAnsi="Times New Roman" w:cs="Times New Roman"/>
          <w:sz w:val="24"/>
          <w:szCs w:val="24"/>
          <w:lang w:eastAsia="lv-LV"/>
        </w:rPr>
        <w:t xml:space="preserve">– </w:t>
      </w:r>
      <w:r w:rsidRPr="00DD71A3">
        <w:rPr>
          <w:rFonts w:ascii="Times New Roman" w:hAnsi="Times New Roman" w:cs="Times New Roman"/>
          <w:sz w:val="24"/>
          <w:szCs w:val="24"/>
          <w:lang w:eastAsia="lv-LV"/>
        </w:rPr>
        <w:t>81,8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nākotnē </w:t>
      </w:r>
      <w:r w:rsidR="00B05ADF" w:rsidRPr="00DD71A3">
        <w:rPr>
          <w:rFonts w:ascii="Times New Roman" w:hAnsi="Times New Roman" w:cs="Times New Roman"/>
          <w:sz w:val="24"/>
          <w:szCs w:val="24"/>
          <w:lang w:eastAsia="lv-LV"/>
        </w:rPr>
        <w:t xml:space="preserve">– </w:t>
      </w:r>
      <w:r w:rsidRPr="00DD71A3">
        <w:rPr>
          <w:rFonts w:ascii="Times New Roman" w:hAnsi="Times New Roman" w:cs="Times New Roman"/>
          <w:sz w:val="24"/>
          <w:szCs w:val="24"/>
          <w:lang w:eastAsia="lv-LV"/>
        </w:rPr>
        <w:t>125,6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w:t>
      </w:r>
    </w:p>
    <w:p w14:paraId="49E5101F" w14:textId="5C3868CA" w:rsidR="00E33224" w:rsidRPr="00DD71A3" w:rsidRDefault="00E33224" w:rsidP="006A22BF">
      <w:pPr>
        <w:pStyle w:val="NoSpacing"/>
        <w:ind w:firstLine="709"/>
        <w:jc w:val="both"/>
        <w:rPr>
          <w:rFonts w:ascii="Times New Roman" w:hAnsi="Times New Roman" w:cs="Times New Roman"/>
          <w:sz w:val="24"/>
          <w:szCs w:val="24"/>
          <w:lang w:eastAsia="lv-LV"/>
        </w:rPr>
      </w:pPr>
      <w:r w:rsidRPr="00DD71A3">
        <w:rPr>
          <w:rFonts w:ascii="Times New Roman" w:hAnsi="Times New Roman" w:cs="Times New Roman"/>
          <w:sz w:val="24"/>
          <w:szCs w:val="24"/>
          <w:lang w:eastAsia="lv-LV"/>
        </w:rPr>
        <w:t xml:space="preserve">Šobrīd </w:t>
      </w:r>
      <w:r w:rsidR="006A22BF" w:rsidRPr="00DD71A3">
        <w:rPr>
          <w:rFonts w:ascii="Times New Roman" w:hAnsi="Times New Roman" w:cs="Times New Roman"/>
          <w:sz w:val="24"/>
          <w:szCs w:val="24"/>
          <w:lang w:eastAsia="lv-LV"/>
        </w:rPr>
        <w:t>VID Ventspils nodaļas</w:t>
      </w:r>
      <w:r w:rsidRPr="00DD71A3">
        <w:rPr>
          <w:rFonts w:ascii="Times New Roman" w:hAnsi="Times New Roman" w:cs="Times New Roman"/>
          <w:sz w:val="24"/>
          <w:szCs w:val="24"/>
          <w:lang w:eastAsia="lv-LV"/>
        </w:rPr>
        <w:t xml:space="preserve"> klientu apkalpošanas zāle ir 109,1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liela. Tajā vienlaikus atrodas </w:t>
      </w:r>
      <w:r w:rsidR="006A22BF" w:rsidRPr="00DD71A3">
        <w:rPr>
          <w:rFonts w:ascii="Times New Roman" w:hAnsi="Times New Roman" w:cs="Times New Roman"/>
          <w:sz w:val="24"/>
          <w:szCs w:val="24"/>
          <w:lang w:eastAsia="lv-LV"/>
        </w:rPr>
        <w:t>astoņas</w:t>
      </w:r>
      <w:r w:rsidRPr="00DD71A3">
        <w:rPr>
          <w:rFonts w:ascii="Times New Roman" w:hAnsi="Times New Roman" w:cs="Times New Roman"/>
          <w:sz w:val="24"/>
          <w:szCs w:val="24"/>
          <w:lang w:eastAsia="lv-LV"/>
        </w:rPr>
        <w:t xml:space="preserve"> darbavietas, no tām 2-3 klientu </w:t>
      </w:r>
      <w:r w:rsidR="006A22BF" w:rsidRPr="00DD71A3">
        <w:rPr>
          <w:rFonts w:ascii="Times New Roman" w:hAnsi="Times New Roman" w:cs="Times New Roman"/>
          <w:sz w:val="24"/>
          <w:szCs w:val="24"/>
          <w:lang w:eastAsia="lv-LV"/>
        </w:rPr>
        <w:t xml:space="preserve">ir </w:t>
      </w:r>
      <w:r w:rsidRPr="00DD71A3">
        <w:rPr>
          <w:rFonts w:ascii="Times New Roman" w:hAnsi="Times New Roman" w:cs="Times New Roman"/>
          <w:sz w:val="24"/>
          <w:szCs w:val="24"/>
          <w:lang w:eastAsia="lv-LV"/>
        </w:rPr>
        <w:t xml:space="preserve">pieņemšanas darbavietas, bet pārējās 5-6 </w:t>
      </w:r>
      <w:r w:rsidR="006A22BF" w:rsidRPr="00DD71A3">
        <w:rPr>
          <w:rFonts w:ascii="Times New Roman" w:hAnsi="Times New Roman" w:cs="Times New Roman"/>
          <w:sz w:val="24"/>
          <w:szCs w:val="24"/>
          <w:lang w:eastAsia="lv-LV"/>
        </w:rPr>
        <w:t xml:space="preserve">ir </w:t>
      </w:r>
      <w:r w:rsidRPr="00DD71A3">
        <w:rPr>
          <w:rFonts w:ascii="Times New Roman" w:hAnsi="Times New Roman" w:cs="Times New Roman"/>
          <w:sz w:val="24"/>
          <w:szCs w:val="24"/>
          <w:lang w:eastAsia="lv-LV"/>
        </w:rPr>
        <w:t xml:space="preserve">nodokļu inspektoru darbavietas. </w:t>
      </w:r>
      <w:r w:rsidR="00965CE5" w:rsidRPr="00DD71A3">
        <w:rPr>
          <w:rFonts w:ascii="Times New Roman" w:hAnsi="Times New Roman" w:cs="Times New Roman"/>
          <w:sz w:val="24"/>
          <w:szCs w:val="24"/>
          <w:lang w:eastAsia="lv-LV"/>
        </w:rPr>
        <w:t>Klientu uzgaidāmās telpas ēkā</w:t>
      </w:r>
      <w:r w:rsidR="006A22BF" w:rsidRPr="00DD71A3">
        <w:rPr>
          <w:rFonts w:ascii="Times New Roman" w:hAnsi="Times New Roman" w:cs="Times New Roman"/>
          <w:sz w:val="24"/>
          <w:szCs w:val="24"/>
          <w:lang w:eastAsia="lv-LV"/>
        </w:rPr>
        <w:t xml:space="preserve"> Dzintaru ielā 22/9, Ventspilī,</w:t>
      </w:r>
      <w:r w:rsidRPr="00DD71A3">
        <w:rPr>
          <w:rFonts w:ascii="Times New Roman" w:hAnsi="Times New Roman" w:cs="Times New Roman"/>
          <w:sz w:val="24"/>
          <w:szCs w:val="24"/>
          <w:lang w:eastAsia="lv-LV"/>
        </w:rPr>
        <w:t xml:space="preserve"> </w:t>
      </w:r>
      <w:r w:rsidR="00965CE5" w:rsidRPr="00DD71A3">
        <w:rPr>
          <w:rFonts w:ascii="Times New Roman" w:hAnsi="Times New Roman" w:cs="Times New Roman"/>
          <w:sz w:val="24"/>
          <w:szCs w:val="24"/>
          <w:lang w:eastAsia="lv-LV"/>
        </w:rPr>
        <w:t>ir aptuveni 20 m</w:t>
      </w:r>
      <w:r w:rsidR="00965CE5" w:rsidRPr="00DD71A3">
        <w:rPr>
          <w:rFonts w:ascii="Times New Roman" w:hAnsi="Times New Roman" w:cs="Times New Roman"/>
          <w:sz w:val="24"/>
          <w:szCs w:val="24"/>
          <w:vertAlign w:val="superscript"/>
          <w:lang w:eastAsia="lv-LV"/>
        </w:rPr>
        <w:t>2</w:t>
      </w:r>
      <w:r w:rsidR="00965CE5" w:rsidRPr="00DD71A3">
        <w:rPr>
          <w:rFonts w:ascii="Times New Roman" w:hAnsi="Times New Roman" w:cs="Times New Roman"/>
          <w:sz w:val="24"/>
          <w:szCs w:val="24"/>
          <w:lang w:eastAsia="lv-LV"/>
        </w:rPr>
        <w:t xml:space="preserve"> – tā ir aptuveni 2,5 m plata un 8 m gara, kuras pārveidošanas iespējas, ņemot vērā ēkas konstrukciju, </w:t>
      </w:r>
      <w:r w:rsidRPr="00DD71A3">
        <w:rPr>
          <w:rFonts w:ascii="Times New Roman" w:hAnsi="Times New Roman" w:cs="Times New Roman"/>
          <w:sz w:val="24"/>
          <w:szCs w:val="24"/>
          <w:lang w:eastAsia="lv-LV"/>
        </w:rPr>
        <w:t>faktiski</w:t>
      </w:r>
      <w:r w:rsidR="00965CE5" w:rsidRPr="00DD71A3">
        <w:rPr>
          <w:rFonts w:ascii="Times New Roman" w:hAnsi="Times New Roman" w:cs="Times New Roman"/>
          <w:sz w:val="24"/>
          <w:szCs w:val="24"/>
          <w:lang w:eastAsia="lv-LV"/>
        </w:rPr>
        <w:t xml:space="preserve"> </w:t>
      </w:r>
      <w:r w:rsidRPr="00DD71A3">
        <w:rPr>
          <w:rFonts w:ascii="Times New Roman" w:hAnsi="Times New Roman" w:cs="Times New Roman"/>
          <w:sz w:val="24"/>
          <w:szCs w:val="24"/>
          <w:lang w:eastAsia="lv-LV"/>
        </w:rPr>
        <w:t xml:space="preserve">ir ierobežotas. Tāpat minētā garenvirziena uzgaidāmā telpa vienlaikus kalpo kā gaitenis, jo tikai caur to var nonākt </w:t>
      </w:r>
      <w:r w:rsidR="00965CE5" w:rsidRPr="00DD71A3">
        <w:rPr>
          <w:rFonts w:ascii="Times New Roman" w:hAnsi="Times New Roman" w:cs="Times New Roman"/>
          <w:sz w:val="24"/>
          <w:szCs w:val="24"/>
          <w:lang w:eastAsia="lv-LV"/>
        </w:rPr>
        <w:t>divos</w:t>
      </w:r>
      <w:r w:rsidRPr="00DD71A3">
        <w:rPr>
          <w:rFonts w:ascii="Times New Roman" w:hAnsi="Times New Roman" w:cs="Times New Roman"/>
          <w:sz w:val="24"/>
          <w:szCs w:val="24"/>
          <w:lang w:eastAsia="lv-LV"/>
        </w:rPr>
        <w:t xml:space="preserve"> citos darbinieku darba kabinetos. Līdz ar to lielas plūsmas gadījumos klientiem ir jādrūzmējas, bet darbinieki, pārvietojoties uz savām darba telpām, rada papildu neērtības rindā stāvošajiem </w:t>
      </w:r>
      <w:r w:rsidR="00B06471" w:rsidRPr="00DD71A3">
        <w:rPr>
          <w:rFonts w:ascii="Times New Roman" w:hAnsi="Times New Roman" w:cs="Times New Roman"/>
          <w:sz w:val="24"/>
          <w:szCs w:val="24"/>
          <w:lang w:eastAsia="lv-LV"/>
        </w:rPr>
        <w:t>klientiem</w:t>
      </w:r>
      <w:r w:rsidRPr="00DD71A3">
        <w:rPr>
          <w:rFonts w:ascii="Times New Roman" w:hAnsi="Times New Roman" w:cs="Times New Roman"/>
          <w:sz w:val="24"/>
          <w:szCs w:val="24"/>
          <w:lang w:eastAsia="lv-LV"/>
        </w:rPr>
        <w:t>. Nākotnē plānotajās telpās pārējo darbinieku nokļūšanai savos dar</w:t>
      </w:r>
      <w:r w:rsidR="00965CE5" w:rsidRPr="00DD71A3">
        <w:rPr>
          <w:rFonts w:ascii="Times New Roman" w:hAnsi="Times New Roman" w:cs="Times New Roman"/>
          <w:sz w:val="24"/>
          <w:szCs w:val="24"/>
          <w:lang w:eastAsia="lv-LV"/>
        </w:rPr>
        <w:t>ba kabinetos paredzēts gaitenis,</w:t>
      </w:r>
      <w:r w:rsidRPr="00DD71A3">
        <w:rPr>
          <w:rFonts w:ascii="Times New Roman" w:hAnsi="Times New Roman" w:cs="Times New Roman"/>
          <w:sz w:val="24"/>
          <w:szCs w:val="24"/>
          <w:lang w:eastAsia="lv-LV"/>
        </w:rPr>
        <w:t xml:space="preserve"> pa kuru nav paredzēta klientu plūsma. </w:t>
      </w:r>
      <w:r w:rsidR="00965CE5" w:rsidRPr="00DD71A3">
        <w:rPr>
          <w:rFonts w:ascii="Times New Roman" w:hAnsi="Times New Roman" w:cs="Times New Roman"/>
          <w:sz w:val="24"/>
          <w:szCs w:val="24"/>
          <w:lang w:eastAsia="lv-LV"/>
        </w:rPr>
        <w:t>Klientu</w:t>
      </w:r>
      <w:r w:rsidRPr="00DD71A3">
        <w:rPr>
          <w:rFonts w:ascii="Times New Roman" w:hAnsi="Times New Roman" w:cs="Times New Roman"/>
          <w:sz w:val="24"/>
          <w:szCs w:val="24"/>
          <w:lang w:eastAsia="lv-LV"/>
        </w:rPr>
        <w:t xml:space="preserve"> komforta nodrošināšanai </w:t>
      </w:r>
      <w:r w:rsidR="00965CE5" w:rsidRPr="00DD71A3">
        <w:rPr>
          <w:rFonts w:ascii="Times New Roman" w:hAnsi="Times New Roman" w:cs="Times New Roman"/>
          <w:sz w:val="24"/>
          <w:szCs w:val="24"/>
          <w:lang w:eastAsia="lv-LV"/>
        </w:rPr>
        <w:t>nākotnē plānotās klientu apkalpošanas zāles platība būs</w:t>
      </w:r>
      <w:r w:rsidRPr="00DD71A3">
        <w:rPr>
          <w:rFonts w:ascii="Times New Roman" w:hAnsi="Times New Roman" w:cs="Times New Roman"/>
          <w:sz w:val="24"/>
          <w:szCs w:val="24"/>
          <w:lang w:eastAsia="lv-LV"/>
        </w:rPr>
        <w:t xml:space="preserve"> 98,1 m</w:t>
      </w:r>
      <w:r w:rsidRPr="00DD71A3">
        <w:rPr>
          <w:rFonts w:ascii="Times New Roman" w:hAnsi="Times New Roman" w:cs="Times New Roman"/>
          <w:sz w:val="24"/>
          <w:szCs w:val="24"/>
          <w:vertAlign w:val="superscript"/>
          <w:lang w:eastAsia="lv-LV"/>
        </w:rPr>
        <w:t>2</w:t>
      </w:r>
      <w:r w:rsidRPr="00DD71A3">
        <w:rPr>
          <w:rFonts w:ascii="Times New Roman" w:hAnsi="Times New Roman" w:cs="Times New Roman"/>
          <w:sz w:val="24"/>
          <w:szCs w:val="24"/>
          <w:lang w:eastAsia="lv-LV"/>
        </w:rPr>
        <w:t xml:space="preserve">. </w:t>
      </w:r>
      <w:r w:rsidR="00965CE5" w:rsidRPr="00DD71A3">
        <w:rPr>
          <w:rFonts w:ascii="Times New Roman" w:hAnsi="Times New Roman" w:cs="Times New Roman"/>
          <w:sz w:val="24"/>
          <w:szCs w:val="24"/>
          <w:lang w:eastAsia="lv-LV"/>
        </w:rPr>
        <w:t>Plānots, ka k</w:t>
      </w:r>
      <w:r w:rsidRPr="00DD71A3">
        <w:rPr>
          <w:rFonts w:ascii="Times New Roman" w:hAnsi="Times New Roman" w:cs="Times New Roman"/>
          <w:sz w:val="24"/>
          <w:szCs w:val="24"/>
          <w:lang w:eastAsia="lv-LV"/>
        </w:rPr>
        <w:t xml:space="preserve">lientu </w:t>
      </w:r>
      <w:r w:rsidR="00965CE5" w:rsidRPr="00DD71A3">
        <w:rPr>
          <w:rFonts w:ascii="Times New Roman" w:hAnsi="Times New Roman" w:cs="Times New Roman"/>
          <w:sz w:val="24"/>
          <w:szCs w:val="24"/>
          <w:lang w:eastAsia="lv-LV"/>
        </w:rPr>
        <w:t xml:space="preserve">apkalpošanas </w:t>
      </w:r>
      <w:r w:rsidRPr="00DD71A3">
        <w:rPr>
          <w:rFonts w:ascii="Times New Roman" w:hAnsi="Times New Roman" w:cs="Times New Roman"/>
          <w:sz w:val="24"/>
          <w:szCs w:val="24"/>
          <w:lang w:eastAsia="lv-LV"/>
        </w:rPr>
        <w:t xml:space="preserve">zālē būs 2-4 klientu pieņemšanas darbavietas, atkarībā no </w:t>
      </w:r>
      <w:r w:rsidR="00965CE5" w:rsidRPr="00DD71A3">
        <w:rPr>
          <w:rFonts w:ascii="Times New Roman" w:hAnsi="Times New Roman" w:cs="Times New Roman"/>
          <w:sz w:val="24"/>
          <w:szCs w:val="24"/>
          <w:lang w:eastAsia="lv-LV"/>
        </w:rPr>
        <w:t>klientu plūsmas</w:t>
      </w:r>
      <w:r w:rsidRPr="00DD71A3">
        <w:rPr>
          <w:rFonts w:ascii="Times New Roman" w:hAnsi="Times New Roman" w:cs="Times New Roman"/>
          <w:sz w:val="24"/>
          <w:szCs w:val="24"/>
          <w:lang w:eastAsia="lv-LV"/>
        </w:rPr>
        <w:t xml:space="preserve">. </w:t>
      </w:r>
      <w:r w:rsidR="00BF2F3B" w:rsidRPr="00DD71A3">
        <w:rPr>
          <w:rFonts w:ascii="Times New Roman" w:hAnsi="Times New Roman" w:cs="Times New Roman"/>
          <w:sz w:val="24"/>
          <w:szCs w:val="24"/>
          <w:lang w:eastAsia="lv-LV"/>
        </w:rPr>
        <w:t>Klientu apkalpošanas zālē plānots novietot rindu regulatoru un l</w:t>
      </w:r>
      <w:r w:rsidR="00965CE5" w:rsidRPr="00DD71A3">
        <w:rPr>
          <w:rFonts w:ascii="Times New Roman" w:hAnsi="Times New Roman" w:cs="Times New Roman"/>
          <w:sz w:val="24"/>
          <w:szCs w:val="24"/>
          <w:lang w:eastAsia="lv-LV"/>
        </w:rPr>
        <w:t xml:space="preserve">ielas klientu plūsmas gadījumā </w:t>
      </w:r>
      <w:r w:rsidRPr="00DD71A3">
        <w:rPr>
          <w:rFonts w:ascii="Times New Roman" w:hAnsi="Times New Roman" w:cs="Times New Roman"/>
          <w:sz w:val="24"/>
          <w:szCs w:val="24"/>
          <w:lang w:eastAsia="lv-LV"/>
        </w:rPr>
        <w:t>klientie</w:t>
      </w:r>
      <w:r w:rsidR="009E75EA" w:rsidRPr="00DD71A3">
        <w:rPr>
          <w:rFonts w:ascii="Times New Roman" w:hAnsi="Times New Roman" w:cs="Times New Roman"/>
          <w:sz w:val="24"/>
          <w:szCs w:val="24"/>
          <w:lang w:eastAsia="lv-LV"/>
        </w:rPr>
        <w:t>m būtu ērti sagaidīt savu kārtu</w:t>
      </w:r>
      <w:r w:rsidRPr="00DD71A3">
        <w:rPr>
          <w:rFonts w:ascii="Times New Roman" w:hAnsi="Times New Roman" w:cs="Times New Roman"/>
          <w:sz w:val="24"/>
          <w:szCs w:val="24"/>
          <w:lang w:eastAsia="lv-LV"/>
        </w:rPr>
        <w:t>.</w:t>
      </w:r>
    </w:p>
    <w:p w14:paraId="73A85B63" w14:textId="77777777" w:rsidR="005B5933" w:rsidRPr="00DD71A3" w:rsidRDefault="005B5933" w:rsidP="00850D8C">
      <w:pPr>
        <w:pStyle w:val="NoSpacing"/>
        <w:ind w:firstLine="709"/>
        <w:jc w:val="both"/>
        <w:rPr>
          <w:rFonts w:ascii="Times New Roman" w:hAnsi="Times New Roman" w:cs="Times New Roman"/>
          <w:strike/>
          <w:sz w:val="24"/>
          <w:szCs w:val="24"/>
        </w:rPr>
      </w:pPr>
    </w:p>
    <w:p w14:paraId="3FF300B7" w14:textId="77777777" w:rsidR="0049435D" w:rsidRDefault="00203DFF" w:rsidP="0049435D">
      <w:pPr>
        <w:pStyle w:val="naiskr"/>
        <w:tabs>
          <w:tab w:val="left" w:pos="141"/>
        </w:tabs>
        <w:spacing w:before="0" w:after="0"/>
        <w:ind w:right="158" w:firstLine="709"/>
        <w:jc w:val="both"/>
      </w:pPr>
      <w:r w:rsidRPr="00DD71A3">
        <w:t>Ventspils pilsētas dome ir apkopojusi informāciju par valsts iestāžu izvietojumu Ve</w:t>
      </w:r>
      <w:r w:rsidR="00E22B83" w:rsidRPr="00DD71A3">
        <w:t>n</w:t>
      </w:r>
      <w:r w:rsidRPr="00DD71A3">
        <w:t>tspil</w:t>
      </w:r>
      <w:r w:rsidR="003360C4" w:rsidRPr="00DD71A3">
        <w:t>s pilsētā (Ventspils pilsētas domes 2015.gada 13.aprīļa vēstule Nr.1-09/234)</w:t>
      </w:r>
      <w:r w:rsidR="00E22B83" w:rsidRPr="00DD71A3">
        <w:t xml:space="preserve">, no kuras secināms, ka četras valsts iestādes (VID, Nodarbinātības valsts aģentūras, Uzņēmumu reģistra un Valsts sociālās apdrošināšanas aģentūras Ventspils </w:t>
      </w:r>
      <w:r w:rsidR="00796B09" w:rsidRPr="00DD71A3">
        <w:t>nodaļas</w:t>
      </w:r>
      <w:r w:rsidR="00E22B83" w:rsidRPr="00DD71A3">
        <w:t>) ir izvietotas ārpus Ventspils pilsētas centra.</w:t>
      </w:r>
      <w:r w:rsidRPr="00DD71A3">
        <w:t xml:space="preserve"> </w:t>
      </w:r>
      <w:r w:rsidR="00E22B83" w:rsidRPr="00DD71A3">
        <w:t>Ventspils pilsētas</w:t>
      </w:r>
      <w:r w:rsidR="005B5933" w:rsidRPr="00DD71A3">
        <w:t xml:space="preserve"> un tās apkārtnes</w:t>
      </w:r>
      <w:r w:rsidR="00E22B83" w:rsidRPr="00DD71A3">
        <w:t xml:space="preserve"> iedzīvotāji vairākkārtīgi ir vērsušies pie Ventspils pilsētas domes un izteikuši neapmierinātību par minēto </w:t>
      </w:r>
      <w:r w:rsidR="00796B09" w:rsidRPr="00DD71A3">
        <w:t xml:space="preserve">valsts </w:t>
      </w:r>
      <w:r w:rsidR="00E22B83" w:rsidRPr="00DD71A3">
        <w:t xml:space="preserve">iestāžu izvietojumu, jo ir apgrūtināta nokļūšana līdz tām, kā arī pie VID un Nodarbinātības valsts aģentūras </w:t>
      </w:r>
      <w:r w:rsidR="00796B09" w:rsidRPr="00DD71A3">
        <w:t>nodaļām</w:t>
      </w:r>
      <w:r w:rsidR="00E22B83" w:rsidRPr="00DD71A3">
        <w:t xml:space="preserve"> ir nepietiekams automašīnu stāvvietu skaits. </w:t>
      </w:r>
      <w:r w:rsidR="00796B09" w:rsidRPr="00DD71A3">
        <w:t xml:space="preserve">Izvērtējot esošo situāciju, </w:t>
      </w:r>
      <w:r w:rsidR="00152008" w:rsidRPr="00DD71A3">
        <w:t xml:space="preserve">vēstulē </w:t>
      </w:r>
      <w:r w:rsidR="00796B09" w:rsidRPr="00DD71A3">
        <w:t>secināts, ka n</w:t>
      </w:r>
      <w:r w:rsidR="00E22B83" w:rsidRPr="00DD71A3">
        <w:t xml:space="preserve">ekustamajā īpašumā Kuldīgas ielā 2, Ventspilī, </w:t>
      </w:r>
      <w:r w:rsidR="00796B09" w:rsidRPr="00DD71A3">
        <w:t xml:space="preserve">līdz ar VID Ventspils nodaļas izvietošanu, </w:t>
      </w:r>
      <w:r w:rsidR="00E22B83" w:rsidRPr="00DD71A3">
        <w:t xml:space="preserve">ir iespējams </w:t>
      </w:r>
      <w:r w:rsidR="00796B09" w:rsidRPr="00DD71A3">
        <w:t>arī izvietot</w:t>
      </w:r>
      <w:r w:rsidR="00E22B83" w:rsidRPr="00DD71A3">
        <w:t xml:space="preserve"> vienotu klientu apkalpošanas centru gan VID, gan Nodarbinātības valsts aģentūras </w:t>
      </w:r>
      <w:r w:rsidR="00796B09" w:rsidRPr="00DD71A3">
        <w:t>Ventspils nodaļu</w:t>
      </w:r>
      <w:r w:rsidR="00E22B83" w:rsidRPr="00DD71A3">
        <w:t xml:space="preserve"> vajadzībām. </w:t>
      </w:r>
      <w:r w:rsidR="00796B09" w:rsidRPr="00DD71A3">
        <w:t xml:space="preserve">Savukārt, rekonstruējot ēkas Kuldīgas ielā 2, Ventspilī, trešo stāvu (pašreiz bēniņu stāvs) būtu iespējams izvietot biroja telpas Nodarbinātības valsts aģentūras un Uzņēmuma reģistra Ventspils nodaļu vajadzībām. Rezultātā ēkā Kuldīgas ielā 2, Ventspilī, vienkopus būtu izvietotas trīs valsts iestāžu </w:t>
      </w:r>
      <w:r w:rsidR="005B5933" w:rsidRPr="00DD71A3">
        <w:t xml:space="preserve">Ventspils </w:t>
      </w:r>
      <w:r w:rsidR="00796B09" w:rsidRPr="00DD71A3">
        <w:t>nodaļas (VID, Nodarbinātības valsts aģentūras un Uzņēmumu reģistra)</w:t>
      </w:r>
      <w:r w:rsidR="003360C4" w:rsidRPr="00DD71A3">
        <w:t>, kas Ventspils pilsētas un tās apkārtnes iedzīvotājiem nodrošinātu to pieejamību vienkopus.</w:t>
      </w:r>
      <w:r w:rsidR="007615A8" w:rsidRPr="00DD71A3">
        <w:t xml:space="preserve"> Tomēr, ņemot vērā telpu platības nekustamajā īpašumā Kuldīgas ielā 2, Ventspilī,</w:t>
      </w:r>
      <w:r w:rsidR="00527EBF" w:rsidRPr="00DD71A3">
        <w:t xml:space="preserve"> kuras iespējams varētu netikt izmantotas</w:t>
      </w:r>
      <w:r w:rsidR="00224E28" w:rsidRPr="00DD71A3">
        <w:t xml:space="preserve"> VID Ventspils nodaļas vajadzībām,</w:t>
      </w:r>
      <w:r w:rsidR="007615A8" w:rsidRPr="00DD71A3">
        <w:t xml:space="preserve"> </w:t>
      </w:r>
      <w:r w:rsidR="003440BB" w:rsidRPr="00DD71A3">
        <w:t>Finanšu ministrijai (VNĪ un VID) sadarbībā ar Labklājības ministriju (Nodarbinātības valsts aģentūru) un Tieslietu ministriju (Uzņēmumu reģistru) līdz 2016.gada 1.</w:t>
      </w:r>
      <w:r w:rsidR="00F44859" w:rsidRPr="00DD71A3">
        <w:t>maijam</w:t>
      </w:r>
      <w:r w:rsidR="003440BB" w:rsidRPr="00DD71A3">
        <w:t xml:space="preserve"> </w:t>
      </w:r>
      <w:r w:rsidR="003440BB" w:rsidRPr="00DD71A3">
        <w:rPr>
          <w:i/>
        </w:rPr>
        <w:t>(</w:t>
      </w:r>
      <w:r w:rsidR="00F44859" w:rsidRPr="00DD71A3">
        <w:rPr>
          <w:i/>
        </w:rPr>
        <w:t xml:space="preserve">minētais termiņš noteikts, lai iesaistītās institūcijas nepieciešamības gadījumā </w:t>
      </w:r>
      <w:r w:rsidR="00B06471" w:rsidRPr="00DD71A3">
        <w:rPr>
          <w:i/>
        </w:rPr>
        <w:t>varētu iesniegt</w:t>
      </w:r>
      <w:r w:rsidR="00F44859" w:rsidRPr="00DD71A3">
        <w:rPr>
          <w:i/>
        </w:rPr>
        <w:t xml:space="preserve"> priekšlikumus par papildu nepieciešamā finansējuma piešķiršanu izskatīšanai Ministru kabinetā vienlaikus ar visu ministriju un citu centrālo valsts iestāžu jauno politikas iniciatīvu pieprasījumiem likumprojekta “Par valsts budžetu 2017.gadam” un likumprojekta “Par vidēja termiņa budžeta ietvaru 2017., 2018. un 2019.gadam” sagatavošanas procesā, lēmuma pieņemšanai</w:t>
      </w:r>
      <w:r w:rsidR="003440BB" w:rsidRPr="00DD71A3">
        <w:rPr>
          <w:i/>
        </w:rPr>
        <w:t>)</w:t>
      </w:r>
      <w:r w:rsidR="003440BB" w:rsidRPr="00DD71A3">
        <w:t xml:space="preserve"> </w:t>
      </w:r>
      <w:r w:rsidR="007615A8" w:rsidRPr="00DD71A3">
        <w:t xml:space="preserve">vēl ir </w:t>
      </w:r>
      <w:r w:rsidR="003440BB" w:rsidRPr="00DD71A3">
        <w:t>jāizvērtē</w:t>
      </w:r>
      <w:r w:rsidR="007615A8" w:rsidRPr="00DD71A3">
        <w:t xml:space="preserve"> minēto iestāžu</w:t>
      </w:r>
      <w:r w:rsidR="00527EBF" w:rsidRPr="00DD71A3">
        <w:t xml:space="preserve"> izvietošanas, tostarp nekustamajā īpašumā izvietojamo iestāžu vienota klientu apkalpošanas centra izveidošanas un</w:t>
      </w:r>
      <w:r w:rsidR="007615A8" w:rsidRPr="00DD71A3">
        <w:t xml:space="preserve"> </w:t>
      </w:r>
      <w:r w:rsidR="00527EBF" w:rsidRPr="00DD71A3">
        <w:t xml:space="preserve">izvietošanas </w:t>
      </w:r>
      <w:r w:rsidR="007615A8" w:rsidRPr="00DD71A3">
        <w:t>iespējas.</w:t>
      </w:r>
    </w:p>
    <w:p w14:paraId="11D2337B" w14:textId="77777777" w:rsidR="0049435D" w:rsidRDefault="0049435D" w:rsidP="0049435D">
      <w:pPr>
        <w:pStyle w:val="naiskr"/>
        <w:tabs>
          <w:tab w:val="left" w:pos="141"/>
        </w:tabs>
        <w:spacing w:before="0" w:after="0"/>
        <w:ind w:right="158" w:firstLine="709"/>
        <w:jc w:val="both"/>
      </w:pPr>
    </w:p>
    <w:p w14:paraId="1D9A381B" w14:textId="686F530E" w:rsidR="003360C4" w:rsidRPr="00DD71A3" w:rsidRDefault="008404E1" w:rsidP="0049435D">
      <w:pPr>
        <w:pStyle w:val="naiskr"/>
        <w:tabs>
          <w:tab w:val="left" w:pos="141"/>
        </w:tabs>
        <w:spacing w:before="0" w:after="0"/>
        <w:ind w:right="158" w:firstLine="709"/>
        <w:jc w:val="both"/>
      </w:pPr>
      <w:r w:rsidRPr="00DD71A3">
        <w:t>Ņemot vērā minēto</w:t>
      </w:r>
      <w:r w:rsidR="004934B7" w:rsidRPr="00DD71A3">
        <w:t>, ir sagatavots Ministru kabineta sēd</w:t>
      </w:r>
      <w:r w:rsidR="003360C4" w:rsidRPr="00DD71A3">
        <w:t>es protokollēmuma projekts, kurā</w:t>
      </w:r>
      <w:r w:rsidR="00A961F5" w:rsidRPr="00DD71A3">
        <w:t xml:space="preserve"> </w:t>
      </w:r>
      <w:r w:rsidR="004934B7" w:rsidRPr="00DD71A3">
        <w:t>paredzēts, ka</w:t>
      </w:r>
      <w:r w:rsidR="003360C4" w:rsidRPr="00DD71A3">
        <w:t>:</w:t>
      </w:r>
    </w:p>
    <w:p w14:paraId="40672539" w14:textId="77777777" w:rsidR="00FD5F61" w:rsidRPr="00DD71A3" w:rsidRDefault="00A961F5" w:rsidP="003360C4">
      <w:pPr>
        <w:pStyle w:val="ListParagraph"/>
        <w:numPr>
          <w:ilvl w:val="0"/>
          <w:numId w:val="11"/>
        </w:numPr>
        <w:tabs>
          <w:tab w:val="left" w:pos="426"/>
        </w:tabs>
        <w:spacing w:after="0" w:line="240" w:lineRule="auto"/>
        <w:contextualSpacing w:val="0"/>
        <w:jc w:val="both"/>
        <w:rPr>
          <w:rFonts w:eastAsia="Calibri"/>
          <w:sz w:val="24"/>
          <w:szCs w:val="24"/>
          <w:lang w:eastAsia="lv-LV"/>
        </w:rPr>
      </w:pPr>
      <w:r w:rsidRPr="00DD71A3">
        <w:rPr>
          <w:rFonts w:eastAsia="Calibri"/>
          <w:sz w:val="24"/>
          <w:szCs w:val="24"/>
          <w:lang w:eastAsia="lv-LV"/>
        </w:rPr>
        <w:t>Finanšu min</w:t>
      </w:r>
      <w:r w:rsidR="003A1C63" w:rsidRPr="00DD71A3">
        <w:rPr>
          <w:rFonts w:eastAsia="Calibri"/>
          <w:sz w:val="24"/>
          <w:szCs w:val="24"/>
          <w:lang w:eastAsia="lv-LV"/>
        </w:rPr>
        <w:t>is</w:t>
      </w:r>
      <w:r w:rsidRPr="00DD71A3">
        <w:rPr>
          <w:rFonts w:eastAsia="Calibri"/>
          <w:sz w:val="24"/>
          <w:szCs w:val="24"/>
          <w:lang w:eastAsia="lv-LV"/>
        </w:rPr>
        <w:t>trijas</w:t>
      </w:r>
      <w:r w:rsidR="000D1B76" w:rsidRPr="00DD71A3">
        <w:rPr>
          <w:rFonts w:eastAsia="Calibri"/>
          <w:sz w:val="24"/>
          <w:szCs w:val="24"/>
          <w:lang w:eastAsia="lv-LV"/>
        </w:rPr>
        <w:t xml:space="preserve"> (VID)</w:t>
      </w:r>
      <w:r w:rsidR="00142175" w:rsidRPr="00DD71A3">
        <w:rPr>
          <w:rFonts w:eastAsia="Calibri"/>
          <w:sz w:val="24"/>
          <w:szCs w:val="24"/>
          <w:lang w:eastAsia="lv-LV"/>
        </w:rPr>
        <w:t xml:space="preserve"> </w:t>
      </w:r>
      <w:r w:rsidR="00266C5E" w:rsidRPr="00DD71A3">
        <w:rPr>
          <w:sz w:val="24"/>
          <w:szCs w:val="24"/>
        </w:rPr>
        <w:t>jaunā politikas iniciatīva</w:t>
      </w:r>
      <w:r w:rsidR="00672E7D" w:rsidRPr="00DD71A3">
        <w:rPr>
          <w:sz w:val="24"/>
          <w:szCs w:val="24"/>
        </w:rPr>
        <w:t xml:space="preserve"> </w:t>
      </w:r>
      <w:r w:rsidR="005136A6" w:rsidRPr="00DD71A3">
        <w:rPr>
          <w:sz w:val="24"/>
          <w:szCs w:val="24"/>
        </w:rPr>
        <w:t xml:space="preserve">par </w:t>
      </w:r>
      <w:r w:rsidR="00862FEA" w:rsidRPr="00DD71A3">
        <w:rPr>
          <w:sz w:val="24"/>
          <w:szCs w:val="24"/>
        </w:rPr>
        <w:t xml:space="preserve">papildus </w:t>
      </w:r>
      <w:r w:rsidR="005136A6" w:rsidRPr="00DD71A3">
        <w:rPr>
          <w:sz w:val="24"/>
          <w:szCs w:val="24"/>
        </w:rPr>
        <w:t xml:space="preserve">nepieciešamo </w:t>
      </w:r>
      <w:r w:rsidR="002D44D8" w:rsidRPr="00DD71A3">
        <w:rPr>
          <w:sz w:val="24"/>
          <w:szCs w:val="24"/>
        </w:rPr>
        <w:t xml:space="preserve">finansējumu ilgtermiņa saistībām nekustamā īpašuma Kuldīgas ielā 2, Ventspilī, nomas maksas izdevumu segšanai VNĪ </w:t>
      </w:r>
      <w:r w:rsidR="00482D66" w:rsidRPr="00DD71A3">
        <w:rPr>
          <w:rFonts w:eastAsia="Calibri"/>
          <w:sz w:val="24"/>
          <w:szCs w:val="24"/>
          <w:lang w:eastAsia="lv-LV"/>
        </w:rPr>
        <w:t>201</w:t>
      </w:r>
      <w:r w:rsidR="00B36608" w:rsidRPr="00DD71A3">
        <w:rPr>
          <w:rFonts w:eastAsia="Calibri"/>
          <w:sz w:val="24"/>
          <w:szCs w:val="24"/>
          <w:lang w:eastAsia="lv-LV"/>
        </w:rPr>
        <w:t>9</w:t>
      </w:r>
      <w:r w:rsidR="00482D66" w:rsidRPr="00DD71A3">
        <w:rPr>
          <w:rFonts w:eastAsia="Calibri"/>
          <w:sz w:val="24"/>
          <w:szCs w:val="24"/>
          <w:lang w:eastAsia="lv-LV"/>
        </w:rPr>
        <w:t xml:space="preserve">.gadā – </w:t>
      </w:r>
      <w:r w:rsidR="00894CDF" w:rsidRPr="00DD71A3">
        <w:rPr>
          <w:rFonts w:eastAsia="Calibri"/>
          <w:sz w:val="24"/>
          <w:szCs w:val="24"/>
          <w:lang w:eastAsia="lv-LV"/>
        </w:rPr>
        <w:t>156</w:t>
      </w:r>
      <w:r w:rsidR="000A3D73" w:rsidRPr="00DD71A3">
        <w:rPr>
          <w:rFonts w:eastAsia="Calibri"/>
          <w:sz w:val="24"/>
          <w:szCs w:val="24"/>
          <w:lang w:eastAsia="lv-LV"/>
        </w:rPr>
        <w:t xml:space="preserve"> </w:t>
      </w:r>
      <w:r w:rsidR="00894CDF" w:rsidRPr="00DD71A3">
        <w:rPr>
          <w:rFonts w:eastAsia="Calibri"/>
          <w:sz w:val="24"/>
          <w:szCs w:val="24"/>
          <w:lang w:eastAsia="lv-LV"/>
        </w:rPr>
        <w:t>8</w:t>
      </w:r>
      <w:r w:rsidR="000A3D73" w:rsidRPr="00DD71A3">
        <w:rPr>
          <w:rFonts w:eastAsia="Calibri"/>
          <w:sz w:val="24"/>
          <w:szCs w:val="24"/>
          <w:lang w:eastAsia="lv-LV"/>
        </w:rPr>
        <w:t>87</w:t>
      </w:r>
      <w:r w:rsidR="00482D66" w:rsidRPr="00DD71A3">
        <w:rPr>
          <w:rFonts w:eastAsia="Calibri"/>
          <w:sz w:val="24"/>
          <w:szCs w:val="24"/>
          <w:lang w:eastAsia="lv-LV"/>
        </w:rPr>
        <w:t xml:space="preserve"> </w:t>
      </w:r>
      <w:r w:rsidR="00482D66" w:rsidRPr="00DD71A3">
        <w:rPr>
          <w:rFonts w:eastAsia="Calibri"/>
          <w:i/>
          <w:sz w:val="24"/>
          <w:szCs w:val="24"/>
          <w:lang w:eastAsia="lv-LV"/>
        </w:rPr>
        <w:t>euro</w:t>
      </w:r>
      <w:r w:rsidR="00482D66" w:rsidRPr="00DD71A3">
        <w:rPr>
          <w:rFonts w:eastAsia="Calibri"/>
          <w:sz w:val="24"/>
          <w:szCs w:val="24"/>
          <w:lang w:eastAsia="lv-LV"/>
        </w:rPr>
        <w:t xml:space="preserve"> (nomas maksa par septiņiem mēnešiem), turpmākajos gados no 20</w:t>
      </w:r>
      <w:r w:rsidR="000A3D73" w:rsidRPr="00DD71A3">
        <w:rPr>
          <w:rFonts w:eastAsia="Calibri"/>
          <w:sz w:val="24"/>
          <w:szCs w:val="24"/>
          <w:lang w:eastAsia="lv-LV"/>
        </w:rPr>
        <w:t>20</w:t>
      </w:r>
      <w:r w:rsidR="00482D66" w:rsidRPr="00DD71A3">
        <w:rPr>
          <w:rFonts w:eastAsia="Calibri"/>
          <w:sz w:val="24"/>
          <w:szCs w:val="24"/>
          <w:lang w:eastAsia="lv-LV"/>
        </w:rPr>
        <w:t>.gada līdz 203</w:t>
      </w:r>
      <w:r w:rsidR="000A3D73" w:rsidRPr="00DD71A3">
        <w:rPr>
          <w:rFonts w:eastAsia="Calibri"/>
          <w:sz w:val="24"/>
          <w:szCs w:val="24"/>
          <w:lang w:eastAsia="lv-LV"/>
        </w:rPr>
        <w:t>8</w:t>
      </w:r>
      <w:r w:rsidR="00482D66" w:rsidRPr="00DD71A3">
        <w:rPr>
          <w:rFonts w:eastAsia="Calibri"/>
          <w:sz w:val="24"/>
          <w:szCs w:val="24"/>
          <w:lang w:eastAsia="lv-LV"/>
        </w:rPr>
        <w:t xml:space="preserve">.gadam (ieskaitot) ik gadu – </w:t>
      </w:r>
      <w:r w:rsidR="000A3D73" w:rsidRPr="00DD71A3">
        <w:rPr>
          <w:rFonts w:eastAsia="Calibri"/>
          <w:sz w:val="24"/>
          <w:szCs w:val="24"/>
          <w:lang w:eastAsia="lv-LV"/>
        </w:rPr>
        <w:t>268 949</w:t>
      </w:r>
      <w:r w:rsidR="00482D66" w:rsidRPr="00DD71A3">
        <w:rPr>
          <w:rFonts w:eastAsia="Calibri"/>
          <w:sz w:val="24"/>
          <w:szCs w:val="24"/>
          <w:lang w:eastAsia="lv-LV"/>
        </w:rPr>
        <w:t xml:space="preserve"> </w:t>
      </w:r>
      <w:r w:rsidR="00482D66" w:rsidRPr="00DD71A3">
        <w:rPr>
          <w:rFonts w:eastAsia="Calibri"/>
          <w:i/>
          <w:sz w:val="24"/>
          <w:szCs w:val="24"/>
          <w:lang w:eastAsia="lv-LV"/>
        </w:rPr>
        <w:t>euro</w:t>
      </w:r>
      <w:r w:rsidR="00482D66" w:rsidRPr="00DD71A3">
        <w:rPr>
          <w:rFonts w:eastAsia="Calibri"/>
          <w:sz w:val="24"/>
          <w:szCs w:val="24"/>
          <w:lang w:eastAsia="lv-LV"/>
        </w:rPr>
        <w:t xml:space="preserve"> un 20</w:t>
      </w:r>
      <w:r w:rsidR="000A3D73" w:rsidRPr="00DD71A3">
        <w:rPr>
          <w:rFonts w:eastAsia="Calibri"/>
          <w:sz w:val="24"/>
          <w:szCs w:val="24"/>
          <w:lang w:eastAsia="lv-LV"/>
        </w:rPr>
        <w:t>39</w:t>
      </w:r>
      <w:r w:rsidR="00482D66" w:rsidRPr="00DD71A3">
        <w:rPr>
          <w:rFonts w:eastAsia="Calibri"/>
          <w:sz w:val="24"/>
          <w:szCs w:val="24"/>
          <w:lang w:eastAsia="lv-LV"/>
        </w:rPr>
        <w:t>.gadā –</w:t>
      </w:r>
      <w:r w:rsidR="00FD02F1" w:rsidRPr="00DD71A3">
        <w:rPr>
          <w:rFonts w:eastAsia="Calibri"/>
          <w:sz w:val="24"/>
          <w:szCs w:val="24"/>
          <w:lang w:eastAsia="lv-LV"/>
        </w:rPr>
        <w:t xml:space="preserve"> </w:t>
      </w:r>
      <w:r w:rsidR="000A3D73" w:rsidRPr="00DD71A3">
        <w:rPr>
          <w:rFonts w:eastAsia="Calibri"/>
          <w:sz w:val="24"/>
          <w:szCs w:val="24"/>
          <w:lang w:eastAsia="lv-LV"/>
        </w:rPr>
        <w:t>100 391</w:t>
      </w:r>
      <w:r w:rsidR="00FD02F1" w:rsidRPr="00DD71A3">
        <w:rPr>
          <w:rFonts w:eastAsia="Calibri"/>
          <w:sz w:val="24"/>
          <w:szCs w:val="24"/>
          <w:lang w:eastAsia="lv-LV"/>
        </w:rPr>
        <w:t xml:space="preserve"> </w:t>
      </w:r>
      <w:r w:rsidR="00482D66" w:rsidRPr="00DD71A3">
        <w:rPr>
          <w:rFonts w:eastAsia="Calibri"/>
          <w:i/>
          <w:sz w:val="24"/>
          <w:szCs w:val="24"/>
          <w:lang w:eastAsia="lv-LV"/>
        </w:rPr>
        <w:t>euro</w:t>
      </w:r>
      <w:r w:rsidR="00482D66" w:rsidRPr="00DD71A3">
        <w:rPr>
          <w:rFonts w:eastAsia="Calibri"/>
          <w:sz w:val="24"/>
          <w:szCs w:val="24"/>
          <w:lang w:eastAsia="lv-LV"/>
        </w:rPr>
        <w:t xml:space="preserve"> (nomas maksa par pieciem mēnešiem), </w:t>
      </w:r>
      <w:r w:rsidR="00D34E56" w:rsidRPr="00DD71A3">
        <w:rPr>
          <w:rFonts w:eastAsia="Calibri"/>
          <w:sz w:val="24"/>
          <w:szCs w:val="24"/>
          <w:lang w:eastAsia="lv-LV"/>
        </w:rPr>
        <w:t>201</w:t>
      </w:r>
      <w:r w:rsidR="000A3D73" w:rsidRPr="00DD71A3">
        <w:rPr>
          <w:rFonts w:eastAsia="Calibri"/>
          <w:sz w:val="24"/>
          <w:szCs w:val="24"/>
          <w:lang w:eastAsia="lv-LV"/>
        </w:rPr>
        <w:t>9</w:t>
      </w:r>
      <w:r w:rsidR="00D34E56" w:rsidRPr="00DD71A3">
        <w:rPr>
          <w:rFonts w:eastAsia="Calibri"/>
          <w:sz w:val="24"/>
          <w:szCs w:val="24"/>
          <w:lang w:eastAsia="lv-LV"/>
        </w:rPr>
        <w:t xml:space="preserve">.gadā </w:t>
      </w:r>
      <w:r w:rsidR="002D44D8" w:rsidRPr="00DD71A3">
        <w:rPr>
          <w:rFonts w:eastAsia="Calibri"/>
          <w:sz w:val="24"/>
          <w:szCs w:val="24"/>
          <w:lang w:eastAsia="lv-LV"/>
        </w:rPr>
        <w:t xml:space="preserve">pārcelšanās </w:t>
      </w:r>
      <w:r w:rsidR="005136A6" w:rsidRPr="00DD71A3">
        <w:rPr>
          <w:rFonts w:eastAsia="Calibri"/>
          <w:sz w:val="24"/>
          <w:szCs w:val="24"/>
          <w:lang w:eastAsia="lv-LV"/>
        </w:rPr>
        <w:t xml:space="preserve">izdevumu segšanai </w:t>
      </w:r>
      <w:r w:rsidR="000A3D73" w:rsidRPr="00DD71A3">
        <w:rPr>
          <w:rFonts w:eastAsia="Calibri"/>
          <w:sz w:val="24"/>
          <w:szCs w:val="24"/>
          <w:lang w:eastAsia="lv-LV"/>
        </w:rPr>
        <w:t>8</w:t>
      </w:r>
      <w:r w:rsidR="00CD64F6" w:rsidRPr="00DD71A3">
        <w:rPr>
          <w:rFonts w:eastAsia="Calibri"/>
          <w:sz w:val="24"/>
          <w:szCs w:val="24"/>
          <w:lang w:eastAsia="lv-LV"/>
        </w:rPr>
        <w:t> </w:t>
      </w:r>
      <w:r w:rsidR="00E84DC3" w:rsidRPr="00DD71A3">
        <w:rPr>
          <w:rFonts w:eastAsia="Calibri"/>
          <w:sz w:val="24"/>
          <w:szCs w:val="24"/>
          <w:lang w:eastAsia="lv-LV"/>
        </w:rPr>
        <w:t>478</w:t>
      </w:r>
      <w:r w:rsidR="000A3D73" w:rsidRPr="00DD71A3">
        <w:rPr>
          <w:rFonts w:eastAsia="Calibri"/>
          <w:sz w:val="24"/>
          <w:szCs w:val="24"/>
          <w:lang w:eastAsia="lv-LV"/>
        </w:rPr>
        <w:t xml:space="preserve"> </w:t>
      </w:r>
      <w:r w:rsidR="005136A6" w:rsidRPr="00DD71A3">
        <w:rPr>
          <w:rFonts w:eastAsia="Calibri"/>
          <w:i/>
          <w:sz w:val="24"/>
          <w:szCs w:val="24"/>
          <w:lang w:eastAsia="lv-LV"/>
        </w:rPr>
        <w:t>euro</w:t>
      </w:r>
      <w:r w:rsidR="002D44D8" w:rsidRPr="00DD71A3">
        <w:rPr>
          <w:rFonts w:eastAsia="Calibri"/>
          <w:sz w:val="24"/>
          <w:szCs w:val="24"/>
          <w:lang w:eastAsia="lv-LV"/>
        </w:rPr>
        <w:t xml:space="preserve"> un ap</w:t>
      </w:r>
      <w:r w:rsidR="00444B8C" w:rsidRPr="00DD71A3">
        <w:rPr>
          <w:rFonts w:eastAsia="Calibri"/>
          <w:sz w:val="24"/>
          <w:szCs w:val="24"/>
          <w:lang w:eastAsia="lv-LV"/>
        </w:rPr>
        <w:t>r</w:t>
      </w:r>
      <w:r w:rsidR="002D44D8" w:rsidRPr="00DD71A3">
        <w:rPr>
          <w:rFonts w:eastAsia="Calibri"/>
          <w:sz w:val="24"/>
          <w:szCs w:val="24"/>
          <w:lang w:eastAsia="lv-LV"/>
        </w:rPr>
        <w:t>īkojuma iegādes izdevumu segšanai</w:t>
      </w:r>
      <w:r w:rsidR="00444B8C" w:rsidRPr="00DD71A3">
        <w:rPr>
          <w:rFonts w:eastAsia="Calibri"/>
          <w:sz w:val="24"/>
          <w:szCs w:val="24"/>
          <w:lang w:eastAsia="lv-LV"/>
        </w:rPr>
        <w:t xml:space="preserve"> </w:t>
      </w:r>
      <w:r w:rsidR="000A3D73" w:rsidRPr="00DD71A3">
        <w:rPr>
          <w:rFonts w:eastAsia="Calibri"/>
          <w:sz w:val="24"/>
          <w:szCs w:val="24"/>
          <w:lang w:eastAsia="lv-LV"/>
        </w:rPr>
        <w:t>43</w:t>
      </w:r>
      <w:r w:rsidR="00CD64F6" w:rsidRPr="00DD71A3">
        <w:rPr>
          <w:rFonts w:eastAsia="Calibri"/>
          <w:sz w:val="24"/>
          <w:szCs w:val="24"/>
          <w:lang w:eastAsia="lv-LV"/>
        </w:rPr>
        <w:t> </w:t>
      </w:r>
      <w:r w:rsidR="000A3D73" w:rsidRPr="00DD71A3">
        <w:rPr>
          <w:rFonts w:eastAsia="Calibri"/>
          <w:sz w:val="24"/>
          <w:szCs w:val="24"/>
          <w:lang w:eastAsia="lv-LV"/>
        </w:rPr>
        <w:t xml:space="preserve">350 </w:t>
      </w:r>
      <w:r w:rsidR="00444B8C" w:rsidRPr="00DD71A3">
        <w:rPr>
          <w:rFonts w:eastAsia="Calibri"/>
          <w:i/>
          <w:sz w:val="24"/>
          <w:szCs w:val="24"/>
          <w:lang w:eastAsia="lv-LV"/>
        </w:rPr>
        <w:t>euro</w:t>
      </w:r>
      <w:r w:rsidR="005136A6" w:rsidRPr="00DD71A3">
        <w:rPr>
          <w:rFonts w:eastAsia="Calibri"/>
          <w:sz w:val="24"/>
          <w:szCs w:val="24"/>
          <w:lang w:eastAsia="lv-LV"/>
        </w:rPr>
        <w:t xml:space="preserve">, </w:t>
      </w:r>
      <w:r w:rsidR="00266C5E" w:rsidRPr="00DD71A3">
        <w:rPr>
          <w:rFonts w:eastAsia="Calibri"/>
          <w:sz w:val="24"/>
          <w:szCs w:val="24"/>
          <w:lang w:eastAsia="lv-LV"/>
        </w:rPr>
        <w:t>izskatāma</w:t>
      </w:r>
      <w:r w:rsidR="005136A6" w:rsidRPr="00DD71A3">
        <w:rPr>
          <w:rFonts w:eastAsia="Calibri"/>
          <w:sz w:val="24"/>
          <w:szCs w:val="24"/>
          <w:lang w:eastAsia="lv-LV"/>
        </w:rPr>
        <w:t xml:space="preserve"> Ministru kabinetā kopā ar visu ministriju un citu centrālo valsts iestāžu jauno politikas iniciatīvu pieprasījumiem likumprojekta „Par valsts budžetu 201</w:t>
      </w:r>
      <w:r w:rsidR="00CD64F6" w:rsidRPr="00DD71A3">
        <w:rPr>
          <w:rFonts w:eastAsia="Calibri"/>
          <w:sz w:val="24"/>
          <w:szCs w:val="24"/>
          <w:lang w:eastAsia="lv-LV"/>
        </w:rPr>
        <w:t>7</w:t>
      </w:r>
      <w:r w:rsidR="005136A6" w:rsidRPr="00DD71A3">
        <w:rPr>
          <w:rFonts w:eastAsia="Calibri"/>
          <w:sz w:val="24"/>
          <w:szCs w:val="24"/>
          <w:lang w:eastAsia="lv-LV"/>
        </w:rPr>
        <w:t>.gadam” un likumprojekta „Par vidēja termiņa budžeta ietvaru 201</w:t>
      </w:r>
      <w:r w:rsidR="00CD64F6" w:rsidRPr="00DD71A3">
        <w:rPr>
          <w:rFonts w:eastAsia="Calibri"/>
          <w:sz w:val="24"/>
          <w:szCs w:val="24"/>
          <w:lang w:eastAsia="lv-LV"/>
        </w:rPr>
        <w:t>7</w:t>
      </w:r>
      <w:r w:rsidR="005136A6" w:rsidRPr="00DD71A3">
        <w:rPr>
          <w:rFonts w:eastAsia="Calibri"/>
          <w:sz w:val="24"/>
          <w:szCs w:val="24"/>
          <w:lang w:eastAsia="lv-LV"/>
        </w:rPr>
        <w:t>., 201</w:t>
      </w:r>
      <w:r w:rsidR="00CD64F6" w:rsidRPr="00DD71A3">
        <w:rPr>
          <w:rFonts w:eastAsia="Calibri"/>
          <w:sz w:val="24"/>
          <w:szCs w:val="24"/>
          <w:lang w:eastAsia="lv-LV"/>
        </w:rPr>
        <w:t>8</w:t>
      </w:r>
      <w:r w:rsidR="005136A6" w:rsidRPr="00DD71A3">
        <w:rPr>
          <w:rFonts w:eastAsia="Calibri"/>
          <w:sz w:val="24"/>
          <w:szCs w:val="24"/>
          <w:lang w:eastAsia="lv-LV"/>
        </w:rPr>
        <w:t>. un 20</w:t>
      </w:r>
      <w:r w:rsidR="00087028" w:rsidRPr="00DD71A3">
        <w:rPr>
          <w:rFonts w:eastAsia="Calibri"/>
          <w:sz w:val="24"/>
          <w:szCs w:val="24"/>
          <w:lang w:eastAsia="lv-LV"/>
        </w:rPr>
        <w:t>1</w:t>
      </w:r>
      <w:r w:rsidR="00CD64F6" w:rsidRPr="00DD71A3">
        <w:rPr>
          <w:rFonts w:eastAsia="Calibri"/>
          <w:sz w:val="24"/>
          <w:szCs w:val="24"/>
          <w:lang w:eastAsia="lv-LV"/>
        </w:rPr>
        <w:t>9</w:t>
      </w:r>
      <w:r w:rsidR="003360C4" w:rsidRPr="00DD71A3">
        <w:rPr>
          <w:rFonts w:eastAsia="Calibri"/>
          <w:sz w:val="24"/>
          <w:szCs w:val="24"/>
          <w:lang w:eastAsia="lv-LV"/>
        </w:rPr>
        <w:t>.gadam” sagatavošanas procesā;</w:t>
      </w:r>
    </w:p>
    <w:p w14:paraId="500BC523" w14:textId="5A250050" w:rsidR="00CD64F6" w:rsidRPr="00DD71A3" w:rsidRDefault="003360C4" w:rsidP="000C2CF7">
      <w:pPr>
        <w:pStyle w:val="ListParagraph"/>
        <w:numPr>
          <w:ilvl w:val="0"/>
          <w:numId w:val="11"/>
        </w:numPr>
        <w:tabs>
          <w:tab w:val="left" w:pos="426"/>
        </w:tabs>
        <w:spacing w:after="0" w:line="240" w:lineRule="auto"/>
        <w:contextualSpacing w:val="0"/>
        <w:jc w:val="both"/>
        <w:rPr>
          <w:rFonts w:eastAsia="Calibri"/>
          <w:sz w:val="24"/>
          <w:szCs w:val="24"/>
          <w:lang w:eastAsia="lv-LV"/>
        </w:rPr>
      </w:pPr>
      <w:r w:rsidRPr="00DD71A3">
        <w:rPr>
          <w:rFonts w:eastAsia="Calibri"/>
          <w:sz w:val="24"/>
          <w:szCs w:val="24"/>
          <w:lang w:eastAsia="lv-LV"/>
        </w:rPr>
        <w:t xml:space="preserve">Finanšu ministrijai (VNĪ un VID) sadarbībā ar Labklājības ministriju (Nodarbinātības valsts aģentūru) un Tieslietu ministriju </w:t>
      </w:r>
      <w:r w:rsidR="00AE3DCC" w:rsidRPr="00DD71A3">
        <w:rPr>
          <w:rFonts w:eastAsia="Calibri"/>
          <w:sz w:val="24"/>
          <w:szCs w:val="24"/>
          <w:lang w:eastAsia="lv-LV"/>
        </w:rPr>
        <w:t>(Uzņēmumu re</w:t>
      </w:r>
      <w:r w:rsidR="005B5933" w:rsidRPr="00DD71A3">
        <w:rPr>
          <w:rFonts w:eastAsia="Calibri"/>
          <w:sz w:val="24"/>
          <w:szCs w:val="24"/>
          <w:lang w:eastAsia="lv-LV"/>
        </w:rPr>
        <w:t>ģistru</w:t>
      </w:r>
      <w:r w:rsidR="00AE3DCC" w:rsidRPr="00DD71A3">
        <w:rPr>
          <w:rFonts w:eastAsia="Calibri"/>
          <w:sz w:val="24"/>
          <w:szCs w:val="24"/>
          <w:lang w:eastAsia="lv-LV"/>
        </w:rPr>
        <w:t xml:space="preserve">) </w:t>
      </w:r>
      <w:r w:rsidR="003440BB" w:rsidRPr="00DD71A3">
        <w:rPr>
          <w:rFonts w:eastAsia="Calibri"/>
          <w:sz w:val="24"/>
          <w:szCs w:val="24"/>
          <w:lang w:eastAsia="lv-LV"/>
        </w:rPr>
        <w:t>līdz 2016.gada 1.</w:t>
      </w:r>
      <w:r w:rsidR="00F44859" w:rsidRPr="00DD71A3">
        <w:rPr>
          <w:rFonts w:eastAsia="Calibri"/>
          <w:sz w:val="24"/>
          <w:szCs w:val="24"/>
          <w:lang w:eastAsia="lv-LV"/>
        </w:rPr>
        <w:t>maijam</w:t>
      </w:r>
      <w:r w:rsidR="003440BB" w:rsidRPr="00DD71A3">
        <w:rPr>
          <w:rFonts w:eastAsia="Calibri"/>
          <w:sz w:val="24"/>
          <w:szCs w:val="24"/>
          <w:lang w:eastAsia="lv-LV"/>
        </w:rPr>
        <w:t xml:space="preserve"> </w:t>
      </w:r>
      <w:r w:rsidR="00AE3DCC" w:rsidRPr="00DD71A3">
        <w:rPr>
          <w:rFonts w:eastAsia="Calibri"/>
          <w:sz w:val="24"/>
          <w:szCs w:val="24"/>
          <w:lang w:eastAsia="lv-LV"/>
        </w:rPr>
        <w:t xml:space="preserve">izvērtēt iespēju </w:t>
      </w:r>
      <w:r w:rsidR="005B5933" w:rsidRPr="00DD71A3">
        <w:rPr>
          <w:rFonts w:eastAsia="Calibri"/>
          <w:sz w:val="24"/>
          <w:szCs w:val="24"/>
          <w:lang w:eastAsia="lv-LV"/>
        </w:rPr>
        <w:t xml:space="preserve">ēkā Kuldīgas ielā 2, Ventspilī, </w:t>
      </w:r>
      <w:r w:rsidR="00AE3DCC" w:rsidRPr="00DD71A3">
        <w:rPr>
          <w:rFonts w:eastAsia="Calibri"/>
          <w:sz w:val="24"/>
          <w:szCs w:val="24"/>
          <w:lang w:eastAsia="lv-LV"/>
        </w:rPr>
        <w:t>nākotnē izvietot vienotu klientu apkalpošanas centru gan VID, gan Nodarbinātības valsts aģentūras Ventspils nodaļu vajadzībām, kā arī iespēju izvietot biroja telpas Nodarbinātības valsts aģentūras un Uzņēmuma reģistra Ventspils nodaļu vajadzīb</w:t>
      </w:r>
      <w:r w:rsidR="008B1AA1" w:rsidRPr="00DD71A3">
        <w:rPr>
          <w:rFonts w:eastAsia="Calibri"/>
          <w:sz w:val="24"/>
          <w:szCs w:val="24"/>
          <w:lang w:eastAsia="lv-LV"/>
        </w:rPr>
        <w:t>ām</w:t>
      </w:r>
      <w:r w:rsidR="005B46E8" w:rsidRPr="00DD71A3">
        <w:rPr>
          <w:rFonts w:eastAsia="Calibri"/>
          <w:sz w:val="24"/>
          <w:szCs w:val="24"/>
          <w:lang w:eastAsia="lv-LV"/>
        </w:rPr>
        <w:t>;</w:t>
      </w:r>
    </w:p>
    <w:p w14:paraId="05C46360" w14:textId="55A0598E" w:rsidR="005B46E8" w:rsidRPr="00DD71A3" w:rsidRDefault="00A467E0" w:rsidP="00A467E0">
      <w:pPr>
        <w:pStyle w:val="ListParagraph"/>
        <w:numPr>
          <w:ilvl w:val="0"/>
          <w:numId w:val="11"/>
        </w:numPr>
        <w:tabs>
          <w:tab w:val="left" w:pos="426"/>
        </w:tabs>
        <w:spacing w:after="0" w:line="240" w:lineRule="auto"/>
        <w:contextualSpacing w:val="0"/>
        <w:jc w:val="both"/>
        <w:rPr>
          <w:rFonts w:eastAsia="Calibri"/>
          <w:sz w:val="24"/>
          <w:szCs w:val="24"/>
          <w:lang w:eastAsia="lv-LV"/>
        </w:rPr>
      </w:pPr>
      <w:r w:rsidRPr="00DD71A3">
        <w:rPr>
          <w:rFonts w:eastAsia="Calibri"/>
          <w:sz w:val="24"/>
          <w:szCs w:val="24"/>
          <w:lang w:eastAsia="lv-LV"/>
        </w:rPr>
        <w:t>Pieņemt zināšanai, ka, lai nodrošinātu VID Ventspils nodaļas izvietošanu nekustamajā īpašumā Kuldīgas ielā 2,Ventspilī, VNĪ mainīs tās īpašumā esošo nekustamo īpašumu Rūpniecības ielā 2, Ventspilī, kas nepieciešams pašvaldības autonomās funkcijas vajadzībām, pret pašvaldības SIA “Ventspils nekustamie īpašumi” piederošo nekustamo īpašumu Kuldīgas ielā 2,Ventspilī. Nekustamo īpašumu tirgus vērtību starpību pašvaldības SIA “Ventspils nekustamie īpašumi” segs no saviem finanšu resursiem.</w:t>
      </w:r>
    </w:p>
    <w:p w14:paraId="6F6298E2" w14:textId="77777777" w:rsidR="00DB03ED" w:rsidRPr="009653B0" w:rsidRDefault="00DB03ED" w:rsidP="009653B0">
      <w:pPr>
        <w:pStyle w:val="Header"/>
        <w:tabs>
          <w:tab w:val="clear" w:pos="4153"/>
          <w:tab w:val="clear" w:pos="8306"/>
        </w:tabs>
        <w:rPr>
          <w:rFonts w:ascii="Times New Roman" w:hAnsi="Times New Roman" w:cs="Times New Roman"/>
          <w:sz w:val="24"/>
          <w:szCs w:val="24"/>
        </w:rPr>
      </w:pPr>
    </w:p>
    <w:p w14:paraId="5B839F21" w14:textId="77777777" w:rsidR="009653B0" w:rsidRPr="009653B0" w:rsidRDefault="009653B0" w:rsidP="009653B0">
      <w:pPr>
        <w:spacing w:after="0" w:line="240" w:lineRule="auto"/>
        <w:rPr>
          <w:rFonts w:ascii="Times New Roman" w:hAnsi="Times New Roman" w:cs="Times New Roman"/>
          <w:sz w:val="24"/>
          <w:szCs w:val="24"/>
        </w:rPr>
      </w:pPr>
      <w:r w:rsidRPr="009653B0">
        <w:rPr>
          <w:rFonts w:ascii="Times New Roman" w:hAnsi="Times New Roman" w:cs="Times New Roman"/>
          <w:sz w:val="24"/>
          <w:szCs w:val="24"/>
        </w:rPr>
        <w:t xml:space="preserve">Finanšu ministra vietā – </w:t>
      </w:r>
    </w:p>
    <w:p w14:paraId="637CAB13" w14:textId="40ECEFA8" w:rsidR="009653B0" w:rsidRPr="009653B0" w:rsidRDefault="009653B0" w:rsidP="009653B0">
      <w:pPr>
        <w:spacing w:after="0" w:line="240" w:lineRule="auto"/>
        <w:rPr>
          <w:rFonts w:ascii="Times New Roman" w:hAnsi="Times New Roman" w:cs="Times New Roman"/>
          <w:sz w:val="24"/>
          <w:szCs w:val="24"/>
        </w:rPr>
      </w:pPr>
      <w:r w:rsidRPr="009653B0">
        <w:rPr>
          <w:rFonts w:ascii="Times New Roman" w:hAnsi="Times New Roman" w:cs="Times New Roman"/>
          <w:color w:val="000000"/>
          <w:sz w:val="24"/>
          <w:szCs w:val="24"/>
        </w:rPr>
        <w:t xml:space="preserve">iekšlietu </w:t>
      </w:r>
      <w:r>
        <w:rPr>
          <w:rFonts w:ascii="Times New Roman" w:hAnsi="Times New Roman" w:cs="Times New Roman"/>
          <w:color w:val="000000"/>
          <w:sz w:val="24"/>
          <w:szCs w:val="24"/>
        </w:rPr>
        <w:t>ministrs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9653B0">
        <w:rPr>
          <w:rFonts w:ascii="Times New Roman" w:hAnsi="Times New Roman" w:cs="Times New Roman"/>
          <w:color w:val="000000"/>
          <w:sz w:val="24"/>
          <w:szCs w:val="24"/>
        </w:rPr>
        <w:t xml:space="preserve">      R. Kozlovskis</w:t>
      </w:r>
    </w:p>
    <w:p w14:paraId="475D0EE2" w14:textId="77777777" w:rsidR="005B1873" w:rsidRPr="009653B0" w:rsidRDefault="005B1873" w:rsidP="009653B0">
      <w:pPr>
        <w:pStyle w:val="NoSpacing"/>
        <w:jc w:val="both"/>
        <w:rPr>
          <w:rFonts w:ascii="Times New Roman" w:eastAsia="Calibri" w:hAnsi="Times New Roman" w:cs="Times New Roman"/>
          <w:sz w:val="24"/>
          <w:szCs w:val="24"/>
          <w:lang w:eastAsia="lv-LV"/>
        </w:rPr>
      </w:pPr>
    </w:p>
    <w:p w14:paraId="175F840E" w14:textId="77777777" w:rsidR="00C74EA6" w:rsidRDefault="00C74EA6" w:rsidP="000C738F">
      <w:pPr>
        <w:pStyle w:val="NoSpacing"/>
        <w:jc w:val="both"/>
        <w:rPr>
          <w:rFonts w:ascii="Times New Roman" w:eastAsia="Calibri" w:hAnsi="Times New Roman" w:cs="Times New Roman"/>
          <w:sz w:val="24"/>
          <w:szCs w:val="24"/>
          <w:lang w:eastAsia="lv-LV"/>
        </w:rPr>
      </w:pPr>
    </w:p>
    <w:p w14:paraId="5983FAC2" w14:textId="2BCBCB53" w:rsidR="00BE7613" w:rsidRPr="006E36C9" w:rsidRDefault="009653B0" w:rsidP="00BE7613">
      <w:pPr>
        <w:pStyle w:val="Header"/>
        <w:tabs>
          <w:tab w:val="clear" w:pos="4153"/>
          <w:tab w:val="clear" w:pos="8306"/>
        </w:tabs>
        <w:rPr>
          <w:rFonts w:ascii="Times New Roman" w:hAnsi="Times New Roman" w:cs="Times New Roman"/>
          <w:sz w:val="20"/>
          <w:szCs w:val="20"/>
        </w:rPr>
      </w:pPr>
      <w:bookmarkStart w:id="1" w:name="OLE_LINK15"/>
      <w:bookmarkStart w:id="2" w:name="OLE_LINK11"/>
      <w:bookmarkStart w:id="3" w:name="OLE_LINK16"/>
      <w:r>
        <w:rPr>
          <w:rFonts w:ascii="Times New Roman" w:hAnsi="Times New Roman" w:cs="Times New Roman"/>
          <w:sz w:val="20"/>
          <w:szCs w:val="20"/>
        </w:rPr>
        <w:t>13</w:t>
      </w:r>
      <w:r w:rsidR="00237FC2" w:rsidRPr="006E36C9">
        <w:rPr>
          <w:rFonts w:ascii="Times New Roman" w:hAnsi="Times New Roman" w:cs="Times New Roman"/>
          <w:sz w:val="20"/>
          <w:szCs w:val="20"/>
        </w:rPr>
        <w:t>.07</w:t>
      </w:r>
      <w:r w:rsidR="00BE7613" w:rsidRPr="006E36C9">
        <w:rPr>
          <w:rFonts w:ascii="Times New Roman" w:hAnsi="Times New Roman" w:cs="Times New Roman"/>
          <w:sz w:val="20"/>
          <w:szCs w:val="20"/>
        </w:rPr>
        <w:t xml:space="preserve">.2015. </w:t>
      </w:r>
      <w:r>
        <w:rPr>
          <w:rFonts w:ascii="Times New Roman" w:hAnsi="Times New Roman" w:cs="Times New Roman"/>
          <w:sz w:val="20"/>
          <w:szCs w:val="20"/>
        </w:rPr>
        <w:t xml:space="preserve"> 9</w:t>
      </w:r>
      <w:r w:rsidR="002E1FCC" w:rsidRPr="006E36C9">
        <w:rPr>
          <w:rFonts w:ascii="Times New Roman" w:hAnsi="Times New Roman" w:cs="Times New Roman"/>
          <w:sz w:val="20"/>
          <w:szCs w:val="20"/>
        </w:rPr>
        <w:t>:</w:t>
      </w:r>
      <w:r>
        <w:rPr>
          <w:rFonts w:ascii="Times New Roman" w:hAnsi="Times New Roman" w:cs="Times New Roman"/>
          <w:sz w:val="20"/>
          <w:szCs w:val="20"/>
        </w:rPr>
        <w:t>23</w:t>
      </w:r>
    </w:p>
    <w:p w14:paraId="3737CFB3" w14:textId="7EA72623" w:rsidR="00BE7613" w:rsidRPr="006E36C9" w:rsidRDefault="00A467E0" w:rsidP="006D1E33">
      <w:pPr>
        <w:pStyle w:val="Header"/>
        <w:tabs>
          <w:tab w:val="clear" w:pos="4153"/>
          <w:tab w:val="clear" w:pos="8306"/>
        </w:tabs>
        <w:rPr>
          <w:rFonts w:ascii="Times New Roman" w:hAnsi="Times New Roman" w:cs="Times New Roman"/>
          <w:sz w:val="20"/>
          <w:szCs w:val="20"/>
        </w:rPr>
      </w:pPr>
      <w:r w:rsidRPr="006E36C9">
        <w:rPr>
          <w:rFonts w:ascii="Times New Roman" w:hAnsi="Times New Roman" w:cs="Times New Roman"/>
          <w:sz w:val="20"/>
          <w:szCs w:val="20"/>
        </w:rPr>
        <w:t>4</w:t>
      </w:r>
      <w:r w:rsidR="00DB03ED" w:rsidRPr="006E36C9">
        <w:rPr>
          <w:rFonts w:ascii="Times New Roman" w:hAnsi="Times New Roman" w:cs="Times New Roman"/>
          <w:sz w:val="20"/>
          <w:szCs w:val="20"/>
        </w:rPr>
        <w:t>42</w:t>
      </w:r>
      <w:r w:rsidR="009653B0">
        <w:rPr>
          <w:rFonts w:ascii="Times New Roman" w:hAnsi="Times New Roman" w:cs="Times New Roman"/>
          <w:sz w:val="20"/>
          <w:szCs w:val="20"/>
        </w:rPr>
        <w:t>6</w:t>
      </w:r>
    </w:p>
    <w:bookmarkEnd w:id="1"/>
    <w:bookmarkEnd w:id="2"/>
    <w:bookmarkEnd w:id="3"/>
    <w:p w14:paraId="7327DD17" w14:textId="77777777" w:rsidR="00BE7613" w:rsidRPr="006E36C9" w:rsidRDefault="00BE7613" w:rsidP="00BE7613">
      <w:pPr>
        <w:pStyle w:val="Header"/>
        <w:tabs>
          <w:tab w:val="clear" w:pos="4153"/>
          <w:tab w:val="clear" w:pos="8306"/>
        </w:tabs>
        <w:rPr>
          <w:rFonts w:ascii="Times New Roman" w:hAnsi="Times New Roman" w:cs="Times New Roman"/>
          <w:sz w:val="20"/>
          <w:szCs w:val="20"/>
        </w:rPr>
      </w:pPr>
      <w:r w:rsidRPr="006E36C9">
        <w:rPr>
          <w:rFonts w:ascii="Times New Roman" w:hAnsi="Times New Roman" w:cs="Times New Roman"/>
          <w:sz w:val="20"/>
          <w:szCs w:val="20"/>
        </w:rPr>
        <w:t>L.Kokorēviča</w:t>
      </w:r>
    </w:p>
    <w:p w14:paraId="5B59BE1B" w14:textId="77777777" w:rsidR="00BE7613" w:rsidRPr="006E36C9" w:rsidRDefault="00BE7613" w:rsidP="00BE7613">
      <w:pPr>
        <w:pStyle w:val="NoSpacing"/>
        <w:jc w:val="both"/>
        <w:rPr>
          <w:rStyle w:val="Hyperlink"/>
          <w:rFonts w:ascii="Times New Roman" w:hAnsi="Times New Roman"/>
          <w:color w:val="auto"/>
          <w:sz w:val="20"/>
          <w:szCs w:val="20"/>
          <w:u w:val="none"/>
        </w:rPr>
      </w:pPr>
      <w:r w:rsidRPr="006E36C9">
        <w:rPr>
          <w:rFonts w:ascii="Times New Roman" w:hAnsi="Times New Roman" w:cs="Times New Roman"/>
          <w:sz w:val="20"/>
          <w:szCs w:val="20"/>
        </w:rPr>
        <w:t xml:space="preserve">67024955, </w:t>
      </w:r>
      <w:hyperlink r:id="rId8" w:history="1">
        <w:r w:rsidRPr="006E36C9">
          <w:rPr>
            <w:rStyle w:val="Hyperlink"/>
            <w:rFonts w:ascii="Times New Roman" w:hAnsi="Times New Roman"/>
            <w:color w:val="auto"/>
            <w:sz w:val="20"/>
            <w:szCs w:val="20"/>
            <w:u w:val="none"/>
          </w:rPr>
          <w:t>Lita.Kokorevica@vni.lv</w:t>
        </w:r>
      </w:hyperlink>
    </w:p>
    <w:p w14:paraId="1CDEEA4D" w14:textId="77777777" w:rsidR="000E0A4D" w:rsidRPr="006E36C9" w:rsidRDefault="000E0A4D" w:rsidP="00BE7613">
      <w:pPr>
        <w:pStyle w:val="NoSpacing"/>
        <w:jc w:val="both"/>
        <w:rPr>
          <w:rStyle w:val="Hyperlink"/>
          <w:rFonts w:ascii="Times New Roman" w:hAnsi="Times New Roman"/>
          <w:color w:val="auto"/>
          <w:sz w:val="20"/>
          <w:szCs w:val="20"/>
          <w:u w:val="none"/>
        </w:rPr>
      </w:pPr>
      <w:r w:rsidRPr="006E36C9">
        <w:rPr>
          <w:rStyle w:val="Hyperlink"/>
          <w:rFonts w:ascii="Times New Roman" w:hAnsi="Times New Roman"/>
          <w:color w:val="auto"/>
          <w:sz w:val="20"/>
          <w:szCs w:val="20"/>
          <w:u w:val="none"/>
        </w:rPr>
        <w:t>A.Gulbe</w:t>
      </w:r>
    </w:p>
    <w:p w14:paraId="62BBAE2D" w14:textId="7AC8F53C" w:rsidR="000E0A4D" w:rsidRPr="006E36C9" w:rsidRDefault="000E0A4D" w:rsidP="00BE7613">
      <w:pPr>
        <w:pStyle w:val="NoSpacing"/>
        <w:jc w:val="both"/>
        <w:rPr>
          <w:rFonts w:ascii="Times New Roman" w:hAnsi="Times New Roman" w:cs="Times New Roman"/>
          <w:sz w:val="20"/>
          <w:szCs w:val="20"/>
        </w:rPr>
      </w:pPr>
      <w:r w:rsidRPr="006E36C9">
        <w:rPr>
          <w:rStyle w:val="Hyperlink"/>
          <w:rFonts w:ascii="Times New Roman" w:hAnsi="Times New Roman"/>
          <w:color w:val="auto"/>
          <w:sz w:val="20"/>
          <w:szCs w:val="20"/>
          <w:u w:val="none"/>
        </w:rPr>
        <w:t>67024698, Aiga.Gulbe@vni.lv</w:t>
      </w:r>
    </w:p>
    <w:sectPr w:rsidR="000E0A4D" w:rsidRPr="006E36C9" w:rsidSect="00B9187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3CD7" w14:textId="77777777" w:rsidR="006B6827" w:rsidRDefault="006B6827" w:rsidP="005C5A61">
      <w:pPr>
        <w:spacing w:after="0" w:line="240" w:lineRule="auto"/>
      </w:pPr>
      <w:r>
        <w:separator/>
      </w:r>
    </w:p>
  </w:endnote>
  <w:endnote w:type="continuationSeparator" w:id="0">
    <w:p w14:paraId="51FE3110" w14:textId="77777777" w:rsidR="006B6827" w:rsidRDefault="006B6827" w:rsidP="005C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846EB" w14:textId="7121CCEA" w:rsidR="00840D9C" w:rsidRPr="005C5A61" w:rsidRDefault="00840D9C" w:rsidP="0049435D">
    <w:pPr>
      <w:pStyle w:val="NoSpacing"/>
      <w:jc w:val="both"/>
      <w:rPr>
        <w:rFonts w:ascii="Times New Roman" w:hAnsi="Times New Roman" w:cs="Times New Roman"/>
        <w:sz w:val="20"/>
        <w:szCs w:val="20"/>
      </w:rPr>
    </w:pPr>
    <w:r w:rsidRPr="00564C2B">
      <w:rPr>
        <w:rFonts w:ascii="Times New Roman" w:hAnsi="Times New Roman" w:cs="Times New Roman"/>
        <w:sz w:val="20"/>
        <w:szCs w:val="20"/>
      </w:rPr>
      <w:fldChar w:fldCharType="begin"/>
    </w:r>
    <w:r w:rsidRPr="00564C2B">
      <w:rPr>
        <w:rFonts w:ascii="Times New Roman" w:hAnsi="Times New Roman" w:cs="Times New Roman"/>
        <w:sz w:val="20"/>
        <w:szCs w:val="20"/>
      </w:rPr>
      <w:instrText xml:space="preserve"> FILENAME </w:instrText>
    </w:r>
    <w:r w:rsidRPr="00564C2B">
      <w:rPr>
        <w:rFonts w:ascii="Times New Roman" w:hAnsi="Times New Roman" w:cs="Times New Roman"/>
        <w:sz w:val="20"/>
        <w:szCs w:val="20"/>
      </w:rPr>
      <w:fldChar w:fldCharType="separate"/>
    </w:r>
    <w:r>
      <w:rPr>
        <w:rFonts w:ascii="Times New Roman" w:hAnsi="Times New Roman" w:cs="Times New Roman"/>
        <w:noProof/>
        <w:sz w:val="20"/>
        <w:szCs w:val="20"/>
      </w:rPr>
      <w:t>FMZin_090715_VIDVentspils</w:t>
    </w:r>
    <w:r w:rsidRPr="00564C2B">
      <w:rPr>
        <w:rFonts w:ascii="Times New Roman" w:hAnsi="Times New Roman" w:cs="Times New Roman"/>
        <w:sz w:val="20"/>
        <w:szCs w:val="20"/>
      </w:rPr>
      <w:fldChar w:fldCharType="end"/>
    </w:r>
    <w:r w:rsidRPr="00564C2B">
      <w:rPr>
        <w:rFonts w:ascii="Times New Roman" w:hAnsi="Times New Roman" w:cs="Times New Roman"/>
        <w:sz w:val="20"/>
        <w:szCs w:val="20"/>
      </w:rPr>
      <w:t>; Informatīvais ziņojums „Par Valsts ieņēmuma dienesta Ventspils nodaļas nodrošināšanu ar darbam piemērotām telpām”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1E6D2" w14:textId="6FC6FD0D" w:rsidR="00840D9C" w:rsidRPr="00564C2B" w:rsidRDefault="00840D9C" w:rsidP="0049435D">
    <w:pPr>
      <w:pStyle w:val="NoSpacing"/>
      <w:jc w:val="both"/>
      <w:rPr>
        <w:rFonts w:ascii="Times New Roman" w:hAnsi="Times New Roman" w:cs="Times New Roman"/>
        <w:sz w:val="20"/>
        <w:szCs w:val="20"/>
      </w:rPr>
    </w:pPr>
    <w:r w:rsidRPr="00564C2B">
      <w:rPr>
        <w:rFonts w:ascii="Times New Roman" w:hAnsi="Times New Roman" w:cs="Times New Roman"/>
        <w:sz w:val="20"/>
        <w:szCs w:val="20"/>
      </w:rPr>
      <w:fldChar w:fldCharType="begin"/>
    </w:r>
    <w:r w:rsidRPr="00564C2B">
      <w:rPr>
        <w:rFonts w:ascii="Times New Roman" w:hAnsi="Times New Roman" w:cs="Times New Roman"/>
        <w:sz w:val="20"/>
        <w:szCs w:val="20"/>
      </w:rPr>
      <w:instrText xml:space="preserve"> FILENAME </w:instrText>
    </w:r>
    <w:r w:rsidRPr="00564C2B">
      <w:rPr>
        <w:rFonts w:ascii="Times New Roman" w:hAnsi="Times New Roman" w:cs="Times New Roman"/>
        <w:sz w:val="20"/>
        <w:szCs w:val="20"/>
      </w:rPr>
      <w:fldChar w:fldCharType="separate"/>
    </w:r>
    <w:r>
      <w:rPr>
        <w:rFonts w:ascii="Times New Roman" w:hAnsi="Times New Roman" w:cs="Times New Roman"/>
        <w:noProof/>
        <w:sz w:val="20"/>
        <w:szCs w:val="20"/>
      </w:rPr>
      <w:t>FMZin_090715_VIDVentspils</w:t>
    </w:r>
    <w:r w:rsidRPr="00564C2B">
      <w:rPr>
        <w:rFonts w:ascii="Times New Roman" w:hAnsi="Times New Roman" w:cs="Times New Roman"/>
        <w:sz w:val="20"/>
        <w:szCs w:val="20"/>
      </w:rPr>
      <w:fldChar w:fldCharType="end"/>
    </w:r>
    <w:r w:rsidRPr="00564C2B">
      <w:rPr>
        <w:rFonts w:ascii="Times New Roman" w:hAnsi="Times New Roman" w:cs="Times New Roman"/>
        <w:sz w:val="20"/>
        <w:szCs w:val="20"/>
      </w:rPr>
      <w:t>; Informatīvais ziņojums „Par Valsts ieņēmuma dienesta Ventspils nodaļas nodrošināšanu ar darbam piemērotām telpām”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480F3" w14:textId="77777777" w:rsidR="006B6827" w:rsidRDefault="006B6827" w:rsidP="005C5A61">
      <w:pPr>
        <w:spacing w:after="0" w:line="240" w:lineRule="auto"/>
      </w:pPr>
      <w:r>
        <w:separator/>
      </w:r>
    </w:p>
  </w:footnote>
  <w:footnote w:type="continuationSeparator" w:id="0">
    <w:p w14:paraId="3BE27B73" w14:textId="77777777" w:rsidR="006B6827" w:rsidRDefault="006B6827" w:rsidP="005C5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88383"/>
      <w:docPartObj>
        <w:docPartGallery w:val="Page Numbers (Top of Page)"/>
        <w:docPartUnique/>
      </w:docPartObj>
    </w:sdtPr>
    <w:sdtEndPr>
      <w:rPr>
        <w:noProof/>
        <w:sz w:val="24"/>
        <w:szCs w:val="24"/>
      </w:rPr>
    </w:sdtEndPr>
    <w:sdtContent>
      <w:p w14:paraId="5A714F0F" w14:textId="4BAB6A5A" w:rsidR="00840D9C" w:rsidRPr="0049435D" w:rsidRDefault="00840D9C" w:rsidP="0049435D">
        <w:pPr>
          <w:pStyle w:val="Header"/>
          <w:jc w:val="center"/>
          <w:rPr>
            <w:sz w:val="24"/>
            <w:szCs w:val="24"/>
          </w:rPr>
        </w:pPr>
        <w:r w:rsidRPr="0049435D">
          <w:rPr>
            <w:rFonts w:ascii="Times New Roman" w:hAnsi="Times New Roman" w:cs="Times New Roman"/>
            <w:sz w:val="24"/>
            <w:szCs w:val="24"/>
          </w:rPr>
          <w:fldChar w:fldCharType="begin"/>
        </w:r>
        <w:r w:rsidRPr="0049435D">
          <w:rPr>
            <w:rFonts w:ascii="Times New Roman" w:hAnsi="Times New Roman" w:cs="Times New Roman"/>
            <w:sz w:val="24"/>
            <w:szCs w:val="24"/>
          </w:rPr>
          <w:instrText xml:space="preserve"> PAGE   \* MERGEFORMAT </w:instrText>
        </w:r>
        <w:r w:rsidRPr="0049435D">
          <w:rPr>
            <w:rFonts w:ascii="Times New Roman" w:hAnsi="Times New Roman" w:cs="Times New Roman"/>
            <w:sz w:val="24"/>
            <w:szCs w:val="24"/>
          </w:rPr>
          <w:fldChar w:fldCharType="separate"/>
        </w:r>
        <w:r w:rsidR="00B02B71">
          <w:rPr>
            <w:rFonts w:ascii="Times New Roman" w:hAnsi="Times New Roman" w:cs="Times New Roman"/>
            <w:noProof/>
            <w:sz w:val="24"/>
            <w:szCs w:val="24"/>
          </w:rPr>
          <w:t>9</w:t>
        </w:r>
        <w:r w:rsidRPr="0049435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2954"/>
    <w:multiLevelType w:val="hybridMultilevel"/>
    <w:tmpl w:val="BFCC9AD4"/>
    <w:lvl w:ilvl="0" w:tplc="0456A9E8">
      <w:start w:val="1"/>
      <w:numFmt w:val="bullet"/>
      <w:lvlText w:val="-"/>
      <w:lvlJc w:val="left"/>
      <w:pPr>
        <w:ind w:left="1067" w:hanging="360"/>
      </w:pPr>
      <w:rPr>
        <w:rFonts w:ascii="Times New Roman" w:eastAsia="Calibri" w:hAnsi="Times New Roman" w:cs="Times New Roman" w:hint="default"/>
      </w:rPr>
    </w:lvl>
    <w:lvl w:ilvl="1" w:tplc="04260003" w:tentative="1">
      <w:start w:val="1"/>
      <w:numFmt w:val="bullet"/>
      <w:lvlText w:val="o"/>
      <w:lvlJc w:val="left"/>
      <w:pPr>
        <w:ind w:left="1787" w:hanging="360"/>
      </w:pPr>
      <w:rPr>
        <w:rFonts w:ascii="Courier New" w:hAnsi="Courier New" w:cs="Courier New" w:hint="default"/>
      </w:rPr>
    </w:lvl>
    <w:lvl w:ilvl="2" w:tplc="04260005" w:tentative="1">
      <w:start w:val="1"/>
      <w:numFmt w:val="bullet"/>
      <w:lvlText w:val=""/>
      <w:lvlJc w:val="left"/>
      <w:pPr>
        <w:ind w:left="2507" w:hanging="360"/>
      </w:pPr>
      <w:rPr>
        <w:rFonts w:ascii="Wingdings" w:hAnsi="Wingdings" w:hint="default"/>
      </w:rPr>
    </w:lvl>
    <w:lvl w:ilvl="3" w:tplc="04260001" w:tentative="1">
      <w:start w:val="1"/>
      <w:numFmt w:val="bullet"/>
      <w:lvlText w:val=""/>
      <w:lvlJc w:val="left"/>
      <w:pPr>
        <w:ind w:left="3227" w:hanging="360"/>
      </w:pPr>
      <w:rPr>
        <w:rFonts w:ascii="Symbol" w:hAnsi="Symbol" w:hint="default"/>
      </w:rPr>
    </w:lvl>
    <w:lvl w:ilvl="4" w:tplc="04260003" w:tentative="1">
      <w:start w:val="1"/>
      <w:numFmt w:val="bullet"/>
      <w:lvlText w:val="o"/>
      <w:lvlJc w:val="left"/>
      <w:pPr>
        <w:ind w:left="3947" w:hanging="360"/>
      </w:pPr>
      <w:rPr>
        <w:rFonts w:ascii="Courier New" w:hAnsi="Courier New" w:cs="Courier New" w:hint="default"/>
      </w:rPr>
    </w:lvl>
    <w:lvl w:ilvl="5" w:tplc="04260005" w:tentative="1">
      <w:start w:val="1"/>
      <w:numFmt w:val="bullet"/>
      <w:lvlText w:val=""/>
      <w:lvlJc w:val="left"/>
      <w:pPr>
        <w:ind w:left="4667" w:hanging="360"/>
      </w:pPr>
      <w:rPr>
        <w:rFonts w:ascii="Wingdings" w:hAnsi="Wingdings" w:hint="default"/>
      </w:rPr>
    </w:lvl>
    <w:lvl w:ilvl="6" w:tplc="04260001" w:tentative="1">
      <w:start w:val="1"/>
      <w:numFmt w:val="bullet"/>
      <w:lvlText w:val=""/>
      <w:lvlJc w:val="left"/>
      <w:pPr>
        <w:ind w:left="5387" w:hanging="360"/>
      </w:pPr>
      <w:rPr>
        <w:rFonts w:ascii="Symbol" w:hAnsi="Symbol" w:hint="default"/>
      </w:rPr>
    </w:lvl>
    <w:lvl w:ilvl="7" w:tplc="04260003" w:tentative="1">
      <w:start w:val="1"/>
      <w:numFmt w:val="bullet"/>
      <w:lvlText w:val="o"/>
      <w:lvlJc w:val="left"/>
      <w:pPr>
        <w:ind w:left="6107" w:hanging="360"/>
      </w:pPr>
      <w:rPr>
        <w:rFonts w:ascii="Courier New" w:hAnsi="Courier New" w:cs="Courier New" w:hint="default"/>
      </w:rPr>
    </w:lvl>
    <w:lvl w:ilvl="8" w:tplc="04260005" w:tentative="1">
      <w:start w:val="1"/>
      <w:numFmt w:val="bullet"/>
      <w:lvlText w:val=""/>
      <w:lvlJc w:val="left"/>
      <w:pPr>
        <w:ind w:left="6827" w:hanging="360"/>
      </w:pPr>
      <w:rPr>
        <w:rFonts w:ascii="Wingdings" w:hAnsi="Wingdings" w:hint="default"/>
      </w:rPr>
    </w:lvl>
  </w:abstractNum>
  <w:abstractNum w:abstractNumId="1">
    <w:nsid w:val="111C1ED1"/>
    <w:multiLevelType w:val="hybridMultilevel"/>
    <w:tmpl w:val="5236357C"/>
    <w:lvl w:ilvl="0" w:tplc="65307718">
      <w:start w:val="1"/>
      <w:numFmt w:val="upp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nsid w:val="11576AA5"/>
    <w:multiLevelType w:val="hybridMultilevel"/>
    <w:tmpl w:val="E3AA8FA4"/>
    <w:lvl w:ilvl="0" w:tplc="D96CA96A">
      <w:start w:val="1"/>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6A3082"/>
    <w:multiLevelType w:val="hybridMultilevel"/>
    <w:tmpl w:val="6902D3B6"/>
    <w:lvl w:ilvl="0" w:tplc="51F81B52">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308468D9"/>
    <w:multiLevelType w:val="hybridMultilevel"/>
    <w:tmpl w:val="8F9839A0"/>
    <w:lvl w:ilvl="0" w:tplc="5B86AC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500413"/>
    <w:multiLevelType w:val="hybridMultilevel"/>
    <w:tmpl w:val="F0D49006"/>
    <w:lvl w:ilvl="0" w:tplc="4D4248B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45F4615"/>
    <w:multiLevelType w:val="hybridMultilevel"/>
    <w:tmpl w:val="CB8AE312"/>
    <w:lvl w:ilvl="0" w:tplc="A93CD278">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56F736D"/>
    <w:multiLevelType w:val="hybridMultilevel"/>
    <w:tmpl w:val="14E84900"/>
    <w:lvl w:ilvl="0" w:tplc="C234F4E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FAC2F7B"/>
    <w:multiLevelType w:val="hybridMultilevel"/>
    <w:tmpl w:val="BEA8B93A"/>
    <w:lvl w:ilvl="0" w:tplc="527854D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0E3A21"/>
    <w:multiLevelType w:val="hybridMultilevel"/>
    <w:tmpl w:val="8AAA4106"/>
    <w:lvl w:ilvl="0" w:tplc="D312EB5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3FB6BEA"/>
    <w:multiLevelType w:val="hybridMultilevel"/>
    <w:tmpl w:val="E4DEB34E"/>
    <w:lvl w:ilvl="0" w:tplc="FFB6783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F5B455E"/>
    <w:multiLevelType w:val="multilevel"/>
    <w:tmpl w:val="C450A74C"/>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nsid w:val="7DE4794C"/>
    <w:multiLevelType w:val="hybridMultilevel"/>
    <w:tmpl w:val="8FD67C9A"/>
    <w:lvl w:ilvl="0" w:tplc="A642A0D4">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2"/>
  </w:num>
  <w:num w:numId="5">
    <w:abstractNumId w:val="8"/>
  </w:num>
  <w:num w:numId="6">
    <w:abstractNumId w:val="5"/>
  </w:num>
  <w:num w:numId="7">
    <w:abstractNumId w:val="11"/>
  </w:num>
  <w:num w:numId="8">
    <w:abstractNumId w:val="6"/>
  </w:num>
  <w:num w:numId="9">
    <w:abstractNumId w:val="9"/>
  </w:num>
  <w:num w:numId="10">
    <w:abstractNumId w:val="2"/>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A1"/>
    <w:rsid w:val="0000231E"/>
    <w:rsid w:val="00004136"/>
    <w:rsid w:val="0004003C"/>
    <w:rsid w:val="00046658"/>
    <w:rsid w:val="00060EC6"/>
    <w:rsid w:val="000627F8"/>
    <w:rsid w:val="00071B64"/>
    <w:rsid w:val="000747F5"/>
    <w:rsid w:val="000820FF"/>
    <w:rsid w:val="00084AD3"/>
    <w:rsid w:val="00087028"/>
    <w:rsid w:val="00093D84"/>
    <w:rsid w:val="00094D4B"/>
    <w:rsid w:val="000A005E"/>
    <w:rsid w:val="000A030D"/>
    <w:rsid w:val="000A13A9"/>
    <w:rsid w:val="000A3D73"/>
    <w:rsid w:val="000B02D1"/>
    <w:rsid w:val="000B6970"/>
    <w:rsid w:val="000C2CF7"/>
    <w:rsid w:val="000C385A"/>
    <w:rsid w:val="000C738F"/>
    <w:rsid w:val="000C7CC1"/>
    <w:rsid w:val="000D1B76"/>
    <w:rsid w:val="000D762C"/>
    <w:rsid w:val="000D79A7"/>
    <w:rsid w:val="000E0A4D"/>
    <w:rsid w:val="000E4AAB"/>
    <w:rsid w:val="000E5D84"/>
    <w:rsid w:val="000F1CA1"/>
    <w:rsid w:val="0010051B"/>
    <w:rsid w:val="00110A3A"/>
    <w:rsid w:val="001160B4"/>
    <w:rsid w:val="00121F94"/>
    <w:rsid w:val="00131F70"/>
    <w:rsid w:val="00142175"/>
    <w:rsid w:val="00150ECF"/>
    <w:rsid w:val="00152008"/>
    <w:rsid w:val="00152E1A"/>
    <w:rsid w:val="0015487C"/>
    <w:rsid w:val="00161069"/>
    <w:rsid w:val="00165CCD"/>
    <w:rsid w:val="00166D7E"/>
    <w:rsid w:val="00166F20"/>
    <w:rsid w:val="00170B70"/>
    <w:rsid w:val="00173720"/>
    <w:rsid w:val="0017443B"/>
    <w:rsid w:val="001A3D0F"/>
    <w:rsid w:val="001E59C6"/>
    <w:rsid w:val="001E7761"/>
    <w:rsid w:val="001E7B64"/>
    <w:rsid w:val="001F529D"/>
    <w:rsid w:val="001F7CE5"/>
    <w:rsid w:val="00203DFF"/>
    <w:rsid w:val="00211EF8"/>
    <w:rsid w:val="00212C9C"/>
    <w:rsid w:val="002140C2"/>
    <w:rsid w:val="00223CDB"/>
    <w:rsid w:val="00224E28"/>
    <w:rsid w:val="00237FC2"/>
    <w:rsid w:val="00241682"/>
    <w:rsid w:val="00247C69"/>
    <w:rsid w:val="0026444D"/>
    <w:rsid w:val="00266C5E"/>
    <w:rsid w:val="00282DBA"/>
    <w:rsid w:val="0028419F"/>
    <w:rsid w:val="00287C8E"/>
    <w:rsid w:val="002A18AA"/>
    <w:rsid w:val="002A19BF"/>
    <w:rsid w:val="002B0D32"/>
    <w:rsid w:val="002D01DC"/>
    <w:rsid w:val="002D44D8"/>
    <w:rsid w:val="002E1FCC"/>
    <w:rsid w:val="002E2346"/>
    <w:rsid w:val="002E49E3"/>
    <w:rsid w:val="002F374D"/>
    <w:rsid w:val="002F6F6D"/>
    <w:rsid w:val="00310999"/>
    <w:rsid w:val="00324E1C"/>
    <w:rsid w:val="00325C08"/>
    <w:rsid w:val="003312EC"/>
    <w:rsid w:val="00331BC2"/>
    <w:rsid w:val="003354DC"/>
    <w:rsid w:val="003360C4"/>
    <w:rsid w:val="003440BB"/>
    <w:rsid w:val="003460BB"/>
    <w:rsid w:val="00350E42"/>
    <w:rsid w:val="00355D68"/>
    <w:rsid w:val="00364399"/>
    <w:rsid w:val="00396B09"/>
    <w:rsid w:val="003A1C63"/>
    <w:rsid w:val="003A5720"/>
    <w:rsid w:val="003A59C9"/>
    <w:rsid w:val="003A5B35"/>
    <w:rsid w:val="003C2EDA"/>
    <w:rsid w:val="003C7AC3"/>
    <w:rsid w:val="003E1062"/>
    <w:rsid w:val="003E5F87"/>
    <w:rsid w:val="00410C83"/>
    <w:rsid w:val="0043702A"/>
    <w:rsid w:val="00444B8C"/>
    <w:rsid w:val="004464FA"/>
    <w:rsid w:val="004504F7"/>
    <w:rsid w:val="0045551C"/>
    <w:rsid w:val="00463374"/>
    <w:rsid w:val="004656BA"/>
    <w:rsid w:val="0046706A"/>
    <w:rsid w:val="004735F5"/>
    <w:rsid w:val="00482D66"/>
    <w:rsid w:val="00487E3C"/>
    <w:rsid w:val="00490186"/>
    <w:rsid w:val="004934B7"/>
    <w:rsid w:val="004936D3"/>
    <w:rsid w:val="0049435D"/>
    <w:rsid w:val="004962F7"/>
    <w:rsid w:val="004A2E04"/>
    <w:rsid w:val="004B13DE"/>
    <w:rsid w:val="004E0A78"/>
    <w:rsid w:val="004E5E0A"/>
    <w:rsid w:val="004F0DB5"/>
    <w:rsid w:val="00502FED"/>
    <w:rsid w:val="005136A6"/>
    <w:rsid w:val="00514F4C"/>
    <w:rsid w:val="0051537A"/>
    <w:rsid w:val="00521A27"/>
    <w:rsid w:val="00527EBF"/>
    <w:rsid w:val="0053534C"/>
    <w:rsid w:val="00555194"/>
    <w:rsid w:val="00564C2B"/>
    <w:rsid w:val="00571CC0"/>
    <w:rsid w:val="005735E1"/>
    <w:rsid w:val="00576546"/>
    <w:rsid w:val="00582F36"/>
    <w:rsid w:val="0058369E"/>
    <w:rsid w:val="00585503"/>
    <w:rsid w:val="00590274"/>
    <w:rsid w:val="00591D9D"/>
    <w:rsid w:val="005953CA"/>
    <w:rsid w:val="005A33F0"/>
    <w:rsid w:val="005B1873"/>
    <w:rsid w:val="005B46E8"/>
    <w:rsid w:val="005B5933"/>
    <w:rsid w:val="005B7BE5"/>
    <w:rsid w:val="005C5A61"/>
    <w:rsid w:val="005F1E78"/>
    <w:rsid w:val="006120DF"/>
    <w:rsid w:val="00612266"/>
    <w:rsid w:val="006214BC"/>
    <w:rsid w:val="006243C0"/>
    <w:rsid w:val="00627B25"/>
    <w:rsid w:val="00631142"/>
    <w:rsid w:val="0065544A"/>
    <w:rsid w:val="00662990"/>
    <w:rsid w:val="00667FD4"/>
    <w:rsid w:val="00672E7D"/>
    <w:rsid w:val="0068000B"/>
    <w:rsid w:val="006903D1"/>
    <w:rsid w:val="00690CFA"/>
    <w:rsid w:val="00692867"/>
    <w:rsid w:val="006934F5"/>
    <w:rsid w:val="00693D02"/>
    <w:rsid w:val="006A22BF"/>
    <w:rsid w:val="006B35F6"/>
    <w:rsid w:val="006B6827"/>
    <w:rsid w:val="006D1E33"/>
    <w:rsid w:val="006E06EA"/>
    <w:rsid w:val="006E36C9"/>
    <w:rsid w:val="006F66C6"/>
    <w:rsid w:val="0070701A"/>
    <w:rsid w:val="00707086"/>
    <w:rsid w:val="0071018A"/>
    <w:rsid w:val="00710B33"/>
    <w:rsid w:val="007154B3"/>
    <w:rsid w:val="00721E07"/>
    <w:rsid w:val="00727039"/>
    <w:rsid w:val="00741589"/>
    <w:rsid w:val="00742F17"/>
    <w:rsid w:val="00753382"/>
    <w:rsid w:val="007615A8"/>
    <w:rsid w:val="00764F82"/>
    <w:rsid w:val="0077375A"/>
    <w:rsid w:val="00773CAA"/>
    <w:rsid w:val="00774E29"/>
    <w:rsid w:val="0077726A"/>
    <w:rsid w:val="007836E2"/>
    <w:rsid w:val="007957BD"/>
    <w:rsid w:val="00796B09"/>
    <w:rsid w:val="007A03B8"/>
    <w:rsid w:val="007A4E31"/>
    <w:rsid w:val="007A6D61"/>
    <w:rsid w:val="007D3B18"/>
    <w:rsid w:val="007E0385"/>
    <w:rsid w:val="007F1148"/>
    <w:rsid w:val="00802BF7"/>
    <w:rsid w:val="0081034B"/>
    <w:rsid w:val="008269C1"/>
    <w:rsid w:val="008404E1"/>
    <w:rsid w:val="00840D9C"/>
    <w:rsid w:val="00847251"/>
    <w:rsid w:val="00850D8C"/>
    <w:rsid w:val="0085312A"/>
    <w:rsid w:val="00857F67"/>
    <w:rsid w:val="00862FEA"/>
    <w:rsid w:val="00864D15"/>
    <w:rsid w:val="00864DE7"/>
    <w:rsid w:val="0086674A"/>
    <w:rsid w:val="00871298"/>
    <w:rsid w:val="008871CD"/>
    <w:rsid w:val="008922BE"/>
    <w:rsid w:val="008945EE"/>
    <w:rsid w:val="00894CDF"/>
    <w:rsid w:val="008B1384"/>
    <w:rsid w:val="008B1AA1"/>
    <w:rsid w:val="008C40C3"/>
    <w:rsid w:val="008E659C"/>
    <w:rsid w:val="008F0F07"/>
    <w:rsid w:val="008F45A3"/>
    <w:rsid w:val="008F65C6"/>
    <w:rsid w:val="00900115"/>
    <w:rsid w:val="00900176"/>
    <w:rsid w:val="00902242"/>
    <w:rsid w:val="00904165"/>
    <w:rsid w:val="00910EB7"/>
    <w:rsid w:val="00920FA1"/>
    <w:rsid w:val="00922AD5"/>
    <w:rsid w:val="00936236"/>
    <w:rsid w:val="00945C5E"/>
    <w:rsid w:val="00946D8D"/>
    <w:rsid w:val="00961E92"/>
    <w:rsid w:val="00962ECF"/>
    <w:rsid w:val="009653B0"/>
    <w:rsid w:val="00965CE5"/>
    <w:rsid w:val="0097668A"/>
    <w:rsid w:val="009866AA"/>
    <w:rsid w:val="009C017A"/>
    <w:rsid w:val="009C2CBC"/>
    <w:rsid w:val="009D0400"/>
    <w:rsid w:val="009D1CC9"/>
    <w:rsid w:val="009E31AB"/>
    <w:rsid w:val="009E75EA"/>
    <w:rsid w:val="009E7A2C"/>
    <w:rsid w:val="009F667F"/>
    <w:rsid w:val="00A125A3"/>
    <w:rsid w:val="00A22726"/>
    <w:rsid w:val="00A2319B"/>
    <w:rsid w:val="00A23DDE"/>
    <w:rsid w:val="00A24717"/>
    <w:rsid w:val="00A270E1"/>
    <w:rsid w:val="00A31096"/>
    <w:rsid w:val="00A34A79"/>
    <w:rsid w:val="00A364DE"/>
    <w:rsid w:val="00A422B3"/>
    <w:rsid w:val="00A45570"/>
    <w:rsid w:val="00A467E0"/>
    <w:rsid w:val="00A56F0C"/>
    <w:rsid w:val="00A57681"/>
    <w:rsid w:val="00A601B8"/>
    <w:rsid w:val="00A701E0"/>
    <w:rsid w:val="00A920A7"/>
    <w:rsid w:val="00A961F5"/>
    <w:rsid w:val="00AA53B6"/>
    <w:rsid w:val="00AB0B89"/>
    <w:rsid w:val="00AC23F3"/>
    <w:rsid w:val="00AD0366"/>
    <w:rsid w:val="00AD54BB"/>
    <w:rsid w:val="00AE37CA"/>
    <w:rsid w:val="00AE3DCC"/>
    <w:rsid w:val="00AF1DFB"/>
    <w:rsid w:val="00B02B71"/>
    <w:rsid w:val="00B05ADF"/>
    <w:rsid w:val="00B06471"/>
    <w:rsid w:val="00B068C5"/>
    <w:rsid w:val="00B11A95"/>
    <w:rsid w:val="00B1734C"/>
    <w:rsid w:val="00B21F0B"/>
    <w:rsid w:val="00B36608"/>
    <w:rsid w:val="00B52087"/>
    <w:rsid w:val="00B57AB1"/>
    <w:rsid w:val="00B63176"/>
    <w:rsid w:val="00B71AAF"/>
    <w:rsid w:val="00B764EA"/>
    <w:rsid w:val="00B80830"/>
    <w:rsid w:val="00B9187D"/>
    <w:rsid w:val="00B95373"/>
    <w:rsid w:val="00B956F8"/>
    <w:rsid w:val="00B95776"/>
    <w:rsid w:val="00BA7966"/>
    <w:rsid w:val="00BC418C"/>
    <w:rsid w:val="00BD004E"/>
    <w:rsid w:val="00BD2773"/>
    <w:rsid w:val="00BE26D5"/>
    <w:rsid w:val="00BE53ED"/>
    <w:rsid w:val="00BE6883"/>
    <w:rsid w:val="00BE7613"/>
    <w:rsid w:val="00BF2F3B"/>
    <w:rsid w:val="00BF5801"/>
    <w:rsid w:val="00C07B88"/>
    <w:rsid w:val="00C1283D"/>
    <w:rsid w:val="00C36A7E"/>
    <w:rsid w:val="00C517CE"/>
    <w:rsid w:val="00C56665"/>
    <w:rsid w:val="00C6530D"/>
    <w:rsid w:val="00C67D3F"/>
    <w:rsid w:val="00C74EA6"/>
    <w:rsid w:val="00C93A24"/>
    <w:rsid w:val="00C93B35"/>
    <w:rsid w:val="00CA65FB"/>
    <w:rsid w:val="00CB5221"/>
    <w:rsid w:val="00CC2AC3"/>
    <w:rsid w:val="00CD17EC"/>
    <w:rsid w:val="00CD2782"/>
    <w:rsid w:val="00CD359D"/>
    <w:rsid w:val="00CD4010"/>
    <w:rsid w:val="00CD64F6"/>
    <w:rsid w:val="00CD6D5A"/>
    <w:rsid w:val="00CD7040"/>
    <w:rsid w:val="00CD7646"/>
    <w:rsid w:val="00CF1AD2"/>
    <w:rsid w:val="00D02293"/>
    <w:rsid w:val="00D02619"/>
    <w:rsid w:val="00D23D4C"/>
    <w:rsid w:val="00D34E56"/>
    <w:rsid w:val="00D3553A"/>
    <w:rsid w:val="00D432C7"/>
    <w:rsid w:val="00D52CB2"/>
    <w:rsid w:val="00D70C9F"/>
    <w:rsid w:val="00D742AE"/>
    <w:rsid w:val="00D81CFC"/>
    <w:rsid w:val="00DB03ED"/>
    <w:rsid w:val="00DB7B32"/>
    <w:rsid w:val="00DC20E4"/>
    <w:rsid w:val="00DD3BDB"/>
    <w:rsid w:val="00DD71A3"/>
    <w:rsid w:val="00DE1FAA"/>
    <w:rsid w:val="00DE487E"/>
    <w:rsid w:val="00E15356"/>
    <w:rsid w:val="00E22B83"/>
    <w:rsid w:val="00E27C2F"/>
    <w:rsid w:val="00E33224"/>
    <w:rsid w:val="00E332BE"/>
    <w:rsid w:val="00E42D4E"/>
    <w:rsid w:val="00E44373"/>
    <w:rsid w:val="00E45BA3"/>
    <w:rsid w:val="00E70CE1"/>
    <w:rsid w:val="00E72547"/>
    <w:rsid w:val="00E84DC3"/>
    <w:rsid w:val="00E84EC1"/>
    <w:rsid w:val="00E91F4B"/>
    <w:rsid w:val="00E95766"/>
    <w:rsid w:val="00E974D0"/>
    <w:rsid w:val="00E975B5"/>
    <w:rsid w:val="00EA10DA"/>
    <w:rsid w:val="00EA1E52"/>
    <w:rsid w:val="00EA6EA2"/>
    <w:rsid w:val="00EB31B7"/>
    <w:rsid w:val="00EC15F8"/>
    <w:rsid w:val="00EC3A5A"/>
    <w:rsid w:val="00EC3DB4"/>
    <w:rsid w:val="00ED1A72"/>
    <w:rsid w:val="00ED3ED6"/>
    <w:rsid w:val="00EE1189"/>
    <w:rsid w:val="00EE1327"/>
    <w:rsid w:val="00EF40E1"/>
    <w:rsid w:val="00EF57DC"/>
    <w:rsid w:val="00F12242"/>
    <w:rsid w:val="00F16361"/>
    <w:rsid w:val="00F17118"/>
    <w:rsid w:val="00F44859"/>
    <w:rsid w:val="00F5634A"/>
    <w:rsid w:val="00F8624D"/>
    <w:rsid w:val="00F9285C"/>
    <w:rsid w:val="00FA0F32"/>
    <w:rsid w:val="00FB23BC"/>
    <w:rsid w:val="00FC3E40"/>
    <w:rsid w:val="00FD02F1"/>
    <w:rsid w:val="00FD5F61"/>
    <w:rsid w:val="00FE615A"/>
    <w:rsid w:val="00FF7F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C0FE4"/>
  <w15:docId w15:val="{14B36250-A651-4B56-91D8-A1BA0BBF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FA1"/>
    <w:pPr>
      <w:spacing w:after="0" w:line="240" w:lineRule="auto"/>
    </w:pPr>
  </w:style>
  <w:style w:type="paragraph" w:styleId="Header">
    <w:name w:val="header"/>
    <w:aliases w:val="18pt Bold"/>
    <w:basedOn w:val="Normal"/>
    <w:link w:val="HeaderChar"/>
    <w:uiPriority w:val="99"/>
    <w:unhideWhenUsed/>
    <w:rsid w:val="005C5A61"/>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rsid w:val="005C5A61"/>
  </w:style>
  <w:style w:type="paragraph" w:styleId="Footer">
    <w:name w:val="footer"/>
    <w:basedOn w:val="Normal"/>
    <w:link w:val="FooterChar"/>
    <w:uiPriority w:val="99"/>
    <w:unhideWhenUsed/>
    <w:rsid w:val="005C5A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A61"/>
  </w:style>
  <w:style w:type="paragraph" w:customStyle="1" w:styleId="naiskr">
    <w:name w:val="naiskr"/>
    <w:basedOn w:val="Normal"/>
    <w:uiPriority w:val="99"/>
    <w:rsid w:val="00463374"/>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basedOn w:val="Normal"/>
    <w:uiPriority w:val="99"/>
    <w:qFormat/>
    <w:rsid w:val="000627F8"/>
    <w:pPr>
      <w:ind w:left="720"/>
      <w:contextualSpacing/>
    </w:pPr>
    <w:rPr>
      <w:rFonts w:ascii="Times New Roman" w:eastAsia="Times New Roman" w:hAnsi="Times New Roman" w:cs="Times New Roman"/>
      <w:sz w:val="28"/>
    </w:rPr>
  </w:style>
  <w:style w:type="character" w:styleId="Hyperlink">
    <w:name w:val="Hyperlink"/>
    <w:basedOn w:val="DefaultParagraphFont"/>
    <w:uiPriority w:val="99"/>
    <w:rsid w:val="00FC3E40"/>
    <w:rPr>
      <w:rFonts w:cs="Times New Roman"/>
      <w:color w:val="0000FF"/>
      <w:u w:val="single"/>
    </w:rPr>
  </w:style>
  <w:style w:type="character" w:styleId="CommentReference">
    <w:name w:val="annotation reference"/>
    <w:basedOn w:val="DefaultParagraphFont"/>
    <w:uiPriority w:val="99"/>
    <w:semiHidden/>
    <w:unhideWhenUsed/>
    <w:rsid w:val="00C93A24"/>
    <w:rPr>
      <w:sz w:val="16"/>
      <w:szCs w:val="16"/>
    </w:rPr>
  </w:style>
  <w:style w:type="paragraph" w:styleId="CommentText">
    <w:name w:val="annotation text"/>
    <w:basedOn w:val="Normal"/>
    <w:link w:val="CommentTextChar"/>
    <w:uiPriority w:val="99"/>
    <w:semiHidden/>
    <w:unhideWhenUsed/>
    <w:rsid w:val="00C93A24"/>
    <w:pPr>
      <w:spacing w:line="240" w:lineRule="auto"/>
    </w:pPr>
    <w:rPr>
      <w:sz w:val="20"/>
      <w:szCs w:val="20"/>
    </w:rPr>
  </w:style>
  <w:style w:type="character" w:customStyle="1" w:styleId="CommentTextChar">
    <w:name w:val="Comment Text Char"/>
    <w:basedOn w:val="DefaultParagraphFont"/>
    <w:link w:val="CommentText"/>
    <w:uiPriority w:val="99"/>
    <w:semiHidden/>
    <w:rsid w:val="00C93A24"/>
    <w:rPr>
      <w:sz w:val="20"/>
      <w:szCs w:val="20"/>
    </w:rPr>
  </w:style>
  <w:style w:type="paragraph" w:styleId="CommentSubject">
    <w:name w:val="annotation subject"/>
    <w:basedOn w:val="CommentText"/>
    <w:next w:val="CommentText"/>
    <w:link w:val="CommentSubjectChar"/>
    <w:uiPriority w:val="99"/>
    <w:semiHidden/>
    <w:unhideWhenUsed/>
    <w:rsid w:val="00C93A24"/>
    <w:rPr>
      <w:b/>
      <w:bCs/>
    </w:rPr>
  </w:style>
  <w:style w:type="character" w:customStyle="1" w:styleId="CommentSubjectChar">
    <w:name w:val="Comment Subject Char"/>
    <w:basedOn w:val="CommentTextChar"/>
    <w:link w:val="CommentSubject"/>
    <w:uiPriority w:val="99"/>
    <w:semiHidden/>
    <w:rsid w:val="00C93A24"/>
    <w:rPr>
      <w:b/>
      <w:bCs/>
      <w:sz w:val="20"/>
      <w:szCs w:val="20"/>
    </w:rPr>
  </w:style>
  <w:style w:type="paragraph" w:styleId="BalloonText">
    <w:name w:val="Balloon Text"/>
    <w:basedOn w:val="Normal"/>
    <w:link w:val="BalloonTextChar"/>
    <w:uiPriority w:val="99"/>
    <w:semiHidden/>
    <w:unhideWhenUsed/>
    <w:rsid w:val="00C9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24"/>
    <w:rPr>
      <w:rFonts w:ascii="Tahoma" w:hAnsi="Tahoma" w:cs="Tahoma"/>
      <w:sz w:val="16"/>
      <w:szCs w:val="16"/>
    </w:rPr>
  </w:style>
  <w:style w:type="paragraph" w:styleId="PlainText">
    <w:name w:val="Plain Text"/>
    <w:basedOn w:val="Normal"/>
    <w:link w:val="PlainTextChar"/>
    <w:uiPriority w:val="99"/>
    <w:rsid w:val="00BE7613"/>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BE7613"/>
    <w:rPr>
      <w:rFonts w:ascii="Courier New" w:eastAsia="Times New Roman" w:hAnsi="Courier New" w:cs="Times New Roman"/>
      <w:sz w:val="28"/>
      <w:szCs w:val="20"/>
    </w:rPr>
  </w:style>
  <w:style w:type="paragraph" w:customStyle="1" w:styleId="tv2132">
    <w:name w:val="tv2132"/>
    <w:basedOn w:val="Normal"/>
    <w:rsid w:val="002140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basedOn w:val="Normal"/>
    <w:uiPriority w:val="99"/>
    <w:rsid w:val="008F0F07"/>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rsid w:val="00B6317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7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472">
      <w:bodyDiv w:val="1"/>
      <w:marLeft w:val="0"/>
      <w:marRight w:val="0"/>
      <w:marTop w:val="0"/>
      <w:marBottom w:val="0"/>
      <w:divBdr>
        <w:top w:val="none" w:sz="0" w:space="0" w:color="auto"/>
        <w:left w:val="none" w:sz="0" w:space="0" w:color="auto"/>
        <w:bottom w:val="none" w:sz="0" w:space="0" w:color="auto"/>
        <w:right w:val="none" w:sz="0" w:space="0" w:color="auto"/>
      </w:divBdr>
    </w:div>
    <w:div w:id="186407020">
      <w:bodyDiv w:val="1"/>
      <w:marLeft w:val="0"/>
      <w:marRight w:val="0"/>
      <w:marTop w:val="0"/>
      <w:marBottom w:val="0"/>
      <w:divBdr>
        <w:top w:val="none" w:sz="0" w:space="0" w:color="auto"/>
        <w:left w:val="none" w:sz="0" w:space="0" w:color="auto"/>
        <w:bottom w:val="none" w:sz="0" w:space="0" w:color="auto"/>
        <w:right w:val="none" w:sz="0" w:space="0" w:color="auto"/>
      </w:divBdr>
    </w:div>
    <w:div w:id="241960797">
      <w:bodyDiv w:val="1"/>
      <w:marLeft w:val="0"/>
      <w:marRight w:val="0"/>
      <w:marTop w:val="0"/>
      <w:marBottom w:val="0"/>
      <w:divBdr>
        <w:top w:val="none" w:sz="0" w:space="0" w:color="auto"/>
        <w:left w:val="none" w:sz="0" w:space="0" w:color="auto"/>
        <w:bottom w:val="none" w:sz="0" w:space="0" w:color="auto"/>
        <w:right w:val="none" w:sz="0" w:space="0" w:color="auto"/>
      </w:divBdr>
    </w:div>
    <w:div w:id="247228925">
      <w:bodyDiv w:val="1"/>
      <w:marLeft w:val="0"/>
      <w:marRight w:val="0"/>
      <w:marTop w:val="0"/>
      <w:marBottom w:val="0"/>
      <w:divBdr>
        <w:top w:val="none" w:sz="0" w:space="0" w:color="auto"/>
        <w:left w:val="none" w:sz="0" w:space="0" w:color="auto"/>
        <w:bottom w:val="none" w:sz="0" w:space="0" w:color="auto"/>
        <w:right w:val="none" w:sz="0" w:space="0" w:color="auto"/>
      </w:divBdr>
    </w:div>
    <w:div w:id="306475086">
      <w:bodyDiv w:val="1"/>
      <w:marLeft w:val="0"/>
      <w:marRight w:val="0"/>
      <w:marTop w:val="0"/>
      <w:marBottom w:val="0"/>
      <w:divBdr>
        <w:top w:val="none" w:sz="0" w:space="0" w:color="auto"/>
        <w:left w:val="none" w:sz="0" w:space="0" w:color="auto"/>
        <w:bottom w:val="none" w:sz="0" w:space="0" w:color="auto"/>
        <w:right w:val="none" w:sz="0" w:space="0" w:color="auto"/>
      </w:divBdr>
    </w:div>
    <w:div w:id="418792845">
      <w:bodyDiv w:val="1"/>
      <w:marLeft w:val="0"/>
      <w:marRight w:val="0"/>
      <w:marTop w:val="0"/>
      <w:marBottom w:val="0"/>
      <w:divBdr>
        <w:top w:val="none" w:sz="0" w:space="0" w:color="auto"/>
        <w:left w:val="none" w:sz="0" w:space="0" w:color="auto"/>
        <w:bottom w:val="none" w:sz="0" w:space="0" w:color="auto"/>
        <w:right w:val="none" w:sz="0" w:space="0" w:color="auto"/>
      </w:divBdr>
    </w:div>
    <w:div w:id="479616080">
      <w:bodyDiv w:val="1"/>
      <w:marLeft w:val="0"/>
      <w:marRight w:val="0"/>
      <w:marTop w:val="0"/>
      <w:marBottom w:val="0"/>
      <w:divBdr>
        <w:top w:val="none" w:sz="0" w:space="0" w:color="auto"/>
        <w:left w:val="none" w:sz="0" w:space="0" w:color="auto"/>
        <w:bottom w:val="none" w:sz="0" w:space="0" w:color="auto"/>
        <w:right w:val="none" w:sz="0" w:space="0" w:color="auto"/>
      </w:divBdr>
    </w:div>
    <w:div w:id="528419414">
      <w:bodyDiv w:val="1"/>
      <w:marLeft w:val="0"/>
      <w:marRight w:val="0"/>
      <w:marTop w:val="0"/>
      <w:marBottom w:val="0"/>
      <w:divBdr>
        <w:top w:val="none" w:sz="0" w:space="0" w:color="auto"/>
        <w:left w:val="none" w:sz="0" w:space="0" w:color="auto"/>
        <w:bottom w:val="none" w:sz="0" w:space="0" w:color="auto"/>
        <w:right w:val="none" w:sz="0" w:space="0" w:color="auto"/>
      </w:divBdr>
    </w:div>
    <w:div w:id="713391109">
      <w:bodyDiv w:val="1"/>
      <w:marLeft w:val="0"/>
      <w:marRight w:val="0"/>
      <w:marTop w:val="0"/>
      <w:marBottom w:val="0"/>
      <w:divBdr>
        <w:top w:val="none" w:sz="0" w:space="0" w:color="auto"/>
        <w:left w:val="none" w:sz="0" w:space="0" w:color="auto"/>
        <w:bottom w:val="none" w:sz="0" w:space="0" w:color="auto"/>
        <w:right w:val="none" w:sz="0" w:space="0" w:color="auto"/>
      </w:divBdr>
    </w:div>
    <w:div w:id="867062223">
      <w:bodyDiv w:val="1"/>
      <w:marLeft w:val="0"/>
      <w:marRight w:val="0"/>
      <w:marTop w:val="0"/>
      <w:marBottom w:val="0"/>
      <w:divBdr>
        <w:top w:val="none" w:sz="0" w:space="0" w:color="auto"/>
        <w:left w:val="none" w:sz="0" w:space="0" w:color="auto"/>
        <w:bottom w:val="none" w:sz="0" w:space="0" w:color="auto"/>
        <w:right w:val="none" w:sz="0" w:space="0" w:color="auto"/>
      </w:divBdr>
    </w:div>
    <w:div w:id="887837273">
      <w:bodyDiv w:val="1"/>
      <w:marLeft w:val="0"/>
      <w:marRight w:val="0"/>
      <w:marTop w:val="0"/>
      <w:marBottom w:val="0"/>
      <w:divBdr>
        <w:top w:val="none" w:sz="0" w:space="0" w:color="auto"/>
        <w:left w:val="none" w:sz="0" w:space="0" w:color="auto"/>
        <w:bottom w:val="none" w:sz="0" w:space="0" w:color="auto"/>
        <w:right w:val="none" w:sz="0" w:space="0" w:color="auto"/>
      </w:divBdr>
    </w:div>
    <w:div w:id="975909823">
      <w:bodyDiv w:val="1"/>
      <w:marLeft w:val="0"/>
      <w:marRight w:val="0"/>
      <w:marTop w:val="0"/>
      <w:marBottom w:val="0"/>
      <w:divBdr>
        <w:top w:val="none" w:sz="0" w:space="0" w:color="auto"/>
        <w:left w:val="none" w:sz="0" w:space="0" w:color="auto"/>
        <w:bottom w:val="none" w:sz="0" w:space="0" w:color="auto"/>
        <w:right w:val="none" w:sz="0" w:space="0" w:color="auto"/>
      </w:divBdr>
    </w:div>
    <w:div w:id="1063338004">
      <w:bodyDiv w:val="1"/>
      <w:marLeft w:val="0"/>
      <w:marRight w:val="0"/>
      <w:marTop w:val="0"/>
      <w:marBottom w:val="0"/>
      <w:divBdr>
        <w:top w:val="none" w:sz="0" w:space="0" w:color="auto"/>
        <w:left w:val="none" w:sz="0" w:space="0" w:color="auto"/>
        <w:bottom w:val="none" w:sz="0" w:space="0" w:color="auto"/>
        <w:right w:val="none" w:sz="0" w:space="0" w:color="auto"/>
      </w:divBdr>
    </w:div>
    <w:div w:id="1124540541">
      <w:bodyDiv w:val="1"/>
      <w:marLeft w:val="0"/>
      <w:marRight w:val="0"/>
      <w:marTop w:val="0"/>
      <w:marBottom w:val="0"/>
      <w:divBdr>
        <w:top w:val="none" w:sz="0" w:space="0" w:color="auto"/>
        <w:left w:val="none" w:sz="0" w:space="0" w:color="auto"/>
        <w:bottom w:val="none" w:sz="0" w:space="0" w:color="auto"/>
        <w:right w:val="none" w:sz="0" w:space="0" w:color="auto"/>
      </w:divBdr>
    </w:div>
    <w:div w:id="1262879196">
      <w:bodyDiv w:val="1"/>
      <w:marLeft w:val="0"/>
      <w:marRight w:val="0"/>
      <w:marTop w:val="0"/>
      <w:marBottom w:val="0"/>
      <w:divBdr>
        <w:top w:val="none" w:sz="0" w:space="0" w:color="auto"/>
        <w:left w:val="none" w:sz="0" w:space="0" w:color="auto"/>
        <w:bottom w:val="none" w:sz="0" w:space="0" w:color="auto"/>
        <w:right w:val="none" w:sz="0" w:space="0" w:color="auto"/>
      </w:divBdr>
    </w:div>
    <w:div w:id="1283684928">
      <w:bodyDiv w:val="1"/>
      <w:marLeft w:val="0"/>
      <w:marRight w:val="0"/>
      <w:marTop w:val="0"/>
      <w:marBottom w:val="0"/>
      <w:divBdr>
        <w:top w:val="none" w:sz="0" w:space="0" w:color="auto"/>
        <w:left w:val="none" w:sz="0" w:space="0" w:color="auto"/>
        <w:bottom w:val="none" w:sz="0" w:space="0" w:color="auto"/>
        <w:right w:val="none" w:sz="0" w:space="0" w:color="auto"/>
      </w:divBdr>
    </w:div>
    <w:div w:id="1510096483">
      <w:bodyDiv w:val="1"/>
      <w:marLeft w:val="0"/>
      <w:marRight w:val="0"/>
      <w:marTop w:val="0"/>
      <w:marBottom w:val="0"/>
      <w:divBdr>
        <w:top w:val="none" w:sz="0" w:space="0" w:color="auto"/>
        <w:left w:val="none" w:sz="0" w:space="0" w:color="auto"/>
        <w:bottom w:val="none" w:sz="0" w:space="0" w:color="auto"/>
        <w:right w:val="none" w:sz="0" w:space="0" w:color="auto"/>
      </w:divBdr>
    </w:div>
    <w:div w:id="1620919517">
      <w:bodyDiv w:val="1"/>
      <w:marLeft w:val="0"/>
      <w:marRight w:val="0"/>
      <w:marTop w:val="0"/>
      <w:marBottom w:val="0"/>
      <w:divBdr>
        <w:top w:val="none" w:sz="0" w:space="0" w:color="auto"/>
        <w:left w:val="none" w:sz="0" w:space="0" w:color="auto"/>
        <w:bottom w:val="none" w:sz="0" w:space="0" w:color="auto"/>
        <w:right w:val="none" w:sz="0" w:space="0" w:color="auto"/>
      </w:divBdr>
    </w:div>
    <w:div w:id="1640188988">
      <w:bodyDiv w:val="1"/>
      <w:marLeft w:val="0"/>
      <w:marRight w:val="0"/>
      <w:marTop w:val="0"/>
      <w:marBottom w:val="0"/>
      <w:divBdr>
        <w:top w:val="none" w:sz="0" w:space="0" w:color="auto"/>
        <w:left w:val="none" w:sz="0" w:space="0" w:color="auto"/>
        <w:bottom w:val="none" w:sz="0" w:space="0" w:color="auto"/>
        <w:right w:val="none" w:sz="0" w:space="0" w:color="auto"/>
      </w:divBdr>
    </w:div>
    <w:div w:id="1695379283">
      <w:bodyDiv w:val="1"/>
      <w:marLeft w:val="0"/>
      <w:marRight w:val="0"/>
      <w:marTop w:val="0"/>
      <w:marBottom w:val="0"/>
      <w:divBdr>
        <w:top w:val="none" w:sz="0" w:space="0" w:color="auto"/>
        <w:left w:val="none" w:sz="0" w:space="0" w:color="auto"/>
        <w:bottom w:val="none" w:sz="0" w:space="0" w:color="auto"/>
        <w:right w:val="none" w:sz="0" w:space="0" w:color="auto"/>
      </w:divBdr>
      <w:divsChild>
        <w:div w:id="248199081">
          <w:marLeft w:val="0"/>
          <w:marRight w:val="0"/>
          <w:marTop w:val="0"/>
          <w:marBottom w:val="0"/>
          <w:divBdr>
            <w:top w:val="none" w:sz="0" w:space="0" w:color="auto"/>
            <w:left w:val="none" w:sz="0" w:space="0" w:color="auto"/>
            <w:bottom w:val="none" w:sz="0" w:space="0" w:color="auto"/>
            <w:right w:val="none" w:sz="0" w:space="0" w:color="auto"/>
          </w:divBdr>
          <w:divsChild>
            <w:div w:id="2087458461">
              <w:marLeft w:val="0"/>
              <w:marRight w:val="0"/>
              <w:marTop w:val="0"/>
              <w:marBottom w:val="0"/>
              <w:divBdr>
                <w:top w:val="none" w:sz="0" w:space="0" w:color="auto"/>
                <w:left w:val="none" w:sz="0" w:space="0" w:color="auto"/>
                <w:bottom w:val="none" w:sz="0" w:space="0" w:color="auto"/>
                <w:right w:val="none" w:sz="0" w:space="0" w:color="auto"/>
              </w:divBdr>
              <w:divsChild>
                <w:div w:id="388919714">
                  <w:marLeft w:val="0"/>
                  <w:marRight w:val="0"/>
                  <w:marTop w:val="0"/>
                  <w:marBottom w:val="0"/>
                  <w:divBdr>
                    <w:top w:val="none" w:sz="0" w:space="0" w:color="auto"/>
                    <w:left w:val="none" w:sz="0" w:space="0" w:color="auto"/>
                    <w:bottom w:val="none" w:sz="0" w:space="0" w:color="auto"/>
                    <w:right w:val="none" w:sz="0" w:space="0" w:color="auto"/>
                  </w:divBdr>
                  <w:divsChild>
                    <w:div w:id="713771704">
                      <w:marLeft w:val="0"/>
                      <w:marRight w:val="0"/>
                      <w:marTop w:val="0"/>
                      <w:marBottom w:val="0"/>
                      <w:divBdr>
                        <w:top w:val="none" w:sz="0" w:space="0" w:color="auto"/>
                        <w:left w:val="none" w:sz="0" w:space="0" w:color="auto"/>
                        <w:bottom w:val="none" w:sz="0" w:space="0" w:color="auto"/>
                        <w:right w:val="none" w:sz="0" w:space="0" w:color="auto"/>
                      </w:divBdr>
                      <w:divsChild>
                        <w:div w:id="578448738">
                          <w:marLeft w:val="0"/>
                          <w:marRight w:val="0"/>
                          <w:marTop w:val="0"/>
                          <w:marBottom w:val="0"/>
                          <w:divBdr>
                            <w:top w:val="none" w:sz="0" w:space="0" w:color="auto"/>
                            <w:left w:val="none" w:sz="0" w:space="0" w:color="auto"/>
                            <w:bottom w:val="none" w:sz="0" w:space="0" w:color="auto"/>
                            <w:right w:val="none" w:sz="0" w:space="0" w:color="auto"/>
                          </w:divBdr>
                          <w:divsChild>
                            <w:div w:id="7916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665819">
      <w:bodyDiv w:val="1"/>
      <w:marLeft w:val="0"/>
      <w:marRight w:val="0"/>
      <w:marTop w:val="0"/>
      <w:marBottom w:val="0"/>
      <w:divBdr>
        <w:top w:val="none" w:sz="0" w:space="0" w:color="auto"/>
        <w:left w:val="none" w:sz="0" w:space="0" w:color="auto"/>
        <w:bottom w:val="none" w:sz="0" w:space="0" w:color="auto"/>
        <w:right w:val="none" w:sz="0" w:space="0" w:color="auto"/>
      </w:divBdr>
    </w:div>
    <w:div w:id="1937865493">
      <w:bodyDiv w:val="1"/>
      <w:marLeft w:val="0"/>
      <w:marRight w:val="0"/>
      <w:marTop w:val="0"/>
      <w:marBottom w:val="0"/>
      <w:divBdr>
        <w:top w:val="none" w:sz="0" w:space="0" w:color="auto"/>
        <w:left w:val="none" w:sz="0" w:space="0" w:color="auto"/>
        <w:bottom w:val="none" w:sz="0" w:space="0" w:color="auto"/>
        <w:right w:val="none" w:sz="0" w:space="0" w:color="auto"/>
      </w:divBdr>
    </w:div>
    <w:div w:id="1977561188">
      <w:bodyDiv w:val="1"/>
      <w:marLeft w:val="0"/>
      <w:marRight w:val="0"/>
      <w:marTop w:val="0"/>
      <w:marBottom w:val="0"/>
      <w:divBdr>
        <w:top w:val="none" w:sz="0" w:space="0" w:color="auto"/>
        <w:left w:val="none" w:sz="0" w:space="0" w:color="auto"/>
        <w:bottom w:val="none" w:sz="0" w:space="0" w:color="auto"/>
        <w:right w:val="none" w:sz="0" w:space="0" w:color="auto"/>
      </w:divBdr>
    </w:div>
    <w:div w:id="20743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DD83-F2F0-42F6-B4BD-9FDF1527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21815</Words>
  <Characters>12436</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ieņēmuma dienesta Ventspils nodaļas nodrošināšanu ar darbam piemērotām telpām</vt:lpstr>
      <vt:lpstr>Informatīvais ziņojums „Par Valsts ieņēmuma dienesta Ventspils nodaļas nodrošināšanu ar darbam piemērotām telpām”</vt:lpstr>
    </vt:vector>
  </TitlesOfParts>
  <Company>Finanšu ministrija (Valsts nekustamie īpašumi)</Company>
  <LinksUpToDate>false</LinksUpToDate>
  <CharactersWithSpaces>34183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ieņēmumu dienesta Ventspils nodaļas nodrošināšanu ar darbam piemērotām telpām”</dc:title>
  <dc:subject>Informatīvais ziņojums</dc:subject>
  <dc:creator>Lita Kokorēviča</dc:creator>
  <dc:description>Lita.Kokorevica@vni.lv_x000d_
67024955_x000d_
_x000d_
</dc:description>
  <cp:lastModifiedBy>Līga Neilande</cp:lastModifiedBy>
  <cp:revision>22</cp:revision>
  <cp:lastPrinted>2015-07-09T07:29:00Z</cp:lastPrinted>
  <dcterms:created xsi:type="dcterms:W3CDTF">2015-07-09T11:00:00Z</dcterms:created>
  <dcterms:modified xsi:type="dcterms:W3CDTF">2015-07-13T11:20:00Z</dcterms:modified>
</cp:coreProperties>
</file>