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5313B" w:rsidRPr="00FF033B" w:rsidRDefault="0085650F" w:rsidP="0085650F">
      <w:pPr>
        <w:suppressAutoHyphens/>
        <w:jc w:val="center"/>
        <w:rPr>
          <w:b/>
          <w:spacing w:val="-2"/>
          <w:position w:val="-2"/>
          <w:szCs w:val="24"/>
        </w:rPr>
      </w:pPr>
      <w:r w:rsidRPr="00FF033B">
        <w:rPr>
          <w:rFonts w:ascii="Times New Roman Bold" w:eastAsia="Calibri" w:hAnsi="Times New Roman Bold" w:cs="Times New Roman"/>
          <w:b/>
          <w:szCs w:val="24"/>
          <w:lang w:eastAsia="ar-SA"/>
        </w:rPr>
        <w:t>Informatīvais ziņojums</w:t>
      </w:r>
      <w:r w:rsidRPr="00FF033B">
        <w:rPr>
          <w:b/>
          <w:szCs w:val="24"/>
        </w:rPr>
        <w:t xml:space="preserve"> “Par </w:t>
      </w:r>
      <w:r w:rsidRPr="00FF033B">
        <w:rPr>
          <w:b/>
          <w:bCs/>
          <w:szCs w:val="24"/>
        </w:rPr>
        <w:t>revīzijas iestādes audita atzinumu un ziņojumu</w:t>
      </w:r>
      <w:r w:rsidRPr="00FF033B">
        <w:rPr>
          <w:b/>
          <w:szCs w:val="24"/>
        </w:rPr>
        <w:t xml:space="preserve"> par vadošās iestādes un sertifikācijas iestādes </w:t>
      </w:r>
      <w:r w:rsidRPr="00FF033B">
        <w:rPr>
          <w:b/>
          <w:bCs/>
          <w:szCs w:val="24"/>
        </w:rPr>
        <w:t>sākotnējo atbilstības novērtējumu</w:t>
      </w:r>
      <w:r w:rsidRPr="00FF033B">
        <w:rPr>
          <w:b/>
          <w:spacing w:val="-2"/>
          <w:position w:val="-2"/>
          <w:szCs w:val="24"/>
        </w:rPr>
        <w:t>”</w:t>
      </w:r>
    </w:p>
    <w:p w:rsidR="0085650F" w:rsidRPr="00FF033B" w:rsidRDefault="0085650F" w:rsidP="0085650F">
      <w:pPr>
        <w:suppressAutoHyphens/>
        <w:jc w:val="center"/>
        <w:rPr>
          <w:rFonts w:eastAsia="Calibri" w:cs="Times New Roman"/>
          <w:b/>
          <w:szCs w:val="24"/>
          <w:lang w:eastAsia="ar-SA"/>
        </w:rPr>
      </w:pPr>
    </w:p>
    <w:p w:rsidR="00087F7B" w:rsidRPr="00FF033B" w:rsidRDefault="008D1CE8" w:rsidP="0085650F">
      <w:pPr>
        <w:suppressAutoHyphens/>
        <w:spacing w:before="120" w:after="120"/>
        <w:ind w:firstLine="426"/>
        <w:jc w:val="both"/>
        <w:rPr>
          <w:rFonts w:eastAsia="Calibri" w:cs="Times New Roman"/>
          <w:i/>
          <w:szCs w:val="24"/>
          <w:lang w:eastAsia="ar-SA"/>
        </w:rPr>
      </w:pPr>
      <w:r w:rsidRPr="00FF033B">
        <w:rPr>
          <w:rFonts w:eastAsia="Calibri" w:cs="Times New Roman"/>
          <w:szCs w:val="24"/>
          <w:lang w:eastAsia="ar-SA"/>
        </w:rPr>
        <w:t xml:space="preserve">Atbilstoši </w:t>
      </w:r>
      <w:r w:rsidR="00C15825" w:rsidRPr="00FF033B">
        <w:rPr>
          <w:szCs w:val="24"/>
        </w:rPr>
        <w:t>Eiropas Savienības</w:t>
      </w:r>
      <w:r w:rsidR="00087F7B" w:rsidRPr="00FF033B">
        <w:rPr>
          <w:szCs w:val="24"/>
        </w:rPr>
        <w:t xml:space="preserve"> (turpmāk  - ES)</w:t>
      </w:r>
      <w:r w:rsidR="00C15825" w:rsidRPr="00FF033B">
        <w:rPr>
          <w:szCs w:val="24"/>
        </w:rPr>
        <w:t xml:space="preserve"> struktūrfondu un Kohēzijas fonda 2014.-2020.gada plānošanas perioda vadības likum</w:t>
      </w:r>
      <w:r w:rsidR="00136AFA" w:rsidRPr="00FF033B">
        <w:rPr>
          <w:szCs w:val="24"/>
        </w:rPr>
        <w:t>a</w:t>
      </w:r>
      <w:r w:rsidR="00C15825" w:rsidRPr="00FF033B">
        <w:rPr>
          <w:szCs w:val="24"/>
        </w:rPr>
        <w:t xml:space="preserve"> (turpmāk – Likums) 13.panta otrās daļas 3.punktam</w:t>
      </w:r>
      <w:r w:rsidR="00136AFA" w:rsidRPr="00FF033B">
        <w:rPr>
          <w:szCs w:val="24"/>
        </w:rPr>
        <w:t xml:space="preserve"> </w:t>
      </w:r>
      <w:r w:rsidR="00087F7B" w:rsidRPr="00FF033B">
        <w:rPr>
          <w:szCs w:val="24"/>
        </w:rPr>
        <w:t>Finanšu ministrija</w:t>
      </w:r>
      <w:r w:rsidR="00FD0870" w:rsidRPr="00FF033B">
        <w:rPr>
          <w:szCs w:val="24"/>
        </w:rPr>
        <w:t xml:space="preserve"> </w:t>
      </w:r>
      <w:r w:rsidR="00087F7B" w:rsidRPr="00FF033B">
        <w:rPr>
          <w:szCs w:val="24"/>
        </w:rPr>
        <w:t xml:space="preserve">kā </w:t>
      </w:r>
      <w:r w:rsidR="00136AFA" w:rsidRPr="00FF033B">
        <w:rPr>
          <w:szCs w:val="24"/>
        </w:rPr>
        <w:t>revīzijas iestāde ir veikusi vadošās iestādes un sertifikācijas iestādes sākotnējo atbilstības novērtējuma auditu</w:t>
      </w:r>
      <w:r w:rsidR="0002786C" w:rsidRPr="00FF033B">
        <w:rPr>
          <w:szCs w:val="24"/>
        </w:rPr>
        <w:t xml:space="preserve"> (turpmāk – audits)</w:t>
      </w:r>
      <w:r w:rsidR="00136AFA" w:rsidRPr="00FF033B">
        <w:rPr>
          <w:szCs w:val="24"/>
        </w:rPr>
        <w:t xml:space="preserve">, kura </w:t>
      </w:r>
      <w:r w:rsidR="00087F7B" w:rsidRPr="00FF033B">
        <w:rPr>
          <w:szCs w:val="24"/>
        </w:rPr>
        <w:t xml:space="preserve">rezultātā ir sniegts </w:t>
      </w:r>
      <w:r w:rsidR="00A9417A">
        <w:rPr>
          <w:szCs w:val="24"/>
        </w:rPr>
        <w:t>audita atzinums</w:t>
      </w:r>
      <w:r w:rsidR="00A9417A" w:rsidRPr="00FF033B">
        <w:rPr>
          <w:szCs w:val="24"/>
        </w:rPr>
        <w:t xml:space="preserve"> </w:t>
      </w:r>
      <w:r w:rsidR="00087F7B" w:rsidRPr="00FF033B">
        <w:rPr>
          <w:szCs w:val="24"/>
        </w:rPr>
        <w:t>(</w:t>
      </w:r>
      <w:r w:rsidR="00087F7B" w:rsidRPr="00A9417A">
        <w:rPr>
          <w:i/>
          <w:szCs w:val="24"/>
        </w:rPr>
        <w:t>skatīt 1.pielikumu</w:t>
      </w:r>
      <w:r w:rsidR="00A9417A" w:rsidRPr="00A9417A">
        <w:rPr>
          <w:i/>
          <w:szCs w:val="24"/>
        </w:rPr>
        <w:t xml:space="preserve"> 2015.gada 10.jūnija „</w:t>
      </w:r>
      <w:r w:rsidR="00A9417A" w:rsidRPr="00A9417A">
        <w:rPr>
          <w:rFonts w:cs="Times New Roman"/>
          <w:bCs/>
          <w:i/>
          <w:szCs w:val="24"/>
        </w:rPr>
        <w:t>Atzinums par Eiropas Savienības struktūrfondu un Kohēzijas fonda 2014.-2020.gada plānošanas perioda vadošās iestādes un sertifikācijas iestādes atbilstību Regulas (ES) Nr.1303/2013 XIII pielikumā izklāstītajiem izraudzīšanās kritērijiem</w:t>
      </w:r>
      <w:r w:rsidR="00A9417A" w:rsidRPr="00A9417A">
        <w:rPr>
          <w:i/>
          <w:szCs w:val="24"/>
        </w:rPr>
        <w:t>”</w:t>
      </w:r>
      <w:r w:rsidR="00087F7B" w:rsidRPr="00FF033B">
        <w:rPr>
          <w:szCs w:val="24"/>
        </w:rPr>
        <w:t>) un atzinuma pamatojums –</w:t>
      </w:r>
      <w:r w:rsidR="00A9417A">
        <w:rPr>
          <w:szCs w:val="24"/>
        </w:rPr>
        <w:t xml:space="preserve"> audita ziņojums </w:t>
      </w:r>
      <w:r w:rsidR="00087F7B" w:rsidRPr="00FF033B">
        <w:rPr>
          <w:szCs w:val="24"/>
        </w:rPr>
        <w:t>(</w:t>
      </w:r>
      <w:r w:rsidR="00087F7B" w:rsidRPr="00A9417A">
        <w:rPr>
          <w:i/>
          <w:szCs w:val="24"/>
        </w:rPr>
        <w:t>skatīt 2.pielikumu</w:t>
      </w:r>
      <w:r w:rsidR="00A9417A" w:rsidRPr="00A9417A">
        <w:rPr>
          <w:i/>
          <w:szCs w:val="24"/>
        </w:rPr>
        <w:t xml:space="preserve"> 2015.gada 10.jūnija “</w:t>
      </w:r>
      <w:r w:rsidR="00A9417A" w:rsidRPr="00A9417A">
        <w:rPr>
          <w:rFonts w:cs="Times New Roman"/>
          <w:bCs/>
          <w:i/>
          <w:szCs w:val="24"/>
        </w:rPr>
        <w:t>Audita ziņojums</w:t>
      </w:r>
      <w:r w:rsidR="00A9417A" w:rsidRPr="00A9417A">
        <w:rPr>
          <w:rFonts w:cs="Times New Roman"/>
          <w:i/>
          <w:szCs w:val="24"/>
        </w:rPr>
        <w:t xml:space="preserve"> par Eiropas Savienības struktūrfondu un Kohēzijas fonda 2014.-2020.gad</w:t>
      </w:r>
      <w:bookmarkStart w:id="0" w:name="_GoBack"/>
      <w:bookmarkEnd w:id="0"/>
      <w:r w:rsidR="00A9417A" w:rsidRPr="00A9417A">
        <w:rPr>
          <w:rFonts w:cs="Times New Roman"/>
          <w:i/>
          <w:szCs w:val="24"/>
        </w:rPr>
        <w:t>a plānošanas perioda vadošās iestādes un sertifikācijas iestādes atbilstību  Regulas Nr.1303/2013 XIII pielikumā izklāstītajiem izraudzīšanās kritērijiem</w:t>
      </w:r>
      <w:r w:rsidR="00A9417A" w:rsidRPr="00A9417A">
        <w:rPr>
          <w:i/>
          <w:szCs w:val="24"/>
        </w:rPr>
        <w:t>”</w:t>
      </w:r>
      <w:r w:rsidR="00087F7B" w:rsidRPr="00FF033B">
        <w:rPr>
          <w:szCs w:val="24"/>
        </w:rPr>
        <w:t xml:space="preserve">). </w:t>
      </w:r>
    </w:p>
    <w:p w:rsidR="00501993" w:rsidRPr="00FF033B" w:rsidRDefault="0002786C" w:rsidP="0085650F">
      <w:pPr>
        <w:suppressAutoHyphens/>
        <w:spacing w:before="120" w:after="120"/>
        <w:ind w:firstLine="426"/>
        <w:jc w:val="both"/>
        <w:rPr>
          <w:rFonts w:eastAsia="Calibri" w:cs="Times New Roman"/>
          <w:szCs w:val="24"/>
          <w:lang w:eastAsia="ar-SA"/>
        </w:rPr>
      </w:pPr>
      <w:r w:rsidRPr="00FF033B">
        <w:rPr>
          <w:rFonts w:eastAsia="Calibri" w:cs="Times New Roman"/>
          <w:szCs w:val="24"/>
          <w:lang w:eastAsia="ar-SA"/>
        </w:rPr>
        <w:t xml:space="preserve">Audits </w:t>
      </w:r>
      <w:r w:rsidR="00501993" w:rsidRPr="00FF033B">
        <w:rPr>
          <w:rFonts w:eastAsia="Calibri" w:cs="Times New Roman"/>
          <w:szCs w:val="24"/>
          <w:lang w:eastAsia="ar-SA"/>
        </w:rPr>
        <w:t xml:space="preserve">aptvēra </w:t>
      </w:r>
      <w:r w:rsidRPr="00FF033B">
        <w:rPr>
          <w:rFonts w:eastAsia="Calibri" w:cs="Times New Roman"/>
          <w:szCs w:val="24"/>
          <w:lang w:eastAsia="ar-SA"/>
        </w:rPr>
        <w:t xml:space="preserve">Finanšu ministriju kā </w:t>
      </w:r>
      <w:r w:rsidRPr="00FF033B">
        <w:rPr>
          <w:bCs/>
          <w:szCs w:val="24"/>
        </w:rPr>
        <w:t xml:space="preserve">Eiropas Savienības struktūrfondu un Kohēzijas fonda 2014.—2020.gada plānošanas perioda </w:t>
      </w:r>
      <w:r w:rsidRPr="00FF033B">
        <w:rPr>
          <w:rFonts w:eastAsia="Calibri" w:cs="Times New Roman"/>
          <w:szCs w:val="24"/>
          <w:lang w:eastAsia="ar-SA"/>
        </w:rPr>
        <w:t>v</w:t>
      </w:r>
      <w:r w:rsidR="00501993" w:rsidRPr="00FF033B">
        <w:rPr>
          <w:rFonts w:eastAsia="Calibri" w:cs="Times New Roman"/>
          <w:szCs w:val="24"/>
          <w:lang w:eastAsia="ar-SA"/>
        </w:rPr>
        <w:t>adošo iestādi</w:t>
      </w:r>
      <w:r w:rsidR="00023651" w:rsidRPr="00FF033B">
        <w:rPr>
          <w:rFonts w:eastAsia="Calibri" w:cs="Times New Roman"/>
          <w:szCs w:val="24"/>
          <w:lang w:eastAsia="ar-SA"/>
        </w:rPr>
        <w:t>, ieskaitot</w:t>
      </w:r>
      <w:r w:rsidR="00501993" w:rsidRPr="00FF033B">
        <w:rPr>
          <w:rFonts w:eastAsia="Calibri" w:cs="Times New Roman"/>
          <w:szCs w:val="24"/>
          <w:lang w:eastAsia="ar-SA"/>
        </w:rPr>
        <w:t xml:space="preserve"> tās deleģētās funkcijas, kā arī  </w:t>
      </w:r>
      <w:r w:rsidRPr="00FF033B">
        <w:rPr>
          <w:rFonts w:eastAsia="Calibri" w:cs="Times New Roman"/>
          <w:szCs w:val="24"/>
          <w:lang w:eastAsia="ar-SA"/>
        </w:rPr>
        <w:t xml:space="preserve">Valsts </w:t>
      </w:r>
      <w:r w:rsidR="00695805" w:rsidRPr="00FF033B">
        <w:rPr>
          <w:rFonts w:eastAsia="Calibri" w:cs="Times New Roman"/>
          <w:szCs w:val="24"/>
          <w:lang w:eastAsia="ar-SA"/>
        </w:rPr>
        <w:t xml:space="preserve">kasi </w:t>
      </w:r>
      <w:r w:rsidRPr="00FF033B">
        <w:rPr>
          <w:szCs w:val="24"/>
          <w:lang w:eastAsia="lv-LV"/>
        </w:rPr>
        <w:t xml:space="preserve">kā </w:t>
      </w:r>
      <w:r w:rsidRPr="00FF033B">
        <w:rPr>
          <w:bCs/>
          <w:szCs w:val="24"/>
        </w:rPr>
        <w:t>Eiropas Savienības struktūrfondu un Kohēzijas fonda 2014.—2020.gada plānošanas perioda</w:t>
      </w:r>
      <w:r w:rsidRPr="00FF033B">
        <w:rPr>
          <w:rFonts w:eastAsia="Calibri" w:cs="Times New Roman"/>
          <w:szCs w:val="24"/>
          <w:lang w:eastAsia="ar-SA"/>
        </w:rPr>
        <w:t xml:space="preserve"> s</w:t>
      </w:r>
      <w:r w:rsidR="00501993" w:rsidRPr="00FF033B">
        <w:rPr>
          <w:rFonts w:eastAsia="Calibri" w:cs="Times New Roman"/>
          <w:szCs w:val="24"/>
          <w:lang w:eastAsia="ar-SA"/>
        </w:rPr>
        <w:t>ertifikācijas iestādi</w:t>
      </w:r>
      <w:r w:rsidR="00817015" w:rsidRPr="00FF033B">
        <w:rPr>
          <w:rFonts w:eastAsia="Calibri" w:cs="Times New Roman"/>
          <w:szCs w:val="24"/>
          <w:lang w:eastAsia="ar-SA"/>
        </w:rPr>
        <w:t>.</w:t>
      </w:r>
    </w:p>
    <w:p w:rsidR="001813D4" w:rsidRPr="00FF033B" w:rsidRDefault="00050990" w:rsidP="001813D4">
      <w:pPr>
        <w:suppressAutoHyphens/>
        <w:spacing w:before="120" w:after="120"/>
        <w:ind w:firstLine="426"/>
        <w:jc w:val="both"/>
        <w:rPr>
          <w:rFonts w:eastAsia="Calibri" w:cs="Times New Roman"/>
          <w:szCs w:val="24"/>
          <w:lang w:eastAsia="ar-SA"/>
        </w:rPr>
      </w:pPr>
      <w:r w:rsidRPr="00FF033B">
        <w:rPr>
          <w:rFonts w:eastAsia="Calibri" w:cs="Times New Roman"/>
          <w:szCs w:val="24"/>
          <w:lang w:eastAsia="ar-SA"/>
        </w:rPr>
        <w:t>Atbilstoši audita laik</w:t>
      </w:r>
      <w:r w:rsidR="00264C7F" w:rsidRPr="00FF033B">
        <w:rPr>
          <w:rFonts w:eastAsia="Calibri" w:cs="Times New Roman"/>
          <w:szCs w:val="24"/>
          <w:lang w:eastAsia="ar-SA"/>
        </w:rPr>
        <w:t xml:space="preserve">ā </w:t>
      </w:r>
      <w:r w:rsidRPr="00FF033B">
        <w:rPr>
          <w:rFonts w:eastAsia="Calibri" w:cs="Times New Roman"/>
          <w:szCs w:val="24"/>
          <w:lang w:eastAsia="ar-SA"/>
        </w:rPr>
        <w:t xml:space="preserve">gūtajiem pierādījumiem un </w:t>
      </w:r>
      <w:r w:rsidR="00264C7F" w:rsidRPr="00FF033B">
        <w:rPr>
          <w:rFonts w:eastAsia="Calibri" w:cs="Times New Roman"/>
          <w:szCs w:val="24"/>
          <w:lang w:eastAsia="ar-SA"/>
        </w:rPr>
        <w:t xml:space="preserve">izdarītajiem </w:t>
      </w:r>
      <w:r w:rsidRPr="00FF033B">
        <w:rPr>
          <w:rFonts w:eastAsia="Calibri" w:cs="Times New Roman"/>
          <w:szCs w:val="24"/>
          <w:lang w:eastAsia="ar-SA"/>
        </w:rPr>
        <w:t xml:space="preserve">secinājumiem </w:t>
      </w:r>
      <w:r w:rsidR="00D8634F" w:rsidRPr="00FF033B">
        <w:rPr>
          <w:rFonts w:eastAsia="Calibri" w:cs="Times New Roman"/>
          <w:szCs w:val="24"/>
          <w:lang w:eastAsia="ar-SA"/>
        </w:rPr>
        <w:t>r</w:t>
      </w:r>
      <w:r w:rsidR="00087F7B" w:rsidRPr="00FF033B">
        <w:rPr>
          <w:rFonts w:eastAsia="Calibri" w:cs="Times New Roman"/>
          <w:szCs w:val="24"/>
          <w:lang w:eastAsia="ar-SA"/>
        </w:rPr>
        <w:t xml:space="preserve">evīzijas iestāde sniedz </w:t>
      </w:r>
      <w:r w:rsidR="00087F7B" w:rsidRPr="00FF033B">
        <w:rPr>
          <w:rFonts w:eastAsia="Calibri" w:cs="Times New Roman"/>
          <w:b/>
          <w:szCs w:val="24"/>
          <w:lang w:eastAsia="ar-SA"/>
        </w:rPr>
        <w:t>atzinumu</w:t>
      </w:r>
      <w:r w:rsidR="00136AFA" w:rsidRPr="00FF033B">
        <w:rPr>
          <w:rFonts w:eastAsia="Calibri" w:cs="Times New Roman"/>
          <w:szCs w:val="24"/>
          <w:lang w:eastAsia="ar-SA"/>
        </w:rPr>
        <w:t xml:space="preserve"> </w:t>
      </w:r>
      <w:r w:rsidR="00087F7B" w:rsidRPr="00FF033B">
        <w:rPr>
          <w:rFonts w:eastAsia="Calibri" w:cs="Times New Roman"/>
          <w:b/>
          <w:szCs w:val="24"/>
          <w:lang w:eastAsia="ar-SA"/>
        </w:rPr>
        <w:t>bez</w:t>
      </w:r>
      <w:r w:rsidR="00FD0870" w:rsidRPr="00FF033B">
        <w:rPr>
          <w:rFonts w:eastAsia="Calibri" w:cs="Times New Roman"/>
          <w:b/>
          <w:szCs w:val="24"/>
          <w:lang w:eastAsia="ar-SA"/>
        </w:rPr>
        <w:t xml:space="preserve"> </w:t>
      </w:r>
      <w:r w:rsidR="00C3734D" w:rsidRPr="00FF033B">
        <w:rPr>
          <w:rFonts w:eastAsia="Calibri" w:cs="Times New Roman"/>
          <w:b/>
          <w:szCs w:val="24"/>
          <w:lang w:eastAsia="ar-SA"/>
        </w:rPr>
        <w:t>piezīmēm</w:t>
      </w:r>
      <w:r w:rsidR="00817015" w:rsidRPr="00FF033B">
        <w:rPr>
          <w:rFonts w:eastAsia="Calibri" w:cs="Times New Roman"/>
          <w:b/>
          <w:szCs w:val="24"/>
          <w:lang w:eastAsia="ar-SA"/>
        </w:rPr>
        <w:t xml:space="preserve">, </w:t>
      </w:r>
      <w:r w:rsidR="00087F7B" w:rsidRPr="00FF033B">
        <w:rPr>
          <w:rFonts w:eastAsia="Calibri" w:cs="Times New Roman"/>
          <w:szCs w:val="24"/>
          <w:lang w:eastAsia="ar-SA"/>
        </w:rPr>
        <w:t>tād</w:t>
      </w:r>
      <w:r w:rsidR="00355C89" w:rsidRPr="00FF033B">
        <w:rPr>
          <w:rFonts w:eastAsia="Calibri" w:cs="Times New Roman"/>
          <w:szCs w:val="24"/>
          <w:lang w:eastAsia="ar-SA"/>
        </w:rPr>
        <w:t>e</w:t>
      </w:r>
      <w:r w:rsidR="00087F7B" w:rsidRPr="00FF033B">
        <w:rPr>
          <w:rFonts w:eastAsia="Calibri" w:cs="Times New Roman"/>
          <w:szCs w:val="24"/>
          <w:lang w:eastAsia="ar-SA"/>
        </w:rPr>
        <w:t xml:space="preserve">jādi </w:t>
      </w:r>
      <w:r w:rsidRPr="00FF033B">
        <w:rPr>
          <w:rFonts w:eastAsia="Calibri" w:cs="Times New Roman"/>
          <w:szCs w:val="24"/>
          <w:lang w:eastAsia="ar-SA"/>
        </w:rPr>
        <w:t xml:space="preserve">norādot, ka </w:t>
      </w:r>
      <w:r w:rsidR="0002786C" w:rsidRPr="00FF033B">
        <w:rPr>
          <w:rFonts w:eastAsia="Calibri" w:cs="Times New Roman"/>
          <w:szCs w:val="24"/>
          <w:lang w:eastAsia="ar-SA"/>
        </w:rPr>
        <w:t>v</w:t>
      </w:r>
      <w:r w:rsidRPr="00FF033B">
        <w:rPr>
          <w:rFonts w:eastAsia="Calibri" w:cs="Times New Roman"/>
          <w:szCs w:val="24"/>
          <w:lang w:eastAsia="ar-SA"/>
        </w:rPr>
        <w:t xml:space="preserve">adošā iestāde un </w:t>
      </w:r>
      <w:r w:rsidR="0002786C" w:rsidRPr="00FF033B">
        <w:rPr>
          <w:rFonts w:eastAsia="Calibri" w:cs="Times New Roman"/>
          <w:szCs w:val="24"/>
          <w:lang w:eastAsia="ar-SA"/>
        </w:rPr>
        <w:t>s</w:t>
      </w:r>
      <w:r w:rsidRPr="00FF033B">
        <w:rPr>
          <w:rFonts w:eastAsia="Calibri" w:cs="Times New Roman"/>
          <w:szCs w:val="24"/>
          <w:lang w:eastAsia="ar-SA"/>
        </w:rPr>
        <w:t xml:space="preserve">ertifikācijas iestāde, kas izraudzīta </w:t>
      </w:r>
      <w:r w:rsidR="00695805" w:rsidRPr="00FF033B">
        <w:rPr>
          <w:rFonts w:eastAsia="Calibri" w:cs="Times New Roman"/>
          <w:szCs w:val="24"/>
          <w:lang w:eastAsia="ar-SA"/>
        </w:rPr>
        <w:t>Eiropas Savienības Kohēzijas politikas fondu 2014.–2020. gada plānošanas periodam darbības programmai "Izaugsme un nodarbinātība"</w:t>
      </w:r>
      <w:r w:rsidR="0002786C" w:rsidRPr="00FF033B">
        <w:rPr>
          <w:rFonts w:eastAsia="Calibri" w:cs="Times New Roman"/>
          <w:szCs w:val="24"/>
          <w:lang w:eastAsia="ar-SA"/>
        </w:rPr>
        <w:t xml:space="preserve"> (</w:t>
      </w:r>
      <w:r w:rsidR="0002786C" w:rsidRPr="00FF033B">
        <w:rPr>
          <w:rFonts w:eastAsia="Times New Roman" w:cs="Times New Roman"/>
          <w:color w:val="000000"/>
          <w:szCs w:val="24"/>
          <w:lang w:eastAsia="lv-LV"/>
        </w:rPr>
        <w:t>2014LV16MAOP001</w:t>
      </w:r>
      <w:r w:rsidR="0002786C" w:rsidRPr="00FF033B">
        <w:rPr>
          <w:rFonts w:eastAsia="Calibri" w:cs="Times New Roman"/>
          <w:szCs w:val="24"/>
          <w:lang w:eastAsia="ar-SA"/>
        </w:rPr>
        <w:t>)</w:t>
      </w:r>
      <w:r w:rsidR="00355C89" w:rsidRPr="00FF033B">
        <w:rPr>
          <w:rFonts w:eastAsia="Calibri" w:cs="Times New Roman"/>
          <w:szCs w:val="24"/>
          <w:lang w:eastAsia="ar-SA"/>
        </w:rPr>
        <w:t>,</w:t>
      </w:r>
      <w:r w:rsidRPr="00FF033B">
        <w:rPr>
          <w:rFonts w:eastAsia="Calibri" w:cs="Times New Roman"/>
          <w:szCs w:val="24"/>
          <w:lang w:eastAsia="ar-SA"/>
        </w:rPr>
        <w:t xml:space="preserve"> </w:t>
      </w:r>
      <w:r w:rsidR="00355C89" w:rsidRPr="00FF033B">
        <w:rPr>
          <w:rFonts w:eastAsia="Calibri" w:cs="Times New Roman"/>
          <w:b/>
          <w:szCs w:val="24"/>
          <w:lang w:eastAsia="ar-SA"/>
        </w:rPr>
        <w:t>atbilst</w:t>
      </w:r>
      <w:r w:rsidR="00355C89" w:rsidRPr="00FF033B">
        <w:rPr>
          <w:rFonts w:eastAsia="Calibri" w:cs="Times New Roman"/>
          <w:szCs w:val="24"/>
          <w:lang w:eastAsia="ar-SA"/>
        </w:rPr>
        <w:t xml:space="preserve"> Regulas Nr.1303/2013</w:t>
      </w:r>
      <w:r w:rsidR="00355C89" w:rsidRPr="00FF033B">
        <w:rPr>
          <w:rStyle w:val="FootnoteReference"/>
          <w:rFonts w:eastAsia="Calibri"/>
          <w:szCs w:val="24"/>
          <w:lang w:eastAsia="ar-SA"/>
        </w:rPr>
        <w:footnoteReference w:id="1"/>
      </w:r>
      <w:r w:rsidR="00355C89" w:rsidRPr="00FF033B">
        <w:rPr>
          <w:rFonts w:eastAsia="Calibri" w:cs="Times New Roman"/>
          <w:szCs w:val="24"/>
          <w:lang w:eastAsia="ar-SA"/>
        </w:rPr>
        <w:t xml:space="preserve"> XIII pielikumā izklāstītajiem kritērijiem</w:t>
      </w:r>
      <w:r w:rsidR="00136AFA" w:rsidRPr="00FF033B">
        <w:rPr>
          <w:rFonts w:eastAsia="Calibri" w:cs="Times New Roman"/>
          <w:szCs w:val="24"/>
          <w:lang w:eastAsia="ar-SA"/>
        </w:rPr>
        <w:t xml:space="preserve"> </w:t>
      </w:r>
      <w:r w:rsidR="00355C89" w:rsidRPr="00FF033B">
        <w:rPr>
          <w:rFonts w:eastAsia="Calibri" w:cs="Times New Roman"/>
          <w:szCs w:val="24"/>
          <w:lang w:eastAsia="ar-SA"/>
        </w:rPr>
        <w:t>saistībā ar iekš</w:t>
      </w:r>
      <w:r w:rsidR="00501993" w:rsidRPr="00FF033B">
        <w:rPr>
          <w:rFonts w:eastAsia="Calibri" w:cs="Times New Roman"/>
          <w:szCs w:val="24"/>
          <w:lang w:eastAsia="ar-SA"/>
        </w:rPr>
        <w:t>ējo kontroles vid</w:t>
      </w:r>
      <w:r w:rsidR="00355C89" w:rsidRPr="00FF033B">
        <w:rPr>
          <w:rFonts w:eastAsia="Calibri" w:cs="Times New Roman"/>
          <w:szCs w:val="24"/>
          <w:lang w:eastAsia="ar-SA"/>
        </w:rPr>
        <w:t>i, riska pārvaldību, pārvaldības un kontroles darbībām un uzraudzību</w:t>
      </w:r>
      <w:r w:rsidR="00A54BB3" w:rsidRPr="00FF033B">
        <w:rPr>
          <w:rFonts w:eastAsia="Calibri" w:cs="Times New Roman"/>
          <w:szCs w:val="24"/>
          <w:lang w:eastAsia="ar-SA"/>
        </w:rPr>
        <w:t>. A</w:t>
      </w:r>
      <w:r w:rsidR="005E5DC9" w:rsidRPr="00FF033B">
        <w:rPr>
          <w:rFonts w:eastAsia="Calibri" w:cs="Times New Roman"/>
          <w:szCs w:val="24"/>
          <w:lang w:eastAsia="ar-SA"/>
        </w:rPr>
        <w:t xml:space="preserve">udita rezultātā tika izteikti ieteikumi vadošās iestādes izveidotās </w:t>
      </w:r>
      <w:r w:rsidR="00C3734D" w:rsidRPr="00FF033B">
        <w:rPr>
          <w:rFonts w:eastAsia="Calibri" w:cs="Times New Roman"/>
          <w:szCs w:val="24"/>
          <w:lang w:eastAsia="ar-SA"/>
        </w:rPr>
        <w:t xml:space="preserve">vadības un kontroles </w:t>
      </w:r>
      <w:r w:rsidR="005E5DC9" w:rsidRPr="00FF033B">
        <w:rPr>
          <w:rFonts w:eastAsia="Calibri" w:cs="Times New Roman"/>
          <w:szCs w:val="24"/>
          <w:lang w:eastAsia="ar-SA"/>
        </w:rPr>
        <w:t>sistēmas turpmākai pilnveidošanai.</w:t>
      </w:r>
      <w:r w:rsidR="00C914B8" w:rsidRPr="00FF033B">
        <w:rPr>
          <w:rFonts w:eastAsia="Calibri" w:cs="Times New Roman"/>
          <w:szCs w:val="24"/>
          <w:lang w:eastAsia="ar-SA"/>
        </w:rPr>
        <w:t xml:space="preserve"> Audita rezultātā izteiktie ieteikumi un paredzamais rīcības plāns ir apkopti audita ziņojuma </w:t>
      </w:r>
      <w:r w:rsidR="006A3274" w:rsidRPr="00FF033B">
        <w:rPr>
          <w:rFonts w:eastAsia="Calibri" w:cs="Times New Roman"/>
          <w:szCs w:val="24"/>
          <w:lang w:eastAsia="ar-SA"/>
        </w:rPr>
        <w:t>3</w:t>
      </w:r>
      <w:r w:rsidR="00C914B8" w:rsidRPr="00FF033B">
        <w:rPr>
          <w:rFonts w:eastAsia="Calibri" w:cs="Times New Roman"/>
          <w:szCs w:val="24"/>
          <w:lang w:eastAsia="ar-SA"/>
        </w:rPr>
        <w:t>.pielikumā.</w:t>
      </w:r>
    </w:p>
    <w:p w:rsidR="0085313B" w:rsidRPr="00FF033B" w:rsidRDefault="005941D5" w:rsidP="001813D4">
      <w:pPr>
        <w:suppressAutoHyphens/>
        <w:spacing w:before="120" w:after="120"/>
        <w:ind w:firstLine="426"/>
        <w:jc w:val="both"/>
        <w:rPr>
          <w:rFonts w:eastAsia="Calibri" w:cs="Times New Roman"/>
          <w:szCs w:val="24"/>
          <w:lang w:eastAsia="ar-SA"/>
        </w:rPr>
      </w:pPr>
      <w:r w:rsidRPr="00FF033B">
        <w:rPr>
          <w:color w:val="000000"/>
          <w:szCs w:val="24"/>
        </w:rPr>
        <w:t>Revīzijas iestādes atzinums attiecībā uz informācijas sistēmas gatavību datu reģistrēšanai un glabāšanai tiek sniegts par Regulas Nr.480/2014</w:t>
      </w:r>
      <w:r w:rsidR="009F1298" w:rsidRPr="00FF033B">
        <w:rPr>
          <w:rStyle w:val="FootnoteReference"/>
          <w:color w:val="000000"/>
          <w:szCs w:val="24"/>
        </w:rPr>
        <w:footnoteReference w:id="2"/>
      </w:r>
      <w:r w:rsidRPr="00FF033B">
        <w:rPr>
          <w:color w:val="000000"/>
          <w:szCs w:val="24"/>
        </w:rPr>
        <w:t xml:space="preserve"> noteiktajām prasībām, kuras bija </w:t>
      </w:r>
      <w:r w:rsidR="00C539CE" w:rsidRPr="00FF033B">
        <w:rPr>
          <w:color w:val="000000"/>
          <w:szCs w:val="24"/>
        </w:rPr>
        <w:t xml:space="preserve">aktuālas </w:t>
      </w:r>
      <w:r w:rsidRPr="00FF033B">
        <w:rPr>
          <w:color w:val="000000"/>
          <w:szCs w:val="24"/>
        </w:rPr>
        <w:t>līdz 2015. gada 30. jūnijam. Sākot ar 2015. gada 1. jūliju un 2016. gada 1.janvāri stājas spēkā papildus prasības attiecībā uz informācijas sistēmā nepieciešamajiem datu laukiem, kurus šī audita ietvaros mēs neesam pārbaudījuši.</w:t>
      </w:r>
    </w:p>
    <w:p w:rsidR="009F3A92" w:rsidRPr="00FF033B" w:rsidRDefault="009F3A92" w:rsidP="0085313B">
      <w:pPr>
        <w:tabs>
          <w:tab w:val="right" w:pos="9072"/>
        </w:tabs>
        <w:suppressAutoHyphens/>
        <w:rPr>
          <w:rFonts w:eastAsia="Calibri" w:cs="Times New Roman"/>
          <w:szCs w:val="24"/>
          <w:lang w:eastAsia="ar-SA"/>
        </w:rPr>
      </w:pPr>
    </w:p>
    <w:p w:rsidR="0085313B" w:rsidRPr="00FF033B" w:rsidRDefault="0085313B" w:rsidP="0085313B">
      <w:pPr>
        <w:tabs>
          <w:tab w:val="right" w:pos="9072"/>
        </w:tabs>
        <w:suppressAutoHyphens/>
        <w:rPr>
          <w:rFonts w:eastAsia="Calibri" w:cs="Times New Roman"/>
          <w:szCs w:val="24"/>
          <w:lang w:eastAsia="ar-SA"/>
        </w:rPr>
      </w:pPr>
      <w:r w:rsidRPr="00FF033B">
        <w:rPr>
          <w:rFonts w:eastAsia="Calibri" w:cs="Times New Roman"/>
          <w:szCs w:val="24"/>
          <w:lang w:eastAsia="ar-SA"/>
        </w:rPr>
        <w:t>Finanšu ministrs</w:t>
      </w:r>
      <w:r w:rsidRPr="00FF033B">
        <w:rPr>
          <w:rFonts w:eastAsia="Calibri" w:cs="Times New Roman"/>
          <w:szCs w:val="24"/>
          <w:lang w:eastAsia="ar-SA"/>
        </w:rPr>
        <w:tab/>
      </w:r>
      <w:r w:rsidR="00F4340B" w:rsidRPr="00FF033B">
        <w:rPr>
          <w:rFonts w:eastAsia="Calibri" w:cs="Times New Roman"/>
          <w:szCs w:val="24"/>
          <w:lang w:eastAsia="ar-SA"/>
        </w:rPr>
        <w:t>Jānis Reirs</w:t>
      </w:r>
      <w:r w:rsidRPr="00FF033B">
        <w:rPr>
          <w:rFonts w:eastAsia="Calibri" w:cs="Times New Roman"/>
          <w:szCs w:val="24"/>
          <w:lang w:eastAsia="ar-SA"/>
        </w:rPr>
        <w:t> </w:t>
      </w:r>
    </w:p>
    <w:p w:rsidR="007F3640" w:rsidRDefault="007F3640" w:rsidP="0085313B">
      <w:pPr>
        <w:tabs>
          <w:tab w:val="left" w:pos="7938"/>
        </w:tabs>
        <w:suppressAutoHyphens/>
        <w:rPr>
          <w:rFonts w:eastAsia="Calibri" w:cs="Times New Roman"/>
          <w:szCs w:val="24"/>
          <w:lang w:eastAsia="ar-SA"/>
        </w:rPr>
      </w:pPr>
    </w:p>
    <w:p w:rsidR="0085313B" w:rsidRDefault="0085313B" w:rsidP="0085313B">
      <w:pPr>
        <w:suppressAutoHyphens/>
        <w:rPr>
          <w:rFonts w:eastAsia="Calibri" w:cs="Times New Roman"/>
          <w:sz w:val="18"/>
          <w:szCs w:val="18"/>
          <w:lang w:eastAsia="ar-SA"/>
        </w:rPr>
      </w:pPr>
      <w:r w:rsidRPr="004F1233">
        <w:rPr>
          <w:rFonts w:eastAsia="Calibri" w:cs="Times New Roman"/>
          <w:sz w:val="18"/>
          <w:szCs w:val="18"/>
          <w:lang w:eastAsia="ar-SA"/>
        </w:rPr>
        <w:fldChar w:fldCharType="begin"/>
      </w:r>
      <w:r w:rsidRPr="004F1233">
        <w:rPr>
          <w:rFonts w:eastAsia="Calibri" w:cs="Times New Roman"/>
          <w:sz w:val="18"/>
          <w:szCs w:val="18"/>
          <w:lang w:eastAsia="ar-SA"/>
        </w:rPr>
        <w:instrText xml:space="preserve"> TIME \@ "dd.MM.yyyy H:mm" </w:instrText>
      </w:r>
      <w:r w:rsidRPr="004F1233">
        <w:rPr>
          <w:rFonts w:eastAsia="Calibri" w:cs="Times New Roman"/>
          <w:sz w:val="18"/>
          <w:szCs w:val="18"/>
          <w:lang w:eastAsia="ar-SA"/>
        </w:rPr>
        <w:fldChar w:fldCharType="separate"/>
      </w:r>
      <w:r w:rsidR="00546507">
        <w:rPr>
          <w:rFonts w:eastAsia="Calibri" w:cs="Times New Roman"/>
          <w:noProof/>
          <w:sz w:val="18"/>
          <w:szCs w:val="18"/>
          <w:lang w:eastAsia="ar-SA"/>
        </w:rPr>
        <w:t>17.06.2015 15:05</w:t>
      </w:r>
      <w:r w:rsidRPr="004F1233">
        <w:rPr>
          <w:rFonts w:eastAsia="Calibri" w:cs="Times New Roman"/>
          <w:sz w:val="18"/>
          <w:szCs w:val="18"/>
          <w:lang w:eastAsia="ar-SA"/>
        </w:rPr>
        <w:fldChar w:fldCharType="end"/>
      </w:r>
    </w:p>
    <w:p w:rsidR="00B060D9" w:rsidRDefault="003A771E" w:rsidP="00B060D9">
      <w:pPr>
        <w:suppressAutoHyphens/>
        <w:rPr>
          <w:rFonts w:eastAsia="Calibri" w:cs="Times New Roman"/>
          <w:sz w:val="18"/>
          <w:szCs w:val="18"/>
          <w:lang w:eastAsia="ar-SA"/>
        </w:rPr>
      </w:pPr>
      <w:r>
        <w:rPr>
          <w:rFonts w:eastAsia="Calibri" w:cs="Times New Roman"/>
          <w:sz w:val="18"/>
          <w:szCs w:val="18"/>
          <w:lang w:eastAsia="ar-SA"/>
        </w:rPr>
        <w:t>451</w:t>
      </w:r>
    </w:p>
    <w:p w:rsidR="003A771E" w:rsidRDefault="003A771E" w:rsidP="003A771E">
      <w:pPr>
        <w:suppressAutoHyphens/>
        <w:rPr>
          <w:rFonts w:eastAsia="Calibri" w:cs="Times New Roman"/>
          <w:sz w:val="18"/>
          <w:szCs w:val="18"/>
          <w:lang w:eastAsia="ar-SA"/>
        </w:rPr>
      </w:pPr>
      <w:r>
        <w:rPr>
          <w:rFonts w:eastAsia="Calibri" w:cs="Times New Roman"/>
          <w:sz w:val="18"/>
          <w:szCs w:val="18"/>
          <w:lang w:eastAsia="ar-SA"/>
        </w:rPr>
        <w:t xml:space="preserve">Nata Lasmane </w:t>
      </w:r>
    </w:p>
    <w:p w:rsidR="003A771E" w:rsidRDefault="003A771E" w:rsidP="003A771E">
      <w:pPr>
        <w:suppressAutoHyphens/>
        <w:rPr>
          <w:rFonts w:eastAsia="Calibri" w:cs="Times New Roman"/>
          <w:sz w:val="18"/>
          <w:szCs w:val="18"/>
          <w:lang w:eastAsia="ar-SA"/>
        </w:rPr>
      </w:pPr>
      <w:r>
        <w:rPr>
          <w:rFonts w:eastAsia="Calibri" w:cs="Times New Roman"/>
          <w:sz w:val="18"/>
          <w:szCs w:val="18"/>
          <w:lang w:eastAsia="ar-SA"/>
        </w:rPr>
        <w:t>Finanšu ministrijas</w:t>
      </w:r>
    </w:p>
    <w:p w:rsidR="003A771E" w:rsidRDefault="003A771E" w:rsidP="003A771E">
      <w:pPr>
        <w:suppressAutoHyphens/>
        <w:rPr>
          <w:rFonts w:eastAsia="Calibri" w:cs="Times New Roman"/>
          <w:sz w:val="18"/>
          <w:szCs w:val="18"/>
          <w:lang w:eastAsia="ar-SA"/>
        </w:rPr>
      </w:pPr>
      <w:r>
        <w:rPr>
          <w:rFonts w:eastAsia="Calibri" w:cs="Times New Roman"/>
          <w:sz w:val="18"/>
          <w:szCs w:val="18"/>
          <w:lang w:eastAsia="ar-SA"/>
        </w:rPr>
        <w:t>Eiropas Savienības fondu revīzijas departamenta</w:t>
      </w:r>
    </w:p>
    <w:p w:rsidR="003A771E" w:rsidRDefault="003A771E" w:rsidP="003A771E">
      <w:pPr>
        <w:suppressAutoHyphens/>
        <w:rPr>
          <w:rFonts w:eastAsia="Calibri" w:cs="Times New Roman"/>
          <w:sz w:val="18"/>
          <w:szCs w:val="18"/>
          <w:lang w:eastAsia="ar-SA"/>
        </w:rPr>
      </w:pPr>
      <w:r>
        <w:rPr>
          <w:rFonts w:eastAsia="Calibri" w:cs="Times New Roman"/>
          <w:sz w:val="18"/>
          <w:szCs w:val="18"/>
          <w:lang w:eastAsia="ar-SA"/>
        </w:rPr>
        <w:t>direktore</w:t>
      </w:r>
    </w:p>
    <w:p w:rsidR="003A771E" w:rsidRDefault="003A771E" w:rsidP="003A771E">
      <w:pPr>
        <w:suppressAutoHyphens/>
        <w:rPr>
          <w:rFonts w:eastAsia="Calibri" w:cs="Times New Roman"/>
          <w:sz w:val="18"/>
          <w:szCs w:val="18"/>
          <w:lang w:eastAsia="ar-SA"/>
        </w:rPr>
      </w:pPr>
      <w:r>
        <w:rPr>
          <w:rFonts w:eastAsia="Calibri" w:cs="Times New Roman"/>
          <w:sz w:val="18"/>
          <w:szCs w:val="18"/>
          <w:lang w:eastAsia="ar-SA"/>
        </w:rPr>
        <w:t xml:space="preserve">67095669; Fakss 67095679 </w:t>
      </w:r>
    </w:p>
    <w:p w:rsidR="004A5C11" w:rsidRPr="008B644C" w:rsidRDefault="00596393" w:rsidP="003A771E">
      <w:pPr>
        <w:rPr>
          <w:rStyle w:val="Hyperlink"/>
          <w:sz w:val="20"/>
        </w:rPr>
      </w:pPr>
      <w:hyperlink r:id="rId8" w:history="1">
        <w:r w:rsidR="003A771E" w:rsidRPr="00431F19">
          <w:rPr>
            <w:rStyle w:val="Hyperlink"/>
            <w:rFonts w:eastAsia="Calibri" w:cs="Times New Roman"/>
            <w:sz w:val="18"/>
            <w:szCs w:val="18"/>
            <w:lang w:eastAsia="ar-SA"/>
          </w:rPr>
          <w:t>Nata.Lasmane@fm.gov.lv</w:t>
        </w:r>
      </w:hyperlink>
    </w:p>
    <w:p w:rsidR="007C6AE9" w:rsidRPr="00F67940" w:rsidRDefault="0085313B" w:rsidP="00F67940">
      <w:pPr>
        <w:suppressAutoHyphens/>
        <w:rPr>
          <w:rFonts w:eastAsia="Calibri" w:cs="Times New Roman"/>
          <w:sz w:val="18"/>
          <w:szCs w:val="18"/>
          <w:lang w:eastAsia="ar-SA"/>
        </w:rPr>
      </w:pPr>
      <w:r w:rsidRPr="00D135A9">
        <w:rPr>
          <w:rFonts w:eastAsia="Calibri" w:cs="Times New Roman"/>
          <w:sz w:val="18"/>
          <w:szCs w:val="18"/>
          <w:lang w:eastAsia="ar-SA"/>
        </w:rPr>
        <w:t xml:space="preserve">  </w:t>
      </w:r>
      <w:r w:rsidRPr="00D135A9">
        <w:rPr>
          <w:rFonts w:eastAsia="Calibri" w:cs="Times New Roman"/>
          <w:sz w:val="28"/>
          <w:lang w:eastAsia="ar-SA"/>
        </w:rPr>
        <w:t xml:space="preserve"> </w:t>
      </w:r>
    </w:p>
    <w:sectPr w:rsidR="007C6AE9" w:rsidRPr="00F67940" w:rsidSect="004F1233">
      <w:headerReference w:type="default" r:id="rId9"/>
      <w:footerReference w:type="even" r:id="rId10"/>
      <w:footerReference w:type="default" r:id="rId11"/>
      <w:type w:val="continuous"/>
      <w:pgSz w:w="11905" w:h="16837"/>
      <w:pgMar w:top="1418" w:right="1134" w:bottom="1134" w:left="1134" w:header="720" w:footer="709"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0035E" w:rsidRDefault="0010035E" w:rsidP="0085313B">
      <w:r>
        <w:separator/>
      </w:r>
    </w:p>
  </w:endnote>
  <w:endnote w:type="continuationSeparator" w:id="0">
    <w:p w:rsidR="0010035E" w:rsidRDefault="0010035E" w:rsidP="0085313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E8" w:rsidRPr="008D1CE8" w:rsidRDefault="008D1CE8">
    <w:pPr>
      <w:pStyle w:val="Footer"/>
      <w:rPr>
        <w:sz w:val="20"/>
        <w:szCs w:val="20"/>
      </w:rPr>
    </w:pPr>
  </w:p>
  <w:p w:rsidR="00A766CD" w:rsidRPr="008D1CE8" w:rsidRDefault="00A766CD">
    <w:pPr>
      <w:rPr>
        <w:sz w:val="20"/>
        <w:szCs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30EC" w:rsidRPr="008D1CE8" w:rsidRDefault="005D7A73" w:rsidP="008D1CE8">
    <w:pPr>
      <w:pStyle w:val="Footer"/>
      <w:tabs>
        <w:tab w:val="clear" w:pos="8306"/>
      </w:tabs>
      <w:ind w:right="-425"/>
      <w:jc w:val="both"/>
      <w:rPr>
        <w:sz w:val="20"/>
        <w:szCs w:val="20"/>
      </w:rPr>
    </w:pPr>
    <w:r w:rsidRPr="00BD1EAE">
      <w:rPr>
        <w:sz w:val="20"/>
        <w:szCs w:val="20"/>
      </w:rPr>
      <w:fldChar w:fldCharType="begin"/>
    </w:r>
    <w:r w:rsidRPr="00BD1EAE">
      <w:rPr>
        <w:sz w:val="20"/>
        <w:szCs w:val="20"/>
      </w:rPr>
      <w:instrText xml:space="preserve"> FILENAME   \* MERGEFORMAT </w:instrText>
    </w:r>
    <w:r w:rsidRPr="00BD1EAE">
      <w:rPr>
        <w:sz w:val="20"/>
        <w:szCs w:val="20"/>
      </w:rPr>
      <w:fldChar w:fldCharType="separate"/>
    </w:r>
    <w:r w:rsidR="0002786C" w:rsidRPr="00BD1EAE">
      <w:rPr>
        <w:noProof/>
        <w:sz w:val="20"/>
        <w:szCs w:val="20"/>
      </w:rPr>
      <w:t>FMzino_</w:t>
    </w:r>
    <w:r w:rsidR="00FF033B">
      <w:rPr>
        <w:noProof/>
        <w:sz w:val="20"/>
        <w:szCs w:val="20"/>
      </w:rPr>
      <w:t>1</w:t>
    </w:r>
    <w:r w:rsidR="001B0539">
      <w:rPr>
        <w:noProof/>
        <w:sz w:val="20"/>
        <w:szCs w:val="20"/>
      </w:rPr>
      <w:t>6</w:t>
    </w:r>
    <w:r w:rsidR="002052B0" w:rsidRPr="00BD1EAE">
      <w:rPr>
        <w:noProof/>
        <w:sz w:val="20"/>
        <w:szCs w:val="20"/>
      </w:rPr>
      <w:t>06</w:t>
    </w:r>
    <w:r w:rsidR="0002786C" w:rsidRPr="00BD1EAE">
      <w:rPr>
        <w:noProof/>
        <w:sz w:val="20"/>
        <w:szCs w:val="20"/>
      </w:rPr>
      <w:t>2015_SF_KF_Akr.docx</w:t>
    </w:r>
    <w:r w:rsidRPr="00BD1EAE">
      <w:rPr>
        <w:sz w:val="20"/>
        <w:szCs w:val="20"/>
      </w:rPr>
      <w:fldChar w:fldCharType="end"/>
    </w:r>
    <w:r w:rsidRPr="00BD1EAE">
      <w:rPr>
        <w:sz w:val="20"/>
        <w:szCs w:val="20"/>
      </w:rPr>
      <w:t xml:space="preserve">; Informatīvais ziņojums par </w:t>
    </w:r>
    <w:r w:rsidR="008D1CE8" w:rsidRPr="00BD1EAE">
      <w:rPr>
        <w:bCs/>
        <w:sz w:val="20"/>
        <w:szCs w:val="20"/>
      </w:rPr>
      <w:t>Revīzijas iestādes audita atzinumu un ziņojumu</w:t>
    </w:r>
    <w:r w:rsidR="008D1CE8" w:rsidRPr="00BD1EAE">
      <w:rPr>
        <w:sz w:val="20"/>
        <w:szCs w:val="20"/>
      </w:rPr>
      <w:t xml:space="preserve"> par vadošās iestādes un sertifikācijas iestādes </w:t>
    </w:r>
    <w:r w:rsidR="008D1CE8" w:rsidRPr="00BD1EAE">
      <w:rPr>
        <w:bCs/>
        <w:sz w:val="20"/>
        <w:szCs w:val="20"/>
      </w:rPr>
      <w:t>sākotnējo atbilstības novērtējumu</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0035E" w:rsidRDefault="0010035E" w:rsidP="0085313B">
      <w:r>
        <w:separator/>
      </w:r>
    </w:p>
  </w:footnote>
  <w:footnote w:type="continuationSeparator" w:id="0">
    <w:p w:rsidR="0010035E" w:rsidRDefault="0010035E" w:rsidP="0085313B">
      <w:r>
        <w:continuationSeparator/>
      </w:r>
    </w:p>
  </w:footnote>
  <w:footnote w:id="1">
    <w:p w:rsidR="00355C89" w:rsidRPr="00A9417A" w:rsidRDefault="00355C89" w:rsidP="00355C89">
      <w:pPr>
        <w:pStyle w:val="FootnoteText"/>
        <w:jc w:val="both"/>
        <w:rPr>
          <w:sz w:val="18"/>
          <w:szCs w:val="18"/>
        </w:rPr>
      </w:pPr>
      <w:r w:rsidRPr="00A9417A">
        <w:rPr>
          <w:rStyle w:val="FootnoteReference"/>
          <w:sz w:val="18"/>
          <w:szCs w:val="18"/>
        </w:rPr>
        <w:footnoteRef/>
      </w:r>
      <w:r w:rsidRPr="00A9417A">
        <w:rPr>
          <w:sz w:val="18"/>
          <w:szCs w:val="18"/>
        </w:rPr>
        <w:t xml:space="preserve"> </w:t>
      </w:r>
      <w:r w:rsidR="00D8634F" w:rsidRPr="00A9417A">
        <w:rPr>
          <w:sz w:val="18"/>
          <w:szCs w:val="18"/>
        </w:rPr>
        <w:t xml:space="preserve">Eiropas Parlamenta un Padomes 2013.gada 17.decembra Regula </w:t>
      </w:r>
      <w:r w:rsidR="00F35B23" w:rsidRPr="00A9417A">
        <w:rPr>
          <w:sz w:val="18"/>
          <w:szCs w:val="18"/>
        </w:rPr>
        <w:t>(ES) Nr.</w:t>
      </w:r>
      <w:r w:rsidRPr="00A9417A">
        <w:rPr>
          <w:sz w:val="18"/>
          <w:szCs w:val="18"/>
        </w:rPr>
        <w:t>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2">
    <w:p w:rsidR="009F1298" w:rsidRDefault="009F1298" w:rsidP="009F1298">
      <w:pPr>
        <w:pStyle w:val="FootnoteText"/>
        <w:jc w:val="both"/>
        <w:rPr>
          <w:rFonts w:cs="Times New Roman"/>
          <w:bCs/>
          <w:sz w:val="18"/>
          <w:szCs w:val="18"/>
        </w:rPr>
      </w:pPr>
      <w:r w:rsidRPr="00A9417A">
        <w:rPr>
          <w:rStyle w:val="FootnoteReference"/>
          <w:sz w:val="18"/>
          <w:szCs w:val="18"/>
        </w:rPr>
        <w:footnoteRef/>
      </w:r>
      <w:r w:rsidRPr="00A9417A">
        <w:rPr>
          <w:sz w:val="18"/>
          <w:szCs w:val="18"/>
        </w:rPr>
        <w:t xml:space="preserve"> </w:t>
      </w:r>
      <w:r w:rsidRPr="00A9417A">
        <w:rPr>
          <w:rFonts w:eastAsia="Times New Roman" w:cs="Times New Roman"/>
          <w:sz w:val="18"/>
          <w:szCs w:val="18"/>
          <w:lang w:eastAsia="lv-LV"/>
        </w:rPr>
        <w:t xml:space="preserve">Eiropas Komisijas 2014.gada 3.marta deleģētā </w:t>
      </w:r>
      <w:r w:rsidRPr="00A9417A">
        <w:rPr>
          <w:rFonts w:cs="Times New Roman"/>
          <w:sz w:val="18"/>
          <w:szCs w:val="18"/>
        </w:rPr>
        <w:t xml:space="preserve">regula (ES) Nr.480/2014, </w:t>
      </w:r>
      <w:r w:rsidRPr="00A9417A">
        <w:rPr>
          <w:rFonts w:cs="Times New Roman"/>
          <w:bCs/>
          <w:sz w:val="18"/>
          <w:szCs w:val="18"/>
        </w:rPr>
        <w:t>ar kuru papildina Eiropas Parlamenta un Padomes Regulu (ES) Nr.1303/2013,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w:t>
      </w:r>
    </w:p>
    <w:p w:rsidR="00A9417A" w:rsidRDefault="00A9417A" w:rsidP="009F1298">
      <w:pPr>
        <w:pStyle w:val="FootnoteText"/>
        <w:jc w:val="both"/>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D1CE8" w:rsidRPr="008D1CE8" w:rsidRDefault="008D1CE8">
    <w:pPr>
      <w:pStyle w:val="Header"/>
      <w:rPr>
        <w:sz w:val="20"/>
        <w:szCs w:val="20"/>
      </w:rPr>
    </w:pPr>
  </w:p>
  <w:p w:rsidR="00A766CD" w:rsidRPr="008D1CE8" w:rsidRDefault="00A766CD">
    <w:pPr>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254434"/>
    <w:multiLevelType w:val="hybridMultilevel"/>
    <w:tmpl w:val="75665692"/>
    <w:lvl w:ilvl="0" w:tplc="011A81AC">
      <w:start w:val="2010"/>
      <w:numFmt w:val="bullet"/>
      <w:lvlText w:val="-"/>
      <w:lvlJc w:val="left"/>
      <w:pPr>
        <w:ind w:left="1287" w:hanging="360"/>
      </w:pPr>
      <w:rPr>
        <w:rFonts w:ascii="Times New Roman" w:eastAsia="Times New Roman" w:hAnsi="Times New Roman" w:cs="Times New Roman" w:hint="default"/>
        <w:color w:val="000000"/>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1" w15:restartNumberingAfterBreak="0">
    <w:nsid w:val="20DB3461"/>
    <w:multiLevelType w:val="hybridMultilevel"/>
    <w:tmpl w:val="4C9C81B8"/>
    <w:lvl w:ilvl="0" w:tplc="A6CC49A4">
      <w:start w:val="1"/>
      <w:numFmt w:val="bullet"/>
      <w:lvlText w:val="−"/>
      <w:lvlJc w:val="left"/>
      <w:pPr>
        <w:ind w:left="720" w:hanging="360"/>
      </w:pPr>
      <w:rPr>
        <w:rFonts w:ascii="Times New Roman" w:hAnsi="Times New Roman" w:cs="Times New Roman"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2FC84D8F"/>
    <w:multiLevelType w:val="hybridMultilevel"/>
    <w:tmpl w:val="51C6A47A"/>
    <w:lvl w:ilvl="0" w:tplc="011A81AC">
      <w:start w:val="2010"/>
      <w:numFmt w:val="bullet"/>
      <w:lvlText w:val="-"/>
      <w:lvlJc w:val="left"/>
      <w:pPr>
        <w:ind w:left="1287" w:hanging="360"/>
      </w:pPr>
      <w:rPr>
        <w:rFonts w:ascii="Times New Roman" w:eastAsia="Times New Roman" w:hAnsi="Times New Roman" w:cs="Times New Roman" w:hint="default"/>
        <w:color w:val="000000"/>
      </w:rPr>
    </w:lvl>
    <w:lvl w:ilvl="1" w:tplc="0426000F">
      <w:start w:val="1"/>
      <w:numFmt w:val="decimal"/>
      <w:lvlText w:val="%2."/>
      <w:lvlJc w:val="left"/>
      <w:pPr>
        <w:ind w:left="2007" w:hanging="360"/>
      </w:pPr>
      <w:rPr>
        <w:rFonts w:hint="default"/>
        <w:color w:val="000000"/>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3" w15:restartNumberingAfterBreak="0">
    <w:nsid w:val="6FA26AF8"/>
    <w:multiLevelType w:val="multilevel"/>
    <w:tmpl w:val="0426001F"/>
    <w:lvl w:ilvl="0">
      <w:start w:val="1"/>
      <w:numFmt w:val="decimal"/>
      <w:lvlText w:val="%1."/>
      <w:lvlJc w:val="left"/>
      <w:pPr>
        <w:ind w:left="360" w:hanging="360"/>
      </w:pPr>
      <w:rPr>
        <w:rFonts w:hint="default"/>
        <w:b w:val="0"/>
        <w:i w:val="0"/>
        <w:smallCaps w:val="0"/>
        <w:color w:val="auto"/>
        <w:sz w:val="24"/>
        <w:szCs w:val="24"/>
      </w:rPr>
    </w:lvl>
    <w:lvl w:ilvl="1">
      <w:start w:val="1"/>
      <w:numFmt w:val="decimal"/>
      <w:lvlText w:val="%1.%2."/>
      <w:lvlJc w:val="left"/>
      <w:pPr>
        <w:ind w:left="792" w:hanging="432"/>
      </w:pPr>
      <w:rPr>
        <w:rFonts w:hint="default"/>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 w15:restartNumberingAfterBreak="0">
    <w:nsid w:val="79643222"/>
    <w:multiLevelType w:val="hybridMultilevel"/>
    <w:tmpl w:val="FA4A70BA"/>
    <w:lvl w:ilvl="0" w:tplc="0426000F">
      <w:start w:val="1"/>
      <w:numFmt w:val="decimal"/>
      <w:lvlText w:val="%1."/>
      <w:lvlJc w:val="left"/>
      <w:pPr>
        <w:ind w:left="1287" w:hanging="360"/>
      </w:pPr>
      <w:rPr>
        <w:rFonts w:hint="default"/>
        <w:color w:val="000000"/>
      </w:rPr>
    </w:lvl>
    <w:lvl w:ilvl="1" w:tplc="04260003">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5" w15:restartNumberingAfterBreak="0">
    <w:nsid w:val="7C161B3B"/>
    <w:multiLevelType w:val="hybridMultilevel"/>
    <w:tmpl w:val="D140248C"/>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num w:numId="1">
    <w:abstractNumId w:val="3"/>
  </w:num>
  <w:num w:numId="2">
    <w:abstractNumId w:val="1"/>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 w:numId="5">
    <w:abstractNumId w:val="2"/>
  </w:num>
  <w:num w:numId="6">
    <w:abstractNumId w:val="4"/>
  </w:num>
  <w:num w:numId="7">
    <w:abstractNumId w:val="0"/>
  </w:num>
  <w:num w:numId="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313B"/>
    <w:rsid w:val="000043E2"/>
    <w:rsid w:val="0001371E"/>
    <w:rsid w:val="00013909"/>
    <w:rsid w:val="00023651"/>
    <w:rsid w:val="0002786C"/>
    <w:rsid w:val="000345C3"/>
    <w:rsid w:val="000404B2"/>
    <w:rsid w:val="00041A10"/>
    <w:rsid w:val="00050990"/>
    <w:rsid w:val="000611D1"/>
    <w:rsid w:val="00077D2C"/>
    <w:rsid w:val="000815D5"/>
    <w:rsid w:val="00087F7B"/>
    <w:rsid w:val="000910CD"/>
    <w:rsid w:val="000973BD"/>
    <w:rsid w:val="000A550D"/>
    <w:rsid w:val="000A7FE5"/>
    <w:rsid w:val="000B1A55"/>
    <w:rsid w:val="000B2FB9"/>
    <w:rsid w:val="000B7926"/>
    <w:rsid w:val="000C09BD"/>
    <w:rsid w:val="000C136D"/>
    <w:rsid w:val="000E0384"/>
    <w:rsid w:val="000F0786"/>
    <w:rsid w:val="000F16E1"/>
    <w:rsid w:val="000F32FC"/>
    <w:rsid w:val="000F3B58"/>
    <w:rsid w:val="0010035E"/>
    <w:rsid w:val="00100ECA"/>
    <w:rsid w:val="001316A7"/>
    <w:rsid w:val="00136AFA"/>
    <w:rsid w:val="0014411E"/>
    <w:rsid w:val="001454E0"/>
    <w:rsid w:val="00147252"/>
    <w:rsid w:val="00160007"/>
    <w:rsid w:val="00163219"/>
    <w:rsid w:val="00163596"/>
    <w:rsid w:val="001813D4"/>
    <w:rsid w:val="001969BA"/>
    <w:rsid w:val="00197694"/>
    <w:rsid w:val="001A0AD1"/>
    <w:rsid w:val="001B0539"/>
    <w:rsid w:val="002052B0"/>
    <w:rsid w:val="00212469"/>
    <w:rsid w:val="00214B33"/>
    <w:rsid w:val="00216A65"/>
    <w:rsid w:val="00220710"/>
    <w:rsid w:val="00226BA9"/>
    <w:rsid w:val="002362E1"/>
    <w:rsid w:val="00255203"/>
    <w:rsid w:val="00264C7F"/>
    <w:rsid w:val="00270E0D"/>
    <w:rsid w:val="0029469A"/>
    <w:rsid w:val="002972CE"/>
    <w:rsid w:val="002A23D1"/>
    <w:rsid w:val="002B050A"/>
    <w:rsid w:val="002B4F76"/>
    <w:rsid w:val="002B6A19"/>
    <w:rsid w:val="002C6DC0"/>
    <w:rsid w:val="002D5F53"/>
    <w:rsid w:val="00311769"/>
    <w:rsid w:val="00324941"/>
    <w:rsid w:val="00346B26"/>
    <w:rsid w:val="00352E6A"/>
    <w:rsid w:val="00355C89"/>
    <w:rsid w:val="00372CDA"/>
    <w:rsid w:val="00376409"/>
    <w:rsid w:val="0038132F"/>
    <w:rsid w:val="00385BCB"/>
    <w:rsid w:val="003A1438"/>
    <w:rsid w:val="003A771E"/>
    <w:rsid w:val="003C1A76"/>
    <w:rsid w:val="003C2B9B"/>
    <w:rsid w:val="003C5DA9"/>
    <w:rsid w:val="003D2B73"/>
    <w:rsid w:val="003D618E"/>
    <w:rsid w:val="003E395B"/>
    <w:rsid w:val="003E76A6"/>
    <w:rsid w:val="00403058"/>
    <w:rsid w:val="00406F1C"/>
    <w:rsid w:val="00434EF4"/>
    <w:rsid w:val="0043512B"/>
    <w:rsid w:val="00435E2F"/>
    <w:rsid w:val="00441DC5"/>
    <w:rsid w:val="00441E2A"/>
    <w:rsid w:val="004779B1"/>
    <w:rsid w:val="004847E0"/>
    <w:rsid w:val="00493C47"/>
    <w:rsid w:val="004A5C11"/>
    <w:rsid w:val="004A64D9"/>
    <w:rsid w:val="004C68CE"/>
    <w:rsid w:val="004C6F8D"/>
    <w:rsid w:val="004C7148"/>
    <w:rsid w:val="004E1F48"/>
    <w:rsid w:val="004F1233"/>
    <w:rsid w:val="004F1ADF"/>
    <w:rsid w:val="004F3DC1"/>
    <w:rsid w:val="00500F99"/>
    <w:rsid w:val="00501993"/>
    <w:rsid w:val="005022D9"/>
    <w:rsid w:val="00515992"/>
    <w:rsid w:val="00543ECB"/>
    <w:rsid w:val="00545138"/>
    <w:rsid w:val="00546507"/>
    <w:rsid w:val="0058379E"/>
    <w:rsid w:val="005941D5"/>
    <w:rsid w:val="005961F8"/>
    <w:rsid w:val="00596393"/>
    <w:rsid w:val="005A451F"/>
    <w:rsid w:val="005B32C6"/>
    <w:rsid w:val="005D7605"/>
    <w:rsid w:val="005D7A73"/>
    <w:rsid w:val="005E0EF7"/>
    <w:rsid w:val="005E5DC9"/>
    <w:rsid w:val="006230D3"/>
    <w:rsid w:val="00625F23"/>
    <w:rsid w:val="0068184F"/>
    <w:rsid w:val="006849BE"/>
    <w:rsid w:val="00690773"/>
    <w:rsid w:val="00695805"/>
    <w:rsid w:val="006A3274"/>
    <w:rsid w:val="006A4941"/>
    <w:rsid w:val="006B3D5E"/>
    <w:rsid w:val="006D2B98"/>
    <w:rsid w:val="006E0298"/>
    <w:rsid w:val="006E2791"/>
    <w:rsid w:val="006E51A6"/>
    <w:rsid w:val="0070446B"/>
    <w:rsid w:val="0071005B"/>
    <w:rsid w:val="00710743"/>
    <w:rsid w:val="00710D83"/>
    <w:rsid w:val="007231DC"/>
    <w:rsid w:val="00723540"/>
    <w:rsid w:val="00726DBA"/>
    <w:rsid w:val="00733E51"/>
    <w:rsid w:val="00737A4C"/>
    <w:rsid w:val="00745C45"/>
    <w:rsid w:val="00747F86"/>
    <w:rsid w:val="00751EFD"/>
    <w:rsid w:val="0077310D"/>
    <w:rsid w:val="0078119D"/>
    <w:rsid w:val="007B56CA"/>
    <w:rsid w:val="007C1041"/>
    <w:rsid w:val="007C3964"/>
    <w:rsid w:val="007C6AE9"/>
    <w:rsid w:val="007C6F44"/>
    <w:rsid w:val="007D52D8"/>
    <w:rsid w:val="007D6DC5"/>
    <w:rsid w:val="007E2FBD"/>
    <w:rsid w:val="007E3B6A"/>
    <w:rsid w:val="007E694E"/>
    <w:rsid w:val="007F3640"/>
    <w:rsid w:val="007F3944"/>
    <w:rsid w:val="00817015"/>
    <w:rsid w:val="008223D1"/>
    <w:rsid w:val="00822FE0"/>
    <w:rsid w:val="00824E3B"/>
    <w:rsid w:val="0085313B"/>
    <w:rsid w:val="00854EA1"/>
    <w:rsid w:val="0085650F"/>
    <w:rsid w:val="00863287"/>
    <w:rsid w:val="008647E6"/>
    <w:rsid w:val="00885E96"/>
    <w:rsid w:val="008866BC"/>
    <w:rsid w:val="008902A5"/>
    <w:rsid w:val="008911CF"/>
    <w:rsid w:val="00891C7F"/>
    <w:rsid w:val="00896983"/>
    <w:rsid w:val="008A3451"/>
    <w:rsid w:val="008A6253"/>
    <w:rsid w:val="008B7939"/>
    <w:rsid w:val="008C0611"/>
    <w:rsid w:val="008C3466"/>
    <w:rsid w:val="008D1CE8"/>
    <w:rsid w:val="008E261B"/>
    <w:rsid w:val="009015D4"/>
    <w:rsid w:val="00912101"/>
    <w:rsid w:val="00913633"/>
    <w:rsid w:val="00913ED9"/>
    <w:rsid w:val="00925377"/>
    <w:rsid w:val="00925832"/>
    <w:rsid w:val="009328E4"/>
    <w:rsid w:val="0093537F"/>
    <w:rsid w:val="00951AF5"/>
    <w:rsid w:val="0097529B"/>
    <w:rsid w:val="00980713"/>
    <w:rsid w:val="00984C2C"/>
    <w:rsid w:val="00986149"/>
    <w:rsid w:val="00994A06"/>
    <w:rsid w:val="009A1A55"/>
    <w:rsid w:val="009A2183"/>
    <w:rsid w:val="009D2886"/>
    <w:rsid w:val="009D6E87"/>
    <w:rsid w:val="009E118E"/>
    <w:rsid w:val="009F086A"/>
    <w:rsid w:val="009F1298"/>
    <w:rsid w:val="009F3A92"/>
    <w:rsid w:val="009F5B63"/>
    <w:rsid w:val="00A354DD"/>
    <w:rsid w:val="00A40328"/>
    <w:rsid w:val="00A53F64"/>
    <w:rsid w:val="00A54BB3"/>
    <w:rsid w:val="00A766CD"/>
    <w:rsid w:val="00A87636"/>
    <w:rsid w:val="00A92415"/>
    <w:rsid w:val="00A930EC"/>
    <w:rsid w:val="00A9417A"/>
    <w:rsid w:val="00A95BD0"/>
    <w:rsid w:val="00AC1931"/>
    <w:rsid w:val="00AD20F2"/>
    <w:rsid w:val="00AE1B91"/>
    <w:rsid w:val="00AF4A44"/>
    <w:rsid w:val="00B060D9"/>
    <w:rsid w:val="00B07BF3"/>
    <w:rsid w:val="00B2735C"/>
    <w:rsid w:val="00B3539C"/>
    <w:rsid w:val="00B4101C"/>
    <w:rsid w:val="00B60420"/>
    <w:rsid w:val="00B63FDB"/>
    <w:rsid w:val="00B67295"/>
    <w:rsid w:val="00B928B5"/>
    <w:rsid w:val="00B956EE"/>
    <w:rsid w:val="00BD1EAE"/>
    <w:rsid w:val="00BD64E5"/>
    <w:rsid w:val="00BE7D80"/>
    <w:rsid w:val="00BF3500"/>
    <w:rsid w:val="00BF59A5"/>
    <w:rsid w:val="00C06241"/>
    <w:rsid w:val="00C06E1F"/>
    <w:rsid w:val="00C13ABF"/>
    <w:rsid w:val="00C15825"/>
    <w:rsid w:val="00C1740B"/>
    <w:rsid w:val="00C372C3"/>
    <w:rsid w:val="00C3734D"/>
    <w:rsid w:val="00C42C65"/>
    <w:rsid w:val="00C51062"/>
    <w:rsid w:val="00C539CE"/>
    <w:rsid w:val="00C63DAD"/>
    <w:rsid w:val="00C7287F"/>
    <w:rsid w:val="00C828AD"/>
    <w:rsid w:val="00C860AD"/>
    <w:rsid w:val="00C914B8"/>
    <w:rsid w:val="00CA4703"/>
    <w:rsid w:val="00CB3B2D"/>
    <w:rsid w:val="00CE4FA1"/>
    <w:rsid w:val="00CF56F8"/>
    <w:rsid w:val="00D135A9"/>
    <w:rsid w:val="00D23C9F"/>
    <w:rsid w:val="00D35EC9"/>
    <w:rsid w:val="00D4060B"/>
    <w:rsid w:val="00D40F06"/>
    <w:rsid w:val="00D51027"/>
    <w:rsid w:val="00D82B0C"/>
    <w:rsid w:val="00D8580A"/>
    <w:rsid w:val="00D8634F"/>
    <w:rsid w:val="00D928FB"/>
    <w:rsid w:val="00D92C1F"/>
    <w:rsid w:val="00D95996"/>
    <w:rsid w:val="00D97893"/>
    <w:rsid w:val="00D97E06"/>
    <w:rsid w:val="00DB019F"/>
    <w:rsid w:val="00DC5F3C"/>
    <w:rsid w:val="00DD0814"/>
    <w:rsid w:val="00DE6E73"/>
    <w:rsid w:val="00DF0E44"/>
    <w:rsid w:val="00E211DE"/>
    <w:rsid w:val="00E278EF"/>
    <w:rsid w:val="00E42C0A"/>
    <w:rsid w:val="00E43A36"/>
    <w:rsid w:val="00E606C9"/>
    <w:rsid w:val="00E64684"/>
    <w:rsid w:val="00E673E8"/>
    <w:rsid w:val="00E75502"/>
    <w:rsid w:val="00E9206A"/>
    <w:rsid w:val="00E97C09"/>
    <w:rsid w:val="00EA02BC"/>
    <w:rsid w:val="00EC5C8E"/>
    <w:rsid w:val="00EC7537"/>
    <w:rsid w:val="00ED7B56"/>
    <w:rsid w:val="00EE301D"/>
    <w:rsid w:val="00EE720B"/>
    <w:rsid w:val="00EF1CC3"/>
    <w:rsid w:val="00EF439E"/>
    <w:rsid w:val="00F03163"/>
    <w:rsid w:val="00F1073B"/>
    <w:rsid w:val="00F240ED"/>
    <w:rsid w:val="00F30C0E"/>
    <w:rsid w:val="00F35B23"/>
    <w:rsid w:val="00F4340B"/>
    <w:rsid w:val="00F46EB7"/>
    <w:rsid w:val="00F500AF"/>
    <w:rsid w:val="00F526CE"/>
    <w:rsid w:val="00F56BA8"/>
    <w:rsid w:val="00F57BAD"/>
    <w:rsid w:val="00F60069"/>
    <w:rsid w:val="00F67940"/>
    <w:rsid w:val="00F714D7"/>
    <w:rsid w:val="00F77E42"/>
    <w:rsid w:val="00F85D82"/>
    <w:rsid w:val="00F917B1"/>
    <w:rsid w:val="00FB33E3"/>
    <w:rsid w:val="00FC3749"/>
    <w:rsid w:val="00FC6752"/>
    <w:rsid w:val="00FC75CD"/>
    <w:rsid w:val="00FD0870"/>
    <w:rsid w:val="00FD39B3"/>
    <w:rsid w:val="00FD5EFE"/>
    <w:rsid w:val="00FE1092"/>
    <w:rsid w:val="00FE1AB6"/>
    <w:rsid w:val="00FE55B1"/>
    <w:rsid w:val="00FF033B"/>
    <w:rsid w:val="00FF3245"/>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C588B619-FB38-4945-ACB7-BB97CE3E2A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aliases w:val="Footnote"/>
    <w:basedOn w:val="Normal"/>
    <w:link w:val="FootnoteTextChar"/>
    <w:uiPriority w:val="99"/>
    <w:unhideWhenUsed/>
    <w:rsid w:val="0085313B"/>
    <w:rPr>
      <w:sz w:val="20"/>
      <w:szCs w:val="20"/>
    </w:rPr>
  </w:style>
  <w:style w:type="character" w:customStyle="1" w:styleId="FootnoteTextChar">
    <w:name w:val="Footnote Text Char"/>
    <w:aliases w:val="Footnote Char"/>
    <w:basedOn w:val="DefaultParagraphFont"/>
    <w:link w:val="FootnoteText"/>
    <w:uiPriority w:val="99"/>
    <w:rsid w:val="0085313B"/>
    <w:rPr>
      <w:sz w:val="20"/>
      <w:szCs w:val="20"/>
    </w:rPr>
  </w:style>
  <w:style w:type="paragraph" w:styleId="Footer">
    <w:name w:val="footer"/>
    <w:basedOn w:val="Normal"/>
    <w:link w:val="FooterChar"/>
    <w:uiPriority w:val="99"/>
    <w:rsid w:val="0085313B"/>
    <w:pPr>
      <w:tabs>
        <w:tab w:val="center" w:pos="4153"/>
        <w:tab w:val="right" w:pos="8306"/>
      </w:tabs>
      <w:suppressAutoHyphens/>
    </w:pPr>
    <w:rPr>
      <w:rFonts w:eastAsia="Calibri" w:cs="Times New Roman"/>
      <w:sz w:val="28"/>
      <w:lang w:eastAsia="ar-SA"/>
    </w:rPr>
  </w:style>
  <w:style w:type="character" w:customStyle="1" w:styleId="FooterChar">
    <w:name w:val="Footer Char"/>
    <w:basedOn w:val="DefaultParagraphFont"/>
    <w:link w:val="Footer"/>
    <w:uiPriority w:val="99"/>
    <w:rsid w:val="0085313B"/>
    <w:rPr>
      <w:rFonts w:eastAsia="Calibri" w:cs="Times New Roman"/>
      <w:sz w:val="28"/>
      <w:lang w:eastAsia="ar-SA"/>
    </w:rPr>
  </w:style>
  <w:style w:type="character" w:styleId="FootnoteReference">
    <w:name w:val="footnote reference"/>
    <w:uiPriority w:val="99"/>
    <w:unhideWhenUsed/>
    <w:rsid w:val="0085313B"/>
    <w:rPr>
      <w:rFonts w:ascii="Times New Roman" w:hAnsi="Times New Roman" w:cs="Times New Roman" w:hint="default"/>
      <w:vertAlign w:val="superscript"/>
    </w:rPr>
  </w:style>
  <w:style w:type="paragraph" w:styleId="BalloonText">
    <w:name w:val="Balloon Text"/>
    <w:basedOn w:val="Normal"/>
    <w:link w:val="BalloonTextChar"/>
    <w:uiPriority w:val="99"/>
    <w:semiHidden/>
    <w:unhideWhenUsed/>
    <w:rsid w:val="005B32C6"/>
    <w:rPr>
      <w:rFonts w:ascii="Tahoma" w:hAnsi="Tahoma" w:cs="Tahoma"/>
      <w:sz w:val="16"/>
      <w:szCs w:val="16"/>
    </w:rPr>
  </w:style>
  <w:style w:type="character" w:customStyle="1" w:styleId="BalloonTextChar">
    <w:name w:val="Balloon Text Char"/>
    <w:basedOn w:val="DefaultParagraphFont"/>
    <w:link w:val="BalloonText"/>
    <w:uiPriority w:val="99"/>
    <w:semiHidden/>
    <w:rsid w:val="005B32C6"/>
    <w:rPr>
      <w:rFonts w:ascii="Tahoma" w:hAnsi="Tahoma" w:cs="Tahoma"/>
      <w:sz w:val="16"/>
      <w:szCs w:val="16"/>
    </w:rPr>
  </w:style>
  <w:style w:type="character" w:styleId="CommentReference">
    <w:name w:val="annotation reference"/>
    <w:basedOn w:val="DefaultParagraphFont"/>
    <w:uiPriority w:val="99"/>
    <w:semiHidden/>
    <w:unhideWhenUsed/>
    <w:rsid w:val="001316A7"/>
    <w:rPr>
      <w:sz w:val="16"/>
      <w:szCs w:val="16"/>
    </w:rPr>
  </w:style>
  <w:style w:type="paragraph" w:styleId="CommentText">
    <w:name w:val="annotation text"/>
    <w:basedOn w:val="Normal"/>
    <w:link w:val="CommentTextChar"/>
    <w:uiPriority w:val="99"/>
    <w:semiHidden/>
    <w:unhideWhenUsed/>
    <w:rsid w:val="001316A7"/>
    <w:rPr>
      <w:sz w:val="20"/>
      <w:szCs w:val="20"/>
    </w:rPr>
  </w:style>
  <w:style w:type="character" w:customStyle="1" w:styleId="CommentTextChar">
    <w:name w:val="Comment Text Char"/>
    <w:basedOn w:val="DefaultParagraphFont"/>
    <w:link w:val="CommentText"/>
    <w:uiPriority w:val="99"/>
    <w:semiHidden/>
    <w:rsid w:val="001316A7"/>
    <w:rPr>
      <w:sz w:val="20"/>
      <w:szCs w:val="20"/>
    </w:rPr>
  </w:style>
  <w:style w:type="paragraph" w:styleId="CommentSubject">
    <w:name w:val="annotation subject"/>
    <w:basedOn w:val="CommentText"/>
    <w:next w:val="CommentText"/>
    <w:link w:val="CommentSubjectChar"/>
    <w:uiPriority w:val="99"/>
    <w:semiHidden/>
    <w:unhideWhenUsed/>
    <w:rsid w:val="001316A7"/>
    <w:rPr>
      <w:b/>
      <w:bCs/>
    </w:rPr>
  </w:style>
  <w:style w:type="character" w:customStyle="1" w:styleId="CommentSubjectChar">
    <w:name w:val="Comment Subject Char"/>
    <w:basedOn w:val="CommentTextChar"/>
    <w:link w:val="CommentSubject"/>
    <w:uiPriority w:val="99"/>
    <w:semiHidden/>
    <w:rsid w:val="001316A7"/>
    <w:rPr>
      <w:b/>
      <w:bCs/>
      <w:sz w:val="20"/>
      <w:szCs w:val="20"/>
    </w:rPr>
  </w:style>
  <w:style w:type="paragraph" w:styleId="ListParagraph">
    <w:name w:val="List Paragraph"/>
    <w:basedOn w:val="Normal"/>
    <w:uiPriority w:val="34"/>
    <w:qFormat/>
    <w:rsid w:val="00100ECA"/>
    <w:pPr>
      <w:ind w:left="720"/>
      <w:contextualSpacing/>
    </w:pPr>
  </w:style>
  <w:style w:type="paragraph" w:styleId="Header">
    <w:name w:val="header"/>
    <w:basedOn w:val="Normal"/>
    <w:link w:val="HeaderChar"/>
    <w:uiPriority w:val="99"/>
    <w:unhideWhenUsed/>
    <w:rsid w:val="006230D3"/>
    <w:pPr>
      <w:tabs>
        <w:tab w:val="center" w:pos="4153"/>
        <w:tab w:val="right" w:pos="8306"/>
      </w:tabs>
    </w:pPr>
  </w:style>
  <w:style w:type="character" w:customStyle="1" w:styleId="HeaderChar">
    <w:name w:val="Header Char"/>
    <w:basedOn w:val="DefaultParagraphFont"/>
    <w:link w:val="Header"/>
    <w:uiPriority w:val="99"/>
    <w:rsid w:val="006230D3"/>
  </w:style>
  <w:style w:type="paragraph" w:styleId="Revision">
    <w:name w:val="Revision"/>
    <w:hidden/>
    <w:uiPriority w:val="99"/>
    <w:semiHidden/>
    <w:rsid w:val="00372CDA"/>
  </w:style>
  <w:style w:type="character" w:styleId="Hyperlink">
    <w:name w:val="Hyperlink"/>
    <w:unhideWhenUsed/>
    <w:rsid w:val="005941D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0264003">
      <w:bodyDiv w:val="1"/>
      <w:marLeft w:val="0"/>
      <w:marRight w:val="0"/>
      <w:marTop w:val="0"/>
      <w:marBottom w:val="0"/>
      <w:divBdr>
        <w:top w:val="none" w:sz="0" w:space="0" w:color="auto"/>
        <w:left w:val="none" w:sz="0" w:space="0" w:color="auto"/>
        <w:bottom w:val="none" w:sz="0" w:space="0" w:color="auto"/>
        <w:right w:val="none" w:sz="0" w:space="0" w:color="auto"/>
      </w:divBdr>
    </w:div>
    <w:div w:id="351806604">
      <w:bodyDiv w:val="1"/>
      <w:marLeft w:val="0"/>
      <w:marRight w:val="0"/>
      <w:marTop w:val="0"/>
      <w:marBottom w:val="0"/>
      <w:divBdr>
        <w:top w:val="none" w:sz="0" w:space="0" w:color="auto"/>
        <w:left w:val="none" w:sz="0" w:space="0" w:color="auto"/>
        <w:bottom w:val="none" w:sz="0" w:space="0" w:color="auto"/>
        <w:right w:val="none" w:sz="0" w:space="0" w:color="auto"/>
      </w:divBdr>
    </w:div>
    <w:div w:id="457650106">
      <w:bodyDiv w:val="1"/>
      <w:marLeft w:val="0"/>
      <w:marRight w:val="0"/>
      <w:marTop w:val="0"/>
      <w:marBottom w:val="0"/>
      <w:divBdr>
        <w:top w:val="none" w:sz="0" w:space="0" w:color="auto"/>
        <w:left w:val="none" w:sz="0" w:space="0" w:color="auto"/>
        <w:bottom w:val="none" w:sz="0" w:space="0" w:color="auto"/>
        <w:right w:val="none" w:sz="0" w:space="0" w:color="auto"/>
      </w:divBdr>
    </w:div>
    <w:div w:id="1205560196">
      <w:bodyDiv w:val="1"/>
      <w:marLeft w:val="0"/>
      <w:marRight w:val="0"/>
      <w:marTop w:val="0"/>
      <w:marBottom w:val="0"/>
      <w:divBdr>
        <w:top w:val="none" w:sz="0" w:space="0" w:color="auto"/>
        <w:left w:val="none" w:sz="0" w:space="0" w:color="auto"/>
        <w:bottom w:val="none" w:sz="0" w:space="0" w:color="auto"/>
        <w:right w:val="none" w:sz="0" w:space="0" w:color="auto"/>
      </w:divBdr>
    </w:div>
    <w:div w:id="1225482353">
      <w:bodyDiv w:val="1"/>
      <w:marLeft w:val="0"/>
      <w:marRight w:val="0"/>
      <w:marTop w:val="0"/>
      <w:marBottom w:val="0"/>
      <w:divBdr>
        <w:top w:val="none" w:sz="0" w:space="0" w:color="auto"/>
        <w:left w:val="none" w:sz="0" w:space="0" w:color="auto"/>
        <w:bottom w:val="none" w:sz="0" w:space="0" w:color="auto"/>
        <w:right w:val="none" w:sz="0" w:space="0" w:color="auto"/>
      </w:divBdr>
    </w:div>
    <w:div w:id="1318193418">
      <w:bodyDiv w:val="1"/>
      <w:marLeft w:val="0"/>
      <w:marRight w:val="0"/>
      <w:marTop w:val="0"/>
      <w:marBottom w:val="0"/>
      <w:divBdr>
        <w:top w:val="none" w:sz="0" w:space="0" w:color="auto"/>
        <w:left w:val="none" w:sz="0" w:space="0" w:color="auto"/>
        <w:bottom w:val="none" w:sz="0" w:space="0" w:color="auto"/>
        <w:right w:val="none" w:sz="0" w:space="0" w:color="auto"/>
      </w:divBdr>
    </w:div>
    <w:div w:id="1610579542">
      <w:bodyDiv w:val="1"/>
      <w:marLeft w:val="0"/>
      <w:marRight w:val="0"/>
      <w:marTop w:val="0"/>
      <w:marBottom w:val="0"/>
      <w:divBdr>
        <w:top w:val="none" w:sz="0" w:space="0" w:color="auto"/>
        <w:left w:val="none" w:sz="0" w:space="0" w:color="auto"/>
        <w:bottom w:val="none" w:sz="0" w:space="0" w:color="auto"/>
        <w:right w:val="none" w:sz="0" w:space="0" w:color="auto"/>
      </w:divBdr>
    </w:div>
    <w:div w:id="2018117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ata.Lasmane@fm.gov.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3A16EE8-C2F3-4E21-9638-3554F0637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66</TotalTime>
  <Pages>1</Pages>
  <Words>1844</Words>
  <Characters>1052</Characters>
  <Application>Microsoft Office Word</Application>
  <DocSecurity>0</DocSecurity>
  <Lines>8</Lines>
  <Paragraphs>5</Paragraphs>
  <ScaleCrop>false</ScaleCrop>
  <HeadingPairs>
    <vt:vector size="2" baseType="variant">
      <vt:variant>
        <vt:lpstr>Title</vt:lpstr>
      </vt:variant>
      <vt:variant>
        <vt:i4>1</vt:i4>
      </vt:variant>
    </vt:vector>
  </HeadingPairs>
  <TitlesOfParts>
    <vt:vector size="1" baseType="lpstr">
      <vt:lpstr>Informatīvais ziņojums par REVĪZIJAS IESTĀDES AUDITA ATZINUMU UN ZIŅOJUMU PAR VADOŠĀS IESTĀDES UN SERTIFIKĀCIJAS IESTĀDES SĀKOTNĒJO ATBILSTĪBAS NOVĒRTĒJUMU</vt:lpstr>
    </vt:vector>
  </TitlesOfParts>
  <Company>Finanšu ministrija</Company>
  <LinksUpToDate>false</LinksUpToDate>
  <CharactersWithSpaces>2891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revīzijas iestādes audita atzinumu un ziņojumu par vadošās iestādes un sertifikācijas iestādes sākotnējo atbilstības novērtējumu</dc:title>
  <dc:subject>INFORMATĪVAIS ZIŅOJUMS</dc:subject>
  <dc:creator>Nata Lasmane</dc:creator>
  <dc:description>nata.lasmane@fm.gov.lv
67095669</dc:description>
  <cp:lastModifiedBy>Marita Markevica</cp:lastModifiedBy>
  <cp:revision>36</cp:revision>
  <cp:lastPrinted>2015-06-01T11:45:00Z</cp:lastPrinted>
  <dcterms:created xsi:type="dcterms:W3CDTF">2015-06-02T08:30:00Z</dcterms:created>
  <dcterms:modified xsi:type="dcterms:W3CDTF">2015-06-17T12:10:00Z</dcterms:modified>
</cp:coreProperties>
</file>