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7.xml" ContentType="application/vnd.openxmlformats-officedocument.drawingml.chart+xml"/>
  <Override PartName="/word/charts/chart8.xml" ContentType="application/vnd.openxmlformats-officedocument.drawingml.chart+xml"/>
  <Override PartName="/word/drawings/drawing3.xml" ContentType="application/vnd.openxmlformats-officedocument.drawingml.chartshapes+xml"/>
  <Override PartName="/word/charts/chart9.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3.xml" ContentType="application/vnd.openxmlformats-officedocument.drawingml.chart+xml"/>
  <Override PartName="/word/theme/themeOverride1.xml" ContentType="application/vnd.openxmlformats-officedocument.themeOverride+xml"/>
  <Override PartName="/word/drawings/drawing4.xml" ContentType="application/vnd.openxmlformats-officedocument.drawingml.chartshapes+xml"/>
  <Override PartName="/word/charts/chart14.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15.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16.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7.xml" ContentType="application/vnd.openxmlformats-officedocument.drawingml.chart+xml"/>
  <Override PartName="/word/theme/themeOverride4.xml" ContentType="application/vnd.openxmlformats-officedocument.themeOverride+xml"/>
  <Override PartName="/word/charts/chart18.xml" ContentType="application/vnd.openxmlformats-officedocument.drawingml.chart+xml"/>
  <Override PartName="/word/theme/themeOverride5.xml" ContentType="application/vnd.openxmlformats-officedocument.themeOverride+xml"/>
  <Override PartName="/word/charts/chart19.xml" ContentType="application/vnd.openxmlformats-officedocument.drawingml.chart+xml"/>
  <Override PartName="/word/theme/themeOverride6.xml" ContentType="application/vnd.openxmlformats-officedocument.themeOverride+xml"/>
  <Override PartName="/word/charts/chart20.xml" ContentType="application/vnd.openxmlformats-officedocument.drawingml.chart+xml"/>
  <Override PartName="/word/theme/themeOverride7.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9F31109" w14:textId="4DE98D78" w:rsidR="00A5315A" w:rsidRPr="00B57653" w:rsidRDefault="00A5315A" w:rsidP="00A5315A">
      <w:pPr>
        <w:pStyle w:val="BodyText"/>
        <w:jc w:val="both"/>
        <w:rPr>
          <w:b w:val="0"/>
          <w:color w:val="000000" w:themeColor="text1"/>
          <w:highlight w:val="yellow"/>
          <w:lang w:val="lv-LV"/>
        </w:rPr>
      </w:pPr>
      <w:r w:rsidRPr="00B57653">
        <w:rPr>
          <w:noProof/>
          <w:color w:val="000000" w:themeColor="text1"/>
          <w:highlight w:val="yellow"/>
          <w:lang w:val="lv-LV" w:eastAsia="lv-LV"/>
        </w:rPr>
        <w:drawing>
          <wp:anchor distT="0" distB="0" distL="114300" distR="114300" simplePos="0" relativeHeight="251660800" behindDoc="0" locked="0" layoutInCell="1" allowOverlap="1" wp14:anchorId="2DA33FAC" wp14:editId="77CFC5B7">
            <wp:simplePos x="0" y="0"/>
            <wp:positionH relativeFrom="column">
              <wp:posOffset>4677410</wp:posOffset>
            </wp:positionH>
            <wp:positionV relativeFrom="paragraph">
              <wp:posOffset>75565</wp:posOffset>
            </wp:positionV>
            <wp:extent cx="1488440" cy="924560"/>
            <wp:effectExtent l="0" t="0" r="0" b="8890"/>
            <wp:wrapSquare wrapText="bothSides"/>
            <wp:docPr id="30" name="Picture 9" descr="Description: Description: cid:image011.png@01CBC3A8.FD1A1C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Description: cid:image011.png@01CBC3A8.FD1A1C60"/>
                    <pic:cNvPicPr>
                      <a:picLocks noChangeAspect="1" noChangeArrowheads="1"/>
                    </pic:cNvPicPr>
                  </pic:nvPicPr>
                  <pic:blipFill>
                    <a:blip r:embed="rId8" r:link="rId9" cstate="print">
                      <a:extLst>
                        <a:ext uri="{28A0092B-C50C-407E-A947-70E740481C1C}">
                          <a14:useLocalDpi xmlns:a14="http://schemas.microsoft.com/office/drawing/2010/main"/>
                        </a:ext>
                      </a:extLst>
                    </a:blip>
                    <a:srcRect/>
                    <a:stretch>
                      <a:fillRect/>
                    </a:stretch>
                  </pic:blipFill>
                  <pic:spPr bwMode="auto">
                    <a:xfrm>
                      <a:off x="0" y="0"/>
                      <a:ext cx="1488440" cy="924560"/>
                    </a:xfrm>
                    <a:prstGeom prst="rect">
                      <a:avLst/>
                    </a:prstGeom>
                    <a:noFill/>
                    <a:ln>
                      <a:noFill/>
                    </a:ln>
                  </pic:spPr>
                </pic:pic>
              </a:graphicData>
            </a:graphic>
          </wp:anchor>
        </w:drawing>
      </w:r>
      <w:r w:rsidRPr="00B57653">
        <w:rPr>
          <w:noProof/>
          <w:color w:val="000000" w:themeColor="text1"/>
          <w:highlight w:val="yellow"/>
          <w:lang w:val="lv-LV" w:eastAsia="lv-LV"/>
        </w:rPr>
        <w:drawing>
          <wp:anchor distT="0" distB="0" distL="114300" distR="114300" simplePos="0" relativeHeight="251658752" behindDoc="0" locked="0" layoutInCell="1" allowOverlap="1" wp14:anchorId="0FC7765F" wp14:editId="78E0F463">
            <wp:simplePos x="0" y="0"/>
            <wp:positionH relativeFrom="column">
              <wp:posOffset>3352165</wp:posOffset>
            </wp:positionH>
            <wp:positionV relativeFrom="paragraph">
              <wp:posOffset>67945</wp:posOffset>
            </wp:positionV>
            <wp:extent cx="1329055" cy="935355"/>
            <wp:effectExtent l="0" t="0" r="4445" b="0"/>
            <wp:wrapSquare wrapText="bothSides"/>
            <wp:docPr id="32" name="Picture 12" descr="Description: Description: http://www.eeagrants.lv/images/logo_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Description: http://www.eeagrants.lv/images/logo_left.jpg"/>
                    <pic:cNvPicPr>
                      <a:picLocks noChangeAspect="1" noChangeArrowheads="1"/>
                    </pic:cNvPicPr>
                  </pic:nvPicPr>
                  <pic:blipFill>
                    <a:blip r:embed="rId10" r:link="rId11" cstate="print">
                      <a:extLst>
                        <a:ext uri="{28A0092B-C50C-407E-A947-70E740481C1C}">
                          <a14:useLocalDpi xmlns:a14="http://schemas.microsoft.com/office/drawing/2010/main"/>
                        </a:ext>
                      </a:extLst>
                    </a:blip>
                    <a:srcRect/>
                    <a:stretch>
                      <a:fillRect/>
                    </a:stretch>
                  </pic:blipFill>
                  <pic:spPr bwMode="auto">
                    <a:xfrm>
                      <a:off x="0" y="0"/>
                      <a:ext cx="1329055" cy="935355"/>
                    </a:xfrm>
                    <a:prstGeom prst="rect">
                      <a:avLst/>
                    </a:prstGeom>
                    <a:noFill/>
                    <a:ln>
                      <a:noFill/>
                    </a:ln>
                  </pic:spPr>
                </pic:pic>
              </a:graphicData>
            </a:graphic>
          </wp:anchor>
        </w:drawing>
      </w:r>
      <w:r w:rsidRPr="00B57653">
        <w:rPr>
          <w:noProof/>
          <w:color w:val="000000" w:themeColor="text1"/>
          <w:highlight w:val="yellow"/>
          <w:lang w:val="lv-LV" w:eastAsia="lv-LV"/>
        </w:rPr>
        <w:drawing>
          <wp:anchor distT="0" distB="0" distL="114300" distR="114300" simplePos="0" relativeHeight="251655680" behindDoc="0" locked="0" layoutInCell="1" allowOverlap="1" wp14:anchorId="22E477F2" wp14:editId="690C845B">
            <wp:simplePos x="0" y="0"/>
            <wp:positionH relativeFrom="column">
              <wp:posOffset>742950</wp:posOffset>
            </wp:positionH>
            <wp:positionV relativeFrom="paragraph">
              <wp:posOffset>128270</wp:posOffset>
            </wp:positionV>
            <wp:extent cx="2604770" cy="701675"/>
            <wp:effectExtent l="0" t="0" r="5080" b="3175"/>
            <wp:wrapSquare wrapText="bothSides"/>
            <wp:docPr id="33" name="Picture 27" descr="Description: Description: Description: Description: Swiss Contribution_garaa_vers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Description: Description: Description: Swiss Contribution_garaa_versija"/>
                    <pic:cNvPicPr>
                      <a:picLocks noChangeAspect="1" noChangeArrowheads="1"/>
                    </pic:cNvPicPr>
                  </pic:nvPicPr>
                  <pic:blipFill>
                    <a:blip r:embed="rId12" r:link="rId13" cstate="print">
                      <a:extLst>
                        <a:ext uri="{28A0092B-C50C-407E-A947-70E740481C1C}">
                          <a14:useLocalDpi xmlns:a14="http://schemas.microsoft.com/office/drawing/2010/main"/>
                        </a:ext>
                      </a:extLst>
                    </a:blip>
                    <a:srcRect/>
                    <a:stretch>
                      <a:fillRect/>
                    </a:stretch>
                  </pic:blipFill>
                  <pic:spPr bwMode="auto">
                    <a:xfrm>
                      <a:off x="0" y="0"/>
                      <a:ext cx="2604770" cy="701675"/>
                    </a:xfrm>
                    <a:prstGeom prst="rect">
                      <a:avLst/>
                    </a:prstGeom>
                    <a:noFill/>
                    <a:ln>
                      <a:noFill/>
                    </a:ln>
                  </pic:spPr>
                </pic:pic>
              </a:graphicData>
            </a:graphic>
          </wp:anchor>
        </w:drawing>
      </w:r>
      <w:r w:rsidRPr="00B57653">
        <w:rPr>
          <w:noProof/>
          <w:color w:val="000000" w:themeColor="text1"/>
          <w:highlight w:val="yellow"/>
          <w:lang w:val="lv-LV" w:eastAsia="lv-LV"/>
        </w:rPr>
        <w:drawing>
          <wp:anchor distT="0" distB="0" distL="114300" distR="114300" simplePos="0" relativeHeight="251654656" behindDoc="0" locked="0" layoutInCell="1" allowOverlap="1" wp14:anchorId="1F49C446" wp14:editId="203E83C8">
            <wp:simplePos x="0" y="0"/>
            <wp:positionH relativeFrom="column">
              <wp:posOffset>-485775</wp:posOffset>
            </wp:positionH>
            <wp:positionV relativeFrom="paragraph">
              <wp:posOffset>77470</wp:posOffset>
            </wp:positionV>
            <wp:extent cx="1137285" cy="924560"/>
            <wp:effectExtent l="0" t="0" r="5715" b="8890"/>
            <wp:wrapSquare wrapText="bothSides"/>
            <wp:docPr id="31" name="Picture 26" descr="Description: Description: http://www.esfondi.lv/upload/Logotipi/EK_logo_ar_atsauc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Description: http://www.esfondi.lv/upload/Logotipi/EK_logo_ar_atsauci.bmp"/>
                    <pic:cNvPicPr>
                      <a:picLocks noChangeAspect="1" noChangeArrowheads="1"/>
                    </pic:cNvPicPr>
                  </pic:nvPicPr>
                  <pic:blipFill>
                    <a:blip r:embed="rId14" r:link="rId15" cstate="print">
                      <a:extLst>
                        <a:ext uri="{28A0092B-C50C-407E-A947-70E740481C1C}">
                          <a14:useLocalDpi xmlns:a14="http://schemas.microsoft.com/office/drawing/2010/main"/>
                        </a:ext>
                      </a:extLst>
                    </a:blip>
                    <a:srcRect/>
                    <a:stretch>
                      <a:fillRect/>
                    </a:stretch>
                  </pic:blipFill>
                  <pic:spPr bwMode="auto">
                    <a:xfrm>
                      <a:off x="0" y="0"/>
                      <a:ext cx="1137285" cy="924560"/>
                    </a:xfrm>
                    <a:prstGeom prst="rect">
                      <a:avLst/>
                    </a:prstGeom>
                    <a:noFill/>
                    <a:ln>
                      <a:noFill/>
                    </a:ln>
                  </pic:spPr>
                </pic:pic>
              </a:graphicData>
            </a:graphic>
          </wp:anchor>
        </w:drawing>
      </w:r>
      <w:r w:rsidR="00723032" w:rsidRPr="00B57653">
        <w:rPr>
          <w:b w:val="0"/>
          <w:color w:val="000000" w:themeColor="text1"/>
          <w:highlight w:val="yellow"/>
          <w:lang w:val="lv-LV"/>
        </w:rPr>
        <w:t xml:space="preserve"> </w:t>
      </w:r>
    </w:p>
    <w:p w14:paraId="5CE17A08" w14:textId="77777777" w:rsidR="00A5315A" w:rsidRPr="00B57653" w:rsidRDefault="00A5315A" w:rsidP="00A5315A">
      <w:pPr>
        <w:pStyle w:val="BodyText"/>
        <w:jc w:val="both"/>
        <w:rPr>
          <w:b w:val="0"/>
          <w:color w:val="000000" w:themeColor="text1"/>
          <w:lang w:val="lv-LV"/>
        </w:rPr>
      </w:pPr>
    </w:p>
    <w:p w14:paraId="51137719" w14:textId="77777777" w:rsidR="00A5315A" w:rsidRPr="00B57653" w:rsidRDefault="00A5315A" w:rsidP="00A5315A">
      <w:pPr>
        <w:pStyle w:val="BodyText"/>
        <w:jc w:val="both"/>
        <w:rPr>
          <w:b w:val="0"/>
          <w:color w:val="000000" w:themeColor="text1"/>
          <w:lang w:val="lv-LV"/>
        </w:rPr>
      </w:pPr>
    </w:p>
    <w:p w14:paraId="72CCCD06" w14:textId="77777777" w:rsidR="00A5315A" w:rsidRPr="00B57653" w:rsidRDefault="00A5315A" w:rsidP="00A5315A">
      <w:pPr>
        <w:pStyle w:val="BodyText"/>
        <w:jc w:val="both"/>
        <w:rPr>
          <w:b w:val="0"/>
          <w:color w:val="000000" w:themeColor="text1"/>
          <w:lang w:val="lv-LV"/>
        </w:rPr>
      </w:pPr>
    </w:p>
    <w:p w14:paraId="35E2624E" w14:textId="77777777" w:rsidR="00A5315A" w:rsidRPr="00B57653" w:rsidRDefault="00A5315A" w:rsidP="00A5315A">
      <w:pPr>
        <w:pStyle w:val="BodyText"/>
        <w:jc w:val="both"/>
        <w:rPr>
          <w:b w:val="0"/>
          <w:color w:val="000000" w:themeColor="text1"/>
          <w:lang w:val="lv-LV"/>
        </w:rPr>
      </w:pPr>
    </w:p>
    <w:p w14:paraId="48E21F61" w14:textId="77777777" w:rsidR="00A5315A" w:rsidRPr="00B57653" w:rsidRDefault="00A5315A" w:rsidP="00A5315A">
      <w:pPr>
        <w:pStyle w:val="BodyText"/>
        <w:jc w:val="both"/>
        <w:rPr>
          <w:b w:val="0"/>
          <w:color w:val="000000" w:themeColor="text1"/>
          <w:lang w:val="lv-LV"/>
        </w:rPr>
      </w:pPr>
    </w:p>
    <w:p w14:paraId="25DAAC4C" w14:textId="77777777" w:rsidR="00A5315A" w:rsidRPr="00B57653" w:rsidRDefault="00A5315A" w:rsidP="00A5315A">
      <w:pPr>
        <w:pStyle w:val="BodyText"/>
        <w:jc w:val="both"/>
        <w:rPr>
          <w:b w:val="0"/>
          <w:color w:val="000000" w:themeColor="text1"/>
          <w:lang w:val="lv-LV"/>
        </w:rPr>
      </w:pPr>
    </w:p>
    <w:p w14:paraId="5110B434" w14:textId="77777777" w:rsidR="00A5315A" w:rsidRPr="00B57653" w:rsidRDefault="00C264B2" w:rsidP="00C264B2">
      <w:pPr>
        <w:pStyle w:val="BodyText"/>
        <w:tabs>
          <w:tab w:val="left" w:pos="3765"/>
        </w:tabs>
        <w:jc w:val="both"/>
        <w:rPr>
          <w:b w:val="0"/>
          <w:color w:val="000000" w:themeColor="text1"/>
          <w:lang w:val="lv-LV"/>
        </w:rPr>
      </w:pPr>
      <w:r w:rsidRPr="00B57653">
        <w:rPr>
          <w:b w:val="0"/>
          <w:color w:val="000000" w:themeColor="text1"/>
          <w:lang w:val="lv-LV"/>
        </w:rPr>
        <w:tab/>
      </w:r>
    </w:p>
    <w:p w14:paraId="08DE0B81" w14:textId="77777777" w:rsidR="00A5315A" w:rsidRPr="00B57653" w:rsidRDefault="00A5315A" w:rsidP="00A5315A">
      <w:pPr>
        <w:pStyle w:val="BodyText"/>
        <w:jc w:val="both"/>
        <w:rPr>
          <w:b w:val="0"/>
          <w:color w:val="000000" w:themeColor="text1"/>
          <w:lang w:val="lv-LV"/>
        </w:rPr>
      </w:pPr>
    </w:p>
    <w:p w14:paraId="496C1AD2" w14:textId="77777777" w:rsidR="00A5315A" w:rsidRPr="00B57653" w:rsidDel="00392FDF" w:rsidRDefault="00A5315A" w:rsidP="00A5315A">
      <w:pPr>
        <w:pStyle w:val="BodyText"/>
        <w:spacing w:before="0" w:after="0"/>
        <w:jc w:val="center"/>
        <w:rPr>
          <w:color w:val="000000" w:themeColor="text1"/>
          <w:lang w:val="lv-LV"/>
        </w:rPr>
      </w:pPr>
      <w:bookmarkStart w:id="0" w:name="OLE_LINK8"/>
      <w:bookmarkStart w:id="1" w:name="OLE_LINK9"/>
      <w:r w:rsidRPr="00B57653">
        <w:rPr>
          <w:color w:val="000000" w:themeColor="text1"/>
          <w:lang w:val="lv-LV"/>
        </w:rPr>
        <w:t>Informatīvais ziņojums par</w:t>
      </w:r>
    </w:p>
    <w:p w14:paraId="3B07A724" w14:textId="0E71CC48" w:rsidR="000F66B3" w:rsidRPr="00B57653" w:rsidRDefault="00A5315A" w:rsidP="000F66B3">
      <w:pPr>
        <w:pStyle w:val="Title"/>
        <w:spacing w:before="0" w:after="0"/>
        <w:rPr>
          <w:color w:val="000000" w:themeColor="text1"/>
          <w:sz w:val="24"/>
          <w:szCs w:val="24"/>
        </w:rPr>
      </w:pPr>
      <w:r w:rsidRPr="00B57653">
        <w:rPr>
          <w:color w:val="000000" w:themeColor="text1"/>
          <w:sz w:val="24"/>
          <w:szCs w:val="24"/>
        </w:rPr>
        <w:t>Eiropas Savienības struktūrfondu un Kohēzijas fonda, Eiropas Ekonomikas zonas finanšu instrumenta, Norvēģijas finanšu instrumenta un Latvijas un Šveices sadarbības programmas</w:t>
      </w:r>
      <w:r w:rsidR="007A1E93" w:rsidRPr="00B57653">
        <w:rPr>
          <w:color w:val="000000" w:themeColor="text1"/>
          <w:sz w:val="24"/>
          <w:szCs w:val="24"/>
        </w:rPr>
        <w:t xml:space="preserve"> </w:t>
      </w:r>
      <w:r w:rsidR="00B72CE0" w:rsidRPr="00B57653">
        <w:rPr>
          <w:color w:val="000000" w:themeColor="text1"/>
          <w:sz w:val="24"/>
          <w:szCs w:val="24"/>
        </w:rPr>
        <w:t>investīciju progresu</w:t>
      </w:r>
      <w:r w:rsidR="0001070B" w:rsidRPr="00B57653">
        <w:rPr>
          <w:color w:val="000000" w:themeColor="text1"/>
          <w:sz w:val="24"/>
          <w:szCs w:val="24"/>
        </w:rPr>
        <w:t xml:space="preserve"> </w:t>
      </w:r>
      <w:r w:rsidR="000F66B3" w:rsidRPr="00B57653">
        <w:rPr>
          <w:color w:val="000000" w:themeColor="text1"/>
          <w:sz w:val="24"/>
          <w:szCs w:val="24"/>
        </w:rPr>
        <w:t>līdz 2014.gada 31.decembrim</w:t>
      </w:r>
    </w:p>
    <w:bookmarkEnd w:id="0"/>
    <w:bookmarkEnd w:id="1"/>
    <w:p w14:paraId="697E16C1" w14:textId="77777777" w:rsidR="00074D14" w:rsidRPr="00B57653" w:rsidRDefault="00A5315A">
      <w:pPr>
        <w:rPr>
          <w:b/>
        </w:rPr>
      </w:pPr>
      <w:r w:rsidRPr="00B57653">
        <w:br w:type="page"/>
      </w:r>
    </w:p>
    <w:sdt>
      <w:sdtPr>
        <w:rPr>
          <w:rFonts w:ascii="Times New Roman" w:eastAsiaTheme="minorHAnsi" w:hAnsi="Times New Roman" w:cstheme="minorBidi"/>
          <w:color w:val="auto"/>
          <w:sz w:val="24"/>
          <w:szCs w:val="22"/>
          <w:lang w:val="lv-LV"/>
        </w:rPr>
        <w:id w:val="1547027860"/>
        <w:docPartObj>
          <w:docPartGallery w:val="Table of Contents"/>
          <w:docPartUnique/>
        </w:docPartObj>
      </w:sdtPr>
      <w:sdtEndPr>
        <w:rPr>
          <w:b/>
          <w:bCs/>
        </w:rPr>
      </w:sdtEndPr>
      <w:sdtContent>
        <w:p w14:paraId="253BCD05" w14:textId="77777777" w:rsidR="00074D14" w:rsidRPr="00B57653" w:rsidRDefault="00074D14">
          <w:pPr>
            <w:pStyle w:val="TOCHeading"/>
            <w:rPr>
              <w:rFonts w:ascii="Times New Roman" w:hAnsi="Times New Roman" w:cs="Times New Roman"/>
              <w:b/>
              <w:color w:val="auto"/>
              <w:lang w:val="lv-LV"/>
            </w:rPr>
          </w:pPr>
          <w:r w:rsidRPr="00B57653">
            <w:rPr>
              <w:rFonts w:ascii="Times New Roman" w:hAnsi="Times New Roman" w:cs="Times New Roman"/>
              <w:b/>
              <w:color w:val="auto"/>
              <w:lang w:val="lv-LV"/>
            </w:rPr>
            <w:t>Satura rādītājs</w:t>
          </w:r>
        </w:p>
        <w:p w14:paraId="483EF1E2" w14:textId="77777777" w:rsidR="00E12940" w:rsidRDefault="00074D14">
          <w:pPr>
            <w:pStyle w:val="TOC1"/>
            <w:rPr>
              <w:rFonts w:asciiTheme="minorHAnsi" w:eastAsiaTheme="minorEastAsia" w:hAnsiTheme="minorHAnsi" w:cstheme="minorBidi"/>
              <w:b w:val="0"/>
              <w:bCs w:val="0"/>
              <w:sz w:val="22"/>
              <w:szCs w:val="22"/>
              <w:lang w:eastAsia="lv-LV"/>
            </w:rPr>
          </w:pPr>
          <w:r w:rsidRPr="00B57653">
            <w:rPr>
              <w:noProof w:val="0"/>
            </w:rPr>
            <w:fldChar w:fldCharType="begin"/>
          </w:r>
          <w:r w:rsidRPr="00B57653">
            <w:rPr>
              <w:noProof w:val="0"/>
            </w:rPr>
            <w:instrText xml:space="preserve"> TOC \o "1-3" \h \z \u </w:instrText>
          </w:r>
          <w:r w:rsidRPr="00B57653">
            <w:rPr>
              <w:noProof w:val="0"/>
            </w:rPr>
            <w:fldChar w:fldCharType="separate"/>
          </w:r>
          <w:hyperlink w:anchor="_Toc412729430" w:history="1">
            <w:r w:rsidR="00E12940" w:rsidRPr="00237139">
              <w:rPr>
                <w:rStyle w:val="Hyperlink"/>
                <w:rFonts w:eastAsiaTheme="majorEastAsia"/>
              </w:rPr>
              <w:t>Kopsavilkums</w:t>
            </w:r>
            <w:r w:rsidR="00E12940">
              <w:rPr>
                <w:webHidden/>
              </w:rPr>
              <w:tab/>
            </w:r>
            <w:r w:rsidR="00E12940">
              <w:rPr>
                <w:webHidden/>
              </w:rPr>
              <w:fldChar w:fldCharType="begin"/>
            </w:r>
            <w:r w:rsidR="00E12940">
              <w:rPr>
                <w:webHidden/>
              </w:rPr>
              <w:instrText xml:space="preserve"> PAGEREF _Toc412729430 \h </w:instrText>
            </w:r>
            <w:r w:rsidR="00E12940">
              <w:rPr>
                <w:webHidden/>
              </w:rPr>
            </w:r>
            <w:r w:rsidR="00E12940">
              <w:rPr>
                <w:webHidden/>
              </w:rPr>
              <w:fldChar w:fldCharType="separate"/>
            </w:r>
            <w:r w:rsidR="00E12940">
              <w:rPr>
                <w:webHidden/>
              </w:rPr>
              <w:t>6</w:t>
            </w:r>
            <w:r w:rsidR="00E12940">
              <w:rPr>
                <w:webHidden/>
              </w:rPr>
              <w:fldChar w:fldCharType="end"/>
            </w:r>
          </w:hyperlink>
        </w:p>
        <w:p w14:paraId="31D24E88" w14:textId="77777777" w:rsidR="00E12940" w:rsidRDefault="004F7C0F">
          <w:pPr>
            <w:pStyle w:val="TOC1"/>
            <w:rPr>
              <w:rFonts w:asciiTheme="minorHAnsi" w:eastAsiaTheme="minorEastAsia" w:hAnsiTheme="minorHAnsi" w:cstheme="minorBidi"/>
              <w:b w:val="0"/>
              <w:bCs w:val="0"/>
              <w:sz w:val="22"/>
              <w:szCs w:val="22"/>
              <w:lang w:eastAsia="lv-LV"/>
            </w:rPr>
          </w:pPr>
          <w:hyperlink w:anchor="_Toc412729431" w:history="1">
            <w:r w:rsidR="00E12940" w:rsidRPr="00237139">
              <w:rPr>
                <w:rStyle w:val="Hyperlink"/>
                <w:rFonts w:eastAsia="Calibri"/>
                <w:lang w:eastAsia="lv-LV"/>
              </w:rPr>
              <w:t>1.</w:t>
            </w:r>
            <w:r w:rsidR="00E12940">
              <w:rPr>
                <w:rFonts w:asciiTheme="minorHAnsi" w:eastAsiaTheme="minorEastAsia" w:hAnsiTheme="minorHAnsi" w:cstheme="minorBidi"/>
                <w:b w:val="0"/>
                <w:bCs w:val="0"/>
                <w:sz w:val="22"/>
                <w:szCs w:val="22"/>
                <w:lang w:eastAsia="lv-LV"/>
              </w:rPr>
              <w:tab/>
            </w:r>
            <w:r w:rsidR="00E12940" w:rsidRPr="00237139">
              <w:rPr>
                <w:rStyle w:val="Hyperlink"/>
                <w:rFonts w:eastAsiaTheme="majorEastAsia"/>
              </w:rPr>
              <w:t>ES fondu finansējuma ietekme uz Latvijas tautsaimniecības attīstību</w:t>
            </w:r>
            <w:r w:rsidR="00E12940">
              <w:rPr>
                <w:webHidden/>
              </w:rPr>
              <w:tab/>
            </w:r>
            <w:r w:rsidR="00E12940">
              <w:rPr>
                <w:webHidden/>
              </w:rPr>
              <w:fldChar w:fldCharType="begin"/>
            </w:r>
            <w:r w:rsidR="00E12940">
              <w:rPr>
                <w:webHidden/>
              </w:rPr>
              <w:instrText xml:space="preserve"> PAGEREF _Toc412729431 \h </w:instrText>
            </w:r>
            <w:r w:rsidR="00E12940">
              <w:rPr>
                <w:webHidden/>
              </w:rPr>
            </w:r>
            <w:r w:rsidR="00E12940">
              <w:rPr>
                <w:webHidden/>
              </w:rPr>
              <w:fldChar w:fldCharType="separate"/>
            </w:r>
            <w:r w:rsidR="00E12940">
              <w:rPr>
                <w:webHidden/>
              </w:rPr>
              <w:t>9</w:t>
            </w:r>
            <w:r w:rsidR="00E12940">
              <w:rPr>
                <w:webHidden/>
              </w:rPr>
              <w:fldChar w:fldCharType="end"/>
            </w:r>
          </w:hyperlink>
        </w:p>
        <w:p w14:paraId="6C1B92AB" w14:textId="77777777" w:rsidR="00E12940" w:rsidRDefault="004F7C0F">
          <w:pPr>
            <w:pStyle w:val="TOC1"/>
            <w:rPr>
              <w:rFonts w:asciiTheme="minorHAnsi" w:eastAsiaTheme="minorEastAsia" w:hAnsiTheme="minorHAnsi" w:cstheme="minorBidi"/>
              <w:b w:val="0"/>
              <w:bCs w:val="0"/>
              <w:sz w:val="22"/>
              <w:szCs w:val="22"/>
              <w:lang w:eastAsia="lv-LV"/>
            </w:rPr>
          </w:pPr>
          <w:hyperlink w:anchor="_Toc412729432" w:history="1">
            <w:r w:rsidR="00E12940" w:rsidRPr="00237139">
              <w:rPr>
                <w:rStyle w:val="Hyperlink"/>
                <w:rFonts w:eastAsiaTheme="majorEastAsia"/>
              </w:rPr>
              <w:t>2.</w:t>
            </w:r>
            <w:r w:rsidR="00E12940">
              <w:rPr>
                <w:rFonts w:asciiTheme="minorHAnsi" w:eastAsiaTheme="minorEastAsia" w:hAnsiTheme="minorHAnsi" w:cstheme="minorBidi"/>
                <w:b w:val="0"/>
                <w:bCs w:val="0"/>
                <w:sz w:val="22"/>
                <w:szCs w:val="22"/>
                <w:lang w:eastAsia="lv-LV"/>
              </w:rPr>
              <w:tab/>
            </w:r>
            <w:r w:rsidR="00E12940" w:rsidRPr="00237139">
              <w:rPr>
                <w:rStyle w:val="Hyperlink"/>
                <w:rFonts w:eastAsiaTheme="majorEastAsia"/>
              </w:rPr>
              <w:t>2004.-2006.gada plānošanas perioda KF projektu slēgšana</w:t>
            </w:r>
            <w:r w:rsidR="00E12940">
              <w:rPr>
                <w:webHidden/>
              </w:rPr>
              <w:tab/>
            </w:r>
            <w:r w:rsidR="00E12940">
              <w:rPr>
                <w:webHidden/>
              </w:rPr>
              <w:fldChar w:fldCharType="begin"/>
            </w:r>
            <w:r w:rsidR="00E12940">
              <w:rPr>
                <w:webHidden/>
              </w:rPr>
              <w:instrText xml:space="preserve"> PAGEREF _Toc412729432 \h </w:instrText>
            </w:r>
            <w:r w:rsidR="00E12940">
              <w:rPr>
                <w:webHidden/>
              </w:rPr>
            </w:r>
            <w:r w:rsidR="00E12940">
              <w:rPr>
                <w:webHidden/>
              </w:rPr>
              <w:fldChar w:fldCharType="separate"/>
            </w:r>
            <w:r w:rsidR="00E12940">
              <w:rPr>
                <w:webHidden/>
              </w:rPr>
              <w:t>11</w:t>
            </w:r>
            <w:r w:rsidR="00E12940">
              <w:rPr>
                <w:webHidden/>
              </w:rPr>
              <w:fldChar w:fldCharType="end"/>
            </w:r>
          </w:hyperlink>
        </w:p>
        <w:p w14:paraId="78D68D19" w14:textId="77777777" w:rsidR="00E12940" w:rsidRDefault="004F7C0F">
          <w:pPr>
            <w:pStyle w:val="TOC1"/>
            <w:rPr>
              <w:rFonts w:asciiTheme="minorHAnsi" w:eastAsiaTheme="minorEastAsia" w:hAnsiTheme="minorHAnsi" w:cstheme="minorBidi"/>
              <w:b w:val="0"/>
              <w:bCs w:val="0"/>
              <w:sz w:val="22"/>
              <w:szCs w:val="22"/>
              <w:lang w:eastAsia="lv-LV"/>
            </w:rPr>
          </w:pPr>
          <w:hyperlink w:anchor="_Toc412729433" w:history="1">
            <w:r w:rsidR="00E12940" w:rsidRPr="00237139">
              <w:rPr>
                <w:rStyle w:val="Hyperlink"/>
                <w:rFonts w:eastAsiaTheme="majorEastAsia"/>
              </w:rPr>
              <w:t>3.</w:t>
            </w:r>
            <w:r w:rsidR="00E12940">
              <w:rPr>
                <w:rFonts w:asciiTheme="minorHAnsi" w:eastAsiaTheme="minorEastAsia" w:hAnsiTheme="minorHAnsi" w:cstheme="minorBidi"/>
                <w:b w:val="0"/>
                <w:bCs w:val="0"/>
                <w:sz w:val="22"/>
                <w:szCs w:val="22"/>
                <w:lang w:eastAsia="lv-LV"/>
              </w:rPr>
              <w:tab/>
            </w:r>
            <w:r w:rsidR="00E12940" w:rsidRPr="00237139">
              <w:rPr>
                <w:rStyle w:val="Hyperlink"/>
                <w:rFonts w:eastAsiaTheme="majorEastAsia"/>
              </w:rPr>
              <w:t>2007. -2013.gada plānošanas perioda ES fondu ieviešana</w:t>
            </w:r>
            <w:r w:rsidR="00E12940">
              <w:rPr>
                <w:webHidden/>
              </w:rPr>
              <w:tab/>
            </w:r>
            <w:r w:rsidR="00E12940">
              <w:rPr>
                <w:webHidden/>
              </w:rPr>
              <w:fldChar w:fldCharType="begin"/>
            </w:r>
            <w:r w:rsidR="00E12940">
              <w:rPr>
                <w:webHidden/>
              </w:rPr>
              <w:instrText xml:space="preserve"> PAGEREF _Toc412729433 \h </w:instrText>
            </w:r>
            <w:r w:rsidR="00E12940">
              <w:rPr>
                <w:webHidden/>
              </w:rPr>
            </w:r>
            <w:r w:rsidR="00E12940">
              <w:rPr>
                <w:webHidden/>
              </w:rPr>
              <w:fldChar w:fldCharType="separate"/>
            </w:r>
            <w:r w:rsidR="00E12940">
              <w:rPr>
                <w:webHidden/>
              </w:rPr>
              <w:t>12</w:t>
            </w:r>
            <w:r w:rsidR="00E12940">
              <w:rPr>
                <w:webHidden/>
              </w:rPr>
              <w:fldChar w:fldCharType="end"/>
            </w:r>
          </w:hyperlink>
        </w:p>
        <w:p w14:paraId="59EFF656" w14:textId="77777777" w:rsidR="00E12940" w:rsidRDefault="004F7C0F">
          <w:pPr>
            <w:pStyle w:val="TOC2"/>
            <w:rPr>
              <w:rFonts w:asciiTheme="minorHAnsi" w:eastAsiaTheme="minorEastAsia" w:hAnsiTheme="minorHAnsi" w:cstheme="minorBidi"/>
              <w:bCs w:val="0"/>
              <w:sz w:val="22"/>
              <w:szCs w:val="22"/>
              <w:lang w:eastAsia="lv-LV"/>
            </w:rPr>
          </w:pPr>
          <w:hyperlink w:anchor="_Toc412729434" w:history="1">
            <w:r w:rsidR="00E12940" w:rsidRPr="00237139">
              <w:rPr>
                <w:rStyle w:val="Hyperlink"/>
                <w:rFonts w:eastAsiaTheme="majorEastAsia"/>
              </w:rPr>
              <w:t>3.1.</w:t>
            </w:r>
            <w:r w:rsidR="00E12940">
              <w:rPr>
                <w:rFonts w:asciiTheme="minorHAnsi" w:eastAsiaTheme="minorEastAsia" w:hAnsiTheme="minorHAnsi" w:cstheme="minorBidi"/>
                <w:bCs w:val="0"/>
                <w:sz w:val="22"/>
                <w:szCs w:val="22"/>
                <w:lang w:eastAsia="lv-LV"/>
              </w:rPr>
              <w:tab/>
            </w:r>
            <w:r w:rsidR="00E12940" w:rsidRPr="00237139">
              <w:rPr>
                <w:rStyle w:val="Hyperlink"/>
                <w:rFonts w:eastAsiaTheme="majorEastAsia"/>
              </w:rPr>
              <w:t>Darbības programmu un darbības programmu papildinājumu grozījumi</w:t>
            </w:r>
            <w:r w:rsidR="00E12940">
              <w:rPr>
                <w:webHidden/>
              </w:rPr>
              <w:tab/>
            </w:r>
            <w:r w:rsidR="00E12940">
              <w:rPr>
                <w:webHidden/>
              </w:rPr>
              <w:fldChar w:fldCharType="begin"/>
            </w:r>
            <w:r w:rsidR="00E12940">
              <w:rPr>
                <w:webHidden/>
              </w:rPr>
              <w:instrText xml:space="preserve"> PAGEREF _Toc412729434 \h </w:instrText>
            </w:r>
            <w:r w:rsidR="00E12940">
              <w:rPr>
                <w:webHidden/>
              </w:rPr>
            </w:r>
            <w:r w:rsidR="00E12940">
              <w:rPr>
                <w:webHidden/>
              </w:rPr>
              <w:fldChar w:fldCharType="separate"/>
            </w:r>
            <w:r w:rsidR="00E12940">
              <w:rPr>
                <w:webHidden/>
              </w:rPr>
              <w:t>12</w:t>
            </w:r>
            <w:r w:rsidR="00E12940">
              <w:rPr>
                <w:webHidden/>
              </w:rPr>
              <w:fldChar w:fldCharType="end"/>
            </w:r>
          </w:hyperlink>
        </w:p>
        <w:p w14:paraId="65CA1DA0" w14:textId="77777777" w:rsidR="00E12940" w:rsidRDefault="004F7C0F">
          <w:pPr>
            <w:pStyle w:val="TOC2"/>
            <w:rPr>
              <w:rFonts w:asciiTheme="minorHAnsi" w:eastAsiaTheme="minorEastAsia" w:hAnsiTheme="minorHAnsi" w:cstheme="minorBidi"/>
              <w:bCs w:val="0"/>
              <w:sz w:val="22"/>
              <w:szCs w:val="22"/>
              <w:lang w:eastAsia="lv-LV"/>
            </w:rPr>
          </w:pPr>
          <w:hyperlink w:anchor="_Toc412729435" w:history="1">
            <w:r w:rsidR="00E12940" w:rsidRPr="00237139">
              <w:rPr>
                <w:rStyle w:val="Hyperlink"/>
                <w:rFonts w:eastAsiaTheme="majorEastAsia"/>
              </w:rPr>
              <w:t>3.2.</w:t>
            </w:r>
            <w:r w:rsidR="00E12940">
              <w:rPr>
                <w:rFonts w:asciiTheme="minorHAnsi" w:eastAsiaTheme="minorEastAsia" w:hAnsiTheme="minorHAnsi" w:cstheme="minorBidi"/>
                <w:bCs w:val="0"/>
                <w:sz w:val="22"/>
                <w:szCs w:val="22"/>
                <w:lang w:eastAsia="lv-LV"/>
              </w:rPr>
              <w:tab/>
            </w:r>
            <w:r w:rsidR="00E12940" w:rsidRPr="00237139">
              <w:rPr>
                <w:rStyle w:val="Hyperlink"/>
                <w:rFonts w:eastAsiaTheme="majorEastAsia"/>
              </w:rPr>
              <w:t>ES fondu investīciju progress</w:t>
            </w:r>
            <w:r w:rsidR="00E12940">
              <w:rPr>
                <w:webHidden/>
              </w:rPr>
              <w:tab/>
            </w:r>
            <w:r w:rsidR="00E12940">
              <w:rPr>
                <w:webHidden/>
              </w:rPr>
              <w:fldChar w:fldCharType="begin"/>
            </w:r>
            <w:r w:rsidR="00E12940">
              <w:rPr>
                <w:webHidden/>
              </w:rPr>
              <w:instrText xml:space="preserve"> PAGEREF _Toc412729435 \h </w:instrText>
            </w:r>
            <w:r w:rsidR="00E12940">
              <w:rPr>
                <w:webHidden/>
              </w:rPr>
            </w:r>
            <w:r w:rsidR="00E12940">
              <w:rPr>
                <w:webHidden/>
              </w:rPr>
              <w:fldChar w:fldCharType="separate"/>
            </w:r>
            <w:r w:rsidR="00E12940">
              <w:rPr>
                <w:webHidden/>
              </w:rPr>
              <w:t>14</w:t>
            </w:r>
            <w:r w:rsidR="00E12940">
              <w:rPr>
                <w:webHidden/>
              </w:rPr>
              <w:fldChar w:fldCharType="end"/>
            </w:r>
          </w:hyperlink>
        </w:p>
        <w:p w14:paraId="15DF81E8" w14:textId="77777777" w:rsidR="00E12940" w:rsidRDefault="004F7C0F">
          <w:pPr>
            <w:pStyle w:val="TOC3"/>
            <w:rPr>
              <w:rFonts w:asciiTheme="minorHAnsi" w:eastAsiaTheme="minorEastAsia" w:hAnsiTheme="minorHAnsi"/>
              <w:noProof/>
              <w:sz w:val="22"/>
              <w:lang w:eastAsia="lv-LV"/>
            </w:rPr>
          </w:pPr>
          <w:hyperlink w:anchor="_Toc412729436" w:history="1">
            <w:r w:rsidR="00E12940" w:rsidRPr="00237139">
              <w:rPr>
                <w:rStyle w:val="Hyperlink"/>
                <w:noProof/>
              </w:rPr>
              <w:t>3.2.1.</w:t>
            </w:r>
            <w:r w:rsidR="00E12940">
              <w:rPr>
                <w:rFonts w:asciiTheme="minorHAnsi" w:eastAsiaTheme="minorEastAsia" w:hAnsiTheme="minorHAnsi"/>
                <w:noProof/>
                <w:sz w:val="22"/>
                <w:lang w:eastAsia="lv-LV"/>
              </w:rPr>
              <w:tab/>
            </w:r>
            <w:r w:rsidR="00E12940" w:rsidRPr="00237139">
              <w:rPr>
                <w:rStyle w:val="Hyperlink"/>
                <w:noProof/>
              </w:rPr>
              <w:t>Kopējais ES fondu investīciju progress un mērķu sasniegšana</w:t>
            </w:r>
            <w:r w:rsidR="00E12940">
              <w:rPr>
                <w:noProof/>
                <w:webHidden/>
              </w:rPr>
              <w:tab/>
            </w:r>
            <w:r w:rsidR="00E12940">
              <w:rPr>
                <w:noProof/>
                <w:webHidden/>
              </w:rPr>
              <w:fldChar w:fldCharType="begin"/>
            </w:r>
            <w:r w:rsidR="00E12940">
              <w:rPr>
                <w:noProof/>
                <w:webHidden/>
              </w:rPr>
              <w:instrText xml:space="preserve"> PAGEREF _Toc412729436 \h </w:instrText>
            </w:r>
            <w:r w:rsidR="00E12940">
              <w:rPr>
                <w:noProof/>
                <w:webHidden/>
              </w:rPr>
            </w:r>
            <w:r w:rsidR="00E12940">
              <w:rPr>
                <w:noProof/>
                <w:webHidden/>
              </w:rPr>
              <w:fldChar w:fldCharType="separate"/>
            </w:r>
            <w:r w:rsidR="00E12940">
              <w:rPr>
                <w:noProof/>
                <w:webHidden/>
              </w:rPr>
              <w:t>14</w:t>
            </w:r>
            <w:r w:rsidR="00E12940">
              <w:rPr>
                <w:noProof/>
                <w:webHidden/>
              </w:rPr>
              <w:fldChar w:fldCharType="end"/>
            </w:r>
          </w:hyperlink>
        </w:p>
        <w:p w14:paraId="3A8761A5" w14:textId="77777777" w:rsidR="00E12940" w:rsidRDefault="004F7C0F">
          <w:pPr>
            <w:pStyle w:val="TOC3"/>
            <w:rPr>
              <w:rFonts w:asciiTheme="minorHAnsi" w:eastAsiaTheme="minorEastAsia" w:hAnsiTheme="minorHAnsi"/>
              <w:noProof/>
              <w:sz w:val="22"/>
              <w:lang w:eastAsia="lv-LV"/>
            </w:rPr>
          </w:pPr>
          <w:hyperlink w:anchor="_Toc412729437" w:history="1">
            <w:r w:rsidR="00E12940" w:rsidRPr="00237139">
              <w:rPr>
                <w:rStyle w:val="Hyperlink"/>
                <w:noProof/>
              </w:rPr>
              <w:t>3.2.2.</w:t>
            </w:r>
            <w:r w:rsidR="00E12940">
              <w:rPr>
                <w:rFonts w:asciiTheme="minorHAnsi" w:eastAsiaTheme="minorEastAsia" w:hAnsiTheme="minorHAnsi"/>
                <w:noProof/>
                <w:sz w:val="22"/>
                <w:lang w:eastAsia="lv-LV"/>
              </w:rPr>
              <w:tab/>
            </w:r>
            <w:r w:rsidR="00E12940" w:rsidRPr="00237139">
              <w:rPr>
                <w:rStyle w:val="Hyperlink"/>
                <w:noProof/>
              </w:rPr>
              <w:t>Risku vadība</w:t>
            </w:r>
            <w:r w:rsidR="00E12940">
              <w:rPr>
                <w:noProof/>
                <w:webHidden/>
              </w:rPr>
              <w:tab/>
            </w:r>
            <w:r w:rsidR="00E12940">
              <w:rPr>
                <w:noProof/>
                <w:webHidden/>
              </w:rPr>
              <w:fldChar w:fldCharType="begin"/>
            </w:r>
            <w:r w:rsidR="00E12940">
              <w:rPr>
                <w:noProof/>
                <w:webHidden/>
              </w:rPr>
              <w:instrText xml:space="preserve"> PAGEREF _Toc412729437 \h </w:instrText>
            </w:r>
            <w:r w:rsidR="00E12940">
              <w:rPr>
                <w:noProof/>
                <w:webHidden/>
              </w:rPr>
            </w:r>
            <w:r w:rsidR="00E12940">
              <w:rPr>
                <w:noProof/>
                <w:webHidden/>
              </w:rPr>
              <w:fldChar w:fldCharType="separate"/>
            </w:r>
            <w:r w:rsidR="00E12940">
              <w:rPr>
                <w:noProof/>
                <w:webHidden/>
              </w:rPr>
              <w:t>29</w:t>
            </w:r>
            <w:r w:rsidR="00E12940">
              <w:rPr>
                <w:noProof/>
                <w:webHidden/>
              </w:rPr>
              <w:fldChar w:fldCharType="end"/>
            </w:r>
          </w:hyperlink>
        </w:p>
        <w:p w14:paraId="76B9D1E7" w14:textId="77777777" w:rsidR="00E12940" w:rsidRDefault="004F7C0F">
          <w:pPr>
            <w:pStyle w:val="TOC3"/>
            <w:rPr>
              <w:rFonts w:asciiTheme="minorHAnsi" w:eastAsiaTheme="minorEastAsia" w:hAnsiTheme="minorHAnsi"/>
              <w:noProof/>
              <w:sz w:val="22"/>
              <w:lang w:eastAsia="lv-LV"/>
            </w:rPr>
          </w:pPr>
          <w:hyperlink w:anchor="_Toc412729438" w:history="1">
            <w:r w:rsidR="00E12940" w:rsidRPr="00237139">
              <w:rPr>
                <w:rStyle w:val="Hyperlink"/>
                <w:noProof/>
              </w:rPr>
              <w:t>3.2.3.</w:t>
            </w:r>
            <w:r w:rsidR="00E12940">
              <w:rPr>
                <w:rFonts w:asciiTheme="minorHAnsi" w:eastAsiaTheme="minorEastAsia" w:hAnsiTheme="minorHAnsi"/>
                <w:noProof/>
                <w:sz w:val="22"/>
                <w:lang w:eastAsia="lv-LV"/>
              </w:rPr>
              <w:tab/>
            </w:r>
            <w:r w:rsidR="00E12940" w:rsidRPr="00237139">
              <w:rPr>
                <w:rStyle w:val="Hyperlink"/>
                <w:noProof/>
              </w:rPr>
              <w:t>Konstatētie riski ES fondu ieviešanas uzraudzības procesā un rīcības plāns</w:t>
            </w:r>
            <w:r w:rsidR="00E12940">
              <w:rPr>
                <w:noProof/>
                <w:webHidden/>
              </w:rPr>
              <w:tab/>
            </w:r>
            <w:r w:rsidR="00E12940">
              <w:rPr>
                <w:noProof/>
                <w:webHidden/>
              </w:rPr>
              <w:fldChar w:fldCharType="begin"/>
            </w:r>
            <w:r w:rsidR="00E12940">
              <w:rPr>
                <w:noProof/>
                <w:webHidden/>
              </w:rPr>
              <w:instrText xml:space="preserve"> PAGEREF _Toc412729438 \h </w:instrText>
            </w:r>
            <w:r w:rsidR="00E12940">
              <w:rPr>
                <w:noProof/>
                <w:webHidden/>
              </w:rPr>
            </w:r>
            <w:r w:rsidR="00E12940">
              <w:rPr>
                <w:noProof/>
                <w:webHidden/>
              </w:rPr>
              <w:fldChar w:fldCharType="separate"/>
            </w:r>
            <w:r w:rsidR="00E12940">
              <w:rPr>
                <w:noProof/>
                <w:webHidden/>
              </w:rPr>
              <w:t>31</w:t>
            </w:r>
            <w:r w:rsidR="00E12940">
              <w:rPr>
                <w:noProof/>
                <w:webHidden/>
              </w:rPr>
              <w:fldChar w:fldCharType="end"/>
            </w:r>
          </w:hyperlink>
        </w:p>
        <w:p w14:paraId="51B67863" w14:textId="77777777" w:rsidR="00E12940" w:rsidRDefault="004F7C0F">
          <w:pPr>
            <w:pStyle w:val="TOC2"/>
            <w:rPr>
              <w:rFonts w:asciiTheme="minorHAnsi" w:eastAsiaTheme="minorEastAsia" w:hAnsiTheme="minorHAnsi" w:cstheme="minorBidi"/>
              <w:bCs w:val="0"/>
              <w:sz w:val="22"/>
              <w:szCs w:val="22"/>
              <w:lang w:eastAsia="lv-LV"/>
            </w:rPr>
          </w:pPr>
          <w:hyperlink w:anchor="_Toc412729439" w:history="1">
            <w:r w:rsidR="00E12940" w:rsidRPr="00237139">
              <w:rPr>
                <w:rStyle w:val="Hyperlink"/>
                <w:rFonts w:eastAsiaTheme="majorEastAsia"/>
              </w:rPr>
              <w:t>3.3.</w:t>
            </w:r>
            <w:r w:rsidR="00E12940">
              <w:rPr>
                <w:rFonts w:asciiTheme="minorHAnsi" w:eastAsiaTheme="minorEastAsia" w:hAnsiTheme="minorHAnsi" w:cstheme="minorBidi"/>
                <w:bCs w:val="0"/>
                <w:sz w:val="22"/>
                <w:szCs w:val="22"/>
                <w:lang w:eastAsia="lv-LV"/>
              </w:rPr>
              <w:tab/>
            </w:r>
            <w:r w:rsidR="00E12940" w:rsidRPr="00237139">
              <w:rPr>
                <w:rStyle w:val="Hyperlink"/>
                <w:rFonts w:eastAsiaTheme="majorEastAsia"/>
              </w:rPr>
              <w:t>Lielo projektu īstenošana</w:t>
            </w:r>
            <w:r w:rsidR="00E12940">
              <w:rPr>
                <w:webHidden/>
              </w:rPr>
              <w:tab/>
            </w:r>
            <w:r w:rsidR="00E12940">
              <w:rPr>
                <w:webHidden/>
              </w:rPr>
              <w:fldChar w:fldCharType="begin"/>
            </w:r>
            <w:r w:rsidR="00E12940">
              <w:rPr>
                <w:webHidden/>
              </w:rPr>
              <w:instrText xml:space="preserve"> PAGEREF _Toc412729439 \h </w:instrText>
            </w:r>
            <w:r w:rsidR="00E12940">
              <w:rPr>
                <w:webHidden/>
              </w:rPr>
            </w:r>
            <w:r w:rsidR="00E12940">
              <w:rPr>
                <w:webHidden/>
              </w:rPr>
              <w:fldChar w:fldCharType="separate"/>
            </w:r>
            <w:r w:rsidR="00E12940">
              <w:rPr>
                <w:webHidden/>
              </w:rPr>
              <w:t>32</w:t>
            </w:r>
            <w:r w:rsidR="00E12940">
              <w:rPr>
                <w:webHidden/>
              </w:rPr>
              <w:fldChar w:fldCharType="end"/>
            </w:r>
          </w:hyperlink>
        </w:p>
        <w:p w14:paraId="60355657" w14:textId="77777777" w:rsidR="00E12940" w:rsidRDefault="004F7C0F">
          <w:pPr>
            <w:pStyle w:val="TOC1"/>
            <w:rPr>
              <w:rFonts w:asciiTheme="minorHAnsi" w:eastAsiaTheme="minorEastAsia" w:hAnsiTheme="minorHAnsi" w:cstheme="minorBidi"/>
              <w:b w:val="0"/>
              <w:bCs w:val="0"/>
              <w:sz w:val="22"/>
              <w:szCs w:val="22"/>
              <w:lang w:eastAsia="lv-LV"/>
            </w:rPr>
          </w:pPr>
          <w:hyperlink w:anchor="_Toc412729440" w:history="1">
            <w:r w:rsidR="00E12940" w:rsidRPr="00237139">
              <w:rPr>
                <w:rStyle w:val="Hyperlink"/>
                <w:rFonts w:eastAsiaTheme="majorEastAsia"/>
              </w:rPr>
              <w:t>4.</w:t>
            </w:r>
            <w:r w:rsidR="00E12940">
              <w:rPr>
                <w:rFonts w:asciiTheme="minorHAnsi" w:eastAsiaTheme="minorEastAsia" w:hAnsiTheme="minorHAnsi" w:cstheme="minorBidi"/>
                <w:b w:val="0"/>
                <w:bCs w:val="0"/>
                <w:sz w:val="22"/>
                <w:szCs w:val="22"/>
                <w:lang w:eastAsia="lv-LV"/>
              </w:rPr>
              <w:tab/>
            </w:r>
            <w:r w:rsidR="00E12940" w:rsidRPr="00237139">
              <w:rPr>
                <w:rStyle w:val="Hyperlink"/>
                <w:rFonts w:eastAsiaTheme="majorEastAsia"/>
              </w:rPr>
              <w:t>EEZ/Norvēģijas finanšu instrumentu ieviešana</w:t>
            </w:r>
            <w:r w:rsidR="00E12940">
              <w:rPr>
                <w:webHidden/>
              </w:rPr>
              <w:tab/>
            </w:r>
            <w:r w:rsidR="00E12940">
              <w:rPr>
                <w:webHidden/>
              </w:rPr>
              <w:fldChar w:fldCharType="begin"/>
            </w:r>
            <w:r w:rsidR="00E12940">
              <w:rPr>
                <w:webHidden/>
              </w:rPr>
              <w:instrText xml:space="preserve"> PAGEREF _Toc412729440 \h </w:instrText>
            </w:r>
            <w:r w:rsidR="00E12940">
              <w:rPr>
                <w:webHidden/>
              </w:rPr>
            </w:r>
            <w:r w:rsidR="00E12940">
              <w:rPr>
                <w:webHidden/>
              </w:rPr>
              <w:fldChar w:fldCharType="separate"/>
            </w:r>
            <w:r w:rsidR="00E12940">
              <w:rPr>
                <w:webHidden/>
              </w:rPr>
              <w:t>34</w:t>
            </w:r>
            <w:r w:rsidR="00E12940">
              <w:rPr>
                <w:webHidden/>
              </w:rPr>
              <w:fldChar w:fldCharType="end"/>
            </w:r>
          </w:hyperlink>
        </w:p>
        <w:p w14:paraId="793E226A" w14:textId="77777777" w:rsidR="00E12940" w:rsidRDefault="004F7C0F">
          <w:pPr>
            <w:pStyle w:val="TOC1"/>
            <w:rPr>
              <w:rFonts w:asciiTheme="minorHAnsi" w:eastAsiaTheme="minorEastAsia" w:hAnsiTheme="minorHAnsi" w:cstheme="minorBidi"/>
              <w:b w:val="0"/>
              <w:bCs w:val="0"/>
              <w:sz w:val="22"/>
              <w:szCs w:val="22"/>
              <w:lang w:eastAsia="lv-LV"/>
            </w:rPr>
          </w:pPr>
          <w:hyperlink w:anchor="_Toc412729441" w:history="1">
            <w:r w:rsidR="00E12940" w:rsidRPr="00237139">
              <w:rPr>
                <w:rStyle w:val="Hyperlink"/>
                <w:rFonts w:eastAsiaTheme="majorEastAsia"/>
              </w:rPr>
              <w:t>5.</w:t>
            </w:r>
            <w:r w:rsidR="00E12940">
              <w:rPr>
                <w:rFonts w:asciiTheme="minorHAnsi" w:eastAsiaTheme="minorEastAsia" w:hAnsiTheme="minorHAnsi" w:cstheme="minorBidi"/>
                <w:b w:val="0"/>
                <w:bCs w:val="0"/>
                <w:sz w:val="22"/>
                <w:szCs w:val="22"/>
                <w:lang w:eastAsia="lv-LV"/>
              </w:rPr>
              <w:tab/>
            </w:r>
            <w:r w:rsidR="00E12940" w:rsidRPr="00237139">
              <w:rPr>
                <w:rStyle w:val="Hyperlink"/>
                <w:rFonts w:eastAsiaTheme="majorEastAsia"/>
              </w:rPr>
              <w:t>Šveices programmas ieviešana</w:t>
            </w:r>
            <w:r w:rsidR="00E12940">
              <w:rPr>
                <w:webHidden/>
              </w:rPr>
              <w:tab/>
            </w:r>
            <w:r w:rsidR="00E12940">
              <w:rPr>
                <w:webHidden/>
              </w:rPr>
              <w:fldChar w:fldCharType="begin"/>
            </w:r>
            <w:r w:rsidR="00E12940">
              <w:rPr>
                <w:webHidden/>
              </w:rPr>
              <w:instrText xml:space="preserve"> PAGEREF _Toc412729441 \h </w:instrText>
            </w:r>
            <w:r w:rsidR="00E12940">
              <w:rPr>
                <w:webHidden/>
              </w:rPr>
            </w:r>
            <w:r w:rsidR="00E12940">
              <w:rPr>
                <w:webHidden/>
              </w:rPr>
              <w:fldChar w:fldCharType="separate"/>
            </w:r>
            <w:r w:rsidR="00E12940">
              <w:rPr>
                <w:webHidden/>
              </w:rPr>
              <w:t>41</w:t>
            </w:r>
            <w:r w:rsidR="00E12940">
              <w:rPr>
                <w:webHidden/>
              </w:rPr>
              <w:fldChar w:fldCharType="end"/>
            </w:r>
          </w:hyperlink>
        </w:p>
        <w:p w14:paraId="5FBB4267" w14:textId="77777777" w:rsidR="00E12940" w:rsidRDefault="004F7C0F">
          <w:pPr>
            <w:pStyle w:val="TOC1"/>
            <w:rPr>
              <w:rFonts w:asciiTheme="minorHAnsi" w:eastAsiaTheme="minorEastAsia" w:hAnsiTheme="minorHAnsi" w:cstheme="minorBidi"/>
              <w:b w:val="0"/>
              <w:bCs w:val="0"/>
              <w:sz w:val="22"/>
              <w:szCs w:val="22"/>
              <w:lang w:eastAsia="lv-LV"/>
            </w:rPr>
          </w:pPr>
          <w:hyperlink w:anchor="_Toc412729442" w:history="1">
            <w:r w:rsidR="00E12940" w:rsidRPr="00237139">
              <w:rPr>
                <w:rStyle w:val="Hyperlink"/>
                <w:rFonts w:eastAsiaTheme="majorEastAsia"/>
              </w:rPr>
              <w:t>6.</w:t>
            </w:r>
            <w:r w:rsidR="00E12940">
              <w:rPr>
                <w:rFonts w:asciiTheme="minorHAnsi" w:eastAsiaTheme="minorEastAsia" w:hAnsiTheme="minorHAnsi" w:cstheme="minorBidi"/>
                <w:b w:val="0"/>
                <w:bCs w:val="0"/>
                <w:sz w:val="22"/>
                <w:szCs w:val="22"/>
                <w:lang w:eastAsia="lv-LV"/>
              </w:rPr>
              <w:tab/>
            </w:r>
            <w:r w:rsidR="00E12940" w:rsidRPr="00237139">
              <w:rPr>
                <w:rStyle w:val="Hyperlink"/>
                <w:rFonts w:eastAsiaTheme="majorEastAsia"/>
              </w:rPr>
              <w:t>Neatbilstības ES fondu un citas ārvalstu finanšu palīdzības līdzfinansētos projektos</w:t>
            </w:r>
            <w:r w:rsidR="00E12940">
              <w:rPr>
                <w:webHidden/>
              </w:rPr>
              <w:tab/>
            </w:r>
            <w:r w:rsidR="00E12940">
              <w:rPr>
                <w:webHidden/>
              </w:rPr>
              <w:fldChar w:fldCharType="begin"/>
            </w:r>
            <w:r w:rsidR="00E12940">
              <w:rPr>
                <w:webHidden/>
              </w:rPr>
              <w:instrText xml:space="preserve"> PAGEREF _Toc412729442 \h </w:instrText>
            </w:r>
            <w:r w:rsidR="00E12940">
              <w:rPr>
                <w:webHidden/>
              </w:rPr>
            </w:r>
            <w:r w:rsidR="00E12940">
              <w:rPr>
                <w:webHidden/>
              </w:rPr>
              <w:fldChar w:fldCharType="separate"/>
            </w:r>
            <w:r w:rsidR="00E12940">
              <w:rPr>
                <w:webHidden/>
              </w:rPr>
              <w:t>44</w:t>
            </w:r>
            <w:r w:rsidR="00E12940">
              <w:rPr>
                <w:webHidden/>
              </w:rPr>
              <w:fldChar w:fldCharType="end"/>
            </w:r>
          </w:hyperlink>
        </w:p>
        <w:p w14:paraId="2DEF5A09" w14:textId="77777777" w:rsidR="00E12940" w:rsidRDefault="004F7C0F">
          <w:pPr>
            <w:pStyle w:val="TOC2"/>
            <w:rPr>
              <w:rFonts w:asciiTheme="minorHAnsi" w:eastAsiaTheme="minorEastAsia" w:hAnsiTheme="minorHAnsi" w:cstheme="minorBidi"/>
              <w:bCs w:val="0"/>
              <w:sz w:val="22"/>
              <w:szCs w:val="22"/>
              <w:lang w:eastAsia="lv-LV"/>
            </w:rPr>
          </w:pPr>
          <w:hyperlink w:anchor="_Toc412729443" w:history="1">
            <w:r w:rsidR="00E12940" w:rsidRPr="00237139">
              <w:rPr>
                <w:rStyle w:val="Hyperlink"/>
                <w:iCs/>
              </w:rPr>
              <w:t>6.1.</w:t>
            </w:r>
            <w:r w:rsidR="00E12940">
              <w:rPr>
                <w:rFonts w:asciiTheme="minorHAnsi" w:eastAsiaTheme="minorEastAsia" w:hAnsiTheme="minorHAnsi" w:cstheme="minorBidi"/>
                <w:bCs w:val="0"/>
                <w:sz w:val="22"/>
                <w:szCs w:val="22"/>
                <w:lang w:eastAsia="lv-LV"/>
              </w:rPr>
              <w:tab/>
            </w:r>
            <w:r w:rsidR="00E12940" w:rsidRPr="00237139">
              <w:rPr>
                <w:rStyle w:val="Hyperlink"/>
                <w:iCs/>
              </w:rPr>
              <w:t>Neatbilstības ar finansiālu ietekmi ES fondu 2007.-2013.gada plānošanas periodā ES fondos līdz 2014.gada 31.decembrim</w:t>
            </w:r>
            <w:r w:rsidR="00E12940">
              <w:rPr>
                <w:webHidden/>
              </w:rPr>
              <w:tab/>
            </w:r>
            <w:r w:rsidR="00E12940">
              <w:rPr>
                <w:webHidden/>
              </w:rPr>
              <w:fldChar w:fldCharType="begin"/>
            </w:r>
            <w:r w:rsidR="00E12940">
              <w:rPr>
                <w:webHidden/>
              </w:rPr>
              <w:instrText xml:space="preserve"> PAGEREF _Toc412729443 \h </w:instrText>
            </w:r>
            <w:r w:rsidR="00E12940">
              <w:rPr>
                <w:webHidden/>
              </w:rPr>
            </w:r>
            <w:r w:rsidR="00E12940">
              <w:rPr>
                <w:webHidden/>
              </w:rPr>
              <w:fldChar w:fldCharType="separate"/>
            </w:r>
            <w:r w:rsidR="00E12940">
              <w:rPr>
                <w:webHidden/>
              </w:rPr>
              <w:t>44</w:t>
            </w:r>
            <w:r w:rsidR="00E12940">
              <w:rPr>
                <w:webHidden/>
              </w:rPr>
              <w:fldChar w:fldCharType="end"/>
            </w:r>
          </w:hyperlink>
        </w:p>
        <w:p w14:paraId="525DE555" w14:textId="77777777" w:rsidR="00E12940" w:rsidRDefault="004F7C0F">
          <w:pPr>
            <w:pStyle w:val="TOC2"/>
            <w:rPr>
              <w:rFonts w:asciiTheme="minorHAnsi" w:eastAsiaTheme="minorEastAsia" w:hAnsiTheme="minorHAnsi" w:cstheme="minorBidi"/>
              <w:bCs w:val="0"/>
              <w:sz w:val="22"/>
              <w:szCs w:val="22"/>
              <w:lang w:eastAsia="lv-LV"/>
            </w:rPr>
          </w:pPr>
          <w:hyperlink w:anchor="_Toc412729444" w:history="1">
            <w:r w:rsidR="00E12940" w:rsidRPr="00237139">
              <w:rPr>
                <w:rStyle w:val="Hyperlink"/>
                <w:rFonts w:eastAsiaTheme="majorEastAsia"/>
              </w:rPr>
              <w:t>6.2.</w:t>
            </w:r>
            <w:r w:rsidR="00E12940">
              <w:rPr>
                <w:rFonts w:asciiTheme="minorHAnsi" w:eastAsiaTheme="minorEastAsia" w:hAnsiTheme="minorHAnsi" w:cstheme="minorBidi"/>
                <w:bCs w:val="0"/>
                <w:sz w:val="22"/>
                <w:szCs w:val="22"/>
                <w:lang w:eastAsia="lv-LV"/>
              </w:rPr>
              <w:tab/>
            </w:r>
            <w:r w:rsidR="00E12940" w:rsidRPr="00237139">
              <w:rPr>
                <w:rStyle w:val="Hyperlink"/>
                <w:rFonts w:eastAsiaTheme="majorEastAsia"/>
              </w:rPr>
              <w:t>Neatbilstības EEZ/Norvēģijas finanšu instrumentos un Šveices programmā</w:t>
            </w:r>
            <w:r w:rsidR="00E12940">
              <w:rPr>
                <w:webHidden/>
              </w:rPr>
              <w:tab/>
            </w:r>
            <w:r w:rsidR="00E12940">
              <w:rPr>
                <w:webHidden/>
              </w:rPr>
              <w:fldChar w:fldCharType="begin"/>
            </w:r>
            <w:r w:rsidR="00E12940">
              <w:rPr>
                <w:webHidden/>
              </w:rPr>
              <w:instrText xml:space="preserve"> PAGEREF _Toc412729444 \h </w:instrText>
            </w:r>
            <w:r w:rsidR="00E12940">
              <w:rPr>
                <w:webHidden/>
              </w:rPr>
            </w:r>
            <w:r w:rsidR="00E12940">
              <w:rPr>
                <w:webHidden/>
              </w:rPr>
              <w:fldChar w:fldCharType="separate"/>
            </w:r>
            <w:r w:rsidR="00E12940">
              <w:rPr>
                <w:webHidden/>
              </w:rPr>
              <w:t>52</w:t>
            </w:r>
            <w:r w:rsidR="00E12940">
              <w:rPr>
                <w:webHidden/>
              </w:rPr>
              <w:fldChar w:fldCharType="end"/>
            </w:r>
          </w:hyperlink>
        </w:p>
        <w:p w14:paraId="7733D474" w14:textId="77777777" w:rsidR="00E12940" w:rsidRDefault="004F7C0F">
          <w:pPr>
            <w:pStyle w:val="TOC1"/>
            <w:rPr>
              <w:rFonts w:asciiTheme="minorHAnsi" w:eastAsiaTheme="minorEastAsia" w:hAnsiTheme="minorHAnsi" w:cstheme="minorBidi"/>
              <w:b w:val="0"/>
              <w:bCs w:val="0"/>
              <w:sz w:val="22"/>
              <w:szCs w:val="22"/>
              <w:lang w:eastAsia="lv-LV"/>
            </w:rPr>
          </w:pPr>
          <w:hyperlink w:anchor="_Toc412729445" w:history="1">
            <w:r w:rsidR="00E12940" w:rsidRPr="00237139">
              <w:rPr>
                <w:rStyle w:val="Hyperlink"/>
                <w:rFonts w:eastAsiaTheme="majorEastAsia"/>
              </w:rPr>
              <w:t>7.</w:t>
            </w:r>
            <w:r w:rsidR="00E12940">
              <w:rPr>
                <w:rFonts w:asciiTheme="minorHAnsi" w:eastAsiaTheme="minorEastAsia" w:hAnsiTheme="minorHAnsi" w:cstheme="minorBidi"/>
                <w:b w:val="0"/>
                <w:bCs w:val="0"/>
                <w:sz w:val="22"/>
                <w:szCs w:val="22"/>
                <w:lang w:eastAsia="lv-LV"/>
              </w:rPr>
              <w:tab/>
            </w:r>
            <w:r w:rsidR="00E12940" w:rsidRPr="00237139">
              <w:rPr>
                <w:rStyle w:val="Hyperlink"/>
                <w:rFonts w:eastAsiaTheme="majorEastAsia"/>
              </w:rPr>
              <w:t>ES fondu ieviešanas, vadības, kontroles un uzraudzības sistēmas darbība un pasākumi tās pilnveidošanai</w:t>
            </w:r>
            <w:r w:rsidR="00E12940">
              <w:rPr>
                <w:webHidden/>
              </w:rPr>
              <w:tab/>
            </w:r>
            <w:r w:rsidR="00E12940">
              <w:rPr>
                <w:webHidden/>
              </w:rPr>
              <w:fldChar w:fldCharType="begin"/>
            </w:r>
            <w:r w:rsidR="00E12940">
              <w:rPr>
                <w:webHidden/>
              </w:rPr>
              <w:instrText xml:space="preserve"> PAGEREF _Toc412729445 \h </w:instrText>
            </w:r>
            <w:r w:rsidR="00E12940">
              <w:rPr>
                <w:webHidden/>
              </w:rPr>
            </w:r>
            <w:r w:rsidR="00E12940">
              <w:rPr>
                <w:webHidden/>
              </w:rPr>
              <w:fldChar w:fldCharType="separate"/>
            </w:r>
            <w:r w:rsidR="00E12940">
              <w:rPr>
                <w:webHidden/>
              </w:rPr>
              <w:t>53</w:t>
            </w:r>
            <w:r w:rsidR="00E12940">
              <w:rPr>
                <w:webHidden/>
              </w:rPr>
              <w:fldChar w:fldCharType="end"/>
            </w:r>
          </w:hyperlink>
        </w:p>
        <w:p w14:paraId="1A6A5988" w14:textId="77777777" w:rsidR="00E12940" w:rsidRDefault="004F7C0F">
          <w:pPr>
            <w:pStyle w:val="TOC2"/>
            <w:rPr>
              <w:rFonts w:asciiTheme="minorHAnsi" w:eastAsiaTheme="minorEastAsia" w:hAnsiTheme="minorHAnsi" w:cstheme="minorBidi"/>
              <w:bCs w:val="0"/>
              <w:sz w:val="22"/>
              <w:szCs w:val="22"/>
              <w:lang w:eastAsia="lv-LV"/>
            </w:rPr>
          </w:pPr>
          <w:hyperlink w:anchor="_Toc412729446" w:history="1">
            <w:r w:rsidR="00E12940" w:rsidRPr="00237139">
              <w:rPr>
                <w:rStyle w:val="Hyperlink"/>
                <w:rFonts w:eastAsiaTheme="majorEastAsia"/>
              </w:rPr>
              <w:t>7.1.</w:t>
            </w:r>
            <w:r w:rsidR="00E12940">
              <w:rPr>
                <w:rFonts w:asciiTheme="minorHAnsi" w:eastAsiaTheme="minorEastAsia" w:hAnsiTheme="minorHAnsi" w:cstheme="minorBidi"/>
                <w:bCs w:val="0"/>
                <w:sz w:val="22"/>
                <w:szCs w:val="22"/>
                <w:lang w:eastAsia="lv-LV"/>
              </w:rPr>
              <w:tab/>
            </w:r>
            <w:r w:rsidR="00E12940" w:rsidRPr="00237139">
              <w:rPr>
                <w:rStyle w:val="Hyperlink"/>
                <w:rFonts w:eastAsiaTheme="majorEastAsia"/>
              </w:rPr>
              <w:t>Veiktie pasākumi ES fondu vadības un kontroles sistēmas pilnveidošanai</w:t>
            </w:r>
            <w:r w:rsidR="00E12940">
              <w:rPr>
                <w:webHidden/>
              </w:rPr>
              <w:tab/>
            </w:r>
            <w:r w:rsidR="00E12940">
              <w:rPr>
                <w:webHidden/>
              </w:rPr>
              <w:fldChar w:fldCharType="begin"/>
            </w:r>
            <w:r w:rsidR="00E12940">
              <w:rPr>
                <w:webHidden/>
              </w:rPr>
              <w:instrText xml:space="preserve"> PAGEREF _Toc412729446 \h </w:instrText>
            </w:r>
            <w:r w:rsidR="00E12940">
              <w:rPr>
                <w:webHidden/>
              </w:rPr>
            </w:r>
            <w:r w:rsidR="00E12940">
              <w:rPr>
                <w:webHidden/>
              </w:rPr>
              <w:fldChar w:fldCharType="separate"/>
            </w:r>
            <w:r w:rsidR="00E12940">
              <w:rPr>
                <w:webHidden/>
              </w:rPr>
              <w:t>53</w:t>
            </w:r>
            <w:r w:rsidR="00E12940">
              <w:rPr>
                <w:webHidden/>
              </w:rPr>
              <w:fldChar w:fldCharType="end"/>
            </w:r>
          </w:hyperlink>
        </w:p>
        <w:p w14:paraId="7CF985C0" w14:textId="77777777" w:rsidR="00E12940" w:rsidRDefault="004F7C0F">
          <w:pPr>
            <w:pStyle w:val="TOC2"/>
            <w:rPr>
              <w:rFonts w:asciiTheme="minorHAnsi" w:eastAsiaTheme="minorEastAsia" w:hAnsiTheme="minorHAnsi" w:cstheme="minorBidi"/>
              <w:bCs w:val="0"/>
              <w:sz w:val="22"/>
              <w:szCs w:val="22"/>
              <w:lang w:eastAsia="lv-LV"/>
            </w:rPr>
          </w:pPr>
          <w:hyperlink w:anchor="_Toc412729447" w:history="1">
            <w:r w:rsidR="00E12940" w:rsidRPr="00237139">
              <w:rPr>
                <w:rStyle w:val="Hyperlink"/>
                <w:rFonts w:eastAsiaTheme="majorEastAsia"/>
              </w:rPr>
              <w:t>7.2.</w:t>
            </w:r>
            <w:r w:rsidR="00E12940">
              <w:rPr>
                <w:rFonts w:asciiTheme="minorHAnsi" w:eastAsiaTheme="minorEastAsia" w:hAnsiTheme="minorHAnsi" w:cstheme="minorBidi"/>
                <w:bCs w:val="0"/>
                <w:sz w:val="22"/>
                <w:szCs w:val="22"/>
                <w:lang w:eastAsia="lv-LV"/>
              </w:rPr>
              <w:tab/>
            </w:r>
            <w:r w:rsidR="00E12940" w:rsidRPr="00237139">
              <w:rPr>
                <w:rStyle w:val="Hyperlink"/>
                <w:rFonts w:eastAsiaTheme="majorEastAsia"/>
              </w:rPr>
              <w:t>Plānotie pasākumi vadības un kontroles sistēmas pilnveidošanai</w:t>
            </w:r>
            <w:r w:rsidR="00E12940">
              <w:rPr>
                <w:webHidden/>
              </w:rPr>
              <w:tab/>
            </w:r>
            <w:r w:rsidR="00E12940">
              <w:rPr>
                <w:webHidden/>
              </w:rPr>
              <w:fldChar w:fldCharType="begin"/>
            </w:r>
            <w:r w:rsidR="00E12940">
              <w:rPr>
                <w:webHidden/>
              </w:rPr>
              <w:instrText xml:space="preserve"> PAGEREF _Toc412729447 \h </w:instrText>
            </w:r>
            <w:r w:rsidR="00E12940">
              <w:rPr>
                <w:webHidden/>
              </w:rPr>
            </w:r>
            <w:r w:rsidR="00E12940">
              <w:rPr>
                <w:webHidden/>
              </w:rPr>
              <w:fldChar w:fldCharType="separate"/>
            </w:r>
            <w:r w:rsidR="00E12940">
              <w:rPr>
                <w:webHidden/>
              </w:rPr>
              <w:t>54</w:t>
            </w:r>
            <w:r w:rsidR="00E12940">
              <w:rPr>
                <w:webHidden/>
              </w:rPr>
              <w:fldChar w:fldCharType="end"/>
            </w:r>
          </w:hyperlink>
        </w:p>
        <w:p w14:paraId="0B8D24AB" w14:textId="77777777" w:rsidR="00E12940" w:rsidRDefault="004F7C0F">
          <w:pPr>
            <w:pStyle w:val="TOC2"/>
            <w:rPr>
              <w:rFonts w:asciiTheme="minorHAnsi" w:eastAsiaTheme="minorEastAsia" w:hAnsiTheme="minorHAnsi" w:cstheme="minorBidi"/>
              <w:bCs w:val="0"/>
              <w:sz w:val="22"/>
              <w:szCs w:val="22"/>
              <w:lang w:eastAsia="lv-LV"/>
            </w:rPr>
          </w:pPr>
          <w:hyperlink w:anchor="_Toc412729448" w:history="1">
            <w:r w:rsidR="00E12940" w:rsidRPr="00237139">
              <w:rPr>
                <w:rStyle w:val="Hyperlink"/>
                <w:rFonts w:eastAsiaTheme="majorEastAsia"/>
              </w:rPr>
              <w:t>7.3.</w:t>
            </w:r>
            <w:r w:rsidR="00E12940">
              <w:rPr>
                <w:rFonts w:asciiTheme="minorHAnsi" w:eastAsiaTheme="minorEastAsia" w:hAnsiTheme="minorHAnsi" w:cstheme="minorBidi"/>
                <w:bCs w:val="0"/>
                <w:sz w:val="22"/>
                <w:szCs w:val="22"/>
                <w:lang w:eastAsia="lv-LV"/>
              </w:rPr>
              <w:tab/>
            </w:r>
            <w:r w:rsidR="00E12940" w:rsidRPr="00237139">
              <w:rPr>
                <w:rStyle w:val="Hyperlink"/>
                <w:rFonts w:eastAsiaTheme="majorEastAsia"/>
              </w:rPr>
              <w:t>Eiropas savienības fondu auditoru sanāksme</w:t>
            </w:r>
            <w:r w:rsidR="00E12940">
              <w:rPr>
                <w:webHidden/>
              </w:rPr>
              <w:tab/>
            </w:r>
            <w:r w:rsidR="00E12940">
              <w:rPr>
                <w:webHidden/>
              </w:rPr>
              <w:fldChar w:fldCharType="begin"/>
            </w:r>
            <w:r w:rsidR="00E12940">
              <w:rPr>
                <w:webHidden/>
              </w:rPr>
              <w:instrText xml:space="preserve"> PAGEREF _Toc412729448 \h </w:instrText>
            </w:r>
            <w:r w:rsidR="00E12940">
              <w:rPr>
                <w:webHidden/>
              </w:rPr>
            </w:r>
            <w:r w:rsidR="00E12940">
              <w:rPr>
                <w:webHidden/>
              </w:rPr>
              <w:fldChar w:fldCharType="separate"/>
            </w:r>
            <w:r w:rsidR="00E12940">
              <w:rPr>
                <w:webHidden/>
              </w:rPr>
              <w:t>54</w:t>
            </w:r>
            <w:r w:rsidR="00E12940">
              <w:rPr>
                <w:webHidden/>
              </w:rPr>
              <w:fldChar w:fldCharType="end"/>
            </w:r>
          </w:hyperlink>
        </w:p>
        <w:p w14:paraId="40C468CC" w14:textId="77777777" w:rsidR="00E12940" w:rsidRDefault="004F7C0F">
          <w:pPr>
            <w:pStyle w:val="TOC1"/>
            <w:rPr>
              <w:rFonts w:asciiTheme="minorHAnsi" w:eastAsiaTheme="minorEastAsia" w:hAnsiTheme="minorHAnsi" w:cstheme="minorBidi"/>
              <w:b w:val="0"/>
              <w:bCs w:val="0"/>
              <w:sz w:val="22"/>
              <w:szCs w:val="22"/>
              <w:lang w:eastAsia="lv-LV"/>
            </w:rPr>
          </w:pPr>
          <w:hyperlink w:anchor="_Toc412729449" w:history="1">
            <w:r w:rsidR="00E12940" w:rsidRPr="00237139">
              <w:rPr>
                <w:rStyle w:val="Hyperlink"/>
                <w:rFonts w:eastAsiaTheme="majorEastAsia"/>
              </w:rPr>
              <w:t>8.</w:t>
            </w:r>
            <w:r w:rsidR="00E12940">
              <w:rPr>
                <w:rFonts w:asciiTheme="minorHAnsi" w:eastAsiaTheme="minorEastAsia" w:hAnsiTheme="minorHAnsi" w:cstheme="minorBidi"/>
                <w:b w:val="0"/>
                <w:bCs w:val="0"/>
                <w:sz w:val="22"/>
                <w:szCs w:val="22"/>
                <w:lang w:eastAsia="lv-LV"/>
              </w:rPr>
              <w:tab/>
            </w:r>
            <w:r w:rsidR="00E12940" w:rsidRPr="00237139">
              <w:rPr>
                <w:rStyle w:val="Hyperlink"/>
                <w:rFonts w:eastAsiaTheme="majorEastAsia"/>
              </w:rPr>
              <w:t>2007-2013.gada plānošanas perioda ES fondu izvērtēšanas jautājumi</w:t>
            </w:r>
            <w:r w:rsidR="00E12940">
              <w:rPr>
                <w:webHidden/>
              </w:rPr>
              <w:tab/>
            </w:r>
            <w:r w:rsidR="00E12940">
              <w:rPr>
                <w:webHidden/>
              </w:rPr>
              <w:fldChar w:fldCharType="begin"/>
            </w:r>
            <w:r w:rsidR="00E12940">
              <w:rPr>
                <w:webHidden/>
              </w:rPr>
              <w:instrText xml:space="preserve"> PAGEREF _Toc412729449 \h </w:instrText>
            </w:r>
            <w:r w:rsidR="00E12940">
              <w:rPr>
                <w:webHidden/>
              </w:rPr>
            </w:r>
            <w:r w:rsidR="00E12940">
              <w:rPr>
                <w:webHidden/>
              </w:rPr>
              <w:fldChar w:fldCharType="separate"/>
            </w:r>
            <w:r w:rsidR="00E12940">
              <w:rPr>
                <w:webHidden/>
              </w:rPr>
              <w:t>57</w:t>
            </w:r>
            <w:r w:rsidR="00E12940">
              <w:rPr>
                <w:webHidden/>
              </w:rPr>
              <w:fldChar w:fldCharType="end"/>
            </w:r>
          </w:hyperlink>
        </w:p>
        <w:p w14:paraId="49F5282F" w14:textId="77777777" w:rsidR="00E12940" w:rsidRDefault="004F7C0F">
          <w:pPr>
            <w:pStyle w:val="TOC1"/>
            <w:rPr>
              <w:rFonts w:asciiTheme="minorHAnsi" w:eastAsiaTheme="minorEastAsia" w:hAnsiTheme="minorHAnsi" w:cstheme="minorBidi"/>
              <w:b w:val="0"/>
              <w:bCs w:val="0"/>
              <w:sz w:val="22"/>
              <w:szCs w:val="22"/>
              <w:lang w:eastAsia="lv-LV"/>
            </w:rPr>
          </w:pPr>
          <w:hyperlink w:anchor="_Toc412729450" w:history="1">
            <w:r w:rsidR="00E12940" w:rsidRPr="00237139">
              <w:rPr>
                <w:rStyle w:val="Hyperlink"/>
                <w:rFonts w:eastAsiaTheme="majorEastAsia"/>
              </w:rPr>
              <w:t>9.</w:t>
            </w:r>
            <w:r w:rsidR="00E12940">
              <w:rPr>
                <w:rFonts w:asciiTheme="minorHAnsi" w:eastAsiaTheme="minorEastAsia" w:hAnsiTheme="minorHAnsi" w:cstheme="minorBidi"/>
                <w:b w:val="0"/>
                <w:bCs w:val="0"/>
                <w:sz w:val="22"/>
                <w:szCs w:val="22"/>
                <w:lang w:eastAsia="lv-LV"/>
              </w:rPr>
              <w:tab/>
            </w:r>
            <w:r w:rsidR="00E12940" w:rsidRPr="00237139">
              <w:rPr>
                <w:rStyle w:val="Hyperlink"/>
                <w:rFonts w:eastAsiaTheme="majorEastAsia"/>
              </w:rPr>
              <w:t>ES fondu publicitātes pasākumu aktualitātes</w:t>
            </w:r>
            <w:r w:rsidR="00E12940">
              <w:rPr>
                <w:webHidden/>
              </w:rPr>
              <w:tab/>
            </w:r>
            <w:r w:rsidR="00E12940">
              <w:rPr>
                <w:webHidden/>
              </w:rPr>
              <w:fldChar w:fldCharType="begin"/>
            </w:r>
            <w:r w:rsidR="00E12940">
              <w:rPr>
                <w:webHidden/>
              </w:rPr>
              <w:instrText xml:space="preserve"> PAGEREF _Toc412729450 \h </w:instrText>
            </w:r>
            <w:r w:rsidR="00E12940">
              <w:rPr>
                <w:webHidden/>
              </w:rPr>
            </w:r>
            <w:r w:rsidR="00E12940">
              <w:rPr>
                <w:webHidden/>
              </w:rPr>
              <w:fldChar w:fldCharType="separate"/>
            </w:r>
            <w:r w:rsidR="00E12940">
              <w:rPr>
                <w:webHidden/>
              </w:rPr>
              <w:t>58</w:t>
            </w:r>
            <w:r w:rsidR="00E12940">
              <w:rPr>
                <w:webHidden/>
              </w:rPr>
              <w:fldChar w:fldCharType="end"/>
            </w:r>
          </w:hyperlink>
        </w:p>
        <w:p w14:paraId="5D137740" w14:textId="77777777" w:rsidR="00E12940" w:rsidRDefault="004F7C0F">
          <w:pPr>
            <w:pStyle w:val="TOC1"/>
            <w:rPr>
              <w:rFonts w:asciiTheme="minorHAnsi" w:eastAsiaTheme="minorEastAsia" w:hAnsiTheme="minorHAnsi" w:cstheme="minorBidi"/>
              <w:b w:val="0"/>
              <w:bCs w:val="0"/>
              <w:sz w:val="22"/>
              <w:szCs w:val="22"/>
              <w:lang w:eastAsia="lv-LV"/>
            </w:rPr>
          </w:pPr>
          <w:hyperlink w:anchor="_Toc412729451" w:history="1">
            <w:r w:rsidR="00E12940" w:rsidRPr="00237139">
              <w:rPr>
                <w:rStyle w:val="Hyperlink"/>
                <w:rFonts w:eastAsiaTheme="majorEastAsia"/>
              </w:rPr>
              <w:t>10.</w:t>
            </w:r>
            <w:r w:rsidR="00E12940">
              <w:rPr>
                <w:rFonts w:asciiTheme="minorHAnsi" w:eastAsiaTheme="minorEastAsia" w:hAnsiTheme="minorHAnsi" w:cstheme="minorBidi"/>
                <w:b w:val="0"/>
                <w:bCs w:val="0"/>
                <w:sz w:val="22"/>
                <w:szCs w:val="22"/>
                <w:lang w:eastAsia="lv-LV"/>
              </w:rPr>
              <w:tab/>
            </w:r>
            <w:r w:rsidR="00E12940" w:rsidRPr="00237139">
              <w:rPr>
                <w:rStyle w:val="Hyperlink"/>
                <w:rFonts w:eastAsiaTheme="majorEastAsia"/>
              </w:rPr>
              <w:t>2014.–2020.gada plānošanas perioda ES fondu ieviešana</w:t>
            </w:r>
            <w:r w:rsidR="00E12940">
              <w:rPr>
                <w:webHidden/>
              </w:rPr>
              <w:tab/>
            </w:r>
            <w:r w:rsidR="00E12940">
              <w:rPr>
                <w:webHidden/>
              </w:rPr>
              <w:fldChar w:fldCharType="begin"/>
            </w:r>
            <w:r w:rsidR="00E12940">
              <w:rPr>
                <w:webHidden/>
              </w:rPr>
              <w:instrText xml:space="preserve"> PAGEREF _Toc412729451 \h </w:instrText>
            </w:r>
            <w:r w:rsidR="00E12940">
              <w:rPr>
                <w:webHidden/>
              </w:rPr>
            </w:r>
            <w:r w:rsidR="00E12940">
              <w:rPr>
                <w:webHidden/>
              </w:rPr>
              <w:fldChar w:fldCharType="separate"/>
            </w:r>
            <w:r w:rsidR="00E12940">
              <w:rPr>
                <w:webHidden/>
              </w:rPr>
              <w:t>60</w:t>
            </w:r>
            <w:r w:rsidR="00E12940">
              <w:rPr>
                <w:webHidden/>
              </w:rPr>
              <w:fldChar w:fldCharType="end"/>
            </w:r>
          </w:hyperlink>
        </w:p>
        <w:p w14:paraId="4ED2CCD5" w14:textId="77777777" w:rsidR="00E12940" w:rsidRDefault="004F7C0F">
          <w:pPr>
            <w:pStyle w:val="TOC2"/>
            <w:rPr>
              <w:rFonts w:asciiTheme="minorHAnsi" w:eastAsiaTheme="minorEastAsia" w:hAnsiTheme="minorHAnsi" w:cstheme="minorBidi"/>
              <w:bCs w:val="0"/>
              <w:sz w:val="22"/>
              <w:szCs w:val="22"/>
              <w:lang w:eastAsia="lv-LV"/>
            </w:rPr>
          </w:pPr>
          <w:hyperlink w:anchor="_Toc412729452" w:history="1">
            <w:r w:rsidR="00E12940" w:rsidRPr="00237139">
              <w:rPr>
                <w:rStyle w:val="Hyperlink"/>
                <w:rFonts w:eastAsiaTheme="majorEastAsia"/>
              </w:rPr>
              <w:t>10.1.</w:t>
            </w:r>
            <w:r w:rsidR="00E12940">
              <w:rPr>
                <w:rFonts w:asciiTheme="minorHAnsi" w:eastAsiaTheme="minorEastAsia" w:hAnsiTheme="minorHAnsi" w:cstheme="minorBidi"/>
                <w:bCs w:val="0"/>
                <w:sz w:val="22"/>
                <w:szCs w:val="22"/>
                <w:lang w:eastAsia="lv-LV"/>
              </w:rPr>
              <w:tab/>
            </w:r>
            <w:r w:rsidR="00E12940" w:rsidRPr="00237139">
              <w:rPr>
                <w:rStyle w:val="Hyperlink"/>
                <w:rFonts w:eastAsiaTheme="majorEastAsia"/>
              </w:rPr>
              <w:t>Ex-ante nosacījumu izpildes progress</w:t>
            </w:r>
            <w:r w:rsidR="00E12940">
              <w:rPr>
                <w:webHidden/>
              </w:rPr>
              <w:tab/>
            </w:r>
            <w:r w:rsidR="00E12940">
              <w:rPr>
                <w:webHidden/>
              </w:rPr>
              <w:fldChar w:fldCharType="begin"/>
            </w:r>
            <w:r w:rsidR="00E12940">
              <w:rPr>
                <w:webHidden/>
              </w:rPr>
              <w:instrText xml:space="preserve"> PAGEREF _Toc412729452 \h </w:instrText>
            </w:r>
            <w:r w:rsidR="00E12940">
              <w:rPr>
                <w:webHidden/>
              </w:rPr>
            </w:r>
            <w:r w:rsidR="00E12940">
              <w:rPr>
                <w:webHidden/>
              </w:rPr>
              <w:fldChar w:fldCharType="separate"/>
            </w:r>
            <w:r w:rsidR="00E12940">
              <w:rPr>
                <w:webHidden/>
              </w:rPr>
              <w:t>67</w:t>
            </w:r>
            <w:r w:rsidR="00E12940">
              <w:rPr>
                <w:webHidden/>
              </w:rPr>
              <w:fldChar w:fldCharType="end"/>
            </w:r>
          </w:hyperlink>
        </w:p>
        <w:p w14:paraId="0808E784" w14:textId="77777777" w:rsidR="00E12940" w:rsidRDefault="004F7C0F">
          <w:pPr>
            <w:pStyle w:val="TOC2"/>
            <w:rPr>
              <w:rFonts w:asciiTheme="minorHAnsi" w:eastAsiaTheme="minorEastAsia" w:hAnsiTheme="minorHAnsi" w:cstheme="minorBidi"/>
              <w:bCs w:val="0"/>
              <w:sz w:val="22"/>
              <w:szCs w:val="22"/>
              <w:lang w:eastAsia="lv-LV"/>
            </w:rPr>
          </w:pPr>
          <w:hyperlink w:anchor="_Toc412729453" w:history="1">
            <w:r w:rsidR="00E12940" w:rsidRPr="00237139">
              <w:rPr>
                <w:rStyle w:val="Hyperlink"/>
                <w:rFonts w:eastAsiaTheme="majorEastAsia"/>
              </w:rPr>
              <w:t>10.2.</w:t>
            </w:r>
            <w:r w:rsidR="00E12940">
              <w:rPr>
                <w:rFonts w:asciiTheme="minorHAnsi" w:eastAsiaTheme="minorEastAsia" w:hAnsiTheme="minorHAnsi" w:cstheme="minorBidi"/>
                <w:bCs w:val="0"/>
                <w:sz w:val="22"/>
                <w:szCs w:val="22"/>
                <w:lang w:eastAsia="lv-LV"/>
              </w:rPr>
              <w:tab/>
            </w:r>
            <w:r w:rsidR="00E12940" w:rsidRPr="00237139">
              <w:rPr>
                <w:rStyle w:val="Hyperlink"/>
                <w:rFonts w:eastAsiaTheme="majorEastAsia"/>
              </w:rPr>
              <w:t>Valsts budžeta izdevumi 2014.-2020.gada plānošanas periodam</w:t>
            </w:r>
            <w:r w:rsidR="00E12940">
              <w:rPr>
                <w:webHidden/>
              </w:rPr>
              <w:tab/>
            </w:r>
            <w:r w:rsidR="00E12940">
              <w:rPr>
                <w:webHidden/>
              </w:rPr>
              <w:fldChar w:fldCharType="begin"/>
            </w:r>
            <w:r w:rsidR="00E12940">
              <w:rPr>
                <w:webHidden/>
              </w:rPr>
              <w:instrText xml:space="preserve"> PAGEREF _Toc412729453 \h </w:instrText>
            </w:r>
            <w:r w:rsidR="00E12940">
              <w:rPr>
                <w:webHidden/>
              </w:rPr>
            </w:r>
            <w:r w:rsidR="00E12940">
              <w:rPr>
                <w:webHidden/>
              </w:rPr>
              <w:fldChar w:fldCharType="separate"/>
            </w:r>
            <w:r w:rsidR="00E12940">
              <w:rPr>
                <w:webHidden/>
              </w:rPr>
              <w:t>68</w:t>
            </w:r>
            <w:r w:rsidR="00E12940">
              <w:rPr>
                <w:webHidden/>
              </w:rPr>
              <w:fldChar w:fldCharType="end"/>
            </w:r>
          </w:hyperlink>
        </w:p>
        <w:p w14:paraId="58A66827" w14:textId="77777777" w:rsidR="00E12940" w:rsidRDefault="004F7C0F">
          <w:pPr>
            <w:pStyle w:val="TOC1"/>
            <w:rPr>
              <w:rFonts w:asciiTheme="minorHAnsi" w:eastAsiaTheme="minorEastAsia" w:hAnsiTheme="minorHAnsi" w:cstheme="minorBidi"/>
              <w:b w:val="0"/>
              <w:bCs w:val="0"/>
              <w:sz w:val="22"/>
              <w:szCs w:val="22"/>
              <w:lang w:eastAsia="lv-LV"/>
            </w:rPr>
          </w:pPr>
          <w:hyperlink w:anchor="_Toc412729454" w:history="1">
            <w:r w:rsidR="00E12940" w:rsidRPr="00237139">
              <w:rPr>
                <w:rStyle w:val="Hyperlink"/>
              </w:rPr>
              <w:t>11.</w:t>
            </w:r>
            <w:r w:rsidR="00E12940">
              <w:rPr>
                <w:rFonts w:asciiTheme="minorHAnsi" w:eastAsiaTheme="minorEastAsia" w:hAnsiTheme="minorHAnsi" w:cstheme="minorBidi"/>
                <w:b w:val="0"/>
                <w:bCs w:val="0"/>
                <w:sz w:val="22"/>
                <w:szCs w:val="22"/>
                <w:lang w:eastAsia="lv-LV"/>
              </w:rPr>
              <w:tab/>
            </w:r>
            <w:r w:rsidR="00E12940" w:rsidRPr="00237139">
              <w:rPr>
                <w:rStyle w:val="Hyperlink"/>
              </w:rPr>
              <w:t>Turpmākā rīcība un nākamā pārskata perioda aktualitātes</w:t>
            </w:r>
            <w:r w:rsidR="00E12940">
              <w:rPr>
                <w:webHidden/>
              </w:rPr>
              <w:tab/>
            </w:r>
            <w:r w:rsidR="00E12940">
              <w:rPr>
                <w:webHidden/>
              </w:rPr>
              <w:fldChar w:fldCharType="begin"/>
            </w:r>
            <w:r w:rsidR="00E12940">
              <w:rPr>
                <w:webHidden/>
              </w:rPr>
              <w:instrText xml:space="preserve"> PAGEREF _Toc412729454 \h </w:instrText>
            </w:r>
            <w:r w:rsidR="00E12940">
              <w:rPr>
                <w:webHidden/>
              </w:rPr>
            </w:r>
            <w:r w:rsidR="00E12940">
              <w:rPr>
                <w:webHidden/>
              </w:rPr>
              <w:fldChar w:fldCharType="separate"/>
            </w:r>
            <w:r w:rsidR="00E12940">
              <w:rPr>
                <w:webHidden/>
              </w:rPr>
              <w:t>68</w:t>
            </w:r>
            <w:r w:rsidR="00E12940">
              <w:rPr>
                <w:webHidden/>
              </w:rPr>
              <w:fldChar w:fldCharType="end"/>
            </w:r>
          </w:hyperlink>
        </w:p>
        <w:p w14:paraId="3BB9DA69" w14:textId="6FE523EF" w:rsidR="00074D14" w:rsidRPr="00B57653" w:rsidRDefault="00074D14">
          <w:r w:rsidRPr="00B57653">
            <w:rPr>
              <w:b/>
              <w:bCs/>
            </w:rPr>
            <w:fldChar w:fldCharType="end"/>
          </w:r>
        </w:p>
      </w:sdtContent>
    </w:sdt>
    <w:p w14:paraId="63FCD1B9" w14:textId="77777777" w:rsidR="006F7499" w:rsidRPr="00B57653" w:rsidRDefault="006F7499" w:rsidP="006F7499">
      <w:pPr>
        <w:tabs>
          <w:tab w:val="right" w:leader="dot" w:pos="9072"/>
        </w:tabs>
        <w:spacing w:line="360" w:lineRule="auto"/>
        <w:rPr>
          <w:bCs/>
          <w:color w:val="000000" w:themeColor="text1"/>
          <w:szCs w:val="24"/>
        </w:rPr>
      </w:pPr>
    </w:p>
    <w:p w14:paraId="0F5FCF12" w14:textId="77777777" w:rsidR="0006598E" w:rsidRPr="00B57653" w:rsidRDefault="0006598E" w:rsidP="006F7499">
      <w:pPr>
        <w:tabs>
          <w:tab w:val="right" w:leader="dot" w:pos="9072"/>
        </w:tabs>
        <w:spacing w:line="360" w:lineRule="auto"/>
        <w:rPr>
          <w:bCs/>
          <w:color w:val="000000" w:themeColor="text1"/>
          <w:szCs w:val="24"/>
        </w:rPr>
      </w:pPr>
    </w:p>
    <w:p w14:paraId="6997AFF1" w14:textId="77777777" w:rsidR="0006598E" w:rsidRPr="00B57653" w:rsidRDefault="0006598E" w:rsidP="006F7499">
      <w:pPr>
        <w:tabs>
          <w:tab w:val="right" w:leader="dot" w:pos="9072"/>
        </w:tabs>
        <w:spacing w:line="360" w:lineRule="auto"/>
        <w:rPr>
          <w:bCs/>
          <w:color w:val="000000" w:themeColor="text1"/>
          <w:szCs w:val="24"/>
        </w:rPr>
      </w:pPr>
    </w:p>
    <w:p w14:paraId="7B45988C" w14:textId="77777777" w:rsidR="0006598E" w:rsidRPr="00B57653" w:rsidRDefault="0006598E" w:rsidP="006F7499">
      <w:pPr>
        <w:tabs>
          <w:tab w:val="right" w:leader="dot" w:pos="9072"/>
        </w:tabs>
        <w:spacing w:line="360" w:lineRule="auto"/>
        <w:rPr>
          <w:bCs/>
          <w:color w:val="000000" w:themeColor="text1"/>
          <w:szCs w:val="24"/>
        </w:rPr>
      </w:pPr>
    </w:p>
    <w:p w14:paraId="37FA378F" w14:textId="77777777" w:rsidR="0006598E" w:rsidRPr="00B57653" w:rsidRDefault="0006598E" w:rsidP="006F7499">
      <w:pPr>
        <w:tabs>
          <w:tab w:val="right" w:leader="dot" w:pos="9072"/>
        </w:tabs>
        <w:spacing w:line="360" w:lineRule="auto"/>
        <w:rPr>
          <w:bCs/>
          <w:color w:val="000000" w:themeColor="text1"/>
          <w:szCs w:val="24"/>
        </w:rPr>
      </w:pPr>
    </w:p>
    <w:p w14:paraId="153236CD" w14:textId="77777777" w:rsidR="0006598E" w:rsidRPr="00B57653" w:rsidRDefault="0006598E" w:rsidP="006F7499">
      <w:pPr>
        <w:tabs>
          <w:tab w:val="right" w:leader="dot" w:pos="9072"/>
        </w:tabs>
        <w:spacing w:line="360" w:lineRule="auto"/>
        <w:rPr>
          <w:bCs/>
          <w:color w:val="000000" w:themeColor="text1"/>
          <w:szCs w:val="24"/>
        </w:rPr>
      </w:pPr>
    </w:p>
    <w:p w14:paraId="75068F67" w14:textId="3EB59967" w:rsidR="006F7499" w:rsidRPr="00B57653" w:rsidRDefault="00714516" w:rsidP="006F7499">
      <w:pPr>
        <w:tabs>
          <w:tab w:val="right" w:leader="dot" w:pos="9072"/>
        </w:tabs>
        <w:spacing w:line="360" w:lineRule="auto"/>
        <w:rPr>
          <w:bCs/>
          <w:caps/>
          <w:color w:val="000000" w:themeColor="text1"/>
          <w:szCs w:val="24"/>
        </w:rPr>
      </w:pPr>
      <w:r w:rsidRPr="00B57653">
        <w:rPr>
          <w:bCs/>
          <w:color w:val="000000" w:themeColor="text1"/>
          <w:szCs w:val="24"/>
        </w:rPr>
        <w:t>PIELIKUM</w:t>
      </w:r>
      <w:r w:rsidR="007603CD">
        <w:rPr>
          <w:bCs/>
          <w:color w:val="000000" w:themeColor="text1"/>
          <w:szCs w:val="24"/>
        </w:rPr>
        <w:t>S</w:t>
      </w:r>
      <w:r w:rsidR="006F7499" w:rsidRPr="00B57653">
        <w:rPr>
          <w:bCs/>
          <w:color w:val="000000" w:themeColor="text1"/>
          <w:szCs w:val="24"/>
        </w:rPr>
        <w:t>:</w:t>
      </w:r>
    </w:p>
    <w:p w14:paraId="15420791" w14:textId="71AE1154" w:rsidR="007D3C20" w:rsidRPr="00B57653" w:rsidRDefault="006F7499" w:rsidP="00E12DFB">
      <w:pPr>
        <w:pStyle w:val="Default"/>
        <w:numPr>
          <w:ilvl w:val="0"/>
          <w:numId w:val="1"/>
        </w:numPr>
        <w:spacing w:before="0" w:after="0" w:line="23" w:lineRule="atLeast"/>
        <w:ind w:left="426" w:hanging="426"/>
        <w:rPr>
          <w:rFonts w:eastAsia="Times New Roman"/>
          <w:color w:val="000000" w:themeColor="text1"/>
          <w:lang w:eastAsia="en-US"/>
        </w:rPr>
      </w:pPr>
      <w:r w:rsidRPr="00B57653">
        <w:rPr>
          <w:rFonts w:eastAsia="Times New Roman"/>
          <w:color w:val="000000" w:themeColor="text1"/>
          <w:lang w:eastAsia="en-US"/>
        </w:rPr>
        <w:t>„2007. – 2013.gada plānošanas perioda ES fondu finanšu investīc</w:t>
      </w:r>
      <w:r w:rsidR="00992391" w:rsidRPr="00B57653">
        <w:rPr>
          <w:rFonts w:eastAsia="Times New Roman"/>
          <w:color w:val="000000" w:themeColor="text1"/>
          <w:lang w:eastAsia="en-US"/>
        </w:rPr>
        <w:t>ijas prioritāšu līmenī līdz 2014.gada 3</w:t>
      </w:r>
      <w:r w:rsidR="00BE5D86" w:rsidRPr="00B57653">
        <w:rPr>
          <w:rFonts w:eastAsia="Times New Roman"/>
          <w:color w:val="000000" w:themeColor="text1"/>
          <w:lang w:eastAsia="en-US"/>
        </w:rPr>
        <w:t>1</w:t>
      </w:r>
      <w:r w:rsidR="00992391" w:rsidRPr="00B57653">
        <w:rPr>
          <w:rFonts w:eastAsia="Times New Roman"/>
          <w:color w:val="000000" w:themeColor="text1"/>
          <w:lang w:eastAsia="en-US"/>
        </w:rPr>
        <w:t>.</w:t>
      </w:r>
      <w:r w:rsidR="00BE5D86" w:rsidRPr="00B57653">
        <w:rPr>
          <w:rFonts w:eastAsia="Times New Roman"/>
          <w:color w:val="000000" w:themeColor="text1"/>
          <w:lang w:eastAsia="en-US"/>
        </w:rPr>
        <w:t>dec</w:t>
      </w:r>
      <w:r w:rsidR="0001070B" w:rsidRPr="00B57653">
        <w:rPr>
          <w:rFonts w:eastAsia="Times New Roman"/>
          <w:color w:val="000000" w:themeColor="text1"/>
          <w:lang w:eastAsia="en-US"/>
        </w:rPr>
        <w:t>embrim</w:t>
      </w:r>
      <w:r w:rsidR="00714516" w:rsidRPr="00B57653">
        <w:rPr>
          <w:rFonts w:eastAsia="Times New Roman"/>
          <w:color w:val="000000" w:themeColor="text1"/>
          <w:lang w:eastAsia="en-US"/>
        </w:rPr>
        <w:t>”.</w:t>
      </w:r>
    </w:p>
    <w:p w14:paraId="787F9C9F" w14:textId="77777777" w:rsidR="005274AE" w:rsidRPr="00B57653" w:rsidRDefault="006F7499" w:rsidP="005274AE">
      <w:pPr>
        <w:rPr>
          <w:color w:val="000000" w:themeColor="text1"/>
          <w:szCs w:val="24"/>
        </w:rPr>
      </w:pPr>
      <w:r w:rsidRPr="00B57653">
        <w:rPr>
          <w:b/>
          <w:color w:val="000000" w:themeColor="text1"/>
          <w:szCs w:val="24"/>
          <w:highlight w:val="yellow"/>
        </w:rPr>
        <w:br w:type="page"/>
      </w:r>
      <w:r w:rsidR="005274AE" w:rsidRPr="00B57653">
        <w:rPr>
          <w:b/>
          <w:color w:val="000000" w:themeColor="text1"/>
          <w:szCs w:val="24"/>
        </w:rPr>
        <w:lastRenderedPageBreak/>
        <w:t>Saīsinājumi</w:t>
      </w:r>
    </w:p>
    <w:p w14:paraId="52A8698F" w14:textId="77777777" w:rsidR="005274AE" w:rsidRPr="00B57653" w:rsidRDefault="005274AE" w:rsidP="005274AE">
      <w:pPr>
        <w:tabs>
          <w:tab w:val="left" w:pos="1276"/>
          <w:tab w:val="left" w:pos="1418"/>
          <w:tab w:val="left" w:pos="2127"/>
        </w:tabs>
        <w:rPr>
          <w:color w:val="000000" w:themeColor="text1"/>
          <w:szCs w:val="24"/>
        </w:rPr>
      </w:pPr>
      <w:r w:rsidRPr="00B57653">
        <w:rPr>
          <w:color w:val="000000" w:themeColor="text1"/>
          <w:szCs w:val="24"/>
        </w:rPr>
        <w:t>AI</w:t>
      </w:r>
      <w:r w:rsidRPr="00B57653">
        <w:rPr>
          <w:color w:val="000000" w:themeColor="text1"/>
          <w:szCs w:val="24"/>
        </w:rPr>
        <w:tab/>
        <w:t xml:space="preserve">- </w:t>
      </w:r>
      <w:r w:rsidRPr="00B57653">
        <w:rPr>
          <w:color w:val="000000" w:themeColor="text1"/>
          <w:szCs w:val="24"/>
        </w:rPr>
        <w:tab/>
      </w:r>
      <w:r w:rsidRPr="00B57653">
        <w:rPr>
          <w:color w:val="000000" w:themeColor="text1"/>
          <w:szCs w:val="24"/>
        </w:rPr>
        <w:tab/>
        <w:t>ES fondu atbildīgā iestāde</w:t>
      </w:r>
    </w:p>
    <w:p w14:paraId="21E67F13" w14:textId="77777777" w:rsidR="005274AE" w:rsidRPr="00B57653" w:rsidRDefault="005274AE" w:rsidP="005274AE">
      <w:pPr>
        <w:tabs>
          <w:tab w:val="left" w:pos="1276"/>
          <w:tab w:val="left" w:pos="1418"/>
          <w:tab w:val="left" w:pos="2127"/>
        </w:tabs>
        <w:ind w:left="2127" w:hanging="2127"/>
        <w:rPr>
          <w:color w:val="000000" w:themeColor="text1"/>
          <w:szCs w:val="24"/>
        </w:rPr>
      </w:pPr>
      <w:r w:rsidRPr="00B57653">
        <w:rPr>
          <w:color w:val="000000" w:themeColor="text1"/>
          <w:szCs w:val="24"/>
        </w:rPr>
        <w:t>ALTUM</w:t>
      </w:r>
      <w:r w:rsidRPr="00B57653">
        <w:rPr>
          <w:color w:val="000000" w:themeColor="text1"/>
          <w:szCs w:val="24"/>
        </w:rPr>
        <w:tab/>
        <w:t>-</w:t>
      </w:r>
      <w:r w:rsidRPr="00B57653">
        <w:rPr>
          <w:color w:val="000000" w:themeColor="text1"/>
          <w:szCs w:val="24"/>
        </w:rPr>
        <w:tab/>
      </w:r>
      <w:r w:rsidRPr="00B57653">
        <w:rPr>
          <w:color w:val="000000" w:themeColor="text1"/>
          <w:szCs w:val="24"/>
        </w:rPr>
        <w:tab/>
        <w:t>Valsts akciju sabiedrība „Latvijas attīstības finanšu institūcija ALTUM”</w:t>
      </w:r>
    </w:p>
    <w:p w14:paraId="22A5B380" w14:textId="77777777" w:rsidR="005274AE" w:rsidRPr="00B57653" w:rsidRDefault="005274AE" w:rsidP="005274AE">
      <w:pPr>
        <w:tabs>
          <w:tab w:val="left" w:pos="1276"/>
          <w:tab w:val="left" w:pos="1418"/>
          <w:tab w:val="left" w:pos="2127"/>
        </w:tabs>
        <w:rPr>
          <w:color w:val="000000" w:themeColor="text1"/>
          <w:szCs w:val="24"/>
        </w:rPr>
      </w:pPr>
      <w:r w:rsidRPr="00B57653">
        <w:rPr>
          <w:color w:val="000000" w:themeColor="text1"/>
          <w:szCs w:val="24"/>
        </w:rPr>
        <w:t>CFLA</w:t>
      </w:r>
      <w:r w:rsidRPr="00B57653">
        <w:rPr>
          <w:color w:val="000000" w:themeColor="text1"/>
          <w:szCs w:val="24"/>
        </w:rPr>
        <w:tab/>
        <w:t xml:space="preserve">- </w:t>
      </w:r>
      <w:r w:rsidRPr="00B57653">
        <w:rPr>
          <w:color w:val="000000" w:themeColor="text1"/>
          <w:szCs w:val="24"/>
        </w:rPr>
        <w:tab/>
      </w:r>
      <w:r w:rsidRPr="00B57653">
        <w:rPr>
          <w:color w:val="000000" w:themeColor="text1"/>
          <w:szCs w:val="24"/>
        </w:rPr>
        <w:tab/>
        <w:t>Centrālā finanšu un līgumu aģentūra</w:t>
      </w:r>
    </w:p>
    <w:p w14:paraId="49E406CC" w14:textId="77777777" w:rsidR="005274AE" w:rsidRPr="00B57653" w:rsidRDefault="005274AE" w:rsidP="005274AE">
      <w:pPr>
        <w:tabs>
          <w:tab w:val="left" w:pos="1276"/>
          <w:tab w:val="left" w:pos="1418"/>
          <w:tab w:val="left" w:pos="2127"/>
        </w:tabs>
        <w:rPr>
          <w:color w:val="000000" w:themeColor="text1"/>
          <w:szCs w:val="24"/>
        </w:rPr>
      </w:pPr>
      <w:r w:rsidRPr="00B57653">
        <w:rPr>
          <w:color w:val="000000" w:themeColor="text1"/>
          <w:szCs w:val="24"/>
        </w:rPr>
        <w:t>DP</w:t>
      </w:r>
      <w:r w:rsidRPr="00B57653">
        <w:rPr>
          <w:color w:val="000000" w:themeColor="text1"/>
          <w:szCs w:val="24"/>
        </w:rPr>
        <w:tab/>
        <w:t>-</w:t>
      </w:r>
      <w:r w:rsidRPr="00B57653">
        <w:rPr>
          <w:color w:val="000000" w:themeColor="text1"/>
          <w:szCs w:val="24"/>
        </w:rPr>
        <w:tab/>
      </w:r>
      <w:r w:rsidRPr="00B57653">
        <w:rPr>
          <w:color w:val="000000" w:themeColor="text1"/>
          <w:szCs w:val="24"/>
        </w:rPr>
        <w:tab/>
        <w:t>Darbības programma</w:t>
      </w:r>
    </w:p>
    <w:p w14:paraId="598FE3C0" w14:textId="7D565825" w:rsidR="006138FC" w:rsidRPr="00B57653" w:rsidRDefault="006138FC" w:rsidP="005274AE">
      <w:pPr>
        <w:tabs>
          <w:tab w:val="left" w:pos="1276"/>
          <w:tab w:val="left" w:pos="1418"/>
          <w:tab w:val="left" w:pos="2127"/>
        </w:tabs>
        <w:rPr>
          <w:color w:val="000000" w:themeColor="text1"/>
          <w:szCs w:val="24"/>
        </w:rPr>
      </w:pPr>
      <w:r w:rsidRPr="00B57653">
        <w:rPr>
          <w:color w:val="000000" w:themeColor="text1"/>
          <w:szCs w:val="24"/>
        </w:rPr>
        <w:t>DPP</w:t>
      </w:r>
      <w:r w:rsidRPr="00B57653">
        <w:rPr>
          <w:color w:val="000000" w:themeColor="text1"/>
          <w:szCs w:val="24"/>
        </w:rPr>
        <w:tab/>
        <w:t>-</w:t>
      </w:r>
      <w:r w:rsidRPr="00B57653">
        <w:rPr>
          <w:color w:val="000000" w:themeColor="text1"/>
          <w:szCs w:val="24"/>
        </w:rPr>
        <w:tab/>
      </w:r>
      <w:r w:rsidRPr="00B57653">
        <w:rPr>
          <w:color w:val="000000" w:themeColor="text1"/>
          <w:szCs w:val="24"/>
        </w:rPr>
        <w:tab/>
        <w:t>Darbības programmas papildinājums</w:t>
      </w:r>
    </w:p>
    <w:p w14:paraId="4BE59D05" w14:textId="77777777" w:rsidR="005274AE" w:rsidRPr="00B57653" w:rsidRDefault="005274AE" w:rsidP="005274AE">
      <w:pPr>
        <w:tabs>
          <w:tab w:val="left" w:pos="1276"/>
          <w:tab w:val="left" w:pos="1418"/>
          <w:tab w:val="left" w:pos="2127"/>
        </w:tabs>
        <w:rPr>
          <w:rFonts w:eastAsia="EUAlbertina-Bold-Identity-H"/>
          <w:color w:val="000000" w:themeColor="text1"/>
          <w:szCs w:val="24"/>
          <w:lang w:eastAsia="lv-LV"/>
        </w:rPr>
      </w:pPr>
      <w:r w:rsidRPr="00B57653">
        <w:rPr>
          <w:rFonts w:eastAsia="EUAlbertina-Bold-Identity-H"/>
          <w:color w:val="000000" w:themeColor="text1"/>
          <w:szCs w:val="24"/>
          <w:lang w:eastAsia="lv-LV"/>
        </w:rPr>
        <w:t>EEZ</w:t>
      </w:r>
      <w:r w:rsidRPr="00B57653">
        <w:rPr>
          <w:rFonts w:eastAsia="EUAlbertina-Bold-Identity-H"/>
          <w:color w:val="000000" w:themeColor="text1"/>
          <w:szCs w:val="24"/>
          <w:lang w:eastAsia="lv-LV"/>
        </w:rPr>
        <w:tab/>
        <w:t xml:space="preserve">- </w:t>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t>Eiropas Ekonomikas zona</w:t>
      </w:r>
    </w:p>
    <w:p w14:paraId="42C5ABA6" w14:textId="77777777" w:rsidR="005274AE" w:rsidRPr="00B57653" w:rsidRDefault="005274AE" w:rsidP="005274AE">
      <w:pPr>
        <w:tabs>
          <w:tab w:val="left" w:pos="3686"/>
          <w:tab w:val="left" w:pos="3969"/>
        </w:tabs>
        <w:rPr>
          <w:rFonts w:eastAsia="EUAlbertina-Bold-Identity-H"/>
          <w:color w:val="000000" w:themeColor="text1"/>
          <w:szCs w:val="24"/>
          <w:lang w:eastAsia="lv-LV"/>
        </w:rPr>
      </w:pPr>
      <w:r w:rsidRPr="00B57653">
        <w:rPr>
          <w:rFonts w:eastAsia="EUAlbertina-Bold-Identity-H"/>
          <w:color w:val="000000" w:themeColor="text1"/>
          <w:szCs w:val="24"/>
          <w:lang w:eastAsia="lv-LV"/>
        </w:rPr>
        <w:t xml:space="preserve">EEZ/Norvēģijas finanšu instrumenti – 2009. – 2014.gada perioda Eiropas Ekonomikas </w:t>
      </w:r>
    </w:p>
    <w:p w14:paraId="3456C92F" w14:textId="77777777" w:rsidR="005274AE" w:rsidRPr="00B57653" w:rsidRDefault="005274AE" w:rsidP="005274AE">
      <w:pPr>
        <w:tabs>
          <w:tab w:val="left" w:pos="3686"/>
          <w:tab w:val="left" w:pos="3969"/>
        </w:tabs>
        <w:rPr>
          <w:rFonts w:eastAsia="EUAlbertina-Bold-Identity-H"/>
          <w:color w:val="000000" w:themeColor="text1"/>
          <w:szCs w:val="24"/>
          <w:lang w:eastAsia="lv-LV"/>
        </w:rPr>
      </w:pPr>
      <w:r w:rsidRPr="00B57653">
        <w:rPr>
          <w:rFonts w:eastAsia="EUAlbertina-Bold-Identity-H"/>
          <w:color w:val="000000" w:themeColor="text1"/>
          <w:szCs w:val="24"/>
          <w:lang w:eastAsia="lv-LV"/>
        </w:rPr>
        <w:tab/>
        <w:t>zonas finanšu instruments un Norvēģijas finanšu</w:t>
      </w:r>
    </w:p>
    <w:p w14:paraId="0070EDAA" w14:textId="77777777" w:rsidR="005274AE" w:rsidRPr="00B57653" w:rsidRDefault="005274AE" w:rsidP="005274AE">
      <w:pPr>
        <w:tabs>
          <w:tab w:val="left" w:pos="3686"/>
          <w:tab w:val="left" w:pos="3969"/>
        </w:tabs>
        <w:rPr>
          <w:rFonts w:eastAsia="EUAlbertina-Bold-Identity-H"/>
          <w:color w:val="000000" w:themeColor="text1"/>
          <w:szCs w:val="24"/>
          <w:lang w:eastAsia="lv-LV"/>
        </w:rPr>
      </w:pPr>
      <w:r w:rsidRPr="00B57653">
        <w:rPr>
          <w:rFonts w:eastAsia="EUAlbertina-Bold-Identity-H"/>
          <w:color w:val="000000" w:themeColor="text1"/>
          <w:szCs w:val="24"/>
          <w:lang w:eastAsia="lv-LV"/>
        </w:rPr>
        <w:tab/>
        <w:t>instruments</w:t>
      </w:r>
    </w:p>
    <w:p w14:paraId="075A4138" w14:textId="77777777" w:rsidR="005274AE" w:rsidRPr="00B57653" w:rsidRDefault="005274AE" w:rsidP="005274AE">
      <w:pPr>
        <w:tabs>
          <w:tab w:val="left" w:pos="1276"/>
          <w:tab w:val="left" w:pos="1418"/>
          <w:tab w:val="left" w:pos="2127"/>
        </w:tabs>
        <w:rPr>
          <w:rFonts w:eastAsia="EUAlbertina-Bold-Identity-H"/>
          <w:color w:val="000000" w:themeColor="text1"/>
          <w:szCs w:val="24"/>
          <w:lang w:eastAsia="lv-LV"/>
        </w:rPr>
      </w:pPr>
      <w:r w:rsidRPr="00B57653">
        <w:rPr>
          <w:rFonts w:eastAsia="EUAlbertina-Bold-Identity-H"/>
          <w:color w:val="000000" w:themeColor="text1"/>
          <w:szCs w:val="24"/>
          <w:lang w:eastAsia="lv-LV"/>
        </w:rPr>
        <w:t>EK</w:t>
      </w:r>
      <w:r w:rsidRPr="00B57653">
        <w:rPr>
          <w:rFonts w:eastAsia="EUAlbertina-Bold-Identity-H"/>
          <w:color w:val="000000" w:themeColor="text1"/>
          <w:szCs w:val="24"/>
          <w:lang w:eastAsia="lv-LV"/>
        </w:rPr>
        <w:tab/>
        <w:t xml:space="preserve">- </w:t>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t>Eiropas Komisija</w:t>
      </w:r>
    </w:p>
    <w:p w14:paraId="2C84A623" w14:textId="77777777" w:rsidR="005274AE" w:rsidRPr="00B57653" w:rsidRDefault="005274AE" w:rsidP="005274AE">
      <w:pPr>
        <w:tabs>
          <w:tab w:val="left" w:pos="1276"/>
          <w:tab w:val="left" w:pos="1418"/>
          <w:tab w:val="left" w:pos="2127"/>
        </w:tabs>
        <w:rPr>
          <w:color w:val="000000" w:themeColor="text1"/>
          <w:szCs w:val="24"/>
        </w:rPr>
      </w:pPr>
      <w:r w:rsidRPr="00B57653">
        <w:rPr>
          <w:color w:val="000000" w:themeColor="text1"/>
          <w:szCs w:val="24"/>
        </w:rPr>
        <w:t>ERAF</w:t>
      </w:r>
      <w:r w:rsidRPr="00B57653">
        <w:rPr>
          <w:color w:val="000000" w:themeColor="text1"/>
          <w:szCs w:val="24"/>
        </w:rPr>
        <w:tab/>
        <w:t xml:space="preserve">- </w:t>
      </w:r>
      <w:r w:rsidRPr="00B57653">
        <w:rPr>
          <w:color w:val="000000" w:themeColor="text1"/>
          <w:szCs w:val="24"/>
        </w:rPr>
        <w:tab/>
      </w:r>
      <w:r w:rsidRPr="00B57653">
        <w:rPr>
          <w:color w:val="000000" w:themeColor="text1"/>
          <w:szCs w:val="24"/>
        </w:rPr>
        <w:tab/>
        <w:t>Eiropas Reģionālās attīstības fonds</w:t>
      </w:r>
    </w:p>
    <w:p w14:paraId="77E652CF" w14:textId="77777777" w:rsidR="005274AE" w:rsidRPr="00B57653" w:rsidRDefault="005274AE" w:rsidP="005274AE">
      <w:pPr>
        <w:tabs>
          <w:tab w:val="left" w:pos="1276"/>
          <w:tab w:val="left" w:pos="1418"/>
          <w:tab w:val="left" w:pos="2127"/>
        </w:tabs>
        <w:rPr>
          <w:color w:val="000000" w:themeColor="text1"/>
          <w:szCs w:val="24"/>
        </w:rPr>
      </w:pPr>
      <w:r w:rsidRPr="00B57653">
        <w:rPr>
          <w:color w:val="000000" w:themeColor="text1"/>
          <w:szCs w:val="24"/>
        </w:rPr>
        <w:t>ES</w:t>
      </w:r>
      <w:r w:rsidRPr="00B57653">
        <w:rPr>
          <w:color w:val="000000" w:themeColor="text1"/>
          <w:szCs w:val="24"/>
        </w:rPr>
        <w:tab/>
        <w:t xml:space="preserve">- </w:t>
      </w:r>
      <w:r w:rsidRPr="00B57653">
        <w:rPr>
          <w:color w:val="000000" w:themeColor="text1"/>
          <w:szCs w:val="24"/>
        </w:rPr>
        <w:tab/>
      </w:r>
      <w:r w:rsidRPr="00B57653">
        <w:rPr>
          <w:color w:val="000000" w:themeColor="text1"/>
          <w:szCs w:val="24"/>
        </w:rPr>
        <w:tab/>
        <w:t>Eiropas Savienība</w:t>
      </w:r>
    </w:p>
    <w:p w14:paraId="5A03B955" w14:textId="77777777" w:rsidR="005274AE" w:rsidRPr="00B57653" w:rsidRDefault="005274AE" w:rsidP="005274AE">
      <w:pPr>
        <w:tabs>
          <w:tab w:val="left" w:pos="1276"/>
          <w:tab w:val="left" w:pos="1418"/>
          <w:tab w:val="left" w:pos="2127"/>
        </w:tabs>
        <w:rPr>
          <w:rFonts w:eastAsia="EUAlbertina-Bold-Identity-H"/>
          <w:color w:val="000000" w:themeColor="text1"/>
          <w:szCs w:val="24"/>
          <w:lang w:eastAsia="lv-LV"/>
        </w:rPr>
      </w:pPr>
      <w:r w:rsidRPr="00B57653">
        <w:rPr>
          <w:rFonts w:eastAsia="EUAlbertina-Bold-Identity-H"/>
          <w:color w:val="000000" w:themeColor="text1"/>
          <w:szCs w:val="24"/>
          <w:lang w:eastAsia="lv-LV"/>
        </w:rPr>
        <w:t>ESF</w:t>
      </w:r>
      <w:r w:rsidRPr="00B57653">
        <w:rPr>
          <w:rFonts w:eastAsia="EUAlbertina-Bold-Identity-H"/>
          <w:color w:val="000000" w:themeColor="text1"/>
          <w:szCs w:val="24"/>
          <w:lang w:eastAsia="lv-LV"/>
        </w:rPr>
        <w:tab/>
        <w:t xml:space="preserve">- </w:t>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t>Eiropas Sociālais fonds</w:t>
      </w:r>
    </w:p>
    <w:p w14:paraId="5BE9EA4A" w14:textId="77777777" w:rsidR="005274AE" w:rsidRPr="00B57653" w:rsidRDefault="005274AE" w:rsidP="005274AE">
      <w:pPr>
        <w:tabs>
          <w:tab w:val="left" w:pos="1276"/>
          <w:tab w:val="left" w:pos="1418"/>
          <w:tab w:val="left" w:pos="2127"/>
        </w:tabs>
        <w:rPr>
          <w:rFonts w:eastAsia="EUAlbertina-Bold-Identity-H"/>
          <w:color w:val="000000" w:themeColor="text1"/>
          <w:szCs w:val="24"/>
          <w:lang w:eastAsia="lv-LV"/>
        </w:rPr>
      </w:pPr>
      <w:r w:rsidRPr="00B57653">
        <w:rPr>
          <w:color w:val="000000" w:themeColor="text1"/>
          <w:szCs w:val="24"/>
        </w:rPr>
        <w:t>ES fondi</w:t>
      </w:r>
      <w:r w:rsidRPr="00B57653">
        <w:rPr>
          <w:color w:val="000000" w:themeColor="text1"/>
          <w:szCs w:val="24"/>
        </w:rPr>
        <w:tab/>
        <w:t xml:space="preserve">- </w:t>
      </w:r>
      <w:r w:rsidRPr="00B57653">
        <w:rPr>
          <w:color w:val="000000" w:themeColor="text1"/>
          <w:szCs w:val="24"/>
        </w:rPr>
        <w:tab/>
      </w:r>
      <w:r w:rsidRPr="00B57653">
        <w:rPr>
          <w:color w:val="000000" w:themeColor="text1"/>
          <w:szCs w:val="24"/>
        </w:rPr>
        <w:tab/>
      </w:r>
      <w:r w:rsidRPr="00B57653">
        <w:rPr>
          <w:rFonts w:eastAsia="EUAlbertina-Bold-Identity-H"/>
          <w:color w:val="000000" w:themeColor="text1"/>
          <w:szCs w:val="24"/>
          <w:lang w:eastAsia="lv-LV"/>
        </w:rPr>
        <w:t>2007. – 2013.g. plānošanas perioda 1.mērķa</w:t>
      </w:r>
      <w:r w:rsidRPr="00B57653">
        <w:rPr>
          <w:rStyle w:val="FootnoteReference"/>
          <w:rFonts w:eastAsia="EUAlbertina-Bold-Identity-H"/>
          <w:color w:val="000000" w:themeColor="text1"/>
          <w:szCs w:val="24"/>
          <w:lang w:eastAsia="lv-LV"/>
        </w:rPr>
        <w:footnoteReference w:id="1"/>
      </w:r>
      <w:r w:rsidRPr="00B57653">
        <w:rPr>
          <w:rFonts w:eastAsia="EUAlbertina-Bold-Identity-H"/>
          <w:color w:val="000000" w:themeColor="text1"/>
          <w:szCs w:val="24"/>
          <w:lang w:eastAsia="lv-LV"/>
        </w:rPr>
        <w:t xml:space="preserve"> Eiropas Sociālais</w:t>
      </w:r>
    </w:p>
    <w:p w14:paraId="37CDEEC0" w14:textId="77777777" w:rsidR="005274AE" w:rsidRPr="00B57653" w:rsidRDefault="005274AE" w:rsidP="005274AE">
      <w:pPr>
        <w:tabs>
          <w:tab w:val="left" w:pos="1276"/>
          <w:tab w:val="left" w:pos="1418"/>
          <w:tab w:val="left" w:pos="2127"/>
        </w:tabs>
        <w:rPr>
          <w:rFonts w:eastAsia="EUAlbertina-Bold-Identity-H"/>
          <w:color w:val="000000" w:themeColor="text1"/>
          <w:szCs w:val="24"/>
          <w:lang w:eastAsia="lv-LV"/>
        </w:rPr>
      </w:pP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t xml:space="preserve">fonds, </w:t>
      </w:r>
      <w:r w:rsidRPr="00B57653">
        <w:rPr>
          <w:color w:val="000000" w:themeColor="text1"/>
          <w:szCs w:val="24"/>
        </w:rPr>
        <w:t>Eiropas Reģionālās attīstības fonds</w:t>
      </w:r>
      <w:r w:rsidRPr="00B57653">
        <w:rPr>
          <w:rFonts w:eastAsia="EUAlbertina-Bold-Identity-H"/>
          <w:color w:val="000000" w:themeColor="text1"/>
          <w:szCs w:val="24"/>
          <w:lang w:eastAsia="lv-LV"/>
        </w:rPr>
        <w:t xml:space="preserve"> un Kohēzijas fonds</w:t>
      </w:r>
    </w:p>
    <w:p w14:paraId="724D1BBB" w14:textId="77777777" w:rsidR="005274AE" w:rsidRPr="00B57653" w:rsidRDefault="005274AE" w:rsidP="005274AE">
      <w:pPr>
        <w:tabs>
          <w:tab w:val="left" w:pos="1276"/>
          <w:tab w:val="left" w:pos="1418"/>
          <w:tab w:val="left" w:pos="2127"/>
        </w:tabs>
        <w:rPr>
          <w:rFonts w:eastAsia="EUAlbertina-Bold-Identity-H"/>
          <w:color w:val="000000" w:themeColor="text1"/>
          <w:szCs w:val="24"/>
          <w:lang w:eastAsia="lv-LV"/>
        </w:rPr>
      </w:pPr>
      <w:r w:rsidRPr="00B57653">
        <w:rPr>
          <w:rFonts w:eastAsia="EUAlbertina-Bold-Identity-H"/>
          <w:color w:val="000000" w:themeColor="text1"/>
          <w:szCs w:val="24"/>
          <w:lang w:eastAsia="lv-LV"/>
        </w:rPr>
        <w:t>EM</w:t>
      </w:r>
      <w:r w:rsidRPr="00B57653">
        <w:rPr>
          <w:rFonts w:eastAsia="EUAlbertina-Bold-Identity-H"/>
          <w:color w:val="000000" w:themeColor="text1"/>
          <w:szCs w:val="24"/>
          <w:lang w:eastAsia="lv-LV"/>
        </w:rPr>
        <w:tab/>
        <w:t xml:space="preserve">- </w:t>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t>Ekonomikas ministrija</w:t>
      </w:r>
    </w:p>
    <w:p w14:paraId="132DC8ED" w14:textId="77777777" w:rsidR="005274AE" w:rsidRPr="00B57653" w:rsidRDefault="005274AE" w:rsidP="005274AE">
      <w:pPr>
        <w:tabs>
          <w:tab w:val="left" w:pos="1276"/>
          <w:tab w:val="left" w:pos="1418"/>
          <w:tab w:val="left" w:pos="2127"/>
        </w:tabs>
        <w:rPr>
          <w:rFonts w:eastAsia="EUAlbertina-Bold-Identity-H"/>
          <w:color w:val="000000" w:themeColor="text1"/>
          <w:szCs w:val="24"/>
          <w:lang w:eastAsia="lv-LV"/>
        </w:rPr>
      </w:pPr>
      <w:r w:rsidRPr="00B57653">
        <w:rPr>
          <w:rFonts w:eastAsia="EUAlbertina-Bold-Identity-H"/>
          <w:color w:val="000000" w:themeColor="text1"/>
          <w:szCs w:val="24"/>
          <w:lang w:eastAsia="lv-LV"/>
        </w:rPr>
        <w:t>FM</w:t>
      </w:r>
      <w:r w:rsidRPr="00B57653">
        <w:rPr>
          <w:rFonts w:eastAsia="EUAlbertina-Bold-Identity-H"/>
          <w:color w:val="000000" w:themeColor="text1"/>
          <w:szCs w:val="24"/>
          <w:lang w:eastAsia="lv-LV"/>
        </w:rPr>
        <w:tab/>
        <w:t xml:space="preserve">- </w:t>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t>Finanšu ministrija</w:t>
      </w:r>
    </w:p>
    <w:p w14:paraId="5E81E677" w14:textId="77777777" w:rsidR="005274AE" w:rsidRPr="00B57653" w:rsidRDefault="005274AE" w:rsidP="005274AE">
      <w:pPr>
        <w:tabs>
          <w:tab w:val="left" w:pos="1276"/>
          <w:tab w:val="left" w:pos="1418"/>
          <w:tab w:val="left" w:pos="2127"/>
        </w:tabs>
        <w:rPr>
          <w:rFonts w:eastAsia="EUAlbertina-Bold-Identity-H"/>
          <w:color w:val="000000" w:themeColor="text1"/>
          <w:szCs w:val="24"/>
          <w:lang w:eastAsia="lv-LV"/>
        </w:rPr>
      </w:pPr>
      <w:r w:rsidRPr="00B57653">
        <w:rPr>
          <w:rFonts w:eastAsia="EUAlbertina-Bold-Identity-H"/>
          <w:color w:val="000000" w:themeColor="text1"/>
          <w:szCs w:val="24"/>
          <w:lang w:eastAsia="lv-LV"/>
        </w:rPr>
        <w:t>IKP</w:t>
      </w:r>
      <w:r w:rsidRPr="00B57653">
        <w:rPr>
          <w:rFonts w:eastAsia="EUAlbertina-Bold-Identity-H"/>
          <w:color w:val="000000" w:themeColor="text1"/>
          <w:szCs w:val="24"/>
          <w:lang w:eastAsia="lv-LV"/>
        </w:rPr>
        <w:tab/>
        <w:t xml:space="preserve">- </w:t>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t>Iekšzemes kopprodukts</w:t>
      </w:r>
      <w:r w:rsidRPr="00B57653">
        <w:rPr>
          <w:rFonts w:eastAsia="EUAlbertina-Bold-Identity-H"/>
          <w:color w:val="000000" w:themeColor="text1"/>
          <w:szCs w:val="24"/>
          <w:lang w:eastAsia="lv-LV"/>
        </w:rPr>
        <w:tab/>
      </w:r>
    </w:p>
    <w:p w14:paraId="3873502D" w14:textId="77777777" w:rsidR="005274AE" w:rsidRPr="00B57653" w:rsidRDefault="005274AE" w:rsidP="005274AE">
      <w:pPr>
        <w:tabs>
          <w:tab w:val="left" w:pos="1276"/>
          <w:tab w:val="left" w:pos="1418"/>
          <w:tab w:val="left" w:pos="2127"/>
        </w:tabs>
        <w:rPr>
          <w:rFonts w:eastAsia="EUAlbertina-Bold-Identity-H"/>
          <w:color w:val="000000" w:themeColor="text1"/>
          <w:szCs w:val="24"/>
          <w:lang w:eastAsia="lv-LV"/>
        </w:rPr>
      </w:pPr>
      <w:r w:rsidRPr="00B57653">
        <w:rPr>
          <w:color w:val="000000" w:themeColor="text1"/>
          <w:szCs w:val="24"/>
        </w:rPr>
        <w:t>IUB</w:t>
      </w:r>
      <w:r w:rsidRPr="00B57653">
        <w:rPr>
          <w:color w:val="000000" w:themeColor="text1"/>
          <w:szCs w:val="24"/>
        </w:rPr>
        <w:tab/>
        <w:t>-</w:t>
      </w:r>
      <w:r w:rsidRPr="00B57653">
        <w:rPr>
          <w:color w:val="000000" w:themeColor="text1"/>
          <w:szCs w:val="24"/>
        </w:rPr>
        <w:tab/>
      </w:r>
      <w:r w:rsidRPr="00B57653">
        <w:rPr>
          <w:color w:val="000000" w:themeColor="text1"/>
          <w:szCs w:val="24"/>
        </w:rPr>
        <w:tab/>
        <w:t>Iepirkumu uzraudzības birojs</w:t>
      </w:r>
    </w:p>
    <w:p w14:paraId="3AD7AC3C" w14:textId="77777777" w:rsidR="005274AE" w:rsidRPr="00B57653" w:rsidRDefault="005274AE" w:rsidP="005274AE">
      <w:pPr>
        <w:tabs>
          <w:tab w:val="left" w:pos="1276"/>
          <w:tab w:val="left" w:pos="1418"/>
          <w:tab w:val="left" w:pos="2127"/>
        </w:tabs>
        <w:rPr>
          <w:color w:val="000000" w:themeColor="text1"/>
          <w:szCs w:val="24"/>
        </w:rPr>
      </w:pPr>
      <w:r w:rsidRPr="00B57653">
        <w:rPr>
          <w:rFonts w:eastAsia="EUAlbertina-Bold-Identity-H"/>
          <w:color w:val="000000" w:themeColor="text1"/>
          <w:szCs w:val="24"/>
          <w:lang w:eastAsia="lv-LV"/>
        </w:rPr>
        <w:t>IZM</w:t>
      </w:r>
      <w:r w:rsidRPr="00B57653">
        <w:rPr>
          <w:rFonts w:eastAsia="EUAlbertina-Bold-Identity-H"/>
          <w:color w:val="000000" w:themeColor="text1"/>
          <w:szCs w:val="24"/>
          <w:lang w:eastAsia="lv-LV"/>
        </w:rPr>
        <w:tab/>
        <w:t xml:space="preserve">- </w:t>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r>
      <w:r w:rsidRPr="00B57653">
        <w:rPr>
          <w:color w:val="000000" w:themeColor="text1"/>
          <w:szCs w:val="24"/>
        </w:rPr>
        <w:t>Izglītības un zinātnes ministrija</w:t>
      </w:r>
    </w:p>
    <w:p w14:paraId="7EF7441F" w14:textId="77777777" w:rsidR="005274AE" w:rsidRPr="00B57653" w:rsidRDefault="005274AE" w:rsidP="005274AE">
      <w:pPr>
        <w:tabs>
          <w:tab w:val="left" w:pos="1276"/>
          <w:tab w:val="left" w:pos="1418"/>
          <w:tab w:val="left" w:pos="2127"/>
        </w:tabs>
        <w:rPr>
          <w:color w:val="000000" w:themeColor="text1"/>
          <w:szCs w:val="24"/>
        </w:rPr>
      </w:pPr>
      <w:r w:rsidRPr="00B57653">
        <w:rPr>
          <w:color w:val="000000" w:themeColor="text1"/>
          <w:szCs w:val="24"/>
        </w:rPr>
        <w:t>KDG</w:t>
      </w:r>
      <w:r w:rsidRPr="00B57653">
        <w:rPr>
          <w:color w:val="000000" w:themeColor="text1"/>
          <w:szCs w:val="24"/>
        </w:rPr>
        <w:tab/>
        <w:t>-</w:t>
      </w:r>
      <w:r w:rsidRPr="00B57653">
        <w:rPr>
          <w:color w:val="000000" w:themeColor="text1"/>
          <w:szCs w:val="24"/>
        </w:rPr>
        <w:tab/>
      </w:r>
      <w:r w:rsidRPr="00B57653">
        <w:rPr>
          <w:color w:val="000000" w:themeColor="text1"/>
          <w:szCs w:val="24"/>
        </w:rPr>
        <w:tab/>
        <w:t>Koalīcijas darba grupa</w:t>
      </w:r>
    </w:p>
    <w:p w14:paraId="6EFD60A8" w14:textId="77777777" w:rsidR="005274AE" w:rsidRPr="00B57653" w:rsidRDefault="005274AE" w:rsidP="005274AE">
      <w:pPr>
        <w:tabs>
          <w:tab w:val="left" w:pos="1276"/>
          <w:tab w:val="left" w:pos="1418"/>
          <w:tab w:val="left" w:pos="2127"/>
        </w:tabs>
        <w:rPr>
          <w:color w:val="000000" w:themeColor="text1"/>
          <w:szCs w:val="24"/>
        </w:rPr>
      </w:pPr>
      <w:r w:rsidRPr="00B57653">
        <w:rPr>
          <w:color w:val="000000" w:themeColor="text1"/>
          <w:szCs w:val="24"/>
        </w:rPr>
        <w:t>KF</w:t>
      </w:r>
      <w:r w:rsidRPr="00B57653">
        <w:rPr>
          <w:color w:val="000000" w:themeColor="text1"/>
          <w:szCs w:val="24"/>
        </w:rPr>
        <w:tab/>
        <w:t xml:space="preserve">- </w:t>
      </w:r>
      <w:r w:rsidRPr="00B57653">
        <w:rPr>
          <w:color w:val="000000" w:themeColor="text1"/>
          <w:szCs w:val="24"/>
        </w:rPr>
        <w:tab/>
      </w:r>
      <w:r w:rsidRPr="00B57653">
        <w:rPr>
          <w:color w:val="000000" w:themeColor="text1"/>
          <w:szCs w:val="24"/>
        </w:rPr>
        <w:tab/>
        <w:t>Kohēzijas fonds</w:t>
      </w:r>
    </w:p>
    <w:p w14:paraId="0971EF91" w14:textId="77777777" w:rsidR="005274AE" w:rsidRPr="00B57653" w:rsidRDefault="005274AE" w:rsidP="005274AE">
      <w:pPr>
        <w:tabs>
          <w:tab w:val="left" w:pos="1276"/>
          <w:tab w:val="left" w:pos="1418"/>
          <w:tab w:val="left" w:pos="2127"/>
        </w:tabs>
        <w:rPr>
          <w:color w:val="000000" w:themeColor="text1"/>
          <w:szCs w:val="24"/>
        </w:rPr>
      </w:pPr>
      <w:r w:rsidRPr="00B57653">
        <w:rPr>
          <w:color w:val="000000" w:themeColor="text1"/>
          <w:szCs w:val="24"/>
        </w:rPr>
        <w:t>KM</w:t>
      </w:r>
      <w:r w:rsidRPr="00B57653">
        <w:rPr>
          <w:color w:val="000000" w:themeColor="text1"/>
          <w:szCs w:val="24"/>
        </w:rPr>
        <w:tab/>
        <w:t xml:space="preserve">- </w:t>
      </w:r>
      <w:r w:rsidRPr="00B57653">
        <w:rPr>
          <w:color w:val="000000" w:themeColor="text1"/>
          <w:szCs w:val="24"/>
        </w:rPr>
        <w:tab/>
      </w:r>
      <w:r w:rsidRPr="00B57653">
        <w:rPr>
          <w:color w:val="000000" w:themeColor="text1"/>
          <w:szCs w:val="24"/>
        </w:rPr>
        <w:tab/>
        <w:t>Kultūras ministrija</w:t>
      </w:r>
    </w:p>
    <w:p w14:paraId="73003BC1" w14:textId="77777777" w:rsidR="005274AE" w:rsidRPr="00B57653" w:rsidRDefault="005274AE" w:rsidP="005274AE">
      <w:pPr>
        <w:tabs>
          <w:tab w:val="left" w:pos="1276"/>
          <w:tab w:val="left" w:pos="1418"/>
          <w:tab w:val="left" w:pos="2127"/>
        </w:tabs>
        <w:rPr>
          <w:color w:val="000000" w:themeColor="text1"/>
          <w:szCs w:val="24"/>
        </w:rPr>
      </w:pPr>
      <w:r w:rsidRPr="00B57653">
        <w:rPr>
          <w:color w:val="000000" w:themeColor="text1"/>
          <w:szCs w:val="24"/>
        </w:rPr>
        <w:t>JASPERS</w:t>
      </w:r>
      <w:r w:rsidRPr="00B57653">
        <w:rPr>
          <w:color w:val="000000" w:themeColor="text1"/>
          <w:szCs w:val="24"/>
        </w:rPr>
        <w:tab/>
        <w:t>-</w:t>
      </w:r>
      <w:r w:rsidRPr="00B57653">
        <w:rPr>
          <w:color w:val="000000" w:themeColor="text1"/>
          <w:szCs w:val="24"/>
        </w:rPr>
        <w:tab/>
      </w:r>
      <w:r w:rsidRPr="00B57653">
        <w:rPr>
          <w:color w:val="000000" w:themeColor="text1"/>
          <w:szCs w:val="24"/>
        </w:rPr>
        <w:tab/>
        <w:t xml:space="preserve">Joint Assistance to Support Projects in European Regions </w:t>
      </w:r>
    </w:p>
    <w:p w14:paraId="6B015026" w14:textId="77777777" w:rsidR="005274AE" w:rsidRPr="00B57653" w:rsidRDefault="005274AE" w:rsidP="005274AE">
      <w:pPr>
        <w:tabs>
          <w:tab w:val="left" w:pos="1276"/>
          <w:tab w:val="left" w:pos="1418"/>
          <w:tab w:val="left" w:pos="2127"/>
        </w:tabs>
        <w:rPr>
          <w:color w:val="000000" w:themeColor="text1"/>
          <w:szCs w:val="24"/>
        </w:rPr>
      </w:pPr>
      <w:r w:rsidRPr="00B57653">
        <w:rPr>
          <w:color w:val="000000" w:themeColor="text1"/>
          <w:szCs w:val="24"/>
        </w:rPr>
        <w:tab/>
      </w:r>
      <w:r w:rsidRPr="00B57653">
        <w:rPr>
          <w:color w:val="000000" w:themeColor="text1"/>
          <w:szCs w:val="24"/>
        </w:rPr>
        <w:tab/>
      </w:r>
      <w:r w:rsidRPr="00B57653">
        <w:rPr>
          <w:color w:val="000000" w:themeColor="text1"/>
          <w:szCs w:val="24"/>
        </w:rPr>
        <w:tab/>
        <w:t>(Kopējā palīdzība projektu sagatavošanai Eiropas reģionos)</w:t>
      </w:r>
    </w:p>
    <w:p w14:paraId="2C6CB785" w14:textId="77777777" w:rsidR="005274AE" w:rsidRPr="00B57653" w:rsidRDefault="005274AE" w:rsidP="005274AE">
      <w:pPr>
        <w:tabs>
          <w:tab w:val="left" w:pos="1276"/>
          <w:tab w:val="left" w:pos="1418"/>
          <w:tab w:val="left" w:pos="2127"/>
        </w:tabs>
        <w:rPr>
          <w:rFonts w:eastAsia="EUAlbertina-Bold-Identity-H"/>
          <w:color w:val="000000" w:themeColor="text1"/>
          <w:szCs w:val="24"/>
          <w:lang w:eastAsia="lv-LV"/>
        </w:rPr>
      </w:pPr>
      <w:r w:rsidRPr="00B57653">
        <w:rPr>
          <w:color w:val="000000" w:themeColor="text1"/>
          <w:szCs w:val="24"/>
        </w:rPr>
        <w:t>LIAA</w:t>
      </w:r>
      <w:r w:rsidRPr="00B57653">
        <w:rPr>
          <w:color w:val="000000" w:themeColor="text1"/>
          <w:szCs w:val="24"/>
        </w:rPr>
        <w:tab/>
        <w:t xml:space="preserve">- </w:t>
      </w:r>
      <w:r w:rsidRPr="00B57653">
        <w:rPr>
          <w:color w:val="000000" w:themeColor="text1"/>
          <w:szCs w:val="24"/>
        </w:rPr>
        <w:tab/>
      </w:r>
      <w:r w:rsidRPr="00B57653">
        <w:rPr>
          <w:color w:val="000000" w:themeColor="text1"/>
          <w:szCs w:val="24"/>
        </w:rPr>
        <w:tab/>
        <w:t>Valsts aģentūra „Latvijas Investīciju un attīstības aģentūra”</w:t>
      </w:r>
    </w:p>
    <w:p w14:paraId="61C92A94" w14:textId="77777777" w:rsidR="005274AE" w:rsidRPr="00B57653" w:rsidRDefault="005274AE" w:rsidP="005274AE">
      <w:pPr>
        <w:tabs>
          <w:tab w:val="left" w:pos="1276"/>
          <w:tab w:val="left" w:pos="1418"/>
          <w:tab w:val="left" w:pos="2127"/>
        </w:tabs>
        <w:rPr>
          <w:rFonts w:eastAsia="EUAlbertina-Bold-Identity-H"/>
          <w:color w:val="000000" w:themeColor="text1"/>
          <w:szCs w:val="24"/>
          <w:lang w:eastAsia="lv-LV"/>
        </w:rPr>
      </w:pPr>
      <w:r w:rsidRPr="00B57653">
        <w:rPr>
          <w:rFonts w:eastAsia="EUAlbertina-Bold-Identity-H"/>
          <w:color w:val="000000" w:themeColor="text1"/>
          <w:szCs w:val="24"/>
          <w:lang w:eastAsia="lv-LV"/>
        </w:rPr>
        <w:t>LGA</w:t>
      </w:r>
      <w:r w:rsidRPr="00B57653">
        <w:rPr>
          <w:rFonts w:eastAsia="EUAlbertina-Bold-Identity-H"/>
          <w:color w:val="000000" w:themeColor="text1"/>
          <w:szCs w:val="24"/>
          <w:lang w:eastAsia="lv-LV"/>
        </w:rPr>
        <w:tab/>
        <w:t xml:space="preserve">- </w:t>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t xml:space="preserve">Sabiedrība ar ierobežotu atbildību „Latvijas Garantiju aģentūra” </w:t>
      </w:r>
    </w:p>
    <w:p w14:paraId="7D73519E" w14:textId="77777777" w:rsidR="005274AE" w:rsidRPr="00B57653" w:rsidRDefault="005274AE" w:rsidP="005274AE">
      <w:pPr>
        <w:tabs>
          <w:tab w:val="left" w:pos="1276"/>
          <w:tab w:val="left" w:pos="1418"/>
          <w:tab w:val="left" w:pos="2127"/>
          <w:tab w:val="left" w:pos="5556"/>
        </w:tabs>
        <w:rPr>
          <w:color w:val="000000" w:themeColor="text1"/>
          <w:szCs w:val="24"/>
        </w:rPr>
      </w:pPr>
      <w:r w:rsidRPr="00B57653">
        <w:rPr>
          <w:rFonts w:eastAsia="EUAlbertina-Bold-Identity-H"/>
          <w:color w:val="000000" w:themeColor="text1"/>
          <w:szCs w:val="24"/>
          <w:lang w:eastAsia="lv-LV"/>
        </w:rPr>
        <w:t>LM</w:t>
      </w:r>
      <w:r w:rsidRPr="00B57653">
        <w:rPr>
          <w:rFonts w:eastAsia="EUAlbertina-Bold-Identity-H"/>
          <w:color w:val="000000" w:themeColor="text1"/>
          <w:szCs w:val="24"/>
          <w:lang w:eastAsia="lv-LV"/>
        </w:rPr>
        <w:tab/>
        <w:t>-</w:t>
      </w:r>
      <w:r w:rsidRPr="00B57653">
        <w:rPr>
          <w:rFonts w:eastAsia="EUAlbertina-Bold-Identity-H"/>
          <w:color w:val="000000" w:themeColor="text1"/>
          <w:szCs w:val="24"/>
          <w:lang w:eastAsia="lv-LV"/>
        </w:rPr>
        <w:tab/>
        <w:t xml:space="preserve"> </w:t>
      </w:r>
      <w:r w:rsidRPr="00B57653">
        <w:rPr>
          <w:rFonts w:eastAsia="EUAlbertina-Bold-Identity-H"/>
          <w:color w:val="000000" w:themeColor="text1"/>
          <w:szCs w:val="24"/>
          <w:lang w:eastAsia="lv-LV"/>
        </w:rPr>
        <w:tab/>
      </w:r>
      <w:r w:rsidRPr="00B57653">
        <w:rPr>
          <w:color w:val="000000" w:themeColor="text1"/>
          <w:szCs w:val="24"/>
        </w:rPr>
        <w:t>Labklājības ministrija</w:t>
      </w:r>
      <w:r w:rsidRPr="00B57653">
        <w:rPr>
          <w:color w:val="000000" w:themeColor="text1"/>
          <w:szCs w:val="24"/>
        </w:rPr>
        <w:tab/>
      </w:r>
    </w:p>
    <w:p w14:paraId="4C0F2324" w14:textId="77777777" w:rsidR="005274AE" w:rsidRPr="00B57653" w:rsidRDefault="005274AE" w:rsidP="005274AE">
      <w:pPr>
        <w:tabs>
          <w:tab w:val="left" w:pos="1276"/>
          <w:tab w:val="left" w:pos="1418"/>
          <w:tab w:val="left" w:pos="2127"/>
        </w:tabs>
        <w:rPr>
          <w:color w:val="000000" w:themeColor="text1"/>
          <w:szCs w:val="24"/>
        </w:rPr>
      </w:pPr>
      <w:r w:rsidRPr="00B57653">
        <w:rPr>
          <w:color w:val="000000" w:themeColor="text1"/>
          <w:szCs w:val="24"/>
        </w:rPr>
        <w:t xml:space="preserve">MK </w:t>
      </w:r>
      <w:r w:rsidRPr="00B57653">
        <w:rPr>
          <w:color w:val="000000" w:themeColor="text1"/>
          <w:szCs w:val="24"/>
        </w:rPr>
        <w:tab/>
        <w:t>-</w:t>
      </w:r>
      <w:r w:rsidRPr="00B57653">
        <w:rPr>
          <w:color w:val="000000" w:themeColor="text1"/>
          <w:szCs w:val="24"/>
        </w:rPr>
        <w:tab/>
        <w:t xml:space="preserve"> </w:t>
      </w:r>
      <w:r w:rsidRPr="00B57653">
        <w:rPr>
          <w:color w:val="000000" w:themeColor="text1"/>
          <w:szCs w:val="24"/>
        </w:rPr>
        <w:tab/>
        <w:t>Ministru kabinets</w:t>
      </w:r>
    </w:p>
    <w:p w14:paraId="567697B2" w14:textId="1E1C07A4" w:rsidR="00372F2E" w:rsidRPr="00B57653" w:rsidRDefault="00372F2E" w:rsidP="005274AE">
      <w:pPr>
        <w:tabs>
          <w:tab w:val="left" w:pos="1276"/>
          <w:tab w:val="left" w:pos="1418"/>
          <w:tab w:val="left" w:pos="2127"/>
        </w:tabs>
        <w:rPr>
          <w:color w:val="000000" w:themeColor="text1"/>
          <w:szCs w:val="24"/>
        </w:rPr>
      </w:pPr>
      <w:r w:rsidRPr="00B57653">
        <w:rPr>
          <w:color w:val="000000" w:themeColor="text1"/>
          <w:szCs w:val="24"/>
        </w:rPr>
        <w:t>MVK</w:t>
      </w:r>
      <w:r w:rsidRPr="00B57653">
        <w:rPr>
          <w:color w:val="000000" w:themeColor="text1"/>
          <w:szCs w:val="24"/>
        </w:rPr>
        <w:tab/>
        <w:t>-</w:t>
      </w:r>
      <w:r w:rsidRPr="00B57653">
        <w:rPr>
          <w:color w:val="000000" w:themeColor="text1"/>
          <w:szCs w:val="24"/>
        </w:rPr>
        <w:tab/>
      </w:r>
      <w:r w:rsidRPr="00B57653">
        <w:rPr>
          <w:color w:val="000000" w:themeColor="text1"/>
          <w:szCs w:val="24"/>
        </w:rPr>
        <w:tab/>
        <w:t>Mazie un vidējie komersanti</w:t>
      </w:r>
    </w:p>
    <w:p w14:paraId="31E2588C" w14:textId="7E57905E" w:rsidR="00ED4927" w:rsidRDefault="00ED4927" w:rsidP="005274AE">
      <w:pPr>
        <w:tabs>
          <w:tab w:val="left" w:pos="1276"/>
          <w:tab w:val="left" w:pos="1418"/>
          <w:tab w:val="left" w:pos="2127"/>
        </w:tabs>
        <w:rPr>
          <w:color w:val="000000" w:themeColor="text1"/>
          <w:szCs w:val="24"/>
        </w:rPr>
      </w:pPr>
      <w:r>
        <w:rPr>
          <w:color w:val="000000" w:themeColor="text1"/>
          <w:szCs w:val="24"/>
        </w:rPr>
        <w:t xml:space="preserve">NVA            </w:t>
      </w:r>
      <w:r w:rsidRPr="00B57653">
        <w:rPr>
          <w:color w:val="000000" w:themeColor="text1"/>
          <w:szCs w:val="24"/>
        </w:rPr>
        <w:t>-</w:t>
      </w:r>
      <w:r>
        <w:rPr>
          <w:color w:val="000000" w:themeColor="text1"/>
          <w:szCs w:val="24"/>
        </w:rPr>
        <w:t xml:space="preserve">             Nodarbinātības valsts aģentūra</w:t>
      </w:r>
    </w:p>
    <w:p w14:paraId="011FC1AE" w14:textId="77777777" w:rsidR="005C4E2A" w:rsidRDefault="005274AE" w:rsidP="005274AE">
      <w:pPr>
        <w:tabs>
          <w:tab w:val="left" w:pos="1276"/>
          <w:tab w:val="left" w:pos="1418"/>
          <w:tab w:val="left" w:pos="2127"/>
        </w:tabs>
        <w:rPr>
          <w:color w:val="000000" w:themeColor="text1"/>
          <w:szCs w:val="24"/>
        </w:rPr>
      </w:pPr>
      <w:r w:rsidRPr="00B57653">
        <w:rPr>
          <w:color w:val="000000" w:themeColor="text1"/>
          <w:szCs w:val="24"/>
        </w:rPr>
        <w:t>NVO</w:t>
      </w:r>
      <w:r w:rsidRPr="00B57653">
        <w:rPr>
          <w:color w:val="000000" w:themeColor="text1"/>
          <w:szCs w:val="24"/>
        </w:rPr>
        <w:tab/>
        <w:t xml:space="preserve">- </w:t>
      </w:r>
      <w:r w:rsidRPr="00B57653">
        <w:rPr>
          <w:color w:val="000000" w:themeColor="text1"/>
          <w:szCs w:val="24"/>
        </w:rPr>
        <w:tab/>
      </w:r>
      <w:r w:rsidRPr="00B57653">
        <w:rPr>
          <w:color w:val="000000" w:themeColor="text1"/>
          <w:szCs w:val="24"/>
        </w:rPr>
        <w:tab/>
        <w:t>Nevalstiskā organizācija</w:t>
      </w:r>
    </w:p>
    <w:p w14:paraId="2A982932" w14:textId="3A55D261" w:rsidR="005274AE" w:rsidRPr="00B57653" w:rsidRDefault="005274AE" w:rsidP="005274AE">
      <w:pPr>
        <w:tabs>
          <w:tab w:val="left" w:pos="1276"/>
          <w:tab w:val="left" w:pos="1418"/>
          <w:tab w:val="left" w:pos="2127"/>
        </w:tabs>
        <w:rPr>
          <w:color w:val="000000" w:themeColor="text1"/>
          <w:szCs w:val="24"/>
        </w:rPr>
      </w:pPr>
      <w:r w:rsidRPr="00B57653">
        <w:rPr>
          <w:color w:val="000000" w:themeColor="text1"/>
          <w:szCs w:val="24"/>
        </w:rPr>
        <w:t>P&amp;A</w:t>
      </w:r>
      <w:r w:rsidRPr="00B57653">
        <w:rPr>
          <w:color w:val="000000" w:themeColor="text1"/>
          <w:szCs w:val="24"/>
        </w:rPr>
        <w:tab/>
        <w:t>-</w:t>
      </w:r>
      <w:r w:rsidRPr="00B57653">
        <w:rPr>
          <w:color w:val="000000" w:themeColor="text1"/>
          <w:szCs w:val="24"/>
        </w:rPr>
        <w:tab/>
      </w:r>
      <w:r w:rsidRPr="00B57653">
        <w:rPr>
          <w:color w:val="000000" w:themeColor="text1"/>
          <w:szCs w:val="24"/>
        </w:rPr>
        <w:tab/>
        <w:t>Pētniecība un attīstība</w:t>
      </w:r>
    </w:p>
    <w:p w14:paraId="2A71319E" w14:textId="77777777" w:rsidR="005274AE" w:rsidRPr="00B57653" w:rsidRDefault="005274AE" w:rsidP="005274AE">
      <w:pPr>
        <w:tabs>
          <w:tab w:val="left" w:pos="1276"/>
          <w:tab w:val="left" w:pos="1418"/>
          <w:tab w:val="left" w:pos="2127"/>
        </w:tabs>
        <w:rPr>
          <w:color w:val="000000" w:themeColor="text1"/>
          <w:szCs w:val="24"/>
        </w:rPr>
      </w:pPr>
      <w:r w:rsidRPr="00B57653">
        <w:rPr>
          <w:color w:val="000000" w:themeColor="text1"/>
          <w:szCs w:val="24"/>
        </w:rPr>
        <w:t>PPIV</w:t>
      </w:r>
      <w:r w:rsidRPr="00B57653">
        <w:rPr>
          <w:color w:val="000000" w:themeColor="text1"/>
          <w:szCs w:val="24"/>
        </w:rPr>
        <w:tab/>
        <w:t>-</w:t>
      </w:r>
      <w:r w:rsidRPr="00B57653">
        <w:rPr>
          <w:color w:val="000000" w:themeColor="text1"/>
          <w:szCs w:val="24"/>
        </w:rPr>
        <w:tab/>
      </w:r>
      <w:r w:rsidRPr="00B57653">
        <w:rPr>
          <w:color w:val="000000" w:themeColor="text1"/>
          <w:szCs w:val="24"/>
        </w:rPr>
        <w:tab/>
      </w:r>
      <w:r w:rsidRPr="00B57653">
        <w:rPr>
          <w:bCs/>
          <w:color w:val="000000" w:themeColor="text1"/>
          <w:szCs w:val="24"/>
        </w:rPr>
        <w:t>Pārbaudes projektu īstenošanas vietās</w:t>
      </w:r>
    </w:p>
    <w:p w14:paraId="538934B1" w14:textId="77777777" w:rsidR="005274AE" w:rsidRPr="00B57653" w:rsidRDefault="005274AE" w:rsidP="005274AE">
      <w:pPr>
        <w:tabs>
          <w:tab w:val="left" w:pos="1276"/>
          <w:tab w:val="left" w:pos="1418"/>
          <w:tab w:val="left" w:pos="2127"/>
        </w:tabs>
        <w:rPr>
          <w:color w:val="000000" w:themeColor="text1"/>
          <w:szCs w:val="24"/>
        </w:rPr>
      </w:pPr>
      <w:r w:rsidRPr="00B57653">
        <w:rPr>
          <w:color w:val="000000" w:themeColor="text1"/>
          <w:szCs w:val="24"/>
        </w:rPr>
        <w:t>RI</w:t>
      </w:r>
      <w:r w:rsidRPr="00B57653">
        <w:rPr>
          <w:color w:val="000000" w:themeColor="text1"/>
          <w:szCs w:val="24"/>
        </w:rPr>
        <w:tab/>
        <w:t>-</w:t>
      </w:r>
      <w:r w:rsidRPr="00B57653">
        <w:rPr>
          <w:color w:val="000000" w:themeColor="text1"/>
          <w:szCs w:val="24"/>
        </w:rPr>
        <w:tab/>
      </w:r>
      <w:r w:rsidRPr="00B57653">
        <w:rPr>
          <w:color w:val="000000" w:themeColor="text1"/>
          <w:szCs w:val="24"/>
        </w:rPr>
        <w:tab/>
        <w:t xml:space="preserve">ES fondu, </w:t>
      </w:r>
      <w:r w:rsidRPr="00B57653">
        <w:rPr>
          <w:rFonts w:eastAsia="EUAlbertina-Bold-Identity-H"/>
          <w:color w:val="000000" w:themeColor="text1"/>
          <w:szCs w:val="24"/>
          <w:lang w:eastAsia="lv-LV"/>
        </w:rPr>
        <w:t>EEZ/Norvēģijas finanšu instrumentu</w:t>
      </w:r>
      <w:r w:rsidRPr="00B57653">
        <w:rPr>
          <w:color w:val="000000" w:themeColor="text1"/>
          <w:szCs w:val="24"/>
        </w:rPr>
        <w:t xml:space="preserve"> revīzijas iestāde</w:t>
      </w:r>
    </w:p>
    <w:p w14:paraId="2E28517C" w14:textId="7BD4576E" w:rsidR="00F62D8D" w:rsidRPr="00B57653" w:rsidRDefault="007B47C5" w:rsidP="005274AE">
      <w:pPr>
        <w:tabs>
          <w:tab w:val="left" w:pos="1276"/>
          <w:tab w:val="left" w:pos="1418"/>
          <w:tab w:val="left" w:pos="2127"/>
        </w:tabs>
        <w:rPr>
          <w:color w:val="000000" w:themeColor="text1"/>
          <w:szCs w:val="24"/>
        </w:rPr>
      </w:pPr>
      <w:r w:rsidRPr="00B57653">
        <w:rPr>
          <w:color w:val="000000" w:themeColor="text1"/>
          <w:szCs w:val="24"/>
        </w:rPr>
        <w:t xml:space="preserve">SAM </w:t>
      </w:r>
      <w:r w:rsidRPr="00B57653">
        <w:rPr>
          <w:color w:val="000000" w:themeColor="text1"/>
          <w:szCs w:val="24"/>
        </w:rPr>
        <w:tab/>
        <w:t>-</w:t>
      </w:r>
      <w:r w:rsidRPr="00B57653">
        <w:rPr>
          <w:color w:val="000000" w:themeColor="text1"/>
          <w:szCs w:val="24"/>
        </w:rPr>
        <w:tab/>
      </w:r>
      <w:r w:rsidR="00F62D8D" w:rsidRPr="00B57653">
        <w:rPr>
          <w:color w:val="000000" w:themeColor="text1"/>
          <w:szCs w:val="24"/>
        </w:rPr>
        <w:tab/>
        <w:t>Specifiskais atbalsta mērķis</w:t>
      </w:r>
    </w:p>
    <w:p w14:paraId="51B75047" w14:textId="77777777" w:rsidR="005274AE" w:rsidRPr="00B57653" w:rsidRDefault="005274AE" w:rsidP="005274AE">
      <w:pPr>
        <w:tabs>
          <w:tab w:val="left" w:pos="1276"/>
          <w:tab w:val="left" w:pos="1418"/>
          <w:tab w:val="left" w:pos="2127"/>
        </w:tabs>
        <w:rPr>
          <w:rFonts w:eastAsia="EUAlbertina-Bold-Identity-H"/>
          <w:color w:val="000000" w:themeColor="text1"/>
          <w:szCs w:val="24"/>
          <w:lang w:eastAsia="lv-LV"/>
        </w:rPr>
      </w:pPr>
      <w:r w:rsidRPr="00B57653">
        <w:rPr>
          <w:rFonts w:eastAsia="EUAlbertina-Bold-Identity-H"/>
          <w:color w:val="000000" w:themeColor="text1"/>
          <w:szCs w:val="24"/>
          <w:lang w:eastAsia="lv-LV"/>
        </w:rPr>
        <w:t>SM</w:t>
      </w:r>
      <w:r w:rsidRPr="00B57653">
        <w:rPr>
          <w:rFonts w:eastAsia="EUAlbertina-Bold-Identity-H"/>
          <w:color w:val="000000" w:themeColor="text1"/>
          <w:szCs w:val="24"/>
          <w:lang w:eastAsia="lv-LV"/>
        </w:rPr>
        <w:tab/>
        <w:t xml:space="preserve">- </w:t>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t>Satiksmes ministrija</w:t>
      </w:r>
    </w:p>
    <w:p w14:paraId="008F95CE" w14:textId="77777777" w:rsidR="005274AE" w:rsidRPr="00B57653" w:rsidRDefault="005274AE" w:rsidP="005274AE">
      <w:pPr>
        <w:tabs>
          <w:tab w:val="left" w:pos="1276"/>
          <w:tab w:val="left" w:pos="1418"/>
          <w:tab w:val="left" w:pos="2127"/>
        </w:tabs>
        <w:rPr>
          <w:rFonts w:eastAsia="EUAlbertina-Bold-Identity-H"/>
          <w:color w:val="000000" w:themeColor="text1"/>
          <w:szCs w:val="24"/>
          <w:lang w:eastAsia="lv-LV"/>
        </w:rPr>
      </w:pPr>
      <w:r w:rsidRPr="00B57653">
        <w:rPr>
          <w:rFonts w:eastAsia="EUAlbertina-Bold-Identity-H"/>
          <w:color w:val="000000" w:themeColor="text1"/>
          <w:szCs w:val="24"/>
          <w:lang w:eastAsia="lv-LV"/>
        </w:rPr>
        <w:t xml:space="preserve">SI </w:t>
      </w:r>
      <w:r w:rsidRPr="00B57653">
        <w:rPr>
          <w:rFonts w:eastAsia="EUAlbertina-Bold-Identity-H"/>
          <w:color w:val="000000" w:themeColor="text1"/>
          <w:szCs w:val="24"/>
          <w:lang w:eastAsia="lv-LV"/>
        </w:rPr>
        <w:tab/>
        <w:t xml:space="preserve">- </w:t>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t>ES fondu sadarbības iestāde</w:t>
      </w:r>
    </w:p>
    <w:p w14:paraId="1F72A36E" w14:textId="77777777" w:rsidR="005274AE" w:rsidRPr="00B57653" w:rsidRDefault="005274AE" w:rsidP="005274AE">
      <w:pPr>
        <w:tabs>
          <w:tab w:val="left" w:pos="1276"/>
          <w:tab w:val="left" w:pos="1418"/>
          <w:tab w:val="left" w:pos="2127"/>
        </w:tabs>
        <w:rPr>
          <w:rFonts w:eastAsia="EUAlbertina-Bold-Identity-H"/>
          <w:color w:val="000000" w:themeColor="text1"/>
          <w:szCs w:val="24"/>
          <w:lang w:eastAsia="lv-LV"/>
        </w:rPr>
      </w:pPr>
      <w:r w:rsidRPr="00B57653">
        <w:rPr>
          <w:rFonts w:eastAsia="EUAlbertina-Bold-Identity-H"/>
          <w:color w:val="000000" w:themeColor="text1"/>
          <w:szCs w:val="24"/>
          <w:lang w:eastAsia="lv-LV"/>
        </w:rPr>
        <w:t>SIA</w:t>
      </w:r>
      <w:r w:rsidRPr="00B57653">
        <w:rPr>
          <w:rFonts w:eastAsia="EUAlbertina-Bold-Identity-H"/>
          <w:color w:val="000000" w:themeColor="text1"/>
          <w:szCs w:val="24"/>
          <w:lang w:eastAsia="lv-LV"/>
        </w:rPr>
        <w:tab/>
        <w:t>-</w:t>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t>Sabiedrība ar ierobežotu atbildību</w:t>
      </w:r>
    </w:p>
    <w:p w14:paraId="0BF47128" w14:textId="77777777" w:rsidR="005274AE" w:rsidRPr="00B57653" w:rsidRDefault="005274AE" w:rsidP="005274AE">
      <w:pPr>
        <w:tabs>
          <w:tab w:val="left" w:pos="1276"/>
          <w:tab w:val="left" w:pos="1418"/>
          <w:tab w:val="left" w:pos="2127"/>
        </w:tabs>
        <w:rPr>
          <w:color w:val="000000" w:themeColor="text1"/>
          <w:szCs w:val="24"/>
        </w:rPr>
      </w:pPr>
      <w:r w:rsidRPr="00B57653">
        <w:rPr>
          <w:rFonts w:eastAsia="EUAlbertina-Bold-Identity-H"/>
          <w:color w:val="000000" w:themeColor="text1"/>
          <w:szCs w:val="24"/>
          <w:lang w:eastAsia="lv-LV"/>
        </w:rPr>
        <w:t>SIF</w:t>
      </w:r>
      <w:r w:rsidRPr="00B57653">
        <w:rPr>
          <w:rFonts w:eastAsia="EUAlbertina-Bold-Identity-H"/>
          <w:color w:val="000000" w:themeColor="text1"/>
          <w:szCs w:val="24"/>
          <w:lang w:eastAsia="lv-LV"/>
        </w:rPr>
        <w:tab/>
        <w:t>-</w:t>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r>
      <w:r w:rsidRPr="00B57653">
        <w:rPr>
          <w:color w:val="000000" w:themeColor="text1"/>
          <w:szCs w:val="24"/>
        </w:rPr>
        <w:t>Sabiedrības integrācijas fonds</w:t>
      </w:r>
    </w:p>
    <w:p w14:paraId="3BA5C15E" w14:textId="77777777" w:rsidR="005274AE" w:rsidRPr="00B57653" w:rsidRDefault="005274AE" w:rsidP="005274AE">
      <w:pPr>
        <w:tabs>
          <w:tab w:val="left" w:pos="2694"/>
          <w:tab w:val="left" w:pos="3261"/>
        </w:tabs>
        <w:rPr>
          <w:color w:val="000000" w:themeColor="text1"/>
          <w:szCs w:val="24"/>
        </w:rPr>
      </w:pPr>
      <w:r w:rsidRPr="00B57653">
        <w:rPr>
          <w:color w:val="000000" w:themeColor="text1"/>
          <w:szCs w:val="24"/>
        </w:rPr>
        <w:t xml:space="preserve">Šveices programma </w:t>
      </w:r>
      <w:r w:rsidRPr="00B57653">
        <w:rPr>
          <w:color w:val="000000" w:themeColor="text1"/>
          <w:szCs w:val="24"/>
        </w:rPr>
        <w:tab/>
        <w:t>-</w:t>
      </w:r>
      <w:r w:rsidRPr="00B57653">
        <w:rPr>
          <w:color w:val="000000" w:themeColor="text1"/>
          <w:szCs w:val="24"/>
        </w:rPr>
        <w:tab/>
        <w:t>Latvijas un Šveices sadarbības programma</w:t>
      </w:r>
    </w:p>
    <w:p w14:paraId="60F80D53" w14:textId="77777777" w:rsidR="005274AE" w:rsidRPr="00B57653" w:rsidRDefault="005274AE" w:rsidP="005274AE">
      <w:pPr>
        <w:tabs>
          <w:tab w:val="left" w:pos="1276"/>
          <w:tab w:val="left" w:pos="1418"/>
          <w:tab w:val="left" w:pos="2127"/>
        </w:tabs>
        <w:rPr>
          <w:rFonts w:eastAsia="EUAlbertina-Bold-Identity-H"/>
          <w:color w:val="000000" w:themeColor="text1"/>
          <w:szCs w:val="24"/>
          <w:lang w:eastAsia="lv-LV"/>
        </w:rPr>
      </w:pPr>
      <w:r w:rsidRPr="00B57653">
        <w:rPr>
          <w:rFonts w:eastAsia="EUAlbertina-Bold-Identity-H"/>
          <w:color w:val="000000" w:themeColor="text1"/>
          <w:szCs w:val="24"/>
          <w:lang w:eastAsia="lv-LV"/>
        </w:rPr>
        <w:t>TM</w:t>
      </w:r>
      <w:r w:rsidRPr="00B57653">
        <w:rPr>
          <w:rFonts w:eastAsia="EUAlbertina-Bold-Identity-H"/>
          <w:color w:val="000000" w:themeColor="text1"/>
          <w:szCs w:val="24"/>
          <w:lang w:eastAsia="lv-LV"/>
        </w:rPr>
        <w:tab/>
        <w:t xml:space="preserve">- </w:t>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t>Tieslietu ministrija</w:t>
      </w:r>
    </w:p>
    <w:p w14:paraId="272406F7" w14:textId="77777777" w:rsidR="005274AE" w:rsidRDefault="005274AE" w:rsidP="005274AE">
      <w:pPr>
        <w:tabs>
          <w:tab w:val="left" w:pos="1276"/>
          <w:tab w:val="left" w:pos="1418"/>
          <w:tab w:val="left" w:pos="2127"/>
        </w:tabs>
        <w:rPr>
          <w:color w:val="000000" w:themeColor="text1"/>
          <w:szCs w:val="24"/>
        </w:rPr>
      </w:pPr>
      <w:r w:rsidRPr="00B57653">
        <w:rPr>
          <w:rFonts w:eastAsia="EUAlbertina-Bold-Identity-H"/>
          <w:color w:val="000000" w:themeColor="text1"/>
          <w:szCs w:val="24"/>
          <w:lang w:eastAsia="lv-LV"/>
        </w:rPr>
        <w:t>TP</w:t>
      </w:r>
      <w:r w:rsidRPr="00B57653">
        <w:rPr>
          <w:rFonts w:eastAsia="EUAlbertina-Bold-Identity-H"/>
          <w:color w:val="000000" w:themeColor="text1"/>
          <w:szCs w:val="24"/>
          <w:lang w:eastAsia="lv-LV"/>
        </w:rPr>
        <w:tab/>
        <w:t xml:space="preserve">- </w:t>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r>
      <w:r w:rsidRPr="00B57653">
        <w:rPr>
          <w:color w:val="000000" w:themeColor="text1"/>
          <w:szCs w:val="24"/>
        </w:rPr>
        <w:t xml:space="preserve">ES fondu tehniskā palīdzība </w:t>
      </w:r>
    </w:p>
    <w:p w14:paraId="1EB440A8" w14:textId="07E895E2" w:rsidR="00FE72BC" w:rsidRPr="00B57653" w:rsidRDefault="00FE72BC" w:rsidP="005274AE">
      <w:pPr>
        <w:tabs>
          <w:tab w:val="left" w:pos="1276"/>
          <w:tab w:val="left" w:pos="1418"/>
          <w:tab w:val="left" w:pos="2127"/>
        </w:tabs>
        <w:rPr>
          <w:color w:val="000000" w:themeColor="text1"/>
          <w:szCs w:val="24"/>
        </w:rPr>
      </w:pPr>
      <w:r>
        <w:rPr>
          <w:color w:val="000000" w:themeColor="text1"/>
          <w:szCs w:val="24"/>
        </w:rPr>
        <w:t xml:space="preserve">UK </w:t>
      </w:r>
      <w:r>
        <w:rPr>
          <w:color w:val="000000" w:themeColor="text1"/>
          <w:szCs w:val="24"/>
        </w:rPr>
        <w:tab/>
        <w:t xml:space="preserve">- </w:t>
      </w:r>
      <w:r>
        <w:rPr>
          <w:color w:val="000000" w:themeColor="text1"/>
          <w:szCs w:val="24"/>
        </w:rPr>
        <w:tab/>
      </w:r>
      <w:r>
        <w:rPr>
          <w:color w:val="000000" w:themeColor="text1"/>
          <w:szCs w:val="24"/>
        </w:rPr>
        <w:tab/>
        <w:t>Uzraudzības komiteja</w:t>
      </w:r>
    </w:p>
    <w:p w14:paraId="2C2BF518" w14:textId="77777777" w:rsidR="005274AE" w:rsidRPr="00B57653" w:rsidRDefault="005274AE" w:rsidP="005274AE">
      <w:pPr>
        <w:tabs>
          <w:tab w:val="left" w:pos="1276"/>
          <w:tab w:val="left" w:pos="1418"/>
          <w:tab w:val="left" w:pos="2127"/>
        </w:tabs>
        <w:rPr>
          <w:color w:val="000000" w:themeColor="text1"/>
          <w:szCs w:val="24"/>
        </w:rPr>
      </w:pPr>
      <w:r w:rsidRPr="00B57653">
        <w:rPr>
          <w:rFonts w:eastAsia="EUAlbertina-Bold-Identity-H"/>
          <w:color w:val="000000" w:themeColor="text1"/>
          <w:szCs w:val="24"/>
          <w:lang w:eastAsia="lv-LV"/>
        </w:rPr>
        <w:lastRenderedPageBreak/>
        <w:t>VARAM</w:t>
      </w:r>
      <w:r w:rsidRPr="00B57653">
        <w:rPr>
          <w:rFonts w:eastAsia="EUAlbertina-Bold-Identity-H"/>
          <w:color w:val="000000" w:themeColor="text1"/>
          <w:szCs w:val="24"/>
          <w:lang w:eastAsia="lv-LV"/>
        </w:rPr>
        <w:tab/>
        <w:t xml:space="preserve">- </w:t>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r>
      <w:r w:rsidRPr="00B57653">
        <w:rPr>
          <w:color w:val="000000" w:themeColor="text1"/>
          <w:szCs w:val="24"/>
        </w:rPr>
        <w:t>Vides aizsardzības un reģionālās attīstības ministrija</w:t>
      </w:r>
    </w:p>
    <w:p w14:paraId="2D665883" w14:textId="77777777" w:rsidR="005274AE" w:rsidRPr="00B57653" w:rsidRDefault="005274AE" w:rsidP="005274AE">
      <w:pPr>
        <w:tabs>
          <w:tab w:val="left" w:pos="1276"/>
          <w:tab w:val="left" w:pos="2127"/>
        </w:tabs>
        <w:ind w:left="1275" w:hanging="1275"/>
        <w:rPr>
          <w:color w:val="000000" w:themeColor="text1"/>
          <w:szCs w:val="24"/>
        </w:rPr>
      </w:pPr>
      <w:r w:rsidRPr="00B57653">
        <w:rPr>
          <w:rFonts w:eastAsia="EUAlbertina-Bold-Identity-H"/>
          <w:color w:val="000000" w:themeColor="text1"/>
          <w:szCs w:val="24"/>
          <w:lang w:eastAsia="lv-LV"/>
        </w:rPr>
        <w:t>VI</w:t>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t xml:space="preserve">- </w:t>
      </w:r>
      <w:r w:rsidRPr="00B57653">
        <w:rPr>
          <w:rFonts w:eastAsia="EUAlbertina-Bold-Identity-H"/>
          <w:color w:val="000000" w:themeColor="text1"/>
          <w:szCs w:val="24"/>
          <w:lang w:eastAsia="lv-LV"/>
        </w:rPr>
        <w:tab/>
        <w:t>ES fondu,</w:t>
      </w:r>
      <w:r w:rsidRPr="00B57653">
        <w:rPr>
          <w:color w:val="000000" w:themeColor="text1"/>
          <w:szCs w:val="24"/>
        </w:rPr>
        <w:t xml:space="preserve"> EEZ/Norvēģijas finanšu instrumentu un Šveices</w:t>
      </w:r>
    </w:p>
    <w:p w14:paraId="4A5E554F" w14:textId="77777777" w:rsidR="005274AE" w:rsidRPr="00B57653" w:rsidRDefault="005274AE" w:rsidP="005274AE">
      <w:pPr>
        <w:tabs>
          <w:tab w:val="left" w:pos="1276"/>
          <w:tab w:val="left" w:pos="2127"/>
        </w:tabs>
        <w:ind w:left="1275" w:hanging="1275"/>
        <w:rPr>
          <w:rFonts w:eastAsia="EUAlbertina-Bold-Identity-H"/>
          <w:color w:val="000000" w:themeColor="text1"/>
          <w:szCs w:val="24"/>
          <w:lang w:eastAsia="lv-LV"/>
        </w:rPr>
      </w:pP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r>
      <w:r w:rsidRPr="00B57653">
        <w:rPr>
          <w:color w:val="000000" w:themeColor="text1"/>
          <w:szCs w:val="24"/>
        </w:rPr>
        <w:t>programmas</w:t>
      </w:r>
      <w:r w:rsidRPr="00B57653">
        <w:rPr>
          <w:rFonts w:eastAsia="EUAlbertina-Bold-Identity-H"/>
          <w:color w:val="000000" w:themeColor="text1"/>
          <w:szCs w:val="24"/>
          <w:lang w:eastAsia="lv-LV"/>
        </w:rPr>
        <w:t xml:space="preserve"> vadošā iestāde</w:t>
      </w:r>
    </w:p>
    <w:p w14:paraId="1FFB88A0" w14:textId="77777777" w:rsidR="005274AE" w:rsidRPr="00B57653" w:rsidRDefault="005274AE" w:rsidP="005274AE">
      <w:pPr>
        <w:tabs>
          <w:tab w:val="left" w:pos="1276"/>
          <w:tab w:val="left" w:pos="2127"/>
        </w:tabs>
        <w:ind w:left="1275" w:hanging="1275"/>
        <w:rPr>
          <w:rFonts w:eastAsia="EUAlbertina-Bold-Identity-H"/>
          <w:color w:val="000000" w:themeColor="text1"/>
          <w:szCs w:val="24"/>
          <w:lang w:eastAsia="lv-LV"/>
        </w:rPr>
      </w:pPr>
      <w:r w:rsidRPr="00B57653">
        <w:rPr>
          <w:rFonts w:eastAsia="EUAlbertina-Bold-Identity-H"/>
          <w:color w:val="000000" w:themeColor="text1"/>
          <w:szCs w:val="24"/>
          <w:lang w:eastAsia="lv-LV"/>
        </w:rPr>
        <w:t>VID</w:t>
      </w:r>
      <w:r w:rsidRPr="00B57653">
        <w:rPr>
          <w:rFonts w:eastAsia="EUAlbertina-Bold-Identity-H"/>
          <w:color w:val="000000" w:themeColor="text1"/>
          <w:szCs w:val="24"/>
          <w:lang w:eastAsia="lv-LV"/>
        </w:rPr>
        <w:tab/>
        <w:t>-</w:t>
      </w:r>
      <w:r w:rsidRPr="00B57653">
        <w:rPr>
          <w:rFonts w:eastAsia="EUAlbertina-Bold-Identity-H"/>
          <w:color w:val="000000" w:themeColor="text1"/>
          <w:szCs w:val="24"/>
          <w:lang w:eastAsia="lv-LV"/>
        </w:rPr>
        <w:tab/>
        <w:t>Valsts ieņēmumu dienests</w:t>
      </w:r>
    </w:p>
    <w:p w14:paraId="0FB51C33" w14:textId="77777777" w:rsidR="005274AE" w:rsidRPr="00B57653" w:rsidRDefault="005274AE" w:rsidP="005274AE">
      <w:pPr>
        <w:tabs>
          <w:tab w:val="left" w:pos="1276"/>
          <w:tab w:val="left" w:pos="2127"/>
        </w:tabs>
        <w:ind w:left="1275" w:hanging="1275"/>
        <w:rPr>
          <w:color w:val="000000" w:themeColor="text1"/>
          <w:szCs w:val="24"/>
        </w:rPr>
      </w:pPr>
      <w:r w:rsidRPr="00B57653">
        <w:rPr>
          <w:rFonts w:eastAsia="EUAlbertina-Bold-Identity-H"/>
          <w:color w:val="000000" w:themeColor="text1"/>
          <w:szCs w:val="24"/>
          <w:lang w:eastAsia="lv-LV"/>
        </w:rPr>
        <w:t>VIAA</w:t>
      </w:r>
      <w:r w:rsidRPr="00B57653">
        <w:rPr>
          <w:rFonts w:eastAsia="EUAlbertina-Bold-Identity-H"/>
          <w:color w:val="000000" w:themeColor="text1"/>
          <w:szCs w:val="24"/>
          <w:lang w:eastAsia="lv-LV"/>
        </w:rPr>
        <w:tab/>
        <w:t>-</w:t>
      </w:r>
      <w:r w:rsidRPr="00B57653">
        <w:rPr>
          <w:rFonts w:eastAsia="EUAlbertina-Bold-Identity-H"/>
          <w:color w:val="000000" w:themeColor="text1"/>
          <w:szCs w:val="24"/>
          <w:lang w:eastAsia="lv-LV"/>
        </w:rPr>
        <w:tab/>
      </w:r>
      <w:r w:rsidRPr="00B57653">
        <w:rPr>
          <w:color w:val="000000" w:themeColor="text1"/>
          <w:szCs w:val="24"/>
        </w:rPr>
        <w:t>Valsts Izglītības attīstības aģentūra</w:t>
      </w:r>
    </w:p>
    <w:p w14:paraId="32077B3D" w14:textId="77777777" w:rsidR="005274AE" w:rsidRPr="00B57653" w:rsidRDefault="005274AE" w:rsidP="005274AE">
      <w:pPr>
        <w:tabs>
          <w:tab w:val="left" w:pos="1276"/>
          <w:tab w:val="left" w:pos="1418"/>
          <w:tab w:val="left" w:pos="2127"/>
        </w:tabs>
        <w:rPr>
          <w:color w:val="000000" w:themeColor="text1"/>
          <w:szCs w:val="24"/>
        </w:rPr>
      </w:pPr>
      <w:r w:rsidRPr="00B57653">
        <w:rPr>
          <w:rFonts w:eastAsia="EUAlbertina-Bold-Identity-H"/>
          <w:color w:val="000000" w:themeColor="text1"/>
          <w:szCs w:val="24"/>
          <w:lang w:eastAsia="lv-LV"/>
        </w:rPr>
        <w:t>VIS</w:t>
      </w:r>
      <w:r w:rsidRPr="00B57653">
        <w:rPr>
          <w:rFonts w:eastAsia="EUAlbertina-Bold-Identity-H"/>
          <w:color w:val="000000" w:themeColor="text1"/>
          <w:szCs w:val="24"/>
          <w:lang w:eastAsia="lv-LV"/>
        </w:rPr>
        <w:tab/>
        <w:t xml:space="preserve">- </w:t>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t>ES fondu vadības informācijas sistēmas</w:t>
      </w:r>
      <w:r w:rsidRPr="00B57653">
        <w:rPr>
          <w:color w:val="000000" w:themeColor="text1"/>
          <w:szCs w:val="24"/>
        </w:rPr>
        <w:t xml:space="preserve"> </w:t>
      </w:r>
    </w:p>
    <w:p w14:paraId="640F9B2A" w14:textId="77777777" w:rsidR="005274AE" w:rsidRPr="00B57653" w:rsidRDefault="005274AE" w:rsidP="005274AE">
      <w:pPr>
        <w:tabs>
          <w:tab w:val="left" w:pos="1276"/>
          <w:tab w:val="left" w:pos="1418"/>
          <w:tab w:val="left" w:pos="2127"/>
        </w:tabs>
        <w:rPr>
          <w:rFonts w:eastAsia="EUAlbertina-Bold-Identity-H"/>
          <w:color w:val="000000" w:themeColor="text1"/>
          <w:szCs w:val="24"/>
          <w:lang w:eastAsia="lv-LV"/>
        </w:rPr>
      </w:pPr>
      <w:r w:rsidRPr="00B57653">
        <w:rPr>
          <w:color w:val="000000" w:themeColor="text1"/>
          <w:szCs w:val="24"/>
        </w:rPr>
        <w:t>VKanc</w:t>
      </w:r>
      <w:r w:rsidRPr="00B57653">
        <w:rPr>
          <w:color w:val="000000" w:themeColor="text1"/>
          <w:szCs w:val="24"/>
        </w:rPr>
        <w:tab/>
        <w:t xml:space="preserve">- </w:t>
      </w:r>
      <w:r w:rsidRPr="00B57653">
        <w:rPr>
          <w:color w:val="000000" w:themeColor="text1"/>
          <w:szCs w:val="24"/>
        </w:rPr>
        <w:tab/>
      </w:r>
      <w:r w:rsidRPr="00B57653">
        <w:rPr>
          <w:color w:val="000000" w:themeColor="text1"/>
          <w:szCs w:val="24"/>
        </w:rPr>
        <w:tab/>
      </w:r>
      <w:r w:rsidRPr="00B57653">
        <w:rPr>
          <w:rFonts w:eastAsia="EUAlbertina-Bold-Identity-H"/>
          <w:color w:val="000000" w:themeColor="text1"/>
          <w:szCs w:val="24"/>
          <w:lang w:eastAsia="lv-LV"/>
        </w:rPr>
        <w:t>Valsts kanceleja</w:t>
      </w:r>
    </w:p>
    <w:p w14:paraId="45C08974" w14:textId="77777777" w:rsidR="005274AE" w:rsidRPr="00B57653" w:rsidRDefault="005274AE" w:rsidP="005274AE">
      <w:pPr>
        <w:tabs>
          <w:tab w:val="left" w:pos="1276"/>
          <w:tab w:val="left" w:pos="1418"/>
          <w:tab w:val="left" w:pos="2127"/>
        </w:tabs>
        <w:rPr>
          <w:rFonts w:eastAsia="EUAlbertina-Bold-Identity-H"/>
          <w:color w:val="000000" w:themeColor="text1"/>
          <w:szCs w:val="24"/>
          <w:lang w:eastAsia="lv-LV"/>
        </w:rPr>
      </w:pPr>
      <w:r w:rsidRPr="00B57653">
        <w:rPr>
          <w:rFonts w:eastAsia="EUAlbertina-Bold-Identity-H"/>
          <w:color w:val="000000" w:themeColor="text1"/>
          <w:szCs w:val="24"/>
          <w:lang w:eastAsia="lv-LV"/>
        </w:rPr>
        <w:t>VM</w:t>
      </w:r>
      <w:r w:rsidRPr="00B57653">
        <w:rPr>
          <w:rFonts w:eastAsia="EUAlbertina-Bold-Identity-H"/>
          <w:color w:val="000000" w:themeColor="text1"/>
          <w:szCs w:val="24"/>
          <w:lang w:eastAsia="lv-LV"/>
        </w:rPr>
        <w:tab/>
        <w:t xml:space="preserve">- </w:t>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t>Veselības ministrija</w:t>
      </w:r>
    </w:p>
    <w:p w14:paraId="0665EFE6" w14:textId="77777777" w:rsidR="005274AE" w:rsidRPr="00B57653" w:rsidRDefault="005274AE" w:rsidP="005274AE">
      <w:pPr>
        <w:tabs>
          <w:tab w:val="left" w:pos="1276"/>
          <w:tab w:val="left" w:pos="1418"/>
          <w:tab w:val="left" w:pos="2127"/>
        </w:tabs>
        <w:rPr>
          <w:rFonts w:eastAsia="EUAlbertina-Bold-Identity-H"/>
          <w:color w:val="000000" w:themeColor="text1"/>
          <w:szCs w:val="24"/>
          <w:lang w:eastAsia="lv-LV"/>
        </w:rPr>
      </w:pPr>
      <w:r w:rsidRPr="00B57653">
        <w:rPr>
          <w:color w:val="000000" w:themeColor="text1"/>
          <w:szCs w:val="24"/>
        </w:rPr>
        <w:t>VSS</w:t>
      </w:r>
      <w:r w:rsidRPr="00B57653">
        <w:rPr>
          <w:color w:val="000000" w:themeColor="text1"/>
          <w:szCs w:val="24"/>
        </w:rPr>
        <w:tab/>
        <w:t xml:space="preserve">- </w:t>
      </w:r>
      <w:r w:rsidRPr="00B57653">
        <w:rPr>
          <w:color w:val="000000" w:themeColor="text1"/>
          <w:szCs w:val="24"/>
        </w:rPr>
        <w:tab/>
      </w:r>
      <w:r w:rsidRPr="00B57653">
        <w:rPr>
          <w:color w:val="000000" w:themeColor="text1"/>
          <w:szCs w:val="24"/>
        </w:rPr>
        <w:tab/>
      </w:r>
      <w:r w:rsidRPr="00B57653">
        <w:rPr>
          <w:rFonts w:eastAsia="EUAlbertina-Bold-Identity-H"/>
          <w:color w:val="000000" w:themeColor="text1"/>
          <w:szCs w:val="24"/>
          <w:lang w:eastAsia="lv-LV"/>
        </w:rPr>
        <w:t>Valsts sekretāru sanāksme</w:t>
      </w:r>
    </w:p>
    <w:p w14:paraId="0FB10C58" w14:textId="77777777" w:rsidR="005274AE" w:rsidRPr="00B57653" w:rsidRDefault="005274AE" w:rsidP="005274AE">
      <w:pPr>
        <w:tabs>
          <w:tab w:val="left" w:pos="1276"/>
          <w:tab w:val="left" w:pos="1418"/>
          <w:tab w:val="left" w:pos="2127"/>
        </w:tabs>
        <w:rPr>
          <w:rFonts w:eastAsia="EUAlbertina-Bold-Identity-H"/>
          <w:color w:val="000000" w:themeColor="text1"/>
          <w:szCs w:val="24"/>
          <w:lang w:eastAsia="lv-LV"/>
        </w:rPr>
      </w:pPr>
      <w:r w:rsidRPr="00B57653">
        <w:rPr>
          <w:rFonts w:eastAsia="EUAlbertina-Bold-Identity-H"/>
          <w:color w:val="000000" w:themeColor="text1"/>
          <w:szCs w:val="24"/>
          <w:lang w:eastAsia="lv-LV"/>
        </w:rPr>
        <w:t>VVD</w:t>
      </w:r>
      <w:r w:rsidRPr="00B57653">
        <w:rPr>
          <w:rFonts w:eastAsia="EUAlbertina-Bold-Identity-H"/>
          <w:color w:val="000000" w:themeColor="text1"/>
          <w:szCs w:val="24"/>
          <w:lang w:eastAsia="lv-LV"/>
        </w:rPr>
        <w:tab/>
        <w:t>-</w:t>
      </w:r>
      <w:r w:rsidRPr="00B57653">
        <w:rPr>
          <w:rFonts w:eastAsia="EUAlbertina-Bold-Identity-H"/>
          <w:color w:val="000000" w:themeColor="text1"/>
          <w:szCs w:val="24"/>
          <w:lang w:eastAsia="lv-LV"/>
        </w:rPr>
        <w:tab/>
      </w:r>
      <w:r w:rsidRPr="00B57653">
        <w:rPr>
          <w:rFonts w:eastAsia="EUAlbertina-Bold-Identity-H"/>
          <w:color w:val="000000" w:themeColor="text1"/>
          <w:szCs w:val="24"/>
          <w:lang w:eastAsia="lv-LV"/>
        </w:rPr>
        <w:tab/>
        <w:t>Valsts vides dienests</w:t>
      </w:r>
    </w:p>
    <w:p w14:paraId="21A0487D" w14:textId="4476F165" w:rsidR="00A5315A" w:rsidRPr="00B57653" w:rsidRDefault="005274AE" w:rsidP="00A5315A">
      <w:pPr>
        <w:rPr>
          <w:b/>
          <w:color w:val="000000" w:themeColor="text1"/>
          <w:szCs w:val="24"/>
          <w:highlight w:val="yellow"/>
        </w:rPr>
      </w:pPr>
      <w:r w:rsidRPr="00B57653">
        <w:rPr>
          <w:b/>
          <w:color w:val="000000" w:themeColor="text1"/>
          <w:szCs w:val="24"/>
          <w:highlight w:val="yellow"/>
        </w:rPr>
        <w:br w:type="page"/>
      </w:r>
    </w:p>
    <w:p w14:paraId="3936886D" w14:textId="53C52506" w:rsidR="006F7499" w:rsidRPr="00B57653" w:rsidRDefault="00A5315A" w:rsidP="0042496B">
      <w:pPr>
        <w:pStyle w:val="1lmenis"/>
        <w:numPr>
          <w:ilvl w:val="0"/>
          <w:numId w:val="0"/>
        </w:numPr>
        <w:ind w:left="426"/>
      </w:pPr>
      <w:bookmarkStart w:id="2" w:name="_Toc412729430"/>
      <w:r w:rsidRPr="00B57653">
        <w:lastRenderedPageBreak/>
        <w:t>Kopsavilkums</w:t>
      </w:r>
      <w:bookmarkEnd w:id="2"/>
    </w:p>
    <w:p w14:paraId="3BC476A4" w14:textId="73A6BDA1" w:rsidR="00CC0CE4" w:rsidRPr="00270CB2" w:rsidRDefault="00270CB2" w:rsidP="00CC0CE4">
      <w:pPr>
        <w:spacing w:before="120" w:after="120" w:line="276" w:lineRule="auto"/>
        <w:jc w:val="both"/>
        <w:rPr>
          <w:color w:val="1F497D"/>
        </w:rPr>
      </w:pPr>
      <w:r w:rsidRPr="00411850">
        <w:rPr>
          <w:szCs w:val="24"/>
        </w:rPr>
        <w:t>Ņemot vērā statistikas publicēšanas periodiskumu, informācija par makroekonomi</w:t>
      </w:r>
      <w:r w:rsidR="00CB7E1D">
        <w:rPr>
          <w:szCs w:val="24"/>
        </w:rPr>
        <w:t>s</w:t>
      </w:r>
      <w:r w:rsidRPr="00411850">
        <w:rPr>
          <w:szCs w:val="24"/>
        </w:rPr>
        <w:t xml:space="preserve">kās situācijas attīstību ir par 2014.gada 3.ceturksni. </w:t>
      </w:r>
      <w:r w:rsidR="00CC0CE4" w:rsidRPr="00B06128">
        <w:rPr>
          <w:szCs w:val="24"/>
        </w:rPr>
        <w:t xml:space="preserve">2014.gadā </w:t>
      </w:r>
      <w:r w:rsidR="00FA3F4B">
        <w:rPr>
          <w:szCs w:val="24"/>
        </w:rPr>
        <w:t>iekšzemes kopprodukta</w:t>
      </w:r>
      <w:r w:rsidR="00CC0CE4" w:rsidRPr="00B06128">
        <w:rPr>
          <w:szCs w:val="24"/>
        </w:rPr>
        <w:t xml:space="preserve"> pieaugums ir palēninājies, trešajā ceturksnī salīdzinājumā ar iepriekšējā gada attiecīgo ceturksni veidojot 2,4%. Izaugsmes palēnināšanos noteikusi galvenokārt ārējās vides negatīvā ietekme, tajā skaitā saspīlētā ģeopolitiskā situācija reģionā un eirozonas ekonomikas lēnā izaugsme. Galvenais ekonomiskās izaugsmes nodrošinātājs 2014.gada 3.ceturksnī ir bijis privātais patēriņš.</w:t>
      </w:r>
      <w:r w:rsidR="00C90E52">
        <w:rPr>
          <w:szCs w:val="24"/>
        </w:rPr>
        <w:t xml:space="preserve"> </w:t>
      </w:r>
      <w:r w:rsidR="00C90E52" w:rsidRPr="00B06128">
        <w:t>Saskaņā ar F</w:t>
      </w:r>
      <w:r w:rsidR="00FA3F4B">
        <w:t>inanšu ministrijas</w:t>
      </w:r>
      <w:r w:rsidR="00C90E52" w:rsidRPr="00B06128">
        <w:t xml:space="preserve"> novērtējumu,</w:t>
      </w:r>
      <w:r w:rsidR="00C90E52">
        <w:t xml:space="preserve"> ES fondu </w:t>
      </w:r>
      <w:r w:rsidR="00C90E52" w:rsidRPr="00B06128">
        <w:t>investīcijas</w:t>
      </w:r>
      <w:r w:rsidR="00C90E52">
        <w:t xml:space="preserve"> 2014.</w:t>
      </w:r>
      <w:r w:rsidR="00C90E52" w:rsidRPr="00B06128">
        <w:t>gadā IKP izaugsmi p</w:t>
      </w:r>
      <w:r w:rsidR="00C90E52">
        <w:t>alielinās par 1,1 procentpunktu, privātā patēriņa izaugsmes tempu palielinās</w:t>
      </w:r>
      <w:r w:rsidR="00C90E52" w:rsidRPr="00B06128">
        <w:t xml:space="preserve"> </w:t>
      </w:r>
      <w:r w:rsidR="00C90E52">
        <w:t xml:space="preserve">par 1,8 procentpunktiem, </w:t>
      </w:r>
      <w:r w:rsidR="00C90E52" w:rsidRPr="00B06128">
        <w:rPr>
          <w:szCs w:val="24"/>
        </w:rPr>
        <w:t>palielinās bruto pamatkapitāla ve</w:t>
      </w:r>
      <w:r w:rsidR="00C90E52">
        <w:rPr>
          <w:szCs w:val="24"/>
        </w:rPr>
        <w:t>idošanu par 1,2 procentpunktiem, kā arī</w:t>
      </w:r>
      <w:r w:rsidR="00C90E52" w:rsidRPr="00C90E52">
        <w:rPr>
          <w:szCs w:val="24"/>
        </w:rPr>
        <w:t xml:space="preserve"> </w:t>
      </w:r>
      <w:r w:rsidR="00C90E52" w:rsidRPr="00B06128">
        <w:rPr>
          <w:szCs w:val="24"/>
        </w:rPr>
        <w:t>saglabās pozitīvo iet</w:t>
      </w:r>
      <w:r w:rsidR="00C90E52">
        <w:rPr>
          <w:szCs w:val="24"/>
        </w:rPr>
        <w:t xml:space="preserve">ekmi uz nodarbinātības dinamiku, </w:t>
      </w:r>
      <w:r w:rsidR="00C90E52" w:rsidRPr="00B06128">
        <w:rPr>
          <w:szCs w:val="24"/>
        </w:rPr>
        <w:t>palielinot nodarbināto skaita pieauguma tempu par 0,3 procentpunktiem.</w:t>
      </w:r>
      <w:r w:rsidR="00C90E52">
        <w:rPr>
          <w:szCs w:val="24"/>
        </w:rPr>
        <w:t xml:space="preserve"> </w:t>
      </w:r>
      <w:r w:rsidR="00C90E52">
        <w:t xml:space="preserve">Savukārt, ES fondu </w:t>
      </w:r>
      <w:r w:rsidR="00C90E52" w:rsidRPr="00B06128">
        <w:t xml:space="preserve">ietekme uz pieprasījumu </w:t>
      </w:r>
      <w:r w:rsidR="00C90E52" w:rsidRPr="00B06128">
        <w:rPr>
          <w:lang w:eastAsia="lv-LV"/>
        </w:rPr>
        <w:t>pēc ā</w:t>
      </w:r>
      <w:r w:rsidR="00C90E52">
        <w:rPr>
          <w:lang w:eastAsia="lv-LV"/>
        </w:rPr>
        <w:t>rvalstu precēm un pakalpojumiem</w:t>
      </w:r>
      <w:r w:rsidR="00C90E52" w:rsidRPr="00B06128">
        <w:rPr>
          <w:lang w:eastAsia="lv-LV"/>
        </w:rPr>
        <w:t xml:space="preserve"> 2014.gadā nedaudz samazināsies salīdzinājumā ar iepriekšējo gadu, s</w:t>
      </w:r>
      <w:r w:rsidR="00C90E52">
        <w:rPr>
          <w:lang w:eastAsia="lv-LV"/>
        </w:rPr>
        <w:t>ekmējot importa pieauguma tempu</w:t>
      </w:r>
      <w:r w:rsidR="00C90E52" w:rsidRPr="00B06128">
        <w:rPr>
          <w:lang w:eastAsia="lv-LV"/>
        </w:rPr>
        <w:t xml:space="preserve"> par  vienu procentpunktu. </w:t>
      </w:r>
    </w:p>
    <w:p w14:paraId="6C436ED4" w14:textId="29001A4B" w:rsidR="005D3ACD" w:rsidRDefault="00C90E52" w:rsidP="005D3ACD">
      <w:pPr>
        <w:spacing w:before="120" w:after="120" w:line="276" w:lineRule="auto"/>
        <w:jc w:val="both"/>
        <w:rPr>
          <w:color w:val="000000" w:themeColor="text1"/>
          <w:szCs w:val="24"/>
        </w:rPr>
      </w:pPr>
      <w:r>
        <w:t xml:space="preserve">Kopumā </w:t>
      </w:r>
      <w:r w:rsidR="00FA3F4B">
        <w:t>2007.-2013.gada plānošanas perioda investīciju progress vērtējams pozitīvi, l</w:t>
      </w:r>
      <w:r w:rsidR="0052020F" w:rsidRPr="00B57653">
        <w:t>īdz 2014.gada 3</w:t>
      </w:r>
      <w:r w:rsidR="00D44AE5" w:rsidRPr="00B57653">
        <w:t>1</w:t>
      </w:r>
      <w:r w:rsidR="0052020F" w:rsidRPr="00B57653">
        <w:t>.</w:t>
      </w:r>
      <w:r w:rsidR="00D44AE5" w:rsidRPr="00B57653">
        <w:t>dec</w:t>
      </w:r>
      <w:r w:rsidR="0052020F" w:rsidRPr="00B57653">
        <w:t>embrim</w:t>
      </w:r>
      <w:r w:rsidR="00C465A9" w:rsidRPr="00B57653">
        <w:t xml:space="preserve"> noslēgti līgum</w:t>
      </w:r>
      <w:r w:rsidR="00FA3F4B">
        <w:t>i</w:t>
      </w:r>
      <w:r w:rsidR="00C465A9" w:rsidRPr="00B57653">
        <w:t xml:space="preserve"> par projektu īstenošanu </w:t>
      </w:r>
      <w:r w:rsidR="0052020F" w:rsidRPr="00B57653">
        <w:t>5,3</w:t>
      </w:r>
      <w:r w:rsidR="00C465A9" w:rsidRPr="00B57653">
        <w:t xml:space="preserve"> mljrd. </w:t>
      </w:r>
      <w:r w:rsidR="00C465A9" w:rsidRPr="00B57653">
        <w:rPr>
          <w:i/>
        </w:rPr>
        <w:t>euro</w:t>
      </w:r>
      <w:r w:rsidR="00C465A9" w:rsidRPr="00B57653">
        <w:t xml:space="preserve"> apmērā</w:t>
      </w:r>
      <w:r w:rsidR="00A40824" w:rsidRPr="00B57653">
        <w:t>, t.i. par 10</w:t>
      </w:r>
      <w:r w:rsidR="0052020F" w:rsidRPr="00B57653">
        <w:t>6,</w:t>
      </w:r>
      <w:r w:rsidR="00D44AE5" w:rsidRPr="00B57653">
        <w:t>7</w:t>
      </w:r>
      <w:r w:rsidR="00C465A9" w:rsidRPr="00B57653">
        <w:t>% no pieejamā publiskā finansējuma</w:t>
      </w:r>
      <w:r w:rsidR="00FA3F4B">
        <w:t xml:space="preserve">. Savukārt, </w:t>
      </w:r>
      <w:r w:rsidR="0052020F" w:rsidRPr="00B57653">
        <w:rPr>
          <w:szCs w:val="24"/>
        </w:rPr>
        <w:t>2014.gad</w:t>
      </w:r>
      <w:r w:rsidR="00011F4B" w:rsidRPr="00B57653">
        <w:rPr>
          <w:szCs w:val="24"/>
        </w:rPr>
        <w:t>ā</w:t>
      </w:r>
      <w:r w:rsidR="0052020F" w:rsidRPr="00B57653">
        <w:rPr>
          <w:szCs w:val="24"/>
        </w:rPr>
        <w:t xml:space="preserve"> </w:t>
      </w:r>
      <w:r w:rsidR="00883BBB" w:rsidRPr="00B57653">
        <w:rPr>
          <w:szCs w:val="24"/>
        </w:rPr>
        <w:t xml:space="preserve">mērķis maksājumiem finansējuma saņēmējiem ir izpildīts </w:t>
      </w:r>
      <w:r w:rsidR="00B533F0">
        <w:rPr>
          <w:szCs w:val="24"/>
        </w:rPr>
        <w:t>84,3</w:t>
      </w:r>
      <w:r w:rsidR="00883BBB" w:rsidRPr="00B57653">
        <w:rPr>
          <w:szCs w:val="24"/>
        </w:rPr>
        <w:t xml:space="preserve">% apmērā no plānotā 2014.gada </w:t>
      </w:r>
      <w:r w:rsidR="00011F4B" w:rsidRPr="00B57653">
        <w:rPr>
          <w:szCs w:val="24"/>
        </w:rPr>
        <w:t>ietvaros</w:t>
      </w:r>
      <w:r w:rsidR="00765B71" w:rsidRPr="00B57653">
        <w:rPr>
          <w:szCs w:val="24"/>
        </w:rPr>
        <w:t>.</w:t>
      </w:r>
      <w:r w:rsidR="00F5564E" w:rsidRPr="00B57653">
        <w:rPr>
          <w:szCs w:val="24"/>
        </w:rPr>
        <w:t xml:space="preserve"> </w:t>
      </w:r>
      <w:r w:rsidR="00820614">
        <w:rPr>
          <w:szCs w:val="24"/>
        </w:rPr>
        <w:t xml:space="preserve">Nozīmīgākās investīcijas līdz attiecināmības perioda beigām veicamas </w:t>
      </w:r>
      <w:r w:rsidR="00DC59CD">
        <w:rPr>
          <w:szCs w:val="24"/>
        </w:rPr>
        <w:t>transporta, vides, enerģētikas un uzņēmējdarbības un inovāciju jomās</w:t>
      </w:r>
      <w:r w:rsidR="00642035">
        <w:rPr>
          <w:szCs w:val="24"/>
        </w:rPr>
        <w:t>.</w:t>
      </w:r>
      <w:r w:rsidR="00134048">
        <w:rPr>
          <w:szCs w:val="24"/>
        </w:rPr>
        <w:t xml:space="preserve"> Vienlaikus valsts </w:t>
      </w:r>
      <w:r w:rsidR="00134048" w:rsidRPr="003D1BB4">
        <w:rPr>
          <w:rFonts w:eastAsia="Times New Roman" w:cs="Times New Roman"/>
          <w:color w:val="000000"/>
          <w:szCs w:val="24"/>
        </w:rPr>
        <w:t>izdevumu plāns tika izpildīts par 98,4%</w:t>
      </w:r>
      <w:r w:rsidR="00134048">
        <w:rPr>
          <w:rFonts w:eastAsia="Times New Roman" w:cs="Times New Roman"/>
          <w:color w:val="000000"/>
          <w:szCs w:val="24"/>
        </w:rPr>
        <w:t xml:space="preserve">, neizpilde – 12,7 milj. </w:t>
      </w:r>
      <w:r w:rsidR="00134048">
        <w:rPr>
          <w:rFonts w:eastAsia="Times New Roman" w:cs="Times New Roman"/>
          <w:i/>
          <w:color w:val="000000"/>
          <w:szCs w:val="24"/>
        </w:rPr>
        <w:t>euro</w:t>
      </w:r>
      <w:r w:rsidR="00134048">
        <w:rPr>
          <w:rFonts w:eastAsia="Times New Roman" w:cs="Times New Roman"/>
          <w:color w:val="000000"/>
          <w:szCs w:val="24"/>
        </w:rPr>
        <w:t>.</w:t>
      </w:r>
    </w:p>
    <w:p w14:paraId="2EA45708" w14:textId="04F685DE" w:rsidR="00BE780B" w:rsidRPr="00BE780B" w:rsidRDefault="00BE780B" w:rsidP="00BE780B">
      <w:pPr>
        <w:pStyle w:val="PlainText"/>
        <w:spacing w:line="276" w:lineRule="auto"/>
        <w:jc w:val="both"/>
        <w:rPr>
          <w:rFonts w:ascii="Times New Roman" w:hAnsi="Times New Roman" w:cstheme="minorBidi"/>
          <w:spacing w:val="-4"/>
          <w:sz w:val="24"/>
          <w:szCs w:val="22"/>
        </w:rPr>
      </w:pPr>
      <w:r w:rsidRPr="00BE780B">
        <w:rPr>
          <w:rFonts w:ascii="Times New Roman" w:hAnsi="Times New Roman" w:cstheme="minorBidi"/>
          <w:spacing w:val="-4"/>
          <w:sz w:val="24"/>
          <w:szCs w:val="22"/>
        </w:rPr>
        <w:t>2014.gada nogalē sekmīgi realizēts ārkārtas pasākumu plāns un novērsts ES fondu finansējuma piešķīruma Latvijai zaudējuma risks 2007-2013.gada plānošanas perioda darbības programmā “Uzņēmējdarbība un inovācijas”, iesniedzot maksājuma pieteikumus E</w:t>
      </w:r>
      <w:r>
        <w:rPr>
          <w:rFonts w:ascii="Times New Roman" w:hAnsi="Times New Roman" w:cstheme="minorBidi"/>
          <w:spacing w:val="-4"/>
          <w:sz w:val="24"/>
          <w:szCs w:val="22"/>
        </w:rPr>
        <w:t xml:space="preserve">iropas </w:t>
      </w:r>
      <w:r w:rsidRPr="00BE780B">
        <w:rPr>
          <w:rFonts w:ascii="Times New Roman" w:hAnsi="Times New Roman" w:cstheme="minorBidi"/>
          <w:spacing w:val="-4"/>
          <w:sz w:val="24"/>
          <w:szCs w:val="22"/>
        </w:rPr>
        <w:t>K</w:t>
      </w:r>
      <w:r>
        <w:rPr>
          <w:rFonts w:ascii="Times New Roman" w:hAnsi="Times New Roman" w:cstheme="minorBidi"/>
          <w:spacing w:val="-4"/>
          <w:sz w:val="24"/>
          <w:szCs w:val="22"/>
        </w:rPr>
        <w:t>omisijai</w:t>
      </w:r>
      <w:r w:rsidRPr="00BE780B">
        <w:rPr>
          <w:rFonts w:ascii="Times New Roman" w:hAnsi="Times New Roman" w:cstheme="minorBidi"/>
          <w:spacing w:val="-4"/>
          <w:sz w:val="24"/>
          <w:szCs w:val="22"/>
        </w:rPr>
        <w:t xml:space="preserve"> nepieciešamajā apjomā līdz 2014.gada beigām.</w:t>
      </w:r>
    </w:p>
    <w:p w14:paraId="748E0FA9" w14:textId="64FDA2D0" w:rsidR="005D3ACD" w:rsidRDefault="00820614" w:rsidP="005D3ACD">
      <w:pPr>
        <w:spacing w:before="120" w:after="120" w:line="276" w:lineRule="auto"/>
        <w:jc w:val="both"/>
        <w:rPr>
          <w:spacing w:val="-4"/>
        </w:rPr>
      </w:pPr>
      <w:r>
        <w:rPr>
          <w:spacing w:val="-4"/>
        </w:rPr>
        <w:t>Aktuālie izaicinājumi</w:t>
      </w:r>
      <w:r w:rsidR="005D3ACD">
        <w:rPr>
          <w:spacing w:val="-4"/>
        </w:rPr>
        <w:t xml:space="preserve"> darbības programmā “Uzņēmējdarbība un inovācijas” būs saistīti ar finanšu instrumentu ieviešanu</w:t>
      </w:r>
      <w:r w:rsidR="001210C4">
        <w:rPr>
          <w:spacing w:val="-4"/>
        </w:rPr>
        <w:t>,</w:t>
      </w:r>
      <w:r w:rsidR="005D3ACD">
        <w:rPr>
          <w:spacing w:val="-4"/>
        </w:rPr>
        <w:t xml:space="preserve"> sīkāk skat. sadaļu “Finanšu instrumenti”</w:t>
      </w:r>
      <w:r w:rsidR="00AE718E">
        <w:rPr>
          <w:spacing w:val="-4"/>
        </w:rPr>
        <w:t>. Tāpat saglabājas riski Kohēzijas fondā, īpaši li</w:t>
      </w:r>
      <w:r w:rsidR="00CB1B02">
        <w:rPr>
          <w:spacing w:val="-4"/>
        </w:rPr>
        <w:t>e</w:t>
      </w:r>
      <w:r w:rsidR="00AE718E">
        <w:rPr>
          <w:spacing w:val="-4"/>
        </w:rPr>
        <w:t>lajos projektos.</w:t>
      </w:r>
    </w:p>
    <w:p w14:paraId="73CFD45A" w14:textId="6EB254FD" w:rsidR="005D7395" w:rsidRPr="002E5DFA" w:rsidRDefault="00916232" w:rsidP="00407D78">
      <w:pPr>
        <w:spacing w:line="276" w:lineRule="auto"/>
        <w:jc w:val="both"/>
        <w:rPr>
          <w:spacing w:val="-4"/>
        </w:rPr>
      </w:pPr>
      <w:r w:rsidRPr="00BC3CDE">
        <w:rPr>
          <w:spacing w:val="-4"/>
        </w:rPr>
        <w:t>Analizējot sasniegtos rādītājus 2007.-2013.gada plānošanas periodā secināms, ka vairākās jomās tie ir devuši pozitīvu pienesumu Latvijas tautsaimniecībai un iedzīvotājiem, kā piemēram, d</w:t>
      </w:r>
      <w:r w:rsidR="005D7395" w:rsidRPr="00BC3CDE">
        <w:rPr>
          <w:spacing w:val="-4"/>
        </w:rPr>
        <w:t xml:space="preserve">arba un sociālā atbalsta jomā pārkvalificēti un tālākizglītoti </w:t>
      </w:r>
      <w:r w:rsidR="00411850">
        <w:t>148 609</w:t>
      </w:r>
      <w:r w:rsidR="00676BF8">
        <w:t xml:space="preserve"> </w:t>
      </w:r>
      <w:r w:rsidR="005D7395" w:rsidRPr="00BC3CDE">
        <w:rPr>
          <w:spacing w:val="-4"/>
        </w:rPr>
        <w:t xml:space="preserve">bezdarbnieki un darba meklētāji, sabiedrībai derīgos darbos iesaistīti </w:t>
      </w:r>
      <w:r w:rsidR="00676BF8">
        <w:t xml:space="preserve">205 457 </w:t>
      </w:r>
      <w:r w:rsidR="005D7395" w:rsidRPr="00BC3CDE">
        <w:rPr>
          <w:spacing w:val="-4"/>
        </w:rPr>
        <w:t xml:space="preserve">bezdarbnieki, kā arī atbalstīti </w:t>
      </w:r>
      <w:r w:rsidR="00676BF8">
        <w:t xml:space="preserve">59 525 </w:t>
      </w:r>
      <w:r w:rsidR="005D7395" w:rsidRPr="00BC3CDE">
        <w:rPr>
          <w:spacing w:val="-4"/>
        </w:rPr>
        <w:t xml:space="preserve">sociālās atstumtības riskam pakļautie iedzīvotāji. Izglītības jomā 21 832 </w:t>
      </w:r>
      <w:r w:rsidR="006F338A">
        <w:rPr>
          <w:spacing w:val="-4"/>
        </w:rPr>
        <w:t xml:space="preserve">vispārējās izglītības </w:t>
      </w:r>
      <w:r w:rsidR="005D7395" w:rsidRPr="00BC3CDE">
        <w:rPr>
          <w:spacing w:val="-4"/>
        </w:rPr>
        <w:t>pedagogi pilnveidojuši sa</w:t>
      </w:r>
      <w:r w:rsidR="00411850">
        <w:rPr>
          <w:spacing w:val="-4"/>
        </w:rPr>
        <w:t>vu kompetenci un kvalifikāciju,</w:t>
      </w:r>
      <w:r w:rsidR="006F338A">
        <w:rPr>
          <w:spacing w:val="-4"/>
        </w:rPr>
        <w:t xml:space="preserve"> 71 284</w:t>
      </w:r>
      <w:r w:rsidR="005D7395" w:rsidRPr="00BC3CDE">
        <w:rPr>
          <w:spacing w:val="-4"/>
        </w:rPr>
        <w:t xml:space="preserve"> </w:t>
      </w:r>
      <w:r w:rsidR="006F338A">
        <w:rPr>
          <w:spacing w:val="-4"/>
        </w:rPr>
        <w:t xml:space="preserve">profesionālajā izglītībā </w:t>
      </w:r>
      <w:r w:rsidR="005D7395" w:rsidRPr="00BC3CDE">
        <w:rPr>
          <w:spacing w:val="-4"/>
        </w:rPr>
        <w:t xml:space="preserve">izglītojamie saņēmuši tiešu atbalstu stipendiju veidā, kā arī atbalstīti 153 pētniecības projekti. </w:t>
      </w:r>
      <w:r w:rsidR="004E420A" w:rsidRPr="00BC3CDE">
        <w:rPr>
          <w:spacing w:val="-4"/>
        </w:rPr>
        <w:t>Biznesa un inovāciju jomā atbalstīti 1</w:t>
      </w:r>
      <w:r w:rsidR="00411850">
        <w:rPr>
          <w:spacing w:val="-4"/>
        </w:rPr>
        <w:t xml:space="preserve"> </w:t>
      </w:r>
      <w:r w:rsidR="004E420A" w:rsidRPr="00BC3CDE">
        <w:rPr>
          <w:spacing w:val="-4"/>
        </w:rPr>
        <w:t xml:space="preserve">059 ekonomiski aktīvi uzņēmumi biznesa inkubatoros, jau 2 163 projektiem sniegts atbalsts dalībai starptautiskās izstādēs. Savukārt transporta jomā rekonstruēti </w:t>
      </w:r>
      <w:r w:rsidR="00D502C4" w:rsidRPr="00D502C4">
        <w:rPr>
          <w:bCs/>
          <w:spacing w:val="-4"/>
          <w:szCs w:val="24"/>
        </w:rPr>
        <w:t>784,7</w:t>
      </w:r>
      <w:r w:rsidR="004E420A" w:rsidRPr="00BC3CDE">
        <w:rPr>
          <w:spacing w:val="-4"/>
        </w:rPr>
        <w:t xml:space="preserve"> km autoceļu un ielu, kā arī uzbūvēti </w:t>
      </w:r>
      <w:r w:rsidR="00D502C4">
        <w:rPr>
          <w:spacing w:val="-4"/>
        </w:rPr>
        <w:t>52</w:t>
      </w:r>
      <w:r w:rsidR="004E420A" w:rsidRPr="00BC3CDE">
        <w:rPr>
          <w:spacing w:val="-4"/>
        </w:rPr>
        <w:t xml:space="preserve"> km dzelzceļa.</w:t>
      </w:r>
    </w:p>
    <w:p w14:paraId="1E06B978" w14:textId="6CE9FFC4" w:rsidR="009537A9" w:rsidRPr="009537A9" w:rsidRDefault="00663FEB" w:rsidP="0077426D">
      <w:pPr>
        <w:spacing w:before="120" w:after="120" w:line="276" w:lineRule="auto"/>
        <w:jc w:val="both"/>
        <w:rPr>
          <w:color w:val="000000" w:themeColor="text1"/>
          <w:szCs w:val="24"/>
        </w:rPr>
      </w:pPr>
      <w:r w:rsidRPr="009537A9">
        <w:rPr>
          <w:color w:val="000000" w:themeColor="text1"/>
          <w:szCs w:val="24"/>
        </w:rPr>
        <w:lastRenderedPageBreak/>
        <w:t>Pārskata periodā veikti vairāki nozīmīgi soļi ES fondu 2014.–2020.gada plānošanas perioda plānošanas dokumentu izstrādē</w:t>
      </w:r>
      <w:r w:rsidR="00D904F2" w:rsidRPr="009537A9">
        <w:rPr>
          <w:color w:val="000000" w:themeColor="text1"/>
          <w:szCs w:val="24"/>
        </w:rPr>
        <w:t>.</w:t>
      </w:r>
      <w:r w:rsidRPr="009537A9">
        <w:rPr>
          <w:color w:val="000000" w:themeColor="text1"/>
          <w:szCs w:val="24"/>
        </w:rPr>
        <w:t xml:space="preserve"> </w:t>
      </w:r>
      <w:r w:rsidR="009537A9" w:rsidRPr="009537A9">
        <w:rPr>
          <w:rFonts w:eastAsia="Times New Roman" w:cs="Times New Roman"/>
          <w:szCs w:val="24"/>
        </w:rPr>
        <w:t>2014.gada 11.novembrī ar E</w:t>
      </w:r>
      <w:r w:rsidR="00820614">
        <w:rPr>
          <w:rFonts w:eastAsia="Times New Roman" w:cs="Times New Roman"/>
          <w:szCs w:val="24"/>
        </w:rPr>
        <w:t xml:space="preserve">iropas </w:t>
      </w:r>
      <w:r w:rsidR="009537A9" w:rsidRPr="009537A9">
        <w:rPr>
          <w:rFonts w:eastAsia="Times New Roman" w:cs="Times New Roman"/>
          <w:szCs w:val="24"/>
        </w:rPr>
        <w:t>K</w:t>
      </w:r>
      <w:r w:rsidR="00820614">
        <w:rPr>
          <w:rFonts w:eastAsia="Times New Roman" w:cs="Times New Roman"/>
          <w:szCs w:val="24"/>
        </w:rPr>
        <w:t>omisijas</w:t>
      </w:r>
      <w:r w:rsidR="009537A9" w:rsidRPr="009537A9">
        <w:rPr>
          <w:rFonts w:eastAsia="Times New Roman" w:cs="Times New Roman"/>
          <w:szCs w:val="24"/>
        </w:rPr>
        <w:t xml:space="preserve"> lēmumu</w:t>
      </w:r>
      <w:r w:rsidR="009537A9" w:rsidRPr="00E12DFB">
        <w:rPr>
          <w:vertAlign w:val="superscript"/>
        </w:rPr>
        <w:footnoteReference w:id="2"/>
      </w:r>
      <w:r w:rsidR="009537A9" w:rsidRPr="009537A9">
        <w:rPr>
          <w:rFonts w:eastAsia="Times New Roman" w:cs="Times New Roman"/>
          <w:szCs w:val="24"/>
        </w:rPr>
        <w:t xml:space="preserve"> ir apstiprināta ES fondu 2014.–2020.gada plānošanas perioda darbības programma “Izaugsme un nodarbinātība, kā arī turpinās darbs pie</w:t>
      </w:r>
      <w:r w:rsidR="00D904F2" w:rsidRPr="009537A9">
        <w:rPr>
          <w:color w:val="000000" w:themeColor="text1"/>
          <w:szCs w:val="24"/>
        </w:rPr>
        <w:t xml:space="preserve"> </w:t>
      </w:r>
      <w:r w:rsidR="00A7305B" w:rsidRPr="009537A9">
        <w:rPr>
          <w:color w:val="000000" w:themeColor="text1"/>
          <w:szCs w:val="24"/>
        </w:rPr>
        <w:t xml:space="preserve">specifisko atbalsta mērķu </w:t>
      </w:r>
      <w:r w:rsidR="009537A9" w:rsidRPr="009537A9">
        <w:rPr>
          <w:color w:val="000000" w:themeColor="text1"/>
          <w:szCs w:val="24"/>
        </w:rPr>
        <w:t xml:space="preserve">īstenošanas </w:t>
      </w:r>
      <w:r w:rsidR="00D904F2" w:rsidRPr="009537A9">
        <w:rPr>
          <w:color w:val="000000" w:themeColor="text1"/>
          <w:szCs w:val="24"/>
        </w:rPr>
        <w:t xml:space="preserve">nosacījumu izstrādes. </w:t>
      </w:r>
      <w:r w:rsidR="009537A9" w:rsidRPr="009537A9">
        <w:rPr>
          <w:color w:val="000000" w:themeColor="text1"/>
          <w:szCs w:val="24"/>
        </w:rPr>
        <w:t>Pārskata periodā notika četras ES fondu 2014.-2020.gada plānošanas perioda apakškomiteju sēdes par nodarbinātības, darbaspēka mobilitātes, sociālās iekļaušanas un nabadzības apkarošanas jautājumiem, kā arī par vides aizsardzības un resursu izmantošanas efektivitātes jautājumiem. Diskusiju rezultātā ar partneriem tika panākta vienošanās par vairāku jaunā plānošanas perioda specifisko atbalsta mērķu projektu iesniegumu vērtēšanas kritēriju tālāku virzību Uzraudzības komitejā, lai nodrošinātu to ātrāku uzsākšanu.</w:t>
      </w:r>
      <w:r w:rsidR="00B53097">
        <w:rPr>
          <w:color w:val="000000" w:themeColor="text1"/>
          <w:szCs w:val="24"/>
        </w:rPr>
        <w:t xml:space="preserve"> Tai pat laikā valsts budžeta līdzekļu izlietojums 2014.gadā bijis ievērojami mazāks nekā plānots – no </w:t>
      </w:r>
      <w:r w:rsidR="00DD0CC2">
        <w:rPr>
          <w:color w:val="000000" w:themeColor="text1"/>
          <w:szCs w:val="24"/>
        </w:rPr>
        <w:t xml:space="preserve">2014.gada augustā plānotajiem </w:t>
      </w:r>
      <w:r w:rsidR="00B53097">
        <w:rPr>
          <w:color w:val="000000" w:themeColor="text1"/>
          <w:szCs w:val="24"/>
        </w:rPr>
        <w:t xml:space="preserve">53,2 milj. </w:t>
      </w:r>
      <w:r w:rsidR="00B53097">
        <w:rPr>
          <w:i/>
          <w:color w:val="000000" w:themeColor="text1"/>
          <w:szCs w:val="24"/>
        </w:rPr>
        <w:t xml:space="preserve">euro </w:t>
      </w:r>
      <w:r w:rsidR="00B53097">
        <w:rPr>
          <w:color w:val="000000" w:themeColor="text1"/>
          <w:szCs w:val="24"/>
        </w:rPr>
        <w:t xml:space="preserve">izlietoti 13.5 milj. </w:t>
      </w:r>
      <w:r w:rsidR="00B53097">
        <w:rPr>
          <w:i/>
          <w:color w:val="000000" w:themeColor="text1"/>
          <w:szCs w:val="24"/>
        </w:rPr>
        <w:t>euro</w:t>
      </w:r>
      <w:r w:rsidR="00B53097">
        <w:rPr>
          <w:color w:val="000000" w:themeColor="text1"/>
          <w:szCs w:val="24"/>
        </w:rPr>
        <w:t>.</w:t>
      </w:r>
    </w:p>
    <w:p w14:paraId="639BCAB1" w14:textId="04881CD8" w:rsidR="000E06AA" w:rsidRPr="0034595E" w:rsidRDefault="00840A50" w:rsidP="00576DBF">
      <w:pPr>
        <w:spacing w:before="120" w:after="120" w:line="276" w:lineRule="auto"/>
        <w:jc w:val="both"/>
        <w:rPr>
          <w:color w:val="000000" w:themeColor="text1"/>
          <w:szCs w:val="24"/>
        </w:rPr>
      </w:pPr>
      <w:r w:rsidRPr="0034595E">
        <w:rPr>
          <w:color w:val="000000" w:themeColor="text1"/>
          <w:szCs w:val="24"/>
        </w:rPr>
        <w:t>T</w:t>
      </w:r>
      <w:r w:rsidR="00663FEB" w:rsidRPr="0034595E">
        <w:rPr>
          <w:color w:val="000000" w:themeColor="text1"/>
          <w:szCs w:val="24"/>
        </w:rPr>
        <w:t>urpinās darbs pie 2014.-2020.gada plānošanas perioda vadības un</w:t>
      </w:r>
      <w:r w:rsidR="0063545C" w:rsidRPr="0034595E">
        <w:rPr>
          <w:color w:val="000000" w:themeColor="text1"/>
          <w:szCs w:val="24"/>
        </w:rPr>
        <w:t xml:space="preserve"> kontroles sistēmas jaut</w:t>
      </w:r>
      <w:r w:rsidR="00BD3B2E" w:rsidRPr="0034595E">
        <w:rPr>
          <w:color w:val="000000" w:themeColor="text1"/>
          <w:szCs w:val="24"/>
        </w:rPr>
        <w:t>ājumiem</w:t>
      </w:r>
      <w:r w:rsidR="00567CB0" w:rsidRPr="0034595E">
        <w:rPr>
          <w:color w:val="000000" w:themeColor="text1"/>
          <w:szCs w:val="24"/>
        </w:rPr>
        <w:t>.</w:t>
      </w:r>
      <w:r w:rsidR="00BD3B2E" w:rsidRPr="0034595E">
        <w:rPr>
          <w:color w:val="000000" w:themeColor="text1"/>
          <w:szCs w:val="24"/>
        </w:rPr>
        <w:t xml:space="preserve"> </w:t>
      </w:r>
      <w:r w:rsidR="00034FAB" w:rsidRPr="0034595E">
        <w:rPr>
          <w:color w:val="000000" w:themeColor="text1"/>
          <w:szCs w:val="24"/>
        </w:rPr>
        <w:t>P</w:t>
      </w:r>
      <w:r w:rsidR="004B3F9E" w:rsidRPr="0034595E">
        <w:rPr>
          <w:color w:val="000000" w:themeColor="text1"/>
          <w:szCs w:val="24"/>
        </w:rPr>
        <w:t xml:space="preserve">amatojoties uz </w:t>
      </w:r>
      <w:r w:rsidR="0063545C" w:rsidRPr="0034595E">
        <w:rPr>
          <w:color w:val="000000" w:themeColor="text1"/>
          <w:szCs w:val="24"/>
        </w:rPr>
        <w:t>Eiropas Savienības struktūrfondu un Kohēzijas fonda 2014.-2020.gada plān</w:t>
      </w:r>
      <w:r w:rsidR="00952D79" w:rsidRPr="0034595E">
        <w:rPr>
          <w:color w:val="000000" w:themeColor="text1"/>
          <w:szCs w:val="24"/>
        </w:rPr>
        <w:t>ošanas perioda vadības likum</w:t>
      </w:r>
      <w:r w:rsidR="00CE5483" w:rsidRPr="0034595E">
        <w:rPr>
          <w:color w:val="000000" w:themeColor="text1"/>
          <w:szCs w:val="24"/>
        </w:rPr>
        <w:t>ā</w:t>
      </w:r>
      <w:r w:rsidR="004B3F9E" w:rsidRPr="0034595E">
        <w:rPr>
          <w:color w:val="000000" w:themeColor="text1"/>
          <w:szCs w:val="24"/>
        </w:rPr>
        <w:t xml:space="preserve"> </w:t>
      </w:r>
      <w:r w:rsidR="00CE5483" w:rsidRPr="0034595E">
        <w:rPr>
          <w:color w:val="000000" w:themeColor="text1"/>
          <w:szCs w:val="24"/>
        </w:rPr>
        <w:t>i</w:t>
      </w:r>
      <w:r w:rsidR="004B3F9E" w:rsidRPr="0034595E">
        <w:rPr>
          <w:color w:val="000000" w:themeColor="text1"/>
          <w:szCs w:val="24"/>
        </w:rPr>
        <w:t>etverto deleģējumu</w:t>
      </w:r>
      <w:r w:rsidR="00CE5483" w:rsidRPr="0034595E">
        <w:rPr>
          <w:color w:val="000000" w:themeColor="text1"/>
          <w:szCs w:val="24"/>
        </w:rPr>
        <w:t xml:space="preserve"> izstrād</w:t>
      </w:r>
      <w:r w:rsidR="000E06AA" w:rsidRPr="0034595E">
        <w:rPr>
          <w:color w:val="000000" w:themeColor="text1"/>
          <w:szCs w:val="24"/>
        </w:rPr>
        <w:t>āts un:</w:t>
      </w:r>
    </w:p>
    <w:p w14:paraId="0269CB4E" w14:textId="36B86C54" w:rsidR="0034595E" w:rsidRPr="0034595E" w:rsidRDefault="0034595E" w:rsidP="0034595E">
      <w:pPr>
        <w:pStyle w:val="ListParagraph"/>
        <w:numPr>
          <w:ilvl w:val="0"/>
          <w:numId w:val="10"/>
        </w:numPr>
        <w:spacing w:after="120" w:line="276" w:lineRule="auto"/>
        <w:ind w:left="426" w:hanging="284"/>
        <w:jc w:val="both"/>
      </w:pPr>
      <w:r w:rsidRPr="0034595E">
        <w:rPr>
          <w:color w:val="000000" w:themeColor="text1"/>
          <w:szCs w:val="24"/>
        </w:rPr>
        <w:t>2014.gada 16.decembrī M</w:t>
      </w:r>
      <w:r w:rsidR="00AE718E">
        <w:rPr>
          <w:color w:val="000000" w:themeColor="text1"/>
          <w:szCs w:val="24"/>
        </w:rPr>
        <w:t>inistru kabinetā</w:t>
      </w:r>
      <w:r w:rsidRPr="0034595E">
        <w:rPr>
          <w:color w:val="000000" w:themeColor="text1"/>
          <w:szCs w:val="24"/>
        </w:rPr>
        <w:t xml:space="preserve"> apstiprināti </w:t>
      </w:r>
      <w:r w:rsidRPr="0034595E">
        <w:t xml:space="preserve">noteikumi Nr. 784 </w:t>
      </w:r>
      <w:r w:rsidR="000E06AA" w:rsidRPr="0034595E">
        <w:rPr>
          <w:color w:val="000000" w:themeColor="text1"/>
          <w:szCs w:val="24"/>
        </w:rPr>
        <w:t>“Kārtība, kādā Eiropas Savienības struktūrfondu un Kohēzijas fonda vadībā iesaistītās institūcijas nodrošina šo fondu ieviešanu 2014.-2020.gada plānošanas periodā</w:t>
      </w:r>
      <w:r w:rsidR="00F140ED" w:rsidRPr="0034595E">
        <w:rPr>
          <w:color w:val="000000" w:themeColor="text1"/>
          <w:szCs w:val="24"/>
        </w:rPr>
        <w:t>”;</w:t>
      </w:r>
    </w:p>
    <w:p w14:paraId="530B4B48" w14:textId="69DD6F1F" w:rsidR="0034595E" w:rsidRPr="0034595E" w:rsidRDefault="0034595E" w:rsidP="0034595E">
      <w:pPr>
        <w:pStyle w:val="ListParagraph"/>
        <w:numPr>
          <w:ilvl w:val="0"/>
          <w:numId w:val="10"/>
        </w:numPr>
        <w:spacing w:after="120" w:line="276" w:lineRule="auto"/>
        <w:ind w:left="426" w:hanging="284"/>
        <w:jc w:val="both"/>
      </w:pPr>
      <w:r w:rsidRPr="0034595E">
        <w:rPr>
          <w:rFonts w:eastAsia="Times New Roman" w:cs="Times New Roman"/>
          <w:szCs w:val="24"/>
        </w:rPr>
        <w:t>2014.gada 1.oktobrī kā M</w:t>
      </w:r>
      <w:r w:rsidR="00AE718E">
        <w:rPr>
          <w:rFonts w:eastAsia="Times New Roman" w:cs="Times New Roman"/>
          <w:szCs w:val="24"/>
        </w:rPr>
        <w:t>inistru kabineta</w:t>
      </w:r>
      <w:r w:rsidRPr="0034595E">
        <w:rPr>
          <w:rFonts w:eastAsia="Times New Roman" w:cs="Times New Roman"/>
          <w:szCs w:val="24"/>
        </w:rPr>
        <w:t xml:space="preserve"> lieta tika nosūtīts saskaņošanai M</w:t>
      </w:r>
      <w:r w:rsidR="00AE718E">
        <w:rPr>
          <w:rFonts w:eastAsia="Times New Roman" w:cs="Times New Roman"/>
          <w:szCs w:val="24"/>
        </w:rPr>
        <w:t>inistru kabineta</w:t>
      </w:r>
      <w:r w:rsidRPr="0034595E">
        <w:rPr>
          <w:rFonts w:eastAsia="Times New Roman" w:cs="Times New Roman"/>
          <w:szCs w:val="24"/>
        </w:rPr>
        <w:t xml:space="preserve"> noteikumu projekts par kārtību, kādā ES fondu 2014.–2020.gada plānošanas perioda ietvaros plāno valsts budžeta līdzekļus un veic maksājumus ES fondu projektu īstenošanai, kā arī sagatavo E</w:t>
      </w:r>
      <w:r w:rsidR="00AE718E">
        <w:rPr>
          <w:rFonts w:eastAsia="Times New Roman" w:cs="Times New Roman"/>
          <w:szCs w:val="24"/>
        </w:rPr>
        <w:t xml:space="preserve">iropas </w:t>
      </w:r>
      <w:r w:rsidRPr="0034595E">
        <w:rPr>
          <w:rFonts w:eastAsia="Times New Roman" w:cs="Times New Roman"/>
          <w:szCs w:val="24"/>
        </w:rPr>
        <w:t>K</w:t>
      </w:r>
      <w:r w:rsidR="00AE718E">
        <w:rPr>
          <w:rFonts w:eastAsia="Times New Roman" w:cs="Times New Roman"/>
          <w:szCs w:val="24"/>
        </w:rPr>
        <w:t>omisijai</w:t>
      </w:r>
      <w:r w:rsidRPr="0034595E">
        <w:rPr>
          <w:rFonts w:eastAsia="Times New Roman" w:cs="Times New Roman"/>
          <w:szCs w:val="24"/>
        </w:rPr>
        <w:t xml:space="preserve"> iesniedzamo maksāju</w:t>
      </w:r>
      <w:r>
        <w:rPr>
          <w:rFonts w:eastAsia="Times New Roman" w:cs="Times New Roman"/>
          <w:szCs w:val="24"/>
        </w:rPr>
        <w:t>ma pieteikumu un kontu slēgumu;</w:t>
      </w:r>
    </w:p>
    <w:p w14:paraId="5005AC5F" w14:textId="756B11B9" w:rsidR="0034595E" w:rsidRPr="0034595E" w:rsidRDefault="0034595E" w:rsidP="0034595E">
      <w:pPr>
        <w:pStyle w:val="ListParagraph"/>
        <w:numPr>
          <w:ilvl w:val="0"/>
          <w:numId w:val="10"/>
        </w:numPr>
        <w:spacing w:after="120" w:line="276" w:lineRule="auto"/>
        <w:ind w:left="426" w:hanging="284"/>
        <w:jc w:val="both"/>
      </w:pPr>
      <w:r w:rsidRPr="0034595E">
        <w:rPr>
          <w:rFonts w:eastAsia="Times New Roman" w:cs="Times New Roman"/>
          <w:szCs w:val="24"/>
        </w:rPr>
        <w:t xml:space="preserve">2014.gada 9.oktobrī </w:t>
      </w:r>
      <w:r w:rsidR="00AE718E">
        <w:rPr>
          <w:rFonts w:eastAsia="Times New Roman" w:cs="Times New Roman"/>
          <w:szCs w:val="24"/>
        </w:rPr>
        <w:t>valsts sekretāru sanāksmē</w:t>
      </w:r>
      <w:r w:rsidRPr="0034595E">
        <w:rPr>
          <w:rFonts w:eastAsia="Times New Roman" w:cs="Times New Roman"/>
          <w:szCs w:val="24"/>
        </w:rPr>
        <w:t xml:space="preserve"> tika izsludināts M</w:t>
      </w:r>
      <w:r w:rsidR="00AE718E">
        <w:rPr>
          <w:rFonts w:eastAsia="Times New Roman" w:cs="Times New Roman"/>
          <w:szCs w:val="24"/>
        </w:rPr>
        <w:t>inistru kabineta</w:t>
      </w:r>
      <w:r w:rsidRPr="0034595E">
        <w:rPr>
          <w:rFonts w:eastAsia="Times New Roman" w:cs="Times New Roman"/>
          <w:szCs w:val="24"/>
        </w:rPr>
        <w:t xml:space="preserve"> noteikumu projekts par kārtību, kādā Eiropas Savienības struktūrfondu un Kohēzijas fonda vadībā iesaistītās institūcijas uzrauga un izvērtē Eiropas Savienības fondu ieviešanu, izveido un izmanto Eiropas Savienības fon</w:t>
      </w:r>
      <w:r>
        <w:rPr>
          <w:rFonts w:eastAsia="Times New Roman" w:cs="Times New Roman"/>
          <w:szCs w:val="24"/>
        </w:rPr>
        <w:t>du vadības informācijas sistēmu;</w:t>
      </w:r>
    </w:p>
    <w:p w14:paraId="408B419D" w14:textId="712BCE2E" w:rsidR="0034595E" w:rsidRPr="0034595E" w:rsidRDefault="0034595E" w:rsidP="0034595E">
      <w:pPr>
        <w:pStyle w:val="ListParagraph"/>
        <w:numPr>
          <w:ilvl w:val="0"/>
          <w:numId w:val="10"/>
        </w:numPr>
        <w:spacing w:after="120" w:line="276" w:lineRule="auto"/>
        <w:ind w:left="426" w:hanging="284"/>
        <w:jc w:val="both"/>
      </w:pPr>
      <w:r w:rsidRPr="0034595E">
        <w:rPr>
          <w:rFonts w:eastAsia="Times New Roman" w:cs="Times New Roman"/>
          <w:szCs w:val="24"/>
        </w:rPr>
        <w:t>2014.gada 17.oktobrī kā M</w:t>
      </w:r>
      <w:r w:rsidR="00AE718E">
        <w:rPr>
          <w:rFonts w:eastAsia="Times New Roman" w:cs="Times New Roman"/>
          <w:szCs w:val="24"/>
        </w:rPr>
        <w:t>inistru kabineta</w:t>
      </w:r>
      <w:r w:rsidRPr="0034595E">
        <w:rPr>
          <w:rFonts w:eastAsia="Times New Roman" w:cs="Times New Roman"/>
          <w:szCs w:val="24"/>
        </w:rPr>
        <w:t xml:space="preserve"> lieta tika nosūtīts saskaņošanai M</w:t>
      </w:r>
      <w:r w:rsidR="00AE718E">
        <w:rPr>
          <w:rFonts w:eastAsia="Times New Roman" w:cs="Times New Roman"/>
          <w:szCs w:val="24"/>
        </w:rPr>
        <w:t>inistru kabineta</w:t>
      </w:r>
      <w:r w:rsidRPr="0034595E">
        <w:rPr>
          <w:rFonts w:eastAsia="Times New Roman" w:cs="Times New Roman"/>
          <w:szCs w:val="24"/>
        </w:rPr>
        <w:t xml:space="preserve"> noteikumu projekts par kārtību, kādā nodrošina informāciju, komunikāciju un vizuālās identitātes prasības Eiropas Savienības struktūrfondu un Kohēzijas fonda ieviešanā.</w:t>
      </w:r>
    </w:p>
    <w:p w14:paraId="18C580AC" w14:textId="77777777" w:rsidR="007B4265" w:rsidRPr="007B4265" w:rsidRDefault="007B4265" w:rsidP="007B4265">
      <w:pPr>
        <w:autoSpaceDE w:val="0"/>
        <w:autoSpaceDN w:val="0"/>
        <w:adjustRightInd w:val="0"/>
        <w:spacing w:before="120" w:after="120" w:line="276" w:lineRule="auto"/>
        <w:jc w:val="both"/>
        <w:rPr>
          <w:rFonts w:eastAsia="Times New Roman" w:cs="Times New Roman"/>
          <w:color w:val="000000"/>
          <w:szCs w:val="24"/>
          <w:lang w:eastAsia="lv-LV"/>
        </w:rPr>
      </w:pPr>
      <w:r w:rsidRPr="007B4265">
        <w:rPr>
          <w:rFonts w:eastAsia="Times New Roman" w:cs="Times New Roman"/>
          <w:color w:val="000000"/>
          <w:szCs w:val="24"/>
          <w:lang w:eastAsia="lv-LV"/>
        </w:rPr>
        <w:t xml:space="preserve">ES fondu sadarbības iestāde – CFLA – pārskata periodā aktīvi līdzdarbojās plānošanas un normatīvo aktu izstrādes procesā, t.sk. pielāgojot CFLA iekšējo kontroles sistēmu pārskata periodā apstiprinātajos normatīvajos aktos noteiktajām prasībām. Turpināta sadarbība ar atbildīgajām iestādēm, ir izstrādāts starpresoru vienošanās ar atbildīgajām iestādēm par sadarbību ES fondu 2014. – 2020.gada plānošanas periodā projekts. Būtiska uzmanība pievērsta cilvēkresursu un cilvēkresursu kapacitātes jautājumiem, pārskata periodā veiktas izmaiņas CFLA organizatoriskajā struktūrā, izveidojot Projektu atlases nodaļu un vadības informācijas sistēmas nodaļu, kā arī ir izstrādāts CFLA turpmākas pakāpeniskas </w:t>
      </w:r>
      <w:r w:rsidRPr="007B4265">
        <w:rPr>
          <w:rFonts w:eastAsia="Times New Roman" w:cs="Times New Roman"/>
          <w:color w:val="000000"/>
          <w:szCs w:val="24"/>
          <w:lang w:eastAsia="lv-LV"/>
        </w:rPr>
        <w:lastRenderedPageBreak/>
        <w:t>reorganizācijas plāns. Aktīvs darbs turpināts Kohēzijas politikas vadības informācijas sistēmas (turpmāk – KP VIS) izveidē, informējot potenciālos finansējuma saņēmējus un interesentus par ES ES fondu 2014. – 2020.gada plānošanas perioda atbalsta saņemšanas iespējām, un turpināts darbs ar ātrāk uzsākamiem SAM.</w:t>
      </w:r>
    </w:p>
    <w:p w14:paraId="1F4E49E9" w14:textId="11BB3B91" w:rsidR="00EC2705" w:rsidRPr="00086E9F" w:rsidRDefault="00EC2705" w:rsidP="00EC2705">
      <w:pPr>
        <w:pStyle w:val="Default"/>
        <w:spacing w:line="276" w:lineRule="auto"/>
        <w:rPr>
          <w:i/>
          <w:color w:val="auto"/>
        </w:rPr>
      </w:pPr>
      <w:r w:rsidRPr="00086E9F">
        <w:rPr>
          <w:i/>
          <w:color w:val="auto"/>
        </w:rPr>
        <w:t>EEZ/Norvēģijas finanšu instrumentu un Šveices programmas ieviešana</w:t>
      </w:r>
    </w:p>
    <w:p w14:paraId="1520EBB5" w14:textId="137025B9" w:rsidR="00086E9F" w:rsidRPr="00086E9F" w:rsidRDefault="00086E9F" w:rsidP="00086E9F">
      <w:pPr>
        <w:autoSpaceDE w:val="0"/>
        <w:autoSpaceDN w:val="0"/>
        <w:adjustRightInd w:val="0"/>
        <w:spacing w:before="120" w:after="120" w:line="276" w:lineRule="auto"/>
        <w:jc w:val="both"/>
        <w:rPr>
          <w:rFonts w:eastAsia="Times New Roman" w:cs="Times New Roman"/>
          <w:color w:val="000000"/>
          <w:szCs w:val="24"/>
          <w:lang w:eastAsia="lv-LV"/>
        </w:rPr>
      </w:pPr>
      <w:r w:rsidRPr="00086E9F">
        <w:rPr>
          <w:rFonts w:eastAsia="Times New Roman" w:cs="Times New Roman"/>
          <w:color w:val="000000"/>
          <w:szCs w:val="24"/>
          <w:lang w:eastAsia="lv-LV"/>
        </w:rPr>
        <w:t xml:space="preserve">Pārskata periodā turpinājās 7 EEZ/Norvēģijas finanšu instrumentu līdzfinansēto programmu ieviešana, tai skaitā noslēdzās vai tika izsludināti pēdējie atklātie projektu konkursi. </w:t>
      </w:r>
      <w:r w:rsidRPr="00086E9F">
        <w:rPr>
          <w:rFonts w:eastAsia="Times New Roman" w:cs="Times New Roman"/>
          <w:szCs w:val="20"/>
        </w:rPr>
        <w:t xml:space="preserve">SIF programmā </w:t>
      </w:r>
      <w:r w:rsidRPr="00086E9F">
        <w:rPr>
          <w:rFonts w:eastAsia="Times New Roman" w:cs="Times New Roman"/>
          <w:i/>
          <w:szCs w:val="20"/>
        </w:rPr>
        <w:t>“NVO fonds”</w:t>
      </w:r>
      <w:r w:rsidRPr="00086E9F">
        <w:rPr>
          <w:rFonts w:eastAsia="Times New Roman" w:cs="Times New Roman"/>
          <w:szCs w:val="20"/>
        </w:rPr>
        <w:t xml:space="preserve"> jau </w:t>
      </w:r>
      <w:r w:rsidRPr="00086E9F">
        <w:rPr>
          <w:rFonts w:eastAsia="Times New Roman" w:cs="Times New Roman"/>
          <w:color w:val="000000"/>
          <w:szCs w:val="24"/>
          <w:lang w:eastAsia="lv-LV"/>
        </w:rPr>
        <w:t xml:space="preserve">noslēdzās 8 atklātā konkursa projektu īstenošana un </w:t>
      </w:r>
      <w:r w:rsidRPr="00086E9F">
        <w:rPr>
          <w:rFonts w:eastAsia="Times New Roman" w:cs="Times New Roman"/>
          <w:szCs w:val="20"/>
        </w:rPr>
        <w:t xml:space="preserve">KM programmā </w:t>
      </w:r>
      <w:r w:rsidRPr="00086E9F">
        <w:rPr>
          <w:rFonts w:eastAsia="Times New Roman" w:cs="Times New Roman"/>
          <w:i/>
          <w:szCs w:val="20"/>
        </w:rPr>
        <w:t>“Kultūras un dabas mantojuma saglabāšana un atjaunināšana”</w:t>
      </w:r>
      <w:r w:rsidRPr="00086E9F">
        <w:rPr>
          <w:rFonts w:eastAsia="Times New Roman" w:cs="Times New Roman"/>
          <w:szCs w:val="20"/>
        </w:rPr>
        <w:t xml:space="preserve"> – 2 projektu īstenošana. </w:t>
      </w:r>
      <w:r w:rsidRPr="00086E9F">
        <w:rPr>
          <w:rFonts w:eastAsia="Times New Roman" w:cs="Times New Roman"/>
          <w:color w:val="000000"/>
          <w:szCs w:val="24"/>
          <w:lang w:eastAsia="lv-LV"/>
        </w:rPr>
        <w:t>6 no 12</w:t>
      </w:r>
      <w:r w:rsidRPr="00086E9F">
        <w:rPr>
          <w:rFonts w:eastAsia="Times New Roman" w:cs="Times New Roman"/>
          <w:szCs w:val="20"/>
        </w:rPr>
        <w:t xml:space="preserve"> </w:t>
      </w:r>
      <w:r w:rsidRPr="00086E9F">
        <w:rPr>
          <w:rFonts w:eastAsia="Times New Roman" w:cs="Times New Roman"/>
          <w:color w:val="000000"/>
          <w:szCs w:val="24"/>
          <w:lang w:eastAsia="lv-LV"/>
        </w:rPr>
        <w:t>iepriekš noteiktajiem projektiem ir sasniegti pirmie nozīmīgie rezultāti.</w:t>
      </w:r>
    </w:p>
    <w:p w14:paraId="2AFF3AB3" w14:textId="4B68ABFF" w:rsidR="00086E9F" w:rsidRPr="00086E9F" w:rsidRDefault="00086E9F" w:rsidP="00086E9F">
      <w:pPr>
        <w:autoSpaceDE w:val="0"/>
        <w:autoSpaceDN w:val="0"/>
        <w:adjustRightInd w:val="0"/>
        <w:spacing w:before="120" w:after="120" w:line="276" w:lineRule="auto"/>
        <w:jc w:val="both"/>
        <w:rPr>
          <w:rFonts w:eastAsia="Times New Roman" w:cs="Times New Roman"/>
          <w:color w:val="000000"/>
          <w:szCs w:val="24"/>
          <w:lang w:eastAsia="lv-LV"/>
        </w:rPr>
      </w:pPr>
      <w:r w:rsidRPr="00086E9F">
        <w:rPr>
          <w:rFonts w:eastAsia="Times New Roman" w:cs="Times New Roman"/>
          <w:color w:val="000000"/>
          <w:szCs w:val="24"/>
          <w:lang w:eastAsia="lv-LV"/>
        </w:rPr>
        <w:t>Šveices programmā turpinās 8 projektu īstenošana, savukārt 4 projektu īstenošana jau ir noslēgusies.</w:t>
      </w:r>
    </w:p>
    <w:p w14:paraId="03154A14" w14:textId="2A4966F2" w:rsidR="00D16A05" w:rsidRPr="00B57653" w:rsidRDefault="00D16A05" w:rsidP="000D320D">
      <w:pPr>
        <w:spacing w:line="276" w:lineRule="auto"/>
        <w:rPr>
          <w:b/>
        </w:rPr>
      </w:pPr>
      <w:r w:rsidRPr="00B57653">
        <w:rPr>
          <w:b/>
        </w:rPr>
        <w:t>Ziņojumā iekļautie protokollēmuma punkti</w:t>
      </w:r>
      <w:r w:rsidR="004576C9" w:rsidRPr="00B57653">
        <w:rPr>
          <w:b/>
        </w:rPr>
        <w:t xml:space="preserve"> paredz</w:t>
      </w:r>
    </w:p>
    <w:p w14:paraId="101960F8" w14:textId="7BCE1BE7" w:rsidR="00FF3A07" w:rsidRDefault="00A84CFE" w:rsidP="00F26EB3">
      <w:pPr>
        <w:pStyle w:val="ListParagraph"/>
        <w:numPr>
          <w:ilvl w:val="0"/>
          <w:numId w:val="42"/>
        </w:numPr>
        <w:spacing w:line="276" w:lineRule="auto"/>
        <w:jc w:val="both"/>
        <w:rPr>
          <w:rFonts w:eastAsia="Times New Roman" w:cs="Times New Roman"/>
          <w:color w:val="000000"/>
          <w:szCs w:val="24"/>
          <w:lang w:eastAsia="lv-LV"/>
        </w:rPr>
      </w:pPr>
      <w:r>
        <w:rPr>
          <w:rFonts w:eastAsia="Times New Roman" w:cs="Times New Roman"/>
          <w:color w:val="000000"/>
          <w:szCs w:val="24"/>
          <w:lang w:eastAsia="lv-LV"/>
        </w:rPr>
        <w:t>Ņemot vērā novērsto ES fondu finansējuma zaudējuma risku darbības programmā “Uzņēmējdarbība un inovācijas”, kā ar</w:t>
      </w:r>
      <w:r w:rsidR="00C14E9B">
        <w:rPr>
          <w:rFonts w:eastAsia="Times New Roman" w:cs="Times New Roman"/>
          <w:color w:val="000000"/>
          <w:szCs w:val="24"/>
          <w:lang w:eastAsia="lv-LV"/>
        </w:rPr>
        <w:t>ī ņemot vērā pieejamo virssaistī</w:t>
      </w:r>
      <w:r>
        <w:rPr>
          <w:rFonts w:eastAsia="Times New Roman" w:cs="Times New Roman"/>
          <w:color w:val="000000"/>
          <w:szCs w:val="24"/>
          <w:lang w:eastAsia="lv-LV"/>
        </w:rPr>
        <w:t>bu apjomu un iespējamo negatīvo ietekmi uz valsts budžetu, turpmāk darbības programmai “Uzņēmējdarbība un inovācijas” noteikt ierobežojumus attiecībā uz projektu pagarinājumiem un atbrīvotā finansējuma atkārtotu izmantošanu</w:t>
      </w:r>
      <w:r w:rsidR="009136E7">
        <w:rPr>
          <w:rStyle w:val="FootnoteReference"/>
          <w:rFonts w:eastAsia="Times New Roman" w:cs="Times New Roman"/>
          <w:color w:val="000000"/>
          <w:szCs w:val="24"/>
          <w:lang w:eastAsia="lv-LV"/>
        </w:rPr>
        <w:footnoteReference w:id="3"/>
      </w:r>
      <w:r>
        <w:rPr>
          <w:rFonts w:eastAsia="Times New Roman" w:cs="Times New Roman"/>
          <w:color w:val="000000"/>
          <w:szCs w:val="24"/>
          <w:lang w:eastAsia="lv-LV"/>
        </w:rPr>
        <w:t xml:space="preserve">. </w:t>
      </w:r>
    </w:p>
    <w:p w14:paraId="3A933422" w14:textId="07776297" w:rsidR="00BB18AC" w:rsidRDefault="00A0415E" w:rsidP="00F26EB3">
      <w:pPr>
        <w:pStyle w:val="ListParagraph"/>
        <w:numPr>
          <w:ilvl w:val="0"/>
          <w:numId w:val="42"/>
        </w:numPr>
        <w:spacing w:line="276" w:lineRule="auto"/>
        <w:jc w:val="both"/>
        <w:rPr>
          <w:rFonts w:eastAsia="Times New Roman" w:cs="Times New Roman"/>
          <w:color w:val="000000"/>
          <w:szCs w:val="24"/>
          <w:lang w:eastAsia="lv-LV"/>
        </w:rPr>
      </w:pPr>
      <w:r>
        <w:rPr>
          <w:rFonts w:eastAsia="Times New Roman" w:cs="Times New Roman"/>
          <w:color w:val="000000"/>
          <w:szCs w:val="24"/>
          <w:lang w:eastAsia="lv-LV"/>
        </w:rPr>
        <w:t xml:space="preserve">Lai nodrošinātu </w:t>
      </w:r>
      <w:r w:rsidRPr="00BD0128">
        <w:rPr>
          <w:rFonts w:eastAsia="Times New Roman" w:cs="Times New Roman"/>
          <w:color w:val="000000"/>
          <w:szCs w:val="24"/>
          <w:lang w:eastAsia="lv-LV"/>
        </w:rPr>
        <w:t>24. Ikgadējās augsta līmeņa Eiropas Sav</w:t>
      </w:r>
      <w:r>
        <w:rPr>
          <w:rFonts w:eastAsia="Times New Roman" w:cs="Times New Roman"/>
          <w:color w:val="000000"/>
          <w:szCs w:val="24"/>
          <w:lang w:eastAsia="lv-LV"/>
        </w:rPr>
        <w:t>ienības fondu auditoru sanāksmi</w:t>
      </w:r>
      <w:r w:rsidRPr="00BD0128">
        <w:rPr>
          <w:rFonts w:eastAsia="Times New Roman" w:cs="Times New Roman"/>
          <w:color w:val="000000"/>
          <w:szCs w:val="24"/>
          <w:lang w:eastAsia="lv-LV"/>
        </w:rPr>
        <w:t xml:space="preserve"> (</w:t>
      </w:r>
      <w:r w:rsidRPr="00BD0128">
        <w:rPr>
          <w:rFonts w:eastAsia="Times New Roman" w:cs="Times New Roman"/>
          <w:i/>
          <w:color w:val="000000"/>
          <w:szCs w:val="24"/>
          <w:lang w:eastAsia="lv-LV"/>
        </w:rPr>
        <w:t>24th Annual Meeting of European Auditors of Structural Funds (The Homologues Group)</w:t>
      </w:r>
      <w:r w:rsidRPr="007E0430">
        <w:rPr>
          <w:rFonts w:eastAsia="Times New Roman" w:cs="Times New Roman"/>
          <w:color w:val="000000"/>
          <w:szCs w:val="24"/>
          <w:lang w:eastAsia="lv-LV"/>
        </w:rPr>
        <w:t>,</w:t>
      </w:r>
      <w:r w:rsidRPr="00A0415E">
        <w:rPr>
          <w:rFonts w:eastAsia="Times New Roman" w:cs="Times New Roman"/>
          <w:color w:val="000000"/>
          <w:szCs w:val="24"/>
          <w:lang w:eastAsia="lv-LV"/>
        </w:rPr>
        <w:t xml:space="preserve"> </w:t>
      </w:r>
      <w:r>
        <w:rPr>
          <w:rFonts w:eastAsia="Times New Roman" w:cs="Times New Roman"/>
          <w:color w:val="000000"/>
          <w:szCs w:val="24"/>
          <w:lang w:eastAsia="lv-LV"/>
        </w:rPr>
        <w:t>a</w:t>
      </w:r>
      <w:r w:rsidR="00B8213C" w:rsidRPr="00BD0128">
        <w:rPr>
          <w:rFonts w:eastAsia="Times New Roman" w:cs="Times New Roman"/>
          <w:color w:val="000000"/>
          <w:szCs w:val="24"/>
          <w:lang w:eastAsia="lv-LV"/>
        </w:rPr>
        <w:t xml:space="preserve">tļaut </w:t>
      </w:r>
      <w:r w:rsidR="00FF3A07" w:rsidRPr="00BD0128">
        <w:rPr>
          <w:rFonts w:eastAsia="Times New Roman" w:cs="Times New Roman"/>
          <w:color w:val="000000"/>
          <w:szCs w:val="24"/>
          <w:lang w:eastAsia="lv-LV"/>
        </w:rPr>
        <w:t>FM</w:t>
      </w:r>
      <w:r w:rsidR="00B8213C" w:rsidRPr="00BD0128">
        <w:rPr>
          <w:rFonts w:eastAsia="Times New Roman" w:cs="Times New Roman"/>
          <w:color w:val="000000"/>
          <w:szCs w:val="24"/>
          <w:lang w:eastAsia="lv-LV"/>
        </w:rPr>
        <w:t xml:space="preserve"> uzņemties saistības un veikt nepieciešamās darbības, lai veiktu uzņemošās valsts uzdevumus, paredzot, ka nacionālā līdzfinansējuma apmērs n</w:t>
      </w:r>
      <w:r w:rsidR="009E2FCC" w:rsidRPr="00BD0128">
        <w:rPr>
          <w:rFonts w:eastAsia="Times New Roman" w:cs="Times New Roman"/>
          <w:color w:val="000000"/>
          <w:szCs w:val="24"/>
          <w:lang w:eastAsia="lv-LV"/>
        </w:rPr>
        <w:t>epārsniedz 20%</w:t>
      </w:r>
      <w:r w:rsidR="00B04509" w:rsidRPr="00BD0128">
        <w:rPr>
          <w:rFonts w:eastAsia="Times New Roman" w:cs="Times New Roman"/>
          <w:color w:val="000000"/>
          <w:szCs w:val="24"/>
          <w:lang w:eastAsia="lv-LV"/>
        </w:rPr>
        <w:t xml:space="preserve"> (detalizēta informācija</w:t>
      </w:r>
      <w:r w:rsidR="007C3C98" w:rsidRPr="00BD0128">
        <w:rPr>
          <w:rFonts w:eastAsia="Times New Roman" w:cs="Times New Roman"/>
          <w:color w:val="000000"/>
          <w:szCs w:val="24"/>
          <w:lang w:eastAsia="lv-LV"/>
        </w:rPr>
        <w:t xml:space="preserve"> sadaļā </w:t>
      </w:r>
      <w:r w:rsidR="00C44FE0" w:rsidRPr="00BD0128">
        <w:rPr>
          <w:rFonts w:eastAsia="Times New Roman" w:cs="Times New Roman"/>
          <w:color w:val="000000"/>
          <w:szCs w:val="24"/>
          <w:lang w:eastAsia="lv-LV"/>
        </w:rPr>
        <w:t>“</w:t>
      </w:r>
      <w:r w:rsidR="007C3C98" w:rsidRPr="00BD0128">
        <w:rPr>
          <w:rFonts w:eastAsia="Times New Roman" w:cs="Times New Roman"/>
          <w:color w:val="000000"/>
          <w:szCs w:val="24"/>
          <w:lang w:eastAsia="lv-LV"/>
        </w:rPr>
        <w:t>Eiropas savienības fondu auditoru sanāksme</w:t>
      </w:r>
      <w:r w:rsidR="00C44FE0" w:rsidRPr="00BD0128">
        <w:rPr>
          <w:rFonts w:eastAsia="Times New Roman" w:cs="Times New Roman"/>
          <w:color w:val="000000"/>
          <w:szCs w:val="24"/>
          <w:lang w:eastAsia="lv-LV"/>
        </w:rPr>
        <w:t>”</w:t>
      </w:r>
      <w:r w:rsidR="00B04509" w:rsidRPr="00BD0128">
        <w:rPr>
          <w:rFonts w:eastAsia="Times New Roman" w:cs="Times New Roman"/>
          <w:color w:val="000000"/>
          <w:szCs w:val="24"/>
          <w:lang w:eastAsia="lv-LV"/>
        </w:rPr>
        <w:t>)</w:t>
      </w:r>
      <w:r w:rsidR="009E2FCC" w:rsidRPr="00BD0128">
        <w:rPr>
          <w:rFonts w:eastAsia="Times New Roman" w:cs="Times New Roman"/>
          <w:color w:val="000000"/>
          <w:szCs w:val="24"/>
          <w:lang w:eastAsia="lv-LV"/>
        </w:rPr>
        <w:t>.</w:t>
      </w:r>
    </w:p>
    <w:p w14:paraId="3E47BAB7" w14:textId="0C8094A8" w:rsidR="00A4563D" w:rsidRPr="001B28A1" w:rsidRDefault="001B28A1" w:rsidP="00FB09EE">
      <w:pPr>
        <w:pStyle w:val="ListParagraph"/>
        <w:numPr>
          <w:ilvl w:val="0"/>
          <w:numId w:val="42"/>
        </w:numPr>
        <w:spacing w:line="276" w:lineRule="auto"/>
        <w:jc w:val="both"/>
        <w:rPr>
          <w:rFonts w:eastAsia="Times New Roman" w:cs="Times New Roman"/>
          <w:color w:val="000000"/>
          <w:szCs w:val="24"/>
          <w:lang w:eastAsia="lv-LV"/>
        </w:rPr>
      </w:pPr>
      <w:r w:rsidRPr="001B28A1">
        <w:rPr>
          <w:rFonts w:eastAsia="Times New Roman" w:cs="Times New Roman"/>
          <w:color w:val="000000"/>
          <w:szCs w:val="24"/>
          <w:lang w:eastAsia="lv-LV"/>
        </w:rPr>
        <w:t>Uzskatīt par atgūtiem neatbilsto</w:t>
      </w:r>
      <w:r w:rsidR="00335848">
        <w:rPr>
          <w:rFonts w:eastAsia="Times New Roman" w:cs="Times New Roman"/>
          <w:color w:val="000000"/>
          <w:szCs w:val="24"/>
          <w:lang w:eastAsia="lv-LV"/>
        </w:rPr>
        <w:t>ši veiktos</w:t>
      </w:r>
      <w:r w:rsidRPr="001B28A1">
        <w:rPr>
          <w:rFonts w:eastAsia="Times New Roman" w:cs="Times New Roman"/>
          <w:color w:val="000000"/>
          <w:szCs w:val="24"/>
          <w:lang w:eastAsia="lv-LV"/>
        </w:rPr>
        <w:t xml:space="preserve"> izdevumus </w:t>
      </w:r>
      <w:r w:rsidRPr="001B28A1">
        <w:rPr>
          <w:rFonts w:eastAsia="Times New Roman" w:cs="Times New Roman"/>
          <w:bCs/>
          <w:color w:val="000000"/>
          <w:szCs w:val="24"/>
          <w:lang w:eastAsia="lv-LV"/>
        </w:rPr>
        <w:t>3.2.2.1.1.apakšaktivitātes "Informācijas sistēmu un elektronisko pakalpojumu attīstība" ietvaros īstenotajos IZM un Kultūras informācijas sistēmas cen</w:t>
      </w:r>
      <w:r w:rsidR="002848D1">
        <w:rPr>
          <w:rFonts w:eastAsia="Times New Roman" w:cs="Times New Roman"/>
          <w:bCs/>
          <w:color w:val="000000"/>
          <w:szCs w:val="24"/>
          <w:lang w:eastAsia="lv-LV"/>
        </w:rPr>
        <w:t>tra (turpmāk – KISC)  projektos</w:t>
      </w:r>
      <w:r w:rsidRPr="001B28A1">
        <w:rPr>
          <w:rFonts w:eastAsia="Times New Roman" w:cs="Times New Roman"/>
          <w:bCs/>
          <w:color w:val="000000"/>
          <w:szCs w:val="24"/>
          <w:lang w:eastAsia="lv-LV"/>
        </w:rPr>
        <w:t xml:space="preserve"> </w:t>
      </w:r>
      <w:r w:rsidR="006D20EA" w:rsidRPr="001B28A1">
        <w:rPr>
          <w:rFonts w:eastAsia="Times New Roman" w:cs="Times New Roman"/>
          <w:color w:val="000000"/>
          <w:szCs w:val="24"/>
          <w:lang w:eastAsia="lv-LV"/>
        </w:rPr>
        <w:t xml:space="preserve">saskaņā ar noteikto kārtību </w:t>
      </w:r>
      <w:r w:rsidR="00CA2C34" w:rsidRPr="001B28A1">
        <w:rPr>
          <w:rFonts w:eastAsia="Times New Roman" w:cs="Times New Roman"/>
          <w:color w:val="000000"/>
          <w:szCs w:val="24"/>
          <w:lang w:eastAsia="lv-LV"/>
        </w:rPr>
        <w:t xml:space="preserve">risināt jautājumus saistībā ar projektu ieviešanā </w:t>
      </w:r>
      <w:r w:rsidR="005D0154" w:rsidRPr="001B28A1">
        <w:rPr>
          <w:rFonts w:eastAsia="Times New Roman" w:cs="Times New Roman"/>
          <w:color w:val="000000"/>
          <w:szCs w:val="24"/>
          <w:lang w:eastAsia="lv-LV"/>
        </w:rPr>
        <w:t xml:space="preserve"> konstatētajām neatbilstībām</w:t>
      </w:r>
      <w:r w:rsidR="006D20EA" w:rsidRPr="001B28A1">
        <w:rPr>
          <w:rFonts w:eastAsia="Times New Roman" w:cs="Times New Roman"/>
          <w:color w:val="000000"/>
          <w:szCs w:val="24"/>
          <w:lang w:eastAsia="lv-LV"/>
        </w:rPr>
        <w:t xml:space="preserve"> un piemērotajām finanšu korekcijām</w:t>
      </w:r>
      <w:r w:rsidR="00FB09EE" w:rsidRPr="001B28A1">
        <w:rPr>
          <w:rFonts w:eastAsia="Times New Roman" w:cs="Times New Roman"/>
          <w:color w:val="000000"/>
          <w:szCs w:val="24"/>
          <w:lang w:eastAsia="lv-LV"/>
        </w:rPr>
        <w:t>;</w:t>
      </w:r>
    </w:p>
    <w:p w14:paraId="2A6B77AC" w14:textId="00C0E0C5" w:rsidR="00B8213C" w:rsidRDefault="00FB09EE" w:rsidP="00FB09EE">
      <w:pPr>
        <w:pStyle w:val="ListParagraph"/>
        <w:numPr>
          <w:ilvl w:val="0"/>
          <w:numId w:val="42"/>
        </w:numPr>
        <w:spacing w:line="276" w:lineRule="auto"/>
        <w:jc w:val="both"/>
        <w:rPr>
          <w:rFonts w:eastAsia="Times New Roman" w:cs="Times New Roman"/>
          <w:color w:val="000000"/>
          <w:szCs w:val="24"/>
          <w:lang w:eastAsia="lv-LV"/>
        </w:rPr>
      </w:pPr>
      <w:r>
        <w:rPr>
          <w:rFonts w:eastAsia="Times New Roman" w:cs="Times New Roman"/>
          <w:color w:val="000000"/>
          <w:szCs w:val="24"/>
          <w:lang w:eastAsia="lv-LV"/>
        </w:rPr>
        <w:t xml:space="preserve">Apstiprināt precizētos </w:t>
      </w:r>
      <w:r w:rsidRPr="009D04A6">
        <w:rPr>
          <w:rFonts w:eastAsia="Times New Roman" w:cs="Times New Roman"/>
          <w:color w:val="000000"/>
          <w:szCs w:val="24"/>
          <w:lang w:eastAsia="lv-LV"/>
        </w:rPr>
        <w:t xml:space="preserve">maksājumu </w:t>
      </w:r>
      <w:r>
        <w:rPr>
          <w:rFonts w:eastAsia="Times New Roman" w:cs="Times New Roman"/>
          <w:color w:val="000000"/>
          <w:szCs w:val="24"/>
          <w:lang w:eastAsia="lv-LV"/>
        </w:rPr>
        <w:t>mērķus</w:t>
      </w:r>
      <w:r w:rsidRPr="009D04A6">
        <w:rPr>
          <w:rFonts w:eastAsia="Times New Roman" w:cs="Times New Roman"/>
          <w:color w:val="000000"/>
          <w:szCs w:val="24"/>
          <w:lang w:eastAsia="lv-LV"/>
        </w:rPr>
        <w:t xml:space="preserve"> 2015.gadā 2007. – 2013.gada plānošanas period</w:t>
      </w:r>
      <w:r>
        <w:rPr>
          <w:rFonts w:eastAsia="Times New Roman" w:cs="Times New Roman"/>
          <w:color w:val="000000"/>
          <w:szCs w:val="24"/>
          <w:lang w:eastAsia="lv-LV"/>
        </w:rPr>
        <w:t>a</w:t>
      </w:r>
      <w:r w:rsidRPr="009D04A6">
        <w:rPr>
          <w:rFonts w:eastAsia="Times New Roman" w:cs="Times New Roman"/>
          <w:color w:val="000000"/>
          <w:szCs w:val="24"/>
          <w:lang w:eastAsia="lv-LV"/>
        </w:rPr>
        <w:t xml:space="preserve"> </w:t>
      </w:r>
      <w:r w:rsidR="00495425">
        <w:rPr>
          <w:rFonts w:eastAsia="Times New Roman" w:cs="Times New Roman"/>
          <w:color w:val="000000"/>
          <w:szCs w:val="24"/>
          <w:lang w:eastAsia="lv-LV"/>
        </w:rPr>
        <w:t>ES fondu ietvaros,</w:t>
      </w:r>
      <w:r>
        <w:rPr>
          <w:rFonts w:eastAsia="Times New Roman" w:cs="Times New Roman"/>
          <w:color w:val="000000"/>
          <w:szCs w:val="24"/>
          <w:lang w:eastAsia="lv-LV"/>
        </w:rPr>
        <w:t xml:space="preserve"> t.sk. attiecībā </w:t>
      </w:r>
      <w:r w:rsidR="00E82DDA">
        <w:rPr>
          <w:rFonts w:eastAsia="Times New Roman" w:cs="Times New Roman"/>
          <w:color w:val="000000"/>
          <w:szCs w:val="24"/>
          <w:lang w:eastAsia="lv-LV"/>
        </w:rPr>
        <w:t>uz finanšu instrumentu atbalstu;</w:t>
      </w:r>
    </w:p>
    <w:p w14:paraId="1697816F" w14:textId="5A746F20" w:rsidR="00E82DDA" w:rsidRPr="00E82DDA" w:rsidRDefault="00E82DDA" w:rsidP="00E82DDA">
      <w:pPr>
        <w:pStyle w:val="ListParagraph"/>
        <w:numPr>
          <w:ilvl w:val="0"/>
          <w:numId w:val="42"/>
        </w:numPr>
        <w:jc w:val="both"/>
        <w:rPr>
          <w:rFonts w:eastAsia="Times New Roman" w:cs="Times New Roman"/>
          <w:bCs/>
          <w:color w:val="000000"/>
          <w:szCs w:val="24"/>
          <w:lang w:eastAsia="lv-LV"/>
        </w:rPr>
      </w:pPr>
      <w:r w:rsidRPr="00E82DDA">
        <w:rPr>
          <w:rFonts w:eastAsia="Times New Roman" w:cs="Times New Roman"/>
          <w:bCs/>
          <w:color w:val="000000"/>
          <w:szCs w:val="24"/>
          <w:lang w:eastAsia="lv-LV"/>
        </w:rPr>
        <w:t>Uzskatīt par izpildītu Ministru kabineta 2014.gada 25.novembra sēdes protokollēmuma (prot. Nr.65 83.§) 2.2.apakšpunktā noteikto uzdevumu Latvijas interešu aizstāvēšanai par Eiropas Komisijas ierosinātajām finanšu korekcijām 2004.-2006.gada plānošanas pe</w:t>
      </w:r>
      <w:r>
        <w:rPr>
          <w:rFonts w:eastAsia="Times New Roman" w:cs="Times New Roman"/>
          <w:bCs/>
          <w:color w:val="000000"/>
          <w:szCs w:val="24"/>
          <w:lang w:eastAsia="lv-LV"/>
        </w:rPr>
        <w:t>rioda Kohēzijas fonda ietvaros.</w:t>
      </w:r>
    </w:p>
    <w:p w14:paraId="14E3060A" w14:textId="77777777" w:rsidR="00E82DDA" w:rsidRPr="00E82DDA" w:rsidRDefault="00E82DDA" w:rsidP="00E82DDA">
      <w:pPr>
        <w:spacing w:line="276" w:lineRule="auto"/>
        <w:jc w:val="both"/>
        <w:rPr>
          <w:rFonts w:eastAsia="Times New Roman" w:cs="Times New Roman"/>
          <w:color w:val="000000"/>
          <w:szCs w:val="24"/>
          <w:lang w:eastAsia="lv-LV"/>
        </w:rPr>
      </w:pPr>
    </w:p>
    <w:p w14:paraId="44BED9C5" w14:textId="0A93EBAA" w:rsidR="00275A36" w:rsidRPr="00B57653" w:rsidRDefault="00A5315A" w:rsidP="00C04510">
      <w:pPr>
        <w:pStyle w:val="1lmenis"/>
        <w:rPr>
          <w:rFonts w:eastAsia="Calibri" w:cs="Times New Roman"/>
          <w:lang w:eastAsia="lv-LV"/>
        </w:rPr>
      </w:pPr>
      <w:bookmarkStart w:id="3" w:name="_Toc412729431"/>
      <w:r w:rsidRPr="00B57653">
        <w:lastRenderedPageBreak/>
        <w:t>ES fondu finansējuma ietekme uz Latvijas tautsaimniecības attīstību</w:t>
      </w:r>
      <w:r w:rsidR="00275A36" w:rsidRPr="00B57653">
        <w:rPr>
          <w:rStyle w:val="FootnoteReference"/>
        </w:rPr>
        <w:footnoteReference w:id="4"/>
      </w:r>
      <w:bookmarkStart w:id="4" w:name="_Toc378254572"/>
      <w:bookmarkStart w:id="5" w:name="_Toc378256172"/>
      <w:bookmarkEnd w:id="3"/>
    </w:p>
    <w:bookmarkEnd w:id="4"/>
    <w:bookmarkEnd w:id="5"/>
    <w:p w14:paraId="2642A597" w14:textId="5EC5AD37" w:rsidR="007C3C98" w:rsidRPr="007C3C98" w:rsidRDefault="00CC0CE4" w:rsidP="00CC0CE4">
      <w:pPr>
        <w:spacing w:before="120" w:after="120" w:line="276" w:lineRule="auto"/>
        <w:jc w:val="both"/>
      </w:pPr>
      <w:r w:rsidRPr="00B06128">
        <w:t>Ņemot vērā statistikas publicēšanas periodiskumu, šī ziņojuma ietvaros tiek sniegts apskats par makroekonomi</w:t>
      </w:r>
      <w:r w:rsidR="00CB7E1D">
        <w:t>s</w:t>
      </w:r>
      <w:r w:rsidRPr="00B06128">
        <w:t xml:space="preserve">kās situācijas attīstību 2014.gada 3.ceturksnī. Informācija par tautsaimniecības attīstību 2014.gada 4.ceturksnī kopumā tiks sniegta nākamajā ziņojumā par pārskata periodu līdz </w:t>
      </w:r>
      <w:r>
        <w:t>2015.gada 30.jūnijam</w:t>
      </w:r>
      <w:r w:rsidRPr="00B06128">
        <w:t>.</w:t>
      </w:r>
    </w:p>
    <w:p w14:paraId="1589A51D" w14:textId="77777777" w:rsidR="00CC0CE4" w:rsidRPr="00B06128" w:rsidRDefault="00CC0CE4" w:rsidP="00CC0CE4">
      <w:pPr>
        <w:spacing w:before="120" w:after="120" w:line="276" w:lineRule="auto"/>
        <w:jc w:val="both"/>
        <w:rPr>
          <w:szCs w:val="24"/>
        </w:rPr>
      </w:pPr>
      <w:r w:rsidRPr="00B06128">
        <w:rPr>
          <w:szCs w:val="24"/>
        </w:rPr>
        <w:t>Saskaņā ar CSP datiem Latvijas IKP 2013.gadā, salīdzinot ar iepriekšējo gadu, bija palielinājies par 4,2%, uzrādot straujāko kāpumu starp ES valstīm. 2014.gadā IKP pieaugums ir palēninājies, un trešajā ceturksnī salīdzinājumā ar iepriekšējā gada attiecīgo ceturksni veidoja 2,4%. Gada pirmajos trīs ceturkšņos kopā IKP ir audzis par 2,5%, un izaugsmes palēnināšanos noteikusi galvenokārt ārējās vides negatīvā ietekme, tajā skaitā saspīlētā ģeopolitiskā situācija reģionā un eirozonas ekonomiskās izaugsmes lēnā atjaunošanās.</w:t>
      </w:r>
      <w:r w:rsidRPr="00B06128">
        <w:t xml:space="preserve"> Saskaņā ar FM novērtējumu, ES fondu (plašākā izpratnē)</w:t>
      </w:r>
      <w:r w:rsidRPr="00B06128">
        <w:rPr>
          <w:rStyle w:val="FootnoteReference"/>
        </w:rPr>
        <w:footnoteReference w:id="5"/>
      </w:r>
      <w:r w:rsidRPr="00B06128">
        <w:t xml:space="preserve"> investīcijas</w:t>
      </w:r>
      <w:r>
        <w:t xml:space="preserve"> 2014.</w:t>
      </w:r>
      <w:r w:rsidRPr="00B06128">
        <w:t>gadā IKP izaugsmi palielinās par 1,1 procentpunktu.</w:t>
      </w:r>
    </w:p>
    <w:p w14:paraId="5C9010DE" w14:textId="77777777" w:rsidR="00CC0CE4" w:rsidRPr="00B06128" w:rsidRDefault="00CC0CE4" w:rsidP="00CC0CE4">
      <w:pPr>
        <w:spacing w:before="120" w:after="120" w:line="276" w:lineRule="auto"/>
        <w:jc w:val="both"/>
        <w:rPr>
          <w:b/>
          <w:bCs/>
        </w:rPr>
      </w:pPr>
      <w:r w:rsidRPr="00B06128">
        <w:rPr>
          <w:szCs w:val="24"/>
        </w:rPr>
        <w:t>No izlietojuma puses lielāko pozitīvo devumu izaugsmē 2014.gada trešajā ceturksnī deva privātais patēriņš, kas palielinājās par 2,1%, tādējādi atspoguļojot uzlabojumus darba tirgū un algu pieaugumu.</w:t>
      </w:r>
      <w:r w:rsidRPr="00B06128">
        <w:rPr>
          <w:color w:val="FF0000"/>
          <w:szCs w:val="24"/>
        </w:rPr>
        <w:t xml:space="preserve"> </w:t>
      </w:r>
      <w:r w:rsidRPr="00B06128">
        <w:rPr>
          <w:szCs w:val="24"/>
        </w:rPr>
        <w:t xml:space="preserve">Tomēr privātā patēriņa pieaugums bijis lēnāks nekā iepriekšējos ceturkšņos un kopumā privātais patēriņš trešajā ceturksnī joprojām par 6,4% atpaliek no pirmskrīzes augstākā līmeņa 2007.gada attiecīgajā ceturksnī. Privātā patēriņa straujāku atjaunošanos ierobežo joprojām augstais bezdarba līmenis un liels mājsaimniecību parādu slogs, kā arī ģeopolitiskā nestabilitāte. Prognozējams, ka </w:t>
      </w:r>
      <w:r w:rsidRPr="00B06128">
        <w:t xml:space="preserve">2014.gadā ES fondu investīcijas pozitīvi ietekmēs privātā patēriņa izaugsmi, palielinot pieauguma tempu par 1,8 procentpunktiem. </w:t>
      </w:r>
    </w:p>
    <w:p w14:paraId="1DE3EB7E" w14:textId="67681F94" w:rsidR="00CC0CE4" w:rsidRPr="00B06128" w:rsidRDefault="00CC0CE4" w:rsidP="00CC0CE4">
      <w:pPr>
        <w:spacing w:before="120" w:after="120" w:line="276" w:lineRule="auto"/>
        <w:jc w:val="both"/>
        <w:rPr>
          <w:szCs w:val="24"/>
        </w:rPr>
      </w:pPr>
      <w:r w:rsidRPr="00B06128">
        <w:rPr>
          <w:szCs w:val="24"/>
        </w:rPr>
        <w:t>Neskatoties uz ekonomikas izaugsmi pēdējo gadu laikā, investīcijas saglabājas salīdzinoši zemā līmenī, 2013.gadā investīciju apjoms samazinājās par 5,2%, vēl joprojām par 35% atpaliekot no pirmskrīzes laika augstākā līmeņa 2007.gadā. 2014.gada pirmajā pusē investīciju pieaugums bija atjaunojies, salīdzinājumā ar iepriekšējo gada pirmo pusi tām palielinoties par 5,0%, taču trešajā ceturksnī bruto pamatkapitāla veidošana, salīdzinot ar iepriekšējā gada attiecīgo ceturksni, atkal samazinājusies par 1,7%. Kopējo investīciju dinamiku ietekmē lielā nenoteiktība ārējā vidē saistībā ar būtiski pieaugušajiem ģeopolitiskajiem riskiem austrumu reģionā un eirozonas attīstības perspektīvām, kā arī komercbanku piesardzīgā kreditēšanas politika. Lai nodrošinātu stabilu izaugsmi, investīciju loma kļūs arvien svarīgāka. Vēl jo vairāk to apstiprina rūpniecības apakšnozarēs vērojamās augstās jaudu noslodzes, kas liecina par nepieciešamību investēt. Jāatzīmē, ka saskaņā ar FM izstrādāto scenāriju, ES fondu investīcijas 2014.gadā palielinās bruto pamatkapitāla veidošanu par 1,2 procentpunktiem.</w:t>
      </w:r>
    </w:p>
    <w:p w14:paraId="4BCE0841" w14:textId="68D800CA" w:rsidR="00CC0CE4" w:rsidRPr="00B06128" w:rsidRDefault="00CC0CE4" w:rsidP="00CC0CE4">
      <w:pPr>
        <w:spacing w:before="120" w:after="120" w:line="276" w:lineRule="auto"/>
        <w:jc w:val="both"/>
        <w:rPr>
          <w:lang w:eastAsia="lv-LV"/>
        </w:rPr>
      </w:pPr>
      <w:r w:rsidRPr="00B06128">
        <w:rPr>
          <w:szCs w:val="24"/>
        </w:rPr>
        <w:lastRenderedPageBreak/>
        <w:t xml:space="preserve">Ārējās vides pasliktināšanās ietekmē arī preču un pakalpojumu eksporta pieauguma temps trešajā ceturksnī palēninājās līdz 0,3%. Ja gada sākumā eksporta dinamiku joprojām ietekmēja problēmas metāla nozarē, tad šobrīd to arvien vairāk sāk ietekmēt situācija reģionā un eksports uz Krieviju, kura apjomi sāka samazināties vēl pirms Krievijas noteiktajām sankcijām. Novērtēts, ka ES fondu ietekme uz preču un pakalpojumu eksporta pieauguma 2014. gadā būs aptuveni 0,7 procentpunkti. </w:t>
      </w:r>
      <w:r w:rsidRPr="00B06128">
        <w:rPr>
          <w:iCs/>
        </w:rPr>
        <w:t xml:space="preserve">Preču un pakalpojumu imports 2014.gada trešajā ceturksnī samazinājās par 1,2%. </w:t>
      </w:r>
      <w:r w:rsidRPr="00B06128">
        <w:t xml:space="preserve">Jāatzīmē, ka prognozējamā ES fondu ietekme uz pieprasījumu </w:t>
      </w:r>
      <w:r w:rsidRPr="00B06128">
        <w:rPr>
          <w:lang w:eastAsia="lv-LV"/>
        </w:rPr>
        <w:t>pēc ā</w:t>
      </w:r>
      <w:r w:rsidR="00C71796">
        <w:rPr>
          <w:lang w:eastAsia="lv-LV"/>
        </w:rPr>
        <w:t>rvalstu precēm un pakalpojumiem</w:t>
      </w:r>
      <w:r w:rsidRPr="00B06128">
        <w:rPr>
          <w:lang w:eastAsia="lv-LV"/>
        </w:rPr>
        <w:t xml:space="preserve"> 2014.gadā nedaudz samazināsies salīdzinājumā ar iepriekšējo gadu, s</w:t>
      </w:r>
      <w:r w:rsidR="00C71796">
        <w:rPr>
          <w:lang w:eastAsia="lv-LV"/>
        </w:rPr>
        <w:t>ekmējot importa pieauguma tempu</w:t>
      </w:r>
      <w:r w:rsidRPr="00B06128">
        <w:rPr>
          <w:lang w:eastAsia="lv-LV"/>
        </w:rPr>
        <w:t xml:space="preserve"> par  vienu procentpunktu. </w:t>
      </w:r>
    </w:p>
    <w:p w14:paraId="3A1F8A64" w14:textId="77777777" w:rsidR="00CC0CE4" w:rsidRPr="00B06128" w:rsidRDefault="00CC0CE4" w:rsidP="00CC0CE4">
      <w:pPr>
        <w:spacing w:before="120" w:after="120" w:line="276" w:lineRule="auto"/>
        <w:jc w:val="both"/>
      </w:pPr>
      <w:r w:rsidRPr="00B06128">
        <w:t>Nozaru griezumā lielāko izaugsmi 2014.gada trešajā ceturksnī uzrādīja finanšu pakalpojumu un nekustamā īpašuma nozares – attiecīgi par 7,6% un 4,5%, auga arī tirdzniecības, izmitināšanas, transporta un uzglabāšanas nozares. Tomēr ģeopolitiskā konflikta seku dēļ par 0,4% samazinājās rūpniecības produkcijas izlaide, un būtiski kritās apjomi lauksaimniecības nozarē – par 5,9%.</w:t>
      </w:r>
    </w:p>
    <w:p w14:paraId="670D03EE" w14:textId="41A32FDB" w:rsidR="00CC0CE4" w:rsidRPr="00B06128" w:rsidRDefault="00CC0CE4" w:rsidP="00CC0CE4">
      <w:pPr>
        <w:spacing w:before="120" w:after="120" w:line="276" w:lineRule="auto"/>
        <w:jc w:val="both"/>
        <w:rPr>
          <w:szCs w:val="24"/>
        </w:rPr>
      </w:pPr>
      <w:r w:rsidRPr="00B06128">
        <w:rPr>
          <w:szCs w:val="24"/>
        </w:rPr>
        <w:t>Līdz ar ekonomikas izaugsmi pakāpeniski uzlabojas situācija darba tirgū. Pēc CSP veiktā darbaspēka apsekojuma rezultātiem 2013.gadā nodarbināto skaits 15-74 gadu vecumā sasniedza 893,9 tūkstošus, kas bija par 2,1% jeb 18,3 tūkstošiem vairāk nekā 2012.gadā un ES fondu projektu īstenošanas ietekme pieaugumā ir 0,5%. 2014.gadā nodarbināto skaita pieaugums kļuvis lēnāks un trešajā ceturksnī jau bijis vērojams nodarbināto skaita samazinājums. ES fondu projektu īstenošana saglabās pozitīvo ietekmi uz nodarbinātības dinamiku arī 2014.gadā, palielinot nodarbināto skaita pieauguma tempu par 0,3 procentpunktiem. Neskatoties uz faktu, ka ES fondu ietekme uz nodarbināto skaita pieaugumu ir neliela, ES fondu investīcijas ir būtiski stimulējušas cilvēkkapitāla attīstību.</w:t>
      </w:r>
    </w:p>
    <w:p w14:paraId="795CA6FC" w14:textId="568BF95B" w:rsidR="00CC0CE4" w:rsidRPr="00B06128" w:rsidRDefault="00CC0CE4" w:rsidP="00CC0CE4">
      <w:pPr>
        <w:spacing w:before="120" w:after="120" w:line="276" w:lineRule="auto"/>
        <w:jc w:val="both"/>
      </w:pPr>
      <w:r w:rsidRPr="00B06128">
        <w:rPr>
          <w:szCs w:val="24"/>
        </w:rPr>
        <w:t>Tajā pašā laikā darba meklētāju īpatsvars 2014.</w:t>
      </w:r>
      <w:r w:rsidR="00C71796">
        <w:rPr>
          <w:szCs w:val="24"/>
        </w:rPr>
        <w:t>gada trešajā ceturksnī</w:t>
      </w:r>
      <w:r w:rsidRPr="00B06128">
        <w:rPr>
          <w:szCs w:val="24"/>
        </w:rPr>
        <w:t xml:space="preserve"> turpināja samazināties,</w:t>
      </w:r>
      <w:r w:rsidRPr="00B06128">
        <w:t xml:space="preserve"> veidojot 10,6% no ekonomiski aktīvajiem iedzīvotājiem, un bija par 1,2 procentpunktiem mazāks nekā pirms gada. Vidējā termiņā nodarbinātības pieaugums turpinās pakāpeniski samazināsies, un ekonomikas izaugsme galvenokārt balstīsies uz produktivitātes pieaugumu. </w:t>
      </w:r>
    </w:p>
    <w:p w14:paraId="727F1678" w14:textId="0B576F0D" w:rsidR="00CC0CE4" w:rsidRDefault="00CC0CE4" w:rsidP="00CC0CE4">
      <w:pPr>
        <w:pStyle w:val="Default"/>
        <w:spacing w:line="276" w:lineRule="auto"/>
      </w:pPr>
      <w:r w:rsidRPr="00B06128">
        <w:t>Lai gan ekonomikā saglabājās augsti izaugsmes tempi, patēriņa cenas vidēji 2013.gadā saglabājās iepriekšējā gada līmenī, un 2014.gadā vērojams tikai niecīgs inflācijas pieaugums, kad trešajā ceturksnī patēriņa cenas bija par 0,8% augstākas nekā attiecīgajā ceturksnī pirms gada. Zemo inflācijas līmeni turpina noteikt ārējie procesi jeb tā sauktā importētā inflācija, pirmkārt energoresursu cenu kritums. Tajā pašā zemā līmenī saglabājās arī pamatinflācija jeb tā patēriņa groza daļa, kuru nosaka iekšējās norises. Vieglu inflāciju paaugstinošu efektu rada ES fondi – prognozējams, ka bez Kohēzijas politikas investīcijām 2014.gadā inflācija būtu par 0,3 procentpunktiem zemāka.</w:t>
      </w:r>
    </w:p>
    <w:p w14:paraId="551D9019" w14:textId="77777777" w:rsidR="008A56BB" w:rsidRDefault="008A56BB" w:rsidP="00CC0CE4">
      <w:pPr>
        <w:pStyle w:val="Default"/>
        <w:spacing w:line="276" w:lineRule="auto"/>
      </w:pPr>
    </w:p>
    <w:p w14:paraId="6A2DE5A0" w14:textId="77777777" w:rsidR="008A56BB" w:rsidRDefault="008A56BB" w:rsidP="00CC0CE4">
      <w:pPr>
        <w:pStyle w:val="Default"/>
        <w:spacing w:line="276" w:lineRule="auto"/>
      </w:pPr>
    </w:p>
    <w:p w14:paraId="7DCF1419" w14:textId="77777777" w:rsidR="008A56BB" w:rsidRPr="009E43DF" w:rsidRDefault="008A56BB" w:rsidP="00CC0CE4">
      <w:pPr>
        <w:pStyle w:val="Default"/>
        <w:spacing w:line="276" w:lineRule="auto"/>
      </w:pPr>
    </w:p>
    <w:p w14:paraId="3DC610D4" w14:textId="73FB7FB8" w:rsidR="00A5315A" w:rsidRDefault="00A5315A" w:rsidP="00C04510">
      <w:pPr>
        <w:pStyle w:val="1lmenis"/>
      </w:pPr>
      <w:bookmarkStart w:id="6" w:name="_Toc412729432"/>
      <w:r w:rsidRPr="00B57653">
        <w:lastRenderedPageBreak/>
        <w:t>2004.-2006.gada plānošanas perioda KF projektu slēgšana</w:t>
      </w:r>
      <w:bookmarkEnd w:id="6"/>
    </w:p>
    <w:p w14:paraId="2B7843D6" w14:textId="64051BB8" w:rsidR="008A56BB" w:rsidRPr="000400E0" w:rsidRDefault="008A56BB" w:rsidP="003721EE">
      <w:pPr>
        <w:spacing w:before="120" w:after="120" w:line="276" w:lineRule="auto"/>
        <w:jc w:val="both"/>
        <w:rPr>
          <w:rFonts w:eastAsia="Times New Roman" w:cs="Times New Roman"/>
          <w:szCs w:val="24"/>
        </w:rPr>
      </w:pPr>
      <w:r w:rsidRPr="000400E0">
        <w:rPr>
          <w:rFonts w:eastAsia="Times New Roman" w:cs="Times New Roman"/>
          <w:szCs w:val="24"/>
        </w:rPr>
        <w:t xml:space="preserve">2004.-2006.gada plānošanas perioda KF slēgšanas ietvaros līdz 2014.gada 4.ceturkšņa beigām no 45 KF projektiem EK ir akceptējusi noslēgumus 42 projektiem, veicot Latvijai kopā maksājumus 668,3 milj. </w:t>
      </w:r>
      <w:r w:rsidRPr="000400E0">
        <w:rPr>
          <w:rFonts w:eastAsia="Times New Roman" w:cs="Times New Roman"/>
          <w:i/>
          <w:szCs w:val="24"/>
        </w:rPr>
        <w:t>euro</w:t>
      </w:r>
      <w:r w:rsidRPr="000400E0">
        <w:rPr>
          <w:rFonts w:eastAsia="Times New Roman" w:cs="Times New Roman"/>
          <w:szCs w:val="24"/>
        </w:rPr>
        <w:t xml:space="preserve"> apmērā. Par slēgšanas procesā palikušo 3 KF projektu atsevišķu līgumu, t.i. 2 vides sektora projektu “Ūdenssaimniecības attīstība Liepājā, II kārta” (turpmāk – Liepājas projekts), “Bīstamo atkritumu apsaimniekošanas sistēmas izveide Latvijā, I kārta” (turpmāk – Bīstamo atkritumu projekta līgums) un tehniskās palīdzības projekta “Tehniskā palīdzība Kohēzijas fonda vadošajai iestādei Latvijā” ietvaros noslēgtā līguma</w:t>
      </w:r>
      <w:r w:rsidRPr="000400E0">
        <w:rPr>
          <w:rStyle w:val="FootnoteReference"/>
          <w:rFonts w:eastAsia="Times New Roman" w:cs="Times New Roman"/>
          <w:szCs w:val="24"/>
        </w:rPr>
        <w:footnoteReference w:id="6"/>
      </w:r>
      <w:r w:rsidRPr="000400E0">
        <w:rPr>
          <w:rFonts w:eastAsia="Times New Roman" w:cs="Times New Roman"/>
          <w:szCs w:val="24"/>
        </w:rPr>
        <w:t xml:space="preserve"> par AS “Latvijas dzelzceļš”</w:t>
      </w:r>
      <w:r w:rsidR="00DE7D92">
        <w:rPr>
          <w:rFonts w:eastAsia="Times New Roman" w:cs="Times New Roman"/>
          <w:szCs w:val="24"/>
        </w:rPr>
        <w:t xml:space="preserve"> (turpmāk – LDZ)</w:t>
      </w:r>
      <w:r w:rsidRPr="000400E0">
        <w:rPr>
          <w:rFonts w:eastAsia="Times New Roman" w:cs="Times New Roman"/>
          <w:szCs w:val="24"/>
        </w:rPr>
        <w:t xml:space="preserve"> īstenotā projekta “Vilcienu kustības vadības sistēmas modernizācija” darbu uzraudzības turpināšanu līdz visu darbu pilnīgai pabeigšanai (turpmāk - </w:t>
      </w:r>
      <w:r>
        <w:rPr>
          <w:rFonts w:eastAsia="Times New Roman" w:cs="Times New Roman"/>
          <w:szCs w:val="24"/>
        </w:rPr>
        <w:t>dzelzceļa uzraudzības</w:t>
      </w:r>
      <w:r w:rsidRPr="000400E0">
        <w:rPr>
          <w:rFonts w:eastAsia="Times New Roman" w:cs="Times New Roman"/>
          <w:szCs w:val="24"/>
        </w:rPr>
        <w:t xml:space="preserve"> līgums), izdevumu attiecināmību</w:t>
      </w:r>
      <w:r w:rsidRPr="000400E0">
        <w:rPr>
          <w:rStyle w:val="FootnoteReference"/>
          <w:rFonts w:eastAsia="Times New Roman" w:cs="Times New Roman"/>
          <w:szCs w:val="24"/>
        </w:rPr>
        <w:footnoteReference w:id="7"/>
      </w:r>
      <w:r w:rsidRPr="000400E0">
        <w:rPr>
          <w:rFonts w:eastAsia="Times New Roman" w:cs="Times New Roman"/>
          <w:szCs w:val="24"/>
        </w:rPr>
        <w:t xml:space="preserve">  un  EK ierosinātajām finanšu korekcijām pārskata periodā pirms</w:t>
      </w:r>
      <w:r>
        <w:rPr>
          <w:rFonts w:eastAsia="Times New Roman" w:cs="Times New Roman"/>
          <w:szCs w:val="24"/>
        </w:rPr>
        <w:t>-</w:t>
      </w:r>
      <w:r w:rsidRPr="000400E0">
        <w:rPr>
          <w:rFonts w:eastAsia="Times New Roman" w:cs="Times New Roman"/>
          <w:szCs w:val="24"/>
        </w:rPr>
        <w:t>uzklausīšanas procedūras ietvaros notika sarunas ar EK ar mērķi panākt pušu vienādu izpratni par faktoloģisko situāciju konkrēto projektu gadījumā un rast iespēju finanšu korekciju samazinājumam vai atcelšanai no EK puses.  Attiecīgi 2014.gada 8.decembrī</w:t>
      </w:r>
      <w:r>
        <w:rPr>
          <w:rFonts w:eastAsia="Times New Roman" w:cs="Times New Roman"/>
          <w:szCs w:val="24"/>
        </w:rPr>
        <w:t xml:space="preserve"> </w:t>
      </w:r>
      <w:r w:rsidRPr="000400E0">
        <w:rPr>
          <w:rFonts w:eastAsia="Times New Roman" w:cs="Times New Roman"/>
          <w:szCs w:val="24"/>
        </w:rPr>
        <w:t xml:space="preserve">Briselē notika EK un Latvijas pārstāvju </w:t>
      </w:r>
      <w:r w:rsidRPr="000400E0">
        <w:rPr>
          <w:szCs w:val="24"/>
        </w:rPr>
        <w:t>tikšanās, kur tika sniegts abu pušu viedoklis un argumentācija</w:t>
      </w:r>
      <w:r>
        <w:rPr>
          <w:szCs w:val="24"/>
        </w:rPr>
        <w:t xml:space="preserve">. </w:t>
      </w:r>
      <w:r w:rsidRPr="000400E0">
        <w:rPr>
          <w:szCs w:val="24"/>
        </w:rPr>
        <w:t xml:space="preserve">Uzklausot Latvijas puses skaidrojumus, EK sanāksmes noslēgumā pauda nemainīgu pozīciju, ka finanšu korekcijas nav samazināmas attiecībā uz </w:t>
      </w:r>
      <w:r w:rsidRPr="000400E0">
        <w:rPr>
          <w:rFonts w:eastAsia="Times New Roman" w:cs="Times New Roman"/>
          <w:szCs w:val="24"/>
        </w:rPr>
        <w:t xml:space="preserve">Bīstamo atkritumu projekta līgumu un </w:t>
      </w:r>
      <w:r>
        <w:rPr>
          <w:rFonts w:eastAsia="Times New Roman" w:cs="Times New Roman"/>
          <w:szCs w:val="24"/>
        </w:rPr>
        <w:t>dzelzceļa uzraudzības</w:t>
      </w:r>
      <w:r w:rsidRPr="000400E0">
        <w:rPr>
          <w:rFonts w:eastAsia="Times New Roman" w:cs="Times New Roman"/>
          <w:szCs w:val="24"/>
        </w:rPr>
        <w:t xml:space="preserve"> līgumu. Vienlaikus, ņemot vērā VARAM pamatojumu, EK saskatīja iespēju atsevišķos Liepājas projekta gadījumos atkārtoti izvērtēt iespēju finanšu korekcijas samazināšanai, balstoties uz EK vadlīnijās par finanšu korekciju piemērošanu pieļautai elastībai konkrētajās situācijās. </w:t>
      </w:r>
      <w:r w:rsidRPr="000400E0">
        <w:rPr>
          <w:szCs w:val="24"/>
        </w:rPr>
        <w:t xml:space="preserve">Atbilstoši tikšanās laikā panāktajai vienošanās VI 2015.gada 10.janvārī </w:t>
      </w:r>
      <w:r w:rsidRPr="000400E0">
        <w:rPr>
          <w:rFonts w:eastAsia="Times New Roman" w:cs="Times New Roman"/>
          <w:szCs w:val="24"/>
        </w:rPr>
        <w:t>ir nosūtījusi EK VARAM sagatavoto papildu argumentāciju finanšu korekcijas apmēra samazināšanai un pieprasītos dokumentus par vides sektora projektos ierosinātajām korekcijām</w:t>
      </w:r>
      <w:r>
        <w:rPr>
          <w:rFonts w:eastAsia="Times New Roman" w:cs="Times New Roman"/>
          <w:szCs w:val="24"/>
        </w:rPr>
        <w:t>. P</w:t>
      </w:r>
      <w:r w:rsidRPr="000400E0">
        <w:rPr>
          <w:rFonts w:eastAsia="Times New Roman" w:cs="Times New Roman"/>
          <w:szCs w:val="24"/>
        </w:rPr>
        <w:t xml:space="preserve">apildu argumentācija </w:t>
      </w:r>
      <w:r>
        <w:rPr>
          <w:rFonts w:eastAsia="Times New Roman" w:cs="Times New Roman"/>
          <w:szCs w:val="24"/>
        </w:rPr>
        <w:t xml:space="preserve">par dzelzceļa uzraudzības līgumu </w:t>
      </w:r>
      <w:r w:rsidRPr="000400E0">
        <w:rPr>
          <w:rFonts w:eastAsia="Times New Roman" w:cs="Times New Roman"/>
          <w:szCs w:val="24"/>
        </w:rPr>
        <w:t>EK tika iesniegta 2015.gada janvāra beigās, lūdzot EK attiecīgi pārcelt 2015.gada 19.februārī plānoto uzklausīšanas sanāksmi. EK ir piekritusi pārcelt uzklausīšanas sanāksmi uz 2015.gada 20.martu, ja pirms</w:t>
      </w:r>
      <w:r>
        <w:rPr>
          <w:rFonts w:eastAsia="Times New Roman" w:cs="Times New Roman"/>
          <w:szCs w:val="24"/>
        </w:rPr>
        <w:t>-</w:t>
      </w:r>
      <w:r w:rsidRPr="000400E0">
        <w:rPr>
          <w:rFonts w:eastAsia="Times New Roman" w:cs="Times New Roman"/>
          <w:szCs w:val="24"/>
        </w:rPr>
        <w:t xml:space="preserve">uzklausīšanas procedūrā netiks panākta kāda abpusēja vienošanās.  </w:t>
      </w:r>
    </w:p>
    <w:p w14:paraId="3FCF2968" w14:textId="6DB4C3A1" w:rsidR="008A56BB" w:rsidRPr="000400E0" w:rsidRDefault="008A56BB" w:rsidP="003721EE">
      <w:pPr>
        <w:tabs>
          <w:tab w:val="left" w:pos="8080"/>
        </w:tabs>
        <w:spacing w:before="120" w:after="120" w:line="276" w:lineRule="auto"/>
        <w:jc w:val="both"/>
        <w:rPr>
          <w:b/>
          <w:szCs w:val="24"/>
        </w:rPr>
      </w:pPr>
      <w:r w:rsidRPr="000400E0">
        <w:rPr>
          <w:szCs w:val="24"/>
        </w:rPr>
        <w:t xml:space="preserve">Sarunās ar EK, t.sk. telefonkonferencēs par VARAM un SM projektiem </w:t>
      </w:r>
      <w:r w:rsidRPr="000400E0">
        <w:rPr>
          <w:b/>
          <w:szCs w:val="24"/>
        </w:rPr>
        <w:t xml:space="preserve">panāktā gala EK pozīcija uz </w:t>
      </w:r>
      <w:r w:rsidR="002C03DA">
        <w:rPr>
          <w:b/>
          <w:szCs w:val="24"/>
        </w:rPr>
        <w:t>2015.gada 20.februāri</w:t>
      </w:r>
      <w:r w:rsidRPr="000400E0">
        <w:rPr>
          <w:b/>
          <w:szCs w:val="24"/>
        </w:rPr>
        <w:t>:</w:t>
      </w:r>
    </w:p>
    <w:p w14:paraId="09744B42" w14:textId="089D2F0E" w:rsidR="008A56BB" w:rsidRPr="000400E0" w:rsidRDefault="008A56BB" w:rsidP="003721EE">
      <w:pPr>
        <w:pStyle w:val="ListParagraph"/>
        <w:numPr>
          <w:ilvl w:val="0"/>
          <w:numId w:val="48"/>
        </w:numPr>
        <w:tabs>
          <w:tab w:val="left" w:pos="8080"/>
        </w:tabs>
        <w:spacing w:before="120" w:after="120" w:line="276" w:lineRule="auto"/>
        <w:jc w:val="both"/>
        <w:rPr>
          <w:szCs w:val="24"/>
        </w:rPr>
      </w:pPr>
      <w:r w:rsidRPr="000400E0">
        <w:rPr>
          <w:szCs w:val="24"/>
        </w:rPr>
        <w:t xml:space="preserve">par </w:t>
      </w:r>
      <w:r w:rsidRPr="000400E0">
        <w:rPr>
          <w:b/>
          <w:szCs w:val="24"/>
        </w:rPr>
        <w:t>vides sektora projektiem</w:t>
      </w:r>
      <w:r w:rsidRPr="000400E0">
        <w:rPr>
          <w:szCs w:val="24"/>
        </w:rPr>
        <w:t xml:space="preserve"> (</w:t>
      </w:r>
      <w:r w:rsidR="002C03DA">
        <w:rPr>
          <w:szCs w:val="24"/>
        </w:rPr>
        <w:t>2015.gada 11.februārī</w:t>
      </w:r>
      <w:r w:rsidRPr="000400E0">
        <w:rPr>
          <w:szCs w:val="24"/>
        </w:rPr>
        <w:t xml:space="preserve">) -  ņemot vērā VARAM papildu skaidrojumus,  </w:t>
      </w:r>
      <w:r w:rsidRPr="000400E0">
        <w:rPr>
          <w:b/>
          <w:szCs w:val="24"/>
        </w:rPr>
        <w:t xml:space="preserve">EK piedāvā samazināt finanšu korekciju par apm. 36% kopā </w:t>
      </w:r>
      <w:r w:rsidRPr="000400E0">
        <w:rPr>
          <w:szCs w:val="24"/>
        </w:rPr>
        <w:t>(</w:t>
      </w:r>
      <w:r w:rsidRPr="000400E0">
        <w:rPr>
          <w:b/>
          <w:szCs w:val="24"/>
        </w:rPr>
        <w:t xml:space="preserve">1 milj. </w:t>
      </w:r>
      <w:r w:rsidRPr="005C212A">
        <w:rPr>
          <w:b/>
          <w:i/>
          <w:szCs w:val="24"/>
        </w:rPr>
        <w:t>euro</w:t>
      </w:r>
      <w:r w:rsidRPr="000400E0">
        <w:rPr>
          <w:szCs w:val="24"/>
        </w:rPr>
        <w:t xml:space="preserve"> (no 2,7 milj</w:t>
      </w:r>
      <w:r>
        <w:rPr>
          <w:szCs w:val="24"/>
        </w:rPr>
        <w:t xml:space="preserve">. </w:t>
      </w:r>
      <w:r w:rsidR="00B9497A" w:rsidRPr="00B9497A">
        <w:rPr>
          <w:i/>
          <w:szCs w:val="24"/>
        </w:rPr>
        <w:t>euro</w:t>
      </w:r>
      <w:r w:rsidRPr="000400E0">
        <w:rPr>
          <w:szCs w:val="24"/>
        </w:rPr>
        <w:t xml:space="preserve"> uz 1,7 milj. </w:t>
      </w:r>
      <w:r w:rsidR="00B9497A" w:rsidRPr="00B9497A">
        <w:rPr>
          <w:i/>
          <w:szCs w:val="24"/>
        </w:rPr>
        <w:t>euro</w:t>
      </w:r>
      <w:r w:rsidRPr="000400E0">
        <w:rPr>
          <w:szCs w:val="24"/>
        </w:rPr>
        <w:t xml:space="preserve"> samazinājums Liepājas projektā) - kopā </w:t>
      </w:r>
      <w:r w:rsidRPr="000400E0">
        <w:rPr>
          <w:b/>
          <w:szCs w:val="24"/>
        </w:rPr>
        <w:t>vides sektora KF atbalsta samazinājums būtu 1,9</w:t>
      </w:r>
      <w:r w:rsidRPr="000400E0">
        <w:rPr>
          <w:szCs w:val="24"/>
        </w:rPr>
        <w:t xml:space="preserve"> milj</w:t>
      </w:r>
      <w:r>
        <w:rPr>
          <w:szCs w:val="24"/>
        </w:rPr>
        <w:t xml:space="preserve">. </w:t>
      </w:r>
      <w:r w:rsidR="00B9497A" w:rsidRPr="00B9497A">
        <w:rPr>
          <w:i/>
          <w:szCs w:val="24"/>
        </w:rPr>
        <w:t>euro</w:t>
      </w:r>
      <w:r>
        <w:rPr>
          <w:szCs w:val="24"/>
        </w:rPr>
        <w:t xml:space="preserve">. </w:t>
      </w:r>
      <w:r w:rsidRPr="000400E0">
        <w:rPr>
          <w:b/>
          <w:szCs w:val="24"/>
        </w:rPr>
        <w:t xml:space="preserve">VARAM pēc būtības saskata, ka EK piedāvātais samazinātās korekcijas </w:t>
      </w:r>
      <w:r w:rsidRPr="000400E0">
        <w:rPr>
          <w:b/>
          <w:szCs w:val="24"/>
        </w:rPr>
        <w:lastRenderedPageBreak/>
        <w:t>variants ir labākais iespējamais</w:t>
      </w:r>
      <w:r w:rsidRPr="000400E0">
        <w:rPr>
          <w:szCs w:val="24"/>
        </w:rPr>
        <w:t xml:space="preserve"> un ka uzklausīšanas procedūrā, iespējams, var rasties vēl sliktāks rezultāts. </w:t>
      </w:r>
      <w:r w:rsidR="00DE7D92">
        <w:rPr>
          <w:szCs w:val="24"/>
        </w:rPr>
        <w:t>VI</w:t>
      </w:r>
      <w:r w:rsidRPr="000400E0">
        <w:rPr>
          <w:szCs w:val="24"/>
        </w:rPr>
        <w:t xml:space="preserve"> piekrīt.</w:t>
      </w:r>
    </w:p>
    <w:p w14:paraId="4D77D999" w14:textId="48502389" w:rsidR="008A56BB" w:rsidRPr="000400E0" w:rsidRDefault="008A56BB" w:rsidP="003721EE">
      <w:pPr>
        <w:pStyle w:val="ListParagraph"/>
        <w:numPr>
          <w:ilvl w:val="0"/>
          <w:numId w:val="48"/>
        </w:numPr>
        <w:tabs>
          <w:tab w:val="left" w:pos="8080"/>
        </w:tabs>
        <w:spacing w:before="120" w:after="120" w:line="276" w:lineRule="auto"/>
        <w:jc w:val="both"/>
        <w:rPr>
          <w:szCs w:val="24"/>
        </w:rPr>
      </w:pPr>
      <w:r w:rsidRPr="000400E0">
        <w:rPr>
          <w:szCs w:val="24"/>
        </w:rPr>
        <w:t xml:space="preserve">par </w:t>
      </w:r>
      <w:r w:rsidRPr="000400E0">
        <w:rPr>
          <w:b/>
          <w:szCs w:val="24"/>
        </w:rPr>
        <w:t>SM LDZ līgumu</w:t>
      </w:r>
      <w:r w:rsidRPr="000400E0">
        <w:rPr>
          <w:szCs w:val="24"/>
        </w:rPr>
        <w:t xml:space="preserve"> </w:t>
      </w:r>
      <w:r>
        <w:rPr>
          <w:szCs w:val="24"/>
        </w:rPr>
        <w:t>(</w:t>
      </w:r>
      <w:r w:rsidR="002C03DA">
        <w:rPr>
          <w:szCs w:val="24"/>
        </w:rPr>
        <w:t>2015.gada 19.ferbruārī</w:t>
      </w:r>
      <w:r w:rsidRPr="000400E0">
        <w:rPr>
          <w:szCs w:val="24"/>
        </w:rPr>
        <w:t xml:space="preserve">) SM un LDZ sniedza papildu argumentus EK. </w:t>
      </w:r>
      <w:r w:rsidRPr="000400E0">
        <w:rPr>
          <w:b/>
          <w:szCs w:val="24"/>
        </w:rPr>
        <w:t>EK izteica savus stingrus juridiskus un uz precedentiem balstītu</w:t>
      </w:r>
      <w:r w:rsidR="00AA1596">
        <w:rPr>
          <w:b/>
          <w:szCs w:val="24"/>
        </w:rPr>
        <w:t>s</w:t>
      </w:r>
      <w:r w:rsidRPr="000400E0">
        <w:rPr>
          <w:b/>
          <w:szCs w:val="24"/>
        </w:rPr>
        <w:t xml:space="preserve"> pretargumentus, norādot, ka joprojām neredz iespēju nepiemērot vai samazināt finanšu korekciju.</w:t>
      </w:r>
      <w:r w:rsidRPr="000400E0">
        <w:rPr>
          <w:szCs w:val="24"/>
        </w:rPr>
        <w:t xml:space="preserve"> Vienojās, ka SM līdz </w:t>
      </w:r>
      <w:r w:rsidR="00B9497A">
        <w:rPr>
          <w:szCs w:val="24"/>
        </w:rPr>
        <w:t>2015.gada</w:t>
      </w:r>
      <w:r w:rsidRPr="000400E0">
        <w:rPr>
          <w:szCs w:val="24"/>
        </w:rPr>
        <w:t xml:space="preserve"> 20.februāra darbdienas beigām </w:t>
      </w:r>
      <w:r>
        <w:rPr>
          <w:szCs w:val="24"/>
        </w:rPr>
        <w:t xml:space="preserve">rakstiski </w:t>
      </w:r>
      <w:r w:rsidRPr="000400E0">
        <w:rPr>
          <w:szCs w:val="24"/>
        </w:rPr>
        <w:t>nosūtīs papildu argumentāciju, kas tika sniegta telefonkonferences laikā. EK  nedēļas laikā sagatavos savu atzinumu. V</w:t>
      </w:r>
      <w:r w:rsidR="00DE7D92">
        <w:rPr>
          <w:szCs w:val="24"/>
        </w:rPr>
        <w:t>I</w:t>
      </w:r>
      <w:r w:rsidRPr="000400E0">
        <w:rPr>
          <w:szCs w:val="24"/>
        </w:rPr>
        <w:t xml:space="preserve"> viedoklis – SM/LDZ gadījumā</w:t>
      </w:r>
      <w:r>
        <w:rPr>
          <w:szCs w:val="24"/>
        </w:rPr>
        <w:t xml:space="preserve"> visdrīzāk</w:t>
      </w:r>
      <w:r w:rsidRPr="000400E0">
        <w:rPr>
          <w:szCs w:val="24"/>
        </w:rPr>
        <w:t xml:space="preserve"> nebūs iespējams vienoties par korekcijas nepiemērošanu.</w:t>
      </w:r>
    </w:p>
    <w:p w14:paraId="09E3AC62" w14:textId="3046F158" w:rsidR="008A56BB" w:rsidRPr="000400E0" w:rsidRDefault="008A56BB" w:rsidP="003721EE">
      <w:pPr>
        <w:pStyle w:val="ListParagraph"/>
        <w:numPr>
          <w:ilvl w:val="0"/>
          <w:numId w:val="48"/>
        </w:numPr>
        <w:tabs>
          <w:tab w:val="left" w:pos="8080"/>
        </w:tabs>
        <w:spacing w:before="120" w:after="120" w:line="276" w:lineRule="auto"/>
        <w:jc w:val="both"/>
        <w:rPr>
          <w:szCs w:val="24"/>
        </w:rPr>
      </w:pPr>
      <w:r w:rsidRPr="000400E0">
        <w:rPr>
          <w:szCs w:val="24"/>
        </w:rPr>
        <w:t>EK nepiekrīt pārcelt plānoto</w:t>
      </w:r>
      <w:r>
        <w:rPr>
          <w:szCs w:val="24"/>
        </w:rPr>
        <w:t xml:space="preserve"> 2015.gada 20.marta </w:t>
      </w:r>
      <w:r w:rsidRPr="000400E0">
        <w:rPr>
          <w:szCs w:val="24"/>
        </w:rPr>
        <w:t>uzklausīšanas sanāksmi.</w:t>
      </w:r>
      <w:r w:rsidRPr="000400E0">
        <w:rPr>
          <w:b/>
          <w:szCs w:val="24"/>
        </w:rPr>
        <w:t xml:space="preserve"> Latvijai jāsniedz EK atbilde līdz</w:t>
      </w:r>
      <w:r>
        <w:rPr>
          <w:b/>
          <w:szCs w:val="24"/>
        </w:rPr>
        <w:t xml:space="preserve"> 2015.gada 10.martam</w:t>
      </w:r>
      <w:r w:rsidRPr="000400E0">
        <w:rPr>
          <w:b/>
          <w:szCs w:val="24"/>
        </w:rPr>
        <w:t>, vai piekrīt pirms</w:t>
      </w:r>
      <w:r>
        <w:rPr>
          <w:b/>
          <w:szCs w:val="24"/>
        </w:rPr>
        <w:t>-</w:t>
      </w:r>
      <w:r w:rsidRPr="000400E0">
        <w:rPr>
          <w:b/>
          <w:szCs w:val="24"/>
        </w:rPr>
        <w:t>uzklausīšanas procedūrā panāktai vienošanās par visiem projektiem kopā, kas ir sākotnējās kore</w:t>
      </w:r>
      <w:r>
        <w:rPr>
          <w:b/>
          <w:szCs w:val="24"/>
        </w:rPr>
        <w:t xml:space="preserve">kcijas samazinājums par ap 33% </w:t>
      </w:r>
      <w:r w:rsidRPr="000400E0">
        <w:rPr>
          <w:b/>
          <w:szCs w:val="24"/>
        </w:rPr>
        <w:t>- KF atbalstu samazinājums no sākotnēju piedāvātās 3,8 milj</w:t>
      </w:r>
      <w:r>
        <w:rPr>
          <w:b/>
          <w:szCs w:val="24"/>
        </w:rPr>
        <w:t>.</w:t>
      </w:r>
      <w:r w:rsidRPr="000400E0">
        <w:rPr>
          <w:b/>
          <w:szCs w:val="24"/>
        </w:rPr>
        <w:t xml:space="preserve"> </w:t>
      </w:r>
      <w:r w:rsidR="00B9497A" w:rsidRPr="00B9497A">
        <w:rPr>
          <w:b/>
          <w:i/>
          <w:szCs w:val="24"/>
        </w:rPr>
        <w:t>euro</w:t>
      </w:r>
      <w:r w:rsidRPr="000400E0">
        <w:rPr>
          <w:b/>
          <w:szCs w:val="24"/>
        </w:rPr>
        <w:t xml:space="preserve"> uz 2,6 milj</w:t>
      </w:r>
      <w:r>
        <w:rPr>
          <w:b/>
          <w:szCs w:val="24"/>
        </w:rPr>
        <w:t>.</w:t>
      </w:r>
      <w:r w:rsidRPr="000400E0">
        <w:rPr>
          <w:b/>
          <w:szCs w:val="24"/>
        </w:rPr>
        <w:t xml:space="preserve"> </w:t>
      </w:r>
      <w:r w:rsidR="00B9497A" w:rsidRPr="00B9497A">
        <w:rPr>
          <w:b/>
          <w:i/>
          <w:szCs w:val="24"/>
        </w:rPr>
        <w:t>euro</w:t>
      </w:r>
      <w:r w:rsidRPr="000400E0">
        <w:rPr>
          <w:b/>
          <w:szCs w:val="24"/>
        </w:rPr>
        <w:t xml:space="preserve">. </w:t>
      </w:r>
      <w:r>
        <w:rPr>
          <w:szCs w:val="24"/>
        </w:rPr>
        <w:t xml:space="preserve">Turklāt ir jāpiebilst , ka </w:t>
      </w:r>
      <w:r w:rsidRPr="000400E0">
        <w:rPr>
          <w:szCs w:val="24"/>
        </w:rPr>
        <w:t>līdz šim sarunās ar EK nav izdevies panākt lielā</w:t>
      </w:r>
      <w:r>
        <w:rPr>
          <w:szCs w:val="24"/>
        </w:rPr>
        <w:t>ku korekcijas samazinājumu</w:t>
      </w:r>
      <w:r w:rsidRPr="000400E0">
        <w:rPr>
          <w:szCs w:val="24"/>
        </w:rPr>
        <w:t xml:space="preserve"> par 20-25%.</w:t>
      </w:r>
      <w:r>
        <w:rPr>
          <w:szCs w:val="24"/>
        </w:rPr>
        <w:t xml:space="preserve"> Vienlaikus, uzklausīšanas procesa ietvaros var tikt celti arī citi argumenti un jautājumi no EK dienestu puses, pasliktinot līdz šim panākto vienošanos.</w:t>
      </w:r>
    </w:p>
    <w:p w14:paraId="4B9DF8AF" w14:textId="6C68D444" w:rsidR="008A56BB" w:rsidRPr="003721EE" w:rsidRDefault="003E6097" w:rsidP="004825C7">
      <w:pPr>
        <w:spacing w:after="200" w:line="276" w:lineRule="auto"/>
        <w:jc w:val="both"/>
        <w:rPr>
          <w:rFonts w:cs="Times New Roman"/>
          <w:szCs w:val="26"/>
          <w:lang w:bidi="lo-LA"/>
        </w:rPr>
      </w:pPr>
      <w:r w:rsidRPr="003721EE">
        <w:rPr>
          <w:rFonts w:cs="Times New Roman"/>
          <w:szCs w:val="26"/>
        </w:rPr>
        <w:t xml:space="preserve">Ņemot vērā sniegto informāciju, uzskatīt par izpildītu </w:t>
      </w:r>
      <w:r w:rsidR="00DE7D92">
        <w:rPr>
          <w:rFonts w:cs="Times New Roman"/>
          <w:szCs w:val="26"/>
        </w:rPr>
        <w:t>MK</w:t>
      </w:r>
      <w:r w:rsidRPr="003721EE">
        <w:rPr>
          <w:rFonts w:cs="Times New Roman"/>
          <w:szCs w:val="26"/>
        </w:rPr>
        <w:t xml:space="preserve"> 2014.gada 25.novembra sēdes pr</w:t>
      </w:r>
      <w:r w:rsidR="004825C7" w:rsidRPr="003721EE">
        <w:rPr>
          <w:rFonts w:cs="Times New Roman"/>
          <w:szCs w:val="26"/>
        </w:rPr>
        <w:t xml:space="preserve">otokollēmuma (prot. Nr.65 83.§) </w:t>
      </w:r>
      <w:r w:rsidRPr="003721EE">
        <w:rPr>
          <w:rFonts w:cs="Times New Roman"/>
          <w:szCs w:val="26"/>
        </w:rPr>
        <w:t xml:space="preserve">2.2.apakšpunktā noteikto uzdevumu Latvijas interešu aizstāvēšanai par </w:t>
      </w:r>
      <w:r w:rsidR="00B9497A">
        <w:rPr>
          <w:rFonts w:cs="Times New Roman"/>
          <w:szCs w:val="26"/>
        </w:rPr>
        <w:t>EK</w:t>
      </w:r>
      <w:r w:rsidRPr="003721EE">
        <w:rPr>
          <w:rFonts w:cs="Times New Roman"/>
          <w:szCs w:val="26"/>
        </w:rPr>
        <w:t xml:space="preserve"> ierosinātajām finanšu korekcijām 2004.-2006.gada plānošanas perioda </w:t>
      </w:r>
      <w:r w:rsidR="00B9497A">
        <w:rPr>
          <w:rFonts w:cs="Times New Roman"/>
          <w:szCs w:val="26"/>
        </w:rPr>
        <w:t>KF</w:t>
      </w:r>
      <w:r w:rsidRPr="003721EE">
        <w:rPr>
          <w:rFonts w:cs="Times New Roman"/>
          <w:szCs w:val="26"/>
        </w:rPr>
        <w:t xml:space="preserve"> ietvaros saskaņā ar panākto rezultātu sarunās ar </w:t>
      </w:r>
      <w:r w:rsidR="00B9497A">
        <w:rPr>
          <w:rFonts w:cs="Times New Roman"/>
          <w:szCs w:val="26"/>
        </w:rPr>
        <w:t>EK</w:t>
      </w:r>
      <w:r w:rsidRPr="003721EE">
        <w:rPr>
          <w:rFonts w:cs="Times New Roman"/>
          <w:szCs w:val="26"/>
        </w:rPr>
        <w:t xml:space="preserve"> pirms-uzklausīšanas procedūrā, ja vien </w:t>
      </w:r>
      <w:r w:rsidR="00B9497A">
        <w:rPr>
          <w:rFonts w:cs="Times New Roman"/>
          <w:szCs w:val="26"/>
        </w:rPr>
        <w:t>VARAM</w:t>
      </w:r>
      <w:r w:rsidRPr="003721EE">
        <w:rPr>
          <w:rFonts w:cs="Times New Roman"/>
          <w:szCs w:val="26"/>
        </w:rPr>
        <w:t xml:space="preserve"> un </w:t>
      </w:r>
      <w:r w:rsidR="00B9497A">
        <w:rPr>
          <w:rFonts w:cs="Times New Roman"/>
          <w:szCs w:val="26"/>
        </w:rPr>
        <w:t>SM</w:t>
      </w:r>
      <w:r w:rsidRPr="003721EE">
        <w:rPr>
          <w:rFonts w:cs="Times New Roman"/>
          <w:szCs w:val="26"/>
        </w:rPr>
        <w:t xml:space="preserve">  līdz 2015.gada 10.martam nav informējusi par nepieciešamību un pamatojumu uzklausīšanas procedūras turpināšanai.</w:t>
      </w:r>
    </w:p>
    <w:p w14:paraId="79D2AB3B" w14:textId="486C14E9" w:rsidR="00E01513" w:rsidRPr="00B57653" w:rsidRDefault="00A5315A" w:rsidP="00C04510">
      <w:pPr>
        <w:pStyle w:val="1lmenis"/>
      </w:pPr>
      <w:bookmarkStart w:id="7" w:name="_Toc412729433"/>
      <w:r w:rsidRPr="00B57653">
        <w:t>2007. -2013.gada plānošanas perioda ES fondu ieviešana</w:t>
      </w:r>
      <w:bookmarkEnd w:id="7"/>
    </w:p>
    <w:p w14:paraId="59D5AE05" w14:textId="7B578589" w:rsidR="008473F6" w:rsidRPr="00B57653" w:rsidRDefault="00A5315A" w:rsidP="00D63924">
      <w:pPr>
        <w:pStyle w:val="2lmenis"/>
      </w:pPr>
      <w:bookmarkStart w:id="8" w:name="_Toc412729434"/>
      <w:r w:rsidRPr="00B57653">
        <w:t>Darbības programmu un darbības programmu papildinājumu grozījumi</w:t>
      </w:r>
      <w:bookmarkEnd w:id="8"/>
    </w:p>
    <w:p w14:paraId="6CA65A62" w14:textId="257346BB" w:rsidR="00BA2F86" w:rsidRPr="00B57653" w:rsidRDefault="00BA2F86" w:rsidP="00646790">
      <w:pPr>
        <w:spacing w:before="120" w:after="120" w:line="276" w:lineRule="auto"/>
        <w:jc w:val="both"/>
      </w:pPr>
      <w:r w:rsidRPr="00B57653">
        <w:t xml:space="preserve">Lai nodrošinātu efektīvu un operatīvu ES fondu ieviešanu, kā arī lai reaģētu uz pārmaiņām sociāli ekonomiskajā situācijā valstī un nozaru politikās, pārskata periodā AI un VI ir veikušas vairākus </w:t>
      </w:r>
      <w:r w:rsidR="006779FF" w:rsidRPr="00B57653">
        <w:t xml:space="preserve">DPP </w:t>
      </w:r>
      <w:r w:rsidRPr="00B57653">
        <w:t xml:space="preserve">grozījumus. Plānošanas dokumenti ir pieejami </w:t>
      </w:r>
      <w:hyperlink r:id="rId16" w:history="1">
        <w:r w:rsidRPr="00B57653">
          <w:rPr>
            <w:rStyle w:val="Hyperlink"/>
            <w:rFonts w:cs="Times New Roman"/>
            <w:color w:val="000000" w:themeColor="text1"/>
            <w:szCs w:val="24"/>
          </w:rPr>
          <w:t xml:space="preserve">ES fondu </w:t>
        </w:r>
        <w:r w:rsidR="00467E26" w:rsidRPr="00B57653">
          <w:rPr>
            <w:rStyle w:val="Hyperlink"/>
            <w:rFonts w:cs="Times New Roman"/>
            <w:color w:val="000000" w:themeColor="text1"/>
            <w:szCs w:val="24"/>
          </w:rPr>
          <w:t xml:space="preserve">tīmekļa </w:t>
        </w:r>
        <w:r w:rsidRPr="00B57653">
          <w:rPr>
            <w:rStyle w:val="Hyperlink"/>
            <w:rFonts w:cs="Times New Roman"/>
            <w:color w:val="000000" w:themeColor="text1"/>
            <w:szCs w:val="24"/>
          </w:rPr>
          <w:t>vietnē</w:t>
        </w:r>
      </w:hyperlink>
      <w:r w:rsidRPr="00B57653">
        <w:rPr>
          <w:rStyle w:val="FootnoteReference"/>
          <w:color w:val="000000" w:themeColor="text1"/>
          <w:szCs w:val="24"/>
        </w:rPr>
        <w:footnoteReference w:id="8"/>
      </w:r>
      <w:r w:rsidRPr="00B57653">
        <w:t xml:space="preserve">. </w:t>
      </w:r>
    </w:p>
    <w:p w14:paraId="5B51B975" w14:textId="0023D54A" w:rsidR="00243F71" w:rsidRPr="00B57653" w:rsidRDefault="007E0430" w:rsidP="004E27F9">
      <w:pPr>
        <w:spacing w:before="120" w:after="120" w:line="276" w:lineRule="auto"/>
        <w:jc w:val="both"/>
        <w:rPr>
          <w:color w:val="000000"/>
          <w:szCs w:val="24"/>
        </w:rPr>
      </w:pPr>
      <w:r>
        <w:rPr>
          <w:color w:val="000000"/>
          <w:szCs w:val="24"/>
        </w:rPr>
        <w:t>Pārskata periodā</w:t>
      </w:r>
      <w:r w:rsidR="00927717" w:rsidRPr="00B57653">
        <w:rPr>
          <w:color w:val="000000"/>
          <w:szCs w:val="24"/>
        </w:rPr>
        <w:t xml:space="preserve"> </w:t>
      </w:r>
      <w:r w:rsidR="00927717" w:rsidRPr="00B57653">
        <w:rPr>
          <w:color w:val="000000"/>
        </w:rPr>
        <w:t>grozījumi</w:t>
      </w:r>
      <w:r w:rsidR="00927717" w:rsidRPr="00B57653">
        <w:rPr>
          <w:b/>
          <w:color w:val="000000"/>
          <w:szCs w:val="24"/>
        </w:rPr>
        <w:t xml:space="preserve"> </w:t>
      </w:r>
      <w:r w:rsidR="00AA4218" w:rsidRPr="00B57653">
        <w:rPr>
          <w:b/>
          <w:color w:val="000000"/>
          <w:szCs w:val="24"/>
        </w:rPr>
        <w:t>DP „</w:t>
      </w:r>
      <w:r w:rsidR="00AA4218" w:rsidRPr="00B57653">
        <w:rPr>
          <w:b/>
          <w:szCs w:val="24"/>
        </w:rPr>
        <w:t>Uzņēmējdarbība un inovācijas</w:t>
      </w:r>
      <w:r w:rsidR="00AA4218" w:rsidRPr="00B57653">
        <w:rPr>
          <w:b/>
          <w:color w:val="000000"/>
          <w:szCs w:val="24"/>
        </w:rPr>
        <w:t>” papildinājumā</w:t>
      </w:r>
      <w:r w:rsidR="00AA4218" w:rsidRPr="00B57653">
        <w:rPr>
          <w:color w:val="000000"/>
          <w:szCs w:val="24"/>
        </w:rPr>
        <w:t xml:space="preserve"> </w:t>
      </w:r>
      <w:r w:rsidR="00243F71" w:rsidRPr="00B57653">
        <w:rPr>
          <w:color w:val="000000"/>
          <w:szCs w:val="24"/>
        </w:rPr>
        <w:t>tika veikti</w:t>
      </w:r>
      <w:r w:rsidR="0061079F" w:rsidRPr="00B57653">
        <w:rPr>
          <w:color w:val="000000"/>
          <w:szCs w:val="24"/>
        </w:rPr>
        <w:t xml:space="preserve"> </w:t>
      </w:r>
      <w:r w:rsidR="00E231B7" w:rsidRPr="00B57653">
        <w:rPr>
          <w:color w:val="000000"/>
          <w:szCs w:val="24"/>
        </w:rPr>
        <w:t>trīs</w:t>
      </w:r>
      <w:r w:rsidR="0061079F" w:rsidRPr="00B57653">
        <w:rPr>
          <w:color w:val="000000"/>
          <w:szCs w:val="24"/>
        </w:rPr>
        <w:t xml:space="preserve"> reizes</w:t>
      </w:r>
      <w:r w:rsidR="00243F71" w:rsidRPr="00B57653">
        <w:rPr>
          <w:color w:val="000000"/>
          <w:szCs w:val="24"/>
        </w:rPr>
        <w:t>:</w:t>
      </w:r>
    </w:p>
    <w:p w14:paraId="03451C5A" w14:textId="77777777" w:rsidR="000B0557" w:rsidRPr="00B57653" w:rsidRDefault="000C7002" w:rsidP="000B0557">
      <w:pPr>
        <w:spacing w:before="120" w:after="120" w:line="276" w:lineRule="auto"/>
        <w:jc w:val="both"/>
        <w:rPr>
          <w:rFonts w:eastAsia="Times New Roman" w:cs="Times New Roman"/>
          <w:bCs/>
          <w:szCs w:val="24"/>
          <w:lang w:eastAsia="lv-LV"/>
        </w:rPr>
      </w:pPr>
      <w:r w:rsidRPr="00B57653">
        <w:rPr>
          <w:szCs w:val="24"/>
        </w:rPr>
        <w:t xml:space="preserve">Ar </w:t>
      </w:r>
      <w:r w:rsidR="00D21B30" w:rsidRPr="00B57653">
        <w:rPr>
          <w:b/>
          <w:szCs w:val="24"/>
        </w:rPr>
        <w:t>MK 2014.gada 22.oktobra rīkojum</w:t>
      </w:r>
      <w:r w:rsidRPr="00B57653">
        <w:rPr>
          <w:b/>
          <w:szCs w:val="24"/>
        </w:rPr>
        <w:t>u</w:t>
      </w:r>
      <w:r w:rsidR="00D21B30" w:rsidRPr="00B57653">
        <w:rPr>
          <w:b/>
          <w:szCs w:val="24"/>
        </w:rPr>
        <w:t xml:space="preserve"> Nr.606</w:t>
      </w:r>
      <w:r w:rsidR="00D21B30" w:rsidRPr="00B57653">
        <w:rPr>
          <w:rStyle w:val="FootnoteReference"/>
          <w:b/>
          <w:szCs w:val="24"/>
        </w:rPr>
        <w:footnoteReference w:id="9"/>
      </w:r>
      <w:r w:rsidR="000B0557" w:rsidRPr="00B57653">
        <w:rPr>
          <w:rFonts w:eastAsia="Times New Roman" w:cs="Times New Roman"/>
          <w:bCs/>
          <w:szCs w:val="24"/>
          <w:lang w:eastAsia="lv-LV"/>
        </w:rPr>
        <w:t>:</w:t>
      </w:r>
    </w:p>
    <w:p w14:paraId="7D6E40E2" w14:textId="33AA4DED" w:rsidR="00874999" w:rsidRPr="00B57653" w:rsidRDefault="000B0557" w:rsidP="00F45E2E">
      <w:pPr>
        <w:pStyle w:val="ListParagraph"/>
        <w:spacing w:before="120" w:after="120" w:line="276" w:lineRule="auto"/>
        <w:ind w:left="0"/>
        <w:contextualSpacing w:val="0"/>
        <w:jc w:val="both"/>
      </w:pPr>
      <w:r w:rsidRPr="00B57653">
        <w:rPr>
          <w:szCs w:val="24"/>
        </w:rPr>
        <w:t xml:space="preserve">1) </w:t>
      </w:r>
      <w:r w:rsidR="00874999" w:rsidRPr="00B57653">
        <w:rPr>
          <w:rFonts w:eastAsia="Times New Roman" w:cs="Times New Roman"/>
          <w:bCs/>
          <w:szCs w:val="24"/>
          <w:lang w:eastAsia="lv-LV"/>
        </w:rPr>
        <w:t xml:space="preserve">atbilstoši </w:t>
      </w:r>
      <w:r w:rsidR="00874999" w:rsidRPr="00B57653">
        <w:t>MK 2014.gada 12.augusta sēdē lemtajam</w:t>
      </w:r>
      <w:r w:rsidR="00874999" w:rsidRPr="00B57653">
        <w:rPr>
          <w:rStyle w:val="FootnoteReference"/>
        </w:rPr>
        <w:footnoteReference w:id="10"/>
      </w:r>
      <w:r w:rsidR="00874999" w:rsidRPr="00B57653">
        <w:t>,</w:t>
      </w:r>
      <w:r w:rsidR="00874999" w:rsidRPr="00B57653">
        <w:rPr>
          <w:rFonts w:eastAsia="Times New Roman" w:cs="Times New Roman"/>
          <w:bCs/>
          <w:szCs w:val="24"/>
          <w:lang w:eastAsia="lv-LV"/>
        </w:rPr>
        <w:t xml:space="preserve"> lai mazinātu Krievijas ekonomisko sankciju negatīvās sekas,</w:t>
      </w:r>
      <w:r w:rsidR="007B740C" w:rsidRPr="00B57653">
        <w:rPr>
          <w:rFonts w:eastAsia="Times New Roman" w:cs="Times New Roman"/>
          <w:bCs/>
          <w:szCs w:val="24"/>
          <w:lang w:eastAsia="lv-LV"/>
        </w:rPr>
        <w:t xml:space="preserve"> </w:t>
      </w:r>
      <w:r w:rsidR="00874999" w:rsidRPr="00B57653">
        <w:rPr>
          <w:szCs w:val="24"/>
        </w:rPr>
        <w:t>tika</w:t>
      </w:r>
      <w:r w:rsidR="00874999" w:rsidRPr="00B57653">
        <w:rPr>
          <w:b/>
          <w:szCs w:val="24"/>
        </w:rPr>
        <w:t xml:space="preserve"> </w:t>
      </w:r>
      <w:r w:rsidR="00874999" w:rsidRPr="00B57653">
        <w:t xml:space="preserve">piešķirts papildu virssaistību finansējums 8 milj. </w:t>
      </w:r>
      <w:r w:rsidR="00874999" w:rsidRPr="00B57653">
        <w:rPr>
          <w:i/>
          <w:iCs/>
        </w:rPr>
        <w:t xml:space="preserve">euro </w:t>
      </w:r>
      <w:r w:rsidR="00874999" w:rsidRPr="00B57653">
        <w:t xml:space="preserve">apmērā apakšaktivitāšu “Ārējo tirgu apgūšana – ārējais mārketings” un “Ārējo tirgu apgūšana – </w:t>
      </w:r>
      <w:r w:rsidR="00874999" w:rsidRPr="00B57653">
        <w:lastRenderedPageBreak/>
        <w:t>nozaru starptautiskās konkurētspējas stiprināšana” īstenošanai līdz 2015.gada 31.decembrim</w:t>
      </w:r>
      <w:r w:rsidR="007B740C" w:rsidRPr="00B57653">
        <w:t>.</w:t>
      </w:r>
      <w:r w:rsidR="00874999" w:rsidRPr="00B57653">
        <w:t xml:space="preserve"> </w:t>
      </w:r>
    </w:p>
    <w:p w14:paraId="7A8A8927" w14:textId="1424B220" w:rsidR="00967C7F" w:rsidRDefault="00874999" w:rsidP="00543111">
      <w:pPr>
        <w:pStyle w:val="ListParagraph"/>
        <w:spacing w:before="120" w:after="120" w:line="276" w:lineRule="auto"/>
        <w:ind w:left="0"/>
        <w:contextualSpacing w:val="0"/>
        <w:jc w:val="both"/>
        <w:rPr>
          <w:rFonts w:eastAsia="Times New Roman" w:cs="Times New Roman"/>
          <w:bCs/>
          <w:szCs w:val="24"/>
          <w:lang w:eastAsia="lv-LV"/>
        </w:rPr>
      </w:pPr>
      <w:r w:rsidRPr="00B57653">
        <w:rPr>
          <w:szCs w:val="24"/>
        </w:rPr>
        <w:t xml:space="preserve">2) </w:t>
      </w:r>
      <w:r w:rsidR="000B0557" w:rsidRPr="00B57653">
        <w:rPr>
          <w:szCs w:val="24"/>
        </w:rPr>
        <w:t xml:space="preserve">tika </w:t>
      </w:r>
      <w:r w:rsidR="005A2FED">
        <w:rPr>
          <w:szCs w:val="24"/>
        </w:rPr>
        <w:t>veikta</w:t>
      </w:r>
      <w:r w:rsidR="005A2FED" w:rsidRPr="00B57653">
        <w:rPr>
          <w:szCs w:val="24"/>
        </w:rPr>
        <w:t xml:space="preserve"> </w:t>
      </w:r>
      <w:r w:rsidR="00191F97" w:rsidRPr="00B57653">
        <w:rPr>
          <w:rFonts w:eastAsia="Times New Roman" w:cs="Times New Roman"/>
          <w:bCs/>
          <w:szCs w:val="24"/>
          <w:lang w:eastAsia="lv-LV"/>
        </w:rPr>
        <w:t>finanšu korekcija</w:t>
      </w:r>
      <w:r w:rsidR="000B0557" w:rsidRPr="00B57653">
        <w:rPr>
          <w:rFonts w:eastAsia="Times New Roman" w:cs="Times New Roman"/>
          <w:bCs/>
          <w:szCs w:val="24"/>
          <w:lang w:eastAsia="lv-LV"/>
        </w:rPr>
        <w:t xml:space="preserve"> aktivitāte</w:t>
      </w:r>
      <w:r w:rsidR="00172295" w:rsidRPr="00B57653">
        <w:rPr>
          <w:rFonts w:eastAsia="Times New Roman" w:cs="Times New Roman"/>
          <w:bCs/>
          <w:szCs w:val="24"/>
          <w:lang w:eastAsia="lv-LV"/>
        </w:rPr>
        <w:t>s</w:t>
      </w:r>
      <w:r w:rsidR="000B0557" w:rsidRPr="00B57653">
        <w:rPr>
          <w:rFonts w:eastAsia="Times New Roman" w:cs="Times New Roman"/>
          <w:bCs/>
          <w:szCs w:val="24"/>
          <w:lang w:eastAsia="lv-LV"/>
        </w:rPr>
        <w:t xml:space="preserve"> </w:t>
      </w:r>
      <w:r w:rsidR="000B0557" w:rsidRPr="00B57653">
        <w:rPr>
          <w:szCs w:val="24"/>
        </w:rPr>
        <w:t>„Ieguldījumu fonds investīcijām garantijās, paaugstināta riska aizdevumos, riska kapitāla fondos un cita veida finanšu instrumentos”</w:t>
      </w:r>
      <w:r w:rsidR="00172295" w:rsidRPr="00B57653">
        <w:rPr>
          <w:szCs w:val="24"/>
        </w:rPr>
        <w:t xml:space="preserve"> ietvaros</w:t>
      </w:r>
      <w:r w:rsidR="000B0557" w:rsidRPr="00B57653">
        <w:rPr>
          <w:rFonts w:eastAsia="Times New Roman" w:cs="Times New Roman"/>
          <w:bCs/>
          <w:szCs w:val="24"/>
          <w:lang w:eastAsia="lv-LV"/>
        </w:rPr>
        <w:t xml:space="preserve">, kā rezultātā </w:t>
      </w:r>
      <w:r w:rsidR="00191F97" w:rsidRPr="00B57653">
        <w:rPr>
          <w:rFonts w:eastAsia="Times New Roman" w:cs="Times New Roman"/>
          <w:bCs/>
          <w:szCs w:val="24"/>
          <w:lang w:eastAsia="lv-LV"/>
        </w:rPr>
        <w:t>atbrīvotais finansējums</w:t>
      </w:r>
      <w:r w:rsidR="00FB6367" w:rsidRPr="00B57653">
        <w:rPr>
          <w:rFonts w:eastAsia="Times New Roman" w:cs="Times New Roman"/>
          <w:bCs/>
          <w:szCs w:val="24"/>
          <w:lang w:eastAsia="lv-LV"/>
        </w:rPr>
        <w:t xml:space="preserve"> </w:t>
      </w:r>
      <w:r w:rsidR="0007403D" w:rsidRPr="00B57653">
        <w:rPr>
          <w:rFonts w:eastAsia="Times New Roman" w:cs="Times New Roman"/>
          <w:bCs/>
          <w:szCs w:val="24"/>
          <w:lang w:eastAsia="lv-LV"/>
        </w:rPr>
        <w:t>3 9</w:t>
      </w:r>
      <w:r w:rsidR="007A40AA" w:rsidRPr="00B57653">
        <w:rPr>
          <w:rFonts w:eastAsia="Times New Roman" w:cs="Times New Roman"/>
          <w:bCs/>
          <w:szCs w:val="24"/>
          <w:lang w:eastAsia="lv-LV"/>
        </w:rPr>
        <w:t xml:space="preserve">85 089 </w:t>
      </w:r>
      <w:r w:rsidR="00191F97" w:rsidRPr="00B57653">
        <w:rPr>
          <w:rFonts w:eastAsia="Times New Roman" w:cs="Times New Roman"/>
          <w:bCs/>
          <w:i/>
          <w:szCs w:val="24"/>
          <w:lang w:eastAsia="lv-LV"/>
        </w:rPr>
        <w:t xml:space="preserve">euro </w:t>
      </w:r>
      <w:r w:rsidR="00191F97" w:rsidRPr="00B57653">
        <w:rPr>
          <w:rFonts w:eastAsia="Times New Roman" w:cs="Times New Roman"/>
          <w:bCs/>
          <w:szCs w:val="24"/>
          <w:lang w:eastAsia="lv-LV"/>
        </w:rPr>
        <w:t>apmērā</w:t>
      </w:r>
      <w:r w:rsidR="00191F97" w:rsidRPr="00B57653">
        <w:rPr>
          <w:rFonts w:eastAsia="Times New Roman" w:cs="Times New Roman"/>
          <w:bCs/>
          <w:i/>
          <w:szCs w:val="24"/>
          <w:lang w:eastAsia="lv-LV"/>
        </w:rPr>
        <w:t xml:space="preserve"> </w:t>
      </w:r>
      <w:r w:rsidR="00191F97" w:rsidRPr="00B57653">
        <w:rPr>
          <w:rFonts w:eastAsia="Times New Roman" w:cs="Times New Roman"/>
          <w:bCs/>
          <w:szCs w:val="24"/>
          <w:lang w:eastAsia="lv-LV"/>
        </w:rPr>
        <w:t xml:space="preserve">(t.sk. ERAF finansējums 3 674 208 </w:t>
      </w:r>
      <w:r w:rsidR="00191F97" w:rsidRPr="00B57653">
        <w:rPr>
          <w:rFonts w:eastAsia="Times New Roman" w:cs="Times New Roman"/>
          <w:bCs/>
          <w:i/>
          <w:szCs w:val="24"/>
          <w:lang w:eastAsia="lv-LV"/>
        </w:rPr>
        <w:t>euro</w:t>
      </w:r>
      <w:r w:rsidR="007B740C" w:rsidRPr="00B57653">
        <w:rPr>
          <w:rFonts w:eastAsia="Times New Roman" w:cs="Times New Roman"/>
          <w:bCs/>
          <w:i/>
          <w:szCs w:val="24"/>
          <w:lang w:eastAsia="lv-LV"/>
        </w:rPr>
        <w:t xml:space="preserve"> </w:t>
      </w:r>
      <w:r w:rsidR="007B740C" w:rsidRPr="00B57653">
        <w:rPr>
          <w:rFonts w:eastAsia="Times New Roman" w:cs="Times New Roman"/>
          <w:bCs/>
          <w:szCs w:val="24"/>
          <w:lang w:eastAsia="lv-LV"/>
        </w:rPr>
        <w:t>un valsts budžeta finansējums</w:t>
      </w:r>
      <w:r w:rsidR="007B740C" w:rsidRPr="00B57653">
        <w:rPr>
          <w:rFonts w:eastAsia="Times New Roman" w:cs="Times New Roman"/>
          <w:bCs/>
          <w:i/>
          <w:szCs w:val="24"/>
          <w:lang w:eastAsia="lv-LV"/>
        </w:rPr>
        <w:t xml:space="preserve"> </w:t>
      </w:r>
      <w:r w:rsidR="007B740C" w:rsidRPr="00B57653">
        <w:rPr>
          <w:rFonts w:eastAsia="Times New Roman" w:cs="Times New Roman"/>
          <w:bCs/>
          <w:szCs w:val="24"/>
          <w:lang w:eastAsia="lv-LV"/>
        </w:rPr>
        <w:t>310</w:t>
      </w:r>
      <w:r w:rsidR="00D8492A" w:rsidRPr="00B57653">
        <w:rPr>
          <w:rFonts w:eastAsia="Times New Roman" w:cs="Times New Roman"/>
          <w:bCs/>
          <w:szCs w:val="24"/>
          <w:lang w:eastAsia="lv-LV"/>
        </w:rPr>
        <w:t> </w:t>
      </w:r>
      <w:r w:rsidR="007B740C" w:rsidRPr="00B57653">
        <w:rPr>
          <w:rFonts w:eastAsia="Times New Roman" w:cs="Times New Roman"/>
          <w:bCs/>
          <w:szCs w:val="24"/>
          <w:lang w:eastAsia="lv-LV"/>
        </w:rPr>
        <w:t>881</w:t>
      </w:r>
      <w:r w:rsidR="00D8492A" w:rsidRPr="00B57653">
        <w:rPr>
          <w:rFonts w:eastAsia="Times New Roman" w:cs="Times New Roman"/>
          <w:bCs/>
          <w:i/>
          <w:szCs w:val="24"/>
          <w:lang w:eastAsia="lv-LV"/>
        </w:rPr>
        <w:t xml:space="preserve"> </w:t>
      </w:r>
      <w:r w:rsidR="007B740C" w:rsidRPr="00B57653">
        <w:rPr>
          <w:rFonts w:eastAsia="Times New Roman" w:cs="Times New Roman"/>
          <w:bCs/>
          <w:i/>
          <w:szCs w:val="24"/>
          <w:lang w:eastAsia="lv-LV"/>
        </w:rPr>
        <w:t>eur</w:t>
      </w:r>
      <w:r w:rsidR="0064169E" w:rsidRPr="00B57653">
        <w:rPr>
          <w:rFonts w:eastAsia="Times New Roman" w:cs="Times New Roman"/>
          <w:bCs/>
          <w:i/>
          <w:szCs w:val="24"/>
          <w:lang w:eastAsia="lv-LV"/>
        </w:rPr>
        <w:t>o</w:t>
      </w:r>
      <w:r w:rsidR="00191F97" w:rsidRPr="00B57653">
        <w:rPr>
          <w:rFonts w:eastAsia="Times New Roman" w:cs="Times New Roman"/>
          <w:bCs/>
          <w:szCs w:val="24"/>
          <w:lang w:eastAsia="lv-LV"/>
        </w:rPr>
        <w:t xml:space="preserve">) tika </w:t>
      </w:r>
      <w:r w:rsidR="00AA4218" w:rsidRPr="00B57653">
        <w:rPr>
          <w:rFonts w:eastAsia="Times New Roman" w:cs="Times New Roman"/>
          <w:bCs/>
          <w:szCs w:val="24"/>
          <w:lang w:eastAsia="lv-LV"/>
        </w:rPr>
        <w:t>pārdal</w:t>
      </w:r>
      <w:r w:rsidR="00191F97" w:rsidRPr="00B57653">
        <w:rPr>
          <w:rFonts w:eastAsia="Times New Roman" w:cs="Times New Roman"/>
          <w:bCs/>
          <w:szCs w:val="24"/>
          <w:lang w:eastAsia="lv-LV"/>
        </w:rPr>
        <w:t>ī</w:t>
      </w:r>
      <w:r w:rsidR="00AA4218" w:rsidRPr="00B57653">
        <w:rPr>
          <w:rFonts w:eastAsia="Times New Roman" w:cs="Times New Roman"/>
          <w:bCs/>
          <w:szCs w:val="24"/>
          <w:lang w:eastAsia="lv-LV"/>
        </w:rPr>
        <w:t>t</w:t>
      </w:r>
      <w:r w:rsidR="00191F97" w:rsidRPr="00B57653">
        <w:rPr>
          <w:rFonts w:eastAsia="Times New Roman" w:cs="Times New Roman"/>
          <w:bCs/>
          <w:szCs w:val="24"/>
          <w:lang w:eastAsia="lv-LV"/>
        </w:rPr>
        <w:t xml:space="preserve">s </w:t>
      </w:r>
      <w:r w:rsidR="000C7002" w:rsidRPr="00B57653">
        <w:rPr>
          <w:rFonts w:eastAsia="Times New Roman" w:cs="Times New Roman"/>
          <w:bCs/>
          <w:szCs w:val="24"/>
          <w:lang w:eastAsia="lv-LV"/>
        </w:rPr>
        <w:t>aktivitāt</w:t>
      </w:r>
      <w:r w:rsidR="00191F97" w:rsidRPr="00B57653">
        <w:rPr>
          <w:rFonts w:eastAsia="Times New Roman" w:cs="Times New Roman"/>
          <w:bCs/>
          <w:szCs w:val="24"/>
          <w:lang w:eastAsia="lv-LV"/>
        </w:rPr>
        <w:t>es</w:t>
      </w:r>
      <w:r w:rsidR="00392EEF" w:rsidRPr="00B57653">
        <w:rPr>
          <w:rFonts w:eastAsia="Times New Roman" w:cs="Times New Roman"/>
          <w:bCs/>
          <w:szCs w:val="24"/>
          <w:lang w:eastAsia="lv-LV"/>
        </w:rPr>
        <w:t xml:space="preserve"> </w:t>
      </w:r>
      <w:r w:rsidR="009E5868" w:rsidRPr="00B57653">
        <w:rPr>
          <w:rFonts w:eastAsia="Times New Roman" w:cs="Times New Roman"/>
          <w:bCs/>
          <w:szCs w:val="24"/>
          <w:lang w:eastAsia="lv-LV"/>
        </w:rPr>
        <w:t>„</w:t>
      </w:r>
      <w:r w:rsidR="0030346D" w:rsidRPr="00B57653">
        <w:rPr>
          <w:rFonts w:eastAsia="Times New Roman" w:cs="Times New Roman"/>
          <w:bCs/>
          <w:szCs w:val="24"/>
          <w:lang w:eastAsia="lv-LV"/>
        </w:rPr>
        <w:t>Atbalsts aizdevumu veidā komersantu konkurētspējas uzlabošanai” otrās projektu iesniegumu atlases kārt</w:t>
      </w:r>
      <w:r w:rsidR="00AA4218" w:rsidRPr="00B57653">
        <w:rPr>
          <w:rFonts w:eastAsia="Times New Roman" w:cs="Times New Roman"/>
          <w:bCs/>
          <w:szCs w:val="24"/>
          <w:lang w:eastAsia="lv-LV"/>
        </w:rPr>
        <w:t>as īstenošanai</w:t>
      </w:r>
      <w:r w:rsidR="00FB6367" w:rsidRPr="00B57653">
        <w:rPr>
          <w:rFonts w:eastAsia="Times New Roman" w:cs="Times New Roman"/>
          <w:bCs/>
          <w:szCs w:val="24"/>
          <w:lang w:eastAsia="lv-LV"/>
        </w:rPr>
        <w:t xml:space="preserve">, aktivitātes ietvaros nodrošinot </w:t>
      </w:r>
      <w:r w:rsidR="00315EEA" w:rsidRPr="00B57653">
        <w:rPr>
          <w:rFonts w:eastAsia="Times New Roman" w:cs="Times New Roman"/>
          <w:bCs/>
          <w:szCs w:val="24"/>
          <w:lang w:eastAsia="lv-LV"/>
        </w:rPr>
        <w:t xml:space="preserve">turpmāku </w:t>
      </w:r>
      <w:r w:rsidR="0030346D" w:rsidRPr="00B57653">
        <w:rPr>
          <w:rFonts w:eastAsia="Times New Roman" w:cs="Times New Roman"/>
          <w:bCs/>
          <w:szCs w:val="24"/>
          <w:lang w:eastAsia="lv-LV"/>
        </w:rPr>
        <w:t xml:space="preserve">aizdevumu </w:t>
      </w:r>
      <w:r w:rsidR="00AA4218" w:rsidRPr="00B57653">
        <w:rPr>
          <w:rFonts w:eastAsia="Times New Roman" w:cs="Times New Roman"/>
          <w:bCs/>
          <w:szCs w:val="24"/>
          <w:lang w:eastAsia="lv-LV"/>
        </w:rPr>
        <w:t xml:space="preserve">izsniegšanu </w:t>
      </w:r>
      <w:r w:rsidR="0030346D" w:rsidRPr="00B57653">
        <w:rPr>
          <w:rFonts w:eastAsia="Times New Roman" w:cs="Times New Roman"/>
          <w:bCs/>
          <w:szCs w:val="24"/>
          <w:lang w:eastAsia="lv-LV"/>
        </w:rPr>
        <w:t>sa</w:t>
      </w:r>
      <w:r w:rsidR="00BF0E89" w:rsidRPr="00B57653">
        <w:rPr>
          <w:rFonts w:eastAsia="Times New Roman" w:cs="Times New Roman"/>
          <w:bCs/>
          <w:szCs w:val="24"/>
          <w:lang w:eastAsia="lv-LV"/>
        </w:rPr>
        <w:t>imnieciskās darbības uzsācējiem.</w:t>
      </w:r>
    </w:p>
    <w:p w14:paraId="6727723F" w14:textId="6710CF91" w:rsidR="00FB6367" w:rsidRPr="00B57653" w:rsidRDefault="0030346D" w:rsidP="00101A76">
      <w:pPr>
        <w:rPr>
          <w:rFonts w:eastAsia="Times New Roman" w:cs="Times New Roman"/>
          <w:bCs/>
          <w:szCs w:val="24"/>
          <w:lang w:eastAsia="lv-LV"/>
        </w:rPr>
      </w:pPr>
      <w:r w:rsidRPr="00B57653">
        <w:rPr>
          <w:rFonts w:eastAsia="Times New Roman" w:cs="Times New Roman"/>
          <w:bCs/>
          <w:szCs w:val="24"/>
          <w:lang w:eastAsia="lv-LV"/>
        </w:rPr>
        <w:t xml:space="preserve">Ar </w:t>
      </w:r>
      <w:r w:rsidRPr="00B57653">
        <w:rPr>
          <w:b/>
        </w:rPr>
        <w:t>MK 2014.gada 28.novembra rīkojumu Nr.692</w:t>
      </w:r>
      <w:r w:rsidRPr="00B57653">
        <w:rPr>
          <w:rStyle w:val="FootnoteReference"/>
          <w:b/>
        </w:rPr>
        <w:footnoteReference w:id="11"/>
      </w:r>
      <w:r w:rsidR="00FB6367" w:rsidRPr="00B57653">
        <w:rPr>
          <w:b/>
        </w:rPr>
        <w:t>:</w:t>
      </w:r>
    </w:p>
    <w:p w14:paraId="3B5DC10B" w14:textId="7D7DD128" w:rsidR="00086C32" w:rsidRPr="00B57653" w:rsidRDefault="00FB6367" w:rsidP="00A44FE9">
      <w:pPr>
        <w:pStyle w:val="ListParagraph"/>
        <w:spacing w:before="120" w:after="120" w:line="276" w:lineRule="auto"/>
        <w:ind w:left="0"/>
        <w:contextualSpacing w:val="0"/>
        <w:jc w:val="both"/>
        <w:rPr>
          <w:rFonts w:eastAsia="Times New Roman" w:cs="Times New Roman"/>
          <w:bCs/>
          <w:szCs w:val="24"/>
          <w:lang w:eastAsia="lv-LV"/>
        </w:rPr>
      </w:pPr>
      <w:r w:rsidRPr="00B57653">
        <w:rPr>
          <w:rFonts w:eastAsia="Times New Roman" w:cs="Times New Roman"/>
          <w:bCs/>
          <w:szCs w:val="24"/>
          <w:lang w:eastAsia="lv-LV"/>
        </w:rPr>
        <w:t xml:space="preserve">1) </w:t>
      </w:r>
      <w:r w:rsidR="00E25132" w:rsidRPr="00B57653">
        <w:rPr>
          <w:rFonts w:eastAsia="Times New Roman" w:cs="Times New Roman"/>
          <w:bCs/>
          <w:szCs w:val="24"/>
          <w:lang w:eastAsia="lv-LV"/>
        </w:rPr>
        <w:t xml:space="preserve">lai novērstu </w:t>
      </w:r>
      <w:r w:rsidR="00FA43FC" w:rsidRPr="00B57653">
        <w:rPr>
          <w:rFonts w:eastAsia="Times New Roman" w:cs="Times New Roman"/>
          <w:bCs/>
          <w:szCs w:val="24"/>
          <w:lang w:eastAsia="lv-LV"/>
        </w:rPr>
        <w:t xml:space="preserve">risku, ka 2014.gadā plānotie </w:t>
      </w:r>
      <w:r w:rsidR="00E25132" w:rsidRPr="00B57653">
        <w:t>deklarējam</w:t>
      </w:r>
      <w:r w:rsidR="00FA43FC" w:rsidRPr="00B57653">
        <w:t>ie maksājumi</w:t>
      </w:r>
      <w:r w:rsidR="00E25132" w:rsidRPr="00B57653">
        <w:t xml:space="preserve"> </w:t>
      </w:r>
      <w:r w:rsidR="006D525A" w:rsidRPr="00B57653">
        <w:t>EK</w:t>
      </w:r>
      <w:r w:rsidR="00FA43FC" w:rsidRPr="00B57653">
        <w:t xml:space="preserve"> netiks veikti nepieciešamajā apjomā</w:t>
      </w:r>
      <w:r w:rsidR="009E2676" w:rsidRPr="00B57653">
        <w:rPr>
          <w:rFonts w:eastAsia="Times New Roman" w:cs="Times New Roman"/>
          <w:bCs/>
          <w:szCs w:val="24"/>
          <w:lang w:eastAsia="lv-LV"/>
        </w:rPr>
        <w:t xml:space="preserve"> un neradītu ES fondu finansējuma zaudējumu vismaz 30 milj</w:t>
      </w:r>
      <w:r w:rsidR="006D525A" w:rsidRPr="00B57653">
        <w:rPr>
          <w:rFonts w:eastAsia="Times New Roman" w:cs="Times New Roman"/>
          <w:bCs/>
          <w:szCs w:val="24"/>
          <w:lang w:eastAsia="lv-LV"/>
        </w:rPr>
        <w:t>.</w:t>
      </w:r>
      <w:r w:rsidR="009E2676" w:rsidRPr="00B57653">
        <w:rPr>
          <w:rFonts w:eastAsia="Times New Roman" w:cs="Times New Roman"/>
          <w:bCs/>
          <w:szCs w:val="24"/>
          <w:lang w:eastAsia="lv-LV"/>
        </w:rPr>
        <w:t xml:space="preserve"> </w:t>
      </w:r>
      <w:r w:rsidR="006D525A" w:rsidRPr="00B57653">
        <w:rPr>
          <w:rFonts w:eastAsia="Times New Roman" w:cs="Times New Roman"/>
          <w:bCs/>
          <w:i/>
          <w:szCs w:val="24"/>
          <w:lang w:eastAsia="lv-LV"/>
        </w:rPr>
        <w:t>euro</w:t>
      </w:r>
      <w:r w:rsidR="006D525A" w:rsidRPr="00B57653">
        <w:rPr>
          <w:rFonts w:eastAsia="Times New Roman" w:cs="Times New Roman"/>
          <w:bCs/>
          <w:szCs w:val="24"/>
          <w:lang w:eastAsia="lv-LV"/>
        </w:rPr>
        <w:t xml:space="preserve">  </w:t>
      </w:r>
      <w:r w:rsidR="00543111" w:rsidRPr="00B57653">
        <w:rPr>
          <w:rFonts w:eastAsia="Times New Roman" w:cs="Times New Roman"/>
          <w:bCs/>
          <w:szCs w:val="24"/>
          <w:lang w:eastAsia="lv-LV"/>
        </w:rPr>
        <w:t>apmērā, tika</w:t>
      </w:r>
      <w:r w:rsidR="009E2676" w:rsidRPr="00B57653">
        <w:rPr>
          <w:rFonts w:eastAsia="Times New Roman" w:cs="Times New Roman"/>
          <w:bCs/>
          <w:szCs w:val="24"/>
          <w:lang w:eastAsia="lv-LV"/>
        </w:rPr>
        <w:t xml:space="preserve"> veikta </w:t>
      </w:r>
      <w:r w:rsidR="00E25132" w:rsidRPr="00B57653">
        <w:rPr>
          <w:rFonts w:eastAsia="Times New Roman" w:cs="Times New Roman"/>
          <w:bCs/>
          <w:szCs w:val="24"/>
          <w:lang w:eastAsia="lv-LV"/>
        </w:rPr>
        <w:t>projektu pārcelšan</w:t>
      </w:r>
      <w:r w:rsidR="009E2676" w:rsidRPr="00B57653">
        <w:rPr>
          <w:rFonts w:eastAsia="Times New Roman" w:cs="Times New Roman"/>
          <w:bCs/>
          <w:szCs w:val="24"/>
          <w:lang w:eastAsia="lv-LV"/>
        </w:rPr>
        <w:t>a</w:t>
      </w:r>
      <w:r w:rsidR="00E25132" w:rsidRPr="00B57653">
        <w:rPr>
          <w:rFonts w:eastAsia="Times New Roman" w:cs="Times New Roman"/>
          <w:bCs/>
          <w:szCs w:val="24"/>
          <w:lang w:eastAsia="lv-LV"/>
        </w:rPr>
        <w:t xml:space="preserve"> no DP „Infrastruktūra un pakalpojumi” uz DP</w:t>
      </w:r>
      <w:r w:rsidR="00A32F59" w:rsidRPr="00B57653">
        <w:rPr>
          <w:rFonts w:eastAsia="Times New Roman" w:cs="Times New Roman"/>
          <w:bCs/>
          <w:szCs w:val="24"/>
          <w:lang w:eastAsia="lv-LV"/>
        </w:rPr>
        <w:t xml:space="preserve"> „Uzņēmējdarbība un inovācijas”, š</w:t>
      </w:r>
      <w:r w:rsidR="009E2676" w:rsidRPr="00B57653">
        <w:rPr>
          <w:rFonts w:eastAsia="Times New Roman" w:cs="Times New Roman"/>
          <w:bCs/>
          <w:szCs w:val="24"/>
          <w:lang w:eastAsia="lv-LV"/>
        </w:rPr>
        <w:t>im nolūkam</w:t>
      </w:r>
      <w:r w:rsidR="0030346D" w:rsidRPr="00B57653">
        <w:rPr>
          <w:rFonts w:eastAsia="Times New Roman" w:cs="Times New Roman"/>
          <w:bCs/>
          <w:szCs w:val="24"/>
          <w:lang w:eastAsia="lv-LV"/>
        </w:rPr>
        <w:t xml:space="preserve"> </w:t>
      </w:r>
      <w:r w:rsidR="009E2676" w:rsidRPr="00B57653">
        <w:rPr>
          <w:rFonts w:eastAsia="Times New Roman" w:cs="Times New Roman"/>
          <w:bCs/>
          <w:szCs w:val="24"/>
          <w:lang w:eastAsia="lv-LV"/>
        </w:rPr>
        <w:t>DP „Uzņēmēj</w:t>
      </w:r>
      <w:r w:rsidR="00A32F59" w:rsidRPr="00B57653">
        <w:rPr>
          <w:rFonts w:eastAsia="Times New Roman" w:cs="Times New Roman"/>
          <w:bCs/>
          <w:szCs w:val="24"/>
          <w:lang w:eastAsia="lv-LV"/>
        </w:rPr>
        <w:t>darbība un inovācijas” ietvaros izveidojot</w:t>
      </w:r>
      <w:r w:rsidR="009E2676" w:rsidRPr="00B57653">
        <w:rPr>
          <w:rFonts w:eastAsia="Times New Roman" w:cs="Times New Roman"/>
          <w:bCs/>
          <w:szCs w:val="24"/>
          <w:lang w:eastAsia="lv-LV"/>
        </w:rPr>
        <w:t xml:space="preserve"> jaun</w:t>
      </w:r>
      <w:r w:rsidR="00A32F59" w:rsidRPr="00B57653">
        <w:rPr>
          <w:rFonts w:eastAsia="Times New Roman" w:cs="Times New Roman"/>
          <w:bCs/>
          <w:szCs w:val="24"/>
          <w:lang w:eastAsia="lv-LV"/>
        </w:rPr>
        <w:t>u</w:t>
      </w:r>
      <w:r w:rsidRPr="00B57653">
        <w:rPr>
          <w:rFonts w:eastAsia="Times New Roman" w:cs="Times New Roman"/>
          <w:bCs/>
          <w:szCs w:val="24"/>
          <w:lang w:eastAsia="lv-LV"/>
        </w:rPr>
        <w:t xml:space="preserve"> </w:t>
      </w:r>
      <w:r w:rsidR="0030346D" w:rsidRPr="00B57653">
        <w:rPr>
          <w:rFonts w:eastAsia="Times New Roman" w:cs="Times New Roman"/>
          <w:bCs/>
          <w:szCs w:val="24"/>
          <w:lang w:eastAsia="lv-LV"/>
        </w:rPr>
        <w:t>apakšaktivitāt</w:t>
      </w:r>
      <w:r w:rsidR="00A32F59" w:rsidRPr="00B57653">
        <w:rPr>
          <w:rFonts w:eastAsia="Times New Roman" w:cs="Times New Roman"/>
          <w:bCs/>
          <w:szCs w:val="24"/>
          <w:lang w:eastAsia="lv-LV"/>
        </w:rPr>
        <w:t>i</w:t>
      </w:r>
      <w:r w:rsidR="0030346D" w:rsidRPr="00B57653">
        <w:rPr>
          <w:rFonts w:eastAsia="Times New Roman" w:cs="Times New Roman"/>
          <w:bCs/>
          <w:szCs w:val="24"/>
          <w:lang w:eastAsia="lv-LV"/>
        </w:rPr>
        <w:t xml:space="preserve"> „Atbalsts ieguldījumiem infrastruktūrā uzņēmējdarbības attīstībai”</w:t>
      </w:r>
      <w:r w:rsidR="00A32F59" w:rsidRPr="00B57653">
        <w:rPr>
          <w:rFonts w:eastAsia="Times New Roman" w:cs="Times New Roman"/>
          <w:bCs/>
          <w:szCs w:val="24"/>
          <w:lang w:eastAsia="lv-LV"/>
        </w:rPr>
        <w:t>, tādējādi ļaujot</w:t>
      </w:r>
      <w:r w:rsidR="00086C32" w:rsidRPr="00B57653">
        <w:rPr>
          <w:rFonts w:eastAsia="Times New Roman" w:cs="Times New Roman"/>
          <w:bCs/>
          <w:szCs w:val="24"/>
          <w:lang w:eastAsia="lv-LV"/>
        </w:rPr>
        <w:t xml:space="preserve"> DP “Uzņēmējdarbība un inovācijas” ietvaros samazināt riskus ar lauztajiem līgumiem, aizstājot tos ar dzīvotspējīgiem projektiem.</w:t>
      </w:r>
    </w:p>
    <w:p w14:paraId="4D11A90F" w14:textId="5ECDEB6F" w:rsidR="00243F71" w:rsidRDefault="00FB6367" w:rsidP="00A44FE9">
      <w:pPr>
        <w:pStyle w:val="ListParagraph"/>
        <w:spacing w:before="120" w:after="120" w:line="276" w:lineRule="auto"/>
        <w:ind w:left="0"/>
        <w:contextualSpacing w:val="0"/>
        <w:jc w:val="both"/>
      </w:pPr>
      <w:r w:rsidRPr="00B57653">
        <w:t xml:space="preserve">2) veikta </w:t>
      </w:r>
      <w:r w:rsidR="00E231B7" w:rsidRPr="00B57653">
        <w:t>finansējum</w:t>
      </w:r>
      <w:r w:rsidRPr="00B57653">
        <w:t>a</w:t>
      </w:r>
      <w:r w:rsidR="00E231B7" w:rsidRPr="00B57653">
        <w:t xml:space="preserve"> </w:t>
      </w:r>
      <w:r w:rsidRPr="00B57653">
        <w:t xml:space="preserve">pārdale </w:t>
      </w:r>
      <w:r w:rsidR="00E231B7" w:rsidRPr="00B57653">
        <w:t xml:space="preserve">no aktivitātes „Ieguldījumu fonds investīcijām garantijās, paaugstināta riska aizdevumos, riska kapitāla fondos un cita veida finanšu instrumentos” </w:t>
      </w:r>
      <w:r w:rsidRPr="00B57653">
        <w:t xml:space="preserve">55 158 </w:t>
      </w:r>
      <w:r w:rsidRPr="00B57653">
        <w:rPr>
          <w:i/>
        </w:rPr>
        <w:t>euro</w:t>
      </w:r>
      <w:r w:rsidRPr="00B57653">
        <w:t xml:space="preserve"> apmērā (t.sk. </w:t>
      </w:r>
      <w:r w:rsidRPr="00B57653">
        <w:rPr>
          <w:rFonts w:eastAsia="Times New Roman" w:cs="Times New Roman"/>
          <w:bCs/>
          <w:szCs w:val="24"/>
          <w:lang w:eastAsia="lv-LV"/>
        </w:rPr>
        <w:t xml:space="preserve">ERAF finansējums 50 855 </w:t>
      </w:r>
      <w:r w:rsidRPr="00B57653">
        <w:rPr>
          <w:rFonts w:eastAsia="Times New Roman" w:cs="Times New Roman"/>
          <w:bCs/>
          <w:i/>
          <w:szCs w:val="24"/>
          <w:lang w:eastAsia="lv-LV"/>
        </w:rPr>
        <w:t>euro</w:t>
      </w:r>
      <w:r w:rsidR="00547E42" w:rsidRPr="00B57653">
        <w:rPr>
          <w:rFonts w:eastAsia="Times New Roman" w:cs="Times New Roman"/>
          <w:bCs/>
          <w:i/>
          <w:szCs w:val="24"/>
          <w:lang w:eastAsia="lv-LV"/>
        </w:rPr>
        <w:t xml:space="preserve"> un </w:t>
      </w:r>
      <w:r w:rsidR="00547E42" w:rsidRPr="00B57653">
        <w:t xml:space="preserve">un valsts budžeta finansējums 4 303 </w:t>
      </w:r>
      <w:r w:rsidR="00547E42" w:rsidRPr="00B57653">
        <w:rPr>
          <w:i/>
        </w:rPr>
        <w:t>euro</w:t>
      </w:r>
      <w:r w:rsidRPr="00B57653">
        <w:t>)</w:t>
      </w:r>
      <w:r w:rsidR="00E231B7" w:rsidRPr="00B57653">
        <w:t xml:space="preserve"> </w:t>
      </w:r>
      <w:r w:rsidRPr="00B57653">
        <w:t xml:space="preserve">apakšaktivitātes </w:t>
      </w:r>
      <w:r w:rsidR="00E231B7" w:rsidRPr="00B57653">
        <w:t xml:space="preserve">„Atbalsts aizdevumu veidā komersantu konkurētspējas uzlabošanai” </w:t>
      </w:r>
      <w:r w:rsidRPr="00B57653">
        <w:t>īstenošanai</w:t>
      </w:r>
      <w:r w:rsidR="00590C9B" w:rsidRPr="00B57653">
        <w:t xml:space="preserve">, </w:t>
      </w:r>
      <w:r w:rsidR="0056742B" w:rsidRPr="00B57653">
        <w:t xml:space="preserve">lai </w:t>
      </w:r>
      <w:r w:rsidR="00927717" w:rsidRPr="00B57653">
        <w:t>nodrosinātu</w:t>
      </w:r>
      <w:r w:rsidR="0056742B" w:rsidRPr="00B57653">
        <w:t xml:space="preserve"> finanšu starpnieku vadības izmaks</w:t>
      </w:r>
      <w:r w:rsidR="00927717" w:rsidRPr="00B57653">
        <w:t>u</w:t>
      </w:r>
      <w:r w:rsidR="0056742B" w:rsidRPr="00B57653">
        <w:t xml:space="preserve"> </w:t>
      </w:r>
      <w:r w:rsidR="00BF0E89" w:rsidRPr="00B57653">
        <w:t xml:space="preserve">segšanu </w:t>
      </w:r>
      <w:r w:rsidR="0056742B" w:rsidRPr="00B57653">
        <w:t>līdz 2014.gada 30.septembrim.</w:t>
      </w:r>
    </w:p>
    <w:p w14:paraId="62C283BB" w14:textId="77777777" w:rsidR="00581D07" w:rsidRPr="00B57653" w:rsidRDefault="00581D07" w:rsidP="00581D07">
      <w:pPr>
        <w:pStyle w:val="ListParagraph"/>
        <w:shd w:val="clear" w:color="auto" w:fill="FFFFFF"/>
        <w:spacing w:before="120" w:after="120" w:line="276" w:lineRule="auto"/>
        <w:ind w:left="0" w:right="57"/>
        <w:contextualSpacing w:val="0"/>
        <w:jc w:val="both"/>
      </w:pPr>
      <w:r w:rsidRPr="00B57653">
        <w:t>2014.gada 5.decembrī tika saņemta EK vēstule</w:t>
      </w:r>
      <w:r>
        <w:rPr>
          <w:rStyle w:val="FootnoteReference"/>
        </w:rPr>
        <w:footnoteReference w:id="12"/>
      </w:r>
      <w:r w:rsidRPr="00B57653">
        <w:t>, kurā EK apstiprina, ka projektus, tai skaitā arī pabeigtos projektus, var pārcelt no DP „Infrastruktūra un pakalpojumi” uz DP „Uzņēmējdarbība un inovācijas”, ievērojot, ka pārceltā projekta mērķis atbilst DP „Uzņēmējdarbība un inovācijas” mērķim. Projekta atbilstību mērķim izvērtēja un apstiprināja apakšaktivitātes „Atbalsts ieguldījumiem infrastruktūrā uzņēmējdarbības attīstībai” projektu iesniegumu pārbaudes komisija 2014.gada 1. un 4.decembrī.</w:t>
      </w:r>
    </w:p>
    <w:p w14:paraId="52876C75" w14:textId="1503FEEF" w:rsidR="00581D07" w:rsidRPr="00B57653" w:rsidRDefault="00581D07" w:rsidP="00581D07">
      <w:pPr>
        <w:pStyle w:val="ListParagraph"/>
        <w:shd w:val="clear" w:color="auto" w:fill="FFFFFF"/>
        <w:spacing w:before="120" w:after="120" w:line="276" w:lineRule="auto"/>
        <w:ind w:left="0" w:right="57"/>
        <w:contextualSpacing w:val="0"/>
        <w:jc w:val="both"/>
      </w:pPr>
      <w:r w:rsidRPr="00B57653">
        <w:t xml:space="preserve">Ņemot vērā, ka no aktivitātes „Nacionālas un reģionālas nozīmes attīstības centru izaugsmes veicināšana līdzsvarotai valsts attīstībai” un „Atbalsts novadu pašvaldību kompleksai attīstībai” aktivitātes tiek pārdalīts ERAF virssaistību finansējums uz apakšaktivitāti </w:t>
      </w:r>
      <w:r w:rsidRPr="00B57653">
        <w:rPr>
          <w:szCs w:val="24"/>
        </w:rPr>
        <w:t>„</w:t>
      </w:r>
      <w:r w:rsidRPr="00B57653">
        <w:t xml:space="preserve">Atbalsts ieguldījumiem sekmējošā publiskā infrastruktūrā uzņēmējdarbības attīstībai”, FM ir izstrādājusi MK rīkojuma projektu „Grozījumi darbības programmas </w:t>
      </w:r>
      <w:r w:rsidRPr="00B57653">
        <w:lastRenderedPageBreak/>
        <w:t>„Infrastruktūra un pakalpojumi” papildinājumā” un grozījumus MK noteikumos Nr.91</w:t>
      </w:r>
      <w:r w:rsidRPr="00B57653">
        <w:rPr>
          <w:rStyle w:val="FootnoteReference"/>
        </w:rPr>
        <w:footnoteReference w:id="13"/>
      </w:r>
      <w:r w:rsidRPr="00B57653">
        <w:t>, Nr.843</w:t>
      </w:r>
      <w:r w:rsidRPr="00B57653">
        <w:rPr>
          <w:rStyle w:val="FootnoteReference"/>
        </w:rPr>
        <w:footnoteReference w:id="14"/>
      </w:r>
      <w:r w:rsidRPr="00B57653">
        <w:t xml:space="preserve"> un Nr.700</w:t>
      </w:r>
      <w:r w:rsidRPr="00B57653">
        <w:rPr>
          <w:rStyle w:val="FootnoteReference"/>
        </w:rPr>
        <w:footnoteReference w:id="15"/>
      </w:r>
      <w:r w:rsidRPr="00B57653">
        <w:t>,</w:t>
      </w:r>
      <w:r w:rsidRPr="00B57653" w:rsidDel="009E5868">
        <w:t xml:space="preserve"> </w:t>
      </w:r>
      <w:r w:rsidRPr="00B57653">
        <w:t>kurus plānots apstiprināt MK 2015.gada 13.februāra sēdē.</w:t>
      </w:r>
    </w:p>
    <w:p w14:paraId="22AB780C" w14:textId="440A5D6A" w:rsidR="009D2267" w:rsidRPr="00B57653" w:rsidRDefault="004A0A31" w:rsidP="00172295">
      <w:pPr>
        <w:spacing w:before="120" w:after="120" w:line="276" w:lineRule="auto"/>
        <w:jc w:val="both"/>
      </w:pPr>
      <w:r w:rsidRPr="00B57653">
        <w:t xml:space="preserve">Ar </w:t>
      </w:r>
      <w:r w:rsidR="00CA72CE" w:rsidRPr="00B57653">
        <w:rPr>
          <w:b/>
        </w:rPr>
        <w:t>MK</w:t>
      </w:r>
      <w:r w:rsidRPr="00B57653">
        <w:rPr>
          <w:b/>
        </w:rPr>
        <w:t xml:space="preserve"> 2014.</w:t>
      </w:r>
      <w:r w:rsidR="00CA72CE" w:rsidRPr="00B57653">
        <w:rPr>
          <w:b/>
        </w:rPr>
        <w:t>gada 4.</w:t>
      </w:r>
      <w:r w:rsidR="00CA72CE" w:rsidRPr="00B57653">
        <w:rPr>
          <w:b/>
          <w:szCs w:val="24"/>
        </w:rPr>
        <w:t>decembra rīkojumu Nr.730</w:t>
      </w:r>
      <w:r w:rsidR="0075382E" w:rsidRPr="00B57653">
        <w:rPr>
          <w:rStyle w:val="FootnoteReference"/>
          <w:b/>
          <w:szCs w:val="24"/>
        </w:rPr>
        <w:footnoteReference w:id="16"/>
      </w:r>
      <w:r w:rsidR="00CA72CE" w:rsidRPr="00B57653">
        <w:rPr>
          <w:szCs w:val="24"/>
        </w:rPr>
        <w:t xml:space="preserve"> </w:t>
      </w:r>
      <w:r w:rsidR="00E231B7" w:rsidRPr="00B57653">
        <w:rPr>
          <w:szCs w:val="24"/>
        </w:rPr>
        <w:t>tika precizēts</w:t>
      </w:r>
      <w:r w:rsidR="00CA72CE" w:rsidRPr="00B57653">
        <w:rPr>
          <w:szCs w:val="24"/>
        </w:rPr>
        <w:t xml:space="preserve"> apakšaktivitātes „Zinātnisko institūciju institucionālās kapacitātes attīstība” mērķi</w:t>
      </w:r>
      <w:r w:rsidR="00D01059" w:rsidRPr="00B57653">
        <w:rPr>
          <w:szCs w:val="24"/>
        </w:rPr>
        <w:t>s</w:t>
      </w:r>
      <w:r w:rsidR="00CA72CE" w:rsidRPr="00B57653">
        <w:rPr>
          <w:szCs w:val="24"/>
        </w:rPr>
        <w:t xml:space="preserve">, </w:t>
      </w:r>
      <w:r w:rsidR="00E25132" w:rsidRPr="00B57653">
        <w:rPr>
          <w:szCs w:val="24"/>
        </w:rPr>
        <w:t xml:space="preserve">palielināts </w:t>
      </w:r>
      <w:r w:rsidR="00927717" w:rsidRPr="00B57653">
        <w:rPr>
          <w:szCs w:val="24"/>
        </w:rPr>
        <w:t>pieejamā</w:t>
      </w:r>
      <w:r w:rsidR="008F4184" w:rsidRPr="00B57653">
        <w:rPr>
          <w:szCs w:val="24"/>
        </w:rPr>
        <w:t xml:space="preserve"> ERAF finansējuma apmērs</w:t>
      </w:r>
      <w:r w:rsidR="002C4DCA" w:rsidRPr="00B57653">
        <w:rPr>
          <w:szCs w:val="24"/>
        </w:rPr>
        <w:t xml:space="preserve"> </w:t>
      </w:r>
      <w:r w:rsidR="00405A77">
        <w:rPr>
          <w:szCs w:val="24"/>
        </w:rPr>
        <w:t xml:space="preserve">no 9 070 036 </w:t>
      </w:r>
      <w:r w:rsidR="00405A77" w:rsidRPr="00405A77">
        <w:rPr>
          <w:i/>
          <w:szCs w:val="24"/>
        </w:rPr>
        <w:t>euro</w:t>
      </w:r>
      <w:r w:rsidR="00405A77">
        <w:rPr>
          <w:szCs w:val="24"/>
        </w:rPr>
        <w:t xml:space="preserve"> </w:t>
      </w:r>
      <w:r w:rsidR="003B10E0" w:rsidRPr="00B57653">
        <w:rPr>
          <w:szCs w:val="24"/>
        </w:rPr>
        <w:t xml:space="preserve">līdz </w:t>
      </w:r>
      <w:r w:rsidR="008F4184" w:rsidRPr="00B57653">
        <w:rPr>
          <w:rFonts w:eastAsia="Times New Roman"/>
          <w:color w:val="000000"/>
          <w:szCs w:val="24"/>
          <w:lang w:eastAsia="lv-LV"/>
        </w:rPr>
        <w:t xml:space="preserve">9 911 645 </w:t>
      </w:r>
      <w:r w:rsidR="008F4184" w:rsidRPr="00B57653">
        <w:rPr>
          <w:rFonts w:eastAsia="Times New Roman"/>
          <w:i/>
          <w:color w:val="000000"/>
          <w:szCs w:val="24"/>
          <w:lang w:eastAsia="lv-LV"/>
        </w:rPr>
        <w:t>euro</w:t>
      </w:r>
      <w:r w:rsidR="008F4184" w:rsidRPr="00B57653">
        <w:rPr>
          <w:rFonts w:eastAsia="Times New Roman"/>
          <w:color w:val="000000"/>
          <w:szCs w:val="24"/>
          <w:lang w:eastAsia="lv-LV"/>
        </w:rPr>
        <w:t>,</w:t>
      </w:r>
      <w:r w:rsidR="003B10E0" w:rsidRPr="00B57653">
        <w:rPr>
          <w:rFonts w:eastAsia="Times New Roman"/>
          <w:color w:val="000000"/>
          <w:szCs w:val="24"/>
          <w:lang w:eastAsia="lv-LV"/>
        </w:rPr>
        <w:t xml:space="preserve"> pārdalot finansējumu no </w:t>
      </w:r>
      <w:r w:rsidR="00543111" w:rsidRPr="00B57653">
        <w:t>DP</w:t>
      </w:r>
      <w:r w:rsidR="003B10E0" w:rsidRPr="00B57653">
        <w:t xml:space="preserve"> </w:t>
      </w:r>
      <w:r w:rsidR="003B10E0" w:rsidRPr="00B57653">
        <w:rPr>
          <w:szCs w:val="24"/>
        </w:rPr>
        <w:t>„</w:t>
      </w:r>
      <w:r w:rsidR="003B10E0" w:rsidRPr="00B57653">
        <w:t xml:space="preserve">Uzņēmējdarbība un inovācijas” </w:t>
      </w:r>
      <w:r w:rsidR="00874999" w:rsidRPr="00B57653">
        <w:rPr>
          <w:rFonts w:eastAsia="Times New Roman"/>
          <w:color w:val="000000"/>
          <w:szCs w:val="24"/>
          <w:lang w:eastAsia="lv-LV"/>
        </w:rPr>
        <w:t>citu</w:t>
      </w:r>
      <w:r w:rsidR="00874999" w:rsidRPr="00B57653">
        <w:t xml:space="preserve"> </w:t>
      </w:r>
      <w:r w:rsidR="006D525A" w:rsidRPr="00B57653">
        <w:t>IZM</w:t>
      </w:r>
      <w:r w:rsidR="003B10E0" w:rsidRPr="00B57653">
        <w:t xml:space="preserve"> pārziņā esošo aktivitāšu pieejamā finansējuma atlikuma,</w:t>
      </w:r>
      <w:r w:rsidR="008F4184" w:rsidRPr="00B57653">
        <w:rPr>
          <w:rFonts w:eastAsia="Times New Roman"/>
          <w:color w:val="000000"/>
          <w:szCs w:val="24"/>
          <w:lang w:eastAsia="lv-LV"/>
        </w:rPr>
        <w:t xml:space="preserve"> </w:t>
      </w:r>
      <w:r w:rsidR="008F4184" w:rsidRPr="00B57653">
        <w:rPr>
          <w:szCs w:val="24"/>
        </w:rPr>
        <w:t xml:space="preserve">kā </w:t>
      </w:r>
      <w:r w:rsidR="00172295" w:rsidRPr="00B57653">
        <w:rPr>
          <w:szCs w:val="24"/>
        </w:rPr>
        <w:t xml:space="preserve">arī </w:t>
      </w:r>
      <w:r w:rsidR="003B10E0" w:rsidRPr="00B57653">
        <w:rPr>
          <w:szCs w:val="24"/>
        </w:rPr>
        <w:t xml:space="preserve">precizēti </w:t>
      </w:r>
      <w:r w:rsidR="008F4184" w:rsidRPr="00B57653">
        <w:rPr>
          <w:szCs w:val="24"/>
        </w:rPr>
        <w:t>aktivitātes īstenošana</w:t>
      </w:r>
      <w:r w:rsidR="00E90C9B" w:rsidRPr="00B57653">
        <w:rPr>
          <w:szCs w:val="24"/>
        </w:rPr>
        <w:t>s</w:t>
      </w:r>
      <w:r w:rsidR="008F4184" w:rsidRPr="00B57653">
        <w:rPr>
          <w:szCs w:val="24"/>
        </w:rPr>
        <w:t xml:space="preserve"> nosacījumi </w:t>
      </w:r>
      <w:r w:rsidR="00172295" w:rsidRPr="00B57653">
        <w:rPr>
          <w:szCs w:val="24"/>
        </w:rPr>
        <w:t xml:space="preserve">attiecībā uz </w:t>
      </w:r>
      <w:r w:rsidR="006E2B55" w:rsidRPr="00B57653">
        <w:rPr>
          <w:szCs w:val="24"/>
        </w:rPr>
        <w:t xml:space="preserve">projekta </w:t>
      </w:r>
      <w:r w:rsidR="005A2FED" w:rsidRPr="00B57653">
        <w:rPr>
          <w:szCs w:val="24"/>
        </w:rPr>
        <w:t>maksimāl</w:t>
      </w:r>
      <w:r w:rsidR="005A2FED">
        <w:rPr>
          <w:szCs w:val="24"/>
        </w:rPr>
        <w:t>o</w:t>
      </w:r>
      <w:r w:rsidR="005A2FED" w:rsidRPr="00B57653">
        <w:rPr>
          <w:szCs w:val="24"/>
        </w:rPr>
        <w:t xml:space="preserve"> </w:t>
      </w:r>
      <w:r w:rsidR="00CA72CE" w:rsidRPr="00B57653">
        <w:rPr>
          <w:szCs w:val="24"/>
        </w:rPr>
        <w:t>attiecināmo izmaksu apmēr</w:t>
      </w:r>
      <w:r w:rsidR="00874999" w:rsidRPr="00B57653">
        <w:rPr>
          <w:szCs w:val="24"/>
        </w:rPr>
        <w:t>u</w:t>
      </w:r>
      <w:r w:rsidR="009D2267" w:rsidRPr="00B57653">
        <w:rPr>
          <w:szCs w:val="24"/>
        </w:rPr>
        <w:t xml:space="preserve"> un </w:t>
      </w:r>
      <w:r w:rsidR="00CA72CE" w:rsidRPr="00B57653">
        <w:rPr>
          <w:szCs w:val="24"/>
        </w:rPr>
        <w:t xml:space="preserve">noteikti </w:t>
      </w:r>
      <w:r w:rsidR="00822FC6" w:rsidRPr="00B57653">
        <w:rPr>
          <w:szCs w:val="24"/>
        </w:rPr>
        <w:t xml:space="preserve">minētās </w:t>
      </w:r>
      <w:r w:rsidR="00CA72CE" w:rsidRPr="00B57653">
        <w:rPr>
          <w:szCs w:val="24"/>
        </w:rPr>
        <w:t>apakšaktivitātes uzraudzība</w:t>
      </w:r>
      <w:r w:rsidR="00927717" w:rsidRPr="00B57653">
        <w:rPr>
          <w:szCs w:val="24"/>
        </w:rPr>
        <w:t>s radītāji</w:t>
      </w:r>
      <w:r w:rsidR="009D2267" w:rsidRPr="00B57653">
        <w:rPr>
          <w:szCs w:val="24"/>
        </w:rPr>
        <w:t>.</w:t>
      </w:r>
    </w:p>
    <w:p w14:paraId="76D7D2A5" w14:textId="20B9A7CB" w:rsidR="00B76988" w:rsidRDefault="00B76988" w:rsidP="00B76988">
      <w:pPr>
        <w:spacing w:before="120" w:after="120" w:line="276" w:lineRule="auto"/>
        <w:jc w:val="both"/>
        <w:rPr>
          <w:rFonts w:eastAsia="Times New Roman" w:cs="Times New Roman"/>
          <w:szCs w:val="24"/>
        </w:rPr>
      </w:pPr>
      <w:r>
        <w:rPr>
          <w:rFonts w:eastAsia="Times New Roman" w:cs="Times New Roman"/>
          <w:szCs w:val="24"/>
        </w:rPr>
        <w:t xml:space="preserve">Pārskata periodā </w:t>
      </w:r>
      <w:r w:rsidRPr="00B76988">
        <w:rPr>
          <w:rFonts w:eastAsia="Times New Roman" w:cs="Times New Roman"/>
          <w:b/>
          <w:szCs w:val="24"/>
        </w:rPr>
        <w:t>DP “Infrastruktūra un pakalpojumi” papildinājumā</w:t>
      </w:r>
      <w:r w:rsidRPr="003A3A54">
        <w:rPr>
          <w:rFonts w:eastAsia="Times New Roman" w:cs="Times New Roman"/>
          <w:szCs w:val="24"/>
        </w:rPr>
        <w:t xml:space="preserve"> tika veikti grozījumi</w:t>
      </w:r>
      <w:r>
        <w:rPr>
          <w:rFonts w:eastAsia="Times New Roman" w:cs="Times New Roman"/>
          <w:szCs w:val="24"/>
        </w:rPr>
        <w:t xml:space="preserve">, </w:t>
      </w:r>
      <w:r w:rsidRPr="003A3A54">
        <w:rPr>
          <w:rFonts w:eastAsia="Times New Roman" w:cs="Times New Roman"/>
          <w:szCs w:val="24"/>
        </w:rPr>
        <w:t>pārdal</w:t>
      </w:r>
      <w:r>
        <w:rPr>
          <w:rFonts w:eastAsia="Times New Roman" w:cs="Times New Roman"/>
          <w:szCs w:val="24"/>
        </w:rPr>
        <w:t>o</w:t>
      </w:r>
      <w:r w:rsidRPr="003A3A54">
        <w:rPr>
          <w:rFonts w:eastAsia="Times New Roman" w:cs="Times New Roman"/>
          <w:szCs w:val="24"/>
        </w:rPr>
        <w:t>t</w:t>
      </w:r>
      <w:r>
        <w:rPr>
          <w:rFonts w:eastAsia="Times New Roman" w:cs="Times New Roman"/>
          <w:szCs w:val="24"/>
        </w:rPr>
        <w:t xml:space="preserve"> pieejamo </w:t>
      </w:r>
      <w:r>
        <w:rPr>
          <w:bCs/>
          <w:color w:val="000000"/>
        </w:rPr>
        <w:t xml:space="preserve">KF </w:t>
      </w:r>
      <w:r>
        <w:rPr>
          <w:rFonts w:eastAsia="Times New Roman" w:cs="Times New Roman"/>
          <w:szCs w:val="24"/>
        </w:rPr>
        <w:t xml:space="preserve">finansējumu </w:t>
      </w:r>
      <w:r>
        <w:rPr>
          <w:bCs/>
          <w:color w:val="000000"/>
        </w:rPr>
        <w:t xml:space="preserve">4 014 153 </w:t>
      </w:r>
      <w:r w:rsidRPr="00535D28">
        <w:rPr>
          <w:bCs/>
          <w:i/>
          <w:color w:val="000000"/>
        </w:rPr>
        <w:t>euro</w:t>
      </w:r>
      <w:r>
        <w:rPr>
          <w:rFonts w:eastAsia="Times New Roman" w:cs="Times New Roman"/>
          <w:szCs w:val="24"/>
        </w:rPr>
        <w:t xml:space="preserve"> apmērā </w:t>
      </w:r>
      <w:r w:rsidRPr="003A3A54">
        <w:rPr>
          <w:rFonts w:eastAsia="Times New Roman" w:cs="Times New Roman"/>
          <w:szCs w:val="24"/>
        </w:rPr>
        <w:t>aktivitāt</w:t>
      </w:r>
      <w:r>
        <w:rPr>
          <w:rFonts w:eastAsia="Times New Roman" w:cs="Times New Roman"/>
          <w:szCs w:val="24"/>
        </w:rPr>
        <w:t>es</w:t>
      </w:r>
      <w:r w:rsidRPr="003A3A54">
        <w:rPr>
          <w:rFonts w:eastAsia="Times New Roman" w:cs="Times New Roman"/>
          <w:szCs w:val="24"/>
        </w:rPr>
        <w:t xml:space="preserve"> </w:t>
      </w:r>
      <w:r>
        <w:rPr>
          <w:rFonts w:eastAsia="Times New Roman" w:cs="Times New Roman"/>
          <w:szCs w:val="24"/>
        </w:rPr>
        <w:t>“</w:t>
      </w:r>
      <w:r w:rsidRPr="003A3A54">
        <w:rPr>
          <w:rFonts w:eastAsia="Times New Roman" w:cs="Times New Roman"/>
          <w:szCs w:val="24"/>
        </w:rPr>
        <w:t>Ūdenssaimniecības infrastruktūras attīstība aglomerācijās ar cilvēku ekvivalentu lielāku par 2000” sest</w:t>
      </w:r>
      <w:r>
        <w:rPr>
          <w:rFonts w:eastAsia="Times New Roman" w:cs="Times New Roman"/>
          <w:szCs w:val="24"/>
        </w:rPr>
        <w:t>ās</w:t>
      </w:r>
      <w:r w:rsidRPr="003A3A54">
        <w:rPr>
          <w:rFonts w:eastAsia="Times New Roman" w:cs="Times New Roman"/>
          <w:szCs w:val="24"/>
        </w:rPr>
        <w:t xml:space="preserve"> projektu iesniegumu atlases kārt</w:t>
      </w:r>
      <w:r>
        <w:rPr>
          <w:rFonts w:eastAsia="Times New Roman" w:cs="Times New Roman"/>
          <w:szCs w:val="24"/>
        </w:rPr>
        <w:t xml:space="preserve">as īstenošanai, tādējādi </w:t>
      </w:r>
      <w:r w:rsidRPr="00FD7E24">
        <w:rPr>
          <w:bCs/>
          <w:color w:val="000000"/>
        </w:rPr>
        <w:t xml:space="preserve">veicinot Eiropas Savienības </w:t>
      </w:r>
      <w:r>
        <w:rPr>
          <w:bCs/>
          <w:color w:val="000000"/>
        </w:rPr>
        <w:t>direktīvas par notekūdeņu attīrīšanu un dzeramā ūdens kvalitātes prasību</w:t>
      </w:r>
      <w:r w:rsidRPr="00FD7E24">
        <w:rPr>
          <w:bCs/>
          <w:color w:val="000000"/>
        </w:rPr>
        <w:t xml:space="preserve"> </w:t>
      </w:r>
      <w:r>
        <w:rPr>
          <w:bCs/>
          <w:color w:val="000000"/>
        </w:rPr>
        <w:t xml:space="preserve">ieviešanu </w:t>
      </w:r>
      <w:r w:rsidRPr="00FD7E24">
        <w:rPr>
          <w:bCs/>
          <w:color w:val="000000"/>
        </w:rPr>
        <w:t>Latvijā</w:t>
      </w:r>
      <w:r>
        <w:rPr>
          <w:bCs/>
          <w:color w:val="000000"/>
        </w:rPr>
        <w:t xml:space="preserve">. Minētais finansējums pārdalīts </w:t>
      </w:r>
      <w:r>
        <w:rPr>
          <w:rFonts w:eastAsia="Times New Roman" w:cs="Times New Roman"/>
          <w:szCs w:val="24"/>
        </w:rPr>
        <w:t xml:space="preserve">no </w:t>
      </w:r>
      <w:r>
        <w:rPr>
          <w:bCs/>
          <w:color w:val="000000"/>
        </w:rPr>
        <w:t>aktivitātes “</w:t>
      </w:r>
      <w:r w:rsidRPr="00A105F1">
        <w:rPr>
          <w:bCs/>
          <w:color w:val="000000"/>
        </w:rPr>
        <w:t>Infrastruktūras izveide Natura 2000 teritorijās”</w:t>
      </w:r>
      <w:r>
        <w:rPr>
          <w:bCs/>
          <w:color w:val="000000"/>
        </w:rPr>
        <w:t>,</w:t>
      </w:r>
      <w:r w:rsidR="00D44051">
        <w:rPr>
          <w:bCs/>
          <w:color w:val="000000"/>
        </w:rPr>
        <w:t xml:space="preserve"> </w:t>
      </w:r>
      <w:r>
        <w:rPr>
          <w:bCs/>
          <w:color w:val="000000"/>
        </w:rPr>
        <w:t>aktivitātes “</w:t>
      </w:r>
      <w:r w:rsidRPr="005B6B21">
        <w:rPr>
          <w:bCs/>
          <w:color w:val="000000"/>
        </w:rPr>
        <w:t>Vides monitoringa un kontroles sistēmas attīstība”</w:t>
      </w:r>
      <w:r>
        <w:rPr>
          <w:rFonts w:eastAsia="Times New Roman" w:cs="Times New Roman"/>
          <w:szCs w:val="24"/>
        </w:rPr>
        <w:t xml:space="preserve"> </w:t>
      </w:r>
      <w:r>
        <w:rPr>
          <w:bCs/>
          <w:color w:val="000000"/>
        </w:rPr>
        <w:t xml:space="preserve">un apakšaktivitātes “Normatīvo aktu prasībām neatbilstošo izgāztuvju rekultivācija” ietvaros </w:t>
      </w:r>
      <w:r>
        <w:rPr>
          <w:rFonts w:eastAsia="Times New Roman" w:cs="Times New Roman"/>
          <w:szCs w:val="24"/>
        </w:rPr>
        <w:t xml:space="preserve">pieejamā </w:t>
      </w:r>
      <w:r>
        <w:rPr>
          <w:bCs/>
          <w:color w:val="000000"/>
        </w:rPr>
        <w:t xml:space="preserve">KF </w:t>
      </w:r>
      <w:r>
        <w:rPr>
          <w:rFonts w:eastAsia="Times New Roman" w:cs="Times New Roman"/>
          <w:szCs w:val="24"/>
        </w:rPr>
        <w:t>finansējuma atlikuma</w:t>
      </w:r>
      <w:r>
        <w:rPr>
          <w:bCs/>
          <w:color w:val="000000"/>
        </w:rPr>
        <w:t>.</w:t>
      </w:r>
    </w:p>
    <w:p w14:paraId="53970A03" w14:textId="77C4A4A8" w:rsidR="00466D90" w:rsidRPr="00B57653" w:rsidRDefault="00561D48">
      <w:pPr>
        <w:pStyle w:val="BodyTextIndent"/>
        <w:ind w:left="0"/>
        <w:rPr>
          <w:lang w:val="lv-LV"/>
        </w:rPr>
      </w:pPr>
      <w:r w:rsidRPr="00B76988">
        <w:rPr>
          <w:lang w:val="lv-LV"/>
        </w:rPr>
        <w:t>Plašāka informācija p</w:t>
      </w:r>
      <w:r w:rsidR="007E78E1" w:rsidRPr="00B76988">
        <w:rPr>
          <w:lang w:val="lv-LV"/>
        </w:rPr>
        <w:t>ar pārskata periodā izsludinātajām</w:t>
      </w:r>
      <w:r w:rsidRPr="00B76988">
        <w:rPr>
          <w:lang w:val="lv-LV"/>
        </w:rPr>
        <w:t>,</w:t>
      </w:r>
      <w:r w:rsidR="002751EB" w:rsidRPr="00B76988">
        <w:rPr>
          <w:lang w:val="lv-LV"/>
        </w:rPr>
        <w:t xml:space="preserve"> </w:t>
      </w:r>
      <w:r w:rsidR="007E78E1" w:rsidRPr="00B76988">
        <w:rPr>
          <w:lang w:val="lv-LV"/>
        </w:rPr>
        <w:t xml:space="preserve">kā arī turpmāk plānotajām atlasēm </w:t>
      </w:r>
      <w:r w:rsidRPr="00B76988">
        <w:rPr>
          <w:lang w:val="lv-LV"/>
        </w:rPr>
        <w:t>pieejama</w:t>
      </w:r>
      <w:r w:rsidR="007E78E1" w:rsidRPr="00B76988">
        <w:rPr>
          <w:lang w:val="lv-LV"/>
        </w:rPr>
        <w:t xml:space="preserve"> </w:t>
      </w:r>
      <w:hyperlink r:id="rId17" w:history="1">
        <w:r w:rsidR="007E78E1" w:rsidRPr="00B76988">
          <w:rPr>
            <w:rStyle w:val="Hyperlink"/>
            <w:color w:val="auto"/>
            <w:u w:val="none"/>
            <w:lang w:val="lv-LV"/>
          </w:rPr>
          <w:t>ES fondu tīmekļa vietnē</w:t>
        </w:r>
      </w:hyperlink>
      <w:r w:rsidR="00A21D05" w:rsidRPr="00B76988">
        <w:rPr>
          <w:rStyle w:val="FootnoteReference"/>
          <w:lang w:val="lv-LV"/>
        </w:rPr>
        <w:footnoteReference w:id="17"/>
      </w:r>
      <w:r w:rsidR="007E78E1" w:rsidRPr="00B76988">
        <w:rPr>
          <w:lang w:val="lv-LV"/>
        </w:rPr>
        <w:t>.</w:t>
      </w:r>
    </w:p>
    <w:p w14:paraId="35424421" w14:textId="64359735" w:rsidR="006F7499" w:rsidRPr="00B57653" w:rsidRDefault="00A5315A" w:rsidP="00D63924">
      <w:pPr>
        <w:pStyle w:val="2lmenis"/>
      </w:pPr>
      <w:bookmarkStart w:id="9" w:name="_Toc412729435"/>
      <w:r w:rsidRPr="00B57653">
        <w:t>ES fondu investīciju progress</w:t>
      </w:r>
      <w:bookmarkEnd w:id="9"/>
    </w:p>
    <w:p w14:paraId="4A3C6AEC" w14:textId="43CDCE0F" w:rsidR="00A5315A" w:rsidRPr="00B57653" w:rsidRDefault="00A5315A" w:rsidP="00D63924">
      <w:pPr>
        <w:pStyle w:val="3lmenis"/>
        <w:numPr>
          <w:ilvl w:val="2"/>
          <w:numId w:val="41"/>
        </w:numPr>
        <w:jc w:val="left"/>
      </w:pPr>
      <w:bookmarkStart w:id="10" w:name="_Toc412729436"/>
      <w:r w:rsidRPr="00B57653">
        <w:t xml:space="preserve">Kopējais ES fondu </w:t>
      </w:r>
      <w:r w:rsidR="00645E79" w:rsidRPr="00B57653">
        <w:t xml:space="preserve">investīciju </w:t>
      </w:r>
      <w:r w:rsidRPr="00B57653">
        <w:t>progress un mērķu sasniegšana</w:t>
      </w:r>
      <w:bookmarkEnd w:id="10"/>
    </w:p>
    <w:p w14:paraId="0ABDAD4C" w14:textId="6185891F" w:rsidR="00107EF2" w:rsidRPr="00B57653" w:rsidRDefault="00107EF2" w:rsidP="00646790">
      <w:pPr>
        <w:spacing w:before="120" w:after="120" w:line="276" w:lineRule="auto"/>
        <w:jc w:val="both"/>
        <w:rPr>
          <w:b/>
          <w:i/>
          <w:color w:val="000000" w:themeColor="text1"/>
          <w:szCs w:val="24"/>
        </w:rPr>
      </w:pPr>
      <w:r w:rsidRPr="00B57653">
        <w:rPr>
          <w:b/>
          <w:i/>
          <w:color w:val="000000" w:themeColor="text1"/>
          <w:szCs w:val="24"/>
        </w:rPr>
        <w:t>Investīciju progress:</w:t>
      </w:r>
    </w:p>
    <w:p w14:paraId="02CA9585" w14:textId="6E6E2644" w:rsidR="00581D07" w:rsidRDefault="00581D07" w:rsidP="00646790">
      <w:pPr>
        <w:spacing w:before="120" w:after="120" w:line="276" w:lineRule="auto"/>
        <w:jc w:val="both"/>
      </w:pPr>
      <w:r>
        <w:t xml:space="preserve">Ziņojuma ievaddaļā analizēts pieejamais publiskais finansējums, savukārt </w:t>
      </w:r>
      <w:r w:rsidR="001216C1">
        <w:t>maksājumu mērķu izpildes, tostarp arī ministriju un fondu griezumā, analizē izmantots pieejamais ES fondu finansējums.</w:t>
      </w:r>
    </w:p>
    <w:p w14:paraId="5F600E87" w14:textId="69D41AAB" w:rsidR="00EE300C" w:rsidRPr="00C90EB0" w:rsidRDefault="000D6B90" w:rsidP="00C90EB0">
      <w:pPr>
        <w:spacing w:before="120" w:after="120" w:line="276" w:lineRule="auto"/>
        <w:jc w:val="both"/>
        <w:rPr>
          <w:highlight w:val="yellow"/>
        </w:rPr>
      </w:pPr>
      <w:r w:rsidRPr="00B57653">
        <w:t>Kopā no ES fondu projektu īstenošanai pieejamiem</w:t>
      </w:r>
      <w:r w:rsidRPr="00B57653">
        <w:rPr>
          <w:color w:val="000000" w:themeColor="text1"/>
          <w:szCs w:val="24"/>
        </w:rPr>
        <w:t xml:space="preserve"> </w:t>
      </w:r>
      <w:r w:rsidR="00C92DCC" w:rsidRPr="00B57653">
        <w:rPr>
          <w:color w:val="000000" w:themeColor="text1"/>
          <w:szCs w:val="24"/>
        </w:rPr>
        <w:t>5,0</w:t>
      </w:r>
      <w:r w:rsidR="00AA5EE4" w:rsidRPr="00B57653">
        <w:rPr>
          <w:color w:val="000000" w:themeColor="text1"/>
          <w:szCs w:val="24"/>
        </w:rPr>
        <w:t xml:space="preserve"> </w:t>
      </w:r>
      <w:r w:rsidRPr="00B57653">
        <w:rPr>
          <w:color w:val="000000" w:themeColor="text1"/>
          <w:szCs w:val="24"/>
        </w:rPr>
        <w:t xml:space="preserve">mljrd. </w:t>
      </w:r>
      <w:r w:rsidRPr="00B57653">
        <w:rPr>
          <w:i/>
          <w:color w:val="000000" w:themeColor="text1"/>
          <w:szCs w:val="24"/>
        </w:rPr>
        <w:t>euro</w:t>
      </w:r>
      <w:r w:rsidRPr="00B57653">
        <w:rPr>
          <w:color w:val="000000" w:themeColor="text1"/>
          <w:szCs w:val="24"/>
        </w:rPr>
        <w:t xml:space="preserve"> </w:t>
      </w:r>
      <w:r w:rsidR="00747912" w:rsidRPr="00B57653">
        <w:rPr>
          <w:color w:val="000000" w:themeColor="text1"/>
          <w:szCs w:val="24"/>
        </w:rPr>
        <w:t xml:space="preserve">publiskā finansējuma, kas ietver gan ES fondu finansējumu, gan arī valsts budžeta un pašvaldību budžeta līdzfinansējumu (neskaitot piešķirtā valsts budžeta virssaistību finansējumu </w:t>
      </w:r>
      <w:r w:rsidR="009B64E6" w:rsidRPr="00B57653">
        <w:rPr>
          <w:color w:val="000000" w:themeColor="text1"/>
          <w:szCs w:val="24"/>
        </w:rPr>
        <w:t>404,</w:t>
      </w:r>
      <w:r w:rsidR="00BE5D86" w:rsidRPr="00B57653">
        <w:rPr>
          <w:color w:val="000000" w:themeColor="text1"/>
          <w:szCs w:val="24"/>
        </w:rPr>
        <w:t>5</w:t>
      </w:r>
      <w:r w:rsidRPr="00B57653">
        <w:rPr>
          <w:color w:val="000000" w:themeColor="text1"/>
          <w:szCs w:val="24"/>
        </w:rPr>
        <w:t xml:space="preserve"> milj. </w:t>
      </w:r>
      <w:r w:rsidRPr="00B57653">
        <w:rPr>
          <w:i/>
          <w:color w:val="000000" w:themeColor="text1"/>
          <w:szCs w:val="24"/>
        </w:rPr>
        <w:t>euro</w:t>
      </w:r>
      <w:r w:rsidRPr="00B57653">
        <w:rPr>
          <w:color w:val="000000" w:themeColor="text1"/>
          <w:szCs w:val="24"/>
        </w:rPr>
        <w:t>)</w:t>
      </w:r>
      <w:r w:rsidR="00747912" w:rsidRPr="00B57653">
        <w:rPr>
          <w:color w:val="000000" w:themeColor="text1"/>
          <w:szCs w:val="24"/>
        </w:rPr>
        <w:t xml:space="preserve">, ir noslēgti </w:t>
      </w:r>
      <w:r w:rsidR="00DB51C6" w:rsidRPr="00B57653">
        <w:rPr>
          <w:color w:val="000000" w:themeColor="text1"/>
          <w:szCs w:val="24"/>
        </w:rPr>
        <w:t>7</w:t>
      </w:r>
      <w:r w:rsidR="00581D07">
        <w:rPr>
          <w:color w:val="000000" w:themeColor="text1"/>
          <w:szCs w:val="24"/>
        </w:rPr>
        <w:t>,4</w:t>
      </w:r>
      <w:r w:rsidR="00DB51C6" w:rsidRPr="00B57653">
        <w:rPr>
          <w:color w:val="000000" w:themeColor="text1"/>
          <w:szCs w:val="24"/>
        </w:rPr>
        <w:t xml:space="preserve"> </w:t>
      </w:r>
      <w:r w:rsidR="00581D07">
        <w:rPr>
          <w:color w:val="000000" w:themeColor="text1"/>
          <w:szCs w:val="24"/>
        </w:rPr>
        <w:t>tūkst.</w:t>
      </w:r>
      <w:r w:rsidR="00747912" w:rsidRPr="00B57653">
        <w:rPr>
          <w:color w:val="000000" w:themeColor="text1"/>
          <w:szCs w:val="24"/>
        </w:rPr>
        <w:t xml:space="preserve"> līgumi par projektu īstenošanu </w:t>
      </w:r>
      <w:r w:rsidR="00AA5EE4" w:rsidRPr="00B57653">
        <w:rPr>
          <w:color w:val="000000" w:themeColor="text1"/>
          <w:szCs w:val="24"/>
        </w:rPr>
        <w:t>5,3</w:t>
      </w:r>
      <w:r w:rsidRPr="00B57653">
        <w:rPr>
          <w:color w:val="000000" w:themeColor="text1"/>
          <w:szCs w:val="24"/>
        </w:rPr>
        <w:t xml:space="preserve"> </w:t>
      </w:r>
      <w:r w:rsidR="00747912" w:rsidRPr="00B57653">
        <w:rPr>
          <w:color w:val="000000" w:themeColor="text1"/>
          <w:szCs w:val="24"/>
        </w:rPr>
        <w:t xml:space="preserve">mljrd. apmērā, t.i., </w:t>
      </w:r>
      <w:r w:rsidR="00C92DCC" w:rsidRPr="00B57653">
        <w:rPr>
          <w:color w:val="000000" w:themeColor="text1"/>
          <w:szCs w:val="24"/>
        </w:rPr>
        <w:t>106,8</w:t>
      </w:r>
      <w:r w:rsidRPr="00B57653">
        <w:rPr>
          <w:color w:val="000000" w:themeColor="text1"/>
          <w:szCs w:val="24"/>
        </w:rPr>
        <w:t>%.</w:t>
      </w:r>
      <w:r w:rsidRPr="00B57653">
        <w:t xml:space="preserve"> Savukārt finansējuma saņēmējiem ir izmaksāti </w:t>
      </w:r>
      <w:r w:rsidR="00C92DCC" w:rsidRPr="00B57653">
        <w:t>4,3</w:t>
      </w:r>
      <w:r w:rsidRPr="00B57653">
        <w:t xml:space="preserve"> mljrd. </w:t>
      </w:r>
      <w:r w:rsidRPr="00B57653">
        <w:rPr>
          <w:i/>
        </w:rPr>
        <w:t>euro</w:t>
      </w:r>
      <w:r w:rsidRPr="00B57653">
        <w:t xml:space="preserve"> jeb </w:t>
      </w:r>
      <w:r w:rsidR="00C92DCC" w:rsidRPr="00B57653">
        <w:t>87,2</w:t>
      </w:r>
      <w:r w:rsidRPr="00B57653">
        <w:t>%</w:t>
      </w:r>
      <w:r w:rsidR="003D2C47" w:rsidRPr="00B57653">
        <w:t xml:space="preserve">, to parāda arī </w:t>
      </w:r>
      <w:r w:rsidR="003D2C47" w:rsidRPr="00B57653">
        <w:lastRenderedPageBreak/>
        <w:t>zemāk esošais grafiks</w:t>
      </w:r>
      <w:r w:rsidR="00C71796">
        <w:t>.</w:t>
      </w:r>
      <w:r w:rsidR="00A40320" w:rsidRPr="00B57653">
        <w:t xml:space="preserve"> Līgumi tiek slēgti </w:t>
      </w:r>
      <w:r w:rsidR="003D2C47" w:rsidRPr="00B57653">
        <w:t xml:space="preserve">jau </w:t>
      </w:r>
      <w:r w:rsidR="00A40320" w:rsidRPr="00B57653">
        <w:t>par virssaistību finansējumu</w:t>
      </w:r>
      <w:r w:rsidR="003D2C47" w:rsidRPr="00B57653">
        <w:t xml:space="preserve">, </w:t>
      </w:r>
      <w:r w:rsidR="00A40320" w:rsidRPr="00B57653">
        <w:t xml:space="preserve"> sīkāk skatīt sadaļā budžeta izpilde. </w:t>
      </w:r>
    </w:p>
    <w:p w14:paraId="6D86D02C" w14:textId="021BD4AF" w:rsidR="00747912" w:rsidRPr="00B57653" w:rsidRDefault="00747912" w:rsidP="008A6332">
      <w:pPr>
        <w:spacing w:before="120" w:line="276" w:lineRule="auto"/>
        <w:jc w:val="both"/>
        <w:rPr>
          <w:color w:val="000000" w:themeColor="text1"/>
          <w:szCs w:val="24"/>
          <w:u w:val="single"/>
          <w:lang w:eastAsia="lv-LV"/>
        </w:rPr>
      </w:pPr>
      <w:r w:rsidRPr="00B57653">
        <w:rPr>
          <w:rFonts w:eastAsia="EUAlbertina-Bold-Identity-H"/>
          <w:color w:val="000000" w:themeColor="text1"/>
          <w:szCs w:val="24"/>
          <w:lang w:eastAsia="lv-LV"/>
        </w:rPr>
        <w:t>Grafiks Nr</w:t>
      </w:r>
      <w:r w:rsidR="000449F3" w:rsidRPr="00B57653">
        <w:rPr>
          <w:rFonts w:eastAsia="EUAlbertina-Bold-Identity-H"/>
          <w:szCs w:val="24"/>
          <w:lang w:eastAsia="lv-LV"/>
        </w:rPr>
        <w:t>.1</w:t>
      </w:r>
      <w:r w:rsidRPr="00B57653">
        <w:rPr>
          <w:rFonts w:eastAsia="EUAlbertina-Bold-Identity-H"/>
          <w:color w:val="FF0000"/>
          <w:szCs w:val="24"/>
          <w:lang w:eastAsia="lv-LV"/>
        </w:rPr>
        <w:t xml:space="preserve"> </w:t>
      </w:r>
      <w:r w:rsidRPr="00B57653">
        <w:rPr>
          <w:rFonts w:eastAsia="EUAlbertina-Bold-Identity-H"/>
          <w:i/>
          <w:color w:val="000000" w:themeColor="text1"/>
          <w:szCs w:val="24"/>
        </w:rPr>
        <w:t>„</w:t>
      </w:r>
      <w:r w:rsidRPr="00B57653">
        <w:rPr>
          <w:i/>
          <w:iCs/>
          <w:color w:val="000000" w:themeColor="text1"/>
          <w:szCs w:val="24"/>
        </w:rPr>
        <w:t>ES fond</w:t>
      </w:r>
      <w:r w:rsidR="00A338CF" w:rsidRPr="00B57653">
        <w:rPr>
          <w:i/>
          <w:iCs/>
          <w:color w:val="000000" w:themeColor="text1"/>
          <w:szCs w:val="24"/>
        </w:rPr>
        <w:t>u finanšu investīcijas līdz 2014</w:t>
      </w:r>
      <w:r w:rsidR="0001070B" w:rsidRPr="00B57653">
        <w:rPr>
          <w:i/>
          <w:iCs/>
          <w:color w:val="000000" w:themeColor="text1"/>
          <w:szCs w:val="24"/>
        </w:rPr>
        <w:t>.gada 3</w:t>
      </w:r>
      <w:r w:rsidR="00BE5D86" w:rsidRPr="00B57653">
        <w:rPr>
          <w:i/>
          <w:iCs/>
          <w:color w:val="000000" w:themeColor="text1"/>
          <w:szCs w:val="24"/>
        </w:rPr>
        <w:t>1</w:t>
      </w:r>
      <w:r w:rsidR="0001070B" w:rsidRPr="00B57653">
        <w:rPr>
          <w:i/>
          <w:iCs/>
          <w:color w:val="000000" w:themeColor="text1"/>
          <w:szCs w:val="24"/>
        </w:rPr>
        <w:t>.</w:t>
      </w:r>
      <w:r w:rsidR="00BE5D86" w:rsidRPr="00B57653">
        <w:rPr>
          <w:i/>
          <w:iCs/>
          <w:color w:val="000000" w:themeColor="text1"/>
          <w:szCs w:val="24"/>
        </w:rPr>
        <w:t>dec</w:t>
      </w:r>
      <w:r w:rsidR="0001070B" w:rsidRPr="00B57653">
        <w:rPr>
          <w:i/>
          <w:iCs/>
          <w:color w:val="000000" w:themeColor="text1"/>
          <w:szCs w:val="24"/>
        </w:rPr>
        <w:t>embrim</w:t>
      </w:r>
      <w:r w:rsidRPr="00B57653">
        <w:rPr>
          <w:i/>
          <w:iCs/>
          <w:color w:val="000000" w:themeColor="text1"/>
          <w:szCs w:val="24"/>
        </w:rPr>
        <w:t>; Pu</w:t>
      </w:r>
      <w:r w:rsidR="00A338CF" w:rsidRPr="00B57653">
        <w:rPr>
          <w:i/>
          <w:iCs/>
          <w:color w:val="000000" w:themeColor="text1"/>
          <w:szCs w:val="24"/>
        </w:rPr>
        <w:t>bliskais finansējums, milj. euro</w:t>
      </w:r>
      <w:r w:rsidRPr="00B57653">
        <w:rPr>
          <w:i/>
          <w:iCs/>
          <w:color w:val="000000" w:themeColor="text1"/>
          <w:szCs w:val="24"/>
        </w:rPr>
        <w:t xml:space="preserve"> (% no pieejamā publiskā finansējuma)</w:t>
      </w:r>
      <w:r w:rsidR="00EA7051" w:rsidRPr="00B57653">
        <w:rPr>
          <w:i/>
          <w:iCs/>
          <w:color w:val="000000" w:themeColor="text1"/>
          <w:szCs w:val="24"/>
        </w:rPr>
        <w:t>; progre</w:t>
      </w:r>
      <w:r w:rsidR="0001070B" w:rsidRPr="00B57653">
        <w:rPr>
          <w:i/>
          <w:iCs/>
          <w:color w:val="000000" w:themeColor="text1"/>
          <w:szCs w:val="24"/>
        </w:rPr>
        <w:t>ss pret datiem līdz 2014.gada 30.</w:t>
      </w:r>
      <w:r w:rsidR="00BE5D86" w:rsidRPr="00B57653">
        <w:rPr>
          <w:i/>
          <w:iCs/>
          <w:color w:val="000000" w:themeColor="text1"/>
          <w:szCs w:val="24"/>
        </w:rPr>
        <w:t>septembrim</w:t>
      </w:r>
      <w:r w:rsidRPr="00B57653">
        <w:rPr>
          <w:i/>
          <w:iCs/>
          <w:color w:val="000000" w:themeColor="text1"/>
          <w:szCs w:val="24"/>
        </w:rPr>
        <w:t>, %.</w:t>
      </w:r>
      <w:r w:rsidRPr="00B57653">
        <w:rPr>
          <w:rFonts w:eastAsia="EUAlbertina-Bold-Identity-H"/>
          <w:i/>
          <w:color w:val="000000" w:themeColor="text1"/>
          <w:szCs w:val="24"/>
        </w:rPr>
        <w:t>”</w:t>
      </w:r>
      <w:r w:rsidRPr="00B57653">
        <w:rPr>
          <w:rFonts w:eastAsia="EUAlbertina-Bold-Identity-H"/>
          <w:color w:val="000000" w:themeColor="text1"/>
          <w:szCs w:val="24"/>
          <w:lang w:eastAsia="lv-LV"/>
        </w:rPr>
        <w:tab/>
      </w:r>
    </w:p>
    <w:p w14:paraId="5422B63C" w14:textId="77CEC2E3" w:rsidR="0091634F" w:rsidRPr="00B57653" w:rsidRDefault="00C92DCC" w:rsidP="003860E6">
      <w:pPr>
        <w:spacing w:after="240" w:line="276" w:lineRule="auto"/>
        <w:jc w:val="center"/>
        <w:rPr>
          <w:rFonts w:eastAsia="EUAlbertina-Bold-Identity-H"/>
          <w:color w:val="000000" w:themeColor="text1"/>
          <w:szCs w:val="24"/>
          <w:highlight w:val="yellow"/>
          <w:lang w:eastAsia="lv-LV"/>
        </w:rPr>
      </w:pPr>
      <w:r w:rsidRPr="00B57653">
        <w:rPr>
          <w:noProof/>
          <w:lang w:eastAsia="lv-LV"/>
        </w:rPr>
        <w:drawing>
          <wp:inline distT="0" distB="0" distL="0" distR="0" wp14:anchorId="521787A8" wp14:editId="0790C2BE">
            <wp:extent cx="5651500" cy="2505075"/>
            <wp:effectExtent l="0" t="0" r="635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31A3321" w14:textId="418F21B5" w:rsidR="00EE300C" w:rsidRDefault="00BF23F3" w:rsidP="00131504">
      <w:pPr>
        <w:spacing w:before="120" w:after="120" w:line="276" w:lineRule="auto"/>
        <w:jc w:val="both"/>
        <w:rPr>
          <w:rFonts w:eastAsia="EUAlbertina-Bold-Identity-H"/>
          <w:szCs w:val="24"/>
          <w:lang w:eastAsia="lv-LV"/>
        </w:rPr>
      </w:pPr>
      <w:r w:rsidRPr="00B57653">
        <w:rPr>
          <w:rFonts w:eastAsia="EUAlbertina-Bold-Identity-H"/>
          <w:szCs w:val="24"/>
          <w:lang w:eastAsia="lv-LV"/>
        </w:rPr>
        <w:t xml:space="preserve">Lai gan katru ceturksni vērojams būtisks progress veiktajos maksājumos, </w:t>
      </w:r>
      <w:r w:rsidR="00131504" w:rsidRPr="00B57653">
        <w:rPr>
          <w:rFonts w:eastAsia="EUAlbertina-Bold-Identity-H"/>
          <w:szCs w:val="24"/>
          <w:lang w:eastAsia="lv-LV"/>
        </w:rPr>
        <w:t>vislielākais maksājumu apjoms</w:t>
      </w:r>
      <w:r w:rsidR="00581D07">
        <w:rPr>
          <w:rFonts w:eastAsia="EUAlbertina-Bold-Identity-H"/>
          <w:szCs w:val="24"/>
          <w:lang w:eastAsia="lv-LV"/>
        </w:rPr>
        <w:t xml:space="preserve"> vēl</w:t>
      </w:r>
      <w:r w:rsidR="00131504" w:rsidRPr="00B57653">
        <w:rPr>
          <w:rFonts w:eastAsia="EUAlbertina-Bold-Identity-H"/>
          <w:szCs w:val="24"/>
          <w:lang w:eastAsia="lv-LV"/>
        </w:rPr>
        <w:t xml:space="preserve"> jāveic SM, EM, VARAM un IZM, to parāda arī zemāk esošais grafiks.</w:t>
      </w:r>
      <w:r w:rsidR="00582AD3" w:rsidRPr="00B57653">
        <w:rPr>
          <w:rFonts w:eastAsia="EUAlbertina-Bold-Identity-H"/>
          <w:szCs w:val="24"/>
          <w:lang w:eastAsia="lv-LV"/>
        </w:rPr>
        <w:t xml:space="preserve"> </w:t>
      </w:r>
      <w:r w:rsidR="00DC1782" w:rsidRPr="00B57653">
        <w:rPr>
          <w:rFonts w:eastAsia="EUAlbertina-Bold-Identity-H"/>
          <w:szCs w:val="24"/>
          <w:lang w:eastAsia="lv-LV"/>
        </w:rPr>
        <w:t>Kopumā finansējuma saņēmējiem veikti maksājumi 3</w:t>
      </w:r>
      <w:r w:rsidR="00C264DA" w:rsidRPr="00B57653">
        <w:rPr>
          <w:rFonts w:eastAsia="EUAlbertina-Bold-Identity-H"/>
          <w:szCs w:val="24"/>
          <w:lang w:eastAsia="lv-LV"/>
        </w:rPr>
        <w:t xml:space="preserve"> </w:t>
      </w:r>
      <w:r w:rsidR="00A158B9" w:rsidRPr="00B57653">
        <w:rPr>
          <w:rFonts w:eastAsia="EUAlbertina-Bold-Identity-H"/>
          <w:szCs w:val="24"/>
          <w:lang w:eastAsia="lv-LV"/>
        </w:rPr>
        <w:t>83</w:t>
      </w:r>
      <w:r w:rsidR="00DC1782" w:rsidRPr="00B57653">
        <w:rPr>
          <w:rFonts w:eastAsia="EUAlbertina-Bold-Identity-H"/>
          <w:szCs w:val="24"/>
          <w:lang w:eastAsia="lv-LV"/>
        </w:rPr>
        <w:t>1,</w:t>
      </w:r>
      <w:r w:rsidR="00A158B9" w:rsidRPr="00B57653">
        <w:rPr>
          <w:rFonts w:eastAsia="EUAlbertina-Bold-Identity-H"/>
          <w:szCs w:val="24"/>
          <w:lang w:eastAsia="lv-LV"/>
        </w:rPr>
        <w:t>3</w:t>
      </w:r>
      <w:r w:rsidR="00DC1782" w:rsidRPr="00B57653">
        <w:rPr>
          <w:rFonts w:eastAsia="EUAlbertina-Bold-Identity-H"/>
          <w:szCs w:val="24"/>
          <w:lang w:eastAsia="lv-LV"/>
        </w:rPr>
        <w:t xml:space="preserve"> milj. </w:t>
      </w:r>
      <w:r w:rsidR="00DC1782" w:rsidRPr="00B57653">
        <w:rPr>
          <w:rFonts w:eastAsia="EUAlbertina-Bold-Identity-H"/>
          <w:i/>
          <w:szCs w:val="24"/>
          <w:lang w:eastAsia="lv-LV"/>
        </w:rPr>
        <w:t>euro</w:t>
      </w:r>
      <w:r w:rsidR="00DC1782" w:rsidRPr="00B57653">
        <w:rPr>
          <w:rFonts w:eastAsia="EUAlbertina-Bold-Identity-H"/>
          <w:szCs w:val="24"/>
          <w:lang w:eastAsia="lv-LV"/>
        </w:rPr>
        <w:t xml:space="preserve">, kas ir </w:t>
      </w:r>
      <w:r w:rsidR="00A158B9" w:rsidRPr="00B57653">
        <w:rPr>
          <w:rFonts w:eastAsia="EUAlbertina-Bold-Identity-H"/>
          <w:szCs w:val="24"/>
          <w:lang w:eastAsia="lv-LV"/>
        </w:rPr>
        <w:t>84,6</w:t>
      </w:r>
      <w:r w:rsidR="00DC1782" w:rsidRPr="00B57653">
        <w:rPr>
          <w:rFonts w:eastAsia="EUAlbertina-Bold-Identity-H"/>
          <w:szCs w:val="24"/>
          <w:lang w:eastAsia="lv-LV"/>
        </w:rPr>
        <w:t>% no pieejamā ES fondu finansējuma</w:t>
      </w:r>
      <w:r w:rsidR="009D7764">
        <w:rPr>
          <w:rFonts w:eastAsia="EUAlbertina-Bold-Identity-H"/>
          <w:szCs w:val="24"/>
          <w:lang w:eastAsia="lv-LV"/>
        </w:rPr>
        <w:t>.</w:t>
      </w:r>
    </w:p>
    <w:p w14:paraId="67BCB003" w14:textId="77777777" w:rsidR="003721EE" w:rsidRDefault="003721EE" w:rsidP="00131504">
      <w:pPr>
        <w:spacing w:before="120" w:after="120" w:line="276" w:lineRule="auto"/>
        <w:jc w:val="both"/>
        <w:rPr>
          <w:rFonts w:eastAsia="EUAlbertina-Bold-Identity-H"/>
          <w:szCs w:val="24"/>
          <w:lang w:eastAsia="lv-LV"/>
        </w:rPr>
      </w:pPr>
    </w:p>
    <w:p w14:paraId="4CB94146" w14:textId="77777777" w:rsidR="003721EE" w:rsidRDefault="003721EE" w:rsidP="00131504">
      <w:pPr>
        <w:spacing w:before="120" w:after="120" w:line="276" w:lineRule="auto"/>
        <w:jc w:val="both"/>
        <w:rPr>
          <w:rFonts w:eastAsia="EUAlbertina-Bold-Identity-H"/>
          <w:szCs w:val="24"/>
          <w:lang w:eastAsia="lv-LV"/>
        </w:rPr>
      </w:pPr>
    </w:p>
    <w:p w14:paraId="7A0A00A1" w14:textId="77777777" w:rsidR="003721EE" w:rsidRDefault="003721EE" w:rsidP="00131504">
      <w:pPr>
        <w:spacing w:before="120" w:after="120" w:line="276" w:lineRule="auto"/>
        <w:jc w:val="both"/>
        <w:rPr>
          <w:rFonts w:eastAsia="EUAlbertina-Bold-Identity-H"/>
          <w:szCs w:val="24"/>
          <w:lang w:eastAsia="lv-LV"/>
        </w:rPr>
      </w:pPr>
    </w:p>
    <w:p w14:paraId="6CC71766" w14:textId="77777777" w:rsidR="003721EE" w:rsidRDefault="003721EE" w:rsidP="00131504">
      <w:pPr>
        <w:spacing w:before="120" w:after="120" w:line="276" w:lineRule="auto"/>
        <w:jc w:val="both"/>
        <w:rPr>
          <w:rFonts w:eastAsia="EUAlbertina-Bold-Identity-H"/>
          <w:szCs w:val="24"/>
          <w:lang w:eastAsia="lv-LV"/>
        </w:rPr>
      </w:pPr>
    </w:p>
    <w:p w14:paraId="2CD98816" w14:textId="77777777" w:rsidR="003721EE" w:rsidRDefault="003721EE" w:rsidP="00131504">
      <w:pPr>
        <w:spacing w:before="120" w:after="120" w:line="276" w:lineRule="auto"/>
        <w:jc w:val="both"/>
        <w:rPr>
          <w:rFonts w:eastAsia="EUAlbertina-Bold-Identity-H"/>
          <w:szCs w:val="24"/>
          <w:lang w:eastAsia="lv-LV"/>
        </w:rPr>
      </w:pPr>
    </w:p>
    <w:p w14:paraId="30467A5A" w14:textId="77777777" w:rsidR="003721EE" w:rsidRDefault="003721EE" w:rsidP="00131504">
      <w:pPr>
        <w:spacing w:before="120" w:after="120" w:line="276" w:lineRule="auto"/>
        <w:jc w:val="both"/>
        <w:rPr>
          <w:rFonts w:eastAsia="EUAlbertina-Bold-Identity-H"/>
          <w:szCs w:val="24"/>
          <w:lang w:eastAsia="lv-LV"/>
        </w:rPr>
      </w:pPr>
    </w:p>
    <w:p w14:paraId="1AD097AE" w14:textId="77777777" w:rsidR="003721EE" w:rsidRDefault="003721EE" w:rsidP="00131504">
      <w:pPr>
        <w:spacing w:before="120" w:after="120" w:line="276" w:lineRule="auto"/>
        <w:jc w:val="both"/>
        <w:rPr>
          <w:rFonts w:eastAsia="EUAlbertina-Bold-Identity-H"/>
          <w:szCs w:val="24"/>
          <w:lang w:eastAsia="lv-LV"/>
        </w:rPr>
      </w:pPr>
    </w:p>
    <w:p w14:paraId="4F579E8A" w14:textId="77777777" w:rsidR="003721EE" w:rsidRDefault="003721EE" w:rsidP="00131504">
      <w:pPr>
        <w:spacing w:before="120" w:after="120" w:line="276" w:lineRule="auto"/>
        <w:jc w:val="both"/>
        <w:rPr>
          <w:rFonts w:eastAsia="EUAlbertina-Bold-Identity-H"/>
          <w:szCs w:val="24"/>
          <w:lang w:eastAsia="lv-LV"/>
        </w:rPr>
      </w:pPr>
    </w:p>
    <w:p w14:paraId="6F69F40A" w14:textId="77777777" w:rsidR="003721EE" w:rsidRDefault="003721EE" w:rsidP="00131504">
      <w:pPr>
        <w:spacing w:before="120" w:after="120" w:line="276" w:lineRule="auto"/>
        <w:jc w:val="both"/>
        <w:rPr>
          <w:rFonts w:eastAsia="EUAlbertina-Bold-Identity-H"/>
          <w:szCs w:val="24"/>
          <w:lang w:eastAsia="lv-LV"/>
        </w:rPr>
      </w:pPr>
    </w:p>
    <w:p w14:paraId="4EC410A7" w14:textId="77777777" w:rsidR="003721EE" w:rsidRDefault="003721EE" w:rsidP="00131504">
      <w:pPr>
        <w:spacing w:before="120" w:after="120" w:line="276" w:lineRule="auto"/>
        <w:jc w:val="both"/>
        <w:rPr>
          <w:rFonts w:eastAsia="EUAlbertina-Bold-Identity-H"/>
          <w:szCs w:val="24"/>
          <w:lang w:eastAsia="lv-LV"/>
        </w:rPr>
      </w:pPr>
    </w:p>
    <w:p w14:paraId="52BFBB98" w14:textId="77777777" w:rsidR="003721EE" w:rsidRDefault="003721EE" w:rsidP="00131504">
      <w:pPr>
        <w:spacing w:before="120" w:after="120" w:line="276" w:lineRule="auto"/>
        <w:jc w:val="both"/>
        <w:rPr>
          <w:rFonts w:eastAsia="EUAlbertina-Bold-Identity-H"/>
          <w:szCs w:val="24"/>
          <w:lang w:eastAsia="lv-LV"/>
        </w:rPr>
      </w:pPr>
    </w:p>
    <w:p w14:paraId="208CA9C3" w14:textId="77777777" w:rsidR="003721EE" w:rsidRDefault="003721EE" w:rsidP="00131504">
      <w:pPr>
        <w:spacing w:before="120" w:after="120" w:line="276" w:lineRule="auto"/>
        <w:jc w:val="both"/>
        <w:rPr>
          <w:rFonts w:eastAsia="EUAlbertina-Bold-Identity-H"/>
          <w:szCs w:val="24"/>
          <w:lang w:eastAsia="lv-LV"/>
        </w:rPr>
      </w:pPr>
    </w:p>
    <w:p w14:paraId="4F5954C3" w14:textId="77777777" w:rsidR="003721EE" w:rsidRDefault="003721EE" w:rsidP="00131504">
      <w:pPr>
        <w:spacing w:before="120" w:after="120" w:line="276" w:lineRule="auto"/>
        <w:jc w:val="both"/>
        <w:rPr>
          <w:rFonts w:eastAsia="EUAlbertina-Bold-Identity-H"/>
          <w:szCs w:val="24"/>
          <w:lang w:eastAsia="lv-LV"/>
        </w:rPr>
      </w:pPr>
    </w:p>
    <w:p w14:paraId="31159C26" w14:textId="77777777" w:rsidR="003721EE" w:rsidRDefault="003721EE" w:rsidP="00131504">
      <w:pPr>
        <w:spacing w:before="120" w:after="120" w:line="276" w:lineRule="auto"/>
        <w:jc w:val="both"/>
        <w:rPr>
          <w:rFonts w:eastAsia="EUAlbertina-Bold-Identity-H"/>
          <w:szCs w:val="24"/>
          <w:lang w:eastAsia="lv-LV"/>
        </w:rPr>
      </w:pPr>
    </w:p>
    <w:p w14:paraId="4AEB29A3" w14:textId="2E86AB6E" w:rsidR="00747912" w:rsidRPr="00B57653" w:rsidRDefault="00747912" w:rsidP="00131504">
      <w:pPr>
        <w:spacing w:before="120" w:after="120" w:line="276" w:lineRule="auto"/>
        <w:jc w:val="both"/>
        <w:rPr>
          <w:rFonts w:eastAsia="EUAlbertina-Bold-Identity-H"/>
          <w:i/>
          <w:color w:val="000000" w:themeColor="text1"/>
          <w:szCs w:val="24"/>
          <w:lang w:eastAsia="lv-LV"/>
        </w:rPr>
      </w:pPr>
      <w:r w:rsidRPr="00B57653">
        <w:rPr>
          <w:rFonts w:eastAsia="EUAlbertina-Bold-Identity-H"/>
          <w:szCs w:val="24"/>
          <w:lang w:eastAsia="lv-LV"/>
        </w:rPr>
        <w:lastRenderedPageBreak/>
        <w:t xml:space="preserve">Grafiks </w:t>
      </w:r>
      <w:r w:rsidR="000449F3" w:rsidRPr="00B57653">
        <w:rPr>
          <w:rFonts w:eastAsia="EUAlbertina-Bold-Identity-H"/>
          <w:szCs w:val="24"/>
          <w:lang w:eastAsia="lv-LV"/>
        </w:rPr>
        <w:t>Nr.2</w:t>
      </w:r>
      <w:r w:rsidRPr="00B57653">
        <w:rPr>
          <w:rFonts w:eastAsia="EUAlbertina-Bold-Identity-H"/>
          <w:i/>
          <w:color w:val="000000" w:themeColor="text1"/>
          <w:szCs w:val="24"/>
          <w:lang w:eastAsia="lv-LV"/>
        </w:rPr>
        <w:t xml:space="preserve"> „ES fondu finanšu invest</w:t>
      </w:r>
      <w:r w:rsidR="00A338CF" w:rsidRPr="00B57653">
        <w:rPr>
          <w:rFonts w:eastAsia="EUAlbertina-Bold-Identity-H"/>
          <w:i/>
          <w:color w:val="000000" w:themeColor="text1"/>
          <w:szCs w:val="24"/>
          <w:lang w:eastAsia="lv-LV"/>
        </w:rPr>
        <w:t>īcijas līdz 2014</w:t>
      </w:r>
      <w:r w:rsidR="0001070B" w:rsidRPr="00B57653">
        <w:rPr>
          <w:rFonts w:eastAsia="EUAlbertina-Bold-Identity-H"/>
          <w:i/>
          <w:color w:val="000000" w:themeColor="text1"/>
          <w:szCs w:val="24"/>
          <w:lang w:eastAsia="lv-LV"/>
        </w:rPr>
        <w:t>.gada 3</w:t>
      </w:r>
      <w:r w:rsidR="00BE5D86" w:rsidRPr="00B57653">
        <w:rPr>
          <w:rFonts w:eastAsia="EUAlbertina-Bold-Identity-H"/>
          <w:i/>
          <w:color w:val="000000" w:themeColor="text1"/>
          <w:szCs w:val="24"/>
          <w:lang w:eastAsia="lv-LV"/>
        </w:rPr>
        <w:t>1</w:t>
      </w:r>
      <w:r w:rsidR="0001070B" w:rsidRPr="00B57653">
        <w:rPr>
          <w:rFonts w:eastAsia="EUAlbertina-Bold-Identity-H"/>
          <w:i/>
          <w:color w:val="000000" w:themeColor="text1"/>
          <w:szCs w:val="24"/>
          <w:lang w:eastAsia="lv-LV"/>
        </w:rPr>
        <w:t>.</w:t>
      </w:r>
      <w:r w:rsidR="00BE5D86" w:rsidRPr="00B57653">
        <w:rPr>
          <w:rFonts w:eastAsia="EUAlbertina-Bold-Identity-H"/>
          <w:i/>
          <w:color w:val="000000" w:themeColor="text1"/>
          <w:szCs w:val="24"/>
          <w:lang w:eastAsia="lv-LV"/>
        </w:rPr>
        <w:t>dec</w:t>
      </w:r>
      <w:r w:rsidR="0001070B" w:rsidRPr="00B57653">
        <w:rPr>
          <w:rFonts w:eastAsia="EUAlbertina-Bold-Identity-H"/>
          <w:i/>
          <w:color w:val="000000" w:themeColor="text1"/>
          <w:szCs w:val="24"/>
          <w:lang w:eastAsia="lv-LV"/>
        </w:rPr>
        <w:t>embrim</w:t>
      </w:r>
      <w:r w:rsidRPr="00B57653">
        <w:rPr>
          <w:rFonts w:eastAsia="EUAlbertina-Bold-Identity-H"/>
          <w:i/>
          <w:color w:val="000000" w:themeColor="text1"/>
          <w:szCs w:val="24"/>
          <w:lang w:eastAsia="lv-LV"/>
        </w:rPr>
        <w:t xml:space="preserve">; </w:t>
      </w:r>
      <w:r w:rsidR="00A338CF" w:rsidRPr="00B57653">
        <w:rPr>
          <w:rFonts w:eastAsia="EUAlbertina-Bold-Identity-H"/>
          <w:i/>
          <w:color w:val="000000" w:themeColor="text1"/>
          <w:szCs w:val="24"/>
          <w:lang w:eastAsia="lv-LV"/>
        </w:rPr>
        <w:t>ES fondu finansējums, milj. euro</w:t>
      </w:r>
      <w:r w:rsidRPr="00B57653">
        <w:rPr>
          <w:rFonts w:eastAsia="EUAlbertina-Bold-Identity-H"/>
          <w:i/>
          <w:color w:val="000000" w:themeColor="text1"/>
          <w:szCs w:val="24"/>
          <w:lang w:eastAsia="lv-LV"/>
        </w:rPr>
        <w:t xml:space="preserve"> (% no pieejamā ES fondu finansējuma)</w:t>
      </w:r>
      <w:r w:rsidR="00A338CF" w:rsidRPr="00B57653">
        <w:rPr>
          <w:rFonts w:eastAsia="EUAlbertina-Bold-Identity-H"/>
          <w:i/>
          <w:color w:val="000000" w:themeColor="text1"/>
          <w:szCs w:val="24"/>
          <w:lang w:eastAsia="lv-LV"/>
        </w:rPr>
        <w:t xml:space="preserve">; progress pret datiem līdz </w:t>
      </w:r>
      <w:r w:rsidR="00EA7051" w:rsidRPr="00B57653">
        <w:rPr>
          <w:rFonts w:eastAsia="EUAlbertina-Bold-Identity-H"/>
          <w:i/>
          <w:color w:val="000000" w:themeColor="text1"/>
          <w:szCs w:val="24"/>
          <w:lang w:eastAsia="lv-LV"/>
        </w:rPr>
        <w:t xml:space="preserve">2014.gada </w:t>
      </w:r>
      <w:r w:rsidR="0001070B" w:rsidRPr="00B57653">
        <w:rPr>
          <w:rFonts w:eastAsia="EUAlbertina-Bold-Identity-H"/>
          <w:i/>
          <w:color w:val="000000" w:themeColor="text1"/>
          <w:szCs w:val="24"/>
          <w:lang w:eastAsia="lv-LV"/>
        </w:rPr>
        <w:t>30.</w:t>
      </w:r>
      <w:r w:rsidR="00BE5D86" w:rsidRPr="00B57653">
        <w:rPr>
          <w:rFonts w:eastAsia="EUAlbertina-Bold-Identity-H"/>
          <w:i/>
          <w:color w:val="000000" w:themeColor="text1"/>
          <w:szCs w:val="24"/>
          <w:lang w:eastAsia="lv-LV"/>
        </w:rPr>
        <w:t>septembrim</w:t>
      </w:r>
      <w:r w:rsidRPr="00B57653">
        <w:rPr>
          <w:rFonts w:eastAsia="EUAlbertina-Bold-Identity-H"/>
          <w:i/>
          <w:color w:val="000000" w:themeColor="text1"/>
          <w:szCs w:val="24"/>
          <w:lang w:eastAsia="lv-LV"/>
        </w:rPr>
        <w:t>, %</w:t>
      </w:r>
      <w:r w:rsidR="00230217">
        <w:rPr>
          <w:rFonts w:eastAsia="EUAlbertina-Bold-Identity-H"/>
          <w:i/>
          <w:color w:val="000000" w:themeColor="text1"/>
          <w:szCs w:val="24"/>
          <w:lang w:eastAsia="lv-LV"/>
        </w:rPr>
        <w:t>;</w:t>
      </w:r>
      <w:r w:rsidR="001746D1">
        <w:rPr>
          <w:rFonts w:eastAsia="EUAlbertina-Bold-Identity-H"/>
          <w:i/>
          <w:color w:val="000000" w:themeColor="text1"/>
          <w:szCs w:val="24"/>
          <w:lang w:eastAsia="lv-LV"/>
        </w:rPr>
        <w:t xml:space="preserve"> </w:t>
      </w:r>
      <w:r w:rsidR="00B8017F">
        <w:rPr>
          <w:rFonts w:eastAsia="EUAlbertina-Bold-Identity-H"/>
          <w:i/>
          <w:color w:val="000000" w:themeColor="text1"/>
          <w:szCs w:val="24"/>
          <w:lang w:eastAsia="lv-LV"/>
        </w:rPr>
        <w:t>atlikušais finansējums norādīs</w:t>
      </w:r>
      <w:r w:rsidR="001746D1" w:rsidRPr="001746D1">
        <w:rPr>
          <w:rFonts w:eastAsia="EUAlbertina-Bold-Identity-H"/>
          <w:i/>
          <w:color w:val="000000" w:themeColor="text1"/>
          <w:szCs w:val="24"/>
          <w:lang w:eastAsia="lv-LV"/>
        </w:rPr>
        <w:t xml:space="preserve"> kopā ar piešķirtajām virssaistībām</w:t>
      </w:r>
      <w:r w:rsidR="00230217">
        <w:rPr>
          <w:rFonts w:eastAsia="EUAlbertina-Bold-Identity-H"/>
          <w:i/>
          <w:color w:val="000000" w:themeColor="text1"/>
          <w:szCs w:val="24"/>
          <w:lang w:eastAsia="lv-LV"/>
        </w:rPr>
        <w:t>.</w:t>
      </w:r>
      <w:r w:rsidRPr="00B57653">
        <w:rPr>
          <w:rFonts w:eastAsia="EUAlbertina-Bold-Identity-H"/>
          <w:i/>
          <w:color w:val="000000" w:themeColor="text1"/>
          <w:szCs w:val="24"/>
          <w:lang w:eastAsia="lv-LV"/>
        </w:rPr>
        <w:t>”</w:t>
      </w:r>
    </w:p>
    <w:p w14:paraId="7B3EDAB1" w14:textId="49139E32" w:rsidR="00747912" w:rsidRPr="00B57653" w:rsidRDefault="00280494" w:rsidP="00747912">
      <w:pPr>
        <w:spacing w:after="240" w:line="276" w:lineRule="auto"/>
        <w:jc w:val="both"/>
        <w:rPr>
          <w:rFonts w:eastAsia="EUAlbertina-Bold-Identity-H"/>
          <w:color w:val="000000" w:themeColor="text1"/>
          <w:szCs w:val="24"/>
          <w:highlight w:val="yellow"/>
          <w:lang w:eastAsia="lv-LV"/>
        </w:rPr>
      </w:pPr>
      <w:r w:rsidRPr="00B57653">
        <w:rPr>
          <w:rFonts w:eastAsia="EUAlbertina-Bold-Identity-H"/>
          <w:noProof/>
          <w:color w:val="000000" w:themeColor="text1"/>
          <w:szCs w:val="24"/>
          <w:highlight w:val="yellow"/>
          <w:lang w:eastAsia="lv-LV"/>
        </w:rPr>
        <mc:AlternateContent>
          <mc:Choice Requires="wps">
            <w:drawing>
              <wp:anchor distT="45720" distB="45720" distL="114300" distR="114300" simplePos="0" relativeHeight="251656192" behindDoc="0" locked="0" layoutInCell="1" allowOverlap="1" wp14:anchorId="674913E0" wp14:editId="25A713CF">
                <wp:simplePos x="0" y="0"/>
                <wp:positionH relativeFrom="column">
                  <wp:posOffset>4173220</wp:posOffset>
                </wp:positionH>
                <wp:positionV relativeFrom="paragraph">
                  <wp:posOffset>2890520</wp:posOffset>
                </wp:positionV>
                <wp:extent cx="2066925" cy="1476375"/>
                <wp:effectExtent l="0" t="0" r="28575" b="285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1476375"/>
                        </a:xfrm>
                        <a:prstGeom prst="rect">
                          <a:avLst/>
                        </a:prstGeom>
                        <a:solidFill>
                          <a:srgbClr val="FFFFFF"/>
                        </a:solidFill>
                        <a:ln w="9525">
                          <a:solidFill>
                            <a:srgbClr val="000000"/>
                          </a:solidFill>
                          <a:miter lim="800000"/>
                          <a:headEnd/>
                          <a:tailEnd/>
                        </a:ln>
                      </wps:spPr>
                      <wps:txbx>
                        <w:txbxContent>
                          <w:p w14:paraId="764076F1" w14:textId="4E38DCA5" w:rsidR="00411850" w:rsidRPr="00521C3B" w:rsidRDefault="00411850" w:rsidP="00280494">
                            <w:r w:rsidRPr="00521C3B">
                              <w:rPr>
                                <w:b/>
                              </w:rPr>
                              <w:t>Proj</w:t>
                            </w:r>
                            <w:r>
                              <w:rPr>
                                <w:b/>
                              </w:rPr>
                              <w:t>ektos vēl jāizmaksā kopā 1 103,7</w:t>
                            </w:r>
                            <w:r w:rsidRPr="00521C3B">
                              <w:rPr>
                                <w:b/>
                              </w:rPr>
                              <w:t xml:space="preserve"> milj. </w:t>
                            </w:r>
                            <w:r w:rsidRPr="00B825A8">
                              <w:rPr>
                                <w:b/>
                                <w:i/>
                              </w:rPr>
                              <w:t>euro</w:t>
                            </w:r>
                            <w:r>
                              <w:t xml:space="preserve">, t.sk.virssaistības: </w:t>
                            </w:r>
                          </w:p>
                          <w:p w14:paraId="221FFFEA" w14:textId="0084560E" w:rsidR="00411850" w:rsidRPr="00521C3B" w:rsidRDefault="00411850" w:rsidP="00E12DFB">
                            <w:pPr>
                              <w:pStyle w:val="ListParagraph"/>
                              <w:numPr>
                                <w:ilvl w:val="0"/>
                                <w:numId w:val="16"/>
                              </w:numPr>
                              <w:ind w:left="142" w:hanging="142"/>
                            </w:pPr>
                            <w:r>
                              <w:rPr>
                                <w:u w:val="single"/>
                              </w:rPr>
                              <w:t>1 007,1</w:t>
                            </w:r>
                            <w:r w:rsidRPr="00521C3B">
                              <w:rPr>
                                <w:u w:val="single"/>
                              </w:rPr>
                              <w:t xml:space="preserve"> milj. </w:t>
                            </w:r>
                            <w:r w:rsidRPr="00521C3B">
                              <w:rPr>
                                <w:i/>
                                <w:u w:val="single"/>
                              </w:rPr>
                              <w:t>euro</w:t>
                            </w:r>
                            <w:r>
                              <w:t xml:space="preserve">  </w:t>
                            </w:r>
                            <w:r w:rsidRPr="00521C3B">
                              <w:t>VARM+SM+EM+IZM</w:t>
                            </w:r>
                          </w:p>
                          <w:p w14:paraId="022C35D1" w14:textId="64758769" w:rsidR="00411850" w:rsidRPr="00521C3B" w:rsidRDefault="00411850" w:rsidP="00E12DFB">
                            <w:pPr>
                              <w:pStyle w:val="ListParagraph"/>
                              <w:numPr>
                                <w:ilvl w:val="0"/>
                                <w:numId w:val="16"/>
                              </w:numPr>
                              <w:ind w:left="142" w:hanging="142"/>
                            </w:pPr>
                            <w:r>
                              <w:rPr>
                                <w:u w:val="single"/>
                              </w:rPr>
                              <w:t>96,6</w:t>
                            </w:r>
                            <w:r w:rsidRPr="00521C3B">
                              <w:rPr>
                                <w:u w:val="single"/>
                              </w:rPr>
                              <w:t xml:space="preserve"> milj. </w:t>
                            </w:r>
                            <w:r w:rsidRPr="00521C3B">
                              <w:rPr>
                                <w:i/>
                                <w:u w:val="single"/>
                              </w:rPr>
                              <w:t>euro</w:t>
                            </w:r>
                            <w:r w:rsidRPr="00521C3B">
                              <w:t xml:space="preserve"> LM+VM+FM+KM+VKanc</w:t>
                            </w:r>
                          </w:p>
                          <w:p w14:paraId="172F78F7" w14:textId="77777777" w:rsidR="00411850" w:rsidRPr="00280494" w:rsidRDefault="00411850" w:rsidP="00280494"/>
                          <w:p w14:paraId="4B284C63" w14:textId="41761458" w:rsidR="00411850" w:rsidRDefault="0041185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74913E0" id="_x0000_t202" coordsize="21600,21600" o:spt="202" path="m,l,21600r21600,l21600,xe">
                <v:stroke joinstyle="miter"/>
                <v:path gradientshapeok="t" o:connecttype="rect"/>
              </v:shapetype>
              <v:shape id="Text Box 2" o:spid="_x0000_s1026" type="#_x0000_t202" style="position:absolute;left:0;text-align:left;margin-left:328.6pt;margin-top:227.6pt;width:162.75pt;height:116.25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">
                <v:textbox>
                  <w:txbxContent>
                    <w:p w14:paraId="764076F1" w14:textId="4E38DCA5" w:rsidR="00411850" w:rsidRPr="00521C3B" w:rsidRDefault="00411850" w:rsidP="00280494">
                      <w:r w:rsidRPr="00521C3B">
                        <w:rPr>
                          <w:b/>
                        </w:rPr>
                        <w:t>Proj</w:t>
                      </w:r>
                      <w:r>
                        <w:rPr>
                          <w:b/>
                        </w:rPr>
                        <w:t>ektos vēl jāizmaksā kopā 1 103,7</w:t>
                      </w:r>
                      <w:r w:rsidRPr="00521C3B">
                        <w:rPr>
                          <w:b/>
                        </w:rPr>
                        <w:t xml:space="preserve"> milj. </w:t>
                      </w:r>
                      <w:r w:rsidRPr="00B825A8">
                        <w:rPr>
                          <w:b/>
                          <w:i/>
                        </w:rPr>
                        <w:t>euro</w:t>
                      </w:r>
                      <w:r>
                        <w:t xml:space="preserve">, t.sk.virssaistības: </w:t>
                      </w:r>
                    </w:p>
                    <w:p w14:paraId="221FFFEA" w14:textId="0084560E" w:rsidR="00411850" w:rsidRPr="00521C3B" w:rsidRDefault="00411850" w:rsidP="00E12DFB">
                      <w:pPr>
                        <w:pStyle w:val="ListParagraph"/>
                        <w:numPr>
                          <w:ilvl w:val="0"/>
                          <w:numId w:val="16"/>
                        </w:numPr>
                        <w:ind w:left="142" w:hanging="142"/>
                      </w:pPr>
                      <w:r>
                        <w:rPr>
                          <w:u w:val="single"/>
                        </w:rPr>
                        <w:t>1 007,1</w:t>
                      </w:r>
                      <w:r w:rsidRPr="00521C3B">
                        <w:rPr>
                          <w:u w:val="single"/>
                        </w:rPr>
                        <w:t xml:space="preserve"> milj. </w:t>
                      </w:r>
                      <w:r w:rsidRPr="00521C3B">
                        <w:rPr>
                          <w:i/>
                          <w:u w:val="single"/>
                        </w:rPr>
                        <w:t>euro</w:t>
                      </w:r>
                      <w:r>
                        <w:t xml:space="preserve">  </w:t>
                      </w:r>
                      <w:r w:rsidRPr="00521C3B">
                        <w:t>VARM+SM+EM+IZM</w:t>
                      </w:r>
                    </w:p>
                    <w:p w14:paraId="022C35D1" w14:textId="64758769" w:rsidR="00411850" w:rsidRPr="00521C3B" w:rsidRDefault="00411850" w:rsidP="00E12DFB">
                      <w:pPr>
                        <w:pStyle w:val="ListParagraph"/>
                        <w:numPr>
                          <w:ilvl w:val="0"/>
                          <w:numId w:val="16"/>
                        </w:numPr>
                        <w:ind w:left="142" w:hanging="142"/>
                      </w:pPr>
                      <w:r>
                        <w:rPr>
                          <w:u w:val="single"/>
                        </w:rPr>
                        <w:t>96,6</w:t>
                      </w:r>
                      <w:r w:rsidRPr="00521C3B">
                        <w:rPr>
                          <w:u w:val="single"/>
                        </w:rPr>
                        <w:t xml:space="preserve"> milj. </w:t>
                      </w:r>
                      <w:r w:rsidRPr="00521C3B">
                        <w:rPr>
                          <w:i/>
                          <w:u w:val="single"/>
                        </w:rPr>
                        <w:t>euro</w:t>
                      </w:r>
                      <w:r w:rsidRPr="00521C3B">
                        <w:t xml:space="preserve"> LM+VM+FM+KM+VKanc</w:t>
                      </w:r>
                    </w:p>
                    <w:p w14:paraId="172F78F7" w14:textId="77777777" w:rsidR="00411850" w:rsidRPr="00280494" w:rsidRDefault="00411850" w:rsidP="00280494"/>
                    <w:p w14:paraId="4B284C63" w14:textId="41761458" w:rsidR="00411850" w:rsidRDefault="00411850"/>
                  </w:txbxContent>
                </v:textbox>
              </v:shape>
            </w:pict>
          </mc:Fallback>
        </mc:AlternateContent>
      </w:r>
      <w:r w:rsidR="00B825A8" w:rsidRPr="00B57653">
        <w:rPr>
          <w:noProof/>
          <w:lang w:eastAsia="lv-LV"/>
        </w:rPr>
        <w:drawing>
          <wp:inline distT="0" distB="0" distL="0" distR="0" wp14:anchorId="10A8B444" wp14:editId="5DABAC59">
            <wp:extent cx="6315075" cy="5553075"/>
            <wp:effectExtent l="0" t="0" r="9525" b="95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E553868" w14:textId="398146B9" w:rsidR="00A806D9" w:rsidRPr="00B57653" w:rsidRDefault="00DB0A30" w:rsidP="00DB0A30">
      <w:pPr>
        <w:spacing w:before="120" w:after="120" w:line="276" w:lineRule="auto"/>
        <w:jc w:val="both"/>
        <w:rPr>
          <w:color w:val="000000" w:themeColor="text1"/>
          <w:szCs w:val="24"/>
        </w:rPr>
      </w:pPr>
      <w:r w:rsidRPr="00B57653">
        <w:rPr>
          <w:color w:val="000000" w:themeColor="text1"/>
          <w:szCs w:val="24"/>
        </w:rPr>
        <w:t xml:space="preserve">Vislielākais ceturkšņa </w:t>
      </w:r>
      <w:r w:rsidR="006A595C" w:rsidRPr="00B57653">
        <w:rPr>
          <w:color w:val="000000" w:themeColor="text1"/>
          <w:szCs w:val="24"/>
        </w:rPr>
        <w:t xml:space="preserve">maksājumu </w:t>
      </w:r>
      <w:r w:rsidRPr="00B57653">
        <w:rPr>
          <w:color w:val="000000" w:themeColor="text1"/>
          <w:szCs w:val="24"/>
        </w:rPr>
        <w:t xml:space="preserve">progress </w:t>
      </w:r>
      <w:r w:rsidR="007B47C5" w:rsidRPr="00B57653">
        <w:rPr>
          <w:color w:val="000000" w:themeColor="text1"/>
          <w:szCs w:val="24"/>
        </w:rPr>
        <w:t>ir</w:t>
      </w:r>
      <w:r w:rsidR="00EB60F6" w:rsidRPr="00B57653">
        <w:rPr>
          <w:color w:val="000000" w:themeColor="text1"/>
          <w:szCs w:val="24"/>
        </w:rPr>
        <w:t xml:space="preserve"> </w:t>
      </w:r>
      <w:r w:rsidR="00CA3E34" w:rsidRPr="00B57653">
        <w:rPr>
          <w:color w:val="000000" w:themeColor="text1"/>
          <w:szCs w:val="24"/>
        </w:rPr>
        <w:t>E</w:t>
      </w:r>
      <w:r w:rsidRPr="00B57653">
        <w:rPr>
          <w:color w:val="000000" w:themeColor="text1"/>
          <w:szCs w:val="24"/>
        </w:rPr>
        <w:t xml:space="preserve">M un </w:t>
      </w:r>
      <w:r w:rsidR="00CA3E34" w:rsidRPr="00B57653">
        <w:rPr>
          <w:color w:val="000000" w:themeColor="text1"/>
          <w:szCs w:val="24"/>
        </w:rPr>
        <w:t>IZ</w:t>
      </w:r>
      <w:r w:rsidR="00BF1A10" w:rsidRPr="00B57653">
        <w:rPr>
          <w:color w:val="000000" w:themeColor="text1"/>
          <w:szCs w:val="24"/>
        </w:rPr>
        <w:t>M</w:t>
      </w:r>
      <w:r w:rsidRPr="00B57653">
        <w:rPr>
          <w:color w:val="000000" w:themeColor="text1"/>
          <w:szCs w:val="24"/>
        </w:rPr>
        <w:t xml:space="preserve"> administrē</w:t>
      </w:r>
      <w:r w:rsidR="00BF1A10" w:rsidRPr="00B57653">
        <w:rPr>
          <w:color w:val="000000" w:themeColor="text1"/>
          <w:szCs w:val="24"/>
        </w:rPr>
        <w:t xml:space="preserve">tājās aktivitātēs (attiecīgi </w:t>
      </w:r>
      <w:r w:rsidR="00CA3E34" w:rsidRPr="00B57653">
        <w:rPr>
          <w:color w:val="000000" w:themeColor="text1"/>
          <w:szCs w:val="24"/>
        </w:rPr>
        <w:t>9,0</w:t>
      </w:r>
      <w:r w:rsidR="00EB60F6" w:rsidRPr="00B57653">
        <w:rPr>
          <w:color w:val="000000" w:themeColor="text1"/>
          <w:szCs w:val="24"/>
        </w:rPr>
        <w:t xml:space="preserve">% un </w:t>
      </w:r>
      <w:r w:rsidR="00CA3E34" w:rsidRPr="00B57653">
        <w:rPr>
          <w:color w:val="000000" w:themeColor="text1"/>
          <w:szCs w:val="24"/>
        </w:rPr>
        <w:t>7,2</w:t>
      </w:r>
      <w:r w:rsidRPr="00B57653">
        <w:rPr>
          <w:color w:val="000000" w:themeColor="text1"/>
          <w:szCs w:val="24"/>
        </w:rPr>
        <w:t xml:space="preserve">%). Kā nākamās institūcijas ar labāko progresu ir </w:t>
      </w:r>
      <w:r w:rsidR="00CA3E34" w:rsidRPr="00B57653">
        <w:rPr>
          <w:color w:val="000000" w:themeColor="text1"/>
          <w:szCs w:val="24"/>
        </w:rPr>
        <w:t>S</w:t>
      </w:r>
      <w:r w:rsidR="00EB60F6" w:rsidRPr="00B57653">
        <w:rPr>
          <w:color w:val="000000" w:themeColor="text1"/>
          <w:szCs w:val="24"/>
        </w:rPr>
        <w:t xml:space="preserve">M un </w:t>
      </w:r>
      <w:r w:rsidR="00CA3E34" w:rsidRPr="00B57653">
        <w:rPr>
          <w:color w:val="000000" w:themeColor="text1"/>
          <w:szCs w:val="24"/>
        </w:rPr>
        <w:t>K</w:t>
      </w:r>
      <w:r w:rsidR="00BF1A10" w:rsidRPr="00B57653">
        <w:rPr>
          <w:color w:val="000000" w:themeColor="text1"/>
          <w:szCs w:val="24"/>
        </w:rPr>
        <w:t xml:space="preserve">M (attiecīgi </w:t>
      </w:r>
      <w:r w:rsidR="00CA3E34" w:rsidRPr="00B57653">
        <w:rPr>
          <w:color w:val="000000" w:themeColor="text1"/>
          <w:szCs w:val="24"/>
        </w:rPr>
        <w:t>7,1</w:t>
      </w:r>
      <w:r w:rsidRPr="00B57653">
        <w:rPr>
          <w:color w:val="000000" w:themeColor="text1"/>
          <w:szCs w:val="24"/>
        </w:rPr>
        <w:t xml:space="preserve">% un </w:t>
      </w:r>
      <w:r w:rsidR="00CA3E34" w:rsidRPr="00B57653">
        <w:rPr>
          <w:color w:val="000000" w:themeColor="text1"/>
          <w:szCs w:val="24"/>
        </w:rPr>
        <w:t>6,0</w:t>
      </w:r>
      <w:r w:rsidRPr="00B57653">
        <w:rPr>
          <w:color w:val="000000" w:themeColor="text1"/>
          <w:szCs w:val="24"/>
        </w:rPr>
        <w:t xml:space="preserve">%). </w:t>
      </w:r>
      <w:r w:rsidR="00AA57EA" w:rsidRPr="00B57653">
        <w:rPr>
          <w:color w:val="000000" w:themeColor="text1"/>
          <w:szCs w:val="24"/>
        </w:rPr>
        <w:t>Savukārt</w:t>
      </w:r>
      <w:r w:rsidR="001E7468" w:rsidRPr="00B57653">
        <w:rPr>
          <w:color w:val="000000" w:themeColor="text1"/>
          <w:szCs w:val="24"/>
        </w:rPr>
        <w:t>,</w:t>
      </w:r>
      <w:r w:rsidR="00AA57EA" w:rsidRPr="00B57653">
        <w:rPr>
          <w:color w:val="000000" w:themeColor="text1"/>
          <w:szCs w:val="24"/>
        </w:rPr>
        <w:t xml:space="preserve"> ja aplūkojam absolūtos skaitļos, tad vislielākais progress vērojams SM – </w:t>
      </w:r>
      <w:r w:rsidR="0036724A" w:rsidRPr="00B57653">
        <w:rPr>
          <w:color w:val="000000" w:themeColor="text1"/>
          <w:szCs w:val="24"/>
        </w:rPr>
        <w:t>85,4</w:t>
      </w:r>
      <w:r w:rsidR="00AA57EA" w:rsidRPr="00B57653">
        <w:rPr>
          <w:color w:val="000000" w:themeColor="text1"/>
          <w:szCs w:val="24"/>
        </w:rPr>
        <w:t xml:space="preserve"> milj. </w:t>
      </w:r>
      <w:r w:rsidR="0067373E" w:rsidRPr="00B57653">
        <w:rPr>
          <w:i/>
          <w:color w:val="000000" w:themeColor="text1"/>
          <w:szCs w:val="24"/>
        </w:rPr>
        <w:t>euro</w:t>
      </w:r>
      <w:r w:rsidR="0067373E" w:rsidRPr="00B57653">
        <w:rPr>
          <w:color w:val="000000" w:themeColor="text1"/>
          <w:szCs w:val="24"/>
        </w:rPr>
        <w:t>,</w:t>
      </w:r>
      <w:r w:rsidR="00387FCD" w:rsidRPr="00B57653">
        <w:rPr>
          <w:color w:val="000000" w:themeColor="text1"/>
          <w:szCs w:val="24"/>
        </w:rPr>
        <w:t xml:space="preserve"> </w:t>
      </w:r>
      <w:r w:rsidR="0036724A" w:rsidRPr="00B57653">
        <w:rPr>
          <w:color w:val="000000" w:themeColor="text1"/>
          <w:szCs w:val="24"/>
        </w:rPr>
        <w:t xml:space="preserve">EM </w:t>
      </w:r>
      <w:r w:rsidR="00387FCD" w:rsidRPr="00B57653">
        <w:rPr>
          <w:color w:val="000000" w:themeColor="text1"/>
          <w:szCs w:val="24"/>
        </w:rPr>
        <w:t xml:space="preserve">– </w:t>
      </w:r>
      <w:r w:rsidR="0036724A" w:rsidRPr="00B57653">
        <w:rPr>
          <w:color w:val="000000" w:themeColor="text1"/>
          <w:szCs w:val="24"/>
        </w:rPr>
        <w:t>66,9</w:t>
      </w:r>
      <w:r w:rsidR="00387FCD" w:rsidRPr="00B57653">
        <w:rPr>
          <w:color w:val="000000" w:themeColor="text1"/>
          <w:szCs w:val="24"/>
        </w:rPr>
        <w:t xml:space="preserve"> milj. </w:t>
      </w:r>
      <w:r w:rsidR="00387FCD" w:rsidRPr="00B57653">
        <w:rPr>
          <w:i/>
          <w:color w:val="000000" w:themeColor="text1"/>
          <w:szCs w:val="24"/>
        </w:rPr>
        <w:t>euro</w:t>
      </w:r>
      <w:r w:rsidR="00387FCD" w:rsidRPr="00B57653">
        <w:rPr>
          <w:color w:val="000000" w:themeColor="text1"/>
          <w:szCs w:val="24"/>
        </w:rPr>
        <w:t xml:space="preserve">, kā arī </w:t>
      </w:r>
      <w:r w:rsidR="0036724A" w:rsidRPr="00B57653">
        <w:rPr>
          <w:color w:val="000000" w:themeColor="text1"/>
          <w:szCs w:val="24"/>
        </w:rPr>
        <w:t xml:space="preserve">VARAM </w:t>
      </w:r>
      <w:r w:rsidR="00387FCD" w:rsidRPr="00B57653">
        <w:rPr>
          <w:color w:val="000000" w:themeColor="text1"/>
          <w:szCs w:val="24"/>
        </w:rPr>
        <w:t xml:space="preserve">– </w:t>
      </w:r>
      <w:r w:rsidR="0036724A" w:rsidRPr="00B57653">
        <w:rPr>
          <w:color w:val="000000" w:themeColor="text1"/>
          <w:szCs w:val="24"/>
        </w:rPr>
        <w:t>61,9</w:t>
      </w:r>
      <w:r w:rsidR="0067373E" w:rsidRPr="00B57653">
        <w:rPr>
          <w:color w:val="000000" w:themeColor="text1"/>
          <w:szCs w:val="24"/>
        </w:rPr>
        <w:t xml:space="preserve"> milj. </w:t>
      </w:r>
      <w:r w:rsidR="0067373E" w:rsidRPr="00B57653">
        <w:rPr>
          <w:i/>
          <w:color w:val="000000" w:themeColor="text1"/>
          <w:szCs w:val="24"/>
        </w:rPr>
        <w:t>euro</w:t>
      </w:r>
      <w:r w:rsidR="0067373E" w:rsidRPr="00B57653">
        <w:rPr>
          <w:color w:val="000000" w:themeColor="text1"/>
          <w:szCs w:val="24"/>
        </w:rPr>
        <w:t xml:space="preserve">. </w:t>
      </w:r>
      <w:r w:rsidR="002079A1" w:rsidRPr="00B57653">
        <w:rPr>
          <w:color w:val="000000" w:themeColor="text1"/>
          <w:szCs w:val="24"/>
        </w:rPr>
        <w:t xml:space="preserve">Attiecībā uz maksājumu mērķu izpildi, skatīt pie apakšsadaļas maksājumu mērķu sasniegšana. </w:t>
      </w:r>
    </w:p>
    <w:p w14:paraId="6F32B41A" w14:textId="632C1177" w:rsidR="001B66EA" w:rsidRDefault="001B66EA" w:rsidP="009A0CC9">
      <w:pPr>
        <w:spacing w:before="120" w:after="120" w:line="276" w:lineRule="auto"/>
        <w:jc w:val="both"/>
      </w:pPr>
      <w:r w:rsidRPr="001B66EA">
        <w:t>Attiecībā uz sasniegto rādītāju progresu un to analīzi aicinām skatīt ES fondu tīmekļa vietnē</w:t>
      </w:r>
      <w:r w:rsidRPr="001B66EA">
        <w:rPr>
          <w:rStyle w:val="FootnoteReference"/>
        </w:rPr>
        <w:footnoteReference w:id="18"/>
      </w:r>
      <w:r w:rsidRPr="001B66EA">
        <w:t xml:space="preserve">. </w:t>
      </w:r>
    </w:p>
    <w:p w14:paraId="05810AB8" w14:textId="7C266C04" w:rsidR="00C61BFC" w:rsidRDefault="00C61BFC" w:rsidP="00C61BFC">
      <w:pPr>
        <w:spacing w:before="120" w:after="120" w:line="276" w:lineRule="auto"/>
        <w:jc w:val="both"/>
        <w:rPr>
          <w:rFonts w:eastAsia="EUAlbertina-Bold-Identity-H"/>
          <w:szCs w:val="24"/>
          <w:lang w:eastAsia="lv-LV"/>
        </w:rPr>
      </w:pPr>
      <w:r w:rsidRPr="00DC1782">
        <w:rPr>
          <w:szCs w:val="24"/>
          <w:lang w:eastAsia="lv-LV"/>
        </w:rPr>
        <w:lastRenderedPageBreak/>
        <w:t xml:space="preserve">Grafiks Nr.3 </w:t>
      </w:r>
      <w:r w:rsidRPr="00DC1782">
        <w:rPr>
          <w:rFonts w:eastAsia="EUAlbertina-Bold-Identity-H"/>
          <w:i/>
          <w:color w:val="000000" w:themeColor="text1"/>
          <w:szCs w:val="24"/>
        </w:rPr>
        <w:t>„</w:t>
      </w:r>
      <w:r w:rsidR="00EE300C">
        <w:rPr>
          <w:rFonts w:eastAsia="EUAlbertina-Bold-Identity-H"/>
          <w:i/>
          <w:color w:val="000000" w:themeColor="text1"/>
          <w:szCs w:val="24"/>
        </w:rPr>
        <w:t>Izdevumu</w:t>
      </w:r>
      <w:r>
        <w:rPr>
          <w:rFonts w:eastAsia="EUAlbertina-Bold-Identity-H"/>
          <w:i/>
          <w:color w:val="000000" w:themeColor="text1"/>
          <w:szCs w:val="24"/>
        </w:rPr>
        <w:t xml:space="preserve"> plūsma 2007.-2013. un 2014.-2020.gada plānošanas periodos, milj. </w:t>
      </w:r>
      <w:r w:rsidRPr="002079A1">
        <w:rPr>
          <w:rFonts w:eastAsia="EUAlbertina-Bold-Identity-H"/>
          <w:i/>
          <w:color w:val="000000" w:themeColor="text1"/>
          <w:szCs w:val="24"/>
        </w:rPr>
        <w:t>euro</w:t>
      </w:r>
      <w:r>
        <w:rPr>
          <w:rFonts w:eastAsia="EUAlbertina-Bold-Identity-H"/>
          <w:i/>
          <w:color w:val="000000" w:themeColor="text1"/>
          <w:szCs w:val="24"/>
        </w:rPr>
        <w:t>”</w:t>
      </w:r>
    </w:p>
    <w:p w14:paraId="22128791" w14:textId="312EE0B2" w:rsidR="00C61BFC" w:rsidRPr="001B66EA" w:rsidRDefault="009D7764" w:rsidP="009A0CC9">
      <w:pPr>
        <w:spacing w:before="120" w:after="120" w:line="276" w:lineRule="auto"/>
        <w:jc w:val="both"/>
      </w:pPr>
      <w:r w:rsidRPr="009D7764">
        <w:rPr>
          <w:noProof/>
          <w:sz w:val="20"/>
          <w:lang w:eastAsia="lv-LV"/>
        </w:rPr>
        <w:drawing>
          <wp:inline distT="0" distB="0" distL="0" distR="0" wp14:anchorId="6E6ED3C5" wp14:editId="371F507C">
            <wp:extent cx="5651500" cy="3159760"/>
            <wp:effectExtent l="0" t="0" r="6350" b="254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5EE6C62" w14:textId="084921CB" w:rsidR="00EE300C" w:rsidRPr="00EE300C" w:rsidRDefault="009D7764" w:rsidP="009A0CC9">
      <w:pPr>
        <w:spacing w:before="120" w:after="120" w:line="276" w:lineRule="auto"/>
        <w:jc w:val="both"/>
        <w:rPr>
          <w:rFonts w:eastAsia="Times New Roman" w:cs="Times New Roman"/>
          <w:color w:val="000000"/>
          <w:szCs w:val="24"/>
        </w:rPr>
      </w:pPr>
      <w:r>
        <w:rPr>
          <w:rFonts w:eastAsia="Times New Roman" w:cs="Times New Roman"/>
          <w:color w:val="000000"/>
          <w:szCs w:val="24"/>
        </w:rPr>
        <w:t xml:space="preserve">Ņemot vērā 2014.gada budžeta faktisko izpildi, palielināta 2015.-2016. gadu izdevumu prognoze 2007-2013 plānošanas periodam. </w:t>
      </w:r>
      <w:r w:rsidR="00372D89">
        <w:rPr>
          <w:rFonts w:eastAsia="Times New Roman" w:cs="Times New Roman"/>
          <w:color w:val="000000"/>
          <w:szCs w:val="24"/>
        </w:rPr>
        <w:t xml:space="preserve">Savukārt, ņemot vērā </w:t>
      </w:r>
      <w:r w:rsidR="003B4722">
        <w:rPr>
          <w:rFonts w:eastAsia="Times New Roman" w:cs="Times New Roman"/>
          <w:color w:val="000000"/>
          <w:szCs w:val="24"/>
        </w:rPr>
        <w:t>SAM</w:t>
      </w:r>
      <w:r w:rsidR="00372D89">
        <w:rPr>
          <w:rFonts w:eastAsia="Times New Roman" w:cs="Times New Roman"/>
          <w:color w:val="000000"/>
          <w:szCs w:val="24"/>
        </w:rPr>
        <w:t xml:space="preserve"> ieviešanas stadiju</w:t>
      </w:r>
      <w:r w:rsidR="003B4722">
        <w:rPr>
          <w:rFonts w:eastAsia="Times New Roman" w:cs="Times New Roman"/>
          <w:color w:val="000000"/>
          <w:szCs w:val="24"/>
        </w:rPr>
        <w:t xml:space="preserve"> un izdevumu apjomu 2014.gadā</w:t>
      </w:r>
      <w:r w:rsidR="00372D89">
        <w:rPr>
          <w:rFonts w:eastAsia="Times New Roman" w:cs="Times New Roman"/>
          <w:color w:val="000000"/>
          <w:szCs w:val="24"/>
        </w:rPr>
        <w:t xml:space="preserve">, samazināta izdevumu prognoze 2015.-2016. gadiem 2014-2020 plānošanas periodam. </w:t>
      </w:r>
    </w:p>
    <w:p w14:paraId="27689B93" w14:textId="7F6D7BD0" w:rsidR="009A0CC9" w:rsidRPr="00B57653" w:rsidRDefault="009A0CC9" w:rsidP="009A0CC9">
      <w:pPr>
        <w:spacing w:before="120" w:after="120" w:line="276" w:lineRule="auto"/>
        <w:jc w:val="both"/>
        <w:rPr>
          <w:rFonts w:eastAsia="Times New Roman" w:cs="Times New Roman"/>
          <w:b/>
          <w:i/>
          <w:szCs w:val="20"/>
        </w:rPr>
      </w:pPr>
      <w:r w:rsidRPr="00B57653">
        <w:rPr>
          <w:rFonts w:eastAsia="Times New Roman" w:cs="Times New Roman"/>
          <w:b/>
          <w:i/>
          <w:color w:val="000000"/>
          <w:szCs w:val="24"/>
        </w:rPr>
        <w:t xml:space="preserve">Noslēgto līgumu progress: </w:t>
      </w:r>
    </w:p>
    <w:p w14:paraId="3CB8F86C" w14:textId="37110763" w:rsidR="00931C64" w:rsidRPr="00B57653" w:rsidRDefault="009A0CC9" w:rsidP="009A0CC9">
      <w:pPr>
        <w:spacing w:before="120" w:after="120" w:line="276" w:lineRule="auto"/>
        <w:jc w:val="both"/>
        <w:rPr>
          <w:rFonts w:eastAsia="Times New Roman" w:cs="Times New Roman"/>
          <w:color w:val="000000"/>
          <w:szCs w:val="24"/>
        </w:rPr>
      </w:pPr>
      <w:r w:rsidRPr="00B57653">
        <w:rPr>
          <w:rFonts w:eastAsia="Times New Roman" w:cs="Times New Roman"/>
          <w:color w:val="000000"/>
          <w:szCs w:val="24"/>
        </w:rPr>
        <w:t xml:space="preserve">Kopumā noslēgto līgumu apjoms ir </w:t>
      </w:r>
      <w:r w:rsidR="00662879" w:rsidRPr="00B57653">
        <w:rPr>
          <w:rFonts w:eastAsia="Times New Roman" w:cs="Times New Roman"/>
          <w:color w:val="000000"/>
          <w:szCs w:val="24"/>
        </w:rPr>
        <w:t>4 750,7</w:t>
      </w:r>
      <w:r w:rsidRPr="00B57653">
        <w:rPr>
          <w:rFonts w:eastAsia="Times New Roman" w:cs="Times New Roman"/>
          <w:color w:val="000000"/>
          <w:szCs w:val="24"/>
        </w:rPr>
        <w:t xml:space="preserve"> milj. </w:t>
      </w:r>
      <w:r w:rsidRPr="00B57653">
        <w:rPr>
          <w:rFonts w:eastAsia="Times New Roman" w:cs="Times New Roman"/>
          <w:i/>
          <w:color w:val="000000"/>
          <w:szCs w:val="24"/>
        </w:rPr>
        <w:t>euro</w:t>
      </w:r>
      <w:r w:rsidR="00662879" w:rsidRPr="00B57653">
        <w:rPr>
          <w:rFonts w:eastAsia="Times New Roman" w:cs="Times New Roman"/>
          <w:color w:val="000000"/>
          <w:szCs w:val="24"/>
        </w:rPr>
        <w:t xml:space="preserve"> jeb 104,9</w:t>
      </w:r>
      <w:r w:rsidRPr="00B57653">
        <w:rPr>
          <w:rFonts w:eastAsia="Times New Roman" w:cs="Times New Roman"/>
          <w:color w:val="000000"/>
          <w:szCs w:val="24"/>
        </w:rPr>
        <w:t xml:space="preserve">% no pieejamā ES fondu finansējuma. Tas nozīmē, ka līgumi tiek slēgti jau par piešķirto virssaistību apjomu. </w:t>
      </w:r>
    </w:p>
    <w:p w14:paraId="00F796C2" w14:textId="77777777" w:rsidR="00A869D2" w:rsidRDefault="00A869D2" w:rsidP="009A0CC9">
      <w:pPr>
        <w:spacing w:before="120" w:after="120" w:line="276" w:lineRule="auto"/>
        <w:jc w:val="both"/>
        <w:rPr>
          <w:szCs w:val="24"/>
          <w:lang w:eastAsia="lv-LV"/>
        </w:rPr>
      </w:pPr>
    </w:p>
    <w:p w14:paraId="355F545D" w14:textId="77777777" w:rsidR="00A869D2" w:rsidRDefault="00A869D2" w:rsidP="009A0CC9">
      <w:pPr>
        <w:spacing w:before="120" w:after="120" w:line="276" w:lineRule="auto"/>
        <w:jc w:val="both"/>
        <w:rPr>
          <w:szCs w:val="24"/>
          <w:lang w:eastAsia="lv-LV"/>
        </w:rPr>
      </w:pPr>
    </w:p>
    <w:p w14:paraId="25343CFE" w14:textId="77777777" w:rsidR="00A869D2" w:rsidRDefault="00A869D2" w:rsidP="009A0CC9">
      <w:pPr>
        <w:spacing w:before="120" w:after="120" w:line="276" w:lineRule="auto"/>
        <w:jc w:val="both"/>
        <w:rPr>
          <w:szCs w:val="24"/>
          <w:lang w:eastAsia="lv-LV"/>
        </w:rPr>
      </w:pPr>
    </w:p>
    <w:p w14:paraId="6014AD02" w14:textId="77777777" w:rsidR="00A869D2" w:rsidRDefault="00A869D2" w:rsidP="009A0CC9">
      <w:pPr>
        <w:spacing w:before="120" w:after="120" w:line="276" w:lineRule="auto"/>
        <w:jc w:val="both"/>
        <w:rPr>
          <w:szCs w:val="24"/>
          <w:lang w:eastAsia="lv-LV"/>
        </w:rPr>
      </w:pPr>
    </w:p>
    <w:p w14:paraId="143E07EC" w14:textId="77777777" w:rsidR="00A869D2" w:rsidRDefault="00A869D2" w:rsidP="009A0CC9">
      <w:pPr>
        <w:spacing w:before="120" w:after="120" w:line="276" w:lineRule="auto"/>
        <w:jc w:val="both"/>
        <w:rPr>
          <w:szCs w:val="24"/>
          <w:lang w:eastAsia="lv-LV"/>
        </w:rPr>
      </w:pPr>
    </w:p>
    <w:p w14:paraId="2AC2B0F8" w14:textId="77777777" w:rsidR="00A869D2" w:rsidRDefault="00A869D2" w:rsidP="009A0CC9">
      <w:pPr>
        <w:spacing w:before="120" w:after="120" w:line="276" w:lineRule="auto"/>
        <w:jc w:val="both"/>
        <w:rPr>
          <w:szCs w:val="24"/>
          <w:lang w:eastAsia="lv-LV"/>
        </w:rPr>
      </w:pPr>
    </w:p>
    <w:p w14:paraId="0A0BD178" w14:textId="77777777" w:rsidR="00A869D2" w:rsidRDefault="00A869D2" w:rsidP="009A0CC9">
      <w:pPr>
        <w:spacing w:before="120" w:after="120" w:line="276" w:lineRule="auto"/>
        <w:jc w:val="both"/>
        <w:rPr>
          <w:szCs w:val="24"/>
          <w:lang w:eastAsia="lv-LV"/>
        </w:rPr>
      </w:pPr>
    </w:p>
    <w:p w14:paraId="026FA4FD" w14:textId="77777777" w:rsidR="00A869D2" w:rsidRDefault="00A869D2" w:rsidP="009A0CC9">
      <w:pPr>
        <w:spacing w:before="120" w:after="120" w:line="276" w:lineRule="auto"/>
        <w:jc w:val="both"/>
        <w:rPr>
          <w:szCs w:val="24"/>
          <w:lang w:eastAsia="lv-LV"/>
        </w:rPr>
      </w:pPr>
    </w:p>
    <w:p w14:paraId="101940D3" w14:textId="77777777" w:rsidR="00A869D2" w:rsidRDefault="00A869D2" w:rsidP="009A0CC9">
      <w:pPr>
        <w:spacing w:before="120" w:after="120" w:line="276" w:lineRule="auto"/>
        <w:jc w:val="both"/>
        <w:rPr>
          <w:szCs w:val="24"/>
          <w:lang w:eastAsia="lv-LV"/>
        </w:rPr>
      </w:pPr>
    </w:p>
    <w:p w14:paraId="33D89A00" w14:textId="77777777" w:rsidR="00A869D2" w:rsidRDefault="00A869D2" w:rsidP="009A0CC9">
      <w:pPr>
        <w:spacing w:before="120" w:after="120" w:line="276" w:lineRule="auto"/>
        <w:jc w:val="both"/>
        <w:rPr>
          <w:szCs w:val="24"/>
          <w:lang w:eastAsia="lv-LV"/>
        </w:rPr>
      </w:pPr>
    </w:p>
    <w:p w14:paraId="2182BFF9" w14:textId="77777777" w:rsidR="00A869D2" w:rsidRDefault="00A869D2" w:rsidP="009A0CC9">
      <w:pPr>
        <w:spacing w:before="120" w:after="120" w:line="276" w:lineRule="auto"/>
        <w:jc w:val="both"/>
        <w:rPr>
          <w:szCs w:val="24"/>
          <w:lang w:eastAsia="lv-LV"/>
        </w:rPr>
      </w:pPr>
    </w:p>
    <w:p w14:paraId="6D350523" w14:textId="107A1D4A" w:rsidR="009A0CC9" w:rsidRPr="00B57653" w:rsidRDefault="00EE300C" w:rsidP="009A0CC9">
      <w:pPr>
        <w:spacing w:before="120" w:after="120" w:line="276" w:lineRule="auto"/>
        <w:jc w:val="both"/>
        <w:rPr>
          <w:color w:val="C00000"/>
          <w:szCs w:val="24"/>
        </w:rPr>
      </w:pPr>
      <w:r>
        <w:rPr>
          <w:szCs w:val="24"/>
          <w:lang w:eastAsia="lv-LV"/>
        </w:rPr>
        <w:lastRenderedPageBreak/>
        <w:t>Grafiks Nr.4</w:t>
      </w:r>
      <w:r w:rsidR="009A0CC9" w:rsidRPr="00B57653">
        <w:rPr>
          <w:szCs w:val="24"/>
          <w:lang w:eastAsia="lv-LV"/>
        </w:rPr>
        <w:t xml:space="preserve"> </w:t>
      </w:r>
      <w:r w:rsidR="009A0CC9" w:rsidRPr="00B57653">
        <w:rPr>
          <w:i/>
          <w:color w:val="000000" w:themeColor="text1"/>
          <w:szCs w:val="24"/>
          <w:lang w:eastAsia="lv-LV"/>
        </w:rPr>
        <w:t>„Informācija par noslēgtajiem līgumiem nozarēs līdz 2014.gada 3</w:t>
      </w:r>
      <w:r w:rsidR="00BE5D86" w:rsidRPr="00B57653">
        <w:rPr>
          <w:i/>
          <w:color w:val="000000" w:themeColor="text1"/>
          <w:szCs w:val="24"/>
          <w:lang w:eastAsia="lv-LV"/>
        </w:rPr>
        <w:t>1</w:t>
      </w:r>
      <w:r w:rsidR="009A0CC9" w:rsidRPr="00B57653">
        <w:rPr>
          <w:i/>
          <w:color w:val="000000" w:themeColor="text1"/>
          <w:szCs w:val="24"/>
          <w:lang w:eastAsia="lv-LV"/>
        </w:rPr>
        <w:t>.</w:t>
      </w:r>
      <w:r w:rsidR="00BE5D86" w:rsidRPr="00B57653">
        <w:rPr>
          <w:i/>
          <w:color w:val="000000" w:themeColor="text1"/>
          <w:szCs w:val="24"/>
          <w:lang w:eastAsia="lv-LV"/>
        </w:rPr>
        <w:t>dec</w:t>
      </w:r>
      <w:r w:rsidR="009A0CC9" w:rsidRPr="00B57653">
        <w:rPr>
          <w:i/>
          <w:color w:val="000000" w:themeColor="text1"/>
          <w:szCs w:val="24"/>
          <w:lang w:eastAsia="lv-LV"/>
        </w:rPr>
        <w:t xml:space="preserve">embrim; ES fondu finansējums, milj. </w:t>
      </w:r>
      <w:r w:rsidR="009A0CC9" w:rsidRPr="00B57653">
        <w:rPr>
          <w:rFonts w:eastAsia="EUAlbertina-Bold-Identity-H"/>
          <w:i/>
          <w:color w:val="000000" w:themeColor="text1"/>
          <w:szCs w:val="24"/>
        </w:rPr>
        <w:t>euro</w:t>
      </w:r>
      <w:r w:rsidR="009A0CC9" w:rsidRPr="00B57653">
        <w:rPr>
          <w:i/>
          <w:color w:val="000000" w:themeColor="text1"/>
          <w:szCs w:val="24"/>
          <w:lang w:eastAsia="lv-LV"/>
        </w:rPr>
        <w:t xml:space="preserve"> (% no kopējā noslēgto līgumu apjoma), </w:t>
      </w:r>
      <w:r w:rsidR="009A0CC9" w:rsidRPr="00B57653">
        <w:rPr>
          <w:i/>
          <w:iCs/>
          <w:color w:val="000000" w:themeColor="text1"/>
        </w:rPr>
        <w:t>progress pret datiem</w:t>
      </w:r>
      <w:r w:rsidR="009A0CC9" w:rsidRPr="00B57653">
        <w:rPr>
          <w:i/>
          <w:color w:val="000000" w:themeColor="text1"/>
        </w:rPr>
        <w:t xml:space="preserve"> līdz 2014.gada </w:t>
      </w:r>
      <w:r w:rsidR="009A0CC9" w:rsidRPr="00B57653">
        <w:rPr>
          <w:rFonts w:eastAsia="EUAlbertina-Bold-Identity-H"/>
          <w:i/>
          <w:color w:val="000000" w:themeColor="text1"/>
          <w:szCs w:val="24"/>
          <w:lang w:eastAsia="lv-LV"/>
        </w:rPr>
        <w:t>30.</w:t>
      </w:r>
      <w:r w:rsidR="00BE5D86" w:rsidRPr="00B57653">
        <w:rPr>
          <w:rFonts w:eastAsia="EUAlbertina-Bold-Identity-H"/>
          <w:i/>
          <w:color w:val="000000" w:themeColor="text1"/>
          <w:szCs w:val="24"/>
          <w:lang w:eastAsia="lv-LV"/>
        </w:rPr>
        <w:t>septembrim</w:t>
      </w:r>
      <w:r w:rsidR="009A0CC9" w:rsidRPr="00B57653">
        <w:rPr>
          <w:i/>
          <w:color w:val="000000" w:themeColor="text1"/>
        </w:rPr>
        <w:t>, %</w:t>
      </w:r>
      <w:r w:rsidR="009A0CC9" w:rsidRPr="00B57653">
        <w:rPr>
          <w:i/>
          <w:color w:val="000000" w:themeColor="text1"/>
          <w:szCs w:val="24"/>
          <w:lang w:eastAsia="lv-LV"/>
        </w:rPr>
        <w:t>”</w:t>
      </w:r>
    </w:p>
    <w:p w14:paraId="26130DBF" w14:textId="05397052" w:rsidR="009A0CC9" w:rsidRPr="00B57653" w:rsidRDefault="004E0FDE" w:rsidP="009A0CC9">
      <w:pPr>
        <w:spacing w:after="240" w:line="276" w:lineRule="auto"/>
        <w:jc w:val="both"/>
        <w:rPr>
          <w:rFonts w:eastAsia="Times New Roman" w:cs="Times New Roman"/>
          <w:color w:val="000000"/>
          <w:szCs w:val="24"/>
          <w:highlight w:val="yellow"/>
        </w:rPr>
      </w:pPr>
      <w:r w:rsidRPr="00B57653">
        <w:rPr>
          <w:noProof/>
          <w:lang w:eastAsia="lv-LV"/>
        </w:rPr>
        <w:drawing>
          <wp:inline distT="0" distB="0" distL="0" distR="0" wp14:anchorId="0796A04E" wp14:editId="33CB01D9">
            <wp:extent cx="5915025" cy="3234690"/>
            <wp:effectExtent l="0" t="0" r="9525" b="381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4031FF1" w14:textId="77777777" w:rsidR="009A0CC9" w:rsidRPr="00B57653" w:rsidRDefault="009A0CC9" w:rsidP="009A0CC9">
      <w:pPr>
        <w:spacing w:after="240" w:line="276" w:lineRule="auto"/>
        <w:jc w:val="both"/>
        <w:rPr>
          <w:rFonts w:eastAsia="Times New Roman" w:cs="Times New Roman"/>
          <w:color w:val="000000"/>
          <w:szCs w:val="24"/>
        </w:rPr>
      </w:pPr>
      <w:r w:rsidRPr="00B57653">
        <w:rPr>
          <w:rFonts w:eastAsia="Times New Roman" w:cs="Times New Roman"/>
          <w:color w:val="000000"/>
          <w:szCs w:val="24"/>
        </w:rPr>
        <w:t>* - noslēgtie līgumi % pret pieejamo ES fondu finansējumu nozarē</w:t>
      </w:r>
    </w:p>
    <w:p w14:paraId="46ED4C4C" w14:textId="228834EB" w:rsidR="009A0CC9" w:rsidRPr="00B57653" w:rsidRDefault="009A0CC9" w:rsidP="009A0CC9">
      <w:pPr>
        <w:spacing w:before="120" w:after="120" w:line="276" w:lineRule="auto"/>
        <w:jc w:val="both"/>
        <w:rPr>
          <w:color w:val="000000" w:themeColor="text1"/>
          <w:szCs w:val="24"/>
        </w:rPr>
      </w:pPr>
      <w:r w:rsidRPr="00B57653">
        <w:rPr>
          <w:rFonts w:eastAsia="Times New Roman" w:cs="Times New Roman"/>
          <w:color w:val="000000"/>
          <w:szCs w:val="24"/>
        </w:rPr>
        <w:t xml:space="preserve">Uzņēmējdarbības un inovāciju jomā </w:t>
      </w:r>
      <w:r w:rsidR="007E0430">
        <w:rPr>
          <w:color w:val="000000"/>
          <w:szCs w:val="24"/>
        </w:rPr>
        <w:t>pārskata periodā</w:t>
      </w:r>
      <w:r w:rsidR="007E0430" w:rsidRPr="00B57653">
        <w:rPr>
          <w:color w:val="000000"/>
          <w:szCs w:val="24"/>
        </w:rPr>
        <w:t xml:space="preserve"> </w:t>
      </w:r>
      <w:r w:rsidR="006D525A" w:rsidRPr="00B57653">
        <w:rPr>
          <w:color w:val="000000" w:themeColor="text1"/>
          <w:szCs w:val="24"/>
        </w:rPr>
        <w:t>tika veikta projektu pārcelšana no DP “Infrastruktūra un pakalpojumi” (pilsētvides joma) uz DP “Uzņēmējdarbība un inovācijas” (uzņēmējdarības un inovāciju joma). Līdz ar to vērojams būtisks progress ceturkšņa ietvaros šajā jomā (15,6%)</w:t>
      </w:r>
      <w:r w:rsidR="00D83DE5">
        <w:rPr>
          <w:color w:val="000000" w:themeColor="text1"/>
          <w:szCs w:val="24"/>
        </w:rPr>
        <w:t xml:space="preserve"> un būtisks r</w:t>
      </w:r>
      <w:r w:rsidR="001B3866">
        <w:rPr>
          <w:color w:val="000000" w:themeColor="text1"/>
          <w:szCs w:val="24"/>
        </w:rPr>
        <w:t>egress pilsētvides jomā</w:t>
      </w:r>
      <w:r w:rsidR="006D525A" w:rsidRPr="00B57653">
        <w:rPr>
          <w:color w:val="000000" w:themeColor="text1"/>
          <w:szCs w:val="24"/>
        </w:rPr>
        <w:t>.</w:t>
      </w:r>
    </w:p>
    <w:p w14:paraId="50C6E147" w14:textId="12C268AF" w:rsidR="00D14CD1" w:rsidRPr="00B57653" w:rsidRDefault="00D14CD1" w:rsidP="009A0CC9">
      <w:pPr>
        <w:spacing w:before="120" w:after="120" w:line="276" w:lineRule="auto"/>
        <w:jc w:val="both"/>
        <w:rPr>
          <w:color w:val="000000" w:themeColor="text1"/>
          <w:szCs w:val="24"/>
        </w:rPr>
      </w:pPr>
      <w:r w:rsidRPr="00B57653">
        <w:rPr>
          <w:color w:val="000000" w:themeColor="text1"/>
          <w:szCs w:val="24"/>
        </w:rPr>
        <w:t xml:space="preserve">Izglītības jomā </w:t>
      </w:r>
      <w:r w:rsidR="007E0430">
        <w:rPr>
          <w:color w:val="000000"/>
          <w:szCs w:val="24"/>
        </w:rPr>
        <w:t>pārskata periodā</w:t>
      </w:r>
      <w:r w:rsidR="007E0430" w:rsidRPr="00B57653">
        <w:rPr>
          <w:color w:val="000000"/>
          <w:szCs w:val="24"/>
        </w:rPr>
        <w:t xml:space="preserve"> </w:t>
      </w:r>
      <w:r w:rsidR="00E742EC" w:rsidRPr="00B57653">
        <w:rPr>
          <w:rFonts w:eastAsia="Times New Roman" w:cs="Times New Roman"/>
          <w:color w:val="000000"/>
          <w:szCs w:val="24"/>
        </w:rPr>
        <w:t>regress noslēgtajiem līgumiem skaidrojams ar aktivitātēs “Mācību aprīkojuma modernizācija un infrastruktūras uzlabošana profesionālās izglītības programmu īstenošanai” un</w:t>
      </w:r>
      <w:r w:rsidR="00E742EC" w:rsidRPr="00B57653">
        <w:rPr>
          <w:color w:val="000000" w:themeColor="text1"/>
          <w:szCs w:val="24"/>
        </w:rPr>
        <w:t xml:space="preserve"> “Atbalsts vispārējās izglītības iestāžu tīkla optimizācijai” precizēto finansējuma apjomu atbilstoši faktiskajām izmaksām pabeigtajos projektos.</w:t>
      </w:r>
      <w:r w:rsidRPr="00B57653">
        <w:rPr>
          <w:color w:val="000000" w:themeColor="text1"/>
          <w:szCs w:val="24"/>
        </w:rPr>
        <w:t xml:space="preserve"> </w:t>
      </w:r>
    </w:p>
    <w:p w14:paraId="1460760E" w14:textId="1A229602" w:rsidR="00D1589B" w:rsidRDefault="00D1589B" w:rsidP="009A0CC9">
      <w:pPr>
        <w:spacing w:before="120" w:after="120" w:line="276" w:lineRule="auto"/>
        <w:jc w:val="both"/>
        <w:rPr>
          <w:rFonts w:eastAsia="Times New Roman"/>
          <w:color w:val="000000"/>
          <w:szCs w:val="24"/>
        </w:rPr>
      </w:pPr>
      <w:r w:rsidRPr="00D1589B">
        <w:rPr>
          <w:rFonts w:eastAsia="Times New Roman"/>
          <w:color w:val="000000"/>
          <w:szCs w:val="24"/>
        </w:rPr>
        <w:t xml:space="preserve">Zinātnes jomā </w:t>
      </w:r>
      <w:r w:rsidR="007E0430">
        <w:rPr>
          <w:color w:val="000000"/>
          <w:szCs w:val="24"/>
        </w:rPr>
        <w:t>pārskata periodā</w:t>
      </w:r>
      <w:r w:rsidR="007E0430" w:rsidRPr="00B57653">
        <w:rPr>
          <w:color w:val="000000"/>
          <w:szCs w:val="24"/>
        </w:rPr>
        <w:t xml:space="preserve"> </w:t>
      </w:r>
      <w:r w:rsidRPr="00D1589B">
        <w:rPr>
          <w:rFonts w:eastAsia="Times New Roman"/>
          <w:color w:val="000000"/>
          <w:szCs w:val="24"/>
        </w:rPr>
        <w:t>vērojam</w:t>
      </w:r>
      <w:r w:rsidR="00052A9B">
        <w:rPr>
          <w:rFonts w:eastAsia="Times New Roman"/>
          <w:color w:val="000000"/>
          <w:szCs w:val="24"/>
        </w:rPr>
        <w:t>ai</w:t>
      </w:r>
      <w:r w:rsidRPr="00D1589B">
        <w:rPr>
          <w:rFonts w:eastAsia="Times New Roman"/>
          <w:color w:val="000000"/>
          <w:szCs w:val="24"/>
        </w:rPr>
        <w:t xml:space="preserve">s regress ir saistīts ar aktivitātes "Atbalsts zinātnei un pētniecībai" precizēto finansējuma apjomu atbilstoši faktiskajām izmaksām pabeigto projektu ietvaros. </w:t>
      </w:r>
    </w:p>
    <w:p w14:paraId="2170D81C" w14:textId="55E134FB" w:rsidR="00107FCC" w:rsidRPr="00107FCC" w:rsidRDefault="00107FCC" w:rsidP="009A0CC9">
      <w:pPr>
        <w:spacing w:before="120" w:after="120" w:line="276" w:lineRule="auto"/>
        <w:jc w:val="both"/>
        <w:rPr>
          <w:bCs/>
          <w:color w:val="000000"/>
        </w:rPr>
      </w:pPr>
      <w:r>
        <w:rPr>
          <w:rFonts w:eastAsia="Times New Roman"/>
          <w:color w:val="000000"/>
          <w:szCs w:val="24"/>
        </w:rPr>
        <w:t xml:space="preserve">Vides jomā </w:t>
      </w:r>
      <w:r w:rsidR="007E0430">
        <w:rPr>
          <w:color w:val="000000"/>
          <w:szCs w:val="24"/>
        </w:rPr>
        <w:t>pārskata periodā</w:t>
      </w:r>
      <w:r w:rsidR="007E0430" w:rsidRPr="00B57653">
        <w:rPr>
          <w:color w:val="000000"/>
          <w:szCs w:val="24"/>
        </w:rPr>
        <w:t xml:space="preserve"> </w:t>
      </w:r>
      <w:r>
        <w:rPr>
          <w:rFonts w:eastAsia="Times New Roman"/>
          <w:color w:val="000000"/>
          <w:szCs w:val="24"/>
        </w:rPr>
        <w:t xml:space="preserve">redzamais regress skaidrojams ar nepieciešamību aktivitātē </w:t>
      </w:r>
      <w:r w:rsidRPr="00107FCC">
        <w:rPr>
          <w:rFonts w:eastAsia="Times New Roman"/>
          <w:color w:val="000000"/>
          <w:szCs w:val="24"/>
        </w:rPr>
        <w:t xml:space="preserve">„Infrastruktūras </w:t>
      </w:r>
      <w:r>
        <w:rPr>
          <w:rFonts w:eastAsia="Times New Roman"/>
          <w:color w:val="000000"/>
          <w:szCs w:val="24"/>
        </w:rPr>
        <w:t>izveide Natura 2000 teritorijās” 2. atlases kārtas projektiem</w:t>
      </w:r>
      <w:r w:rsidRPr="00107FCC">
        <w:rPr>
          <w:rFonts w:eastAsia="Times New Roman"/>
          <w:color w:val="000000"/>
          <w:szCs w:val="24"/>
        </w:rPr>
        <w:t xml:space="preserve"> </w:t>
      </w:r>
      <w:r>
        <w:rPr>
          <w:rFonts w:eastAsia="Times New Roman"/>
          <w:color w:val="000000"/>
          <w:szCs w:val="24"/>
        </w:rPr>
        <w:t xml:space="preserve">precizēt finansējuma summu. Dabas aizsardzības pārvalde veicot būvdarbu izmaksu precizēšanu </w:t>
      </w:r>
      <w:r w:rsidRPr="00A105F1">
        <w:rPr>
          <w:bCs/>
          <w:color w:val="000000"/>
        </w:rPr>
        <w:t>un</w:t>
      </w:r>
      <w:r>
        <w:rPr>
          <w:bCs/>
          <w:color w:val="000000"/>
        </w:rPr>
        <w:t>,</w:t>
      </w:r>
      <w:r w:rsidRPr="00A105F1">
        <w:rPr>
          <w:bCs/>
          <w:color w:val="000000"/>
        </w:rPr>
        <w:t xml:space="preserve"> konstatējot būtisku būvdarbu izmaksu neatbilstību projekta iesniegumā aprēķinātajam, atsauca vienīgo </w:t>
      </w:r>
      <w:r w:rsidR="00052A9B">
        <w:rPr>
          <w:bCs/>
          <w:color w:val="000000"/>
        </w:rPr>
        <w:t>3.</w:t>
      </w:r>
      <w:r w:rsidRPr="00A105F1">
        <w:rPr>
          <w:bCs/>
          <w:color w:val="000000"/>
        </w:rPr>
        <w:t xml:space="preserve"> atlases kārtā iesniegto projekta iesniegumu sakarā ar</w:t>
      </w:r>
      <w:r>
        <w:rPr>
          <w:bCs/>
          <w:color w:val="000000"/>
        </w:rPr>
        <w:t xml:space="preserve"> projekta sadārdzinājumu.</w:t>
      </w:r>
    </w:p>
    <w:p w14:paraId="7C857DA1" w14:textId="40E4E830" w:rsidR="00BD26AD" w:rsidRPr="00BD26AD" w:rsidRDefault="00457D45" w:rsidP="00BD26AD">
      <w:pPr>
        <w:spacing w:line="276" w:lineRule="auto"/>
        <w:jc w:val="both"/>
        <w:rPr>
          <w:rFonts w:eastAsia="Times New Roman"/>
          <w:color w:val="000000"/>
          <w:szCs w:val="24"/>
        </w:rPr>
      </w:pPr>
      <w:r w:rsidRPr="00BD26AD">
        <w:rPr>
          <w:rFonts w:eastAsia="Times New Roman"/>
          <w:color w:val="000000"/>
          <w:szCs w:val="24"/>
        </w:rPr>
        <w:t xml:space="preserve">Nodarbinātības un sociālo pakalpojumu jomā regress noslēgtajiem līgumiem </w:t>
      </w:r>
      <w:r w:rsidR="00BD26AD" w:rsidRPr="00BD26AD">
        <w:rPr>
          <w:rFonts w:eastAsia="Times New Roman"/>
          <w:color w:val="000000"/>
          <w:szCs w:val="24"/>
        </w:rPr>
        <w:t xml:space="preserve">skaidrojams ar apakšaktivitātē “Bezdarbnieku un darba meklētāju apmācība” </w:t>
      </w:r>
      <w:r w:rsidR="00BD26AD">
        <w:rPr>
          <w:rFonts w:eastAsia="Times New Roman"/>
          <w:color w:val="000000"/>
          <w:szCs w:val="24"/>
        </w:rPr>
        <w:t xml:space="preserve">veiktajiem apjomīgajiem </w:t>
      </w:r>
      <w:r w:rsidR="00BD26AD" w:rsidRPr="00BD26AD">
        <w:rPr>
          <w:rFonts w:eastAsia="Times New Roman"/>
          <w:color w:val="000000"/>
          <w:szCs w:val="24"/>
        </w:rPr>
        <w:t>līguma grozījumi</w:t>
      </w:r>
      <w:r w:rsidR="00BD26AD">
        <w:rPr>
          <w:rFonts w:eastAsia="Times New Roman"/>
          <w:color w:val="000000"/>
          <w:szCs w:val="24"/>
        </w:rPr>
        <w:t>em</w:t>
      </w:r>
      <w:r w:rsidR="00BD26AD" w:rsidRPr="00BD26AD">
        <w:rPr>
          <w:rFonts w:eastAsia="Times New Roman"/>
          <w:color w:val="000000"/>
          <w:szCs w:val="24"/>
        </w:rPr>
        <w:t>, ņemot vērā ietaupījumus, kas radušies projekta ieviešanas gaitā.</w:t>
      </w:r>
    </w:p>
    <w:p w14:paraId="73186003" w14:textId="4CC0308C" w:rsidR="009A0CC9" w:rsidRPr="00B57653" w:rsidRDefault="009A0CC9" w:rsidP="009A0CC9">
      <w:pPr>
        <w:spacing w:before="120" w:after="120" w:line="276" w:lineRule="auto"/>
        <w:jc w:val="both"/>
        <w:rPr>
          <w:bCs/>
          <w:color w:val="000000" w:themeColor="text1"/>
          <w:szCs w:val="24"/>
          <w:highlight w:val="yellow"/>
        </w:rPr>
      </w:pPr>
      <w:r w:rsidRPr="00D83DE5">
        <w:rPr>
          <w:bCs/>
          <w:color w:val="000000" w:themeColor="text1"/>
          <w:szCs w:val="24"/>
        </w:rPr>
        <w:lastRenderedPageBreak/>
        <w:t xml:space="preserve">Enerģētikas jomā apakšaktivitātē "Pasākumi centralizētās siltumapgādes sistēmu efektivitātes paaugstināšanai" </w:t>
      </w:r>
      <w:r w:rsidR="00D83DE5">
        <w:rPr>
          <w:bCs/>
          <w:color w:val="000000" w:themeColor="text1"/>
          <w:szCs w:val="24"/>
        </w:rPr>
        <w:t>līdz 2014.gada beigām pārtraukti 14 projekti</w:t>
      </w:r>
      <w:r w:rsidRPr="00D83DE5">
        <w:rPr>
          <w:bCs/>
          <w:color w:val="000000" w:themeColor="text1"/>
          <w:szCs w:val="24"/>
        </w:rPr>
        <w:t>.</w:t>
      </w:r>
      <w:r w:rsidR="00D83DE5">
        <w:rPr>
          <w:bCs/>
          <w:color w:val="000000" w:themeColor="text1"/>
          <w:szCs w:val="24"/>
        </w:rPr>
        <w:t xml:space="preserve"> Pārtrauktu projektu pieauguma tendence šajā apakšaktivitātē vērojama jau kopš 2014.gada sākuma</w:t>
      </w:r>
      <w:r w:rsidRPr="00D83DE5">
        <w:rPr>
          <w:bCs/>
          <w:color w:val="000000" w:themeColor="text1"/>
          <w:szCs w:val="24"/>
        </w:rPr>
        <w:t xml:space="preserve">. </w:t>
      </w:r>
      <w:r w:rsidR="00D83DE5">
        <w:rPr>
          <w:bCs/>
          <w:color w:val="000000" w:themeColor="text1"/>
          <w:szCs w:val="24"/>
        </w:rPr>
        <w:t>Lai mazinātu ietekmi uz KF finansējuma izmantošanas apjomu, gada beigās tika rīkota papildu projektu iesniegumu atlase, kas noslēdzās 2014.gada 14.novembrī un līdz 2015.gada gada janvāra vidum notiek iesniegto projektu vērtēšana.</w:t>
      </w:r>
    </w:p>
    <w:p w14:paraId="09284788" w14:textId="35AB98E5" w:rsidR="009A0CC9" w:rsidRPr="00D44051" w:rsidRDefault="00C71796" w:rsidP="009A0CC9">
      <w:pPr>
        <w:spacing w:line="276" w:lineRule="auto"/>
        <w:jc w:val="both"/>
        <w:rPr>
          <w:color w:val="000000"/>
        </w:rPr>
      </w:pPr>
      <w:r>
        <w:rPr>
          <w:color w:val="000000"/>
        </w:rPr>
        <w:t>Atbalsts ES fondu vadībai</w:t>
      </w:r>
      <w:r w:rsidR="00D44051" w:rsidRPr="00D44051">
        <w:rPr>
          <w:color w:val="000000"/>
        </w:rPr>
        <w:t> </w:t>
      </w:r>
      <w:r w:rsidR="00733837">
        <w:rPr>
          <w:color w:val="000000"/>
          <w:szCs w:val="24"/>
        </w:rPr>
        <w:t>pārskata periodā</w:t>
      </w:r>
      <w:r w:rsidR="00733837" w:rsidRPr="00B57653">
        <w:rPr>
          <w:color w:val="000000"/>
          <w:szCs w:val="24"/>
        </w:rPr>
        <w:t xml:space="preserve"> </w:t>
      </w:r>
      <w:r w:rsidR="009A0CC9" w:rsidRPr="00D44051">
        <w:rPr>
          <w:color w:val="000000"/>
        </w:rPr>
        <w:t>samazinājies noslēgto līgumu apjoms, kas skaidrojams ar to, ka TP projektos veikti projekta grozījumi un samazinātas projektu kopējās attiecinamās summas, ņemot vērā aktuālo projektu ieviešanas statusu un plānoto nepieciešamo finansējumu līdz projekta ieviešanas beigām.</w:t>
      </w:r>
    </w:p>
    <w:p w14:paraId="71E2B421" w14:textId="381A8F57" w:rsidR="00AB70FF" w:rsidRPr="00AB70FF" w:rsidRDefault="00AB70FF" w:rsidP="00AB70FF">
      <w:pPr>
        <w:spacing w:before="120" w:after="120" w:line="276" w:lineRule="auto"/>
        <w:jc w:val="both"/>
        <w:rPr>
          <w:bCs/>
          <w:color w:val="000000" w:themeColor="text1"/>
          <w:szCs w:val="24"/>
        </w:rPr>
      </w:pPr>
      <w:r>
        <w:rPr>
          <w:szCs w:val="24"/>
        </w:rPr>
        <w:t xml:space="preserve">IKT jomā nākamajā pārskata periodā paredzams noslēgto līgumu apjoma samazinājums, ņemot vērā, ka CFLA, izvērtējot projekta “Portāla </w:t>
      </w:r>
      <w:hyperlink r:id="rId22" w:history="1">
        <w:r>
          <w:rPr>
            <w:rStyle w:val="Hyperlink"/>
            <w:szCs w:val="24"/>
          </w:rPr>
          <w:t>www.skolas.lv</w:t>
        </w:r>
      </w:hyperlink>
      <w:r>
        <w:rPr>
          <w:szCs w:val="24"/>
        </w:rPr>
        <w:t xml:space="preserve"> attīstība (2.kārta)” lietderību un izmaksu pamatotību, konstatēja, ka projekta mērķis nav sasniegts, un 2014.gada 15.decembrī pieņēma lēmumu par finanšu korekcijas piemērošanu 100% apmērā no projekta attiecināmajām izmaksām. </w:t>
      </w:r>
    </w:p>
    <w:p w14:paraId="1B4AB3FF" w14:textId="37E96B8B" w:rsidR="00DC1782" w:rsidRPr="00DF53A3" w:rsidRDefault="00DC1782" w:rsidP="009A0CC9">
      <w:pPr>
        <w:spacing w:before="120" w:after="120" w:line="276" w:lineRule="auto"/>
        <w:jc w:val="both"/>
        <w:rPr>
          <w:rFonts w:eastAsia="Calibri" w:cs="Times New Roman"/>
          <w:szCs w:val="24"/>
        </w:rPr>
      </w:pPr>
      <w:r w:rsidRPr="00DF53A3">
        <w:rPr>
          <w:rFonts w:eastAsia="Calibri" w:cs="Times New Roman"/>
          <w:szCs w:val="24"/>
        </w:rPr>
        <w:t>Lai gan kopumā noslēgto līgumu apjoms ir lielāks par pieejamo ES fondu fin</w:t>
      </w:r>
      <w:r w:rsidR="001216C1">
        <w:rPr>
          <w:rFonts w:eastAsia="Calibri" w:cs="Times New Roman"/>
          <w:szCs w:val="24"/>
        </w:rPr>
        <w:t>a</w:t>
      </w:r>
      <w:r w:rsidRPr="00DF53A3">
        <w:rPr>
          <w:rFonts w:eastAsia="Calibri" w:cs="Times New Roman"/>
          <w:szCs w:val="24"/>
        </w:rPr>
        <w:t xml:space="preserve">nsējumu, tomēr ir aktivitātes, kurās </w:t>
      </w:r>
      <w:r w:rsidR="000A1436" w:rsidRPr="00DF53A3">
        <w:rPr>
          <w:rFonts w:eastAsia="Calibri" w:cs="Times New Roman"/>
          <w:szCs w:val="24"/>
        </w:rPr>
        <w:t xml:space="preserve">vēl ir salīdzinoši liels ES fondu finansējums, par kuru nav noslēgti līgumi. Lai </w:t>
      </w:r>
      <w:r w:rsidR="001216C1">
        <w:rPr>
          <w:rFonts w:eastAsia="Calibri" w:cs="Times New Roman"/>
          <w:szCs w:val="24"/>
        </w:rPr>
        <w:t>kopumā izmantotu</w:t>
      </w:r>
      <w:r w:rsidR="001216C1" w:rsidRPr="00DF53A3">
        <w:rPr>
          <w:rFonts w:eastAsia="Calibri" w:cs="Times New Roman"/>
          <w:szCs w:val="24"/>
        </w:rPr>
        <w:t xml:space="preserve"> </w:t>
      </w:r>
      <w:r w:rsidR="000A1436" w:rsidRPr="00DF53A3">
        <w:rPr>
          <w:rFonts w:eastAsia="Calibri" w:cs="Times New Roman"/>
          <w:szCs w:val="24"/>
        </w:rPr>
        <w:t xml:space="preserve">visu </w:t>
      </w:r>
      <w:r w:rsidR="001216C1">
        <w:rPr>
          <w:rFonts w:eastAsia="Calibri" w:cs="Times New Roman"/>
          <w:szCs w:val="24"/>
        </w:rPr>
        <w:t xml:space="preserve">ES fondu </w:t>
      </w:r>
      <w:r w:rsidR="000A1436" w:rsidRPr="00DF53A3">
        <w:rPr>
          <w:rFonts w:eastAsia="Calibri" w:cs="Times New Roman"/>
          <w:szCs w:val="24"/>
        </w:rPr>
        <w:t xml:space="preserve">finansējumu </w:t>
      </w:r>
      <w:r w:rsidR="00B25A72" w:rsidRPr="00DF53A3">
        <w:rPr>
          <w:rFonts w:eastAsia="Calibri" w:cs="Times New Roman"/>
          <w:szCs w:val="24"/>
        </w:rPr>
        <w:t>ir izsludinātas vai pla</w:t>
      </w:r>
      <w:r w:rsidR="000D3AA3" w:rsidRPr="00DF53A3">
        <w:rPr>
          <w:rFonts w:eastAsia="Calibri" w:cs="Times New Roman"/>
          <w:szCs w:val="24"/>
        </w:rPr>
        <w:t>n</w:t>
      </w:r>
      <w:r w:rsidR="00B25A72" w:rsidRPr="00DF53A3">
        <w:rPr>
          <w:rFonts w:eastAsia="Calibri" w:cs="Times New Roman"/>
          <w:szCs w:val="24"/>
        </w:rPr>
        <w:t>ots izsludināt</w:t>
      </w:r>
      <w:r w:rsidR="000A1436" w:rsidRPr="00DF53A3">
        <w:rPr>
          <w:rFonts w:eastAsia="Calibri" w:cs="Times New Roman"/>
          <w:szCs w:val="24"/>
        </w:rPr>
        <w:t xml:space="preserve"> jaunas atlases kā</w:t>
      </w:r>
      <w:r w:rsidR="00A40320" w:rsidRPr="00DF53A3">
        <w:rPr>
          <w:rFonts w:eastAsia="Calibri" w:cs="Times New Roman"/>
          <w:szCs w:val="24"/>
        </w:rPr>
        <w:t>rt</w:t>
      </w:r>
      <w:r w:rsidR="000A1436" w:rsidRPr="00DF53A3">
        <w:rPr>
          <w:rFonts w:eastAsia="Calibri" w:cs="Times New Roman"/>
          <w:szCs w:val="24"/>
        </w:rPr>
        <w:t xml:space="preserve">as par kurām informācija atrodama ES fondu </w:t>
      </w:r>
      <w:r w:rsidR="00467E26" w:rsidRPr="00DF53A3">
        <w:rPr>
          <w:rFonts w:eastAsia="Calibri" w:cs="Times New Roman"/>
          <w:szCs w:val="24"/>
        </w:rPr>
        <w:t>tīmekļa</w:t>
      </w:r>
      <w:r w:rsidR="000A1436" w:rsidRPr="00DF53A3">
        <w:rPr>
          <w:rFonts w:eastAsia="Calibri" w:cs="Times New Roman"/>
          <w:szCs w:val="24"/>
        </w:rPr>
        <w:t xml:space="preserve"> vietnē</w:t>
      </w:r>
      <w:r w:rsidR="00B25A72" w:rsidRPr="00DF53A3">
        <w:rPr>
          <w:rStyle w:val="FootnoteReference"/>
          <w:rFonts w:eastAsia="Calibri" w:cs="Times New Roman"/>
          <w:szCs w:val="24"/>
        </w:rPr>
        <w:footnoteReference w:id="19"/>
      </w:r>
      <w:r w:rsidR="000A1436" w:rsidRPr="00DF53A3">
        <w:rPr>
          <w:rFonts w:eastAsia="Calibri" w:cs="Times New Roman"/>
          <w:szCs w:val="24"/>
        </w:rPr>
        <w:t>.</w:t>
      </w:r>
    </w:p>
    <w:p w14:paraId="6C353766" w14:textId="2E7E05F8" w:rsidR="009A0CC9" w:rsidRPr="00B57653" w:rsidRDefault="009A0CC9" w:rsidP="009A0CC9">
      <w:pPr>
        <w:pStyle w:val="NormalWeb"/>
        <w:shd w:val="clear" w:color="auto" w:fill="FFFFFF"/>
        <w:spacing w:before="120" w:beforeAutospacing="0" w:after="120" w:afterAutospacing="0" w:line="276" w:lineRule="auto"/>
        <w:jc w:val="both"/>
        <w:rPr>
          <w:color w:val="000000" w:themeColor="text1"/>
          <w:lang w:val="lv-LV"/>
        </w:rPr>
      </w:pPr>
      <w:r w:rsidRPr="00B57653">
        <w:rPr>
          <w:color w:val="000000" w:themeColor="text1"/>
          <w:lang w:val="lv-LV"/>
        </w:rPr>
        <w:t xml:space="preserve">Detalizētāku informāciju par veiktajām finanšu investīcijām un finanšu progresu, t.sk. par vēl nenoslēgtajiem līgumiem pret pieejamo finansējumu aktivitāšu dalījumā, skatīt </w:t>
      </w:r>
      <w:r w:rsidRPr="00B57653">
        <w:rPr>
          <w:color w:val="000000" w:themeColor="text1"/>
          <w:u w:val="single"/>
          <w:lang w:val="lv-LV"/>
        </w:rPr>
        <w:t>pielikumā Nr</w:t>
      </w:r>
      <w:r w:rsidRPr="00B57653">
        <w:rPr>
          <w:color w:val="000000" w:themeColor="text1"/>
          <w:lang w:val="lv-LV"/>
        </w:rPr>
        <w:t>.</w:t>
      </w:r>
      <w:r w:rsidRPr="00B57653">
        <w:rPr>
          <w:color w:val="000000" w:themeColor="text1"/>
          <w:u w:val="single"/>
          <w:lang w:val="lv-LV"/>
        </w:rPr>
        <w:t>1</w:t>
      </w:r>
      <w:r w:rsidRPr="00B57653">
        <w:rPr>
          <w:color w:val="000000" w:themeColor="text1"/>
          <w:lang w:val="lv-LV"/>
        </w:rPr>
        <w:t xml:space="preserve">, </w:t>
      </w:r>
      <w:r w:rsidRPr="00B57653">
        <w:rPr>
          <w:color w:val="000000" w:themeColor="text1"/>
          <w:u w:val="single"/>
          <w:lang w:val="lv-LV"/>
        </w:rPr>
        <w:t xml:space="preserve">ES fondu </w:t>
      </w:r>
      <w:r w:rsidR="00467E26" w:rsidRPr="00B57653">
        <w:rPr>
          <w:color w:val="000000" w:themeColor="text1"/>
          <w:u w:val="single"/>
          <w:lang w:val="lv-LV"/>
        </w:rPr>
        <w:t>tīmekļa</w:t>
      </w:r>
      <w:r w:rsidRPr="00B57653">
        <w:rPr>
          <w:color w:val="000000" w:themeColor="text1"/>
          <w:u w:val="single"/>
          <w:lang w:val="lv-LV"/>
        </w:rPr>
        <w:t xml:space="preserve"> vietnē</w:t>
      </w:r>
      <w:r w:rsidRPr="00B57653">
        <w:rPr>
          <w:rStyle w:val="FootnoteReference"/>
          <w:color w:val="000000" w:themeColor="text1"/>
          <w:u w:val="single"/>
          <w:lang w:val="lv-LV"/>
        </w:rPr>
        <w:footnoteReference w:id="20"/>
      </w:r>
      <w:r w:rsidRPr="00B57653">
        <w:rPr>
          <w:color w:val="000000" w:themeColor="text1"/>
          <w:lang w:val="lv-LV"/>
        </w:rPr>
        <w:t>.</w:t>
      </w:r>
    </w:p>
    <w:p w14:paraId="4AEDB9F5" w14:textId="49CE4E9B" w:rsidR="00A14AD2" w:rsidRPr="00B57653" w:rsidRDefault="00A14AD2" w:rsidP="008A6332">
      <w:pPr>
        <w:spacing w:before="120" w:after="120" w:line="276" w:lineRule="auto"/>
        <w:jc w:val="both"/>
        <w:rPr>
          <w:b/>
          <w:i/>
          <w:color w:val="000000" w:themeColor="text1"/>
          <w:szCs w:val="24"/>
        </w:rPr>
      </w:pPr>
      <w:r w:rsidRPr="00B57653">
        <w:rPr>
          <w:b/>
          <w:i/>
          <w:color w:val="000000" w:themeColor="text1"/>
          <w:szCs w:val="24"/>
        </w:rPr>
        <w:t>Iesniegtie un saņemtie maksājumi no EK</w:t>
      </w:r>
      <w:r w:rsidR="00922CE4" w:rsidRPr="00B57653">
        <w:rPr>
          <w:b/>
          <w:i/>
          <w:color w:val="000000" w:themeColor="text1"/>
          <w:szCs w:val="24"/>
        </w:rPr>
        <w:t>:</w:t>
      </w:r>
    </w:p>
    <w:p w14:paraId="3B5AB8A4" w14:textId="2B0CE3DD" w:rsidR="00A869D2" w:rsidRPr="004E4855" w:rsidRDefault="00A14AD2" w:rsidP="004E4855">
      <w:pPr>
        <w:spacing w:before="120" w:after="120" w:line="276" w:lineRule="auto"/>
        <w:jc w:val="both"/>
        <w:rPr>
          <w:color w:val="000000" w:themeColor="text1"/>
          <w:szCs w:val="24"/>
        </w:rPr>
      </w:pPr>
      <w:r w:rsidRPr="00B57653">
        <w:rPr>
          <w:color w:val="000000" w:themeColor="text1"/>
          <w:szCs w:val="24"/>
        </w:rPr>
        <w:t>Līdz 2014.gada 3</w:t>
      </w:r>
      <w:r w:rsidR="00BE5D86" w:rsidRPr="00B57653">
        <w:rPr>
          <w:color w:val="000000" w:themeColor="text1"/>
          <w:szCs w:val="24"/>
        </w:rPr>
        <w:t>1</w:t>
      </w:r>
      <w:r w:rsidRPr="00B57653">
        <w:rPr>
          <w:color w:val="000000" w:themeColor="text1"/>
          <w:szCs w:val="24"/>
        </w:rPr>
        <w:t>.</w:t>
      </w:r>
      <w:r w:rsidR="00BE5D86" w:rsidRPr="00B57653">
        <w:rPr>
          <w:color w:val="000000" w:themeColor="text1"/>
          <w:szCs w:val="24"/>
        </w:rPr>
        <w:t>dec</w:t>
      </w:r>
      <w:r w:rsidRPr="00B57653">
        <w:rPr>
          <w:color w:val="000000" w:themeColor="text1"/>
          <w:szCs w:val="24"/>
        </w:rPr>
        <w:t xml:space="preserve">embrim no EK saņemti starpposma maksājumi un avansi </w:t>
      </w:r>
      <w:r w:rsidR="00575688" w:rsidRPr="00B57653">
        <w:rPr>
          <w:color w:val="000000" w:themeColor="text1"/>
          <w:szCs w:val="24"/>
        </w:rPr>
        <w:t>3,7</w:t>
      </w:r>
      <w:r w:rsidRPr="00B57653">
        <w:rPr>
          <w:color w:val="000000" w:themeColor="text1"/>
          <w:szCs w:val="24"/>
        </w:rPr>
        <w:t xml:space="preserve"> mljrd. </w:t>
      </w:r>
      <w:r w:rsidRPr="00B57653">
        <w:rPr>
          <w:i/>
          <w:color w:val="000000" w:themeColor="text1"/>
          <w:szCs w:val="24"/>
        </w:rPr>
        <w:t>euro</w:t>
      </w:r>
      <w:r w:rsidRPr="00B57653">
        <w:rPr>
          <w:color w:val="000000" w:themeColor="text1"/>
          <w:szCs w:val="24"/>
        </w:rPr>
        <w:t xml:space="preserve"> apmērā, kas ir </w:t>
      </w:r>
      <w:r w:rsidR="00575688" w:rsidRPr="00B57653">
        <w:rPr>
          <w:color w:val="000000" w:themeColor="text1"/>
          <w:szCs w:val="24"/>
        </w:rPr>
        <w:t>8</w:t>
      </w:r>
      <w:r w:rsidR="006F74F8" w:rsidRPr="00B57653">
        <w:rPr>
          <w:color w:val="000000" w:themeColor="text1"/>
          <w:szCs w:val="24"/>
        </w:rPr>
        <w:t>1,2</w:t>
      </w:r>
      <w:r w:rsidRPr="00B57653">
        <w:rPr>
          <w:color w:val="000000" w:themeColor="text1"/>
          <w:szCs w:val="24"/>
        </w:rPr>
        <w:t xml:space="preserve">% no pieejamā ES fondu finansējuma. Sīkāk skatīt </w:t>
      </w:r>
      <w:r w:rsidR="006E6AA1" w:rsidRPr="00B57653">
        <w:rPr>
          <w:color w:val="000000" w:themeColor="text1"/>
          <w:szCs w:val="24"/>
        </w:rPr>
        <w:t>zemāk esošajā grafikā.</w:t>
      </w:r>
    </w:p>
    <w:p w14:paraId="25143972" w14:textId="77777777" w:rsidR="003721EE" w:rsidRDefault="003721EE" w:rsidP="00A14AD2">
      <w:pPr>
        <w:spacing w:after="240" w:line="276" w:lineRule="auto"/>
        <w:jc w:val="both"/>
        <w:rPr>
          <w:szCs w:val="24"/>
          <w:lang w:eastAsia="lv-LV"/>
        </w:rPr>
      </w:pPr>
    </w:p>
    <w:p w14:paraId="13EC8383" w14:textId="77777777" w:rsidR="003721EE" w:rsidRDefault="003721EE" w:rsidP="00A14AD2">
      <w:pPr>
        <w:spacing w:after="240" w:line="276" w:lineRule="auto"/>
        <w:jc w:val="both"/>
        <w:rPr>
          <w:szCs w:val="24"/>
          <w:lang w:eastAsia="lv-LV"/>
        </w:rPr>
      </w:pPr>
    </w:p>
    <w:p w14:paraId="737DFBCC" w14:textId="77777777" w:rsidR="003721EE" w:rsidRDefault="003721EE" w:rsidP="00A14AD2">
      <w:pPr>
        <w:spacing w:after="240" w:line="276" w:lineRule="auto"/>
        <w:jc w:val="both"/>
        <w:rPr>
          <w:szCs w:val="24"/>
          <w:lang w:eastAsia="lv-LV"/>
        </w:rPr>
      </w:pPr>
    </w:p>
    <w:p w14:paraId="4331BEB0" w14:textId="77777777" w:rsidR="003721EE" w:rsidRDefault="003721EE" w:rsidP="00A14AD2">
      <w:pPr>
        <w:spacing w:after="240" w:line="276" w:lineRule="auto"/>
        <w:jc w:val="both"/>
        <w:rPr>
          <w:szCs w:val="24"/>
          <w:lang w:eastAsia="lv-LV"/>
        </w:rPr>
      </w:pPr>
    </w:p>
    <w:p w14:paraId="666D5042" w14:textId="77777777" w:rsidR="003721EE" w:rsidRDefault="003721EE" w:rsidP="00A14AD2">
      <w:pPr>
        <w:spacing w:after="240" w:line="276" w:lineRule="auto"/>
        <w:jc w:val="both"/>
        <w:rPr>
          <w:szCs w:val="24"/>
          <w:lang w:eastAsia="lv-LV"/>
        </w:rPr>
      </w:pPr>
    </w:p>
    <w:p w14:paraId="0AACEA84" w14:textId="77777777" w:rsidR="003721EE" w:rsidRDefault="003721EE" w:rsidP="00A14AD2">
      <w:pPr>
        <w:spacing w:after="240" w:line="276" w:lineRule="auto"/>
        <w:jc w:val="both"/>
        <w:rPr>
          <w:szCs w:val="24"/>
          <w:lang w:eastAsia="lv-LV"/>
        </w:rPr>
      </w:pPr>
    </w:p>
    <w:p w14:paraId="35BC983E" w14:textId="373DE87D" w:rsidR="00A14AD2" w:rsidRPr="00B57653" w:rsidRDefault="00A14AD2" w:rsidP="00A14AD2">
      <w:pPr>
        <w:spacing w:after="240" w:line="276" w:lineRule="auto"/>
        <w:jc w:val="both"/>
        <w:rPr>
          <w:i/>
          <w:color w:val="000000" w:themeColor="text1"/>
          <w:szCs w:val="24"/>
          <w:lang w:eastAsia="lv-LV"/>
        </w:rPr>
      </w:pPr>
      <w:r w:rsidRPr="00B57653">
        <w:rPr>
          <w:szCs w:val="24"/>
          <w:lang w:eastAsia="lv-LV"/>
        </w:rPr>
        <w:lastRenderedPageBreak/>
        <w:t>Grafiks Nr.</w:t>
      </w:r>
      <w:r w:rsidR="00EE300C">
        <w:rPr>
          <w:szCs w:val="24"/>
          <w:lang w:eastAsia="lv-LV"/>
        </w:rPr>
        <w:t>5</w:t>
      </w:r>
      <w:r w:rsidRPr="00B57653">
        <w:rPr>
          <w:szCs w:val="24"/>
          <w:lang w:eastAsia="lv-LV"/>
        </w:rPr>
        <w:t xml:space="preserve"> „</w:t>
      </w:r>
      <w:r w:rsidRPr="00B57653">
        <w:rPr>
          <w:i/>
          <w:color w:val="000000" w:themeColor="text1"/>
          <w:szCs w:val="24"/>
          <w:lang w:eastAsia="lv-LV"/>
        </w:rPr>
        <w:t>EK iesniegtie starpposma maksājumu pieprasījumi un no EK saņemtie starpposma un avansu maksājumi līdz 2014.gada 3</w:t>
      </w:r>
      <w:r w:rsidR="00BE5D86" w:rsidRPr="00B57653">
        <w:rPr>
          <w:i/>
          <w:color w:val="000000" w:themeColor="text1"/>
          <w:szCs w:val="24"/>
          <w:lang w:eastAsia="lv-LV"/>
        </w:rPr>
        <w:t>1</w:t>
      </w:r>
      <w:r w:rsidRPr="00B57653">
        <w:rPr>
          <w:i/>
          <w:color w:val="000000" w:themeColor="text1"/>
          <w:szCs w:val="24"/>
          <w:lang w:eastAsia="lv-LV"/>
        </w:rPr>
        <w:t>.</w:t>
      </w:r>
      <w:r w:rsidR="00BE5D86" w:rsidRPr="00B57653">
        <w:rPr>
          <w:i/>
          <w:color w:val="000000" w:themeColor="text1"/>
          <w:szCs w:val="24"/>
          <w:lang w:eastAsia="lv-LV"/>
        </w:rPr>
        <w:t>dec</w:t>
      </w:r>
      <w:r w:rsidRPr="00B57653">
        <w:rPr>
          <w:i/>
          <w:color w:val="000000" w:themeColor="text1"/>
          <w:szCs w:val="24"/>
          <w:lang w:eastAsia="lv-LV"/>
        </w:rPr>
        <w:t xml:space="preserve">embrim, milj. euro (% no pieejamā ES fondu finansējuma)” </w:t>
      </w:r>
    </w:p>
    <w:p w14:paraId="6958802D" w14:textId="22854A79" w:rsidR="00A14AD2" w:rsidRPr="00B57653" w:rsidRDefault="006F74F8" w:rsidP="00575688">
      <w:pPr>
        <w:spacing w:after="240" w:line="276" w:lineRule="auto"/>
        <w:jc w:val="both"/>
        <w:rPr>
          <w:i/>
          <w:color w:val="000000" w:themeColor="text1"/>
          <w:szCs w:val="24"/>
          <w:lang w:eastAsia="lv-LV"/>
        </w:rPr>
      </w:pPr>
      <w:r w:rsidRPr="00B57653">
        <w:rPr>
          <w:noProof/>
          <w:lang w:eastAsia="lv-LV"/>
        </w:rPr>
        <w:drawing>
          <wp:inline distT="0" distB="0" distL="0" distR="0" wp14:anchorId="6E86C538" wp14:editId="359C501E">
            <wp:extent cx="5391150" cy="314325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80779A0" w14:textId="038543E7" w:rsidR="00A14AD2" w:rsidRPr="00B57653" w:rsidRDefault="00A14AD2" w:rsidP="008A6332">
      <w:pPr>
        <w:spacing w:before="120" w:after="120" w:line="276" w:lineRule="auto"/>
        <w:jc w:val="both"/>
        <w:rPr>
          <w:color w:val="000000" w:themeColor="text1"/>
          <w:szCs w:val="24"/>
        </w:rPr>
      </w:pPr>
      <w:r w:rsidRPr="00B57653">
        <w:rPr>
          <w:color w:val="000000" w:themeColor="text1"/>
          <w:szCs w:val="24"/>
        </w:rPr>
        <w:t xml:space="preserve">2014.gadā kopumā no EK </w:t>
      </w:r>
      <w:r w:rsidR="004253FE" w:rsidRPr="00B57653">
        <w:rPr>
          <w:color w:val="000000" w:themeColor="text1"/>
          <w:szCs w:val="24"/>
        </w:rPr>
        <w:t xml:space="preserve">pieprasīti maksājumi </w:t>
      </w:r>
      <w:r w:rsidR="00E05112" w:rsidRPr="00B57653">
        <w:rPr>
          <w:color w:val="000000" w:themeColor="text1"/>
          <w:szCs w:val="24"/>
        </w:rPr>
        <w:t>742,8</w:t>
      </w:r>
      <w:r w:rsidR="004253FE" w:rsidRPr="00B57653">
        <w:rPr>
          <w:color w:val="000000" w:themeColor="text1"/>
          <w:szCs w:val="24"/>
        </w:rPr>
        <w:t xml:space="preserve"> milj. </w:t>
      </w:r>
      <w:r w:rsidR="004253FE" w:rsidRPr="00B57653">
        <w:rPr>
          <w:i/>
          <w:color w:val="000000" w:themeColor="text1"/>
          <w:szCs w:val="24"/>
        </w:rPr>
        <w:t xml:space="preserve">euro </w:t>
      </w:r>
      <w:r w:rsidR="004253FE" w:rsidRPr="00B57653">
        <w:rPr>
          <w:color w:val="000000" w:themeColor="text1"/>
          <w:szCs w:val="24"/>
        </w:rPr>
        <w:t>(</w:t>
      </w:r>
      <w:r w:rsidR="00E05112" w:rsidRPr="00B57653">
        <w:rPr>
          <w:color w:val="000000" w:themeColor="text1"/>
          <w:szCs w:val="24"/>
        </w:rPr>
        <w:t>16,4</w:t>
      </w:r>
      <w:r w:rsidR="004253FE" w:rsidRPr="00B57653">
        <w:rPr>
          <w:color w:val="000000" w:themeColor="text1"/>
          <w:szCs w:val="24"/>
        </w:rPr>
        <w:t xml:space="preserve">%), no kuriem jau </w:t>
      </w:r>
      <w:r w:rsidR="00C71796">
        <w:rPr>
          <w:color w:val="000000" w:themeColor="text1"/>
          <w:szCs w:val="24"/>
        </w:rPr>
        <w:t>saņemti</w:t>
      </w:r>
      <w:r w:rsidRPr="00B57653">
        <w:rPr>
          <w:color w:val="000000" w:themeColor="text1"/>
          <w:szCs w:val="24"/>
        </w:rPr>
        <w:t xml:space="preserve"> par </w:t>
      </w:r>
      <w:r w:rsidR="00E05112" w:rsidRPr="00B57653">
        <w:rPr>
          <w:color w:val="000000" w:themeColor="text1"/>
          <w:szCs w:val="24"/>
        </w:rPr>
        <w:t>692,1</w:t>
      </w:r>
      <w:r w:rsidRPr="00B57653">
        <w:rPr>
          <w:color w:val="000000" w:themeColor="text1"/>
          <w:szCs w:val="24"/>
        </w:rPr>
        <w:t xml:space="preserve"> milj. </w:t>
      </w:r>
      <w:r w:rsidRPr="00B57653">
        <w:rPr>
          <w:i/>
          <w:color w:val="000000" w:themeColor="text1"/>
          <w:szCs w:val="24"/>
        </w:rPr>
        <w:t>euro</w:t>
      </w:r>
      <w:r w:rsidRPr="00B57653">
        <w:rPr>
          <w:color w:val="000000" w:themeColor="text1"/>
          <w:szCs w:val="24"/>
        </w:rPr>
        <w:t xml:space="preserve"> jeb </w:t>
      </w:r>
      <w:r w:rsidR="00E05112" w:rsidRPr="00B57653">
        <w:rPr>
          <w:color w:val="000000" w:themeColor="text1"/>
          <w:szCs w:val="24"/>
        </w:rPr>
        <w:t>15,3</w:t>
      </w:r>
      <w:r w:rsidRPr="00B57653">
        <w:rPr>
          <w:color w:val="000000" w:themeColor="text1"/>
          <w:szCs w:val="24"/>
        </w:rPr>
        <w:t xml:space="preserve">% no pieejamā ES fondu finansējuma. </w:t>
      </w:r>
      <w:r w:rsidR="00BE2899">
        <w:rPr>
          <w:color w:val="000000" w:themeColor="text1"/>
          <w:szCs w:val="24"/>
        </w:rPr>
        <w:t>N</w:t>
      </w:r>
      <w:r w:rsidR="004253FE" w:rsidRPr="00B57653">
        <w:rPr>
          <w:color w:val="000000" w:themeColor="text1"/>
          <w:szCs w:val="24"/>
        </w:rPr>
        <w:t xml:space="preserve">eatmaksāti ir tikai pēdējie iesniegtie maksājumu pieprasījumi. </w:t>
      </w:r>
      <w:r w:rsidRPr="00B57653">
        <w:rPr>
          <w:color w:val="000000" w:themeColor="text1"/>
          <w:szCs w:val="24"/>
        </w:rPr>
        <w:t xml:space="preserve">Dalījumā pa fondiem – KF ietvaros saņemti </w:t>
      </w:r>
      <w:r w:rsidR="00E05112" w:rsidRPr="00B57653">
        <w:rPr>
          <w:color w:val="000000" w:themeColor="text1"/>
          <w:szCs w:val="24"/>
        </w:rPr>
        <w:t>305,0</w:t>
      </w:r>
      <w:r w:rsidRPr="00B57653">
        <w:rPr>
          <w:color w:val="000000" w:themeColor="text1"/>
          <w:szCs w:val="24"/>
        </w:rPr>
        <w:t xml:space="preserve"> milj. </w:t>
      </w:r>
      <w:r w:rsidRPr="00B57653">
        <w:rPr>
          <w:i/>
          <w:color w:val="000000" w:themeColor="text1"/>
          <w:szCs w:val="24"/>
        </w:rPr>
        <w:t>euro</w:t>
      </w:r>
      <w:r w:rsidRPr="00B57653">
        <w:rPr>
          <w:color w:val="000000" w:themeColor="text1"/>
          <w:szCs w:val="24"/>
        </w:rPr>
        <w:t xml:space="preserve"> (1</w:t>
      </w:r>
      <w:r w:rsidR="00E05112" w:rsidRPr="00B57653">
        <w:rPr>
          <w:color w:val="000000" w:themeColor="text1"/>
          <w:szCs w:val="24"/>
        </w:rPr>
        <w:t>9,8</w:t>
      </w:r>
      <w:r w:rsidRPr="00B57653">
        <w:rPr>
          <w:color w:val="000000" w:themeColor="text1"/>
          <w:szCs w:val="24"/>
        </w:rPr>
        <w:t>%), ERAF – 3</w:t>
      </w:r>
      <w:r w:rsidR="00E05112" w:rsidRPr="00B57653">
        <w:rPr>
          <w:color w:val="000000" w:themeColor="text1"/>
          <w:szCs w:val="24"/>
        </w:rPr>
        <w:t>87,2</w:t>
      </w:r>
      <w:r w:rsidRPr="00B57653">
        <w:rPr>
          <w:color w:val="000000" w:themeColor="text1"/>
          <w:szCs w:val="24"/>
        </w:rPr>
        <w:t xml:space="preserve"> milj. </w:t>
      </w:r>
      <w:r w:rsidRPr="00B57653">
        <w:rPr>
          <w:i/>
          <w:color w:val="000000" w:themeColor="text1"/>
          <w:szCs w:val="24"/>
        </w:rPr>
        <w:t>euro</w:t>
      </w:r>
      <w:r w:rsidRPr="00B57653">
        <w:rPr>
          <w:color w:val="000000" w:themeColor="text1"/>
          <w:szCs w:val="24"/>
        </w:rPr>
        <w:t xml:space="preserve"> (1</w:t>
      </w:r>
      <w:r w:rsidR="00E05112" w:rsidRPr="00B57653">
        <w:rPr>
          <w:color w:val="000000" w:themeColor="text1"/>
          <w:szCs w:val="24"/>
        </w:rPr>
        <w:t>6,1</w:t>
      </w:r>
      <w:r w:rsidRPr="00B57653">
        <w:rPr>
          <w:color w:val="000000" w:themeColor="text1"/>
          <w:szCs w:val="24"/>
        </w:rPr>
        <w:t xml:space="preserve">%). ESF ietvaros </w:t>
      </w:r>
      <w:r w:rsidR="00E05112" w:rsidRPr="00B57653">
        <w:rPr>
          <w:color w:val="000000" w:themeColor="text1"/>
          <w:szCs w:val="24"/>
        </w:rPr>
        <w:t xml:space="preserve">kopumā </w:t>
      </w:r>
      <w:r w:rsidRPr="00B57653">
        <w:rPr>
          <w:color w:val="000000" w:themeColor="text1"/>
          <w:szCs w:val="24"/>
        </w:rPr>
        <w:t>sa</w:t>
      </w:r>
      <w:r w:rsidR="00A1453F" w:rsidRPr="00B57653">
        <w:rPr>
          <w:color w:val="000000" w:themeColor="text1"/>
          <w:szCs w:val="24"/>
        </w:rPr>
        <w:t xml:space="preserve">ņemts maksimāli iespējamais finansējuma apjoms līdz noslēguma maksājuma iesniegšanai – 553,9 milj. </w:t>
      </w:r>
      <w:r w:rsidR="00A1453F" w:rsidRPr="00B57653">
        <w:rPr>
          <w:i/>
          <w:color w:val="000000" w:themeColor="text1"/>
          <w:szCs w:val="24"/>
        </w:rPr>
        <w:t>euro</w:t>
      </w:r>
      <w:r w:rsidR="00A1453F" w:rsidRPr="00B57653">
        <w:rPr>
          <w:color w:val="000000" w:themeColor="text1"/>
          <w:szCs w:val="24"/>
        </w:rPr>
        <w:t xml:space="preserve"> jeb 95,0%.</w:t>
      </w:r>
      <w:r w:rsidRPr="00B57653">
        <w:rPr>
          <w:color w:val="000000" w:themeColor="text1"/>
          <w:szCs w:val="24"/>
        </w:rPr>
        <w:t xml:space="preserve"> </w:t>
      </w:r>
    </w:p>
    <w:p w14:paraId="7D06A2F1" w14:textId="77777777" w:rsidR="009A0CC9" w:rsidRPr="00B57653" w:rsidRDefault="009A0CC9" w:rsidP="009A0CC9">
      <w:pPr>
        <w:pStyle w:val="Default"/>
        <w:spacing w:after="240" w:line="276" w:lineRule="auto"/>
        <w:rPr>
          <w:color w:val="000000" w:themeColor="text1"/>
        </w:rPr>
      </w:pPr>
      <w:r w:rsidRPr="00B57653">
        <w:rPr>
          <w:b/>
          <w:i/>
          <w:color w:val="000000" w:themeColor="text1"/>
        </w:rPr>
        <w:t>Latvija starp citām valstīm:</w:t>
      </w:r>
    </w:p>
    <w:p w14:paraId="02A5EF71" w14:textId="7074B326" w:rsidR="009A0CC9" w:rsidRPr="00B57653" w:rsidRDefault="009A0CC9" w:rsidP="009A0CC9">
      <w:pPr>
        <w:spacing w:before="120" w:after="120" w:line="276" w:lineRule="auto"/>
        <w:jc w:val="both"/>
        <w:rPr>
          <w:color w:val="000000" w:themeColor="text1"/>
          <w:szCs w:val="24"/>
          <w:highlight w:val="yellow"/>
        </w:rPr>
      </w:pPr>
      <w:r w:rsidRPr="00B57653">
        <w:rPr>
          <w:color w:val="000000" w:themeColor="text1"/>
          <w:szCs w:val="24"/>
        </w:rPr>
        <w:t>Salīdzinot ES fondu finanšu rādītājus starp jaunajām ES dalībvalstīm, ņemot vērā aktuālākos EK datus par EK veiktajiem kopējiem maksājumiem ES dalībvalstīm līdz 201</w:t>
      </w:r>
      <w:r w:rsidR="00F6264C" w:rsidRPr="00B57653">
        <w:rPr>
          <w:color w:val="000000" w:themeColor="text1"/>
          <w:szCs w:val="24"/>
        </w:rPr>
        <w:t>5</w:t>
      </w:r>
      <w:r w:rsidRPr="00B57653">
        <w:rPr>
          <w:color w:val="000000" w:themeColor="text1"/>
          <w:szCs w:val="24"/>
        </w:rPr>
        <w:t>.gada 1</w:t>
      </w:r>
      <w:r w:rsidR="00F6264C" w:rsidRPr="00B57653">
        <w:rPr>
          <w:color w:val="000000" w:themeColor="text1"/>
          <w:szCs w:val="24"/>
        </w:rPr>
        <w:t>1</w:t>
      </w:r>
      <w:r w:rsidRPr="00B57653">
        <w:rPr>
          <w:color w:val="000000" w:themeColor="text1"/>
          <w:szCs w:val="24"/>
        </w:rPr>
        <w:t>.</w:t>
      </w:r>
      <w:r w:rsidR="00F6264C" w:rsidRPr="00B57653">
        <w:rPr>
          <w:color w:val="000000" w:themeColor="text1"/>
          <w:szCs w:val="24"/>
        </w:rPr>
        <w:t>janvārim</w:t>
      </w:r>
      <w:r w:rsidRPr="003A7456">
        <w:rPr>
          <w:color w:val="000000" w:themeColor="text1"/>
          <w:szCs w:val="24"/>
        </w:rPr>
        <w:t xml:space="preserve">, </w:t>
      </w:r>
      <w:r w:rsidRPr="00434E84">
        <w:rPr>
          <w:color w:val="000000" w:themeColor="text1"/>
          <w:szCs w:val="24"/>
        </w:rPr>
        <w:t xml:space="preserve">Latvija ir </w:t>
      </w:r>
      <w:r w:rsidR="003A7456" w:rsidRPr="00434E84">
        <w:rPr>
          <w:color w:val="000000" w:themeColor="text1"/>
          <w:szCs w:val="24"/>
        </w:rPr>
        <w:t>6</w:t>
      </w:r>
      <w:r w:rsidRPr="00434E84">
        <w:rPr>
          <w:color w:val="000000" w:themeColor="text1"/>
          <w:szCs w:val="24"/>
        </w:rPr>
        <w:t>.vietā starp jaunajām dalībvalstīm (</w:t>
      </w:r>
      <w:r w:rsidR="00434E84" w:rsidRPr="00434E84">
        <w:rPr>
          <w:color w:val="000000" w:themeColor="text1"/>
          <w:szCs w:val="24"/>
        </w:rPr>
        <w:t>kritums par divām vietām).</w:t>
      </w:r>
      <w:r w:rsidRPr="00434E84">
        <w:rPr>
          <w:color w:val="000000" w:themeColor="text1"/>
          <w:szCs w:val="24"/>
        </w:rPr>
        <w:t xml:space="preserve"> Savukārt ESF ietvaros</w:t>
      </w:r>
      <w:r w:rsidRPr="00B57653">
        <w:rPr>
          <w:color w:val="000000" w:themeColor="text1"/>
          <w:szCs w:val="24"/>
        </w:rPr>
        <w:t xml:space="preserve"> 2014.gada </w:t>
      </w:r>
      <w:r w:rsidR="00BE5D86" w:rsidRPr="00B57653">
        <w:rPr>
          <w:color w:val="000000" w:themeColor="text1"/>
          <w:szCs w:val="24"/>
        </w:rPr>
        <w:t>4</w:t>
      </w:r>
      <w:r w:rsidRPr="00B57653">
        <w:rPr>
          <w:color w:val="000000" w:themeColor="text1"/>
          <w:szCs w:val="24"/>
        </w:rPr>
        <w:t xml:space="preserve">.cetuksnī </w:t>
      </w:r>
      <w:r w:rsidR="00BE5D86" w:rsidRPr="00B57653">
        <w:rPr>
          <w:color w:val="000000" w:themeColor="text1"/>
          <w:szCs w:val="24"/>
        </w:rPr>
        <w:t xml:space="preserve">visām Baltijas valstīm </w:t>
      </w:r>
      <w:r w:rsidRPr="00B57653">
        <w:rPr>
          <w:color w:val="000000" w:themeColor="text1"/>
          <w:szCs w:val="24"/>
        </w:rPr>
        <w:t xml:space="preserve">veikti maksimāli iespējamie starpposma </w:t>
      </w:r>
      <w:r w:rsidRPr="00B57653">
        <w:rPr>
          <w:szCs w:val="24"/>
        </w:rPr>
        <w:t>maksājumi 95,0% apmērā</w:t>
      </w:r>
      <w:r w:rsidRPr="00B57653">
        <w:rPr>
          <w:color w:val="000000" w:themeColor="text1"/>
          <w:szCs w:val="24"/>
        </w:rPr>
        <w:t xml:space="preserve">. Detalizētu informāciju skatīt </w:t>
      </w:r>
      <w:hyperlink r:id="rId24" w:history="1">
        <w:r w:rsidRPr="00B57653">
          <w:rPr>
            <w:rStyle w:val="Hyperlink"/>
            <w:rFonts w:cs="Times New Roman"/>
            <w:color w:val="000000" w:themeColor="text1"/>
            <w:szCs w:val="24"/>
          </w:rPr>
          <w:t xml:space="preserve">ES fondu </w:t>
        </w:r>
        <w:r w:rsidR="00467E26" w:rsidRPr="00B57653">
          <w:rPr>
            <w:rStyle w:val="Hyperlink"/>
            <w:rFonts w:cs="Times New Roman"/>
            <w:color w:val="000000" w:themeColor="text1"/>
            <w:szCs w:val="24"/>
          </w:rPr>
          <w:t>tīmekļa</w:t>
        </w:r>
        <w:r w:rsidRPr="00B57653">
          <w:rPr>
            <w:rStyle w:val="Hyperlink"/>
            <w:rFonts w:cs="Times New Roman"/>
            <w:color w:val="000000" w:themeColor="text1"/>
            <w:szCs w:val="24"/>
          </w:rPr>
          <w:t xml:space="preserve"> vietnē</w:t>
        </w:r>
      </w:hyperlink>
      <w:r w:rsidRPr="00B57653">
        <w:rPr>
          <w:rStyle w:val="FootnoteReference"/>
          <w:color w:val="000000" w:themeColor="text1"/>
          <w:szCs w:val="24"/>
        </w:rPr>
        <w:footnoteReference w:id="21"/>
      </w:r>
      <w:r w:rsidRPr="00B57653">
        <w:rPr>
          <w:color w:val="000000" w:themeColor="text1"/>
          <w:szCs w:val="24"/>
        </w:rPr>
        <w:t>.</w:t>
      </w:r>
    </w:p>
    <w:p w14:paraId="32DF6724" w14:textId="351A70A7" w:rsidR="009A0CC9" w:rsidRPr="00B57653" w:rsidRDefault="009A0CC9" w:rsidP="009A0CC9">
      <w:pPr>
        <w:spacing w:before="120" w:after="120" w:line="276" w:lineRule="auto"/>
        <w:jc w:val="both"/>
        <w:rPr>
          <w:color w:val="000000" w:themeColor="text1"/>
          <w:szCs w:val="24"/>
        </w:rPr>
      </w:pPr>
      <w:r w:rsidRPr="00927049">
        <w:rPr>
          <w:color w:val="000000" w:themeColor="text1"/>
          <w:szCs w:val="24"/>
        </w:rPr>
        <w:t xml:space="preserve">Salīdzinot Baltijas valstis, ES fondu investīcijas </w:t>
      </w:r>
      <w:r w:rsidR="00A05907" w:rsidRPr="00927049">
        <w:rPr>
          <w:color w:val="000000" w:themeColor="text1"/>
          <w:szCs w:val="24"/>
        </w:rPr>
        <w:t>tajās</w:t>
      </w:r>
      <w:r w:rsidRPr="00927049">
        <w:rPr>
          <w:color w:val="000000" w:themeColor="text1"/>
          <w:szCs w:val="24"/>
        </w:rPr>
        <w:t xml:space="preserve"> tiek veiktas līdzīgi. Latvija šobrīd ir noslēgusi līgum</w:t>
      </w:r>
      <w:r w:rsidR="00927049" w:rsidRPr="00927049">
        <w:rPr>
          <w:color w:val="000000" w:themeColor="text1"/>
          <w:szCs w:val="24"/>
        </w:rPr>
        <w:t>us par projektu īstenošanu 104,9</w:t>
      </w:r>
      <w:r w:rsidRPr="00927049">
        <w:rPr>
          <w:color w:val="000000" w:themeColor="text1"/>
          <w:szCs w:val="24"/>
        </w:rPr>
        <w:t xml:space="preserve">% apmērā no pieejamā ES fondu finansējuma, apsteidzot pārējās Baltijas valstis, taču nedaudz atpaliek no tām veikto un no EK saņemto maksājumu apjomā. Detalizētu informāciju skatīt </w:t>
      </w:r>
      <w:r w:rsidRPr="00927049">
        <w:rPr>
          <w:color w:val="000000" w:themeColor="text1"/>
          <w:szCs w:val="24"/>
          <w:u w:val="single"/>
        </w:rPr>
        <w:t>grafikā Nr</w:t>
      </w:r>
      <w:r w:rsidR="00EE300C">
        <w:rPr>
          <w:color w:val="000000" w:themeColor="text1"/>
          <w:szCs w:val="24"/>
          <w:u w:val="single"/>
        </w:rPr>
        <w:t>.6</w:t>
      </w:r>
      <w:r w:rsidRPr="00927049">
        <w:rPr>
          <w:color w:val="000000" w:themeColor="text1"/>
          <w:szCs w:val="24"/>
        </w:rPr>
        <w:t xml:space="preserve"> un </w:t>
      </w:r>
      <w:hyperlink r:id="rId25" w:history="1">
        <w:r w:rsidRPr="00927049">
          <w:rPr>
            <w:rStyle w:val="Hyperlink"/>
            <w:rFonts w:cs="Times New Roman"/>
            <w:color w:val="000000" w:themeColor="text1"/>
            <w:szCs w:val="24"/>
          </w:rPr>
          <w:t xml:space="preserve">ES fondu </w:t>
        </w:r>
        <w:r w:rsidR="00467E26" w:rsidRPr="00927049">
          <w:rPr>
            <w:rStyle w:val="Hyperlink"/>
            <w:rFonts w:cs="Times New Roman"/>
            <w:color w:val="000000" w:themeColor="text1"/>
            <w:szCs w:val="24"/>
          </w:rPr>
          <w:t>tīmekļa</w:t>
        </w:r>
        <w:r w:rsidRPr="00927049">
          <w:rPr>
            <w:rStyle w:val="Hyperlink"/>
            <w:rFonts w:cs="Times New Roman"/>
            <w:color w:val="000000" w:themeColor="text1"/>
            <w:szCs w:val="24"/>
          </w:rPr>
          <w:t xml:space="preserve"> vietnē</w:t>
        </w:r>
      </w:hyperlink>
      <w:r w:rsidRPr="00927049">
        <w:rPr>
          <w:rStyle w:val="FootnoteReference"/>
          <w:color w:val="000000" w:themeColor="text1"/>
          <w:szCs w:val="24"/>
        </w:rPr>
        <w:footnoteReference w:id="22"/>
      </w:r>
      <w:r w:rsidRPr="00927049">
        <w:rPr>
          <w:color w:val="000000" w:themeColor="text1"/>
          <w:szCs w:val="24"/>
        </w:rPr>
        <w:t>.</w:t>
      </w:r>
    </w:p>
    <w:p w14:paraId="3F84A68C" w14:textId="4FF2C48B" w:rsidR="009A0CC9" w:rsidRPr="00B57653" w:rsidRDefault="009A0CC9" w:rsidP="009A0CC9">
      <w:pPr>
        <w:pStyle w:val="Default"/>
        <w:spacing w:after="240" w:line="276" w:lineRule="auto"/>
        <w:rPr>
          <w:i/>
          <w:color w:val="000000" w:themeColor="text1"/>
        </w:rPr>
      </w:pPr>
      <w:r w:rsidRPr="00B57653">
        <w:rPr>
          <w:color w:val="auto"/>
        </w:rPr>
        <w:lastRenderedPageBreak/>
        <w:t xml:space="preserve">Grafiks </w:t>
      </w:r>
      <w:r w:rsidR="00EE300C">
        <w:rPr>
          <w:color w:val="auto"/>
        </w:rPr>
        <w:t>Nr.6</w:t>
      </w:r>
      <w:r w:rsidRPr="00B57653">
        <w:rPr>
          <w:color w:val="auto"/>
        </w:rPr>
        <w:t xml:space="preserve"> </w:t>
      </w:r>
      <w:r w:rsidRPr="00B57653">
        <w:rPr>
          <w:i/>
          <w:color w:val="auto"/>
        </w:rPr>
        <w:t xml:space="preserve">„Baltijas </w:t>
      </w:r>
      <w:r w:rsidRPr="00B57653">
        <w:rPr>
          <w:i/>
          <w:color w:val="000000" w:themeColor="text1"/>
        </w:rPr>
        <w:t>valstu ES fondu investīciju salīdzinājums dalījuma pa fondiem līdz 2014.gada 3</w:t>
      </w:r>
      <w:r w:rsidR="00616C9D" w:rsidRPr="00B57653">
        <w:rPr>
          <w:i/>
          <w:color w:val="000000" w:themeColor="text1"/>
        </w:rPr>
        <w:t>1</w:t>
      </w:r>
      <w:r w:rsidRPr="00B57653">
        <w:rPr>
          <w:i/>
          <w:color w:val="000000" w:themeColor="text1"/>
        </w:rPr>
        <w:t>.</w:t>
      </w:r>
      <w:r w:rsidR="00616C9D" w:rsidRPr="00B57653">
        <w:rPr>
          <w:i/>
          <w:color w:val="000000" w:themeColor="text1"/>
        </w:rPr>
        <w:t>dec</w:t>
      </w:r>
      <w:r w:rsidRPr="00B57653">
        <w:rPr>
          <w:i/>
          <w:color w:val="000000" w:themeColor="text1"/>
        </w:rPr>
        <w:t xml:space="preserve">embrim (noslēgtie līgumi; % no ES fondu finansējuma), </w:t>
      </w:r>
      <w:r w:rsidRPr="00B57653">
        <w:rPr>
          <w:i/>
          <w:iCs/>
          <w:color w:val="000000" w:themeColor="text1"/>
        </w:rPr>
        <w:t>progress pret datiem</w:t>
      </w:r>
      <w:r w:rsidRPr="00B57653">
        <w:rPr>
          <w:i/>
          <w:color w:val="000000" w:themeColor="text1"/>
        </w:rPr>
        <w:t xml:space="preserve"> līdz 2014.gada </w:t>
      </w:r>
      <w:r w:rsidRPr="00B57653">
        <w:rPr>
          <w:rFonts w:eastAsia="EUAlbertina-Bold-Identity-H"/>
          <w:i/>
          <w:color w:val="000000" w:themeColor="text1"/>
        </w:rPr>
        <w:t>30.</w:t>
      </w:r>
      <w:r w:rsidR="00616C9D" w:rsidRPr="00B57653">
        <w:rPr>
          <w:rFonts w:eastAsia="EUAlbertina-Bold-Identity-H"/>
          <w:i/>
          <w:color w:val="000000" w:themeColor="text1"/>
        </w:rPr>
        <w:t>septembrim</w:t>
      </w:r>
      <w:r w:rsidRPr="00B57653">
        <w:rPr>
          <w:i/>
          <w:color w:val="000000" w:themeColor="text1"/>
        </w:rPr>
        <w:t>, %.”</w:t>
      </w:r>
    </w:p>
    <w:p w14:paraId="7F145822" w14:textId="1F37D9B7" w:rsidR="00C90CE5" w:rsidRPr="00B57653" w:rsidRDefault="006E1438" w:rsidP="009A0CC9">
      <w:pPr>
        <w:pStyle w:val="Default"/>
        <w:spacing w:after="240" w:line="276" w:lineRule="auto"/>
        <w:rPr>
          <w:color w:val="000000" w:themeColor="text1"/>
        </w:rPr>
      </w:pPr>
      <w:r>
        <w:rPr>
          <w:noProof/>
        </w:rPr>
        <w:drawing>
          <wp:inline distT="0" distB="0" distL="0" distR="0" wp14:anchorId="3CA7FFBF" wp14:editId="074646EF">
            <wp:extent cx="5562600" cy="2842260"/>
            <wp:effectExtent l="0" t="0" r="0" b="1524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15E36FD" w14:textId="6C080362" w:rsidR="00656AC3" w:rsidRPr="00656AC3" w:rsidRDefault="003B70CB" w:rsidP="008A6332">
      <w:pPr>
        <w:spacing w:before="120" w:after="120" w:line="276" w:lineRule="auto"/>
        <w:jc w:val="both"/>
        <w:rPr>
          <w:color w:val="000000" w:themeColor="text1"/>
          <w:szCs w:val="24"/>
        </w:rPr>
      </w:pPr>
      <w:r>
        <w:rPr>
          <w:color w:val="000000" w:themeColor="text1"/>
          <w:szCs w:val="24"/>
        </w:rPr>
        <w:t xml:space="preserve">Latvijai kopumā noslēgto līgumu apjoms pārsniedz 100%, jo ir pieejamas virssaistības. Savukārt Igaunijai nav virssasitību, bet Lietuvai tikai ESF. </w:t>
      </w:r>
    </w:p>
    <w:p w14:paraId="2594F829" w14:textId="0B706229" w:rsidR="00785BA7" w:rsidRPr="00B57653" w:rsidRDefault="0065475C" w:rsidP="008A6332">
      <w:pPr>
        <w:spacing w:before="120" w:after="120" w:line="276" w:lineRule="auto"/>
        <w:jc w:val="both"/>
        <w:rPr>
          <w:b/>
          <w:i/>
          <w:color w:val="000000" w:themeColor="text1"/>
          <w:szCs w:val="24"/>
        </w:rPr>
      </w:pPr>
      <w:r w:rsidRPr="00B57653">
        <w:rPr>
          <w:b/>
          <w:i/>
          <w:color w:val="000000" w:themeColor="text1"/>
          <w:szCs w:val="24"/>
        </w:rPr>
        <w:t>Maksājumu m</w:t>
      </w:r>
      <w:r w:rsidR="00785BA7" w:rsidRPr="00B57653">
        <w:rPr>
          <w:b/>
          <w:i/>
          <w:color w:val="000000" w:themeColor="text1"/>
          <w:szCs w:val="24"/>
        </w:rPr>
        <w:t>ērķu sasniegšana:</w:t>
      </w:r>
    </w:p>
    <w:p w14:paraId="0E35D6B9" w14:textId="288E5739" w:rsidR="00A869D2" w:rsidRPr="004E4855" w:rsidRDefault="00747912" w:rsidP="004E4855">
      <w:pPr>
        <w:spacing w:before="120" w:after="120" w:line="276" w:lineRule="auto"/>
        <w:jc w:val="both"/>
        <w:rPr>
          <w:szCs w:val="24"/>
          <w:highlight w:val="yellow"/>
        </w:rPr>
      </w:pPr>
      <w:r w:rsidRPr="00B57653">
        <w:rPr>
          <w:color w:val="000000" w:themeColor="text1"/>
          <w:szCs w:val="24"/>
        </w:rPr>
        <w:t>Lai nodrošinātu sekmīgu ES fondu investīciju p</w:t>
      </w:r>
      <w:r w:rsidR="00F81652" w:rsidRPr="00B57653">
        <w:rPr>
          <w:color w:val="000000" w:themeColor="text1"/>
          <w:szCs w:val="24"/>
        </w:rPr>
        <w:t>rojektu īstenošanu, 2013.gada 19.novembra</w:t>
      </w:r>
      <w:r w:rsidRPr="00B57653">
        <w:rPr>
          <w:color w:val="000000" w:themeColor="text1"/>
          <w:szCs w:val="24"/>
        </w:rPr>
        <w:t xml:space="preserve"> MK sēdē</w:t>
      </w:r>
      <w:r w:rsidRPr="00B57653">
        <w:rPr>
          <w:color w:val="000000" w:themeColor="text1"/>
          <w:szCs w:val="24"/>
          <w:vertAlign w:val="superscript"/>
        </w:rPr>
        <w:footnoteReference w:id="23"/>
      </w:r>
      <w:r w:rsidR="00F81652" w:rsidRPr="00B57653">
        <w:rPr>
          <w:color w:val="000000" w:themeColor="text1"/>
          <w:szCs w:val="24"/>
        </w:rPr>
        <w:t xml:space="preserve"> tika apstiprināti 2014</w:t>
      </w:r>
      <w:r w:rsidRPr="00B57653">
        <w:rPr>
          <w:color w:val="000000" w:themeColor="text1"/>
          <w:szCs w:val="24"/>
        </w:rPr>
        <w:t xml:space="preserve">.gada mērķi maksājumiem finansējuma saņēmējiem par ES </w:t>
      </w:r>
      <w:r w:rsidRPr="00B57653">
        <w:rPr>
          <w:szCs w:val="24"/>
        </w:rPr>
        <w:t xml:space="preserve">līdzfinansējuma daļu kopā vismaz </w:t>
      </w:r>
      <w:r w:rsidR="00FE54C9" w:rsidRPr="00B57653">
        <w:rPr>
          <w:szCs w:val="24"/>
        </w:rPr>
        <w:t>846,8</w:t>
      </w:r>
      <w:r w:rsidR="00F81652" w:rsidRPr="00B57653">
        <w:rPr>
          <w:szCs w:val="24"/>
        </w:rPr>
        <w:t xml:space="preserve"> milj. </w:t>
      </w:r>
      <w:r w:rsidR="001266D4" w:rsidRPr="001266D4">
        <w:rPr>
          <w:i/>
          <w:szCs w:val="24"/>
        </w:rPr>
        <w:t>euro</w:t>
      </w:r>
      <w:r w:rsidR="001266D4">
        <w:rPr>
          <w:szCs w:val="24"/>
        </w:rPr>
        <w:t>, bet izpildīts tas ir 84,3% apmērā.</w:t>
      </w:r>
      <w:r w:rsidR="000A71FC" w:rsidRPr="00B57653">
        <w:rPr>
          <w:szCs w:val="24"/>
        </w:rPr>
        <w:t xml:space="preserve"> </w:t>
      </w:r>
      <w:r w:rsidR="00322502" w:rsidRPr="00B57653">
        <w:rPr>
          <w:szCs w:val="24"/>
        </w:rPr>
        <w:t>AI mērķi noteikti tā, lai izpildītu prasības deklarējamo izdevumu apjomam (n+2</w:t>
      </w:r>
      <w:r w:rsidR="00EA5586" w:rsidRPr="00B57653">
        <w:rPr>
          <w:szCs w:val="24"/>
        </w:rPr>
        <w:t>/</w:t>
      </w:r>
      <w:r w:rsidR="00322502" w:rsidRPr="00B57653">
        <w:rPr>
          <w:szCs w:val="24"/>
        </w:rPr>
        <w:t>n+3)</w:t>
      </w:r>
      <w:r w:rsidR="001266D4">
        <w:rPr>
          <w:szCs w:val="24"/>
        </w:rPr>
        <w:t>.</w:t>
      </w:r>
    </w:p>
    <w:p w14:paraId="26AD8B11" w14:textId="77777777" w:rsidR="003721EE" w:rsidRDefault="003721EE" w:rsidP="00747912">
      <w:pPr>
        <w:spacing w:after="240" w:line="276" w:lineRule="auto"/>
        <w:jc w:val="both"/>
        <w:rPr>
          <w:szCs w:val="24"/>
          <w:lang w:eastAsia="lv-LV"/>
        </w:rPr>
      </w:pPr>
    </w:p>
    <w:p w14:paraId="6ABCDF18" w14:textId="77777777" w:rsidR="003721EE" w:rsidRDefault="003721EE" w:rsidP="00747912">
      <w:pPr>
        <w:spacing w:after="240" w:line="276" w:lineRule="auto"/>
        <w:jc w:val="both"/>
        <w:rPr>
          <w:szCs w:val="24"/>
          <w:lang w:eastAsia="lv-LV"/>
        </w:rPr>
      </w:pPr>
    </w:p>
    <w:p w14:paraId="6AC78657" w14:textId="77777777" w:rsidR="003721EE" w:rsidRDefault="003721EE" w:rsidP="00747912">
      <w:pPr>
        <w:spacing w:after="240" w:line="276" w:lineRule="auto"/>
        <w:jc w:val="both"/>
        <w:rPr>
          <w:szCs w:val="24"/>
          <w:lang w:eastAsia="lv-LV"/>
        </w:rPr>
      </w:pPr>
    </w:p>
    <w:p w14:paraId="0379A3A8" w14:textId="77777777" w:rsidR="003721EE" w:rsidRDefault="003721EE" w:rsidP="00747912">
      <w:pPr>
        <w:spacing w:after="240" w:line="276" w:lineRule="auto"/>
        <w:jc w:val="both"/>
        <w:rPr>
          <w:szCs w:val="24"/>
          <w:lang w:eastAsia="lv-LV"/>
        </w:rPr>
      </w:pPr>
    </w:p>
    <w:p w14:paraId="6C8814CF" w14:textId="77777777" w:rsidR="003721EE" w:rsidRDefault="003721EE" w:rsidP="00747912">
      <w:pPr>
        <w:spacing w:after="240" w:line="276" w:lineRule="auto"/>
        <w:jc w:val="both"/>
        <w:rPr>
          <w:szCs w:val="24"/>
          <w:lang w:eastAsia="lv-LV"/>
        </w:rPr>
      </w:pPr>
    </w:p>
    <w:p w14:paraId="3B932C8E" w14:textId="77777777" w:rsidR="003721EE" w:rsidRDefault="003721EE" w:rsidP="00747912">
      <w:pPr>
        <w:spacing w:after="240" w:line="276" w:lineRule="auto"/>
        <w:jc w:val="both"/>
        <w:rPr>
          <w:szCs w:val="24"/>
          <w:lang w:eastAsia="lv-LV"/>
        </w:rPr>
      </w:pPr>
    </w:p>
    <w:p w14:paraId="18211808" w14:textId="77777777" w:rsidR="003721EE" w:rsidRDefault="003721EE" w:rsidP="00747912">
      <w:pPr>
        <w:spacing w:after="240" w:line="276" w:lineRule="auto"/>
        <w:jc w:val="both"/>
        <w:rPr>
          <w:szCs w:val="24"/>
          <w:lang w:eastAsia="lv-LV"/>
        </w:rPr>
      </w:pPr>
    </w:p>
    <w:p w14:paraId="48A3B995" w14:textId="77777777" w:rsidR="003721EE" w:rsidRDefault="003721EE" w:rsidP="00747912">
      <w:pPr>
        <w:spacing w:after="240" w:line="276" w:lineRule="auto"/>
        <w:jc w:val="both"/>
        <w:rPr>
          <w:szCs w:val="24"/>
          <w:lang w:eastAsia="lv-LV"/>
        </w:rPr>
      </w:pPr>
    </w:p>
    <w:p w14:paraId="5DB7725D" w14:textId="5CBA26BA" w:rsidR="00056C84" w:rsidRPr="00B57653" w:rsidRDefault="00747912" w:rsidP="00747912">
      <w:pPr>
        <w:spacing w:after="240" w:line="276" w:lineRule="auto"/>
        <w:jc w:val="both"/>
        <w:rPr>
          <w:i/>
          <w:color w:val="000000" w:themeColor="text1"/>
          <w:szCs w:val="24"/>
          <w:lang w:eastAsia="lv-LV"/>
        </w:rPr>
      </w:pPr>
      <w:r w:rsidRPr="00B57653">
        <w:rPr>
          <w:szCs w:val="24"/>
          <w:lang w:eastAsia="lv-LV"/>
        </w:rPr>
        <w:lastRenderedPageBreak/>
        <w:t xml:space="preserve">Grafiks </w:t>
      </w:r>
      <w:r w:rsidR="007C5AC9" w:rsidRPr="00B57653">
        <w:rPr>
          <w:szCs w:val="24"/>
          <w:lang w:eastAsia="lv-LV"/>
        </w:rPr>
        <w:t>Nr.</w:t>
      </w:r>
      <w:r w:rsidR="00EE300C">
        <w:rPr>
          <w:szCs w:val="24"/>
          <w:lang w:eastAsia="lv-LV"/>
        </w:rPr>
        <w:t>7</w:t>
      </w:r>
      <w:r w:rsidRPr="00B57653">
        <w:rPr>
          <w:szCs w:val="24"/>
          <w:lang w:eastAsia="lv-LV"/>
        </w:rPr>
        <w:t xml:space="preserve"> „</w:t>
      </w:r>
      <w:r w:rsidRPr="00B57653">
        <w:rPr>
          <w:i/>
          <w:szCs w:val="24"/>
          <w:lang w:eastAsia="lv-LV"/>
        </w:rPr>
        <w:t xml:space="preserve">Informācija </w:t>
      </w:r>
      <w:r w:rsidRPr="00B57653">
        <w:rPr>
          <w:i/>
          <w:color w:val="000000" w:themeColor="text1"/>
          <w:szCs w:val="24"/>
          <w:lang w:eastAsia="lv-LV"/>
        </w:rPr>
        <w:t>par kopējiem mērķiem maksājumiem finansējuma sa</w:t>
      </w:r>
      <w:r w:rsidR="00A338CF" w:rsidRPr="00B57653">
        <w:rPr>
          <w:i/>
          <w:color w:val="000000" w:themeColor="text1"/>
          <w:szCs w:val="24"/>
          <w:lang w:eastAsia="lv-LV"/>
        </w:rPr>
        <w:t>ņēmējiem un to izpildi 2014</w:t>
      </w:r>
      <w:r w:rsidR="00EA7051" w:rsidRPr="00B57653">
        <w:rPr>
          <w:i/>
          <w:color w:val="000000" w:themeColor="text1"/>
          <w:szCs w:val="24"/>
          <w:lang w:eastAsia="lv-LV"/>
        </w:rPr>
        <w:t>.gad</w:t>
      </w:r>
      <w:r w:rsidR="005C3834" w:rsidRPr="00B57653">
        <w:rPr>
          <w:i/>
          <w:color w:val="000000" w:themeColor="text1"/>
          <w:szCs w:val="24"/>
          <w:lang w:eastAsia="lv-LV"/>
        </w:rPr>
        <w:t>ā</w:t>
      </w:r>
      <w:r w:rsidRPr="00B57653">
        <w:rPr>
          <w:i/>
          <w:color w:val="000000" w:themeColor="text1"/>
          <w:szCs w:val="24"/>
          <w:lang w:eastAsia="lv-LV"/>
        </w:rPr>
        <w:t xml:space="preserve">; ES fondu finansējums, milj. </w:t>
      </w:r>
      <w:r w:rsidR="00A338CF" w:rsidRPr="00B57653">
        <w:rPr>
          <w:rFonts w:eastAsia="EUAlbertina-Bold-Identity-H"/>
          <w:i/>
          <w:color w:val="000000" w:themeColor="text1"/>
          <w:szCs w:val="24"/>
        </w:rPr>
        <w:t>euro</w:t>
      </w:r>
      <w:r w:rsidRPr="00B57653">
        <w:rPr>
          <w:i/>
          <w:color w:val="000000" w:themeColor="text1"/>
          <w:szCs w:val="24"/>
          <w:lang w:eastAsia="lv-LV"/>
        </w:rPr>
        <w:t xml:space="preserve"> (</w:t>
      </w:r>
      <w:r w:rsidR="002A2539" w:rsidRPr="00B57653">
        <w:rPr>
          <w:i/>
          <w:color w:val="000000" w:themeColor="text1"/>
          <w:szCs w:val="24"/>
          <w:lang w:eastAsia="lv-LV"/>
        </w:rPr>
        <w:t>gada mērķa izpilde, %</w:t>
      </w:r>
      <w:r w:rsidRPr="00B57653">
        <w:rPr>
          <w:i/>
          <w:color w:val="000000" w:themeColor="text1"/>
          <w:szCs w:val="24"/>
          <w:lang w:eastAsia="lv-LV"/>
        </w:rPr>
        <w:t>).”</w:t>
      </w:r>
    </w:p>
    <w:p w14:paraId="45B64CE2" w14:textId="3050BA35" w:rsidR="006803BB" w:rsidRPr="00B57653" w:rsidRDefault="00B533F0" w:rsidP="000F53A0">
      <w:pPr>
        <w:spacing w:after="240" w:line="276" w:lineRule="auto"/>
        <w:ind w:left="-284"/>
        <w:jc w:val="both"/>
        <w:rPr>
          <w:i/>
          <w:color w:val="000000" w:themeColor="text1"/>
          <w:szCs w:val="24"/>
          <w:lang w:eastAsia="lv-LV"/>
        </w:rPr>
      </w:pPr>
      <w:r>
        <w:rPr>
          <w:noProof/>
          <w:lang w:eastAsia="lv-LV"/>
        </w:rPr>
        <w:drawing>
          <wp:inline distT="0" distB="0" distL="0" distR="0" wp14:anchorId="24044BDD" wp14:editId="540B61AA">
            <wp:extent cx="6191250" cy="3343910"/>
            <wp:effectExtent l="0" t="0" r="0" b="889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C9FD148" w14:textId="7F6B740C" w:rsidR="00A869D2" w:rsidRPr="004E4855" w:rsidRDefault="00A447D4" w:rsidP="008A6332">
      <w:pPr>
        <w:spacing w:before="120" w:after="120" w:line="276" w:lineRule="auto"/>
        <w:jc w:val="both"/>
        <w:rPr>
          <w:color w:val="FF0000"/>
          <w:szCs w:val="24"/>
          <w:highlight w:val="yellow"/>
        </w:rPr>
      </w:pPr>
      <w:r w:rsidRPr="00B57653">
        <w:rPr>
          <w:szCs w:val="24"/>
          <w:lang w:eastAsia="lv-LV"/>
        </w:rPr>
        <w:t xml:space="preserve">Gada </w:t>
      </w:r>
      <w:r w:rsidR="00390F59" w:rsidRPr="00B57653">
        <w:rPr>
          <w:szCs w:val="24"/>
          <w:lang w:eastAsia="lv-LV"/>
        </w:rPr>
        <w:t xml:space="preserve">mērķis ERAF ietvaros </w:t>
      </w:r>
      <w:r w:rsidR="00F97994" w:rsidRPr="00B57653">
        <w:rPr>
          <w:szCs w:val="24"/>
          <w:lang w:eastAsia="lv-LV"/>
        </w:rPr>
        <w:t xml:space="preserve">ir izpildīts </w:t>
      </w:r>
      <w:r w:rsidR="00B533F0">
        <w:rPr>
          <w:szCs w:val="24"/>
          <w:lang w:eastAsia="lv-LV"/>
        </w:rPr>
        <w:t>91,7</w:t>
      </w:r>
      <w:r w:rsidR="00390F59" w:rsidRPr="00B57653">
        <w:rPr>
          <w:szCs w:val="24"/>
          <w:lang w:eastAsia="lv-LV"/>
        </w:rPr>
        <w:t>%</w:t>
      </w:r>
      <w:r w:rsidR="005D11E8" w:rsidRPr="00B57653">
        <w:rPr>
          <w:szCs w:val="24"/>
          <w:lang w:eastAsia="lv-LV"/>
        </w:rPr>
        <w:t xml:space="preserve"> apmērā</w:t>
      </w:r>
      <w:r w:rsidR="00390F59" w:rsidRPr="00B57653">
        <w:rPr>
          <w:szCs w:val="24"/>
          <w:lang w:eastAsia="lv-LV"/>
        </w:rPr>
        <w:t xml:space="preserve"> </w:t>
      </w:r>
      <w:r w:rsidR="00887076" w:rsidRPr="00B57653">
        <w:rPr>
          <w:szCs w:val="24"/>
          <w:lang w:eastAsia="lv-LV"/>
        </w:rPr>
        <w:t xml:space="preserve">, </w:t>
      </w:r>
      <w:r w:rsidR="00390F59" w:rsidRPr="00B57653">
        <w:rPr>
          <w:szCs w:val="24"/>
        </w:rPr>
        <w:t>DP “Uzņ</w:t>
      </w:r>
      <w:r w:rsidR="00A26496" w:rsidRPr="00B57653">
        <w:rPr>
          <w:szCs w:val="24"/>
        </w:rPr>
        <w:t>ēmējdarbība un inovācijas”</w:t>
      </w:r>
      <w:r w:rsidR="00887076" w:rsidRPr="00B57653">
        <w:rPr>
          <w:szCs w:val="24"/>
        </w:rPr>
        <w:t xml:space="preserve"> ietvaros p</w:t>
      </w:r>
      <w:r w:rsidR="00B533F0">
        <w:rPr>
          <w:szCs w:val="24"/>
        </w:rPr>
        <w:t>ārsniegts un ir 117,8</w:t>
      </w:r>
      <w:r w:rsidR="00283075" w:rsidRPr="00B57653">
        <w:rPr>
          <w:szCs w:val="24"/>
        </w:rPr>
        <w:t>%</w:t>
      </w:r>
      <w:r w:rsidR="00283075">
        <w:rPr>
          <w:szCs w:val="24"/>
        </w:rPr>
        <w:t>.</w:t>
      </w:r>
      <w:r w:rsidR="00283075" w:rsidRPr="00B57653">
        <w:rPr>
          <w:szCs w:val="24"/>
        </w:rPr>
        <w:t xml:space="preserve"> </w:t>
      </w:r>
      <w:r w:rsidR="00EA2B3C" w:rsidRPr="00B57653">
        <w:rPr>
          <w:szCs w:val="24"/>
        </w:rPr>
        <w:t>S</w:t>
      </w:r>
      <w:r w:rsidR="00390F59" w:rsidRPr="00B57653">
        <w:rPr>
          <w:szCs w:val="24"/>
        </w:rPr>
        <w:t xml:space="preserve">avukārt DP “Infrastruktūra un pakalpojumi” </w:t>
      </w:r>
      <w:r w:rsidR="00C64C27" w:rsidRPr="00B57653">
        <w:rPr>
          <w:szCs w:val="24"/>
        </w:rPr>
        <w:t xml:space="preserve">ERAF </w:t>
      </w:r>
      <w:r w:rsidR="00390F59" w:rsidRPr="00B57653">
        <w:rPr>
          <w:szCs w:val="24"/>
        </w:rPr>
        <w:t xml:space="preserve">mērķis izpildīts </w:t>
      </w:r>
      <w:r w:rsidR="00B533F0">
        <w:rPr>
          <w:szCs w:val="24"/>
        </w:rPr>
        <w:t>78,6</w:t>
      </w:r>
      <w:r w:rsidR="00887076" w:rsidRPr="00B57653">
        <w:rPr>
          <w:szCs w:val="24"/>
        </w:rPr>
        <w:t>%</w:t>
      </w:r>
      <w:r w:rsidR="00390F59" w:rsidRPr="00B57653">
        <w:rPr>
          <w:szCs w:val="24"/>
        </w:rPr>
        <w:t xml:space="preserve"> apmērā</w:t>
      </w:r>
      <w:r w:rsidR="00887076" w:rsidRPr="00B57653">
        <w:rPr>
          <w:szCs w:val="24"/>
        </w:rPr>
        <w:t xml:space="preserve">. </w:t>
      </w:r>
      <w:r w:rsidR="00390F59" w:rsidRPr="00B57653">
        <w:rPr>
          <w:szCs w:val="24"/>
        </w:rPr>
        <w:t xml:space="preserve">Visvājākā izpilde ir KF, kur mērķis maksājumiem izpildīts </w:t>
      </w:r>
      <w:r w:rsidR="00B533F0">
        <w:rPr>
          <w:szCs w:val="24"/>
        </w:rPr>
        <w:t>70,8</w:t>
      </w:r>
      <w:r w:rsidR="00390F59" w:rsidRPr="00B57653">
        <w:rPr>
          <w:szCs w:val="24"/>
        </w:rPr>
        <w:t xml:space="preserve">% apmērā no </w:t>
      </w:r>
      <w:r w:rsidR="00887076" w:rsidRPr="00B57653">
        <w:rPr>
          <w:szCs w:val="24"/>
        </w:rPr>
        <w:t>gada</w:t>
      </w:r>
      <w:r w:rsidR="007A7EC3" w:rsidRPr="00B57653">
        <w:rPr>
          <w:szCs w:val="24"/>
        </w:rPr>
        <w:t xml:space="preserve"> </w:t>
      </w:r>
      <w:r w:rsidR="00390F59" w:rsidRPr="000A57D8">
        <w:rPr>
          <w:szCs w:val="24"/>
        </w:rPr>
        <w:t>mērķa</w:t>
      </w:r>
      <w:r w:rsidR="000A57D8" w:rsidRPr="000A57D8">
        <w:rPr>
          <w:szCs w:val="24"/>
        </w:rPr>
        <w:t xml:space="preserve">. Daļā </w:t>
      </w:r>
      <w:r w:rsidR="00A47C80">
        <w:rPr>
          <w:szCs w:val="24"/>
        </w:rPr>
        <w:t>VARAM aktivitāšu 2014.gada mērķu izpildē vērojamas novirzes,</w:t>
      </w:r>
      <w:r w:rsidR="000A57D8" w:rsidRPr="000A57D8">
        <w:rPr>
          <w:szCs w:val="24"/>
        </w:rPr>
        <w:t xml:space="preserve"> jo, piemēram,</w:t>
      </w:r>
      <w:r w:rsidR="000A57D8" w:rsidRPr="000A57D8">
        <w:rPr>
          <w:rFonts w:eastAsia="Times New Roman"/>
          <w:bCs/>
          <w:szCs w:val="24"/>
          <w:lang w:eastAsia="lv-LV"/>
        </w:rPr>
        <w:t xml:space="preserve"> aktivitātēs </w:t>
      </w:r>
      <w:r w:rsidR="00BD1D42">
        <w:rPr>
          <w:rFonts w:eastAsia="Times New Roman"/>
          <w:bCs/>
          <w:szCs w:val="24"/>
          <w:lang w:eastAsia="lv-LV"/>
        </w:rPr>
        <w:t>“</w:t>
      </w:r>
      <w:r w:rsidR="000A57D8" w:rsidRPr="000A57D8">
        <w:rPr>
          <w:bCs/>
          <w:szCs w:val="24"/>
        </w:rPr>
        <w:t>Nacionālas un reģionālas nozīmes attīstības centru izaugsmes veicināšana līdzsvarotai valsts attīstībai</w:t>
      </w:r>
      <w:r w:rsidR="00BD1D42">
        <w:rPr>
          <w:bCs/>
          <w:szCs w:val="24"/>
        </w:rPr>
        <w:t>”</w:t>
      </w:r>
      <w:r w:rsidR="000A57D8" w:rsidRPr="000A57D8">
        <w:rPr>
          <w:bCs/>
          <w:szCs w:val="24"/>
        </w:rPr>
        <w:t xml:space="preserve"> un </w:t>
      </w:r>
      <w:r w:rsidR="00BD1D42">
        <w:rPr>
          <w:bCs/>
          <w:szCs w:val="24"/>
        </w:rPr>
        <w:t>“</w:t>
      </w:r>
      <w:hyperlink r:id="rId28" w:tgtFrame="_self" w:history="1">
        <w:r w:rsidR="000A57D8" w:rsidRPr="00B422A3">
          <w:rPr>
            <w:bCs/>
            <w:szCs w:val="24"/>
          </w:rPr>
          <w:t>Ūdenssaimniecības infrastruktūras attīstība aglomerācijās ar cilvēku ekvivalentu lielāku par 2000</w:t>
        </w:r>
      </w:hyperlink>
      <w:r w:rsidR="00BD1D42" w:rsidRPr="00B422A3">
        <w:rPr>
          <w:bCs/>
          <w:szCs w:val="24"/>
        </w:rPr>
        <w:t>”</w:t>
      </w:r>
      <w:r w:rsidR="000A57D8" w:rsidRPr="00B422A3">
        <w:rPr>
          <w:bCs/>
          <w:szCs w:val="24"/>
        </w:rPr>
        <w:t xml:space="preserve"> notiek pēdējo atlašu kārtu projektu iesniegumu vērtēšana.</w:t>
      </w:r>
      <w:r w:rsidR="00390F59" w:rsidRPr="00B422A3">
        <w:rPr>
          <w:szCs w:val="24"/>
        </w:rPr>
        <w:t xml:space="preserve"> </w:t>
      </w:r>
      <w:r w:rsidR="00147BE5" w:rsidRPr="00B422A3">
        <w:rPr>
          <w:szCs w:val="24"/>
        </w:rPr>
        <w:t>Transporta</w:t>
      </w:r>
      <w:r w:rsidR="00686E75" w:rsidRPr="00B422A3">
        <w:rPr>
          <w:szCs w:val="24"/>
        </w:rPr>
        <w:t xml:space="preserve"> jomā lielākās novirzes ir lidostu un ostas projektos, kas saistītas gan ar izmaiņām darbu laika grafikā, kā arī kavējumi maksājumu pieprasījumu apstiprināšanā, jo </w:t>
      </w:r>
      <w:r w:rsidR="00C629D8" w:rsidRPr="00B422A3">
        <w:rPr>
          <w:szCs w:val="24"/>
        </w:rPr>
        <w:t>AI</w:t>
      </w:r>
      <w:r w:rsidR="00686E75" w:rsidRPr="00B422A3">
        <w:rPr>
          <w:szCs w:val="24"/>
        </w:rPr>
        <w:t xml:space="preserve"> nebija guvusi pietiekamu pārliecību par iekļauto izdevumu pozīciju attiecināmību. </w:t>
      </w:r>
      <w:r w:rsidR="0055461A" w:rsidRPr="00B422A3">
        <w:rPr>
          <w:szCs w:val="24"/>
        </w:rPr>
        <w:t>Secināms</w:t>
      </w:r>
      <w:r w:rsidR="0055461A" w:rsidRPr="005863B3">
        <w:rPr>
          <w:szCs w:val="24"/>
        </w:rPr>
        <w:t xml:space="preserve">, ka </w:t>
      </w:r>
      <w:r w:rsidR="00C970D4" w:rsidRPr="00C970D4">
        <w:rPr>
          <w:szCs w:val="24"/>
        </w:rPr>
        <w:t>mērķu sasnieg</w:t>
      </w:r>
      <w:r w:rsidR="00C970D4" w:rsidRPr="00825141">
        <w:rPr>
          <w:szCs w:val="24"/>
        </w:rPr>
        <w:t xml:space="preserve">šanai </w:t>
      </w:r>
      <w:r w:rsidR="00C970D4" w:rsidRPr="00C970D4">
        <w:rPr>
          <w:szCs w:val="24"/>
        </w:rPr>
        <w:t>iestādēm jāuzlabo laicīga projektu risku identificēšana, novērtēšana un risku vadība, veicot aktīvu sadarbību</w:t>
      </w:r>
      <w:r w:rsidR="00C970D4" w:rsidRPr="00C970D4" w:rsidDel="00C970D4">
        <w:rPr>
          <w:szCs w:val="24"/>
        </w:rPr>
        <w:t xml:space="preserve"> </w:t>
      </w:r>
      <w:r w:rsidR="0055461A" w:rsidRPr="005863B3">
        <w:rPr>
          <w:szCs w:val="24"/>
        </w:rPr>
        <w:t>ar projektu iesniedzējiem un finansējuma saņēmējiem šajos jautājumos.</w:t>
      </w:r>
      <w:r w:rsidR="00124578" w:rsidRPr="005863B3">
        <w:rPr>
          <w:szCs w:val="24"/>
        </w:rPr>
        <w:t xml:space="preserve"> </w:t>
      </w:r>
      <w:r w:rsidR="00F97994" w:rsidRPr="00B57653">
        <w:rPr>
          <w:szCs w:val="24"/>
        </w:rPr>
        <w:t>Savukārt ESF mērķis maksājumiem</w:t>
      </w:r>
      <w:r w:rsidR="00390F59" w:rsidRPr="00B57653">
        <w:rPr>
          <w:szCs w:val="24"/>
        </w:rPr>
        <w:t xml:space="preserve"> izpild</w:t>
      </w:r>
      <w:r w:rsidR="00A82DF0" w:rsidRPr="00B57653">
        <w:rPr>
          <w:szCs w:val="24"/>
        </w:rPr>
        <w:t xml:space="preserve">īts </w:t>
      </w:r>
      <w:r w:rsidR="000F53A0" w:rsidRPr="00B57653">
        <w:rPr>
          <w:szCs w:val="24"/>
        </w:rPr>
        <w:t>10</w:t>
      </w:r>
      <w:r w:rsidR="00887076" w:rsidRPr="00B57653">
        <w:rPr>
          <w:szCs w:val="24"/>
        </w:rPr>
        <w:t>8,1</w:t>
      </w:r>
      <w:r w:rsidR="00390F59" w:rsidRPr="00B57653">
        <w:rPr>
          <w:szCs w:val="24"/>
        </w:rPr>
        <w:t>% apmērā</w:t>
      </w:r>
      <w:r w:rsidR="00887076" w:rsidRPr="00B57653">
        <w:rPr>
          <w:szCs w:val="24"/>
        </w:rPr>
        <w:t>.</w:t>
      </w:r>
      <w:r w:rsidR="00390F59" w:rsidRPr="00B57653">
        <w:rPr>
          <w:szCs w:val="24"/>
        </w:rPr>
        <w:t xml:space="preserve"> </w:t>
      </w:r>
    </w:p>
    <w:p w14:paraId="4C135854" w14:textId="77777777" w:rsidR="003721EE" w:rsidRDefault="003721EE" w:rsidP="008A6332">
      <w:pPr>
        <w:spacing w:before="120" w:after="120" w:line="276" w:lineRule="auto"/>
        <w:jc w:val="both"/>
        <w:rPr>
          <w:szCs w:val="24"/>
          <w:lang w:eastAsia="lv-LV"/>
        </w:rPr>
      </w:pPr>
    </w:p>
    <w:p w14:paraId="1D306822" w14:textId="77777777" w:rsidR="003721EE" w:rsidRDefault="003721EE" w:rsidP="008A6332">
      <w:pPr>
        <w:spacing w:before="120" w:after="120" w:line="276" w:lineRule="auto"/>
        <w:jc w:val="both"/>
        <w:rPr>
          <w:szCs w:val="24"/>
          <w:lang w:eastAsia="lv-LV"/>
        </w:rPr>
      </w:pPr>
    </w:p>
    <w:p w14:paraId="65179D1E" w14:textId="77777777" w:rsidR="003721EE" w:rsidRDefault="003721EE" w:rsidP="008A6332">
      <w:pPr>
        <w:spacing w:before="120" w:after="120" w:line="276" w:lineRule="auto"/>
        <w:jc w:val="both"/>
        <w:rPr>
          <w:szCs w:val="24"/>
          <w:lang w:eastAsia="lv-LV"/>
        </w:rPr>
      </w:pPr>
    </w:p>
    <w:p w14:paraId="55F36DA6" w14:textId="77777777" w:rsidR="003721EE" w:rsidRDefault="003721EE" w:rsidP="008A6332">
      <w:pPr>
        <w:spacing w:before="120" w:after="120" w:line="276" w:lineRule="auto"/>
        <w:jc w:val="both"/>
        <w:rPr>
          <w:szCs w:val="24"/>
          <w:lang w:eastAsia="lv-LV"/>
        </w:rPr>
      </w:pPr>
    </w:p>
    <w:p w14:paraId="76C26CC4" w14:textId="77777777" w:rsidR="003721EE" w:rsidRDefault="003721EE" w:rsidP="008A6332">
      <w:pPr>
        <w:spacing w:before="120" w:after="120" w:line="276" w:lineRule="auto"/>
        <w:jc w:val="both"/>
        <w:rPr>
          <w:szCs w:val="24"/>
          <w:lang w:eastAsia="lv-LV"/>
        </w:rPr>
      </w:pPr>
    </w:p>
    <w:p w14:paraId="1BD397E3" w14:textId="77777777" w:rsidR="003721EE" w:rsidRDefault="003721EE" w:rsidP="008A6332">
      <w:pPr>
        <w:spacing w:before="120" w:after="120" w:line="276" w:lineRule="auto"/>
        <w:jc w:val="both"/>
        <w:rPr>
          <w:szCs w:val="24"/>
          <w:lang w:eastAsia="lv-LV"/>
        </w:rPr>
      </w:pPr>
    </w:p>
    <w:p w14:paraId="5942EBF2" w14:textId="1B73CEBB" w:rsidR="00747912" w:rsidRPr="00B57653" w:rsidRDefault="00747912" w:rsidP="008A6332">
      <w:pPr>
        <w:spacing w:before="120" w:after="120" w:line="276" w:lineRule="auto"/>
        <w:jc w:val="both"/>
        <w:rPr>
          <w:i/>
          <w:color w:val="000000" w:themeColor="text1"/>
          <w:szCs w:val="24"/>
          <w:lang w:eastAsia="lv-LV"/>
        </w:rPr>
      </w:pPr>
      <w:r w:rsidRPr="00B57653">
        <w:rPr>
          <w:szCs w:val="24"/>
          <w:lang w:eastAsia="lv-LV"/>
        </w:rPr>
        <w:lastRenderedPageBreak/>
        <w:t xml:space="preserve">Grafiks </w:t>
      </w:r>
      <w:r w:rsidR="00EE300C">
        <w:rPr>
          <w:szCs w:val="24"/>
          <w:lang w:eastAsia="lv-LV"/>
        </w:rPr>
        <w:t>Nr.8</w:t>
      </w:r>
      <w:r w:rsidRPr="00B57653">
        <w:rPr>
          <w:szCs w:val="24"/>
          <w:lang w:eastAsia="lv-LV"/>
        </w:rPr>
        <w:t xml:space="preserve"> </w:t>
      </w:r>
      <w:r w:rsidRPr="00B57653">
        <w:rPr>
          <w:i/>
          <w:szCs w:val="24"/>
          <w:lang w:eastAsia="lv-LV"/>
        </w:rPr>
        <w:t xml:space="preserve">„Informācija </w:t>
      </w:r>
      <w:r w:rsidRPr="00B57653">
        <w:rPr>
          <w:i/>
          <w:color w:val="000000" w:themeColor="text1"/>
          <w:szCs w:val="24"/>
          <w:lang w:eastAsia="lv-LV"/>
        </w:rPr>
        <w:t>par AI mērķiem maksājumiem finansējuma sa</w:t>
      </w:r>
      <w:r w:rsidR="00A338CF" w:rsidRPr="00B57653">
        <w:rPr>
          <w:i/>
          <w:color w:val="000000" w:themeColor="text1"/>
          <w:szCs w:val="24"/>
          <w:lang w:eastAsia="lv-LV"/>
        </w:rPr>
        <w:t>ņēmējiem un to izpildi2014</w:t>
      </w:r>
      <w:r w:rsidR="0001070B" w:rsidRPr="00B57653">
        <w:rPr>
          <w:i/>
          <w:color w:val="000000" w:themeColor="text1"/>
          <w:szCs w:val="24"/>
          <w:lang w:eastAsia="lv-LV"/>
        </w:rPr>
        <w:t>.gad</w:t>
      </w:r>
      <w:r w:rsidR="007376B9" w:rsidRPr="00B57653">
        <w:rPr>
          <w:i/>
          <w:color w:val="000000" w:themeColor="text1"/>
          <w:szCs w:val="24"/>
          <w:lang w:eastAsia="lv-LV"/>
        </w:rPr>
        <w:t>ā</w:t>
      </w:r>
      <w:r w:rsidRPr="00B57653">
        <w:rPr>
          <w:i/>
          <w:color w:val="000000" w:themeColor="text1"/>
          <w:szCs w:val="24"/>
          <w:lang w:eastAsia="lv-LV"/>
        </w:rPr>
        <w:t xml:space="preserve">; ES fondu finansējums, milj. </w:t>
      </w:r>
      <w:r w:rsidR="00A338CF" w:rsidRPr="00B57653">
        <w:rPr>
          <w:rFonts w:eastAsia="EUAlbertina-Bold-Identity-H"/>
          <w:i/>
          <w:color w:val="000000" w:themeColor="text1"/>
          <w:szCs w:val="24"/>
        </w:rPr>
        <w:t>euro</w:t>
      </w:r>
      <w:r w:rsidRPr="00B57653">
        <w:rPr>
          <w:i/>
          <w:color w:val="000000" w:themeColor="text1"/>
          <w:szCs w:val="24"/>
          <w:lang w:eastAsia="lv-LV"/>
        </w:rPr>
        <w:t xml:space="preserve"> (mērķa izpilde, %).”</w:t>
      </w:r>
    </w:p>
    <w:p w14:paraId="776288BD" w14:textId="3072A77F" w:rsidR="00747912" w:rsidRPr="00B57653" w:rsidRDefault="00B533F0" w:rsidP="00747912">
      <w:pPr>
        <w:spacing w:after="240" w:line="276" w:lineRule="auto"/>
        <w:jc w:val="both"/>
        <w:rPr>
          <w:color w:val="000000" w:themeColor="text1"/>
          <w:szCs w:val="24"/>
          <w:highlight w:val="yellow"/>
        </w:rPr>
      </w:pPr>
      <w:r>
        <w:rPr>
          <w:noProof/>
          <w:lang w:eastAsia="lv-LV"/>
        </w:rPr>
        <w:drawing>
          <wp:inline distT="0" distB="0" distL="0" distR="0" wp14:anchorId="399073CD" wp14:editId="713E884D">
            <wp:extent cx="5651500" cy="5162550"/>
            <wp:effectExtent l="0" t="0" r="635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2A8DFFD" w14:textId="0DA177ED" w:rsidR="008C7EED" w:rsidRDefault="00A33C87" w:rsidP="00C87899">
      <w:pPr>
        <w:spacing w:before="120" w:after="120" w:line="276" w:lineRule="auto"/>
        <w:jc w:val="both"/>
        <w:rPr>
          <w:szCs w:val="24"/>
        </w:rPr>
      </w:pPr>
      <w:r w:rsidRPr="00B57653">
        <w:rPr>
          <w:szCs w:val="24"/>
        </w:rPr>
        <w:t>Ja aplūkojam AI mērķus mak</w:t>
      </w:r>
      <w:r w:rsidR="009370A4" w:rsidRPr="00B57653">
        <w:rPr>
          <w:szCs w:val="24"/>
        </w:rPr>
        <w:t>sāju</w:t>
      </w:r>
      <w:r w:rsidR="00221058" w:rsidRPr="00B57653">
        <w:rPr>
          <w:szCs w:val="24"/>
        </w:rPr>
        <w:t xml:space="preserve">miem, tad </w:t>
      </w:r>
      <w:r w:rsidR="00107EF2" w:rsidRPr="00B57653">
        <w:rPr>
          <w:szCs w:val="24"/>
        </w:rPr>
        <w:t>secināms</w:t>
      </w:r>
      <w:r w:rsidR="00221058" w:rsidRPr="00B57653">
        <w:rPr>
          <w:szCs w:val="24"/>
        </w:rPr>
        <w:t xml:space="preserve">, ka </w:t>
      </w:r>
      <w:r w:rsidR="0083131D" w:rsidRPr="00B57653">
        <w:rPr>
          <w:szCs w:val="24"/>
        </w:rPr>
        <w:t xml:space="preserve">tikai </w:t>
      </w:r>
      <w:r w:rsidR="00AB00C4" w:rsidRPr="00B57653">
        <w:rPr>
          <w:szCs w:val="24"/>
        </w:rPr>
        <w:t>trīs</w:t>
      </w:r>
      <w:r w:rsidRPr="00B57653">
        <w:rPr>
          <w:szCs w:val="24"/>
        </w:rPr>
        <w:t xml:space="preserve"> </w:t>
      </w:r>
      <w:r w:rsidR="0083131D" w:rsidRPr="00B57653">
        <w:rPr>
          <w:szCs w:val="24"/>
        </w:rPr>
        <w:t>AI ir</w:t>
      </w:r>
      <w:r w:rsidRPr="00B57653">
        <w:rPr>
          <w:szCs w:val="24"/>
        </w:rPr>
        <w:t xml:space="preserve"> izpildījušas mērķus –</w:t>
      </w:r>
      <w:r w:rsidR="00887076" w:rsidRPr="00B57653">
        <w:rPr>
          <w:szCs w:val="24"/>
        </w:rPr>
        <w:t xml:space="preserve"> </w:t>
      </w:r>
      <w:r w:rsidR="00E32700" w:rsidRPr="00B57653">
        <w:rPr>
          <w:szCs w:val="24"/>
        </w:rPr>
        <w:t>FM</w:t>
      </w:r>
      <w:r w:rsidRPr="00B57653">
        <w:rPr>
          <w:szCs w:val="24"/>
        </w:rPr>
        <w:t xml:space="preserve"> (</w:t>
      </w:r>
      <w:r w:rsidR="006E50FB" w:rsidRPr="00B57653">
        <w:rPr>
          <w:szCs w:val="24"/>
        </w:rPr>
        <w:t>1</w:t>
      </w:r>
      <w:r w:rsidR="00B533F0">
        <w:rPr>
          <w:szCs w:val="24"/>
        </w:rPr>
        <w:t>20,7</w:t>
      </w:r>
      <w:r w:rsidR="00221058" w:rsidRPr="00B57653">
        <w:rPr>
          <w:szCs w:val="24"/>
        </w:rPr>
        <w:t xml:space="preserve">%), </w:t>
      </w:r>
      <w:r w:rsidR="00E32700" w:rsidRPr="00B57653">
        <w:rPr>
          <w:szCs w:val="24"/>
        </w:rPr>
        <w:t>V</w:t>
      </w:r>
      <w:r w:rsidR="00AB00C4" w:rsidRPr="00B57653">
        <w:rPr>
          <w:szCs w:val="24"/>
        </w:rPr>
        <w:t>M</w:t>
      </w:r>
      <w:r w:rsidR="00221058" w:rsidRPr="00B57653">
        <w:rPr>
          <w:szCs w:val="24"/>
        </w:rPr>
        <w:t xml:space="preserve"> (</w:t>
      </w:r>
      <w:r w:rsidR="006E50FB" w:rsidRPr="00B57653">
        <w:rPr>
          <w:szCs w:val="24"/>
        </w:rPr>
        <w:t>1</w:t>
      </w:r>
      <w:r w:rsidR="00B533F0">
        <w:rPr>
          <w:szCs w:val="24"/>
        </w:rPr>
        <w:t>08,7</w:t>
      </w:r>
      <w:r w:rsidR="00221058" w:rsidRPr="00B57653">
        <w:rPr>
          <w:szCs w:val="24"/>
        </w:rPr>
        <w:t xml:space="preserve">%) </w:t>
      </w:r>
      <w:r w:rsidR="009370A4" w:rsidRPr="00B57653">
        <w:rPr>
          <w:szCs w:val="24"/>
        </w:rPr>
        <w:t xml:space="preserve">un </w:t>
      </w:r>
      <w:r w:rsidR="00AB00C4" w:rsidRPr="00B57653">
        <w:rPr>
          <w:szCs w:val="24"/>
        </w:rPr>
        <w:t>LM</w:t>
      </w:r>
      <w:r w:rsidRPr="00B57653">
        <w:rPr>
          <w:szCs w:val="24"/>
        </w:rPr>
        <w:t xml:space="preserve"> (</w:t>
      </w:r>
      <w:r w:rsidR="006E50FB" w:rsidRPr="00B57653">
        <w:rPr>
          <w:szCs w:val="24"/>
        </w:rPr>
        <w:t>10</w:t>
      </w:r>
      <w:r w:rsidR="00B533F0">
        <w:rPr>
          <w:szCs w:val="24"/>
        </w:rPr>
        <w:t>1,7</w:t>
      </w:r>
      <w:r w:rsidR="009370A4" w:rsidRPr="00B57653">
        <w:rPr>
          <w:szCs w:val="24"/>
        </w:rPr>
        <w:t>%)</w:t>
      </w:r>
      <w:r w:rsidRPr="00B57653">
        <w:rPr>
          <w:szCs w:val="24"/>
        </w:rPr>
        <w:t xml:space="preserve">. </w:t>
      </w:r>
      <w:r w:rsidR="0083131D" w:rsidRPr="00B57653">
        <w:rPr>
          <w:szCs w:val="24"/>
        </w:rPr>
        <w:t>Lielākās mērķa neizpildes</w:t>
      </w:r>
      <w:r w:rsidR="00B734C4" w:rsidRPr="00B57653">
        <w:rPr>
          <w:szCs w:val="24"/>
        </w:rPr>
        <w:t xml:space="preserve"> procentuālā izteiksmē</w:t>
      </w:r>
      <w:r w:rsidR="0083131D" w:rsidRPr="00B57653">
        <w:rPr>
          <w:szCs w:val="24"/>
        </w:rPr>
        <w:t xml:space="preserve"> vērojamas </w:t>
      </w:r>
      <w:r w:rsidR="00E32700" w:rsidRPr="00B57653">
        <w:rPr>
          <w:szCs w:val="24"/>
        </w:rPr>
        <w:t xml:space="preserve">EM un </w:t>
      </w:r>
      <w:r w:rsidR="009C497F">
        <w:rPr>
          <w:szCs w:val="24"/>
        </w:rPr>
        <w:t>VARAM</w:t>
      </w:r>
      <w:r w:rsidR="009C497F" w:rsidRPr="00B57653">
        <w:rPr>
          <w:szCs w:val="24"/>
        </w:rPr>
        <w:t xml:space="preserve"> </w:t>
      </w:r>
      <w:r w:rsidR="00474A2F" w:rsidRPr="00B57653">
        <w:rPr>
          <w:szCs w:val="24"/>
        </w:rPr>
        <w:t>(</w:t>
      </w:r>
      <w:r w:rsidR="00A45206" w:rsidRPr="00B57653">
        <w:rPr>
          <w:szCs w:val="24"/>
        </w:rPr>
        <w:t xml:space="preserve">izpildīti </w:t>
      </w:r>
      <w:r w:rsidR="00B533F0">
        <w:rPr>
          <w:szCs w:val="24"/>
        </w:rPr>
        <w:t>70,5</w:t>
      </w:r>
      <w:r w:rsidR="00474A2F" w:rsidRPr="00B57653">
        <w:rPr>
          <w:szCs w:val="24"/>
        </w:rPr>
        <w:t xml:space="preserve">% un </w:t>
      </w:r>
      <w:r w:rsidR="009C497F">
        <w:rPr>
          <w:szCs w:val="24"/>
        </w:rPr>
        <w:t>79,2</w:t>
      </w:r>
      <w:r w:rsidR="00474A2F" w:rsidRPr="00B57653">
        <w:rPr>
          <w:szCs w:val="24"/>
        </w:rPr>
        <w:t>% attiecīgi).</w:t>
      </w:r>
      <w:r w:rsidR="00B734C4" w:rsidRPr="00B57653">
        <w:rPr>
          <w:szCs w:val="24"/>
        </w:rPr>
        <w:t xml:space="preserve"> Ja aplūko skaitliskā izteiksmē, tad EM ir </w:t>
      </w:r>
      <w:r w:rsidR="00F56773" w:rsidRPr="00B57653">
        <w:rPr>
          <w:szCs w:val="24"/>
        </w:rPr>
        <w:t>vis</w:t>
      </w:r>
      <w:r w:rsidR="00B533F0">
        <w:rPr>
          <w:szCs w:val="24"/>
        </w:rPr>
        <w:t>lielākā neipilde – 51,8</w:t>
      </w:r>
      <w:r w:rsidR="00B734C4" w:rsidRPr="00B57653">
        <w:rPr>
          <w:szCs w:val="24"/>
        </w:rPr>
        <w:t xml:space="preserve"> milj. </w:t>
      </w:r>
      <w:r w:rsidR="00B734C4" w:rsidRPr="00B57653">
        <w:rPr>
          <w:i/>
          <w:szCs w:val="24"/>
        </w:rPr>
        <w:t>euro</w:t>
      </w:r>
      <w:r w:rsidR="00B734C4" w:rsidRPr="00B57653">
        <w:rPr>
          <w:szCs w:val="24"/>
        </w:rPr>
        <w:t>,</w:t>
      </w:r>
      <w:r w:rsidR="00F56773" w:rsidRPr="00B57653">
        <w:rPr>
          <w:szCs w:val="24"/>
        </w:rPr>
        <w:t xml:space="preserve"> </w:t>
      </w:r>
      <w:r w:rsidR="00E965C5" w:rsidRPr="00B57653">
        <w:rPr>
          <w:szCs w:val="24"/>
        </w:rPr>
        <w:t xml:space="preserve">savukārt </w:t>
      </w:r>
      <w:r w:rsidR="00B533F0">
        <w:rPr>
          <w:szCs w:val="24"/>
        </w:rPr>
        <w:t>VARAM – 42,7</w:t>
      </w:r>
      <w:r w:rsidR="00B734C4" w:rsidRPr="00B57653">
        <w:rPr>
          <w:szCs w:val="24"/>
        </w:rPr>
        <w:t xml:space="preserve"> milj. </w:t>
      </w:r>
      <w:r w:rsidR="00B734C4" w:rsidRPr="00B57653">
        <w:rPr>
          <w:i/>
          <w:szCs w:val="24"/>
        </w:rPr>
        <w:t>euro</w:t>
      </w:r>
      <w:r w:rsidR="00F56773" w:rsidRPr="00B57653">
        <w:rPr>
          <w:szCs w:val="24"/>
        </w:rPr>
        <w:t xml:space="preserve">, kā arī </w:t>
      </w:r>
      <w:r w:rsidR="00B533F0">
        <w:rPr>
          <w:szCs w:val="24"/>
        </w:rPr>
        <w:t>SM – 40,1</w:t>
      </w:r>
      <w:r w:rsidR="00F56773" w:rsidRPr="00B57653">
        <w:rPr>
          <w:szCs w:val="24"/>
        </w:rPr>
        <w:t xml:space="preserve"> milj. </w:t>
      </w:r>
      <w:r w:rsidR="00F56773" w:rsidRPr="00B57653">
        <w:rPr>
          <w:i/>
          <w:szCs w:val="24"/>
        </w:rPr>
        <w:t>euro</w:t>
      </w:r>
      <w:r w:rsidR="00F56773" w:rsidRPr="00B57653">
        <w:rPr>
          <w:szCs w:val="24"/>
        </w:rPr>
        <w:t>.</w:t>
      </w:r>
      <w:r w:rsidR="00B734C4" w:rsidRPr="00B57653">
        <w:rPr>
          <w:szCs w:val="24"/>
        </w:rPr>
        <w:t xml:space="preserve"> EM lielākā neizpilde vērojama ERAF DP “Infrastruktūra un pakalpojumi”, kas ir 20,0 milj. </w:t>
      </w:r>
      <w:r w:rsidR="00B734C4" w:rsidRPr="00B57653">
        <w:rPr>
          <w:i/>
          <w:szCs w:val="24"/>
        </w:rPr>
        <w:t>euro</w:t>
      </w:r>
      <w:r w:rsidR="00A869D2">
        <w:rPr>
          <w:szCs w:val="24"/>
        </w:rPr>
        <w:t>.</w:t>
      </w:r>
      <w:r w:rsidR="00147DFA" w:rsidRPr="00147DFA">
        <w:rPr>
          <w:szCs w:val="24"/>
        </w:rPr>
        <w:t xml:space="preserve"> </w:t>
      </w:r>
      <w:r w:rsidR="00147DFA">
        <w:rPr>
          <w:szCs w:val="24"/>
        </w:rPr>
        <w:t>Neizpilde konstatēta aktivitātē “D</w:t>
      </w:r>
      <w:r w:rsidR="00147DFA" w:rsidRPr="00B543C8">
        <w:rPr>
          <w:szCs w:val="24"/>
        </w:rPr>
        <w:t>audzdzīvokļu māju siltumnoturības uzlabošanas pasākum</w:t>
      </w:r>
      <w:r w:rsidR="00147DFA">
        <w:rPr>
          <w:szCs w:val="24"/>
        </w:rPr>
        <w:t xml:space="preserve">i”, ņemot vērā, ka </w:t>
      </w:r>
      <w:r w:rsidR="00147DFA">
        <w:t>pastiprināti tiek lauzti līgumi par projektu īstenošanu, jo projektu īstenošanai nav iespējams piesaistīt komercbanku finansējumu. Līdz ar to paredzētais finansējums nevar tikt izmaksāts pārtrauktajiem projektiem.</w:t>
      </w:r>
      <w:r w:rsidR="00147DFA" w:rsidRPr="00B57653">
        <w:rPr>
          <w:szCs w:val="24"/>
        </w:rPr>
        <w:t xml:space="preserve"> </w:t>
      </w:r>
      <w:r w:rsidR="00B734C4" w:rsidRPr="00B57653">
        <w:rPr>
          <w:szCs w:val="24"/>
        </w:rPr>
        <w:t xml:space="preserve">Savukārt ERAF DP “Uzņēmjējdarbība un inovācijas” neizpilde ir 15,0 milj. </w:t>
      </w:r>
      <w:r w:rsidR="006F2ADA" w:rsidRPr="006F2ADA">
        <w:rPr>
          <w:i/>
          <w:szCs w:val="24"/>
        </w:rPr>
        <w:t>euro</w:t>
      </w:r>
      <w:r w:rsidR="006F2ADA">
        <w:rPr>
          <w:szCs w:val="24"/>
        </w:rPr>
        <w:t>, galvenokārt aktivitāt</w:t>
      </w:r>
      <w:r w:rsidR="003C4EB4">
        <w:rPr>
          <w:szCs w:val="24"/>
        </w:rPr>
        <w:t>ē</w:t>
      </w:r>
      <w:r w:rsidR="006F2ADA">
        <w:rPr>
          <w:szCs w:val="24"/>
        </w:rPr>
        <w:t>s “Augstas pievienotas vērtības investīcijas” un “Biznesa inkubatori”.</w:t>
      </w:r>
      <w:r w:rsidR="00B734C4" w:rsidRPr="00B57653">
        <w:rPr>
          <w:szCs w:val="24"/>
        </w:rPr>
        <w:t xml:space="preserve"> </w:t>
      </w:r>
      <w:r w:rsidR="007A3DAF" w:rsidRPr="00B57653">
        <w:t xml:space="preserve">EM neizpildi skaidro ar finansējuma saņēmēju maksājumu pieprasījumu laicīgu neiesniegšanu, kā arī tie nav plānotajos apjomos. </w:t>
      </w:r>
      <w:r w:rsidR="00147DFA" w:rsidRPr="000A57D8">
        <w:rPr>
          <w:szCs w:val="24"/>
        </w:rPr>
        <w:t>VARAM aktivitātē</w:t>
      </w:r>
      <w:r w:rsidR="00147DFA">
        <w:rPr>
          <w:szCs w:val="24"/>
        </w:rPr>
        <w:t xml:space="preserve">s </w:t>
      </w:r>
      <w:r w:rsidR="00147DFA" w:rsidRPr="00147DFA">
        <w:rPr>
          <w:szCs w:val="24"/>
        </w:rPr>
        <w:t>"Ūdenssaimniecības infrastruktūras attīstība aglomerācijās ar cilvēku ekvivalentu lielāku par 2000"</w:t>
      </w:r>
      <w:r w:rsidR="00187AB0">
        <w:rPr>
          <w:szCs w:val="24"/>
        </w:rPr>
        <w:t xml:space="preserve">, </w:t>
      </w:r>
      <w:r w:rsidR="00187AB0" w:rsidRPr="00187AB0">
        <w:rPr>
          <w:szCs w:val="24"/>
        </w:rPr>
        <w:t>"Dalītās atkritumu apsaimniekošanas sistēmas attīstība"</w:t>
      </w:r>
      <w:r w:rsidR="00147DFA" w:rsidRPr="00B57653">
        <w:t xml:space="preserve"> ir </w:t>
      </w:r>
      <w:r w:rsidR="00147DFA">
        <w:t xml:space="preserve">veikti </w:t>
      </w:r>
      <w:r w:rsidR="00147DFA" w:rsidRPr="00B57653">
        <w:t xml:space="preserve">projektu termiņu </w:t>
      </w:r>
      <w:r w:rsidR="00147DFA" w:rsidRPr="00B57653">
        <w:lastRenderedPageBreak/>
        <w:t xml:space="preserve">pagarinājumi, kas negatīvi ietekmē maksājuma mērķa izpildi. </w:t>
      </w:r>
      <w:r w:rsidR="00147DFA">
        <w:t xml:space="preserve">Tā kā </w:t>
      </w:r>
      <w:r w:rsidR="00147DFA" w:rsidRPr="000A57D8">
        <w:rPr>
          <w:szCs w:val="24"/>
        </w:rPr>
        <w:t xml:space="preserve">vairākās VARAM aktivitātēs lielākie maksājumi veicami projektu beigu fāzē, </w:t>
      </w:r>
      <w:r w:rsidR="00147DFA">
        <w:rPr>
          <w:bCs/>
          <w:szCs w:val="24"/>
        </w:rPr>
        <w:t>projektu pagarināšana veido novirzi maksājumu laicīgā veikšanā.</w:t>
      </w:r>
      <w:r w:rsidR="00A869D2">
        <w:rPr>
          <w:bCs/>
          <w:szCs w:val="24"/>
        </w:rPr>
        <w:t xml:space="preserve"> </w:t>
      </w:r>
      <w:r w:rsidR="008C7EED">
        <w:rPr>
          <w:szCs w:val="24"/>
        </w:rPr>
        <w:t xml:space="preserve">SM neizpilde lielākoties saistīta ar to, ka daļa maksājumu tika veikti jau 2013.gada decembrī, kas bija plānoti tikai 2014.gadā, kā arī finansējuma saņēmēji nepieprasīja avansus, lai arī tas bija ieplānots. Svarīgs iemesls ir neizpilde atsevišķos apjomīgos projektos, t.sk. </w:t>
      </w:r>
      <w:r w:rsidR="00BD76DC">
        <w:rPr>
          <w:szCs w:val="24"/>
        </w:rPr>
        <w:t>lielajā projektā “Infrastruktūras attīstība Krievu salā ostas aktivitāšu pārcelšanai no pilsētas centra”,</w:t>
      </w:r>
      <w:r w:rsidR="008C7EED">
        <w:rPr>
          <w:szCs w:val="24"/>
        </w:rPr>
        <w:t xml:space="preserve"> to sarežģītās ieviešanas dēļ. Vienlaikus jāmin arī vairāku projektu īstenošanas pārtraukšana. </w:t>
      </w:r>
    </w:p>
    <w:p w14:paraId="57381CBF" w14:textId="07444860" w:rsidR="0001035E" w:rsidRDefault="0001035E" w:rsidP="00C87899">
      <w:pPr>
        <w:spacing w:before="120" w:after="120" w:line="276" w:lineRule="auto"/>
        <w:jc w:val="both"/>
      </w:pPr>
      <w:r>
        <w:t>A</w:t>
      </w:r>
      <w:r w:rsidR="00703B31">
        <w:t>tbilstoši MK</w:t>
      </w:r>
      <w:r>
        <w:t xml:space="preserve"> 2014.gada 2</w:t>
      </w:r>
      <w:r w:rsidR="00703B31">
        <w:t>5</w:t>
      </w:r>
      <w:r>
        <w:t xml:space="preserve">.novembra </w:t>
      </w:r>
      <w:r w:rsidR="00703B31">
        <w:t>sēdes</w:t>
      </w:r>
      <w:r>
        <w:t xml:space="preserve"> protokollēmum</w:t>
      </w:r>
      <w:r w:rsidR="00703B31">
        <w:t xml:space="preserve">a </w:t>
      </w:r>
      <w:r w:rsidR="00703B31" w:rsidRPr="00B57653">
        <w:t xml:space="preserve">(prot. Nr.65 83.§) </w:t>
      </w:r>
      <w:r w:rsidR="00703B31">
        <w:t>3</w:t>
      </w:r>
      <w:r w:rsidR="00703B31" w:rsidRPr="00B57653">
        <w:t>.punktu</w:t>
      </w:r>
      <w:r>
        <w:t xml:space="preserve"> ir apstiprināti 2015.gada </w:t>
      </w:r>
      <w:r w:rsidR="00703B31">
        <w:t xml:space="preserve">AI maksājumu </w:t>
      </w:r>
      <w:r>
        <w:t>mērķi</w:t>
      </w:r>
      <w:r w:rsidR="00703B31">
        <w:t xml:space="preserve"> finansējuma saņēmējiem</w:t>
      </w:r>
      <w:r>
        <w:t xml:space="preserve">. Atbilstoši </w:t>
      </w:r>
      <w:r w:rsidR="00703B31">
        <w:t xml:space="preserve">iepriekš </w:t>
      </w:r>
      <w:r>
        <w:t>minētā protokollēmuma</w:t>
      </w:r>
      <w:r w:rsidR="00703B31">
        <w:t xml:space="preserve"> 6.</w:t>
      </w:r>
      <w:r>
        <w:t>punktam FM</w:t>
      </w:r>
      <w:r w:rsidR="00D63924">
        <w:t xml:space="preserve"> sadarbībā ar AI/SI</w:t>
      </w:r>
      <w:r>
        <w:t xml:space="preserve"> ir korigējusi 2015.gada maksājumu mērķus atbilstoši 2014.gada izpildei. Aktualizētie mērķi </w:t>
      </w:r>
      <w:r w:rsidR="00EF1CD9">
        <w:t>nosaka,</w:t>
      </w:r>
      <w:r w:rsidR="002B1C70">
        <w:t xml:space="preserve"> </w:t>
      </w:r>
      <w:r w:rsidR="00EF1CD9" w:rsidRPr="004746AF">
        <w:t xml:space="preserve">ka 2015.gadā </w:t>
      </w:r>
      <w:r w:rsidR="00EF1CD9">
        <w:t>AI</w:t>
      </w:r>
      <w:r w:rsidR="00EF1CD9" w:rsidRPr="004746AF">
        <w:t xml:space="preserve"> nodrošina maksājumus finansējuma saņēmējiem par ES fondu līdzfinansējuma daļu kopā vismaz </w:t>
      </w:r>
      <w:r w:rsidR="00345B99">
        <w:t>669</w:t>
      </w:r>
      <w:r w:rsidR="00BF75B6">
        <w:t> 628 382</w:t>
      </w:r>
      <w:r w:rsidR="0013549A" w:rsidRPr="0013549A">
        <w:t xml:space="preserve"> </w:t>
      </w:r>
      <w:r w:rsidR="00EF1CD9" w:rsidRPr="004746AF">
        <w:rPr>
          <w:i/>
        </w:rPr>
        <w:t>euro</w:t>
      </w:r>
      <w:r w:rsidR="00EF1CD9" w:rsidRPr="004746AF">
        <w:t xml:space="preserve"> apmērā</w:t>
      </w:r>
      <w:r w:rsidR="004643DA">
        <w:t xml:space="preserve">, </w:t>
      </w:r>
      <w:r w:rsidR="0013549A" w:rsidRPr="0013549A">
        <w:t>kas ir 15,</w:t>
      </w:r>
      <w:r w:rsidR="00345B99">
        <w:t>3</w:t>
      </w:r>
      <w:r w:rsidR="0013549A" w:rsidRPr="0013549A">
        <w:t>% no pieejamā ES fondu finansējuma plānošanas periodam (bez finanšu instrumentiem), savukārt 2016.gadā maksājumi veicami 3,</w:t>
      </w:r>
      <w:r w:rsidR="00345B99">
        <w:t>5</w:t>
      </w:r>
      <w:r w:rsidR="0013549A" w:rsidRPr="0013549A">
        <w:t>% apmērā..</w:t>
      </w:r>
    </w:p>
    <w:p w14:paraId="737534C4" w14:textId="1A253477" w:rsidR="00785BA7" w:rsidRPr="00DA1700" w:rsidRDefault="00785BA7" w:rsidP="00C87899">
      <w:pPr>
        <w:spacing w:before="120" w:after="120" w:line="276" w:lineRule="auto"/>
        <w:jc w:val="both"/>
        <w:rPr>
          <w:b/>
          <w:i/>
          <w:szCs w:val="24"/>
        </w:rPr>
      </w:pPr>
      <w:r w:rsidRPr="00DA1700">
        <w:rPr>
          <w:b/>
          <w:i/>
          <w:szCs w:val="24"/>
        </w:rPr>
        <w:t>Valsts budžeta izdevumu statuss:</w:t>
      </w:r>
    </w:p>
    <w:p w14:paraId="255C5448" w14:textId="25307D3F" w:rsidR="00DA1700" w:rsidRDefault="00DA1700" w:rsidP="00DA1700">
      <w:pPr>
        <w:spacing w:before="120" w:after="120" w:line="276" w:lineRule="auto"/>
        <w:jc w:val="both"/>
        <w:rPr>
          <w:rFonts w:eastAsia="Times New Roman" w:cs="Times New Roman"/>
          <w:color w:val="000000"/>
          <w:szCs w:val="24"/>
        </w:rPr>
      </w:pPr>
      <w:r w:rsidRPr="003D1BB4">
        <w:rPr>
          <w:rFonts w:eastAsia="Times New Roman" w:cs="Times New Roman"/>
          <w:color w:val="000000"/>
          <w:szCs w:val="24"/>
        </w:rPr>
        <w:t xml:space="preserve">Līdz 2014.gada 31.decembra beigām FM pārziņā esošo Kohēzijas politikas ES fondu valsts budžeta izdevumu plāns tika izpildīts par 98,4%, jeb izlietoti 769,1 milj. </w:t>
      </w:r>
      <w:r w:rsidRPr="003D1BB4">
        <w:rPr>
          <w:rFonts w:eastAsia="Times New Roman" w:cs="Times New Roman"/>
          <w:i/>
          <w:color w:val="000000"/>
          <w:szCs w:val="24"/>
        </w:rPr>
        <w:t>euro</w:t>
      </w:r>
      <w:r w:rsidRPr="003D1BB4">
        <w:rPr>
          <w:rFonts w:eastAsia="Times New Roman" w:cs="Times New Roman"/>
          <w:color w:val="000000"/>
          <w:szCs w:val="24"/>
        </w:rPr>
        <w:t xml:space="preserve"> no plānotajiem 781,8 milj. </w:t>
      </w:r>
      <w:r w:rsidRPr="003D1BB4">
        <w:rPr>
          <w:rFonts w:eastAsia="Times New Roman" w:cs="Times New Roman"/>
          <w:i/>
          <w:color w:val="000000"/>
          <w:szCs w:val="24"/>
        </w:rPr>
        <w:t>euro</w:t>
      </w:r>
      <w:r w:rsidRPr="003D1BB4">
        <w:rPr>
          <w:rFonts w:eastAsia="Times New Roman" w:cs="Times New Roman"/>
          <w:color w:val="000000"/>
          <w:szCs w:val="24"/>
        </w:rPr>
        <w:t xml:space="preserve"> (neizpilde 12,7 milj. </w:t>
      </w:r>
      <w:r w:rsidRPr="003D1BB4">
        <w:rPr>
          <w:rFonts w:eastAsia="Times New Roman" w:cs="Times New Roman"/>
          <w:i/>
          <w:color w:val="000000"/>
          <w:szCs w:val="24"/>
        </w:rPr>
        <w:t>euro</w:t>
      </w:r>
      <w:r w:rsidRPr="003D1BB4">
        <w:rPr>
          <w:rFonts w:eastAsia="Times New Roman" w:cs="Times New Roman"/>
          <w:color w:val="000000"/>
          <w:szCs w:val="24"/>
        </w:rPr>
        <w:t xml:space="preserve">). Salīdzinot ar 2014.gada 3.ceturksni, kad budžeta neizpilde bija 2,3 milj. </w:t>
      </w:r>
      <w:r w:rsidRPr="003D1BB4">
        <w:rPr>
          <w:rFonts w:eastAsia="Times New Roman" w:cs="Times New Roman"/>
          <w:i/>
          <w:color w:val="000000"/>
          <w:szCs w:val="24"/>
        </w:rPr>
        <w:t>euro</w:t>
      </w:r>
      <w:r w:rsidRPr="003D1BB4">
        <w:rPr>
          <w:rFonts w:eastAsia="Times New Roman" w:cs="Times New Roman"/>
          <w:color w:val="000000"/>
          <w:szCs w:val="24"/>
        </w:rPr>
        <w:t xml:space="preserve">, vērojams budžeta neizpildes pieaugums, kas procentuālā izteiksmē pieaugusi no 0,9% uz 1,6%. </w:t>
      </w:r>
      <w:r w:rsidRPr="00F31F22">
        <w:rPr>
          <w:rFonts w:eastAsia="Times New Roman" w:cs="Times New Roman"/>
          <w:color w:val="000000"/>
          <w:szCs w:val="24"/>
        </w:rPr>
        <w:t xml:space="preserve">Saskaņā ar likumu „Par valsts budžetu 2014.gadam” ministriju budžetos tika ieplānoti 585,9 milj. </w:t>
      </w:r>
      <w:r w:rsidRPr="00F31F22">
        <w:rPr>
          <w:rFonts w:eastAsia="Times New Roman" w:cs="Times New Roman"/>
          <w:i/>
          <w:color w:val="000000"/>
          <w:szCs w:val="24"/>
        </w:rPr>
        <w:t>euro</w:t>
      </w:r>
      <w:r w:rsidRPr="00F31F22">
        <w:rPr>
          <w:rFonts w:eastAsia="Times New Roman" w:cs="Times New Roman"/>
          <w:color w:val="000000"/>
          <w:szCs w:val="24"/>
        </w:rPr>
        <w:t xml:space="preserve">, kas nozīmē, ka gada laikā </w:t>
      </w:r>
      <w:r w:rsidR="00B23BDF">
        <w:rPr>
          <w:rFonts w:eastAsia="Times New Roman" w:cs="Times New Roman"/>
          <w:color w:val="000000"/>
          <w:szCs w:val="24"/>
        </w:rPr>
        <w:t xml:space="preserve">no </w:t>
      </w:r>
      <w:r w:rsidRPr="00F31F22">
        <w:rPr>
          <w:rFonts w:eastAsia="Times New Roman" w:cs="Times New Roman"/>
          <w:color w:val="000000"/>
          <w:szCs w:val="24"/>
        </w:rPr>
        <w:t>papildus pārdalīt</w:t>
      </w:r>
      <w:r w:rsidR="00B23BDF">
        <w:rPr>
          <w:rFonts w:eastAsia="Times New Roman" w:cs="Times New Roman"/>
          <w:color w:val="000000"/>
          <w:szCs w:val="24"/>
        </w:rPr>
        <w:t>aj</w:t>
      </w:r>
      <w:r w:rsidRPr="00F31F22">
        <w:rPr>
          <w:rFonts w:eastAsia="Times New Roman" w:cs="Times New Roman"/>
          <w:color w:val="000000"/>
          <w:szCs w:val="24"/>
        </w:rPr>
        <w:t>i</w:t>
      </w:r>
      <w:r w:rsidR="00B23BDF">
        <w:rPr>
          <w:rFonts w:eastAsia="Times New Roman" w:cs="Times New Roman"/>
          <w:color w:val="000000"/>
          <w:szCs w:val="24"/>
        </w:rPr>
        <w:t>em līdzekļiem apgūti tika</w:t>
      </w:r>
      <w:r w:rsidRPr="00F31F22">
        <w:rPr>
          <w:rFonts w:eastAsia="Times New Roman" w:cs="Times New Roman"/>
          <w:color w:val="000000"/>
          <w:szCs w:val="24"/>
        </w:rPr>
        <w:t xml:space="preserve"> 195,9 milj. </w:t>
      </w:r>
      <w:r w:rsidRPr="00F31F22">
        <w:rPr>
          <w:rFonts w:eastAsia="Times New Roman" w:cs="Times New Roman"/>
          <w:i/>
          <w:color w:val="000000"/>
          <w:szCs w:val="24"/>
        </w:rPr>
        <w:t>euro</w:t>
      </w:r>
      <w:r w:rsidRPr="00F31F22">
        <w:rPr>
          <w:rFonts w:eastAsia="Times New Roman" w:cs="Times New Roman"/>
          <w:color w:val="000000"/>
          <w:szCs w:val="24"/>
        </w:rPr>
        <w:t>.</w:t>
      </w:r>
    </w:p>
    <w:p w14:paraId="621A1DBA" w14:textId="7912AF95" w:rsidR="00DA1700" w:rsidRDefault="00DA1700" w:rsidP="00DA1700">
      <w:pPr>
        <w:spacing w:before="120" w:after="120" w:line="276" w:lineRule="auto"/>
        <w:jc w:val="both"/>
        <w:rPr>
          <w:rFonts w:eastAsia="Times New Roman" w:cs="Times New Roman"/>
          <w:color w:val="000000"/>
          <w:szCs w:val="24"/>
        </w:rPr>
      </w:pPr>
      <w:r>
        <w:rPr>
          <w:rFonts w:eastAsia="Times New Roman" w:cs="Times New Roman"/>
          <w:color w:val="000000"/>
          <w:szCs w:val="24"/>
        </w:rPr>
        <w:t xml:space="preserve">Iepriekšējā ziņojumā tika iekļauta informācija, ka </w:t>
      </w:r>
      <w:r w:rsidRPr="00F31F22">
        <w:rPr>
          <w:rFonts w:eastAsia="Times New Roman" w:cs="Times New Roman"/>
          <w:color w:val="000000"/>
          <w:szCs w:val="24"/>
        </w:rPr>
        <w:t xml:space="preserve">2014.gada 15.oktobrī Saeimas Budžeta un finanšu komisija apstiprināja 80.00.00 programmas </w:t>
      </w:r>
      <w:r w:rsidRPr="008E29D0">
        <w:rPr>
          <w:rFonts w:eastAsia="Times New Roman" w:cs="Times New Roman"/>
          <w:color w:val="000000"/>
          <w:szCs w:val="24"/>
        </w:rPr>
        <w:t>“Nesadalītais finansējums Eiropas Savienības politiku instrumentu un pārējās ārvalstu finanšu palīdzības līdzfinansēto projektu un pasākumu īstenošanai” (turpmāk – 80.00.00 programma)</w:t>
      </w:r>
      <w:r>
        <w:rPr>
          <w:rFonts w:eastAsia="Times New Roman" w:cs="Times New Roman"/>
          <w:color w:val="000000"/>
          <w:szCs w:val="24"/>
        </w:rPr>
        <w:t xml:space="preserve"> </w:t>
      </w:r>
      <w:r w:rsidRPr="00F31F22">
        <w:rPr>
          <w:rFonts w:eastAsia="Times New Roman" w:cs="Times New Roman"/>
          <w:color w:val="000000"/>
          <w:szCs w:val="24"/>
        </w:rPr>
        <w:t xml:space="preserve">palielināšanu par 133,5 milj. </w:t>
      </w:r>
      <w:r w:rsidRPr="00F31F22">
        <w:rPr>
          <w:rFonts w:eastAsia="Times New Roman" w:cs="Times New Roman"/>
          <w:i/>
          <w:color w:val="000000"/>
          <w:szCs w:val="24"/>
        </w:rPr>
        <w:t>euro</w:t>
      </w:r>
      <w:r>
        <w:rPr>
          <w:rFonts w:eastAsia="Times New Roman" w:cs="Times New Roman"/>
          <w:color w:val="000000"/>
          <w:szCs w:val="24"/>
        </w:rPr>
        <w:t xml:space="preserve">, ņemot vērā AI septembra budžeta vajadzību aplēses (829,5 milj. </w:t>
      </w:r>
      <w:r>
        <w:rPr>
          <w:rFonts w:eastAsia="Times New Roman" w:cs="Times New Roman"/>
          <w:i/>
          <w:color w:val="000000"/>
          <w:szCs w:val="24"/>
        </w:rPr>
        <w:t>euro</w:t>
      </w:r>
      <w:r>
        <w:rPr>
          <w:rFonts w:eastAsia="Times New Roman" w:cs="Times New Roman"/>
          <w:color w:val="000000"/>
          <w:szCs w:val="24"/>
        </w:rPr>
        <w:t xml:space="preserve">), reizē pieņemot, ka 80.00.00 programmas palielinājums varētu arī nenosegt AI 2014.gadam prognozēto apjomu. Tomēr, faktiskajai budžeta plāna izpildei pietuvojoties 2014.gada vasarā lēstajām prognozēm (779,4 milj. </w:t>
      </w:r>
      <w:r>
        <w:rPr>
          <w:rFonts w:eastAsia="Times New Roman" w:cs="Times New Roman"/>
          <w:i/>
          <w:color w:val="000000"/>
          <w:szCs w:val="24"/>
        </w:rPr>
        <w:t>euro)</w:t>
      </w:r>
      <w:r>
        <w:rPr>
          <w:rFonts w:eastAsia="Times New Roman" w:cs="Times New Roman"/>
          <w:color w:val="000000"/>
          <w:szCs w:val="24"/>
        </w:rPr>
        <w:t xml:space="preserve">, secināms, ka 80.00.00 programmas palielinājums bijis </w:t>
      </w:r>
      <w:r w:rsidR="00B23BDF">
        <w:rPr>
          <w:rFonts w:eastAsia="Times New Roman" w:cs="Times New Roman"/>
          <w:color w:val="000000"/>
          <w:szCs w:val="24"/>
        </w:rPr>
        <w:t>pietiekams un AI prognozes pārlieku optimistiskas</w:t>
      </w:r>
      <w:r>
        <w:rPr>
          <w:rFonts w:eastAsia="Times New Roman" w:cs="Times New Roman"/>
          <w:color w:val="000000"/>
          <w:szCs w:val="24"/>
        </w:rPr>
        <w:t>.</w:t>
      </w:r>
      <w:r w:rsidR="00B23BDF">
        <w:rPr>
          <w:rFonts w:eastAsia="Times New Roman" w:cs="Times New Roman"/>
          <w:color w:val="000000"/>
          <w:szCs w:val="24"/>
        </w:rPr>
        <w:t xml:space="preserve"> Vienlaikus jāpiezīmē, ka aptuveni 93% </w:t>
      </w:r>
      <w:r w:rsidR="00AA75EF">
        <w:rPr>
          <w:rFonts w:eastAsia="Times New Roman" w:cs="Times New Roman"/>
          <w:color w:val="000000"/>
          <w:szCs w:val="24"/>
        </w:rPr>
        <w:t xml:space="preserve">prognozes </w:t>
      </w:r>
      <w:r w:rsidR="00B23BDF">
        <w:rPr>
          <w:rFonts w:eastAsia="Times New Roman" w:cs="Times New Roman"/>
          <w:color w:val="000000"/>
          <w:szCs w:val="24"/>
        </w:rPr>
        <w:t xml:space="preserve">izpilde (769,1 pret 829,5 milj. </w:t>
      </w:r>
      <w:r w:rsidR="00B23BDF" w:rsidRPr="00B23BDF">
        <w:rPr>
          <w:rFonts w:eastAsia="Times New Roman" w:cs="Times New Roman"/>
          <w:i/>
          <w:color w:val="000000"/>
          <w:szCs w:val="24"/>
        </w:rPr>
        <w:t>euro</w:t>
      </w:r>
      <w:r w:rsidR="00B23BDF">
        <w:rPr>
          <w:rFonts w:eastAsia="Times New Roman" w:cs="Times New Roman"/>
          <w:color w:val="000000"/>
          <w:szCs w:val="24"/>
        </w:rPr>
        <w:t>), salīdzinot ar iepriekšējos gados piedzīvoto, nav vērtējama kā izteikti zema.</w:t>
      </w:r>
    </w:p>
    <w:p w14:paraId="3F3201B2" w14:textId="34EC5BE1" w:rsidR="003F6AB3" w:rsidRPr="005209D7" w:rsidRDefault="00DA1700" w:rsidP="009C497F">
      <w:pPr>
        <w:spacing w:before="240" w:line="276" w:lineRule="auto"/>
        <w:jc w:val="both"/>
      </w:pPr>
      <w:r w:rsidRPr="005F3E76">
        <w:rPr>
          <w:rFonts w:eastAsia="Times New Roman" w:cs="Times New Roman"/>
          <w:color w:val="000000"/>
          <w:szCs w:val="24"/>
        </w:rPr>
        <w:t>Lielākās budžeta neizpildes finansiālā apmēra izteiksmē AI dalījumā ES fondos uz 2014.gada 31.decembri</w:t>
      </w:r>
      <w:r w:rsidR="00B23BDF">
        <w:rPr>
          <w:rFonts w:eastAsia="Times New Roman" w:cs="Times New Roman"/>
          <w:color w:val="000000"/>
          <w:szCs w:val="24"/>
        </w:rPr>
        <w:t>, skatot kontekstā ar reāli budžetā iedalīto finansējumu</w:t>
      </w:r>
      <w:r w:rsidRPr="005F3E76">
        <w:rPr>
          <w:rFonts w:eastAsia="Times New Roman" w:cs="Times New Roman"/>
          <w:color w:val="000000"/>
          <w:szCs w:val="24"/>
        </w:rPr>
        <w:t>, tāpat kā iepriekšējā pārskata periodā, bija darbības programmas “Infrastrukt</w:t>
      </w:r>
      <w:r>
        <w:rPr>
          <w:rFonts w:eastAsia="Times New Roman" w:cs="Times New Roman"/>
          <w:color w:val="000000"/>
          <w:szCs w:val="24"/>
        </w:rPr>
        <w:t>ūra un pakalpojumi” ietvaros (7,3</w:t>
      </w:r>
      <w:r w:rsidRPr="005F3E76">
        <w:rPr>
          <w:rFonts w:eastAsia="Times New Roman" w:cs="Times New Roman"/>
          <w:color w:val="000000"/>
          <w:szCs w:val="24"/>
        </w:rPr>
        <w:t xml:space="preserve"> milj. </w:t>
      </w:r>
      <w:r w:rsidRPr="005F3E76">
        <w:rPr>
          <w:rFonts w:eastAsia="Times New Roman" w:cs="Times New Roman"/>
          <w:i/>
          <w:color w:val="000000"/>
          <w:szCs w:val="24"/>
        </w:rPr>
        <w:t>euro</w:t>
      </w:r>
      <w:r w:rsidRPr="005F3E76">
        <w:rPr>
          <w:rFonts w:eastAsia="Times New Roman" w:cs="Times New Roman"/>
          <w:color w:val="000000"/>
          <w:szCs w:val="24"/>
        </w:rPr>
        <w:t xml:space="preserve">). </w:t>
      </w:r>
      <w:r w:rsidRPr="00BA5E24">
        <w:rPr>
          <w:rFonts w:eastAsia="Times New Roman" w:cs="Times New Roman"/>
          <w:color w:val="000000"/>
          <w:szCs w:val="24"/>
        </w:rPr>
        <w:t xml:space="preserve">AI dalījumā budžeta vislielākā neapguve 6,8 milj. </w:t>
      </w:r>
      <w:r w:rsidRPr="00BA5E24">
        <w:rPr>
          <w:rFonts w:eastAsia="Times New Roman" w:cs="Times New Roman"/>
          <w:i/>
          <w:color w:val="000000"/>
          <w:szCs w:val="24"/>
        </w:rPr>
        <w:t>euro</w:t>
      </w:r>
      <w:r w:rsidRPr="00BA5E24">
        <w:rPr>
          <w:rFonts w:eastAsia="Times New Roman" w:cs="Times New Roman"/>
          <w:color w:val="000000"/>
          <w:szCs w:val="24"/>
        </w:rPr>
        <w:t xml:space="preserve"> apmērā konstatēta VARAM administrējamajās aktivitātēs (aktivitātēs “Vēsturiski piesārņoto vietu sanācija”</w:t>
      </w:r>
      <w:r>
        <w:rPr>
          <w:rFonts w:eastAsia="Times New Roman" w:cs="Times New Roman"/>
          <w:color w:val="000000"/>
          <w:szCs w:val="24"/>
        </w:rPr>
        <w:t>, “</w:t>
      </w:r>
      <w:r w:rsidRPr="00444381">
        <w:rPr>
          <w:rFonts w:eastAsia="Times New Roman" w:cs="Times New Roman"/>
          <w:color w:val="000000"/>
          <w:szCs w:val="24"/>
        </w:rPr>
        <w:t>Vides risku samazināšana</w:t>
      </w:r>
      <w:r>
        <w:rPr>
          <w:rFonts w:eastAsia="Times New Roman" w:cs="Times New Roman"/>
          <w:color w:val="000000"/>
          <w:szCs w:val="24"/>
        </w:rPr>
        <w:t>”</w:t>
      </w:r>
      <w:r w:rsidRPr="00BA5E24">
        <w:rPr>
          <w:rFonts w:eastAsia="Times New Roman" w:cs="Times New Roman"/>
          <w:color w:val="000000"/>
          <w:szCs w:val="24"/>
        </w:rPr>
        <w:t xml:space="preserve"> un “Informācijas sistēmu un elektronisko </w:t>
      </w:r>
      <w:r w:rsidRPr="00BA5E24">
        <w:rPr>
          <w:rFonts w:eastAsia="Times New Roman" w:cs="Times New Roman"/>
          <w:color w:val="000000"/>
          <w:szCs w:val="24"/>
        </w:rPr>
        <w:lastRenderedPageBreak/>
        <w:t xml:space="preserve">pakalpojumu </w:t>
      </w:r>
      <w:r w:rsidR="00812872">
        <w:rPr>
          <w:rFonts w:eastAsia="Times New Roman" w:cs="Times New Roman"/>
          <w:color w:val="000000"/>
          <w:szCs w:val="24"/>
        </w:rPr>
        <w:t xml:space="preserve">attīstība”), tomēr arī EM </w:t>
      </w:r>
      <w:r w:rsidRPr="00BA5E24">
        <w:rPr>
          <w:rFonts w:eastAsia="Times New Roman" w:cs="Times New Roman"/>
          <w:color w:val="000000"/>
          <w:szCs w:val="24"/>
        </w:rPr>
        <w:t xml:space="preserve">faktiskā izpilde atpaliek no plānotā par1,9 milj. </w:t>
      </w:r>
      <w:r w:rsidR="00812872">
        <w:rPr>
          <w:rFonts w:eastAsia="Times New Roman" w:cs="Times New Roman"/>
          <w:i/>
          <w:color w:val="000000"/>
          <w:szCs w:val="24"/>
        </w:rPr>
        <w:t>euro</w:t>
      </w:r>
      <w:r w:rsidRPr="00BA5E24">
        <w:rPr>
          <w:rFonts w:eastAsia="Times New Roman" w:cs="Times New Roman"/>
          <w:color w:val="000000"/>
          <w:szCs w:val="24"/>
        </w:rPr>
        <w:t>.</w:t>
      </w:r>
      <w:r w:rsidR="0013549A">
        <w:rPr>
          <w:rFonts w:eastAsia="Times New Roman" w:cs="Times New Roman"/>
          <w:color w:val="000000"/>
          <w:szCs w:val="24"/>
        </w:rPr>
        <w:t xml:space="preserve"> </w:t>
      </w:r>
      <w:r w:rsidR="003F6AB3">
        <w:rPr>
          <w:rFonts w:eastAsia="Times New Roman" w:cs="Times New Roman"/>
          <w:color w:val="000000"/>
          <w:szCs w:val="24"/>
        </w:rPr>
        <w:t xml:space="preserve">Attiecībā uz plānotajiem maksājumiem valsts budžeta iestāžu noslēgtajos līgumos par ES fondu projektu ieviešanu no plānotajiem 256,6 milj </w:t>
      </w:r>
      <w:r w:rsidR="003F6AB3">
        <w:rPr>
          <w:rFonts w:eastAsia="Times New Roman" w:cs="Times New Roman"/>
          <w:i/>
          <w:color w:val="000000"/>
          <w:szCs w:val="24"/>
        </w:rPr>
        <w:t xml:space="preserve">euro </w:t>
      </w:r>
      <w:r w:rsidR="003F6AB3">
        <w:rPr>
          <w:rFonts w:eastAsia="Times New Roman" w:cs="Times New Roman"/>
          <w:color w:val="000000"/>
          <w:szCs w:val="24"/>
        </w:rPr>
        <w:t xml:space="preserve">maksājumi veikti 246,4 milj </w:t>
      </w:r>
      <w:r w:rsidR="003F6AB3">
        <w:rPr>
          <w:rFonts w:eastAsia="Times New Roman" w:cs="Times New Roman"/>
          <w:i/>
          <w:color w:val="000000"/>
          <w:szCs w:val="24"/>
        </w:rPr>
        <w:t>euro</w:t>
      </w:r>
      <w:r w:rsidR="003F6AB3">
        <w:rPr>
          <w:rFonts w:eastAsia="Times New Roman" w:cs="Times New Roman"/>
          <w:color w:val="000000"/>
          <w:szCs w:val="24"/>
        </w:rPr>
        <w:t xml:space="preserve"> apmērā jeb 96,0%. Budžeta plānu pilnā apmērā izpildījusi SM. Lielākā novirze no plāna vērojama VARAM pārraudzīto vides infrastruktūras un IKT aktivitāšu maksājumos – 6,4 milj. </w:t>
      </w:r>
      <w:r w:rsidR="003F6AB3">
        <w:rPr>
          <w:rFonts w:eastAsia="Times New Roman" w:cs="Times New Roman"/>
          <w:i/>
          <w:color w:val="000000"/>
          <w:szCs w:val="24"/>
        </w:rPr>
        <w:t xml:space="preserve">euro </w:t>
      </w:r>
      <w:r w:rsidR="003F6AB3">
        <w:rPr>
          <w:rFonts w:eastAsia="Times New Roman" w:cs="Times New Roman"/>
          <w:color w:val="000000"/>
          <w:szCs w:val="24"/>
        </w:rPr>
        <w:t>jeb 17,3% no projektu maksājumu gada plāna. Divas trešdaļas no minētās neizpildes veidojas vides infrastruktūras projektos saistībā ar ieilgušu</w:t>
      </w:r>
      <w:r w:rsidR="003F6AB3" w:rsidRPr="00DE0F80">
        <w:rPr>
          <w:rFonts w:eastAsia="Times New Roman" w:cs="Times New Roman"/>
          <w:color w:val="000000"/>
          <w:szCs w:val="24"/>
        </w:rPr>
        <w:t xml:space="preserve"> iepirkuma procedūras </w:t>
      </w:r>
      <w:r w:rsidR="003F6AB3">
        <w:rPr>
          <w:rFonts w:eastAsia="Times New Roman" w:cs="Times New Roman"/>
          <w:color w:val="000000"/>
          <w:szCs w:val="24"/>
        </w:rPr>
        <w:t xml:space="preserve">izvērtējumu, rezultātu apstrīdēšanu vai nepieciešamas izmaksu pamatojošas dokumentācijas novēlotu iesniegšanu. </w:t>
      </w:r>
    </w:p>
    <w:p w14:paraId="43D3D765" w14:textId="5D05ABB3" w:rsidR="003F6AB3" w:rsidRDefault="003832EE" w:rsidP="009C497F">
      <w:pPr>
        <w:spacing w:before="240"/>
      </w:pPr>
      <w:r w:rsidRPr="002830A9">
        <w:rPr>
          <w:rFonts w:eastAsia="Times New Roman" w:cs="Times New Roman"/>
          <w:color w:val="000000"/>
          <w:szCs w:val="24"/>
        </w:rPr>
        <w:t xml:space="preserve">Aktuālā informācija par ES fondu valsts budžeta apguvi ik mēnesi tiek ievietota </w:t>
      </w:r>
      <w:hyperlink r:id="rId30" w:history="1">
        <w:r w:rsidRPr="002830A9">
          <w:rPr>
            <w:rFonts w:eastAsia="Times New Roman" w:cs="Times New Roman"/>
            <w:color w:val="000000"/>
            <w:szCs w:val="24"/>
          </w:rPr>
          <w:t>ES fondu interneta vietnē</w:t>
        </w:r>
      </w:hyperlink>
      <w:r w:rsidRPr="002830A9">
        <w:rPr>
          <w:rFonts w:eastAsia="Times New Roman" w:cs="Times New Roman"/>
          <w:color w:val="000000"/>
          <w:szCs w:val="24"/>
          <w:vertAlign w:val="superscript"/>
        </w:rPr>
        <w:footnoteReference w:id="24"/>
      </w:r>
      <w:r w:rsidRPr="002830A9">
        <w:rPr>
          <w:rFonts w:eastAsia="Times New Roman" w:cs="Times New Roman"/>
          <w:color w:val="000000"/>
          <w:szCs w:val="24"/>
        </w:rPr>
        <w:t>.</w:t>
      </w:r>
    </w:p>
    <w:p w14:paraId="6E3DBC57" w14:textId="77777777" w:rsidR="00DF31B3" w:rsidRPr="00B80354" w:rsidRDefault="00DF31B3" w:rsidP="00A268F9">
      <w:pPr>
        <w:spacing w:before="120" w:after="120" w:line="276" w:lineRule="auto"/>
        <w:jc w:val="both"/>
        <w:rPr>
          <w:rFonts w:eastAsia="Times New Roman" w:cs="Times New Roman"/>
          <w:b/>
          <w:i/>
          <w:color w:val="000000"/>
          <w:szCs w:val="24"/>
        </w:rPr>
      </w:pPr>
      <w:r w:rsidRPr="00B80354">
        <w:rPr>
          <w:rFonts w:eastAsia="Times New Roman" w:cs="Times New Roman"/>
          <w:b/>
          <w:i/>
          <w:color w:val="000000"/>
          <w:szCs w:val="24"/>
        </w:rPr>
        <w:t>Informācija par valsts budžeta virssaistībām</w:t>
      </w:r>
    </w:p>
    <w:p w14:paraId="34984AE4" w14:textId="50957724" w:rsidR="004A60DD" w:rsidRDefault="001B558D" w:rsidP="004A60DD">
      <w:pPr>
        <w:spacing w:before="120" w:after="120" w:line="276" w:lineRule="auto"/>
        <w:jc w:val="both"/>
        <w:rPr>
          <w:color w:val="000000"/>
          <w:szCs w:val="24"/>
        </w:rPr>
      </w:pPr>
      <w:r w:rsidRPr="004A60DD">
        <w:rPr>
          <w:color w:val="000000"/>
          <w:szCs w:val="24"/>
        </w:rPr>
        <w:t xml:space="preserve">Lai kompensētu lauztos līgumus, iespējamās neatbilstības un citus riskus, valdība ir iepriekš lēmusi par papildus budžeta virssaistībām ES fondu projektu īstenošanai </w:t>
      </w:r>
      <w:r w:rsidRPr="00DA633A">
        <w:rPr>
          <w:color w:val="000000"/>
          <w:szCs w:val="24"/>
        </w:rPr>
        <w:t>40</w:t>
      </w:r>
      <w:r w:rsidR="00DA633A" w:rsidRPr="00DA633A">
        <w:rPr>
          <w:color w:val="000000"/>
          <w:szCs w:val="24"/>
        </w:rPr>
        <w:t>4</w:t>
      </w:r>
      <w:r w:rsidRPr="00DA633A">
        <w:rPr>
          <w:color w:val="000000"/>
          <w:szCs w:val="24"/>
        </w:rPr>
        <w:t>,</w:t>
      </w:r>
      <w:r w:rsidR="004A60DD" w:rsidRPr="00DA633A">
        <w:rPr>
          <w:color w:val="000000"/>
          <w:szCs w:val="24"/>
        </w:rPr>
        <w:t>5</w:t>
      </w:r>
      <w:r w:rsidR="004A60DD" w:rsidRPr="004A60DD">
        <w:rPr>
          <w:color w:val="000000"/>
          <w:szCs w:val="24"/>
        </w:rPr>
        <w:t xml:space="preserve"> </w:t>
      </w:r>
      <w:r w:rsidRPr="004A60DD">
        <w:rPr>
          <w:color w:val="000000"/>
          <w:szCs w:val="24"/>
        </w:rPr>
        <w:t xml:space="preserve">milj. </w:t>
      </w:r>
      <w:r w:rsidRPr="004A60DD">
        <w:rPr>
          <w:i/>
          <w:color w:val="000000"/>
          <w:szCs w:val="24"/>
        </w:rPr>
        <w:t>euro</w:t>
      </w:r>
      <w:r w:rsidRPr="004A60DD">
        <w:rPr>
          <w:color w:val="000000"/>
          <w:szCs w:val="24"/>
        </w:rPr>
        <w:t xml:space="preserve"> apmērā. </w:t>
      </w:r>
    </w:p>
    <w:p w14:paraId="0D78405C" w14:textId="782F78CC" w:rsidR="001B558D" w:rsidRPr="00EA7F84" w:rsidRDefault="001B558D" w:rsidP="001B558D">
      <w:pPr>
        <w:spacing w:before="120" w:after="120" w:line="276" w:lineRule="auto"/>
        <w:jc w:val="both"/>
        <w:rPr>
          <w:color w:val="000000"/>
          <w:szCs w:val="24"/>
        </w:rPr>
      </w:pPr>
      <w:r w:rsidRPr="00EA7F84">
        <w:rPr>
          <w:color w:val="000000"/>
          <w:szCs w:val="24"/>
        </w:rPr>
        <w:t xml:space="preserve">Līdz 2014.gada </w:t>
      </w:r>
      <w:r w:rsidR="004A60DD" w:rsidRPr="00EA7F84">
        <w:rPr>
          <w:color w:val="000000"/>
          <w:szCs w:val="24"/>
        </w:rPr>
        <w:t>31</w:t>
      </w:r>
      <w:r w:rsidRPr="00EA7F84">
        <w:rPr>
          <w:color w:val="000000"/>
          <w:szCs w:val="24"/>
        </w:rPr>
        <w:t>.</w:t>
      </w:r>
      <w:r w:rsidR="004A60DD" w:rsidRPr="00EA7F84">
        <w:rPr>
          <w:color w:val="000000"/>
          <w:szCs w:val="24"/>
        </w:rPr>
        <w:t xml:space="preserve">decembrim </w:t>
      </w:r>
      <w:r w:rsidRPr="00EA7F84">
        <w:rPr>
          <w:color w:val="000000"/>
          <w:szCs w:val="24"/>
        </w:rPr>
        <w:t xml:space="preserve">noslēgti līgumi </w:t>
      </w:r>
      <w:r w:rsidRPr="000A28D5">
        <w:rPr>
          <w:color w:val="000000"/>
          <w:szCs w:val="24"/>
        </w:rPr>
        <w:t xml:space="preserve">par </w:t>
      </w:r>
      <w:r w:rsidR="00E423B4" w:rsidRPr="000A28D5">
        <w:rPr>
          <w:color w:val="000000"/>
          <w:szCs w:val="24"/>
        </w:rPr>
        <w:t>3</w:t>
      </w:r>
      <w:r w:rsidR="00744B7B">
        <w:rPr>
          <w:color w:val="000000"/>
          <w:szCs w:val="24"/>
        </w:rPr>
        <w:t>87</w:t>
      </w:r>
      <w:r w:rsidR="00EA7F84" w:rsidRPr="000A28D5">
        <w:rPr>
          <w:color w:val="000000"/>
          <w:szCs w:val="24"/>
        </w:rPr>
        <w:t>,5</w:t>
      </w:r>
      <w:r w:rsidRPr="00EA7F84">
        <w:rPr>
          <w:color w:val="000000"/>
          <w:szCs w:val="24"/>
        </w:rPr>
        <w:t xml:space="preserve"> milj. </w:t>
      </w:r>
      <w:r w:rsidRPr="00EA7F84">
        <w:rPr>
          <w:i/>
          <w:color w:val="000000"/>
          <w:szCs w:val="24"/>
        </w:rPr>
        <w:t>euro</w:t>
      </w:r>
      <w:r w:rsidRPr="00EA7F84">
        <w:rPr>
          <w:color w:val="000000"/>
          <w:szCs w:val="24"/>
        </w:rPr>
        <w:t xml:space="preserve"> no kopējā virssaistību </w:t>
      </w:r>
      <w:r w:rsidR="00EA7F84" w:rsidRPr="00EA7F84">
        <w:rPr>
          <w:color w:val="000000"/>
          <w:szCs w:val="24"/>
        </w:rPr>
        <w:t xml:space="preserve">finansējuma, kas ir 96,3 </w:t>
      </w:r>
      <w:r w:rsidRPr="00EA7F84">
        <w:rPr>
          <w:color w:val="000000"/>
          <w:szCs w:val="24"/>
        </w:rPr>
        <w:t>% no pieejamā virssaistību finansējuma.</w:t>
      </w:r>
      <w:r w:rsidR="00D559D0">
        <w:rPr>
          <w:color w:val="000000"/>
          <w:szCs w:val="24"/>
        </w:rPr>
        <w:t xml:space="preserve"> </w:t>
      </w:r>
    </w:p>
    <w:p w14:paraId="5949BE52" w14:textId="51AE7FE8" w:rsidR="001B558D" w:rsidRPr="00B240C8" w:rsidRDefault="001B558D" w:rsidP="001B558D">
      <w:pPr>
        <w:spacing w:before="120" w:after="120" w:line="276" w:lineRule="auto"/>
        <w:jc w:val="both"/>
        <w:rPr>
          <w:color w:val="000000"/>
          <w:szCs w:val="24"/>
        </w:rPr>
      </w:pPr>
      <w:r w:rsidRPr="00B240C8">
        <w:rPr>
          <w:color w:val="000000"/>
          <w:szCs w:val="24"/>
        </w:rPr>
        <w:t>Kopējā plānu neizpilde uz 2014.gada 3</w:t>
      </w:r>
      <w:r w:rsidR="00B240C8" w:rsidRPr="00B240C8">
        <w:rPr>
          <w:color w:val="000000"/>
          <w:szCs w:val="24"/>
        </w:rPr>
        <w:t>1</w:t>
      </w:r>
      <w:r w:rsidRPr="00B240C8">
        <w:rPr>
          <w:color w:val="000000"/>
          <w:szCs w:val="24"/>
        </w:rPr>
        <w:t>.</w:t>
      </w:r>
      <w:r w:rsidR="00B240C8" w:rsidRPr="00B240C8">
        <w:rPr>
          <w:color w:val="000000"/>
          <w:szCs w:val="24"/>
        </w:rPr>
        <w:t>decembri</w:t>
      </w:r>
      <w:r w:rsidRPr="00B240C8">
        <w:rPr>
          <w:color w:val="000000"/>
          <w:szCs w:val="24"/>
        </w:rPr>
        <w:t xml:space="preserve"> </w:t>
      </w:r>
      <w:r w:rsidRPr="00FB290C">
        <w:rPr>
          <w:color w:val="000000"/>
          <w:szCs w:val="24"/>
        </w:rPr>
        <w:t>–</w:t>
      </w:r>
      <w:r w:rsidR="00FB290C" w:rsidRPr="00FB290C">
        <w:rPr>
          <w:color w:val="000000"/>
          <w:szCs w:val="24"/>
        </w:rPr>
        <w:t xml:space="preserve"> 150,5</w:t>
      </w:r>
      <w:r w:rsidR="004369FD">
        <w:rPr>
          <w:color w:val="000000"/>
          <w:szCs w:val="24"/>
        </w:rPr>
        <w:t xml:space="preserve"> </w:t>
      </w:r>
      <w:r w:rsidRPr="00FB290C">
        <w:rPr>
          <w:color w:val="000000"/>
          <w:szCs w:val="24"/>
        </w:rPr>
        <w:t xml:space="preserve">milj. </w:t>
      </w:r>
      <w:r w:rsidRPr="00FB290C">
        <w:rPr>
          <w:i/>
          <w:color w:val="000000"/>
          <w:szCs w:val="24"/>
        </w:rPr>
        <w:t>euro</w:t>
      </w:r>
      <w:r w:rsidRPr="00FB290C">
        <w:rPr>
          <w:color w:val="000000"/>
          <w:szCs w:val="24"/>
        </w:rPr>
        <w:t xml:space="preserve"> </w:t>
      </w:r>
      <w:r w:rsidRPr="00B240C8">
        <w:rPr>
          <w:color w:val="000000"/>
          <w:szCs w:val="24"/>
        </w:rPr>
        <w:t xml:space="preserve">(iepriekšējā ceturksnī </w:t>
      </w:r>
      <w:r w:rsidR="00B240C8" w:rsidRPr="00B240C8">
        <w:rPr>
          <w:color w:val="000000"/>
          <w:szCs w:val="24"/>
        </w:rPr>
        <w:t xml:space="preserve">136,9 </w:t>
      </w:r>
      <w:r w:rsidRPr="00B240C8">
        <w:rPr>
          <w:color w:val="000000"/>
          <w:szCs w:val="24"/>
        </w:rPr>
        <w:t xml:space="preserve">milj. </w:t>
      </w:r>
      <w:r w:rsidRPr="00B240C8">
        <w:rPr>
          <w:i/>
          <w:color w:val="000000"/>
          <w:szCs w:val="24"/>
        </w:rPr>
        <w:t>euro</w:t>
      </w:r>
      <w:r w:rsidR="00744B7B">
        <w:rPr>
          <w:color w:val="000000"/>
          <w:szCs w:val="24"/>
        </w:rPr>
        <w:t>). Tā kā virsssaistību līgumu izpilde ir tuvu 100%, neizpildes ir saistītas ar maksājumu mērķu neizpildi, par ko informācija sadaļā</w:t>
      </w:r>
      <w:r w:rsidR="002331B1">
        <w:rPr>
          <w:color w:val="000000"/>
          <w:szCs w:val="24"/>
        </w:rPr>
        <w:t xml:space="preserve"> “</w:t>
      </w:r>
      <w:r w:rsidR="002331B1" w:rsidRPr="002331B1">
        <w:rPr>
          <w:color w:val="000000"/>
          <w:szCs w:val="24"/>
        </w:rPr>
        <w:t xml:space="preserve">Kopējais ES fondu investīciju </w:t>
      </w:r>
      <w:r w:rsidR="002331B1">
        <w:rPr>
          <w:color w:val="000000"/>
          <w:szCs w:val="24"/>
        </w:rPr>
        <w:t>progress un mērķu sasniegšana”.</w:t>
      </w:r>
    </w:p>
    <w:p w14:paraId="74498EAB" w14:textId="7E3FBFEE" w:rsidR="009C391B" w:rsidRDefault="009C391B" w:rsidP="001B558D">
      <w:pPr>
        <w:spacing w:before="120" w:after="120" w:line="276" w:lineRule="auto"/>
        <w:jc w:val="both"/>
        <w:rPr>
          <w:color w:val="000000"/>
          <w:szCs w:val="24"/>
        </w:rPr>
      </w:pPr>
      <w:r>
        <w:rPr>
          <w:color w:val="000000"/>
          <w:szCs w:val="24"/>
        </w:rPr>
        <w:t xml:space="preserve">Jāatzīmē, ka </w:t>
      </w:r>
      <w:r w:rsidR="00A4407F">
        <w:rPr>
          <w:color w:val="000000"/>
          <w:szCs w:val="24"/>
        </w:rPr>
        <w:t>virssiastību līguma slēgšana ir tuvu noslēgumam. Lielākās aktivit</w:t>
      </w:r>
      <w:r w:rsidR="00186B13">
        <w:rPr>
          <w:color w:val="000000"/>
          <w:szCs w:val="24"/>
        </w:rPr>
        <w:t xml:space="preserve">ātes, kur vēl paredzama līgumu slēgšana ir </w:t>
      </w:r>
      <w:r w:rsidR="002009D7">
        <w:rPr>
          <w:color w:val="000000"/>
          <w:szCs w:val="24"/>
        </w:rPr>
        <w:t xml:space="preserve">3 milj. </w:t>
      </w:r>
      <w:r w:rsidR="002009D7" w:rsidRPr="002009D7">
        <w:rPr>
          <w:i/>
          <w:color w:val="000000"/>
          <w:szCs w:val="24"/>
        </w:rPr>
        <w:t>euro</w:t>
      </w:r>
      <w:r w:rsidR="002009D7">
        <w:rPr>
          <w:color w:val="000000"/>
          <w:szCs w:val="24"/>
        </w:rPr>
        <w:t xml:space="preserve"> virssaistību līgumi EM apakšaktivitātē</w:t>
      </w:r>
      <w:r w:rsidR="002009D7" w:rsidRPr="002009D7">
        <w:rPr>
          <w:color w:val="000000"/>
          <w:szCs w:val="24"/>
        </w:rPr>
        <w:t xml:space="preserve"> „Ārējo tirgu apgūšana - ārējais mārketings”</w:t>
      </w:r>
      <w:r w:rsidR="002009D7">
        <w:rPr>
          <w:color w:val="000000"/>
          <w:szCs w:val="24"/>
        </w:rPr>
        <w:t xml:space="preserve">, kas ļauj secināt, ka lielākā daļa no atlikušajām virssaistībām </w:t>
      </w:r>
      <w:r w:rsidR="00C53CA9">
        <w:rPr>
          <w:color w:val="000000"/>
          <w:szCs w:val="24"/>
        </w:rPr>
        <w:t xml:space="preserve">par ko nav uzņemtas saistības vai uzsāktas projektu atlases ~14,6 milj. </w:t>
      </w:r>
      <w:r w:rsidR="00C53CA9" w:rsidRPr="00C53CA9">
        <w:rPr>
          <w:i/>
          <w:color w:val="000000"/>
          <w:szCs w:val="24"/>
        </w:rPr>
        <w:t>euro</w:t>
      </w:r>
      <w:r w:rsidR="00C53CA9">
        <w:rPr>
          <w:color w:val="000000"/>
          <w:szCs w:val="24"/>
        </w:rPr>
        <w:t xml:space="preserve">, </w:t>
      </w:r>
      <w:r w:rsidR="002009D7">
        <w:rPr>
          <w:color w:val="000000"/>
          <w:szCs w:val="24"/>
        </w:rPr>
        <w:t>par ko šobrīd nav noslēgti l</w:t>
      </w:r>
      <w:r w:rsidR="00437A21">
        <w:rPr>
          <w:color w:val="000000"/>
          <w:szCs w:val="24"/>
        </w:rPr>
        <w:t>īgumi ir atlikumi, kas tiks novirzīti virssaistību dzēšanai.</w:t>
      </w:r>
    </w:p>
    <w:p w14:paraId="27F918FF" w14:textId="77777777" w:rsidR="000A03C6" w:rsidRDefault="000A03C6">
      <w:pPr>
        <w:rPr>
          <w:rFonts w:eastAsia="Calibri" w:cs="Times New Roman"/>
          <w:szCs w:val="24"/>
        </w:rPr>
      </w:pPr>
      <w:r>
        <w:rPr>
          <w:szCs w:val="24"/>
        </w:rPr>
        <w:br w:type="page"/>
      </w:r>
    </w:p>
    <w:p w14:paraId="49D00788" w14:textId="6B39EAFF" w:rsidR="001B558D" w:rsidRPr="00B57653" w:rsidRDefault="001B558D" w:rsidP="001B558D">
      <w:pPr>
        <w:pStyle w:val="FDUKam"/>
        <w:numPr>
          <w:ilvl w:val="0"/>
          <w:numId w:val="0"/>
        </w:numPr>
        <w:spacing w:before="120" w:after="120"/>
        <w:contextualSpacing w:val="0"/>
        <w:rPr>
          <w:sz w:val="24"/>
          <w:szCs w:val="24"/>
        </w:rPr>
      </w:pPr>
      <w:r w:rsidRPr="000552AE">
        <w:rPr>
          <w:sz w:val="24"/>
          <w:szCs w:val="24"/>
        </w:rPr>
        <w:lastRenderedPageBreak/>
        <w:t>Grafiks Nr.</w:t>
      </w:r>
      <w:r w:rsidR="00EE300C">
        <w:rPr>
          <w:sz w:val="24"/>
          <w:szCs w:val="24"/>
        </w:rPr>
        <w:t>9</w:t>
      </w:r>
      <w:r w:rsidR="0042496B" w:rsidRPr="000552AE">
        <w:rPr>
          <w:sz w:val="24"/>
          <w:szCs w:val="24"/>
        </w:rPr>
        <w:t xml:space="preserve"> </w:t>
      </w:r>
      <w:r w:rsidRPr="000552AE">
        <w:rPr>
          <w:i/>
          <w:sz w:val="24"/>
          <w:szCs w:val="24"/>
        </w:rPr>
        <w:t>„Noslēgtie virssaistību līgumi pret pieejamo finansējumu 2014.gada 3</w:t>
      </w:r>
      <w:r w:rsidR="000552AE" w:rsidRPr="000552AE">
        <w:rPr>
          <w:i/>
          <w:sz w:val="24"/>
          <w:szCs w:val="24"/>
        </w:rPr>
        <w:t>1.decembri</w:t>
      </w:r>
      <w:r w:rsidRPr="000552AE">
        <w:rPr>
          <w:i/>
          <w:sz w:val="24"/>
          <w:szCs w:val="24"/>
        </w:rPr>
        <w:t>, milj. euro (% no virssaistību finansējuma).”</w:t>
      </w:r>
    </w:p>
    <w:p w14:paraId="4CBDCC04" w14:textId="308C9C21" w:rsidR="001B558D" w:rsidRPr="00B57653" w:rsidRDefault="00FA3B0E" w:rsidP="001B558D">
      <w:pPr>
        <w:spacing w:before="120" w:after="120" w:line="276" w:lineRule="auto"/>
        <w:rPr>
          <w:color w:val="000000"/>
          <w:sz w:val="22"/>
          <w:szCs w:val="24"/>
        </w:rPr>
      </w:pPr>
      <w:r>
        <w:rPr>
          <w:noProof/>
          <w:lang w:eastAsia="lv-LV"/>
        </w:rPr>
        <w:drawing>
          <wp:inline distT="0" distB="0" distL="0" distR="0" wp14:anchorId="1D4E5E34" wp14:editId="4411F0B7">
            <wp:extent cx="5237250" cy="3420150"/>
            <wp:effectExtent l="0" t="0" r="1905" b="889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FC7488B" w14:textId="0DAA1901" w:rsidR="001B558D" w:rsidRPr="00BC3CDE" w:rsidRDefault="004A60DD" w:rsidP="00BC3CDE">
      <w:pPr>
        <w:spacing w:before="120" w:after="120" w:line="276" w:lineRule="auto"/>
        <w:jc w:val="both"/>
        <w:rPr>
          <w:color w:val="000000" w:themeColor="text1"/>
          <w:szCs w:val="24"/>
        </w:rPr>
      </w:pPr>
      <w:r>
        <w:rPr>
          <w:color w:val="000000" w:themeColor="text1"/>
          <w:szCs w:val="24"/>
        </w:rPr>
        <w:t xml:space="preserve">Ņemot vērā ievērojamo </w:t>
      </w:r>
      <w:r w:rsidR="00DA633A">
        <w:rPr>
          <w:color w:val="000000" w:themeColor="text1"/>
          <w:szCs w:val="24"/>
        </w:rPr>
        <w:t>uzņemto virssaistību apjomu (404</w:t>
      </w:r>
      <w:r>
        <w:rPr>
          <w:color w:val="000000" w:themeColor="text1"/>
          <w:szCs w:val="24"/>
        </w:rPr>
        <w:t xml:space="preserve">,5 milj. </w:t>
      </w:r>
      <w:r w:rsidRPr="00BC5256">
        <w:rPr>
          <w:i/>
          <w:color w:val="000000" w:themeColor="text1"/>
          <w:szCs w:val="24"/>
        </w:rPr>
        <w:t>euro</w:t>
      </w:r>
      <w:r>
        <w:rPr>
          <w:color w:val="000000" w:themeColor="text1"/>
          <w:szCs w:val="24"/>
        </w:rPr>
        <w:t xml:space="preserve">) 2015.gadā īpaša uzmanība tiks pievērsta uzņemto saistību ietekmei uz valsts budžeta deficītu. Šobrīd lielāko risku valsts budžetam rada lielie </w:t>
      </w:r>
      <w:r w:rsidR="006B0EFD">
        <w:rPr>
          <w:color w:val="000000" w:themeColor="text1"/>
          <w:szCs w:val="24"/>
        </w:rPr>
        <w:t>projekti DP</w:t>
      </w:r>
      <w:r w:rsidR="00182036">
        <w:rPr>
          <w:color w:val="000000" w:themeColor="text1"/>
          <w:szCs w:val="24"/>
        </w:rPr>
        <w:t xml:space="preserve"> “Infrastruktūra un pakalpojumi” un projekti, kuriem iespējami pagarinājumi, kas sniedzas ārpus projektu attiecināmības perioda, kā rezultātā iesp</w:t>
      </w:r>
      <w:r w:rsidR="00691410">
        <w:rPr>
          <w:color w:val="000000" w:themeColor="text1"/>
          <w:szCs w:val="24"/>
        </w:rPr>
        <w:t xml:space="preserve">ējams, ka šos projektus vajadzēs </w:t>
      </w:r>
      <w:r w:rsidR="00A25953">
        <w:rPr>
          <w:color w:val="000000" w:themeColor="text1"/>
          <w:szCs w:val="24"/>
        </w:rPr>
        <w:t>īstenot uz valsts budžeta rēķina.</w:t>
      </w:r>
    </w:p>
    <w:p w14:paraId="75D9023E" w14:textId="70897AD3" w:rsidR="0043250B" w:rsidRDefault="00691410" w:rsidP="007B76B8">
      <w:pPr>
        <w:spacing w:before="120" w:after="120" w:line="276" w:lineRule="auto"/>
        <w:jc w:val="both"/>
        <w:rPr>
          <w:rFonts w:eastAsia="Times New Roman"/>
          <w:color w:val="000000"/>
          <w:szCs w:val="24"/>
          <w:highlight w:val="yellow"/>
        </w:rPr>
      </w:pPr>
      <w:r w:rsidRPr="00A25953">
        <w:rPr>
          <w:rFonts w:eastAsia="Times New Roman"/>
          <w:color w:val="000000"/>
          <w:szCs w:val="24"/>
        </w:rPr>
        <w:t xml:space="preserve">Ar iepriekšējā ziņojuma protokollēmumu tika noteikts, </w:t>
      </w:r>
      <w:r w:rsidR="00A25953" w:rsidRPr="00A25953">
        <w:rPr>
          <w:rFonts w:eastAsia="Times New Roman"/>
          <w:color w:val="000000"/>
          <w:szCs w:val="24"/>
        </w:rPr>
        <w:t>ka,</w:t>
      </w:r>
      <w:r w:rsidR="00A25953">
        <w:rPr>
          <w:rFonts w:eastAsia="Times New Roman"/>
          <w:color w:val="000000"/>
          <w:szCs w:val="24"/>
        </w:rPr>
        <w:t xml:space="preserve"> </w:t>
      </w:r>
      <w:r w:rsidR="001210C4">
        <w:rPr>
          <w:rFonts w:eastAsia="Times New Roman"/>
          <w:color w:val="000000"/>
          <w:szCs w:val="24"/>
        </w:rPr>
        <w:t>DP</w:t>
      </w:r>
      <w:r w:rsidR="00A25953">
        <w:rPr>
          <w:rFonts w:eastAsia="Times New Roman"/>
          <w:color w:val="000000"/>
          <w:szCs w:val="24"/>
        </w:rPr>
        <w:t xml:space="preserve"> “Infrastruktūra un pakalpojumi” un “Cilvēkresursi un nodarbinātība”,</w:t>
      </w:r>
      <w:r w:rsidR="00A25953" w:rsidRPr="00A25953">
        <w:rPr>
          <w:rFonts w:eastAsia="Times New Roman"/>
          <w:color w:val="000000"/>
          <w:szCs w:val="24"/>
        </w:rPr>
        <w:t xml:space="preserve"> </w:t>
      </w:r>
      <w:r w:rsidRPr="00A25953">
        <w:rPr>
          <w:rFonts w:eastAsia="Times New Roman"/>
          <w:color w:val="000000"/>
          <w:szCs w:val="24"/>
        </w:rPr>
        <w:t>ņ</w:t>
      </w:r>
      <w:r w:rsidR="0043250B" w:rsidRPr="00A25953">
        <w:rPr>
          <w:rFonts w:eastAsia="Times New Roman"/>
          <w:color w:val="000000"/>
          <w:szCs w:val="24"/>
        </w:rPr>
        <w:t>emot vērā prognozēto negatīvo ietekmi uz vispārējās valdības budžeta deficītu un fiskālo telpu, īpaši 2015.gadā</w:t>
      </w:r>
      <w:r w:rsidR="00A25953">
        <w:rPr>
          <w:rFonts w:eastAsia="Times New Roman"/>
          <w:color w:val="000000"/>
          <w:szCs w:val="24"/>
        </w:rPr>
        <w:t>,</w:t>
      </w:r>
      <w:r w:rsidR="0043250B" w:rsidRPr="00A25953">
        <w:rPr>
          <w:rFonts w:eastAsia="Times New Roman"/>
          <w:color w:val="000000"/>
          <w:szCs w:val="24"/>
        </w:rPr>
        <w:t xml:space="preserve"> </w:t>
      </w:r>
      <w:r w:rsidR="00A25953">
        <w:rPr>
          <w:rFonts w:eastAsia="Times New Roman"/>
          <w:color w:val="000000"/>
          <w:szCs w:val="24"/>
        </w:rPr>
        <w:t>turpmāk netiks</w:t>
      </w:r>
      <w:r w:rsidR="0043250B" w:rsidRPr="00A25953">
        <w:rPr>
          <w:rFonts w:eastAsia="Times New Roman"/>
          <w:color w:val="000000"/>
          <w:szCs w:val="24"/>
        </w:rPr>
        <w:t xml:space="preserve"> atbalstīti priekšlikumi ES fondu un nacionālā publiskā finansējuma, t.sk. budžeta virssaistību izmantošanai finansējuma pārdaļu, ietaupījumu, atbrīvotā finansējuma atkārtotas izmantošanas un citu projekta finansē</w:t>
      </w:r>
      <w:r w:rsidR="00A25953" w:rsidRPr="00A25953">
        <w:rPr>
          <w:rFonts w:eastAsia="Times New Roman"/>
          <w:color w:val="000000"/>
          <w:szCs w:val="24"/>
        </w:rPr>
        <w:t>juma izmaiņu veidā, kā arī neti</w:t>
      </w:r>
      <w:r w:rsidR="0043250B" w:rsidRPr="00A25953">
        <w:rPr>
          <w:rFonts w:eastAsia="Times New Roman"/>
          <w:color w:val="000000"/>
          <w:szCs w:val="24"/>
        </w:rPr>
        <w:t>k</w:t>
      </w:r>
      <w:r w:rsidR="00A25953">
        <w:rPr>
          <w:rFonts w:eastAsia="Times New Roman"/>
          <w:color w:val="000000"/>
          <w:szCs w:val="24"/>
        </w:rPr>
        <w:t>s</w:t>
      </w:r>
      <w:r w:rsidR="0043250B" w:rsidRPr="00A25953">
        <w:rPr>
          <w:rFonts w:eastAsia="Times New Roman"/>
          <w:color w:val="000000"/>
          <w:szCs w:val="24"/>
        </w:rPr>
        <w:t xml:space="preserve"> atļauti projektu īstenošanas termiņa pagarinājumi ES fondu pro</w:t>
      </w:r>
      <w:r w:rsidR="00A25953">
        <w:rPr>
          <w:rFonts w:eastAsia="Times New Roman"/>
          <w:color w:val="000000"/>
          <w:szCs w:val="24"/>
        </w:rPr>
        <w:t xml:space="preserve">jektos, izņemot </w:t>
      </w:r>
      <w:r w:rsidR="00A25953" w:rsidRPr="00A25953">
        <w:rPr>
          <w:rFonts w:eastAsia="Times New Roman"/>
          <w:color w:val="000000"/>
          <w:szCs w:val="24"/>
        </w:rPr>
        <w:t xml:space="preserve">gadījumus, kad </w:t>
      </w:r>
      <w:r w:rsidR="0043250B" w:rsidRPr="00A25953">
        <w:rPr>
          <w:rFonts w:eastAsia="Times New Roman"/>
          <w:color w:val="000000"/>
          <w:szCs w:val="24"/>
        </w:rPr>
        <w:t xml:space="preserve">finansējuma saņēmējs ir valsts budžeta iestāde un ir saņemts </w:t>
      </w:r>
      <w:r w:rsidR="00ED7C81" w:rsidRPr="00A25953">
        <w:rPr>
          <w:rFonts w:eastAsia="Times New Roman"/>
          <w:color w:val="000000"/>
          <w:szCs w:val="24"/>
        </w:rPr>
        <w:t>FM</w:t>
      </w:r>
      <w:r w:rsidR="0043250B" w:rsidRPr="00A25953">
        <w:rPr>
          <w:rFonts w:eastAsia="Times New Roman"/>
          <w:color w:val="000000"/>
          <w:szCs w:val="24"/>
        </w:rPr>
        <w:t xml:space="preserve"> saskaņojums. </w:t>
      </w:r>
    </w:p>
    <w:p w14:paraId="3DE49153" w14:textId="4A2F81C5" w:rsidR="004A60DD" w:rsidRPr="00A25953" w:rsidRDefault="00A25953" w:rsidP="007B76B8">
      <w:pPr>
        <w:spacing w:before="120" w:after="120" w:line="276" w:lineRule="auto"/>
        <w:jc w:val="both"/>
        <w:rPr>
          <w:rFonts w:eastAsia="Times New Roman"/>
          <w:color w:val="000000"/>
          <w:szCs w:val="24"/>
        </w:rPr>
      </w:pPr>
      <w:r w:rsidRPr="00A25953">
        <w:rPr>
          <w:rFonts w:eastAsia="Times New Roman"/>
          <w:color w:val="000000"/>
          <w:szCs w:val="24"/>
        </w:rPr>
        <w:t>Ar šo informatīvo ziņojumu</w:t>
      </w:r>
      <w:r w:rsidR="002331B1">
        <w:rPr>
          <w:rFonts w:eastAsia="Times New Roman"/>
          <w:color w:val="000000"/>
          <w:szCs w:val="24"/>
        </w:rPr>
        <w:t>, ņemot vērā to, ka novērsti finansējuma neapguves riski,</w:t>
      </w:r>
      <w:r w:rsidRPr="00A25953">
        <w:rPr>
          <w:rFonts w:eastAsia="Times New Roman"/>
          <w:color w:val="000000"/>
          <w:szCs w:val="24"/>
        </w:rPr>
        <w:t xml:space="preserve"> FM rosina p</w:t>
      </w:r>
      <w:r w:rsidR="004A60DD" w:rsidRPr="00A25953">
        <w:rPr>
          <w:rFonts w:eastAsia="Times New Roman"/>
          <w:color w:val="000000"/>
          <w:szCs w:val="24"/>
        </w:rPr>
        <w:t>apildināt jau spēkā esošos virss</w:t>
      </w:r>
      <w:r w:rsidR="001210C4">
        <w:rPr>
          <w:rFonts w:eastAsia="Times New Roman"/>
          <w:color w:val="000000"/>
          <w:szCs w:val="24"/>
        </w:rPr>
        <w:t>ai</w:t>
      </w:r>
      <w:r w:rsidR="004A60DD" w:rsidRPr="00A25953">
        <w:rPr>
          <w:rFonts w:eastAsia="Times New Roman"/>
          <w:color w:val="000000"/>
          <w:szCs w:val="24"/>
        </w:rPr>
        <w:t xml:space="preserve">stību izmantošanas disciplīnas pasākumus, nosakot, ka ierobežojumi attiecībā uz projektu pagarinājumiem un atbrīvotā finansējuma atkārtotu izmantošanu attiecas arī uz </w:t>
      </w:r>
      <w:r w:rsidR="001210C4">
        <w:rPr>
          <w:rFonts w:eastAsia="Times New Roman"/>
          <w:color w:val="000000"/>
          <w:szCs w:val="24"/>
        </w:rPr>
        <w:t>DP</w:t>
      </w:r>
      <w:r w:rsidR="004A60DD" w:rsidRPr="00A25953">
        <w:rPr>
          <w:rFonts w:eastAsia="Times New Roman"/>
          <w:color w:val="000000"/>
          <w:szCs w:val="24"/>
        </w:rPr>
        <w:t xml:space="preserve"> “Uzņēmējdarbība un </w:t>
      </w:r>
      <w:r w:rsidR="001210C4">
        <w:rPr>
          <w:rFonts w:eastAsia="Times New Roman"/>
          <w:color w:val="000000"/>
          <w:szCs w:val="24"/>
        </w:rPr>
        <w:t>inovācijas</w:t>
      </w:r>
      <w:r w:rsidR="004A60DD" w:rsidRPr="00A25953">
        <w:rPr>
          <w:rFonts w:eastAsia="Times New Roman"/>
          <w:color w:val="000000"/>
          <w:szCs w:val="24"/>
        </w:rPr>
        <w:t xml:space="preserve">” projektiem. Vienlaikus joprojām spēkā tie paši nosacījumi, ka izņēmumi ir valsts budžeta iestādes vai ir atsevišķs saskaņojums ar FM, kā arī ierobežojumi neattiecas uz projektu līgumu vai vienošanās grozījumu priekšlikumiem, kas iesniegti līgumslēdzējam līdz 2015.gada </w:t>
      </w:r>
      <w:r w:rsidR="00B50464">
        <w:rPr>
          <w:rFonts w:eastAsia="Times New Roman"/>
          <w:color w:val="000000"/>
          <w:szCs w:val="24"/>
        </w:rPr>
        <w:t>31</w:t>
      </w:r>
      <w:r w:rsidR="004A60DD" w:rsidRPr="00A25953">
        <w:rPr>
          <w:rFonts w:eastAsia="Times New Roman"/>
          <w:color w:val="000000"/>
          <w:szCs w:val="24"/>
        </w:rPr>
        <w:t>.martam</w:t>
      </w:r>
      <w:r w:rsidR="00691410" w:rsidRPr="00A25953">
        <w:rPr>
          <w:rFonts w:eastAsia="Times New Roman"/>
          <w:color w:val="000000"/>
          <w:szCs w:val="24"/>
        </w:rPr>
        <w:t>.</w:t>
      </w:r>
    </w:p>
    <w:p w14:paraId="1F769C89" w14:textId="77777777" w:rsidR="003721EE" w:rsidRDefault="003721EE" w:rsidP="00DF31B3">
      <w:pPr>
        <w:spacing w:before="120" w:after="120" w:line="276" w:lineRule="auto"/>
        <w:jc w:val="both"/>
        <w:rPr>
          <w:rFonts w:eastAsia="Times New Roman" w:cs="Times New Roman"/>
          <w:b/>
          <w:color w:val="000000"/>
          <w:szCs w:val="24"/>
        </w:rPr>
      </w:pPr>
    </w:p>
    <w:p w14:paraId="245FE8AC" w14:textId="77777777" w:rsidR="003721EE" w:rsidRDefault="003721EE" w:rsidP="00DF31B3">
      <w:pPr>
        <w:spacing w:before="120" w:after="120" w:line="276" w:lineRule="auto"/>
        <w:jc w:val="both"/>
        <w:rPr>
          <w:rFonts w:eastAsia="Times New Roman" w:cs="Times New Roman"/>
          <w:b/>
          <w:color w:val="000000"/>
          <w:szCs w:val="24"/>
        </w:rPr>
      </w:pPr>
    </w:p>
    <w:p w14:paraId="6E7894E4" w14:textId="77777777" w:rsidR="00DF31B3" w:rsidRPr="006146FF" w:rsidRDefault="00DF31B3" w:rsidP="00DF31B3">
      <w:pPr>
        <w:spacing w:before="120" w:after="120" w:line="276" w:lineRule="auto"/>
        <w:jc w:val="both"/>
        <w:rPr>
          <w:rFonts w:eastAsia="Times New Roman" w:cs="Times New Roman"/>
          <w:b/>
          <w:color w:val="000000"/>
          <w:szCs w:val="24"/>
        </w:rPr>
      </w:pPr>
      <w:r w:rsidRPr="006146FF">
        <w:rPr>
          <w:rFonts w:eastAsia="Times New Roman" w:cs="Times New Roman"/>
          <w:b/>
          <w:color w:val="000000"/>
          <w:szCs w:val="24"/>
        </w:rPr>
        <w:lastRenderedPageBreak/>
        <w:t>Virssaistību ietekme uz vispārējās valdības budžeta bilanci</w:t>
      </w:r>
    </w:p>
    <w:p w14:paraId="22F4D4A8" w14:textId="77777777" w:rsidR="00DF31B3" w:rsidRPr="006146FF" w:rsidRDefault="00DF31B3" w:rsidP="00DF31B3">
      <w:pPr>
        <w:spacing w:before="120" w:after="120" w:line="276" w:lineRule="auto"/>
        <w:jc w:val="both"/>
        <w:rPr>
          <w:rFonts w:eastAsia="Times New Roman" w:cs="Times New Roman"/>
          <w:color w:val="000000"/>
          <w:szCs w:val="24"/>
        </w:rPr>
      </w:pPr>
      <w:r w:rsidRPr="006146FF">
        <w:rPr>
          <w:rFonts w:eastAsia="Times New Roman" w:cs="Times New Roman"/>
          <w:color w:val="000000"/>
          <w:szCs w:val="24"/>
        </w:rPr>
        <w:t xml:space="preserve">Valdībā apstiprināto virssaistību publisko izdevumu ietekme uz vispārējās valdības budžeta bilanci ir novērtējama pēc diviem scenārijiem: </w:t>
      </w:r>
    </w:p>
    <w:p w14:paraId="258F052D" w14:textId="77777777" w:rsidR="00DF31B3" w:rsidRPr="006146FF" w:rsidRDefault="00DF31B3" w:rsidP="00E12DFB">
      <w:pPr>
        <w:numPr>
          <w:ilvl w:val="0"/>
          <w:numId w:val="4"/>
        </w:numPr>
        <w:spacing w:before="120" w:after="120" w:line="276" w:lineRule="auto"/>
        <w:jc w:val="both"/>
        <w:rPr>
          <w:rFonts w:eastAsia="Times New Roman" w:cs="Times New Roman"/>
          <w:color w:val="000000"/>
          <w:szCs w:val="24"/>
        </w:rPr>
      </w:pPr>
      <w:r w:rsidRPr="006146FF">
        <w:rPr>
          <w:rFonts w:eastAsia="Times New Roman" w:cs="Times New Roman"/>
          <w:color w:val="000000"/>
          <w:szCs w:val="24"/>
        </w:rPr>
        <w:t xml:space="preserve">Situācijā, kad izdevumi virssaistību projektu īstenošanai kopā ar pārējiem ES fondu projektu izdevumiem </w:t>
      </w:r>
      <w:r w:rsidRPr="006146FF">
        <w:rPr>
          <w:rFonts w:eastAsia="Times New Roman" w:cs="Times New Roman"/>
          <w:color w:val="000000"/>
          <w:szCs w:val="24"/>
          <w:u w:val="single"/>
        </w:rPr>
        <w:t>nepārsniedz ES fondu piešķīruma</w:t>
      </w:r>
      <w:r w:rsidRPr="006146FF">
        <w:rPr>
          <w:rFonts w:eastAsia="Times New Roman" w:cs="Times New Roman"/>
          <w:color w:val="000000"/>
          <w:szCs w:val="24"/>
        </w:rPr>
        <w:t xml:space="preserve"> kopējo apmēru, virssaistību izdevumi </w:t>
      </w:r>
      <w:r w:rsidRPr="006146FF">
        <w:rPr>
          <w:rFonts w:eastAsia="Times New Roman" w:cs="Times New Roman"/>
          <w:color w:val="000000"/>
          <w:szCs w:val="24"/>
          <w:u w:val="single"/>
        </w:rPr>
        <w:t>nerada papildu ietekmi</w:t>
      </w:r>
      <w:r w:rsidRPr="006146FF">
        <w:rPr>
          <w:rFonts w:eastAsia="Times New Roman" w:cs="Times New Roman"/>
          <w:color w:val="000000"/>
          <w:szCs w:val="24"/>
        </w:rPr>
        <w:t xml:space="preserve"> uz vispārējās valdības budžetu deficītu, tādējādi nodrošinot, ka vispārējās valdības budžeta deficītu veido vienīgi realizēto projektu nacionālā līdzfinansējuma izdevumi.</w:t>
      </w:r>
    </w:p>
    <w:p w14:paraId="7AC66882" w14:textId="77777777" w:rsidR="00DF31B3" w:rsidRPr="006146FF" w:rsidRDefault="00DF31B3" w:rsidP="00E12DFB">
      <w:pPr>
        <w:numPr>
          <w:ilvl w:val="0"/>
          <w:numId w:val="4"/>
        </w:numPr>
        <w:spacing w:before="120" w:after="120" w:line="276" w:lineRule="auto"/>
        <w:jc w:val="both"/>
        <w:rPr>
          <w:rFonts w:eastAsia="Times New Roman" w:cs="Times New Roman"/>
          <w:color w:val="000000"/>
          <w:szCs w:val="24"/>
        </w:rPr>
      </w:pPr>
      <w:r w:rsidRPr="006146FF">
        <w:rPr>
          <w:rFonts w:eastAsia="Times New Roman" w:cs="Times New Roman"/>
          <w:color w:val="000000"/>
          <w:szCs w:val="24"/>
        </w:rPr>
        <w:t xml:space="preserve">Situācijā, kad izdevumi virssaistību projektu īstenošanai kopā ar pārējiem ES fondu projektu izdevumiem </w:t>
      </w:r>
      <w:r w:rsidRPr="006146FF">
        <w:rPr>
          <w:rFonts w:eastAsia="Times New Roman" w:cs="Times New Roman"/>
          <w:color w:val="000000"/>
          <w:szCs w:val="24"/>
          <w:u w:val="single"/>
        </w:rPr>
        <w:t>pārsniedz ES fondu piešķīruma</w:t>
      </w:r>
      <w:r w:rsidRPr="006146FF">
        <w:rPr>
          <w:rFonts w:eastAsia="Times New Roman" w:cs="Times New Roman"/>
          <w:color w:val="000000"/>
          <w:szCs w:val="24"/>
        </w:rPr>
        <w:t xml:space="preserve"> kopējo apmēru, </w:t>
      </w:r>
      <w:r w:rsidRPr="006146FF">
        <w:rPr>
          <w:rFonts w:eastAsia="Times New Roman" w:cs="Times New Roman"/>
          <w:color w:val="000000"/>
          <w:szCs w:val="24"/>
          <w:u w:val="single"/>
        </w:rPr>
        <w:t>virssaistības ir uzskatāmas par nacionālajiem budžeta izdevumiem</w:t>
      </w:r>
      <w:r w:rsidRPr="006146FF">
        <w:rPr>
          <w:rFonts w:eastAsia="Times New Roman" w:cs="Times New Roman"/>
          <w:color w:val="000000"/>
          <w:szCs w:val="24"/>
        </w:rPr>
        <w:t xml:space="preserve"> (faktiski palielinās realizēto projektu nacionālais līdzfinansējums), attiecīgi palielinot arī vispārējās valdības budžeta deficītu, jo par veiktajiem virssaistību izdevumiem valsts budžetā netiek saņemti ārvalstu finanšu palīdzības ieņēmumi (atmaksas no EK). </w:t>
      </w:r>
    </w:p>
    <w:p w14:paraId="28A44946" w14:textId="77777777" w:rsidR="00DF31B3" w:rsidRPr="006146FF" w:rsidRDefault="00DF31B3" w:rsidP="00DF31B3">
      <w:pPr>
        <w:spacing w:before="120" w:after="120" w:line="276" w:lineRule="auto"/>
        <w:jc w:val="both"/>
        <w:rPr>
          <w:rFonts w:eastAsia="Times New Roman" w:cs="Times New Roman"/>
          <w:color w:val="000000"/>
          <w:szCs w:val="24"/>
        </w:rPr>
      </w:pPr>
      <w:r w:rsidRPr="006146FF">
        <w:rPr>
          <w:rFonts w:eastAsia="Times New Roman" w:cs="Times New Roman"/>
          <w:color w:val="000000"/>
          <w:szCs w:val="24"/>
        </w:rPr>
        <w:t xml:space="preserve">Attiecībā uz virssaistību dzēšanu prognozes paliek nemainīgas - virssaistību apjoms līdz 2015.gada beigām varētu tikt </w:t>
      </w:r>
      <w:r w:rsidRPr="000547AD">
        <w:rPr>
          <w:rFonts w:eastAsia="Times New Roman" w:cs="Times New Roman"/>
          <w:color w:val="000000"/>
          <w:szCs w:val="24"/>
        </w:rPr>
        <w:t>dzēsts 162,3 – 215,3 milj.</w:t>
      </w:r>
      <w:r w:rsidRPr="006146FF">
        <w:rPr>
          <w:rFonts w:eastAsia="Times New Roman" w:cs="Times New Roman"/>
          <w:color w:val="000000"/>
          <w:szCs w:val="24"/>
        </w:rPr>
        <w:t xml:space="preserve"> </w:t>
      </w:r>
      <w:r w:rsidRPr="006146FF">
        <w:rPr>
          <w:rFonts w:eastAsia="Times New Roman" w:cs="Times New Roman"/>
          <w:i/>
          <w:color w:val="000000"/>
          <w:szCs w:val="24"/>
        </w:rPr>
        <w:t>euro</w:t>
      </w:r>
      <w:r w:rsidRPr="006146FF">
        <w:rPr>
          <w:rFonts w:eastAsia="Times New Roman" w:cs="Times New Roman"/>
          <w:color w:val="000000"/>
          <w:szCs w:val="24"/>
        </w:rPr>
        <w:t xml:space="preserve"> apmērā.</w:t>
      </w:r>
    </w:p>
    <w:p w14:paraId="39033E71" w14:textId="4C08087A" w:rsidR="00DF31B3" w:rsidRPr="006146FF" w:rsidRDefault="00B95BAE" w:rsidP="00147BE5">
      <w:pPr>
        <w:spacing w:before="120" w:after="120" w:line="276" w:lineRule="auto"/>
        <w:jc w:val="both"/>
        <w:rPr>
          <w:rFonts w:eastAsia="Times New Roman" w:cs="Times New Roman"/>
          <w:color w:val="000000"/>
          <w:szCs w:val="24"/>
        </w:rPr>
      </w:pPr>
      <w:r w:rsidRPr="006146FF">
        <w:rPr>
          <w:color w:val="000000" w:themeColor="text1"/>
          <w:szCs w:val="24"/>
        </w:rPr>
        <w:t xml:space="preserve">Secināms, ka tomēr lielākā daļa virssaistību paliks uz valsts budžeta rēķina, ir īpaši ESF un </w:t>
      </w:r>
      <w:r w:rsidR="008B0C4E">
        <w:rPr>
          <w:color w:val="000000" w:themeColor="text1"/>
          <w:szCs w:val="24"/>
        </w:rPr>
        <w:t>DP</w:t>
      </w:r>
      <w:r w:rsidRPr="006146FF">
        <w:rPr>
          <w:color w:val="000000" w:themeColor="text1"/>
          <w:szCs w:val="24"/>
        </w:rPr>
        <w:t xml:space="preserve"> “Infrastruktūra un pakalpojumi”, kur lielākā daļa projektu īstenotāju ir valsts budžeta iestādes.</w:t>
      </w:r>
    </w:p>
    <w:p w14:paraId="22114FD8" w14:textId="7AFB9D2A" w:rsidR="00785BA7" w:rsidRPr="00B57653" w:rsidRDefault="00785BA7" w:rsidP="00785BA7">
      <w:pPr>
        <w:pStyle w:val="NormalWeb"/>
        <w:shd w:val="clear" w:color="auto" w:fill="FFFFFF"/>
        <w:spacing w:before="120" w:beforeAutospacing="0" w:after="120" w:afterAutospacing="0" w:line="276" w:lineRule="auto"/>
        <w:jc w:val="both"/>
        <w:rPr>
          <w:b/>
          <w:i/>
          <w:color w:val="000000"/>
          <w:lang w:val="lv-LV"/>
        </w:rPr>
      </w:pPr>
      <w:r w:rsidRPr="00B57653">
        <w:rPr>
          <w:b/>
          <w:i/>
          <w:color w:val="000000"/>
          <w:lang w:val="lv-LV"/>
        </w:rPr>
        <w:t>Finanšu instrumenti:</w:t>
      </w:r>
    </w:p>
    <w:p w14:paraId="459E0C8E" w14:textId="74D9617A" w:rsidR="000C5075" w:rsidRDefault="009A6FEF" w:rsidP="009A6FEF">
      <w:pPr>
        <w:pStyle w:val="NormalWeb"/>
        <w:shd w:val="clear" w:color="auto" w:fill="FFFFFF"/>
        <w:spacing w:before="120" w:beforeAutospacing="0" w:after="120" w:afterAutospacing="0" w:line="276" w:lineRule="auto"/>
        <w:jc w:val="both"/>
        <w:rPr>
          <w:color w:val="000000"/>
          <w:lang w:val="lv-LV"/>
        </w:rPr>
      </w:pPr>
      <w:r w:rsidRPr="009A6FEF">
        <w:rPr>
          <w:color w:val="000000"/>
          <w:lang w:val="lv-LV"/>
        </w:rPr>
        <w:t xml:space="preserve">Līdz 2014.gada 31.decembrim DP “Uzņēmējdarbība un inovācijas” ietvaros komersantiem veiktas investīcijas, faktiski izmaksāti aizdevumi un izsniegtas garantijas par 106,3 milj. </w:t>
      </w:r>
      <w:r w:rsidRPr="009A6FEF">
        <w:rPr>
          <w:i/>
          <w:color w:val="000000"/>
          <w:lang w:val="lv-LV"/>
        </w:rPr>
        <w:t xml:space="preserve">euro </w:t>
      </w:r>
      <w:r w:rsidRPr="009A6FEF">
        <w:rPr>
          <w:color w:val="000000"/>
          <w:lang w:val="lv-LV"/>
        </w:rPr>
        <w:t xml:space="preserve">jeb </w:t>
      </w:r>
      <w:r w:rsidR="00BF3E92">
        <w:rPr>
          <w:color w:val="000000"/>
          <w:lang w:val="lv-LV"/>
        </w:rPr>
        <w:t>72</w:t>
      </w:r>
      <w:r w:rsidRPr="009A6FEF">
        <w:rPr>
          <w:color w:val="000000"/>
          <w:lang w:val="lv-LV"/>
        </w:rPr>
        <w:t>,</w:t>
      </w:r>
      <w:r w:rsidR="00BF3E92">
        <w:rPr>
          <w:color w:val="000000"/>
          <w:lang w:val="lv-LV"/>
        </w:rPr>
        <w:t>1</w:t>
      </w:r>
      <w:r w:rsidRPr="009A6FEF">
        <w:rPr>
          <w:color w:val="000000"/>
          <w:lang w:val="lv-LV"/>
        </w:rPr>
        <w:t xml:space="preserve">% no pieejamā ES fondu finansējuma. DP “Cilvēkresursi un nodarbinātība” finansējums </w:t>
      </w:r>
      <w:r w:rsidR="00B253EE">
        <w:rPr>
          <w:color w:val="000000"/>
          <w:lang w:val="lv-LV"/>
        </w:rPr>
        <w:t>izmantots</w:t>
      </w:r>
      <w:r w:rsidR="00B253EE" w:rsidRPr="009A6FEF">
        <w:rPr>
          <w:color w:val="000000"/>
          <w:lang w:val="lv-LV"/>
        </w:rPr>
        <w:t xml:space="preserve"> </w:t>
      </w:r>
      <w:r w:rsidRPr="009A6FEF">
        <w:rPr>
          <w:color w:val="000000"/>
          <w:lang w:val="lv-LV"/>
        </w:rPr>
        <w:t>1</w:t>
      </w:r>
      <w:r w:rsidR="004F3B4E">
        <w:rPr>
          <w:color w:val="000000"/>
          <w:lang w:val="lv-LV"/>
        </w:rPr>
        <w:t>0,1</w:t>
      </w:r>
      <w:r w:rsidRPr="009A6FEF">
        <w:rPr>
          <w:color w:val="000000"/>
          <w:lang w:val="lv-LV"/>
        </w:rPr>
        <w:t xml:space="preserve">4 milj. </w:t>
      </w:r>
      <w:r w:rsidRPr="009A6FEF">
        <w:rPr>
          <w:i/>
          <w:color w:val="000000"/>
          <w:lang w:val="lv-LV"/>
        </w:rPr>
        <w:t>euro</w:t>
      </w:r>
      <w:r w:rsidRPr="009A6FEF">
        <w:rPr>
          <w:color w:val="000000"/>
          <w:lang w:val="lv-LV"/>
        </w:rPr>
        <w:t xml:space="preserve"> jeb </w:t>
      </w:r>
      <w:r w:rsidR="00CB1A12">
        <w:rPr>
          <w:color w:val="000000"/>
          <w:lang w:val="lv-LV"/>
        </w:rPr>
        <w:t>97,8</w:t>
      </w:r>
      <w:r w:rsidRPr="009A6FEF">
        <w:rPr>
          <w:color w:val="000000"/>
          <w:lang w:val="lv-LV"/>
        </w:rPr>
        <w:t>% apjomā no pieejamā ES fondu finansējuma</w:t>
      </w:r>
      <w:r w:rsidR="00CB1A12" w:rsidRPr="00CB1A12">
        <w:rPr>
          <w:color w:val="000000"/>
          <w:lang w:val="lv-LV"/>
        </w:rPr>
        <w:t xml:space="preserve"> un 2015.gada sākumā tiks izlietots pilnā apmērā. Lai nodrošinātu finansējuma pieejamību saimnieciskās darbības uzsācējiem arī turpmāk, Starta programma tiks turpināta apakšaktivitātes “Atbalsts aizdevumu veidā komersantu konkurētspējas uzlabošanai” otrās kārtas ietvaros.</w:t>
      </w:r>
      <w:r w:rsidR="00CB1A12">
        <w:rPr>
          <w:color w:val="000000"/>
          <w:lang w:val="lv-LV"/>
        </w:rPr>
        <w:t xml:space="preserve"> </w:t>
      </w:r>
      <w:r w:rsidR="00A45431" w:rsidRPr="009A6FEF">
        <w:rPr>
          <w:color w:val="000000"/>
          <w:lang w:val="lv-LV"/>
        </w:rPr>
        <w:t>Kopumā finanšu instrumentu ieviešanā vērojams progress</w:t>
      </w:r>
      <w:r w:rsidR="00A45431">
        <w:rPr>
          <w:color w:val="000000"/>
          <w:lang w:val="lv-LV"/>
        </w:rPr>
        <w:t>, taču joprojām jaunajiem izaugsmes riska kapitāla fondiem jāveic ievērojams investīciju apjoms salīdzinoši īsā laika periodā. Būtiski uzsvērt, ka pēdējā ceturksnī ir ievērojami uzlabojusies  izvērtēšanā esošo darījumu skaits un</w:t>
      </w:r>
      <w:r w:rsidR="00A45431" w:rsidRPr="00982CE6">
        <w:rPr>
          <w:color w:val="000000"/>
          <w:lang w:val="lv-LV"/>
        </w:rPr>
        <w:t xml:space="preserve"> </w:t>
      </w:r>
      <w:r w:rsidR="00A45431">
        <w:rPr>
          <w:color w:val="000000"/>
          <w:lang w:val="lv-LV"/>
        </w:rPr>
        <w:t>biznesa projektu kvalitāte, kas pozitīvi ietekmēs ES fondu finansējuma apguvi.</w:t>
      </w:r>
    </w:p>
    <w:p w14:paraId="37CDAB3A" w14:textId="682EAA35" w:rsidR="00F33F71" w:rsidRDefault="000C5075" w:rsidP="009A6FEF">
      <w:pPr>
        <w:pStyle w:val="NormalWeb"/>
        <w:shd w:val="clear" w:color="auto" w:fill="FFFFFF"/>
        <w:spacing w:before="120" w:beforeAutospacing="0" w:after="120" w:afterAutospacing="0" w:line="276" w:lineRule="auto"/>
        <w:jc w:val="both"/>
        <w:rPr>
          <w:color w:val="000000"/>
          <w:lang w:val="lv-LV"/>
        </w:rPr>
      </w:pPr>
      <w:r w:rsidRPr="009A6FEF">
        <w:rPr>
          <w:color w:val="000000"/>
          <w:lang w:val="lv-LV"/>
        </w:rPr>
        <w:t>Vislielākās mērķa neizpildes ir vērojamas aktivitātes “Ieguldījumu fonds investīcijām garantijās, paaugstināta riska aizdevumos, riska kapitāla fondos un cita veida finanšu instrumentos” ietvaros, riska kapitāla fondos ZGI-3, mērķis uz 2014.gada 31.decembri sasniegts par 37,9%, un BALTCAP, kur mērķis sasniegts par 36,5%. Sēklas kapitāla instrumentā – Imprimatur un uzsākšanas kapitāla instrumentā Imprimatur mērķis ir pārpildīts.</w:t>
      </w:r>
    </w:p>
    <w:p w14:paraId="0E6DCB1B" w14:textId="77777777" w:rsidR="003721EE" w:rsidRDefault="003721EE" w:rsidP="009C212F">
      <w:pPr>
        <w:pStyle w:val="NormalWeb"/>
        <w:shd w:val="clear" w:color="auto" w:fill="FFFFFF"/>
        <w:spacing w:before="120" w:beforeAutospacing="0" w:after="120" w:afterAutospacing="0" w:line="276" w:lineRule="auto"/>
        <w:jc w:val="both"/>
        <w:rPr>
          <w:color w:val="000000"/>
          <w:lang w:val="lv-LV"/>
        </w:rPr>
      </w:pPr>
    </w:p>
    <w:p w14:paraId="25157C43" w14:textId="77777777" w:rsidR="003721EE" w:rsidRDefault="003721EE" w:rsidP="009C212F">
      <w:pPr>
        <w:pStyle w:val="NormalWeb"/>
        <w:shd w:val="clear" w:color="auto" w:fill="FFFFFF"/>
        <w:spacing w:before="120" w:beforeAutospacing="0" w:after="120" w:afterAutospacing="0" w:line="276" w:lineRule="auto"/>
        <w:jc w:val="both"/>
        <w:rPr>
          <w:color w:val="000000"/>
          <w:lang w:val="lv-LV"/>
        </w:rPr>
      </w:pPr>
    </w:p>
    <w:p w14:paraId="0C1B6EA7" w14:textId="02BAB54C" w:rsidR="009242F6" w:rsidRPr="00347193" w:rsidRDefault="00733837" w:rsidP="009C212F">
      <w:pPr>
        <w:pStyle w:val="NormalWeb"/>
        <w:shd w:val="clear" w:color="auto" w:fill="FFFFFF"/>
        <w:spacing w:before="120" w:beforeAutospacing="0" w:after="120" w:afterAutospacing="0" w:line="276" w:lineRule="auto"/>
        <w:jc w:val="both"/>
        <w:rPr>
          <w:color w:val="000000"/>
        </w:rPr>
      </w:pPr>
      <w:r>
        <w:rPr>
          <w:color w:val="000000"/>
          <w:lang w:val="lv-LV"/>
        </w:rPr>
        <w:lastRenderedPageBreak/>
        <w:t>Pārskata periodā</w:t>
      </w:r>
      <w:r w:rsidR="009242F6">
        <w:rPr>
          <w:color w:val="000000"/>
          <w:lang w:val="lv-LV"/>
        </w:rPr>
        <w:t xml:space="preserve"> notikušas šādas aktualitātes:</w:t>
      </w:r>
    </w:p>
    <w:p w14:paraId="1FDD19C5" w14:textId="1FC9C331" w:rsidR="009242F6" w:rsidRPr="00B253EE" w:rsidRDefault="009242F6" w:rsidP="009C212F">
      <w:pPr>
        <w:pStyle w:val="NormalWeb"/>
        <w:shd w:val="clear" w:color="auto" w:fill="FFFFFF"/>
        <w:spacing w:before="120" w:beforeAutospacing="0" w:after="120" w:afterAutospacing="0" w:line="276" w:lineRule="auto"/>
        <w:jc w:val="both"/>
        <w:rPr>
          <w:color w:val="000000"/>
          <w:lang w:val="lv-LV"/>
        </w:rPr>
      </w:pPr>
      <w:r>
        <w:rPr>
          <w:color w:val="000000"/>
          <w:lang w:val="lv-LV"/>
        </w:rPr>
        <w:t xml:space="preserve">1) </w:t>
      </w:r>
      <w:r w:rsidR="00A45431" w:rsidRPr="00A45431">
        <w:rPr>
          <w:color w:val="000000"/>
          <w:lang w:val="lv-LV"/>
        </w:rPr>
        <w:t xml:space="preserve">Ņemot vērā apguves progresu periodā līdz 2014.gada 31.decembrim, lai izvērtētu 2007.-2013.gada plānošanas perioda neapguves riskus, </w:t>
      </w:r>
      <w:r>
        <w:rPr>
          <w:color w:val="000000"/>
          <w:lang w:val="lv-LV"/>
        </w:rPr>
        <w:t>ar iepriekšējo ceturkšņa ziņojumu</w:t>
      </w:r>
      <w:r w:rsidRPr="009C212F">
        <w:rPr>
          <w:color w:val="000000"/>
          <w:lang w:val="lv-LV"/>
        </w:rPr>
        <w:t xml:space="preserve"> EM </w:t>
      </w:r>
      <w:r w:rsidR="00883637" w:rsidRPr="009C212F">
        <w:rPr>
          <w:color w:val="000000"/>
          <w:lang w:val="lv-LV"/>
        </w:rPr>
        <w:t xml:space="preserve">tika uzdots </w:t>
      </w:r>
      <w:r w:rsidRPr="009C212F">
        <w:rPr>
          <w:color w:val="000000"/>
          <w:lang w:val="lv-LV"/>
        </w:rPr>
        <w:t xml:space="preserve">līdz 2015.gada 27.februārim </w:t>
      </w:r>
      <w:r w:rsidR="00883637" w:rsidRPr="009C212F">
        <w:rPr>
          <w:color w:val="000000"/>
          <w:lang w:val="lv-LV"/>
        </w:rPr>
        <w:t>ies</w:t>
      </w:r>
      <w:r w:rsidR="009C212F">
        <w:rPr>
          <w:color w:val="000000"/>
          <w:lang w:val="lv-LV"/>
        </w:rPr>
        <w:t>n</w:t>
      </w:r>
      <w:r w:rsidR="00883637" w:rsidRPr="009C212F">
        <w:rPr>
          <w:color w:val="000000"/>
          <w:lang w:val="lv-LV"/>
        </w:rPr>
        <w:t>iegt</w:t>
      </w:r>
      <w:r w:rsidRPr="009C212F">
        <w:rPr>
          <w:color w:val="000000"/>
          <w:lang w:val="lv-LV"/>
        </w:rPr>
        <w:t xml:space="preserve"> izskatīšanai MK ziņojumu par problēmām, priekšlikumiem un detalizētiem pasākumiem, lai tiktu nodrošināta finansējuma apguve, iekļaujot arī skaidrojumu par efektīvu procentu ieņēmumu no brīvo līdzekļu ieguldīšanas un ieņēmumu no izsniegto aizdevumu % maksājumiem un aizdevuma atmaksu izlietošanu, un mācības uz 2014. – 2020.gada plānošanas periodam. </w:t>
      </w:r>
      <w:r w:rsidR="00883637" w:rsidRPr="009C212F">
        <w:rPr>
          <w:color w:val="000000"/>
          <w:lang w:val="lv-LV"/>
        </w:rPr>
        <w:t xml:space="preserve">Nākošajā </w:t>
      </w:r>
      <w:r w:rsidR="00F50264" w:rsidRPr="009C212F">
        <w:rPr>
          <w:color w:val="000000"/>
          <w:lang w:val="lv-LV"/>
        </w:rPr>
        <w:t xml:space="preserve">informatīvajā </w:t>
      </w:r>
      <w:r w:rsidR="00883637" w:rsidRPr="009C212F">
        <w:rPr>
          <w:color w:val="000000"/>
          <w:lang w:val="lv-LV"/>
        </w:rPr>
        <w:t xml:space="preserve">ziņojumā tiks analizēta EM sniegtā informācija un </w:t>
      </w:r>
      <w:r w:rsidR="00A45431" w:rsidRPr="00A45431">
        <w:rPr>
          <w:color w:val="000000"/>
          <w:lang w:val="lv-LV"/>
        </w:rPr>
        <w:t>apguves prognozes, un turpmāk nepieciešamās darbības</w:t>
      </w:r>
      <w:r w:rsidR="00883637" w:rsidRPr="009C212F">
        <w:rPr>
          <w:color w:val="000000"/>
          <w:lang w:val="lv-LV"/>
        </w:rPr>
        <w:t>.</w:t>
      </w:r>
    </w:p>
    <w:p w14:paraId="7187D24A" w14:textId="51CEB2EC" w:rsidR="00A869D2" w:rsidRDefault="009242F6" w:rsidP="00EC465E">
      <w:pPr>
        <w:pStyle w:val="NormalWeb"/>
        <w:shd w:val="clear" w:color="auto" w:fill="FFFFFF"/>
        <w:spacing w:before="120" w:beforeAutospacing="0" w:after="120" w:afterAutospacing="0" w:line="276" w:lineRule="auto"/>
        <w:jc w:val="both"/>
        <w:rPr>
          <w:color w:val="000000"/>
          <w:lang w:val="lv-LV"/>
        </w:rPr>
      </w:pPr>
      <w:r>
        <w:rPr>
          <w:color w:val="000000"/>
          <w:lang w:val="lv-LV"/>
        </w:rPr>
        <w:t xml:space="preserve">2) </w:t>
      </w:r>
      <w:r w:rsidR="009A6FEF" w:rsidRPr="009A6FEF">
        <w:rPr>
          <w:color w:val="000000"/>
          <w:lang w:val="lv-LV"/>
        </w:rPr>
        <w:t xml:space="preserve">Ar EM lēmumu 2014.gada 29.oktobrī </w:t>
      </w:r>
      <w:r w:rsidR="0051531F">
        <w:rPr>
          <w:color w:val="000000"/>
          <w:lang w:val="lv-LV"/>
        </w:rPr>
        <w:t xml:space="preserve">2.2.1.1. </w:t>
      </w:r>
      <w:r w:rsidR="009A6FEF" w:rsidRPr="009A6FEF">
        <w:rPr>
          <w:color w:val="000000"/>
          <w:lang w:val="lv-LV"/>
        </w:rPr>
        <w:t xml:space="preserve">aktivitātei “Ieguldījumu fonds investīcijām garantijās, paaugstināta riska aizdevumos, riska kapitāla fondos un cita veida finanšu instrumentos” </w:t>
      </w:r>
      <w:r w:rsidR="0051531F" w:rsidRPr="0051531F">
        <w:rPr>
          <w:color w:val="000000"/>
          <w:lang w:val="lv-LV"/>
        </w:rPr>
        <w:t>(SEB un SWEDbank aizdevumu instrument</w:t>
      </w:r>
      <w:r w:rsidR="0051531F">
        <w:rPr>
          <w:color w:val="000000"/>
          <w:lang w:val="lv-LV"/>
        </w:rPr>
        <w:t>i</w:t>
      </w:r>
      <w:r w:rsidR="0051531F" w:rsidRPr="0051531F">
        <w:rPr>
          <w:color w:val="000000"/>
          <w:lang w:val="lv-LV"/>
        </w:rPr>
        <w:t xml:space="preserve">) izslēgti neatbilstoši veiktie izdevumi </w:t>
      </w:r>
      <w:r w:rsidR="009A6FEF" w:rsidRPr="009A6FEF">
        <w:rPr>
          <w:color w:val="000000"/>
          <w:lang w:val="lv-LV"/>
        </w:rPr>
        <w:t xml:space="preserve">7,7 milj. </w:t>
      </w:r>
      <w:r w:rsidR="009A6FEF" w:rsidRPr="009A6FEF">
        <w:rPr>
          <w:i/>
          <w:color w:val="000000"/>
          <w:lang w:val="lv-LV"/>
        </w:rPr>
        <w:t>euro</w:t>
      </w:r>
      <w:r w:rsidR="009A6FEF" w:rsidRPr="009A6FEF">
        <w:rPr>
          <w:color w:val="000000"/>
          <w:lang w:val="lv-LV"/>
        </w:rPr>
        <w:t xml:space="preserve"> apmērā, t.sk. publiskais finansējums 3,93 milj. </w:t>
      </w:r>
      <w:r w:rsidR="009A6FEF" w:rsidRPr="009A6FEF">
        <w:rPr>
          <w:i/>
          <w:color w:val="000000"/>
          <w:lang w:val="lv-LV"/>
        </w:rPr>
        <w:t>euro</w:t>
      </w:r>
      <w:r w:rsidR="009A6FEF" w:rsidRPr="009A6FEF">
        <w:rPr>
          <w:color w:val="000000"/>
          <w:lang w:val="lv-LV"/>
        </w:rPr>
        <w:t xml:space="preserve">, kas sastāv no ERAF finansējuma 3,62 milj. </w:t>
      </w:r>
      <w:r w:rsidR="009A6FEF" w:rsidRPr="009A6FEF">
        <w:rPr>
          <w:i/>
          <w:color w:val="000000"/>
          <w:lang w:val="lv-LV"/>
        </w:rPr>
        <w:t>euro</w:t>
      </w:r>
      <w:r w:rsidR="009A6FEF" w:rsidRPr="009A6FEF">
        <w:rPr>
          <w:color w:val="000000"/>
          <w:lang w:val="lv-LV"/>
        </w:rPr>
        <w:t xml:space="preserve"> un valsts budžeta finansējuma 0,31 milj. </w:t>
      </w:r>
      <w:r w:rsidR="009A6FEF" w:rsidRPr="009A6FEF">
        <w:rPr>
          <w:i/>
          <w:color w:val="000000"/>
          <w:lang w:val="lv-LV"/>
        </w:rPr>
        <w:t>euro</w:t>
      </w:r>
      <w:r w:rsidR="009A6FEF" w:rsidRPr="009A6FEF">
        <w:rPr>
          <w:color w:val="000000"/>
          <w:lang w:val="lv-LV"/>
        </w:rPr>
        <w:t xml:space="preserve">, kā arī privātais finansējums 3,75 milj. </w:t>
      </w:r>
      <w:r w:rsidR="009A6FEF" w:rsidRPr="009A6FEF">
        <w:rPr>
          <w:i/>
          <w:color w:val="000000"/>
          <w:lang w:val="lv-LV"/>
        </w:rPr>
        <w:t>euro</w:t>
      </w:r>
      <w:r w:rsidR="009A6FEF" w:rsidRPr="009A6FEF">
        <w:rPr>
          <w:color w:val="000000"/>
          <w:lang w:val="lv-LV"/>
        </w:rPr>
        <w:t>.</w:t>
      </w:r>
      <w:r w:rsidR="00B253EE">
        <w:rPr>
          <w:color w:val="000000"/>
          <w:lang w:val="lv-LV"/>
        </w:rPr>
        <w:t xml:space="preserve"> </w:t>
      </w:r>
      <w:r w:rsidR="0051531F">
        <w:rPr>
          <w:color w:val="000000"/>
          <w:lang w:val="lv-LV"/>
        </w:rPr>
        <w:t>Veicot pārdali</w:t>
      </w:r>
      <w:r w:rsidR="00B253EE">
        <w:rPr>
          <w:color w:val="000000"/>
          <w:lang w:val="lv-LV"/>
        </w:rPr>
        <w:t xml:space="preserve"> uz 2.2.1.4.1. apakšaktivitāti “Atbalsts aizdevumu veidā komersantu konkurētspējas uzlabošanai” otro projektu atlases kārtu</w:t>
      </w:r>
      <w:r w:rsidR="0051531F">
        <w:rPr>
          <w:color w:val="000000"/>
          <w:lang w:val="lv-LV"/>
        </w:rPr>
        <w:t>, privātais finansējums tika pārdalīts mazākā apmērā (1,4 milj.euro apmērā), nekā to nosaka korekcija, jo līdzšinēji uzņemtās saistības riska kapitāla instrumentos spēs nodrošināt privātā līdzfinansējuma deklarēšanu lielākā apmērā.</w:t>
      </w:r>
    </w:p>
    <w:p w14:paraId="2CCC7EBC" w14:textId="7A8F8A83" w:rsidR="00EC465E" w:rsidRPr="00B57653" w:rsidRDefault="00EC465E" w:rsidP="00EC465E">
      <w:pPr>
        <w:pStyle w:val="NormalWeb"/>
        <w:shd w:val="clear" w:color="auto" w:fill="FFFFFF"/>
        <w:spacing w:before="120" w:beforeAutospacing="0" w:after="120" w:afterAutospacing="0" w:line="276" w:lineRule="auto"/>
        <w:jc w:val="both"/>
        <w:rPr>
          <w:color w:val="000000"/>
          <w:lang w:val="lv-LV"/>
        </w:rPr>
      </w:pPr>
      <w:r w:rsidRPr="00B57653">
        <w:rPr>
          <w:color w:val="000000"/>
          <w:lang w:val="lv-LV"/>
        </w:rPr>
        <w:t>Grafiks Nr.</w:t>
      </w:r>
      <w:r w:rsidR="00F707D7" w:rsidRPr="00B57653">
        <w:rPr>
          <w:color w:val="000000"/>
          <w:lang w:val="lv-LV"/>
        </w:rPr>
        <w:t>1</w:t>
      </w:r>
      <w:r w:rsidR="0042496B">
        <w:rPr>
          <w:color w:val="000000"/>
          <w:lang w:val="lv-LV"/>
        </w:rPr>
        <w:t>0</w:t>
      </w:r>
      <w:r w:rsidRPr="00B57653">
        <w:rPr>
          <w:color w:val="000000"/>
          <w:lang w:val="lv-LV"/>
        </w:rPr>
        <w:t xml:space="preserve"> </w:t>
      </w:r>
      <w:r w:rsidRPr="00B57653">
        <w:rPr>
          <w:i/>
          <w:color w:val="000000"/>
          <w:lang w:val="lv-LV"/>
        </w:rPr>
        <w:t>“Ieguldījumu progress līdz 2014.gada 3</w:t>
      </w:r>
      <w:r w:rsidR="00616C9D" w:rsidRPr="00B57653">
        <w:rPr>
          <w:i/>
          <w:color w:val="000000"/>
          <w:lang w:val="lv-LV"/>
        </w:rPr>
        <w:t>1</w:t>
      </w:r>
      <w:r w:rsidRPr="00B57653">
        <w:rPr>
          <w:i/>
          <w:color w:val="000000"/>
          <w:lang w:val="lv-LV"/>
        </w:rPr>
        <w:t>.</w:t>
      </w:r>
      <w:r w:rsidR="00616C9D" w:rsidRPr="00B57653">
        <w:rPr>
          <w:i/>
          <w:color w:val="000000"/>
          <w:lang w:val="lv-LV"/>
        </w:rPr>
        <w:t>dec</w:t>
      </w:r>
      <w:r w:rsidRPr="00B57653">
        <w:rPr>
          <w:i/>
          <w:color w:val="000000"/>
          <w:lang w:val="lv-LV"/>
        </w:rPr>
        <w:t xml:space="preserve">embrim prioritātes „Finanšu pieejamība” ietvaros; ES fondu finansējums, milj. euro, (% no pieejamā ES fondu finansējuma atbilstoši EK apstiprinātajai DP); progress pret datiem </w:t>
      </w:r>
      <w:r w:rsidR="00616C9D" w:rsidRPr="00B57653">
        <w:rPr>
          <w:i/>
          <w:color w:val="000000"/>
          <w:lang w:val="lv-LV"/>
        </w:rPr>
        <w:t>līdz</w:t>
      </w:r>
      <w:r w:rsidRPr="00B57653">
        <w:rPr>
          <w:i/>
          <w:color w:val="000000"/>
          <w:lang w:val="lv-LV"/>
        </w:rPr>
        <w:t xml:space="preserve"> 201</w:t>
      </w:r>
      <w:r w:rsidR="00616C9D" w:rsidRPr="00B57653">
        <w:rPr>
          <w:i/>
          <w:color w:val="000000"/>
          <w:lang w:val="lv-LV"/>
        </w:rPr>
        <w:t>4</w:t>
      </w:r>
      <w:r w:rsidRPr="00B57653">
        <w:rPr>
          <w:i/>
          <w:color w:val="000000"/>
          <w:lang w:val="lv-LV"/>
        </w:rPr>
        <w:t>.gada 30.</w:t>
      </w:r>
      <w:r w:rsidR="00616C9D" w:rsidRPr="00B57653">
        <w:rPr>
          <w:i/>
          <w:color w:val="000000"/>
          <w:lang w:val="lv-LV"/>
        </w:rPr>
        <w:t>septembrim</w:t>
      </w:r>
      <w:r w:rsidRPr="00B57653">
        <w:rPr>
          <w:i/>
          <w:color w:val="000000"/>
          <w:lang w:val="lv-LV"/>
        </w:rPr>
        <w:t>.”</w:t>
      </w:r>
    </w:p>
    <w:p w14:paraId="6A7BDCA4" w14:textId="178E19B4" w:rsidR="00EC465E" w:rsidRPr="00B57653" w:rsidRDefault="00BF3E92" w:rsidP="00EC465E">
      <w:pPr>
        <w:pStyle w:val="NormalWeb"/>
        <w:shd w:val="clear" w:color="auto" w:fill="FFFFFF"/>
        <w:spacing w:before="120" w:beforeAutospacing="0" w:after="120" w:afterAutospacing="0" w:line="276" w:lineRule="auto"/>
        <w:jc w:val="both"/>
        <w:rPr>
          <w:color w:val="000000"/>
          <w:lang w:val="lv-LV"/>
        </w:rPr>
      </w:pPr>
      <w:r>
        <w:rPr>
          <w:noProof/>
          <w:lang w:val="lv-LV" w:eastAsia="lv-LV"/>
        </w:rPr>
        <w:drawing>
          <wp:inline distT="0" distB="0" distL="0" distR="0" wp14:anchorId="417CC8FC" wp14:editId="34C87308">
            <wp:extent cx="5651500" cy="2086610"/>
            <wp:effectExtent l="0" t="0" r="6350" b="889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47E5EA2" w14:textId="77777777" w:rsidR="00EC465E" w:rsidRPr="00B57653" w:rsidRDefault="00EC465E" w:rsidP="00EC465E">
      <w:pPr>
        <w:pStyle w:val="NormalWeb"/>
        <w:shd w:val="clear" w:color="auto" w:fill="FFFFFF"/>
        <w:spacing w:before="120" w:after="120" w:line="276" w:lineRule="auto"/>
        <w:jc w:val="both"/>
        <w:rPr>
          <w:i/>
          <w:color w:val="000000"/>
          <w:sz w:val="20"/>
          <w:szCs w:val="20"/>
          <w:lang w:val="lv-LV"/>
        </w:rPr>
      </w:pPr>
      <w:r w:rsidRPr="00B57653">
        <w:rPr>
          <w:i/>
          <w:color w:val="000000"/>
          <w:sz w:val="20"/>
          <w:szCs w:val="20"/>
          <w:lang w:val="lv-LV"/>
        </w:rPr>
        <w:t xml:space="preserve">* Veiktas investīcijas, faktiski izmaksāti aizdevumi, granti un garantijas. </w:t>
      </w:r>
    </w:p>
    <w:p w14:paraId="3780D868" w14:textId="072B462D" w:rsidR="00EC465E" w:rsidRPr="00B57653" w:rsidRDefault="00EC465E" w:rsidP="00785BA7">
      <w:pPr>
        <w:pStyle w:val="NormalWeb"/>
        <w:shd w:val="clear" w:color="auto" w:fill="FFFFFF"/>
        <w:spacing w:before="120" w:beforeAutospacing="0" w:after="120" w:afterAutospacing="0" w:line="276" w:lineRule="auto"/>
        <w:jc w:val="both"/>
        <w:rPr>
          <w:i/>
          <w:color w:val="000000"/>
          <w:sz w:val="20"/>
          <w:szCs w:val="20"/>
          <w:lang w:val="lv-LV"/>
        </w:rPr>
      </w:pPr>
      <w:r w:rsidRPr="00B57653">
        <w:rPr>
          <w:i/>
          <w:color w:val="000000"/>
          <w:sz w:val="20"/>
          <w:szCs w:val="20"/>
          <w:lang w:val="lv-LV"/>
        </w:rPr>
        <w:t>** Saskaņā ar plānošanas dokumentiem, ieviešot ES fondu garantiju komersantu konkurē</w:t>
      </w:r>
      <w:r w:rsidR="00C71796">
        <w:rPr>
          <w:i/>
          <w:color w:val="000000"/>
          <w:sz w:val="20"/>
          <w:szCs w:val="20"/>
          <w:lang w:val="lv-LV"/>
        </w:rPr>
        <w:t>tspējas uzlabošanai aktivitāti,</w:t>
      </w:r>
      <w:r w:rsidRPr="00B57653">
        <w:rPr>
          <w:i/>
          <w:color w:val="000000"/>
          <w:sz w:val="20"/>
          <w:szCs w:val="20"/>
          <w:lang w:val="lv-LV"/>
        </w:rPr>
        <w:t xml:space="preserve"> tiek izmantots multiplikators x4. (Apgūtais ES fondu finansējums komersantu līmenī garantiju aktivitātes ietvaros aprēķināts pēc formulas: Faktiski izsniegto garantiju apjoms / multiplikators x4)</w:t>
      </w:r>
    </w:p>
    <w:p w14:paraId="4001DCE4" w14:textId="77777777" w:rsidR="000A03C6" w:rsidRDefault="000A03C6">
      <w:pPr>
        <w:rPr>
          <w:rFonts w:eastAsia="Times New Roman" w:cs="Times New Roman"/>
          <w:color w:val="000000"/>
          <w:szCs w:val="24"/>
        </w:rPr>
      </w:pPr>
      <w:r>
        <w:rPr>
          <w:color w:val="000000"/>
        </w:rPr>
        <w:br w:type="page"/>
      </w:r>
    </w:p>
    <w:p w14:paraId="0564199B" w14:textId="1A40B8E5" w:rsidR="00EC465E" w:rsidRPr="00B57653" w:rsidRDefault="00EC465E" w:rsidP="00785BA7">
      <w:pPr>
        <w:pStyle w:val="NormalWeb"/>
        <w:shd w:val="clear" w:color="auto" w:fill="FFFFFF"/>
        <w:spacing w:before="120" w:beforeAutospacing="0" w:after="120" w:afterAutospacing="0" w:line="276" w:lineRule="auto"/>
        <w:jc w:val="both"/>
        <w:rPr>
          <w:i/>
          <w:color w:val="000000"/>
          <w:lang w:val="lv-LV"/>
        </w:rPr>
      </w:pPr>
      <w:r w:rsidRPr="00B57653">
        <w:rPr>
          <w:color w:val="000000"/>
          <w:lang w:val="lv-LV"/>
        </w:rPr>
        <w:lastRenderedPageBreak/>
        <w:t>Grafiks Nr.</w:t>
      </w:r>
      <w:r w:rsidR="00F707D7" w:rsidRPr="00B57653">
        <w:rPr>
          <w:color w:val="000000"/>
          <w:lang w:val="lv-LV"/>
        </w:rPr>
        <w:t>1</w:t>
      </w:r>
      <w:r w:rsidR="0042496B">
        <w:rPr>
          <w:color w:val="000000"/>
          <w:lang w:val="lv-LV"/>
        </w:rPr>
        <w:t>1</w:t>
      </w:r>
      <w:r w:rsidRPr="00B57653">
        <w:rPr>
          <w:color w:val="000000"/>
          <w:lang w:val="lv-LV"/>
        </w:rPr>
        <w:t xml:space="preserve"> </w:t>
      </w:r>
      <w:r w:rsidR="00EE300C">
        <w:rPr>
          <w:i/>
          <w:color w:val="000000"/>
          <w:lang w:val="lv-LV"/>
        </w:rPr>
        <w:t>“Finanšu instrumentu 2014.</w:t>
      </w:r>
      <w:r w:rsidRPr="00B57653">
        <w:rPr>
          <w:i/>
          <w:color w:val="000000"/>
          <w:lang w:val="lv-LV"/>
        </w:rPr>
        <w:t>gada ieviešanas mērķu izpilde kumulatīvi uz 3</w:t>
      </w:r>
      <w:r w:rsidR="00616C9D" w:rsidRPr="00B57653">
        <w:rPr>
          <w:i/>
          <w:color w:val="000000"/>
          <w:lang w:val="lv-LV"/>
        </w:rPr>
        <w:t>1</w:t>
      </w:r>
      <w:r w:rsidRPr="00B57653">
        <w:rPr>
          <w:i/>
          <w:color w:val="000000"/>
          <w:lang w:val="lv-LV"/>
        </w:rPr>
        <w:t>.</w:t>
      </w:r>
      <w:r w:rsidR="00616C9D" w:rsidRPr="00B57653">
        <w:rPr>
          <w:i/>
          <w:color w:val="000000"/>
          <w:lang w:val="lv-LV"/>
        </w:rPr>
        <w:t>12</w:t>
      </w:r>
      <w:r w:rsidRPr="00B57653">
        <w:rPr>
          <w:i/>
          <w:color w:val="000000"/>
          <w:lang w:val="lv-LV"/>
        </w:rPr>
        <w:t>.2014.; ES fondu finansējums, milj. euro (mērķa izpilde, %)”</w:t>
      </w:r>
    </w:p>
    <w:p w14:paraId="03F7B695" w14:textId="36C12F62" w:rsidR="00EC465E" w:rsidRPr="00B57653" w:rsidRDefault="00AA3758" w:rsidP="00785BA7">
      <w:pPr>
        <w:pStyle w:val="NormalWeb"/>
        <w:shd w:val="clear" w:color="auto" w:fill="FFFFFF"/>
        <w:spacing w:before="120" w:beforeAutospacing="0" w:after="120" w:afterAutospacing="0" w:line="276" w:lineRule="auto"/>
        <w:jc w:val="both"/>
        <w:rPr>
          <w:color w:val="000000"/>
          <w:lang w:val="lv-LV"/>
        </w:rPr>
      </w:pPr>
      <w:r w:rsidRPr="00AA3758">
        <w:rPr>
          <w:noProof/>
          <w:sz w:val="22"/>
          <w:szCs w:val="22"/>
          <w:lang w:val="lv-LV" w:eastAsia="lv-LV"/>
        </w:rPr>
        <w:drawing>
          <wp:inline distT="0" distB="0" distL="0" distR="0" wp14:anchorId="2C4384EA" wp14:editId="26DC90BC">
            <wp:extent cx="5584825" cy="3908612"/>
            <wp:effectExtent l="0" t="0" r="15875" b="1587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A1B2CEF" w14:textId="69D6B283" w:rsidR="00F33F71" w:rsidRPr="00F33F71" w:rsidRDefault="00F33F71" w:rsidP="00F33F71">
      <w:pPr>
        <w:pStyle w:val="NormalWeb"/>
        <w:shd w:val="clear" w:color="auto" w:fill="FFFFFF"/>
        <w:spacing w:before="120" w:beforeAutospacing="0" w:after="120" w:afterAutospacing="0" w:line="276" w:lineRule="auto"/>
        <w:jc w:val="both"/>
        <w:rPr>
          <w:color w:val="000000"/>
          <w:lang w:val="lv-LV"/>
        </w:rPr>
      </w:pPr>
      <w:r w:rsidRPr="00F33F71">
        <w:rPr>
          <w:color w:val="000000"/>
          <w:lang w:val="lv-LV"/>
        </w:rPr>
        <w:t>Eiropas Savienības fondu finanšu instrumentu aktivitātēs (2.2.1.1.aktivitāte „Ieguldījumu fonds investīcijām garantijās, paaugstināta riska aizdevumos, riska kapitāla fondos un cita veida finanšu instrumentos”, 2.2.1.4.aktivitāte „Atbalsts aizdevumu veidā komersantu konkurētspējas uzlabošanai”) 2015.gadā E</w:t>
      </w:r>
      <w:r>
        <w:rPr>
          <w:color w:val="000000"/>
          <w:lang w:val="lv-LV"/>
        </w:rPr>
        <w:t xml:space="preserve">konomikas ministrija </w:t>
      </w:r>
      <w:r w:rsidR="00322C57">
        <w:rPr>
          <w:color w:val="000000"/>
          <w:lang w:val="lv-LV"/>
        </w:rPr>
        <w:t>jānodrošina maksājumi</w:t>
      </w:r>
      <w:r w:rsidRPr="00F33F71">
        <w:rPr>
          <w:color w:val="000000"/>
          <w:lang w:val="lv-LV"/>
        </w:rPr>
        <w:t xml:space="preserve"> un investīcijas riska kapitāla, aizdevumu </w:t>
      </w:r>
      <w:r>
        <w:rPr>
          <w:color w:val="000000"/>
          <w:lang w:val="lv-LV"/>
        </w:rPr>
        <w:t xml:space="preserve">un mezanīna veidā, kā arī </w:t>
      </w:r>
      <w:r w:rsidR="00322C57">
        <w:rPr>
          <w:color w:val="000000"/>
          <w:lang w:val="lv-LV"/>
        </w:rPr>
        <w:t>jāsniedz</w:t>
      </w:r>
      <w:r w:rsidRPr="00F33F71">
        <w:rPr>
          <w:color w:val="000000"/>
          <w:lang w:val="lv-LV"/>
        </w:rPr>
        <w:t xml:space="preserve"> garantijas par Eiropas Savienības fondu līdzfinansējuma daļu kopā vismaz 76 866 010 </w:t>
      </w:r>
      <w:r w:rsidRPr="00322C57">
        <w:rPr>
          <w:i/>
          <w:color w:val="000000"/>
          <w:lang w:val="lv-LV"/>
        </w:rPr>
        <w:t>euro</w:t>
      </w:r>
      <w:r w:rsidRPr="00F33F71">
        <w:rPr>
          <w:color w:val="000000"/>
          <w:lang w:val="lv-LV"/>
        </w:rPr>
        <w:t xml:space="preserve"> apmērā</w:t>
      </w:r>
      <w:r>
        <w:rPr>
          <w:color w:val="000000"/>
          <w:lang w:val="lv-LV"/>
        </w:rPr>
        <w:t>.</w:t>
      </w:r>
    </w:p>
    <w:p w14:paraId="69C992C6" w14:textId="6F311BBD" w:rsidR="00252EB5" w:rsidRPr="00B57653" w:rsidRDefault="00785BA7" w:rsidP="009A0CC9">
      <w:pPr>
        <w:pStyle w:val="Default"/>
        <w:spacing w:line="276" w:lineRule="auto"/>
        <w:rPr>
          <w:color w:val="000000" w:themeColor="text1"/>
        </w:rPr>
      </w:pPr>
      <w:r w:rsidRPr="009A6FEF">
        <w:rPr>
          <w:color w:val="000000" w:themeColor="text1"/>
        </w:rPr>
        <w:t xml:space="preserve">Detalizēta informācija par finanšu instrumentu ieviešanas progresu pieejama </w:t>
      </w:r>
      <w:hyperlink r:id="rId34" w:history="1">
        <w:r w:rsidRPr="009A6FEF">
          <w:rPr>
            <w:rStyle w:val="Hyperlink"/>
            <w:color w:val="000000" w:themeColor="text1"/>
          </w:rPr>
          <w:t xml:space="preserve">ES fondu </w:t>
        </w:r>
        <w:r w:rsidR="00467E26" w:rsidRPr="009A6FEF">
          <w:rPr>
            <w:rStyle w:val="Hyperlink"/>
            <w:color w:val="000000" w:themeColor="text1"/>
          </w:rPr>
          <w:t>tīmekļa</w:t>
        </w:r>
        <w:r w:rsidRPr="009A6FEF">
          <w:rPr>
            <w:rStyle w:val="Hyperlink"/>
            <w:color w:val="000000" w:themeColor="text1"/>
          </w:rPr>
          <w:t xml:space="preserve"> vietnē</w:t>
        </w:r>
      </w:hyperlink>
      <w:r w:rsidRPr="009A6FEF">
        <w:rPr>
          <w:rStyle w:val="FootnoteReference"/>
          <w:color w:val="000000" w:themeColor="text1"/>
        </w:rPr>
        <w:footnoteReference w:id="25"/>
      </w:r>
      <w:r w:rsidRPr="009A6FEF">
        <w:rPr>
          <w:color w:val="000000" w:themeColor="text1"/>
        </w:rPr>
        <w:t>.</w:t>
      </w:r>
    </w:p>
    <w:p w14:paraId="6059250E" w14:textId="79002EE9" w:rsidR="00E51DA7" w:rsidRPr="00B57653" w:rsidRDefault="008A1DF3" w:rsidP="00D63924">
      <w:pPr>
        <w:pStyle w:val="3lmenis"/>
        <w:numPr>
          <w:ilvl w:val="2"/>
          <w:numId w:val="41"/>
        </w:numPr>
        <w:ind w:left="0" w:firstLine="0"/>
      </w:pPr>
      <w:bookmarkStart w:id="12" w:name="_Toc412729437"/>
      <w:r w:rsidRPr="00B57653">
        <w:t>R</w:t>
      </w:r>
      <w:r w:rsidR="00582473" w:rsidRPr="00B57653">
        <w:t>isku vadība</w:t>
      </w:r>
      <w:bookmarkEnd w:id="12"/>
    </w:p>
    <w:p w14:paraId="6FE670E7" w14:textId="77777777" w:rsidR="008A1DF3" w:rsidRDefault="008A1DF3" w:rsidP="00E12DFB">
      <w:pPr>
        <w:pStyle w:val="ListParagraph"/>
        <w:numPr>
          <w:ilvl w:val="0"/>
          <w:numId w:val="15"/>
        </w:numPr>
        <w:spacing w:line="276" w:lineRule="auto"/>
        <w:jc w:val="both"/>
        <w:rPr>
          <w:b/>
        </w:rPr>
      </w:pPr>
      <w:r w:rsidRPr="00B57653">
        <w:rPr>
          <w:b/>
        </w:rPr>
        <w:t>Finanšu riski</w:t>
      </w:r>
    </w:p>
    <w:p w14:paraId="077DE325" w14:textId="77777777" w:rsidR="00EE5CFA" w:rsidRDefault="00EE5CFA" w:rsidP="00EE5CFA">
      <w:pPr>
        <w:spacing w:before="120" w:after="120" w:line="276" w:lineRule="auto"/>
        <w:jc w:val="both"/>
        <w:rPr>
          <w:spacing w:val="-4"/>
        </w:rPr>
      </w:pPr>
      <w:r>
        <w:rPr>
          <w:spacing w:val="-4"/>
        </w:rPr>
        <w:t xml:space="preserve">Lielākais izaicinājums veiksmīgā ES fondu investīciju progresa nodrošināšanā 2014.gadā bija maksājumu pieprasījumu iesniegšana EK noteiktajā apjomā, lai </w:t>
      </w:r>
      <w:r w:rsidRPr="00C56B47">
        <w:rPr>
          <w:spacing w:val="-4"/>
        </w:rPr>
        <w:t>novērstu ES fondu pie</w:t>
      </w:r>
      <w:r w:rsidRPr="0086076E">
        <w:rPr>
          <w:spacing w:val="-4"/>
        </w:rPr>
        <w:t>šķīruma zaudēšanas risku</w:t>
      </w:r>
      <w:r w:rsidRPr="00C56B47">
        <w:rPr>
          <w:spacing w:val="-4"/>
        </w:rPr>
        <w:t xml:space="preserve"> </w:t>
      </w:r>
      <w:r>
        <w:rPr>
          <w:spacing w:val="-4"/>
        </w:rPr>
        <w:t xml:space="preserve">darbības programmas “Uzņēmējdarbība un inovācijas”. Novirzes no plānotajiem maksājumu mērķiem tika identificētas jau 2013.gada vasarā, savukārt, 2014.gada septembrī bija skaidrs, ka bez steidzamiem papildus pasākumiem Latvijai iespējams piešķīruma sazmazinājums vismaz 30 milj. </w:t>
      </w:r>
      <w:r w:rsidRPr="005F1B96">
        <w:rPr>
          <w:i/>
          <w:spacing w:val="-4"/>
        </w:rPr>
        <w:t>euro</w:t>
      </w:r>
      <w:r>
        <w:rPr>
          <w:spacing w:val="-4"/>
        </w:rPr>
        <w:t xml:space="preserve"> apmērā. Lai to novērstu, tika izstrādāts rīcības plāns, kas paredzēja </w:t>
      </w:r>
      <w:r w:rsidRPr="003901B2">
        <w:rPr>
          <w:spacing w:val="-4"/>
        </w:rPr>
        <w:t xml:space="preserve">deklarējamo avansu izsniegšana aktivitātē “Augstas pievienotas vērtības investīcijas”, </w:t>
      </w:r>
      <w:r w:rsidRPr="003901B2">
        <w:rPr>
          <w:spacing w:val="-4"/>
        </w:rPr>
        <w:lastRenderedPageBreak/>
        <w:t xml:space="preserve">sarunas ar Valsts kasi par ārkārtas izdevumu deklarācijas un maksājumu pieteikumu iesniegšanu EK, </w:t>
      </w:r>
      <w:r>
        <w:rPr>
          <w:spacing w:val="-4"/>
        </w:rPr>
        <w:t xml:space="preserve">un sadarbībā ar VARAM un VRAA notika projektu pārcelšana no darbības programmas “Infrastruktūra un pakalpojumi” uz darbības programmu “Uzņēmējdarbība un inovācijas”. </w:t>
      </w:r>
    </w:p>
    <w:p w14:paraId="51E933D8" w14:textId="77777777" w:rsidR="00EE5CFA" w:rsidRPr="00BF7939" w:rsidRDefault="00EE5CFA" w:rsidP="00EE5CFA">
      <w:pPr>
        <w:pStyle w:val="FootnoteText"/>
        <w:spacing w:before="120" w:after="120" w:line="276" w:lineRule="auto"/>
        <w:jc w:val="both"/>
        <w:rPr>
          <w:sz w:val="24"/>
          <w:szCs w:val="24"/>
        </w:rPr>
      </w:pPr>
      <w:r w:rsidRPr="00BF7939">
        <w:rPr>
          <w:sz w:val="24"/>
          <w:szCs w:val="24"/>
        </w:rPr>
        <w:t>Pārcelto projektu</w:t>
      </w:r>
      <w:r w:rsidRPr="00BF7939">
        <w:rPr>
          <w:sz w:val="24"/>
          <w:szCs w:val="24"/>
          <w:vertAlign w:val="superscript"/>
        </w:rPr>
        <w:footnoteReference w:id="26"/>
      </w:r>
      <w:r w:rsidRPr="00BF7939">
        <w:rPr>
          <w:sz w:val="24"/>
          <w:szCs w:val="24"/>
          <w:vertAlign w:val="superscript"/>
        </w:rPr>
        <w:t xml:space="preserve"> </w:t>
      </w:r>
      <w:r w:rsidRPr="00BF7939">
        <w:rPr>
          <w:sz w:val="24"/>
          <w:szCs w:val="24"/>
        </w:rPr>
        <w:t>atlase notika saskaņā ar UK apstiprinātajiem projektu izvērtēšanas kritērijiem, projektu pārcelšana noritēja saskaņā ar Ieviešanas regulas</w:t>
      </w:r>
      <w:r w:rsidRPr="00BF7939">
        <w:rPr>
          <w:sz w:val="24"/>
          <w:szCs w:val="24"/>
          <w:vertAlign w:val="superscript"/>
        </w:rPr>
        <w:footnoteReference w:id="27"/>
      </w:r>
      <w:r w:rsidRPr="00BF7939">
        <w:rPr>
          <w:sz w:val="24"/>
          <w:szCs w:val="24"/>
        </w:rPr>
        <w:t xml:space="preserve"> 15. un 16. pantu, un projektu ietvaros noteiktie sasniedzamie rādītāji un mērķi atbilst DP “Uzņēmējdarbība un inovācijas” ietvaros noteiktajam kopējam mērķim, tādejādi ir ievērotas EK noteiktās prasības</w:t>
      </w:r>
      <w:r w:rsidRPr="00BF7939">
        <w:rPr>
          <w:sz w:val="24"/>
          <w:szCs w:val="24"/>
          <w:vertAlign w:val="superscript"/>
        </w:rPr>
        <w:footnoteReference w:id="28"/>
      </w:r>
      <w:r w:rsidRPr="00BF7939">
        <w:rPr>
          <w:sz w:val="24"/>
          <w:szCs w:val="24"/>
          <w:vertAlign w:val="superscript"/>
        </w:rPr>
        <w:t xml:space="preserve"> </w:t>
      </w:r>
      <w:r w:rsidRPr="00BF7939">
        <w:rPr>
          <w:sz w:val="24"/>
          <w:szCs w:val="24"/>
        </w:rPr>
        <w:t xml:space="preserve">attiecībā uz iespējamo projektu pārcelšanu. Par projektu pārcelšanu tika saņemts arī EK apstiprinājums. </w:t>
      </w:r>
    </w:p>
    <w:p w14:paraId="7FA2CCEC" w14:textId="347CDE66" w:rsidR="00EE5CFA" w:rsidRDefault="00EE5CFA" w:rsidP="00EE5CFA">
      <w:pPr>
        <w:spacing w:before="120" w:after="120" w:line="276" w:lineRule="auto"/>
        <w:jc w:val="both"/>
        <w:rPr>
          <w:spacing w:val="-4"/>
        </w:rPr>
      </w:pPr>
      <w:r>
        <w:rPr>
          <w:spacing w:val="-4"/>
        </w:rPr>
        <w:t xml:space="preserve">Šie ārkārtas pasākumi ir devuši rezultātus, un noteiktie minimālie maksājumu pieprasījumu sliekšņi pārsniegti pat par 21,4 milj. </w:t>
      </w:r>
      <w:r w:rsidRPr="005F1B96">
        <w:rPr>
          <w:i/>
          <w:spacing w:val="-4"/>
        </w:rPr>
        <w:t>euro</w:t>
      </w:r>
      <w:r>
        <w:rPr>
          <w:spacing w:val="-4"/>
        </w:rPr>
        <w:t xml:space="preserve">. Ņemot vērā to, ka 2014.gads ir pēdējais, kad noteikts apjoms maksājumu pieprasījumu iesniegšanai Eiropas Komisijā, 2015. un 2016. </w:t>
      </w:r>
      <w:r w:rsidRPr="00D43087">
        <w:rPr>
          <w:spacing w:val="-4"/>
        </w:rPr>
        <w:t>autom</w:t>
      </w:r>
      <w:r w:rsidRPr="008649F4">
        <w:rPr>
          <w:spacing w:val="-4"/>
        </w:rPr>
        <w:t>ātiskās saistību atcelšana</w:t>
      </w:r>
      <w:r w:rsidRPr="0086076E">
        <w:rPr>
          <w:spacing w:val="-4"/>
        </w:rPr>
        <w:t>s</w:t>
      </w:r>
      <w:r w:rsidRPr="00D43087">
        <w:rPr>
          <w:spacing w:val="-4"/>
        </w:rPr>
        <w:t xml:space="preserve"> n</w:t>
      </w:r>
      <w:r w:rsidRPr="008649F4">
        <w:rPr>
          <w:spacing w:val="-4"/>
        </w:rPr>
        <w:t>o Eiropas Komisijas nebūs.</w:t>
      </w:r>
      <w:r>
        <w:rPr>
          <w:spacing w:val="-4"/>
        </w:rPr>
        <w:t xml:space="preserve"> Tomēr arī 2015. 2016. un 2017. gadā Latvijai pietiekoši daudz jāpaveic 2007.-2013.gada plānošanas perioda veiksmīgai ES fondu projektu ieviešanas noslēgšanai. </w:t>
      </w:r>
    </w:p>
    <w:p w14:paraId="3C9D4BCF" w14:textId="6A8F9166" w:rsidR="000A03C6" w:rsidRPr="000A03C6" w:rsidRDefault="00237B63" w:rsidP="000A03C6">
      <w:pPr>
        <w:pStyle w:val="FootnoteText"/>
        <w:spacing w:before="120" w:after="120" w:line="276" w:lineRule="auto"/>
        <w:jc w:val="both"/>
        <w:rPr>
          <w:sz w:val="24"/>
          <w:szCs w:val="22"/>
        </w:rPr>
      </w:pPr>
      <w:r w:rsidRPr="00BF7939">
        <w:rPr>
          <w:sz w:val="24"/>
          <w:szCs w:val="22"/>
        </w:rPr>
        <w:t xml:space="preserve">Līdz 2014.gada beigām DP “Uzņēmējdarbība un inovācijas” ietvaros Latvijai bija jāiesniedz EK maksājumu pieprasījumi par vismaz 591,4 milj. </w:t>
      </w:r>
      <w:r w:rsidRPr="00BF7939">
        <w:rPr>
          <w:i/>
          <w:sz w:val="24"/>
          <w:szCs w:val="22"/>
        </w:rPr>
        <w:t>euro</w:t>
      </w:r>
      <w:r w:rsidRPr="00BF7939">
        <w:rPr>
          <w:sz w:val="24"/>
          <w:szCs w:val="22"/>
        </w:rPr>
        <w:t xml:space="preserve">. Līdz ar pēdējo 2014.gadā iesniegto izdevumu deklarāciju Latvija kopumā EK ir pieprasījusi 612,8 milj. </w:t>
      </w:r>
      <w:r w:rsidRPr="00BF7939">
        <w:rPr>
          <w:i/>
          <w:sz w:val="24"/>
          <w:szCs w:val="22"/>
        </w:rPr>
        <w:t>euro</w:t>
      </w:r>
      <w:r w:rsidRPr="00BF7939">
        <w:rPr>
          <w:sz w:val="24"/>
          <w:szCs w:val="22"/>
        </w:rPr>
        <w:t xml:space="preserve">, tādējādi izvairoties no neto zaudējumiem un pārsniedzot minimālo mērķi </w:t>
      </w:r>
      <w:r w:rsidRPr="009E1BC3">
        <w:rPr>
          <w:sz w:val="24"/>
          <w:szCs w:val="22"/>
        </w:rPr>
        <w:t xml:space="preserve">par 21,4 milj. </w:t>
      </w:r>
      <w:r w:rsidRPr="009E1BC3">
        <w:rPr>
          <w:i/>
          <w:sz w:val="24"/>
          <w:szCs w:val="22"/>
        </w:rPr>
        <w:t>euro</w:t>
      </w:r>
      <w:r w:rsidR="00C71796">
        <w:rPr>
          <w:sz w:val="24"/>
          <w:szCs w:val="22"/>
        </w:rPr>
        <w:t>.</w:t>
      </w:r>
    </w:p>
    <w:p w14:paraId="6779B450" w14:textId="33853124" w:rsidR="00DB2023" w:rsidRDefault="00DB2023" w:rsidP="00DB2023">
      <w:pPr>
        <w:pStyle w:val="Default"/>
        <w:spacing w:after="0" w:line="276" w:lineRule="auto"/>
        <w:rPr>
          <w:i/>
          <w:color w:val="000000" w:themeColor="text1"/>
        </w:rPr>
      </w:pPr>
      <w:r w:rsidRPr="009E43DF">
        <w:rPr>
          <w:color w:val="auto"/>
        </w:rPr>
        <w:t xml:space="preserve">Grafiks </w:t>
      </w:r>
      <w:r w:rsidR="0042496B">
        <w:rPr>
          <w:color w:val="auto"/>
        </w:rPr>
        <w:t>Nr.12</w:t>
      </w:r>
      <w:r w:rsidRPr="009E43DF">
        <w:rPr>
          <w:color w:val="auto"/>
        </w:rPr>
        <w:t xml:space="preserve"> </w:t>
      </w:r>
      <w:r w:rsidRPr="00FF6A72">
        <w:rPr>
          <w:i/>
          <w:color w:val="auto"/>
        </w:rPr>
        <w:t>„</w:t>
      </w:r>
      <w:r w:rsidRPr="00FF6A72">
        <w:rPr>
          <w:rStyle w:val="Strong"/>
          <w:b w:val="0"/>
          <w:bCs w:val="0"/>
          <w:i/>
        </w:rPr>
        <w:t>No EK ERAF DP „Uzņēmējdarbība un inovācijas” ietvaros piepr</w:t>
      </w:r>
      <w:r>
        <w:rPr>
          <w:rStyle w:val="Strong"/>
          <w:b w:val="0"/>
          <w:bCs w:val="0"/>
          <w:i/>
        </w:rPr>
        <w:t>asīto maksājumu prognoze n+2</w:t>
      </w:r>
      <w:r w:rsidRPr="00FF6A72">
        <w:rPr>
          <w:rStyle w:val="Strong"/>
          <w:b w:val="0"/>
          <w:bCs w:val="0"/>
          <w:i/>
        </w:rPr>
        <w:t xml:space="preserve"> mērķu sasniegšanai</w:t>
      </w:r>
      <w:r>
        <w:rPr>
          <w:rStyle w:val="Strong"/>
          <w:b w:val="0"/>
          <w:bCs w:val="0"/>
          <w:i/>
        </w:rPr>
        <w:t>,</w:t>
      </w:r>
      <w:r w:rsidRPr="00FF6A72">
        <w:rPr>
          <w:i/>
          <w:color w:val="auto"/>
        </w:rPr>
        <w:t xml:space="preserve"> milj. euro</w:t>
      </w:r>
      <w:r w:rsidRPr="00FF6A72">
        <w:rPr>
          <w:i/>
          <w:color w:val="000000" w:themeColor="text1"/>
        </w:rPr>
        <w:t>”</w:t>
      </w:r>
    </w:p>
    <w:p w14:paraId="662CF935" w14:textId="18828638" w:rsidR="00DB2023" w:rsidRPr="00434E84" w:rsidRDefault="007D30B2" w:rsidP="00434E84">
      <w:pPr>
        <w:pStyle w:val="FootnoteText"/>
        <w:spacing w:before="120" w:after="120" w:line="276" w:lineRule="auto"/>
        <w:jc w:val="both"/>
        <w:rPr>
          <w:sz w:val="24"/>
          <w:szCs w:val="22"/>
        </w:rPr>
      </w:pPr>
      <w:r w:rsidRPr="007D30B2">
        <w:rPr>
          <w:rFonts w:cs="Times New Roman"/>
          <w:noProof/>
          <w:sz w:val="28"/>
          <w:szCs w:val="22"/>
          <w:lang w:eastAsia="lv-LV"/>
        </w:rPr>
        <w:drawing>
          <wp:inline distT="0" distB="0" distL="0" distR="0" wp14:anchorId="57E28C6E" wp14:editId="5CC15401">
            <wp:extent cx="5651500" cy="2900680"/>
            <wp:effectExtent l="0" t="0" r="6350" b="1397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C03B3DE" w14:textId="065D89EF" w:rsidR="00407080" w:rsidRPr="00820182" w:rsidRDefault="00407080" w:rsidP="00407080">
      <w:pPr>
        <w:spacing w:before="120" w:after="120" w:line="276" w:lineRule="auto"/>
        <w:jc w:val="both"/>
      </w:pPr>
      <w:r w:rsidRPr="00CE79D7">
        <w:rPr>
          <w:b/>
        </w:rPr>
        <w:lastRenderedPageBreak/>
        <w:t>DP “Infrastruktūra un pakalpojumi” ERAF un KF n+2 princips ir izpildīts</w:t>
      </w:r>
      <w:r w:rsidRPr="00820182">
        <w:rPr>
          <w:b/>
        </w:rPr>
        <w:t xml:space="preserve">. </w:t>
      </w:r>
      <w:r w:rsidR="004902AA">
        <w:t>Taču ņemot vērā aktuālās prognozes par maksājuma pieprasījumiem EK, pastāv risks, ka KF finansējums netiks izmantots pilnā apmērā. Maksājuma pieprasījumu</w:t>
      </w:r>
      <w:r w:rsidR="00647720">
        <w:t xml:space="preserve"> EK</w:t>
      </w:r>
      <w:r w:rsidR="004902AA">
        <w:t xml:space="preserve"> prognožu samazinājums ir saistīts ar esoš</w:t>
      </w:r>
      <w:r w:rsidR="00842904">
        <w:t>aj</w:t>
      </w:r>
      <w:r w:rsidR="004902AA">
        <w:t xml:space="preserve">ām un </w:t>
      </w:r>
      <w:r w:rsidR="00842904">
        <w:t>prognozētajām</w:t>
      </w:r>
      <w:r w:rsidR="004902AA">
        <w:t xml:space="preserve"> neatbilstībām, lauztajiem līgumiem</w:t>
      </w:r>
      <w:r w:rsidR="00842904">
        <w:t>, piemēram</w:t>
      </w:r>
      <w:r w:rsidR="00FF3EB4">
        <w:t xml:space="preserve"> </w:t>
      </w:r>
      <w:r w:rsidR="00842904" w:rsidRPr="00842904">
        <w:t>centralizētās siltumapgādes efektivitātes uzlabošanas apakšaktivitātē</w:t>
      </w:r>
      <w:r w:rsidR="00842904">
        <w:t xml:space="preserve">, </w:t>
      </w:r>
      <w:r w:rsidR="00842904" w:rsidRPr="00842904">
        <w:t>ūdenssaimniecības un atkritumu apsaimniekošanas aktivitātēs</w:t>
      </w:r>
      <w:r w:rsidR="00842904">
        <w:t>, kā arī ar</w:t>
      </w:r>
      <w:r w:rsidR="004902AA">
        <w:t xml:space="preserve"> finansējuma ietaupījumu projektu ietvaros</w:t>
      </w:r>
      <w:r w:rsidR="00842904">
        <w:t xml:space="preserve">, piemēram </w:t>
      </w:r>
      <w:r w:rsidR="00842904" w:rsidRPr="00842904">
        <w:t>TEN-T autoceļu tīkla uzlabojumu aktivitātē</w:t>
      </w:r>
      <w:r w:rsidR="00842904">
        <w:t xml:space="preserve">. Iespējami KF </w:t>
      </w:r>
      <w:r w:rsidR="00842904" w:rsidRPr="00842904">
        <w:t>zaudējuma riska novēršanas risinājumi</w:t>
      </w:r>
      <w:r w:rsidR="00842904">
        <w:t xml:space="preserve"> ir ERAF projektu pārcelšana </w:t>
      </w:r>
      <w:r w:rsidR="002A320A">
        <w:t xml:space="preserve">uz KF un </w:t>
      </w:r>
      <w:r w:rsidR="00E44821">
        <w:t>DP grozī</w:t>
      </w:r>
      <w:r w:rsidR="002A320A">
        <w:t>jumi</w:t>
      </w:r>
      <w:r w:rsidR="005F0F38">
        <w:t xml:space="preserve"> 2015.gada I.</w:t>
      </w:r>
      <w:r w:rsidR="00E84F8C">
        <w:t>ceturksnī</w:t>
      </w:r>
      <w:r w:rsidR="00305EB9">
        <w:t xml:space="preserve">, </w:t>
      </w:r>
      <w:r w:rsidR="00F42315">
        <w:t>izmantojot ieguvumus no EK noteikatjām prioritāšu likmēm.</w:t>
      </w:r>
      <w:r w:rsidR="00E9716C">
        <w:t xml:space="preserve"> Turklāt VI </w:t>
      </w:r>
      <w:r w:rsidR="00E9716C" w:rsidRPr="00E9716C">
        <w:rPr>
          <w:iCs/>
        </w:rPr>
        <w:t xml:space="preserve">turpinās neierobežot </w:t>
      </w:r>
      <w:r w:rsidR="00E9716C" w:rsidRPr="00E9716C">
        <w:t>Kohēzijas</w:t>
      </w:r>
      <w:r w:rsidR="003C129B">
        <w:t xml:space="preserve"> </w:t>
      </w:r>
      <w:r w:rsidR="00E9716C" w:rsidRPr="00E9716C">
        <w:t>fonda finansējuma ietaupījumu vai atlikumu pārdales, lai veicinātu sekmīgu KF apguvi</w:t>
      </w:r>
      <w:r w:rsidR="003C129B">
        <w:t xml:space="preserve"> un </w:t>
      </w:r>
      <w:r>
        <w:t xml:space="preserve">pastiprināti </w:t>
      </w:r>
      <w:r w:rsidR="003C129B">
        <w:t>uzraudzīs</w:t>
      </w:r>
      <w:r w:rsidRPr="00820182">
        <w:t xml:space="preserve"> ES struktūrfondu piešķīruma</w:t>
      </w:r>
      <w:r>
        <w:t xml:space="preserve"> apguves procesu, lai nodrošinātu piešķiruma pilnīgu apguvi līdz 2007.-2013. g</w:t>
      </w:r>
      <w:r w:rsidR="00C71796">
        <w:t>ada plānošanas perioda beigām.</w:t>
      </w:r>
    </w:p>
    <w:p w14:paraId="34BAAE07" w14:textId="2C70F987" w:rsidR="006C0074" w:rsidRPr="00B57653" w:rsidRDefault="006C0074" w:rsidP="00D63924">
      <w:pPr>
        <w:pStyle w:val="3lmenis"/>
        <w:numPr>
          <w:ilvl w:val="2"/>
          <w:numId w:val="41"/>
        </w:numPr>
        <w:ind w:left="0" w:firstLine="0"/>
      </w:pPr>
      <w:bookmarkStart w:id="13" w:name="_Toc412729438"/>
      <w:r w:rsidRPr="00B57653">
        <w:t>Konstatētie riski ES fondu ie</w:t>
      </w:r>
      <w:r w:rsidR="009A0CC9" w:rsidRPr="00B57653">
        <w:t xml:space="preserve">viešanas uzraudzības procesā </w:t>
      </w:r>
      <w:r w:rsidRPr="00B57653">
        <w:t>un rīcības plāns</w:t>
      </w:r>
      <w:bookmarkEnd w:id="13"/>
    </w:p>
    <w:p w14:paraId="68BEACE0" w14:textId="77777777" w:rsidR="00434E84" w:rsidRDefault="00434E84" w:rsidP="00434E84">
      <w:pPr>
        <w:spacing w:before="120" w:after="120" w:line="276" w:lineRule="auto"/>
        <w:jc w:val="both"/>
        <w:rPr>
          <w:rFonts w:cs="Times New Roman"/>
        </w:rPr>
      </w:pPr>
      <w:r>
        <w:rPr>
          <w:rFonts w:cs="Times New Roman"/>
        </w:rPr>
        <w:t>Atbilstoši informācijai, kuru AI sniegušas pusgada ziņojumos</w:t>
      </w:r>
      <w:r>
        <w:rPr>
          <w:rStyle w:val="FootnoteReference"/>
        </w:rPr>
        <w:footnoteReference w:id="29"/>
      </w:r>
      <w:r>
        <w:rPr>
          <w:rFonts w:cs="Times New Roman"/>
        </w:rPr>
        <w:t>, pārskata periodā turpinājusies aktuālo problēmu risināšana un, ņemot vērā AI sniegto informāciju, VI ir aktualizējusi rīcības plānu, kas pieejams ES fondu tīmekļa vietnē</w:t>
      </w:r>
      <w:r>
        <w:rPr>
          <w:rStyle w:val="FootnoteReference"/>
        </w:rPr>
        <w:footnoteReference w:id="30"/>
      </w:r>
      <w:r>
        <w:rPr>
          <w:rFonts w:cs="Times New Roman"/>
        </w:rPr>
        <w:t>. Aktuālie jautājumi ir šādi:</w:t>
      </w:r>
    </w:p>
    <w:p w14:paraId="75FAF6F2" w14:textId="09338188" w:rsidR="00434E84" w:rsidRDefault="00434E84" w:rsidP="00434E84">
      <w:pPr>
        <w:spacing w:before="120" w:after="120" w:line="276" w:lineRule="auto"/>
        <w:jc w:val="both"/>
        <w:rPr>
          <w:rFonts w:cs="Times New Roman"/>
        </w:rPr>
      </w:pPr>
      <w:r w:rsidRPr="00DD5B4C">
        <w:rPr>
          <w:rFonts w:cs="Times New Roman"/>
        </w:rPr>
        <w:t xml:space="preserve">a) </w:t>
      </w:r>
      <w:r w:rsidRPr="00F6361F">
        <w:rPr>
          <w:rFonts w:cs="Times New Roman"/>
        </w:rPr>
        <w:t>EM vērs</w:t>
      </w:r>
      <w:r>
        <w:rPr>
          <w:rFonts w:cs="Times New Roman"/>
        </w:rPr>
        <w:t>usi</w:t>
      </w:r>
      <w:r w:rsidRPr="00F6361F">
        <w:rPr>
          <w:rFonts w:cs="Times New Roman"/>
        </w:rPr>
        <w:t xml:space="preserve"> uzmanību</w:t>
      </w:r>
      <w:r>
        <w:rPr>
          <w:rFonts w:cs="Times New Roman"/>
        </w:rPr>
        <w:t>,</w:t>
      </w:r>
      <w:r w:rsidRPr="00F6361F">
        <w:rPr>
          <w:rFonts w:cs="Times New Roman"/>
        </w:rPr>
        <w:t xml:space="preserve"> </w:t>
      </w:r>
      <w:r>
        <w:rPr>
          <w:rFonts w:cs="Times New Roman"/>
        </w:rPr>
        <w:t>ka</w:t>
      </w:r>
      <w:r w:rsidRPr="00F6361F">
        <w:rPr>
          <w:rFonts w:cs="Times New Roman"/>
        </w:rPr>
        <w:t xml:space="preserve"> </w:t>
      </w:r>
      <w:r>
        <w:rPr>
          <w:rFonts w:cs="Times New Roman"/>
        </w:rPr>
        <w:t xml:space="preserve">lai nodrošinātu </w:t>
      </w:r>
      <w:r w:rsidRPr="00F6361F">
        <w:rPr>
          <w:rFonts w:cs="Times New Roman"/>
        </w:rPr>
        <w:t>elektroniskās uzskaites</w:t>
      </w:r>
      <w:r>
        <w:rPr>
          <w:rFonts w:cs="Times New Roman"/>
        </w:rPr>
        <w:t xml:space="preserve"> sistēmas</w:t>
      </w:r>
      <w:r w:rsidRPr="00F6361F">
        <w:rPr>
          <w:rFonts w:cs="Times New Roman"/>
        </w:rPr>
        <w:t xml:space="preserve"> izveidi </w:t>
      </w:r>
      <w:r>
        <w:rPr>
          <w:rFonts w:cs="Times New Roman"/>
        </w:rPr>
        <w:t>ES</w:t>
      </w:r>
      <w:r w:rsidRPr="00DD5B4C">
        <w:rPr>
          <w:rFonts w:cs="Times New Roman"/>
        </w:rPr>
        <w:t xml:space="preserve"> regulējum</w:t>
      </w:r>
      <w:r>
        <w:rPr>
          <w:rFonts w:cs="Times New Roman"/>
        </w:rPr>
        <w:t>a</w:t>
      </w:r>
      <w:r w:rsidRPr="00DD5B4C">
        <w:rPr>
          <w:rFonts w:cs="Times New Roman"/>
        </w:rPr>
        <w:t xml:space="preserve"> </w:t>
      </w:r>
      <w:r w:rsidRPr="00927049">
        <w:rPr>
          <w:rFonts w:cs="Times New Roman"/>
          <w:i/>
        </w:rPr>
        <w:t>„de minimis”</w:t>
      </w:r>
      <w:r w:rsidRPr="00DD5B4C">
        <w:rPr>
          <w:rFonts w:cs="Times New Roman"/>
        </w:rPr>
        <w:t xml:space="preserve"> atbalsta uzskaites nodrošināšanai ir iespējami divi varianti – deklarācijas formas vai informācijas sistēma. Izveidotā sistēma </w:t>
      </w:r>
      <w:r w:rsidRPr="00927049">
        <w:rPr>
          <w:rFonts w:cs="Times New Roman"/>
          <w:i/>
        </w:rPr>
        <w:t>“de minimis”</w:t>
      </w:r>
      <w:r w:rsidRPr="00DD5B4C">
        <w:rPr>
          <w:rFonts w:cs="Times New Roman"/>
        </w:rPr>
        <w:t xml:space="preserve"> atbalsta uzskaitei Latvijā atbilst </w:t>
      </w:r>
      <w:r>
        <w:rPr>
          <w:rFonts w:cs="Times New Roman"/>
        </w:rPr>
        <w:t xml:space="preserve">ES līmenī noteiktajām prasībām. </w:t>
      </w:r>
      <w:r w:rsidRPr="00DD5B4C">
        <w:rPr>
          <w:rFonts w:cs="Times New Roman"/>
        </w:rPr>
        <w:t xml:space="preserve">Tā kā nozaru ministrijas un citi atbalsta sniedzēji ir izrādījuši vēlmi šādu informācijas sistēmu lietot arī Latvijā, </w:t>
      </w:r>
      <w:r>
        <w:rPr>
          <w:rFonts w:cs="Times New Roman"/>
        </w:rPr>
        <w:t>FM</w:t>
      </w:r>
      <w:r w:rsidRPr="00DD5B4C">
        <w:rPr>
          <w:rFonts w:cs="Times New Roman"/>
        </w:rPr>
        <w:t xml:space="preserve"> apzina šādas informācijas sistēmas lietderīb</w:t>
      </w:r>
      <w:r>
        <w:rPr>
          <w:rFonts w:cs="Times New Roman"/>
        </w:rPr>
        <w:t>u</w:t>
      </w:r>
      <w:r w:rsidRPr="00DD5B4C">
        <w:rPr>
          <w:rFonts w:cs="Times New Roman"/>
        </w:rPr>
        <w:t xml:space="preserve"> un nepieciešamību. Tādējādi 2015.gada janvārī FM ir noslēgusi līgumu par izvērtējuma veikšanu par informācijas sistēmas iespējamu izveidi Latvijā </w:t>
      </w:r>
      <w:r w:rsidR="00927049">
        <w:rPr>
          <w:rFonts w:cs="Times New Roman"/>
          <w:i/>
        </w:rPr>
        <w:t>“</w:t>
      </w:r>
      <w:r w:rsidRPr="00927049">
        <w:rPr>
          <w:rFonts w:cs="Times New Roman"/>
          <w:i/>
        </w:rPr>
        <w:t>de minimis”</w:t>
      </w:r>
      <w:r w:rsidRPr="00DD5B4C">
        <w:rPr>
          <w:rFonts w:cs="Times New Roman"/>
        </w:rPr>
        <w:t xml:space="preserve"> atbalsta uzskaitei. </w:t>
      </w:r>
      <w:r>
        <w:rPr>
          <w:rFonts w:cs="Times New Roman"/>
        </w:rPr>
        <w:t>FM izskatot</w:t>
      </w:r>
      <w:r w:rsidRPr="00DD5B4C">
        <w:rPr>
          <w:rFonts w:cs="Times New Roman"/>
        </w:rPr>
        <w:t xml:space="preserve"> neatkarīgu u</w:t>
      </w:r>
      <w:r>
        <w:rPr>
          <w:rFonts w:cs="Times New Roman"/>
        </w:rPr>
        <w:t>n objektīvu ekspertu viedokli un</w:t>
      </w:r>
      <w:r w:rsidRPr="00DD5B4C">
        <w:rPr>
          <w:rFonts w:cs="Times New Roman"/>
        </w:rPr>
        <w:t xml:space="preserve"> argumentus</w:t>
      </w:r>
      <w:r>
        <w:rPr>
          <w:rFonts w:cs="Times New Roman"/>
        </w:rPr>
        <w:t>,</w:t>
      </w:r>
      <w:r w:rsidRPr="00DD5B4C">
        <w:rPr>
          <w:rFonts w:cs="Times New Roman"/>
        </w:rPr>
        <w:t xml:space="preserve"> </w:t>
      </w:r>
      <w:r>
        <w:rPr>
          <w:rFonts w:cs="Times New Roman"/>
        </w:rPr>
        <w:t>vērtēs</w:t>
      </w:r>
      <w:r w:rsidRPr="00DD5B4C">
        <w:rPr>
          <w:rFonts w:cs="Times New Roman"/>
        </w:rPr>
        <w:t>, vai ir lietderīgi un nepieciešams paredzēt resursus</w:t>
      </w:r>
      <w:r>
        <w:rPr>
          <w:rFonts w:cs="Times New Roman"/>
        </w:rPr>
        <w:t xml:space="preserve"> minētās</w:t>
      </w:r>
      <w:r w:rsidRPr="00DD5B4C">
        <w:rPr>
          <w:rFonts w:cs="Times New Roman"/>
        </w:rPr>
        <w:t xml:space="preserve"> informācijas sistēmas izstrādei un uzturēšanai. </w:t>
      </w:r>
    </w:p>
    <w:p w14:paraId="37E09F7F" w14:textId="23617446" w:rsidR="00434E84" w:rsidRPr="00DD5B4C" w:rsidRDefault="00434E84" w:rsidP="00434E84">
      <w:pPr>
        <w:spacing w:before="120" w:after="120" w:line="276" w:lineRule="auto"/>
        <w:jc w:val="both"/>
        <w:rPr>
          <w:rFonts w:cs="Times New Roman"/>
        </w:rPr>
      </w:pPr>
      <w:r>
        <w:rPr>
          <w:rFonts w:cs="Times New Roman"/>
        </w:rPr>
        <w:t>b)</w:t>
      </w:r>
      <w:r w:rsidRPr="00DD5B4C">
        <w:rPr>
          <w:rFonts w:cs="Times New Roman"/>
        </w:rPr>
        <w:t xml:space="preserve"> </w:t>
      </w:r>
      <w:r>
        <w:rPr>
          <w:rFonts w:cs="Times New Roman"/>
        </w:rPr>
        <w:t>Ņemot vērā</w:t>
      </w:r>
      <w:r w:rsidRPr="00DD5B4C">
        <w:rPr>
          <w:rFonts w:cs="Times New Roman"/>
        </w:rPr>
        <w:t xml:space="preserve"> IZM </w:t>
      </w:r>
      <w:r>
        <w:rPr>
          <w:rFonts w:cs="Times New Roman"/>
        </w:rPr>
        <w:t>iepriekš izteikto nepieciešamību veidot</w:t>
      </w:r>
      <w:r w:rsidRPr="00DD5B4C">
        <w:rPr>
          <w:rFonts w:cs="Times New Roman"/>
        </w:rPr>
        <w:t xml:space="preserve"> centralizētu zinātnisko pētījumu datubāzi</w:t>
      </w:r>
      <w:r>
        <w:rPr>
          <w:rFonts w:cs="Times New Roman"/>
        </w:rPr>
        <w:t>, lai novērstu informācijas dublēšanos un mazinātu dubultā finansējuma risku,</w:t>
      </w:r>
      <w:r w:rsidRPr="00DD5B4C">
        <w:rPr>
          <w:rFonts w:cs="Times New Roman"/>
        </w:rPr>
        <w:t xml:space="preserve"> VIAA elekt</w:t>
      </w:r>
      <w:r>
        <w:rPr>
          <w:rFonts w:cs="Times New Roman"/>
        </w:rPr>
        <w:t>roniskā pasta sarakstē informē</w:t>
      </w:r>
      <w:r w:rsidRPr="00DD5B4C">
        <w:rPr>
          <w:rFonts w:cs="Times New Roman"/>
        </w:rPr>
        <w:t>, ka publiskā iepirkuma procedūra “Nacionālās zinātniskās darbības</w:t>
      </w:r>
      <w:r w:rsidR="00C71796">
        <w:rPr>
          <w:rFonts w:cs="Times New Roman"/>
        </w:rPr>
        <w:t xml:space="preserve"> informācijas sistēmas izveide"</w:t>
      </w:r>
      <w:r w:rsidRPr="00DD5B4C">
        <w:rPr>
          <w:rFonts w:cs="Times New Roman"/>
        </w:rPr>
        <w:t xml:space="preserve"> ir uzsākta. Savus piedāvājumus pretendenti varēja </w:t>
      </w:r>
      <w:r>
        <w:rPr>
          <w:rFonts w:cs="Times New Roman"/>
        </w:rPr>
        <w:t>ie</w:t>
      </w:r>
      <w:r w:rsidRPr="00DD5B4C">
        <w:rPr>
          <w:rFonts w:cs="Times New Roman"/>
        </w:rPr>
        <w:t>sniegt līdz 2014.gada 24.novembr</w:t>
      </w:r>
      <w:r>
        <w:rPr>
          <w:rFonts w:cs="Times New Roman"/>
        </w:rPr>
        <w:t>i</w:t>
      </w:r>
      <w:r w:rsidRPr="00DD5B4C">
        <w:rPr>
          <w:rFonts w:cs="Times New Roman"/>
        </w:rPr>
        <w:t>m, un 2015.gada janvārī ir plānota iesniegto piedāvājumu vērtēšana. Līgum</w:t>
      </w:r>
      <w:r>
        <w:rPr>
          <w:rFonts w:cs="Times New Roman"/>
        </w:rPr>
        <w:t>a</w:t>
      </w:r>
      <w:r w:rsidRPr="00DD5B4C">
        <w:rPr>
          <w:rFonts w:cs="Times New Roman"/>
        </w:rPr>
        <w:t xml:space="preserve"> noslēgšana ir plānota 2015.gada janvāra beigā</w:t>
      </w:r>
      <w:r>
        <w:rPr>
          <w:rFonts w:cs="Times New Roman"/>
        </w:rPr>
        <w:t>s</w:t>
      </w:r>
      <w:r w:rsidRPr="00DD5B4C">
        <w:rPr>
          <w:rFonts w:cs="Times New Roman"/>
        </w:rPr>
        <w:t>. Savukārt, līguma darb</w:t>
      </w:r>
      <w:r>
        <w:rPr>
          <w:rFonts w:cs="Times New Roman"/>
        </w:rPr>
        <w:t>u</w:t>
      </w:r>
      <w:r w:rsidRPr="00DD5B4C">
        <w:rPr>
          <w:rFonts w:cs="Times New Roman"/>
        </w:rPr>
        <w:t xml:space="preserve"> izpilde paredzēta 2015.gada jūlija beig</w:t>
      </w:r>
      <w:r>
        <w:rPr>
          <w:rFonts w:cs="Times New Roman"/>
        </w:rPr>
        <w:t>ā</w:t>
      </w:r>
      <w:r w:rsidRPr="00DD5B4C">
        <w:rPr>
          <w:rFonts w:cs="Times New Roman"/>
        </w:rPr>
        <w:t>s.</w:t>
      </w:r>
    </w:p>
    <w:p w14:paraId="3F538F19" w14:textId="5A9BC8B8" w:rsidR="00434E84" w:rsidRPr="00DD5B4C" w:rsidRDefault="00C71796" w:rsidP="00434E84">
      <w:pPr>
        <w:spacing w:before="120" w:after="120" w:line="276" w:lineRule="auto"/>
        <w:jc w:val="both"/>
        <w:rPr>
          <w:rFonts w:cs="Times New Roman"/>
        </w:rPr>
      </w:pPr>
      <w:r>
        <w:rPr>
          <w:rFonts w:cs="Times New Roman"/>
        </w:rPr>
        <w:t>c) Attiecībā uz</w:t>
      </w:r>
      <w:r w:rsidR="00434E84" w:rsidRPr="00DD5B4C">
        <w:rPr>
          <w:rFonts w:cs="Times New Roman"/>
        </w:rPr>
        <w:t xml:space="preserve"> ilgtspējas nodrošināšanu un pēcuzraudzību</w:t>
      </w:r>
      <w:r w:rsidR="00434E84">
        <w:rPr>
          <w:rFonts w:cs="Times New Roman"/>
        </w:rPr>
        <w:t xml:space="preserve"> ESF aktivitātēs</w:t>
      </w:r>
      <w:r w:rsidR="00434E84" w:rsidRPr="00DD5B4C">
        <w:rPr>
          <w:rFonts w:cs="Times New Roman"/>
        </w:rPr>
        <w:t>, kurās nav produktīvi ieguldījumi un nav noteikts valsts atbalst</w:t>
      </w:r>
      <w:r>
        <w:rPr>
          <w:rFonts w:cs="Times New Roman"/>
        </w:rPr>
        <w:t>s,</w:t>
      </w:r>
      <w:r w:rsidR="00434E84" w:rsidRPr="00DD5B4C">
        <w:rPr>
          <w:rFonts w:cs="Times New Roman"/>
        </w:rPr>
        <w:t xml:space="preserve"> un iespējamiem risinājumiem, lai </w:t>
      </w:r>
      <w:r w:rsidR="00434E84" w:rsidRPr="00DD5B4C">
        <w:rPr>
          <w:rFonts w:cs="Times New Roman"/>
        </w:rPr>
        <w:lastRenderedPageBreak/>
        <w:t>atslogotu ESF aktivitāšu administrēšanā iesaistīto institūciju darbu (t.sk. projektos veicamajām par pārbaudēm), pēc kons</w:t>
      </w:r>
      <w:r>
        <w:rPr>
          <w:rFonts w:cs="Times New Roman"/>
        </w:rPr>
        <w:t>ultācijām ar Eiropas Komisiju (DG EMPL</w:t>
      </w:r>
      <w:r w:rsidR="00434E84" w:rsidRPr="00DD5B4C">
        <w:rPr>
          <w:rFonts w:cs="Times New Roman"/>
        </w:rPr>
        <w:t>) gada sanāksmes laikā vadošā iestāde pēc papildu izvērtēju</w:t>
      </w:r>
      <w:r>
        <w:rPr>
          <w:rFonts w:cs="Times New Roman"/>
        </w:rPr>
        <w:t xml:space="preserve">ma par iespējamiem </w:t>
      </w:r>
      <w:r w:rsidR="00434E84" w:rsidRPr="00DD5B4C">
        <w:rPr>
          <w:rFonts w:cs="Times New Roman"/>
        </w:rPr>
        <w:t>grozījumiem normatīvajos aktos sniegs viedokli, kā arī informāciju par turpmāko rīcību 2015.gada pirmajā pusē programmas slēgšanas procesa ietvaros.</w:t>
      </w:r>
    </w:p>
    <w:p w14:paraId="241E9BD5" w14:textId="3E36A914" w:rsidR="00AF477A" w:rsidRDefault="00434E84" w:rsidP="003457AC">
      <w:pPr>
        <w:tabs>
          <w:tab w:val="left" w:pos="284"/>
        </w:tabs>
        <w:spacing w:before="120" w:after="120" w:line="276" w:lineRule="auto"/>
        <w:jc w:val="both"/>
        <w:rPr>
          <w:rFonts w:cs="Times New Roman"/>
        </w:rPr>
      </w:pPr>
      <w:r w:rsidRPr="00DD5B4C">
        <w:rPr>
          <w:rFonts w:cs="Times New Roman"/>
        </w:rPr>
        <w:t>d)</w:t>
      </w:r>
      <w:r>
        <w:rPr>
          <w:rFonts w:cs="Times New Roman"/>
        </w:rPr>
        <w:t xml:space="preserve"> Ņemot vērā VARAM ierosinātos grozījumus noteikt par diviem gadiem ilgāku garantijas periodu par</w:t>
      </w:r>
      <w:r w:rsidRPr="00DD5B4C">
        <w:rPr>
          <w:rFonts w:cs="Times New Roman"/>
        </w:rPr>
        <w:t xml:space="preserve"> ES fondu līdzekļ</w:t>
      </w:r>
      <w:r>
        <w:rPr>
          <w:rFonts w:cs="Times New Roman"/>
        </w:rPr>
        <w:t>iem</w:t>
      </w:r>
      <w:r w:rsidRPr="00DD5B4C">
        <w:rPr>
          <w:rFonts w:cs="Times New Roman"/>
        </w:rPr>
        <w:t xml:space="preserve"> finansētajām būvēm,</w:t>
      </w:r>
      <w:r>
        <w:rPr>
          <w:rFonts w:cs="Times New Roman"/>
        </w:rPr>
        <w:t xml:space="preserve"> pārskata periodā turpinājās sarakste ar VARAM par grozījumu</w:t>
      </w:r>
      <w:r w:rsidRPr="00DD5B4C">
        <w:rPr>
          <w:rFonts w:cs="Times New Roman"/>
        </w:rPr>
        <w:t xml:space="preserve"> virzīšanu izskatīšanai EM kā par būvniecības nozar</w:t>
      </w:r>
      <w:r>
        <w:rPr>
          <w:rFonts w:cs="Times New Roman"/>
        </w:rPr>
        <w:t>i</w:t>
      </w:r>
      <w:r w:rsidRPr="00DD5B4C">
        <w:rPr>
          <w:rFonts w:cs="Times New Roman"/>
        </w:rPr>
        <w:t xml:space="preserve"> atbildīg</w:t>
      </w:r>
      <w:r>
        <w:rPr>
          <w:rFonts w:cs="Times New Roman"/>
        </w:rPr>
        <w:t>ajai</w:t>
      </w:r>
      <w:r w:rsidRPr="00DD5B4C">
        <w:rPr>
          <w:rFonts w:cs="Times New Roman"/>
        </w:rPr>
        <w:t xml:space="preserve"> iestād</w:t>
      </w:r>
      <w:r>
        <w:rPr>
          <w:rFonts w:cs="Times New Roman"/>
        </w:rPr>
        <w:t>ei</w:t>
      </w:r>
      <w:r w:rsidRPr="00DD5B4C">
        <w:rPr>
          <w:rFonts w:cs="Times New Roman"/>
        </w:rPr>
        <w:t xml:space="preserve">. </w:t>
      </w:r>
      <w:r>
        <w:rPr>
          <w:rFonts w:cs="Times New Roman"/>
        </w:rPr>
        <w:t xml:space="preserve">2014. gada 9. februārī </w:t>
      </w:r>
      <w:r w:rsidRPr="00DD5B4C">
        <w:rPr>
          <w:rFonts w:cs="Times New Roman"/>
        </w:rPr>
        <w:t>MK t</w:t>
      </w:r>
      <w:r>
        <w:rPr>
          <w:rFonts w:cs="Times New Roman"/>
        </w:rPr>
        <w:t>ika izsludināti jauni grozījumi,</w:t>
      </w:r>
      <w:r w:rsidRPr="00DD5B4C">
        <w:rPr>
          <w:rFonts w:cs="Times New Roman"/>
        </w:rPr>
        <w:t xml:space="preserve"> </w:t>
      </w:r>
      <w:r>
        <w:rPr>
          <w:rFonts w:cs="Times New Roman"/>
        </w:rPr>
        <w:t>n</w:t>
      </w:r>
      <w:r w:rsidRPr="00DD5B4C">
        <w:rPr>
          <w:rFonts w:cs="Times New Roman"/>
        </w:rPr>
        <w:t>oteikum</w:t>
      </w:r>
      <w:r>
        <w:rPr>
          <w:rFonts w:cs="Times New Roman"/>
        </w:rPr>
        <w:t>u</w:t>
      </w:r>
      <w:r w:rsidRPr="00DD5B4C">
        <w:rPr>
          <w:rFonts w:cs="Times New Roman"/>
        </w:rPr>
        <w:t xml:space="preserve"> Nr. 529 "Ēku būvnoteikumi" 179.punktā, kas nosaka</w:t>
      </w:r>
      <w:r w:rsidR="00C71796">
        <w:rPr>
          <w:rFonts w:cs="Times New Roman"/>
        </w:rPr>
        <w:t>, ka nododot ēku ekspluatācijā,</w:t>
      </w:r>
      <w:r w:rsidRPr="00DD5B4C">
        <w:rPr>
          <w:rFonts w:cs="Times New Roman"/>
        </w:rPr>
        <w:t xml:space="preserve"> pieņemšanas nodošanas aktā (turpmāk – PNA) norāda ar pasūtītāju saskaņotu termiņu, kurā pasūtītājs </w:t>
      </w:r>
      <w:r>
        <w:rPr>
          <w:rFonts w:cs="Times New Roman"/>
        </w:rPr>
        <w:t>ir tiesīgs</w:t>
      </w:r>
      <w:r w:rsidRPr="00DD5B4C">
        <w:rPr>
          <w:rFonts w:cs="Times New Roman"/>
        </w:rPr>
        <w:t xml:space="preserve"> prasīt, lai būvdarbu veicējs par saviem līdzekļiem novērš būvdarbu defektus, kas </w:t>
      </w:r>
      <w:r>
        <w:rPr>
          <w:rFonts w:cs="Times New Roman"/>
        </w:rPr>
        <w:t>radušies</w:t>
      </w:r>
      <w:r w:rsidRPr="00DD5B4C">
        <w:rPr>
          <w:rFonts w:cs="Times New Roman"/>
        </w:rPr>
        <w:t xml:space="preserve"> pēc ēkas nodošanas ekspluatācijā. Minimālais būvdarbu garantijas termiņš pēc PNA parakstīšanas ir trīs gadi otrās grupas ēkām, un pieci gadi trešās grupas ēkām. </w:t>
      </w:r>
    </w:p>
    <w:p w14:paraId="2864C969" w14:textId="7F01B342" w:rsidR="00B837A8" w:rsidRPr="008B0C4E" w:rsidRDefault="00B837A8" w:rsidP="00C90EB0">
      <w:pPr>
        <w:spacing w:before="120" w:after="120" w:line="276" w:lineRule="auto"/>
        <w:jc w:val="both"/>
        <w:rPr>
          <w:bCs/>
          <w:color w:val="000000" w:themeColor="text1"/>
          <w:szCs w:val="24"/>
        </w:rPr>
      </w:pPr>
      <w:r>
        <w:rPr>
          <w:bCs/>
          <w:color w:val="000000" w:themeColor="text1"/>
          <w:szCs w:val="24"/>
        </w:rPr>
        <w:t>Atbilstoši iepriekšējā ziņojumā sniegtajai informācijai par p</w:t>
      </w:r>
      <w:r w:rsidRPr="000A57D8">
        <w:rPr>
          <w:bCs/>
          <w:color w:val="000000" w:themeColor="text1"/>
          <w:szCs w:val="24"/>
        </w:rPr>
        <w:t>r</w:t>
      </w:r>
      <w:r>
        <w:rPr>
          <w:bCs/>
          <w:color w:val="000000" w:themeColor="text1"/>
          <w:szCs w:val="24"/>
        </w:rPr>
        <w:t>ojektu</w:t>
      </w:r>
      <w:r w:rsidRPr="000A57D8">
        <w:rPr>
          <w:bCs/>
          <w:color w:val="000000" w:themeColor="text1"/>
          <w:szCs w:val="24"/>
        </w:rPr>
        <w:t xml:space="preserve"> “Olaines šķidro bīstamo atkritumu izgāztuves projekts, 1.kārta”</w:t>
      </w:r>
      <w:r w:rsidR="00CB0956">
        <w:rPr>
          <w:bCs/>
          <w:color w:val="000000" w:themeColor="text1"/>
          <w:szCs w:val="24"/>
        </w:rPr>
        <w:t xml:space="preserve"> un ar to saistītajiem riskiem,</w:t>
      </w:r>
      <w:r>
        <w:rPr>
          <w:bCs/>
          <w:color w:val="000000" w:themeColor="text1"/>
          <w:szCs w:val="24"/>
        </w:rPr>
        <w:t xml:space="preserve"> </w:t>
      </w:r>
      <w:r w:rsidRPr="000A57D8">
        <w:rPr>
          <w:bCs/>
          <w:color w:val="000000" w:themeColor="text1"/>
          <w:szCs w:val="24"/>
        </w:rPr>
        <w:t>2014.gada 19.decembrī VARAM tikās ar Olaines novada pašvaldību, lai pārrunātu turpmāko rīcību un laika grafiku Olaines projekta īstenošanā. Tiek veikta izpēte</w:t>
      </w:r>
      <w:r>
        <w:rPr>
          <w:bCs/>
          <w:color w:val="000000" w:themeColor="text1"/>
          <w:szCs w:val="24"/>
        </w:rPr>
        <w:t>,</w:t>
      </w:r>
      <w:r w:rsidRPr="000A57D8">
        <w:rPr>
          <w:bCs/>
          <w:color w:val="000000" w:themeColor="text1"/>
          <w:szCs w:val="24"/>
        </w:rPr>
        <w:t xml:space="preserve"> pēc kuras rezultātiem lems par iespējām projektu īstenot pēc iespējas īsākā laikā. Izpētes rezultāti sagaidāmi 2015.gada </w:t>
      </w:r>
      <w:r w:rsidR="00EE0A20">
        <w:rPr>
          <w:bCs/>
          <w:color w:val="000000" w:themeColor="text1"/>
          <w:szCs w:val="24"/>
        </w:rPr>
        <w:t>aprīlī</w:t>
      </w:r>
      <w:r>
        <w:rPr>
          <w:bCs/>
          <w:color w:val="000000" w:themeColor="text1"/>
          <w:szCs w:val="24"/>
        </w:rPr>
        <w:t>,</w:t>
      </w:r>
      <w:r w:rsidRPr="000A57D8">
        <w:rPr>
          <w:bCs/>
          <w:color w:val="000000" w:themeColor="text1"/>
          <w:szCs w:val="24"/>
        </w:rPr>
        <w:t xml:space="preserve"> pēc kuriem VARAM lems par iespējamiem grozījumiem projektā. Olaines pašvaldība, ņemot vērā piesārņotās teritorijas analīžu rezultātus, ir plānojusi konsultēties ar JASPERS ekspertiem attiecībā uz Olaines projekta aktivitāšu turpmāko ieviešanu. „Olaines šķidro bīstamo atkritumu izgāztuves sanācijas projekts, 1.kārta” projektam plānotās</w:t>
      </w:r>
      <w:r>
        <w:rPr>
          <w:bCs/>
          <w:color w:val="000000" w:themeColor="text1"/>
          <w:szCs w:val="24"/>
        </w:rPr>
        <w:t xml:space="preserve"> kopējās izmaksas ir 8 380 426</w:t>
      </w:r>
      <w:r w:rsidRPr="000A57D8">
        <w:rPr>
          <w:bCs/>
          <w:color w:val="000000" w:themeColor="text1"/>
          <w:szCs w:val="24"/>
        </w:rPr>
        <w:t xml:space="preserve"> </w:t>
      </w:r>
      <w:r w:rsidRPr="00052A9B">
        <w:rPr>
          <w:bCs/>
          <w:i/>
          <w:color w:val="000000" w:themeColor="text1"/>
          <w:szCs w:val="24"/>
        </w:rPr>
        <w:t>euro</w:t>
      </w:r>
      <w:r w:rsidRPr="000A57D8">
        <w:rPr>
          <w:bCs/>
          <w:color w:val="000000" w:themeColor="text1"/>
          <w:szCs w:val="24"/>
        </w:rPr>
        <w:t>, no tām: E</w:t>
      </w:r>
      <w:r>
        <w:rPr>
          <w:bCs/>
          <w:color w:val="000000" w:themeColor="text1"/>
          <w:szCs w:val="24"/>
        </w:rPr>
        <w:t>RAF finansējums 70%: 5 866 298</w:t>
      </w:r>
      <w:r w:rsidRPr="000A57D8">
        <w:rPr>
          <w:bCs/>
          <w:color w:val="000000" w:themeColor="text1"/>
          <w:szCs w:val="24"/>
        </w:rPr>
        <w:t xml:space="preserve"> </w:t>
      </w:r>
      <w:r w:rsidRPr="00052A9B">
        <w:rPr>
          <w:bCs/>
          <w:i/>
          <w:color w:val="000000" w:themeColor="text1"/>
          <w:szCs w:val="24"/>
        </w:rPr>
        <w:t>euro</w:t>
      </w:r>
      <w:r w:rsidRPr="000A57D8">
        <w:rPr>
          <w:bCs/>
          <w:color w:val="000000" w:themeColor="text1"/>
          <w:szCs w:val="24"/>
        </w:rPr>
        <w:t>, valsts budž</w:t>
      </w:r>
      <w:r>
        <w:rPr>
          <w:bCs/>
          <w:color w:val="000000" w:themeColor="text1"/>
          <w:szCs w:val="24"/>
        </w:rPr>
        <w:t>eta finansējums 30%: 2 514 128</w:t>
      </w:r>
      <w:r w:rsidRPr="000A57D8">
        <w:rPr>
          <w:bCs/>
          <w:color w:val="000000" w:themeColor="text1"/>
          <w:szCs w:val="24"/>
        </w:rPr>
        <w:t xml:space="preserve"> </w:t>
      </w:r>
      <w:r w:rsidRPr="00052A9B">
        <w:rPr>
          <w:bCs/>
          <w:i/>
          <w:color w:val="000000" w:themeColor="text1"/>
          <w:szCs w:val="24"/>
        </w:rPr>
        <w:t>euro</w:t>
      </w:r>
      <w:r w:rsidRPr="000A57D8">
        <w:rPr>
          <w:bCs/>
          <w:color w:val="000000" w:themeColor="text1"/>
          <w:szCs w:val="24"/>
        </w:rPr>
        <w:t>.</w:t>
      </w:r>
    </w:p>
    <w:p w14:paraId="18862871" w14:textId="77777777" w:rsidR="00A5315A" w:rsidRPr="00B57653" w:rsidRDefault="00A5315A" w:rsidP="00D63924">
      <w:pPr>
        <w:pStyle w:val="2lmenis"/>
      </w:pPr>
      <w:bookmarkStart w:id="14" w:name="_Toc412729439"/>
      <w:r w:rsidRPr="00B57653">
        <w:t>Lielo projektu īstenošana</w:t>
      </w:r>
      <w:bookmarkEnd w:id="14"/>
    </w:p>
    <w:p w14:paraId="175FFC8A" w14:textId="6AA5941B" w:rsidR="006538E8" w:rsidRPr="00434E84" w:rsidRDefault="006538E8" w:rsidP="006538E8">
      <w:pPr>
        <w:spacing w:before="120" w:after="120" w:line="276" w:lineRule="auto"/>
        <w:jc w:val="both"/>
        <w:rPr>
          <w:b/>
          <w:bCs/>
        </w:rPr>
      </w:pPr>
      <w:r w:rsidRPr="00570446">
        <w:t xml:space="preserve">Lielo projektu (pēc skaita 7) mērķa </w:t>
      </w:r>
      <w:r w:rsidR="00D40635">
        <w:t>investīciju progress</w:t>
      </w:r>
      <w:r w:rsidR="00D40635" w:rsidRPr="00570446">
        <w:t xml:space="preserve"> </w:t>
      </w:r>
      <w:r w:rsidR="008B0C4E">
        <w:t>ceturtajā ceturksnī noritēj</w:t>
      </w:r>
      <w:r w:rsidRPr="00570446">
        <w:t>i</w:t>
      </w:r>
      <w:r w:rsidR="008B0C4E">
        <w:t>s</w:t>
      </w:r>
      <w:r w:rsidRPr="00570446">
        <w:t xml:space="preserve"> sekmīgi, ir </w:t>
      </w:r>
      <w:r w:rsidR="00B837A8">
        <w:t>izlietoti</w:t>
      </w:r>
      <w:r w:rsidR="008B0C4E">
        <w:t xml:space="preserve"> 96,7</w:t>
      </w:r>
      <w:r w:rsidR="00352C56">
        <w:t>% no ceturksnī plānotā</w:t>
      </w:r>
      <w:r w:rsidRPr="00570446">
        <w:t xml:space="preserve"> fondu finansējuma. Tomēr kopējā mērķa </w:t>
      </w:r>
      <w:r w:rsidR="00D40635">
        <w:t>finansējuma izlietojums</w:t>
      </w:r>
      <w:r w:rsidRPr="00570446">
        <w:t xml:space="preserve"> norit samērā lēn</w:t>
      </w:r>
      <w:r w:rsidR="00CE7D69">
        <w:t>i, atsevišķos projektos vērojam</w:t>
      </w:r>
      <w:r w:rsidRPr="00570446">
        <w:t>s</w:t>
      </w:r>
      <w:r w:rsidR="00CE7D69">
        <w:t>, ka finansējums netiks izlietots</w:t>
      </w:r>
      <w:r w:rsidRPr="00570446">
        <w:t xml:space="preserve">. Līdz 2014.gada 31.decembrim lielo projektu ietvaros ir </w:t>
      </w:r>
      <w:r w:rsidR="00D40635">
        <w:t>veiktas investīcijas</w:t>
      </w:r>
      <w:r w:rsidR="008B0C4E">
        <w:t xml:space="preserve"> 77,0</w:t>
      </w:r>
      <w:r w:rsidRPr="00570446">
        <w:t xml:space="preserve">% </w:t>
      </w:r>
      <w:r w:rsidR="008B0C4E">
        <w:t xml:space="preserve">apmērā </w:t>
      </w:r>
      <w:r w:rsidRPr="00570446">
        <w:t>(progress</w:t>
      </w:r>
      <w:r w:rsidR="008B0C4E">
        <w:t xml:space="preserve"> pret 2014.gada 3.ceturksni 7,0</w:t>
      </w:r>
      <w:r w:rsidRPr="00570446">
        <w:t>%).</w:t>
      </w:r>
    </w:p>
    <w:p w14:paraId="040425F3" w14:textId="75627141" w:rsidR="006538E8" w:rsidRPr="00434E84" w:rsidRDefault="00434E84" w:rsidP="00434E84">
      <w:pPr>
        <w:pStyle w:val="Default"/>
        <w:spacing w:after="0" w:line="276" w:lineRule="auto"/>
        <w:rPr>
          <w:i/>
          <w:color w:val="000000" w:themeColor="text1"/>
        </w:rPr>
      </w:pPr>
      <w:r>
        <w:rPr>
          <w:noProof/>
        </w:rPr>
        <w:lastRenderedPageBreak/>
        <w:drawing>
          <wp:anchor distT="0" distB="0" distL="114300" distR="114300" simplePos="0" relativeHeight="251659264" behindDoc="1" locked="0" layoutInCell="1" allowOverlap="1" wp14:anchorId="42301587" wp14:editId="479BFAD7">
            <wp:simplePos x="0" y="0"/>
            <wp:positionH relativeFrom="column">
              <wp:posOffset>1270</wp:posOffset>
            </wp:positionH>
            <wp:positionV relativeFrom="paragraph">
              <wp:posOffset>281940</wp:posOffset>
            </wp:positionV>
            <wp:extent cx="5651500" cy="4063365"/>
            <wp:effectExtent l="0" t="0" r="6350" b="13335"/>
            <wp:wrapSquare wrapText="bothSides"/>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r w:rsidR="0042496B">
        <w:rPr>
          <w:color w:val="auto"/>
        </w:rPr>
        <w:t>Grafiks Nr.13</w:t>
      </w:r>
      <w:r w:rsidR="006538E8" w:rsidRPr="00E85790">
        <w:rPr>
          <w:color w:val="auto"/>
        </w:rPr>
        <w:t xml:space="preserve"> </w:t>
      </w:r>
      <w:r w:rsidR="006538E8" w:rsidRPr="00E85790">
        <w:rPr>
          <w:i/>
          <w:color w:val="auto"/>
        </w:rPr>
        <w:t xml:space="preserve">„Lielo projektu apguve līdz </w:t>
      </w:r>
      <w:r w:rsidR="006538E8">
        <w:rPr>
          <w:i/>
          <w:color w:val="auto"/>
        </w:rPr>
        <w:t>31</w:t>
      </w:r>
      <w:r w:rsidR="006538E8" w:rsidRPr="00E85790">
        <w:rPr>
          <w:i/>
          <w:color w:val="auto"/>
        </w:rPr>
        <w:t>.</w:t>
      </w:r>
      <w:r w:rsidR="006538E8">
        <w:rPr>
          <w:i/>
          <w:color w:val="auto"/>
        </w:rPr>
        <w:t>12</w:t>
      </w:r>
      <w:r w:rsidR="006538E8" w:rsidRPr="00E85790">
        <w:rPr>
          <w:i/>
          <w:color w:val="auto"/>
        </w:rPr>
        <w:t>.</w:t>
      </w:r>
      <w:r w:rsidR="006538E8" w:rsidRPr="0042496B">
        <w:rPr>
          <w:i/>
          <w:color w:val="auto"/>
        </w:rPr>
        <w:t>2014.</w:t>
      </w:r>
      <w:r w:rsidR="006538E8" w:rsidRPr="0042496B">
        <w:rPr>
          <w:rStyle w:val="Strong"/>
          <w:b w:val="0"/>
          <w:i/>
        </w:rPr>
        <w:t>,</w:t>
      </w:r>
      <w:r w:rsidR="006538E8" w:rsidRPr="00E85790">
        <w:rPr>
          <w:i/>
          <w:color w:val="auto"/>
        </w:rPr>
        <w:t xml:space="preserve"> milj. euro</w:t>
      </w:r>
      <w:r w:rsidR="006538E8" w:rsidRPr="00E85790">
        <w:rPr>
          <w:i/>
          <w:color w:val="000000" w:themeColor="text1"/>
        </w:rPr>
        <w:t>”</w:t>
      </w:r>
    </w:p>
    <w:p w14:paraId="2E308F5B" w14:textId="43AF43FE" w:rsidR="006538E8" w:rsidRPr="00570446" w:rsidRDefault="006538E8" w:rsidP="006538E8">
      <w:pPr>
        <w:spacing w:before="120" w:after="120" w:line="276" w:lineRule="auto"/>
        <w:jc w:val="both"/>
      </w:pPr>
      <w:r w:rsidRPr="00570446">
        <w:t>Lielākās neizpildes 2014.gadā ir saistītas ar maksājumu apturēšanu un problēmjautājumu risināšanu projektā “Infrastruktūras attīstība Krievu salā ostas aktivitāšu pārcelšanai no pilsētas centra”, maksājumu pieprasījumu apstrādi</w:t>
      </w:r>
      <w:r w:rsidR="006D5425">
        <w:t>.</w:t>
      </w:r>
      <w:r w:rsidRPr="00570446">
        <w:t xml:space="preserve">. </w:t>
      </w:r>
    </w:p>
    <w:p w14:paraId="17F852C1" w14:textId="0FE91806" w:rsidR="006538E8" w:rsidRPr="000E7327" w:rsidRDefault="00083CEA" w:rsidP="006538E8">
      <w:pPr>
        <w:spacing w:before="120" w:after="120" w:line="276" w:lineRule="auto"/>
        <w:jc w:val="both"/>
      </w:pPr>
      <w:r>
        <w:t xml:space="preserve">Projektā </w:t>
      </w:r>
      <w:r w:rsidR="006538E8" w:rsidRPr="000E7327">
        <w:t xml:space="preserve">“Infrastruktūras attīstība Krievu salā ostas aktivitāšu pārcelšanai no pilsētas centra” 2014.gada decembrī SM uzsākuši projekta pārbaudi, t.sk. projekta pārbaudi projekta īstenošanas vietā. Lai izprastu ostas infrastruktūras būvdarbu specifiku u.c. apstākļus, SM piesaistīja ārējos nozares ekspertus pārbaudes veikšanai. </w:t>
      </w:r>
      <w:r w:rsidR="00DD0C4B">
        <w:rPr>
          <w:iCs/>
          <w:u w:val="single"/>
        </w:rPr>
        <w:t>SM</w:t>
      </w:r>
      <w:r w:rsidR="00825141" w:rsidRPr="00825141">
        <w:rPr>
          <w:iCs/>
          <w:u w:val="single"/>
        </w:rPr>
        <w:t xml:space="preserve"> izvērtēs iespēju projekta ietvaros veikt izbūvētās zemūdens infrastruktūras ekspertīzi, piesaistot ārvalstu ekspertu, ņemot vērā, ka Latvijā esošie eksperti, kas varētu veikt zemūdens infrastruktūras ekspertīzi, ir saistīti ar minētā projekta īstenošanu.</w:t>
      </w:r>
      <w:r w:rsidR="00825141">
        <w:rPr>
          <w:i/>
          <w:iCs/>
          <w:u w:val="single"/>
        </w:rPr>
        <w:t xml:space="preserve"> </w:t>
      </w:r>
      <w:r w:rsidR="006538E8" w:rsidRPr="000E7327">
        <w:t>Pārskata periodā tika apturēta projekta maksājumu veikšana un izdevumu deklarēšana līdz aktualizētā projekta rīcības plāna apstiprināšanai un projekta pārbaudes rezultātu izvērtēšanai. Aktualizētais rīcības plāns ir apstiprināts 2014.gada 30.decembrī, bet projekta pārbaudes ziņojumu paredzēts saņemt 2015.gada janvārī. Aktualizētais rīcības plāns ietver darbības, kas saistītas ar ostas infrastruktūras nomas līguma noslēgšanu ar stividoriem, darbības izmaiņām Rīgas pilsētas teritorijas plānojumā 2018.-2030.gadam, ar mērķi Eksportostas teritorijas daļai noteikt atļautās izmantošanas veidu, kas pieļauj ostu operācijas veikšanu, un darbības projekta grozījumu un v</w:t>
      </w:r>
      <w:r w:rsidR="00DF30F2">
        <w:t>alsts atbalsta lēmuma grozījumu</w:t>
      </w:r>
      <w:r w:rsidR="006538E8" w:rsidRPr="000E7327">
        <w:t xml:space="preserve"> sagatavošanai.</w:t>
      </w:r>
      <w:r w:rsidR="006538E8">
        <w:t xml:space="preserve"> Ar sagatavotajiem grozījumiem 2015.gada februārī, </w:t>
      </w:r>
      <w:r w:rsidR="006538E8" w:rsidRPr="00091700">
        <w:t>izmantojot videokonferences režīmu</w:t>
      </w:r>
      <w:r w:rsidR="006538E8">
        <w:t>, paredzēts iepazīstināt EK pārstāvjus.</w:t>
      </w:r>
    </w:p>
    <w:p w14:paraId="67B4970E" w14:textId="09494E8E" w:rsidR="00D844A7" w:rsidRDefault="00D844A7" w:rsidP="00D844A7">
      <w:pPr>
        <w:spacing w:before="60" w:after="60" w:line="276" w:lineRule="auto"/>
        <w:jc w:val="both"/>
        <w:rPr>
          <w:szCs w:val="24"/>
        </w:rPr>
      </w:pPr>
      <w:r>
        <w:rPr>
          <w:szCs w:val="24"/>
        </w:rPr>
        <w:t xml:space="preserve">SM gatavo projekta “Liepājas ostas padziļināšana” pieteikuma gala versiju oficiālai iesniegšanai EK. Pārskata periodā ir saņemts JASPERS ekspertu sagatavotais projekta </w:t>
      </w:r>
      <w:r>
        <w:rPr>
          <w:szCs w:val="24"/>
        </w:rPr>
        <w:lastRenderedPageBreak/>
        <w:t xml:space="preserve">pozitīvais atzinums. Darbu pie projekta pieteikuma SM paredzējis pabeigt, un projektu iesniegt EK 2015.gada pirmajā ceturksnī. Paralēli projekta pieteikuma sagatavošanai, FM saskaņojusi EK pārstāvju iepazīstināšanu ar projekta pieteikumu, izmantojot videokonferences režīmu. Projekta grozījumi tiks prezentēti 2015.gada janvāra beigās. </w:t>
      </w:r>
    </w:p>
    <w:p w14:paraId="178AB8CF" w14:textId="4279C42D" w:rsidR="00EF4BDE" w:rsidRDefault="00EF4BDE" w:rsidP="00EF4BDE">
      <w:pPr>
        <w:spacing w:before="60" w:after="60" w:line="276" w:lineRule="auto"/>
        <w:jc w:val="both"/>
        <w:rPr>
          <w:szCs w:val="24"/>
        </w:rPr>
      </w:pPr>
      <w:r>
        <w:rPr>
          <w:szCs w:val="24"/>
        </w:rPr>
        <w:t xml:space="preserve">VM turpina darbu pie astotā lielā projekta (ERAF) “Jaunā slimnīcas korpusa A1 būvniecība” pieteikuma sagatavošanas veselības nozarē. 2015.gada </w:t>
      </w:r>
      <w:r w:rsidR="00D213B9">
        <w:rPr>
          <w:szCs w:val="24"/>
        </w:rPr>
        <w:t xml:space="preserve">martā </w:t>
      </w:r>
      <w:r>
        <w:rPr>
          <w:szCs w:val="24"/>
        </w:rPr>
        <w:t xml:space="preserve">JASPERS tiks iesniegta precizētā dokumentācija atkārtota atzinuma saņemšanai. 2015. gada </w:t>
      </w:r>
      <w:r w:rsidR="004F7C0F">
        <w:rPr>
          <w:szCs w:val="24"/>
        </w:rPr>
        <w:t>martā</w:t>
      </w:r>
      <w:r>
        <w:rPr>
          <w:szCs w:val="24"/>
        </w:rPr>
        <w:t xml:space="preserve"> projekts tiks prezentēts EK, savukārt oficiāli projektu paredzēts iesniegt EK līdz 2015.jūnija beigām.  </w:t>
      </w:r>
    </w:p>
    <w:p w14:paraId="6A145324" w14:textId="79C74ED4" w:rsidR="00EF4BDE" w:rsidRDefault="00EF4BDE" w:rsidP="00EF4BDE">
      <w:pPr>
        <w:spacing w:before="60" w:after="60" w:line="276" w:lineRule="auto"/>
        <w:jc w:val="both"/>
        <w:rPr>
          <w:szCs w:val="24"/>
        </w:rPr>
      </w:pPr>
      <w:r>
        <w:rPr>
          <w:szCs w:val="24"/>
        </w:rPr>
        <w:t>Projektā „Autoceļa E22 posma Ludza – Terehova būvniecība” pārskata pe</w:t>
      </w:r>
      <w:bookmarkStart w:id="15" w:name="_GoBack"/>
      <w:bookmarkEnd w:id="15"/>
      <w:r>
        <w:rPr>
          <w:szCs w:val="24"/>
        </w:rPr>
        <w:t xml:space="preserve">riodā EK ir apstiprinājuši iesniegtos grozījumus projektā, pagarinot projekta ieviešanas periodu līdz 2015.gada 30.jūnijam un palielinot projekta attiecināmās izmaksas par 157 000 </w:t>
      </w:r>
      <w:r w:rsidR="00D213B9" w:rsidRPr="00D213B9">
        <w:rPr>
          <w:i/>
          <w:szCs w:val="24"/>
        </w:rPr>
        <w:t>euro</w:t>
      </w:r>
      <w:r>
        <w:rPr>
          <w:szCs w:val="24"/>
        </w:rPr>
        <w:t>.</w:t>
      </w:r>
    </w:p>
    <w:p w14:paraId="60E6E101" w14:textId="60930E31" w:rsidR="00EF4BDE" w:rsidRDefault="00EF4BDE" w:rsidP="00EF4BDE">
      <w:pPr>
        <w:spacing w:before="60" w:after="60" w:line="276" w:lineRule="auto"/>
        <w:jc w:val="both"/>
        <w:rPr>
          <w:szCs w:val="24"/>
        </w:rPr>
      </w:pPr>
      <w:r>
        <w:rPr>
          <w:szCs w:val="24"/>
        </w:rPr>
        <w:t xml:space="preserve">Projektā “Vēsturiski piesārņoto vietu „Inčukalna sērskābā gudrona dīķi” sanācijas darbi” 2014.gada 17.decembrī notika projekta īstenošanas vietas vizīte un sanāksme ar VARAM, VI, JASPERS un VVD pārstāvjiem par projekta īstenošanas gaitu un riskiem. Sanāksmes laikā vienojās, ka līdz 2015.gada </w:t>
      </w:r>
      <w:r w:rsidR="00C62606">
        <w:rPr>
          <w:szCs w:val="24"/>
        </w:rPr>
        <w:t>1.ceturksnī</w:t>
      </w:r>
      <w:r>
        <w:rPr>
          <w:szCs w:val="24"/>
        </w:rPr>
        <w:t xml:space="preserve"> JASPERS tiks iesniegts precizētais lielā projekta grozījumu priekšlikuma projekts. 2015.gada martā VARAM iepazīstinās EK ar lielā projekta grozījumiem klātienē Briselē. VARAM veic pastiprinātu projekta uzraudzību, lai projekta izdevumi būtu attiecināmi ES līdzfinansējumam.</w:t>
      </w:r>
      <w:r>
        <w:rPr>
          <w:szCs w:val="24"/>
          <w:lang w:eastAsia="lv-LV"/>
        </w:rPr>
        <w:t xml:space="preserve"> </w:t>
      </w:r>
    </w:p>
    <w:p w14:paraId="303D4384" w14:textId="27772A51" w:rsidR="006538E8" w:rsidRDefault="006538E8" w:rsidP="00434E84">
      <w:pPr>
        <w:spacing w:before="120" w:after="120" w:line="276" w:lineRule="auto"/>
        <w:jc w:val="both"/>
      </w:pPr>
      <w:r w:rsidRPr="003D6979">
        <w:t xml:space="preserve">Informācija par lielajiem projektiem Latvijā ir pieejama ES fondu tīmekļa vietnē </w:t>
      </w:r>
      <w:hyperlink r:id="rId37" w:history="1">
        <w:r w:rsidRPr="003D6979">
          <w:rPr>
            <w:rStyle w:val="Hyperlink"/>
          </w:rPr>
          <w:t>http://www.esfondi.lv/page.php?id=791</w:t>
        </w:r>
      </w:hyperlink>
      <w:r w:rsidRPr="001D6924">
        <w:t xml:space="preserve"> </w:t>
      </w:r>
    </w:p>
    <w:p w14:paraId="609FD8C1" w14:textId="357BB607" w:rsidR="00A5315A" w:rsidRPr="00B57653" w:rsidRDefault="00A5315A" w:rsidP="00C04510">
      <w:pPr>
        <w:pStyle w:val="1lmenis"/>
      </w:pPr>
      <w:bookmarkStart w:id="16" w:name="_Toc412729440"/>
      <w:r w:rsidRPr="00B57653">
        <w:t>EEZ/Norvēģijas finanšu instrumentu ieviešana</w:t>
      </w:r>
      <w:r w:rsidR="00CA6FAF" w:rsidRPr="00B57653">
        <w:rPr>
          <w:rStyle w:val="FootnoteReference"/>
        </w:rPr>
        <w:footnoteReference w:id="31"/>
      </w:r>
      <w:bookmarkEnd w:id="16"/>
    </w:p>
    <w:p w14:paraId="73003D3A" w14:textId="6D2C3D83" w:rsidR="00A8199D" w:rsidRPr="00A8199D" w:rsidRDefault="00A8199D" w:rsidP="00A8199D">
      <w:pPr>
        <w:spacing w:before="120" w:after="120" w:line="276" w:lineRule="auto"/>
        <w:jc w:val="both"/>
        <w:rPr>
          <w:rFonts w:eastAsia="Calibri" w:cs="Times New Roman"/>
          <w:color w:val="000000"/>
          <w:szCs w:val="24"/>
          <w:lang w:eastAsia="lv-LV"/>
        </w:rPr>
      </w:pPr>
      <w:r w:rsidRPr="00A8199D">
        <w:rPr>
          <w:rFonts w:eastAsia="Calibri" w:cs="Times New Roman"/>
          <w:color w:val="000000"/>
          <w:szCs w:val="24"/>
          <w:lang w:eastAsia="lv-LV"/>
        </w:rPr>
        <w:t xml:space="preserve">Visu 7 plānoto programmu apstiprināšana un līgumu noslēgšana ir nodrošināta 67,5 milj. </w:t>
      </w:r>
      <w:r w:rsidRPr="00A8199D">
        <w:rPr>
          <w:rFonts w:eastAsia="Calibri" w:cs="Times New Roman"/>
          <w:i/>
          <w:color w:val="000000"/>
          <w:szCs w:val="24"/>
          <w:lang w:eastAsia="lv-LV"/>
        </w:rPr>
        <w:t>euro</w:t>
      </w:r>
      <w:r w:rsidRPr="00A8199D">
        <w:rPr>
          <w:rFonts w:eastAsia="Calibri" w:cs="Times New Roman"/>
          <w:color w:val="000000"/>
          <w:szCs w:val="24"/>
          <w:lang w:eastAsia="lv-LV"/>
        </w:rPr>
        <w:t xml:space="preserve"> apmērā jeb 100% no Latvijai pieejamā finansējuma. Līdz 2014.gada beigām donorvalstis ir veikušas EEZ/Norvēģijas finanšu instrumentu </w:t>
      </w:r>
      <w:r w:rsidRPr="00A8199D">
        <w:rPr>
          <w:rFonts w:eastAsia="Calibri" w:cs="Times New Roman"/>
          <w:b/>
          <w:color w:val="000000"/>
          <w:szCs w:val="24"/>
          <w:lang w:eastAsia="lv-LV"/>
        </w:rPr>
        <w:t>finansējuma atmaksu</w:t>
      </w:r>
      <w:r w:rsidRPr="00A8199D">
        <w:rPr>
          <w:rFonts w:eastAsia="Calibri" w:cs="Times New Roman"/>
          <w:color w:val="000000"/>
          <w:szCs w:val="24"/>
          <w:lang w:eastAsia="lv-LV"/>
        </w:rPr>
        <w:t xml:space="preserve"> 8,2 milj. </w:t>
      </w:r>
      <w:r w:rsidRPr="00A8199D">
        <w:rPr>
          <w:rFonts w:eastAsia="Calibri" w:cs="Times New Roman"/>
          <w:i/>
          <w:color w:val="000000"/>
          <w:szCs w:val="24"/>
          <w:lang w:eastAsia="lv-LV"/>
        </w:rPr>
        <w:t>euro</w:t>
      </w:r>
      <w:r w:rsidRPr="00A8199D">
        <w:rPr>
          <w:rFonts w:eastAsia="Calibri" w:cs="Times New Roman"/>
          <w:color w:val="000000"/>
          <w:szCs w:val="24"/>
          <w:lang w:eastAsia="lv-LV"/>
        </w:rPr>
        <w:t xml:space="preserve"> apjomā jeb 12,2% no EEZ/Norvēģijas finanšu instrumentu kopējā finansējuma.</w:t>
      </w:r>
    </w:p>
    <w:p w14:paraId="7D209762" w14:textId="7F46DE5D" w:rsidR="00A869D2" w:rsidRDefault="00A8199D" w:rsidP="00A8199D">
      <w:pPr>
        <w:spacing w:before="120" w:after="120" w:line="276" w:lineRule="auto"/>
        <w:jc w:val="both"/>
        <w:rPr>
          <w:rFonts w:eastAsia="Calibri" w:cs="Times New Roman"/>
          <w:color w:val="000000"/>
          <w:szCs w:val="24"/>
          <w:lang w:eastAsia="lv-LV"/>
        </w:rPr>
      </w:pPr>
      <w:r w:rsidRPr="00A8199D">
        <w:rPr>
          <w:rFonts w:eastAsia="Calibri" w:cs="Times New Roman"/>
          <w:color w:val="000000"/>
          <w:szCs w:val="24"/>
          <w:lang w:eastAsia="lv-LV"/>
        </w:rPr>
        <w:t xml:space="preserve">Saskaņā ar MK 2014.gada 11.marta sēdes protokollēmuma (prot. Nr.16 38.§) 12.punktu programmu apsaimniekotāji 2014.gadā plānoja nodrošināt </w:t>
      </w:r>
      <w:r w:rsidRPr="00A8199D">
        <w:rPr>
          <w:rFonts w:eastAsia="Calibri" w:cs="Times New Roman"/>
          <w:b/>
          <w:color w:val="000000"/>
          <w:szCs w:val="24"/>
          <w:lang w:eastAsia="lv-LV"/>
        </w:rPr>
        <w:t>investīcijas Latvijā</w:t>
      </w:r>
      <w:r w:rsidRPr="00A8199D">
        <w:rPr>
          <w:rFonts w:eastAsia="Calibri" w:cs="Times New Roman"/>
          <w:color w:val="000000"/>
          <w:szCs w:val="24"/>
          <w:lang w:eastAsia="lv-LV"/>
        </w:rPr>
        <w:t xml:space="preserve"> 23,1 milj. </w:t>
      </w:r>
      <w:r w:rsidRPr="00A8199D">
        <w:rPr>
          <w:rFonts w:eastAsia="Calibri" w:cs="Times New Roman"/>
          <w:i/>
          <w:color w:val="000000"/>
          <w:szCs w:val="24"/>
          <w:lang w:eastAsia="lv-LV"/>
        </w:rPr>
        <w:t xml:space="preserve">euro </w:t>
      </w:r>
      <w:r w:rsidRPr="00A8199D">
        <w:rPr>
          <w:rFonts w:eastAsia="Calibri" w:cs="Times New Roman"/>
          <w:color w:val="000000"/>
          <w:szCs w:val="24"/>
          <w:lang w:eastAsia="lv-LV"/>
        </w:rPr>
        <w:t xml:space="preserve">apmērā (20,8 milj. </w:t>
      </w:r>
      <w:r w:rsidRPr="00A8199D">
        <w:rPr>
          <w:rFonts w:eastAsia="Calibri" w:cs="Times New Roman"/>
          <w:i/>
          <w:color w:val="000000"/>
          <w:szCs w:val="24"/>
          <w:lang w:eastAsia="lv-LV"/>
        </w:rPr>
        <w:t>euro</w:t>
      </w:r>
      <w:r w:rsidRPr="00A8199D">
        <w:rPr>
          <w:rFonts w:eastAsia="Calibri" w:cs="Times New Roman"/>
          <w:color w:val="000000"/>
          <w:szCs w:val="24"/>
          <w:lang w:eastAsia="lv-LV"/>
        </w:rPr>
        <w:t xml:space="preserve"> – EEZ/Norvēģijas finanšu instrumentu grants un 2,3 milj. </w:t>
      </w:r>
      <w:r w:rsidRPr="00A8199D">
        <w:rPr>
          <w:rFonts w:eastAsia="Calibri" w:cs="Times New Roman"/>
          <w:i/>
          <w:color w:val="000000"/>
          <w:szCs w:val="24"/>
          <w:lang w:eastAsia="lv-LV"/>
        </w:rPr>
        <w:t>euro</w:t>
      </w:r>
      <w:r w:rsidRPr="00A8199D">
        <w:rPr>
          <w:rFonts w:eastAsia="Calibri" w:cs="Times New Roman"/>
          <w:color w:val="000000"/>
          <w:szCs w:val="24"/>
          <w:lang w:eastAsia="lv-LV"/>
        </w:rPr>
        <w:t xml:space="preserve"> – valsts b</w:t>
      </w:r>
      <w:r w:rsidR="00C71796">
        <w:rPr>
          <w:rFonts w:eastAsia="Calibri" w:cs="Times New Roman"/>
          <w:color w:val="000000"/>
          <w:szCs w:val="24"/>
          <w:lang w:eastAsia="lv-LV"/>
        </w:rPr>
        <w:t xml:space="preserve">udžeta līdzfinansējums), tomēr </w:t>
      </w:r>
      <w:r w:rsidRPr="00A8199D">
        <w:rPr>
          <w:rFonts w:eastAsia="Calibri" w:cs="Times New Roman"/>
          <w:color w:val="000000"/>
          <w:szCs w:val="24"/>
          <w:lang w:eastAsia="lv-LV"/>
        </w:rPr>
        <w:t xml:space="preserve">gada nogalē veiktās investīcijas bija tikai 9,3 milj. </w:t>
      </w:r>
      <w:r w:rsidRPr="00A8199D">
        <w:rPr>
          <w:rFonts w:eastAsia="Calibri" w:cs="Times New Roman"/>
          <w:i/>
          <w:color w:val="000000"/>
          <w:szCs w:val="24"/>
          <w:lang w:eastAsia="lv-LV"/>
        </w:rPr>
        <w:t xml:space="preserve">euro </w:t>
      </w:r>
      <w:r w:rsidRPr="00A8199D">
        <w:rPr>
          <w:rFonts w:eastAsia="Calibri" w:cs="Times New Roman"/>
          <w:color w:val="000000"/>
          <w:szCs w:val="24"/>
          <w:lang w:eastAsia="lv-LV"/>
        </w:rPr>
        <w:t xml:space="preserve">apmērā jeb par 40,2 % (jeb 13,8 milj. </w:t>
      </w:r>
      <w:r w:rsidRPr="00A8199D">
        <w:rPr>
          <w:rFonts w:eastAsia="Calibri" w:cs="Times New Roman"/>
          <w:i/>
          <w:color w:val="000000"/>
          <w:szCs w:val="24"/>
          <w:lang w:eastAsia="lv-LV"/>
        </w:rPr>
        <w:t>euro</w:t>
      </w:r>
      <w:r w:rsidRPr="00A8199D">
        <w:rPr>
          <w:rFonts w:eastAsia="Calibri" w:cs="Times New Roman"/>
          <w:color w:val="000000"/>
          <w:szCs w:val="24"/>
          <w:lang w:eastAsia="lv-LV"/>
        </w:rPr>
        <w:t>).</w:t>
      </w:r>
    </w:p>
    <w:p w14:paraId="7184D378" w14:textId="77777777" w:rsidR="003721EE" w:rsidRDefault="003721EE" w:rsidP="00A8199D">
      <w:pPr>
        <w:spacing w:before="120" w:after="120" w:line="276" w:lineRule="auto"/>
        <w:jc w:val="both"/>
        <w:rPr>
          <w:rFonts w:eastAsia="Calibri" w:cs="Times New Roman"/>
          <w:color w:val="000000"/>
          <w:szCs w:val="24"/>
          <w:lang w:eastAsia="lv-LV"/>
        </w:rPr>
      </w:pPr>
    </w:p>
    <w:p w14:paraId="0FB18BCC" w14:textId="77777777" w:rsidR="003721EE" w:rsidRDefault="003721EE" w:rsidP="00A8199D">
      <w:pPr>
        <w:spacing w:before="120" w:after="120" w:line="276" w:lineRule="auto"/>
        <w:jc w:val="both"/>
        <w:rPr>
          <w:rFonts w:eastAsia="Calibri" w:cs="Times New Roman"/>
          <w:color w:val="000000"/>
          <w:szCs w:val="24"/>
          <w:lang w:eastAsia="lv-LV"/>
        </w:rPr>
      </w:pPr>
    </w:p>
    <w:p w14:paraId="294CC57C" w14:textId="77777777" w:rsidR="003721EE" w:rsidRDefault="003721EE" w:rsidP="00A8199D">
      <w:pPr>
        <w:spacing w:before="120" w:after="120" w:line="276" w:lineRule="auto"/>
        <w:jc w:val="both"/>
        <w:rPr>
          <w:rFonts w:eastAsia="Calibri" w:cs="Times New Roman"/>
          <w:color w:val="000000"/>
          <w:szCs w:val="24"/>
          <w:lang w:eastAsia="lv-LV"/>
        </w:rPr>
      </w:pPr>
    </w:p>
    <w:p w14:paraId="0140FE9E" w14:textId="77777777" w:rsidR="003721EE" w:rsidRDefault="003721EE" w:rsidP="00A8199D">
      <w:pPr>
        <w:spacing w:before="120" w:after="120" w:line="276" w:lineRule="auto"/>
        <w:jc w:val="both"/>
        <w:rPr>
          <w:rFonts w:eastAsia="Calibri" w:cs="Times New Roman"/>
          <w:color w:val="000000"/>
          <w:szCs w:val="24"/>
          <w:lang w:eastAsia="lv-LV"/>
        </w:rPr>
      </w:pPr>
    </w:p>
    <w:p w14:paraId="35749B56" w14:textId="77777777" w:rsidR="003721EE" w:rsidRDefault="003721EE" w:rsidP="00A8199D">
      <w:pPr>
        <w:spacing w:before="120" w:after="120" w:line="276" w:lineRule="auto"/>
        <w:jc w:val="both"/>
        <w:rPr>
          <w:rFonts w:eastAsia="Calibri" w:cs="Times New Roman"/>
          <w:color w:val="000000"/>
          <w:szCs w:val="24"/>
          <w:lang w:eastAsia="lv-LV"/>
        </w:rPr>
      </w:pPr>
    </w:p>
    <w:p w14:paraId="23B9F526" w14:textId="4D8B65E2" w:rsidR="00A8199D" w:rsidRDefault="00A8199D" w:rsidP="00A8199D">
      <w:pPr>
        <w:spacing w:before="120" w:after="120" w:line="276" w:lineRule="auto"/>
        <w:jc w:val="both"/>
        <w:rPr>
          <w:rFonts w:eastAsia="Calibri" w:cs="Times New Roman"/>
          <w:i/>
          <w:color w:val="000000"/>
          <w:szCs w:val="24"/>
          <w:lang w:eastAsia="lv-LV"/>
        </w:rPr>
      </w:pPr>
      <w:r w:rsidRPr="00A8199D">
        <w:rPr>
          <w:rFonts w:eastAsia="Calibri" w:cs="Times New Roman"/>
          <w:color w:val="000000"/>
          <w:szCs w:val="24"/>
          <w:lang w:eastAsia="lv-LV"/>
        </w:rPr>
        <w:lastRenderedPageBreak/>
        <w:t xml:space="preserve">Grafiks </w:t>
      </w:r>
      <w:r w:rsidRPr="00A869D2">
        <w:rPr>
          <w:rFonts w:eastAsia="Calibri" w:cs="Times New Roman"/>
          <w:color w:val="000000"/>
          <w:szCs w:val="24"/>
          <w:lang w:eastAsia="lv-LV"/>
        </w:rPr>
        <w:t>Nr.</w:t>
      </w:r>
      <w:r w:rsidR="0042496B" w:rsidRPr="00A869D2">
        <w:rPr>
          <w:rFonts w:eastAsia="Calibri" w:cs="Times New Roman"/>
          <w:color w:val="000000"/>
          <w:szCs w:val="24"/>
          <w:lang w:eastAsia="lv-LV"/>
        </w:rPr>
        <w:t>14</w:t>
      </w:r>
      <w:r w:rsidRPr="00A869D2">
        <w:rPr>
          <w:rFonts w:eastAsia="Calibri" w:cs="Times New Roman"/>
          <w:i/>
          <w:color w:val="000000"/>
          <w:szCs w:val="24"/>
          <w:lang w:eastAsia="lv-LV"/>
        </w:rPr>
        <w:t xml:space="preserve"> „</w:t>
      </w:r>
      <w:r w:rsidRPr="00A8199D">
        <w:rPr>
          <w:rFonts w:eastAsia="Calibri" w:cs="Times New Roman"/>
          <w:i/>
          <w:color w:val="000000"/>
          <w:szCs w:val="24"/>
          <w:lang w:eastAsia="lv-LV"/>
        </w:rPr>
        <w:t xml:space="preserve">EEZ/Norvēģijas finanšu instrumentu investīciju plāns </w:t>
      </w:r>
      <w:r w:rsidR="004A66F3">
        <w:rPr>
          <w:rFonts w:eastAsia="Calibri" w:cs="Times New Roman"/>
          <w:i/>
          <w:color w:val="000000"/>
          <w:szCs w:val="24"/>
          <w:lang w:eastAsia="lv-LV"/>
        </w:rPr>
        <w:t xml:space="preserve">2014.gadam </w:t>
      </w:r>
      <w:r w:rsidRPr="00A8199D">
        <w:rPr>
          <w:rFonts w:eastAsia="Calibri" w:cs="Times New Roman"/>
          <w:i/>
          <w:color w:val="000000"/>
          <w:szCs w:val="24"/>
          <w:lang w:eastAsia="lv-LV"/>
        </w:rPr>
        <w:t>un tā izpilde līdz 2014.gada 31.decembrim ceturkšņu griezumā</w:t>
      </w:r>
      <w:r w:rsidR="004B2B30">
        <w:rPr>
          <w:rFonts w:eastAsia="Calibri" w:cs="Times New Roman"/>
          <w:i/>
          <w:color w:val="000000"/>
          <w:szCs w:val="24"/>
          <w:lang w:eastAsia="lv-LV"/>
        </w:rPr>
        <w:t>, milj. euro</w:t>
      </w:r>
      <w:r w:rsidRPr="00A8199D">
        <w:rPr>
          <w:rFonts w:eastAsia="Calibri" w:cs="Times New Roman"/>
          <w:i/>
          <w:color w:val="000000"/>
          <w:szCs w:val="24"/>
          <w:lang w:eastAsia="lv-LV"/>
        </w:rPr>
        <w:t>”</w:t>
      </w:r>
    </w:p>
    <w:p w14:paraId="5465E5E1" w14:textId="46A48C1D" w:rsidR="00AE1182" w:rsidRPr="0083467C" w:rsidRDefault="0083467C" w:rsidP="00A8199D">
      <w:pPr>
        <w:spacing w:before="120" w:after="120" w:line="276" w:lineRule="auto"/>
        <w:jc w:val="both"/>
        <w:rPr>
          <w:rFonts w:eastAsia="Calibri" w:cs="Times New Roman"/>
          <w:color w:val="000000"/>
          <w:szCs w:val="24"/>
          <w:lang w:eastAsia="lv-LV"/>
        </w:rPr>
      </w:pPr>
      <w:r>
        <w:rPr>
          <w:noProof/>
          <w:lang w:eastAsia="lv-LV"/>
        </w:rPr>
        <w:drawing>
          <wp:inline distT="0" distB="0" distL="0" distR="0" wp14:anchorId="31A01F9C" wp14:editId="0A37E05D">
            <wp:extent cx="5651500" cy="3396615"/>
            <wp:effectExtent l="0" t="0" r="6350" b="1333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C6AAF6D" w14:textId="36169D5F" w:rsidR="006547BB" w:rsidRPr="006547BB" w:rsidRDefault="006547BB" w:rsidP="00A869D2">
      <w:pPr>
        <w:tabs>
          <w:tab w:val="left" w:pos="240"/>
          <w:tab w:val="left" w:pos="2771"/>
        </w:tabs>
        <w:spacing w:before="120" w:after="120" w:line="276" w:lineRule="auto"/>
        <w:jc w:val="both"/>
        <w:rPr>
          <w:rFonts w:eastAsia="Times New Roman" w:cs="Times New Roman"/>
          <w:color w:val="000000"/>
          <w:szCs w:val="24"/>
          <w:lang w:eastAsia="lv-LV"/>
        </w:rPr>
      </w:pPr>
      <w:r w:rsidRPr="006547BB">
        <w:rPr>
          <w:rFonts w:eastAsia="Calibri" w:cs="Times New Roman"/>
          <w:color w:val="000000"/>
          <w:szCs w:val="24"/>
          <w:lang w:eastAsia="lv-LV"/>
        </w:rPr>
        <w:t xml:space="preserve">Vislielākā investīciju plāna neizpilde uz 2014.gada beigām ir četrām ministrijām, kas attiecīgi </w:t>
      </w:r>
      <w:r w:rsidRPr="004A488C">
        <w:rPr>
          <w:rFonts w:eastAsia="Calibri" w:cs="Times New Roman"/>
          <w:b/>
          <w:color w:val="000000"/>
          <w:szCs w:val="24"/>
          <w:lang w:eastAsia="lv-LV"/>
        </w:rPr>
        <w:t>neizpildīja plān</w:t>
      </w:r>
      <w:r w:rsidR="00C71796" w:rsidRPr="004A488C">
        <w:rPr>
          <w:rFonts w:eastAsia="Calibri" w:cs="Times New Roman"/>
          <w:b/>
          <w:color w:val="000000"/>
          <w:szCs w:val="24"/>
          <w:lang w:eastAsia="lv-LV"/>
        </w:rPr>
        <w:t>u šādā apmērā:</w:t>
      </w:r>
      <w:r w:rsidR="00C71796">
        <w:rPr>
          <w:rFonts w:eastAsia="Calibri" w:cs="Times New Roman"/>
          <w:color w:val="000000"/>
          <w:szCs w:val="24"/>
          <w:lang w:eastAsia="lv-LV"/>
        </w:rPr>
        <w:t xml:space="preserve"> IZM – 94,2%, TM – 84,7% EM – 83,1% un VARAM – </w:t>
      </w:r>
      <w:r w:rsidRPr="006547BB">
        <w:rPr>
          <w:rFonts w:eastAsia="Calibri" w:cs="Times New Roman"/>
          <w:color w:val="000000"/>
          <w:szCs w:val="24"/>
          <w:lang w:eastAsia="lv-LV"/>
        </w:rPr>
        <w:t xml:space="preserve">64,6% no plāna. </w:t>
      </w:r>
      <w:r w:rsidRPr="006547BB">
        <w:rPr>
          <w:rFonts w:eastAsia="Times New Roman" w:cs="Times New Roman"/>
          <w:color w:val="000000"/>
          <w:szCs w:val="24"/>
          <w:lang w:eastAsia="lv-LV"/>
        </w:rPr>
        <w:t>Novirzes no plāna ir radušās šādu iemeslu dēļ:</w:t>
      </w:r>
    </w:p>
    <w:p w14:paraId="53D8D7F1" w14:textId="77777777" w:rsidR="006547BB" w:rsidRPr="006547BB" w:rsidRDefault="006547BB" w:rsidP="006547BB">
      <w:pPr>
        <w:spacing w:before="120" w:after="120" w:line="276" w:lineRule="auto"/>
        <w:jc w:val="both"/>
        <w:rPr>
          <w:rFonts w:eastAsia="Times New Roman" w:cs="Times New Roman"/>
          <w:color w:val="000000"/>
          <w:szCs w:val="24"/>
          <w:lang w:eastAsia="lv-LV"/>
        </w:rPr>
      </w:pPr>
      <w:r w:rsidRPr="006547BB">
        <w:rPr>
          <w:rFonts w:eastAsia="Times New Roman" w:cs="Times New Roman"/>
          <w:color w:val="000000"/>
          <w:szCs w:val="24"/>
          <w:lang w:eastAsia="lv-LV"/>
        </w:rPr>
        <w:t>1) VARAM programmā “</w:t>
      </w:r>
      <w:r w:rsidRPr="006547BB">
        <w:rPr>
          <w:rFonts w:eastAsia="Times New Roman" w:cs="Times New Roman"/>
          <w:i/>
          <w:color w:val="000000"/>
          <w:szCs w:val="24"/>
          <w:lang w:eastAsia="lv-LV"/>
        </w:rPr>
        <w:t>Nacionālā klimata politika</w:t>
      </w:r>
      <w:r w:rsidRPr="006547BB">
        <w:rPr>
          <w:rFonts w:eastAsia="Times New Roman" w:cs="Times New Roman"/>
          <w:color w:val="000000"/>
          <w:szCs w:val="24"/>
          <w:lang w:eastAsia="lv-LV"/>
        </w:rPr>
        <w:t xml:space="preserve">” un IZM programmā </w:t>
      </w:r>
      <w:r w:rsidRPr="006547BB">
        <w:rPr>
          <w:rFonts w:eastAsia="Times New Roman" w:cs="Times New Roman"/>
          <w:i/>
          <w:color w:val="000000"/>
          <w:szCs w:val="24"/>
          <w:lang w:eastAsia="lv-LV"/>
        </w:rPr>
        <w:t>“Pētniecība un stipendijas”</w:t>
      </w:r>
      <w:r w:rsidRPr="006547BB">
        <w:rPr>
          <w:rFonts w:eastAsia="Times New Roman" w:cs="Times New Roman"/>
          <w:color w:val="000000"/>
          <w:szCs w:val="24"/>
          <w:lang w:eastAsia="lv-LV"/>
        </w:rPr>
        <w:t xml:space="preserve"> būtiski aizkavējās kopā 4 atklāto konkursu izsludināšana, jo MK noteikumu projektu par atklāto konkursu izsludināšanu un projektu atlasi izstrāde aizkavējās IZM kapacitātes trūkuma dēļ, kā arī donorvalstu izvirzīto nosacījumu dēļ attiecībā uz VARAM programmas atklāta projektu konkursa potenciālā finansējuma saņēmēju loka un atbalstāmo jomu skaita palielināšanu salīdzinot ar sākotnēji plānoto programmas iesniegumā. Plānotie avansa maksājumi projektu īstenotājiem tiks izmaksāti tikai 2015.gadā, jo VARAM apstiprināja projektus ar nosacījumiem tikai 2014.gada decembrī, savukārt IZM pabeigs projektu vērtēšanu, tai skaitā veiks samaksu visiem vērtēšanas ekspertiem, tikai 2015.gada 1.ceturksnī;</w:t>
      </w:r>
    </w:p>
    <w:p w14:paraId="40E10F65" w14:textId="300F4991" w:rsidR="006547BB" w:rsidRPr="006547BB" w:rsidRDefault="006547BB" w:rsidP="006547BB">
      <w:pPr>
        <w:spacing w:before="120" w:after="120" w:line="276" w:lineRule="auto"/>
        <w:jc w:val="both"/>
        <w:rPr>
          <w:rFonts w:eastAsia="Times New Roman" w:cs="Times New Roman"/>
          <w:color w:val="000000"/>
          <w:szCs w:val="24"/>
          <w:lang w:eastAsia="lv-LV"/>
        </w:rPr>
      </w:pPr>
      <w:r w:rsidRPr="006547BB">
        <w:rPr>
          <w:rFonts w:eastAsia="Times New Roman" w:cs="Times New Roman"/>
          <w:color w:val="000000"/>
          <w:szCs w:val="24"/>
          <w:lang w:eastAsia="lv-LV"/>
        </w:rPr>
        <w:t xml:space="preserve">2) TM programmas </w:t>
      </w:r>
      <w:r w:rsidRPr="006547BB">
        <w:rPr>
          <w:rFonts w:eastAsia="Times New Roman" w:cs="Times New Roman"/>
          <w:i/>
          <w:color w:val="000000"/>
          <w:szCs w:val="24"/>
          <w:lang w:eastAsia="lv-LV"/>
        </w:rPr>
        <w:t>“Latvijas korekcijas dienestu un Valsts policijas īslaicīgās aizturēšanas vietu reforma”</w:t>
      </w:r>
      <w:r w:rsidRPr="006547BB">
        <w:rPr>
          <w:rFonts w:eastAsia="Times New Roman" w:cs="Times New Roman"/>
          <w:color w:val="000000"/>
          <w:szCs w:val="24"/>
          <w:lang w:eastAsia="lv-LV"/>
        </w:rPr>
        <w:t xml:space="preserve"> iepriekš noteikto projektu vērtēšana būtiski aizkavējās, jo projektu iesniegumu precizēšana un saskaņošana ar programmas donorvalsts pa</w:t>
      </w:r>
      <w:r w:rsidR="00C71796">
        <w:rPr>
          <w:rFonts w:eastAsia="Times New Roman" w:cs="Times New Roman"/>
          <w:color w:val="000000"/>
          <w:szCs w:val="24"/>
          <w:lang w:eastAsia="lv-LV"/>
        </w:rPr>
        <w:t xml:space="preserve">rtneriem bija laikietilpīgāka, </w:t>
      </w:r>
      <w:r w:rsidRPr="006547BB">
        <w:rPr>
          <w:rFonts w:eastAsia="Times New Roman" w:cs="Times New Roman"/>
          <w:color w:val="000000"/>
          <w:szCs w:val="24"/>
          <w:lang w:eastAsia="lv-LV"/>
        </w:rPr>
        <w:t>kā sākotnēji tika plānots. Līdz ar to projekti tika uzsākti vēlāk un lielākā daļa 2014.gadā plānoto maksājumu projektos tiks veikti tikai 2015.gadā;</w:t>
      </w:r>
    </w:p>
    <w:p w14:paraId="15185D2D" w14:textId="77777777" w:rsidR="006547BB" w:rsidRPr="006547BB" w:rsidRDefault="006547BB" w:rsidP="006547BB">
      <w:pPr>
        <w:spacing w:before="120" w:after="120" w:line="276" w:lineRule="auto"/>
        <w:jc w:val="both"/>
        <w:rPr>
          <w:rFonts w:eastAsia="Times New Roman" w:cs="Times New Roman"/>
          <w:color w:val="000000"/>
          <w:szCs w:val="24"/>
          <w:lang w:eastAsia="lv-LV"/>
        </w:rPr>
      </w:pPr>
      <w:r w:rsidRPr="006547BB">
        <w:rPr>
          <w:rFonts w:eastAsia="Times New Roman" w:cs="Times New Roman"/>
          <w:color w:val="000000"/>
          <w:szCs w:val="24"/>
          <w:lang w:eastAsia="lv-LV"/>
        </w:rPr>
        <w:t xml:space="preserve">3) EM programmas </w:t>
      </w:r>
      <w:r w:rsidRPr="006547BB">
        <w:rPr>
          <w:rFonts w:eastAsia="Times New Roman" w:cs="Times New Roman"/>
          <w:i/>
          <w:color w:val="000000"/>
          <w:szCs w:val="24"/>
          <w:lang w:eastAsia="lv-LV"/>
        </w:rPr>
        <w:t>„Inovācijas „zaļās” ražošanas jomā”</w:t>
      </w:r>
      <w:r w:rsidRPr="006547BB">
        <w:rPr>
          <w:rFonts w:eastAsia="Times New Roman" w:cs="Times New Roman"/>
          <w:color w:val="000000"/>
          <w:szCs w:val="24"/>
          <w:lang w:eastAsia="lv-LV"/>
        </w:rPr>
        <w:t xml:space="preserve"> atklātajā konkursā „</w:t>
      </w:r>
      <w:r w:rsidRPr="006547BB">
        <w:rPr>
          <w:rFonts w:eastAsia="Times New Roman" w:cs="Times New Roman"/>
          <w:i/>
          <w:color w:val="000000"/>
          <w:szCs w:val="24"/>
          <w:lang w:eastAsia="lv-LV"/>
        </w:rPr>
        <w:t>Atbalsts „zaļo” tehnoloģiju ieviešanai ražošanā</w:t>
      </w:r>
      <w:r w:rsidRPr="006547BB">
        <w:rPr>
          <w:rFonts w:eastAsia="Times New Roman" w:cs="Times New Roman"/>
          <w:color w:val="000000"/>
          <w:szCs w:val="24"/>
          <w:lang w:eastAsia="lv-LV"/>
        </w:rPr>
        <w:t xml:space="preserve">” tika apstiprināts mazāks projektu skaits nekā sākotnēji plānots, līdz ar to arī mazākā apmērā tika izmaksāti avansi projektiem. Savukārt neliela apjoma grantu shēmā projektu konkursi tika izsludināti tikai 2014.gada 3. un </w:t>
      </w:r>
      <w:r w:rsidRPr="006547BB">
        <w:rPr>
          <w:rFonts w:eastAsia="Times New Roman" w:cs="Times New Roman"/>
          <w:color w:val="000000"/>
          <w:szCs w:val="24"/>
          <w:lang w:eastAsia="lv-LV"/>
        </w:rPr>
        <w:lastRenderedPageBreak/>
        <w:t>4.cetruksnī, līdz ar to avansa maksājumi projektiem būs nepieciešami tikai 2015.gadā (pēc projektu izvērtēšanas un projektu līgumu noslēgšanas).</w:t>
      </w:r>
    </w:p>
    <w:p w14:paraId="62BB45C3" w14:textId="1A6A7F44" w:rsidR="006547BB" w:rsidRDefault="006547BB" w:rsidP="006547BB">
      <w:pPr>
        <w:spacing w:before="120" w:after="120" w:line="276" w:lineRule="auto"/>
        <w:jc w:val="both"/>
        <w:rPr>
          <w:rFonts w:eastAsia="Times New Roman" w:cs="Times New Roman"/>
          <w:color w:val="000000"/>
          <w:szCs w:val="24"/>
          <w:lang w:eastAsia="lv-LV"/>
        </w:rPr>
      </w:pPr>
      <w:r w:rsidRPr="006547BB">
        <w:rPr>
          <w:rFonts w:eastAsia="Times New Roman" w:cs="Times New Roman"/>
          <w:color w:val="000000"/>
          <w:szCs w:val="24"/>
          <w:lang w:eastAsia="lv-LV"/>
        </w:rPr>
        <w:t xml:space="preserve">Līdz 2017.gada 30.aprīlim kopumā ir plānots veikt EEZ/Norvēģijas finanšu instrumentu finansējuma investīcijas 75,1 milj. </w:t>
      </w:r>
      <w:r w:rsidRPr="006547BB">
        <w:rPr>
          <w:rFonts w:eastAsia="Times New Roman" w:cs="Times New Roman"/>
          <w:i/>
          <w:color w:val="000000"/>
          <w:szCs w:val="24"/>
          <w:lang w:eastAsia="lv-LV"/>
        </w:rPr>
        <w:t>euro</w:t>
      </w:r>
      <w:r w:rsidRPr="006547BB">
        <w:rPr>
          <w:rFonts w:eastAsia="Times New Roman" w:cs="Times New Roman"/>
          <w:color w:val="000000"/>
          <w:szCs w:val="24"/>
          <w:lang w:eastAsia="lv-LV"/>
        </w:rPr>
        <w:t xml:space="preserve"> apjomā, tai skaitā 2015.gadā – 45,7 milj. </w:t>
      </w:r>
      <w:r w:rsidRPr="006547BB">
        <w:rPr>
          <w:rFonts w:eastAsia="Times New Roman" w:cs="Times New Roman"/>
          <w:i/>
          <w:color w:val="000000"/>
          <w:szCs w:val="24"/>
          <w:lang w:eastAsia="lv-LV"/>
        </w:rPr>
        <w:t xml:space="preserve">euro </w:t>
      </w:r>
      <w:r w:rsidR="00333C03">
        <w:rPr>
          <w:rFonts w:eastAsia="Times New Roman" w:cs="Times New Roman"/>
          <w:color w:val="000000"/>
          <w:szCs w:val="24"/>
          <w:lang w:eastAsia="lv-LV"/>
        </w:rPr>
        <w:t>apjomā.</w:t>
      </w:r>
    </w:p>
    <w:p w14:paraId="32AABF5B" w14:textId="436C823D" w:rsidR="000E39E9" w:rsidRDefault="004156FB" w:rsidP="006547BB">
      <w:pPr>
        <w:spacing w:before="120" w:after="120" w:line="276" w:lineRule="auto"/>
        <w:jc w:val="both"/>
        <w:rPr>
          <w:rFonts w:eastAsia="Times New Roman" w:cs="Times New Roman"/>
          <w:color w:val="000000"/>
          <w:szCs w:val="24"/>
          <w:lang w:eastAsia="lv-LV"/>
        </w:rPr>
      </w:pPr>
      <w:r>
        <w:rPr>
          <w:rFonts w:eastAsia="Times New Roman" w:cs="Times New Roman"/>
          <w:color w:val="000000"/>
          <w:szCs w:val="24"/>
          <w:lang w:eastAsia="lv-LV"/>
        </w:rPr>
        <w:t>Zemāk redzamajā grafikā investīciju plānu izmaiņas ir skaidrojamas ar</w:t>
      </w:r>
      <w:r w:rsidR="0036656F">
        <w:rPr>
          <w:rFonts w:eastAsia="Times New Roman" w:cs="Times New Roman"/>
          <w:color w:val="000000"/>
          <w:szCs w:val="24"/>
          <w:lang w:eastAsia="lv-LV"/>
        </w:rPr>
        <w:t xml:space="preserve"> </w:t>
      </w:r>
      <w:r w:rsidR="000E39E9" w:rsidRPr="000E39E9">
        <w:rPr>
          <w:rFonts w:eastAsia="Times New Roman" w:cs="Times New Roman"/>
          <w:color w:val="000000"/>
          <w:szCs w:val="24"/>
          <w:lang w:eastAsia="lv-LV"/>
        </w:rPr>
        <w:t>nozaru minist</w:t>
      </w:r>
      <w:r>
        <w:rPr>
          <w:rFonts w:eastAsia="Times New Roman" w:cs="Times New Roman"/>
          <w:color w:val="000000"/>
          <w:szCs w:val="24"/>
          <w:lang w:eastAsia="lv-LV"/>
        </w:rPr>
        <w:t>riju</w:t>
      </w:r>
      <w:r w:rsidR="00B71C79">
        <w:rPr>
          <w:rFonts w:eastAsia="Times New Roman" w:cs="Times New Roman"/>
          <w:color w:val="000000"/>
          <w:szCs w:val="24"/>
          <w:lang w:eastAsia="lv-LV"/>
        </w:rPr>
        <w:t xml:space="preserve"> </w:t>
      </w:r>
      <w:r w:rsidR="000E39E9" w:rsidRPr="000E39E9">
        <w:rPr>
          <w:rFonts w:eastAsia="Times New Roman" w:cs="Times New Roman"/>
          <w:color w:val="000000"/>
          <w:szCs w:val="24"/>
          <w:lang w:eastAsia="lv-LV"/>
        </w:rPr>
        <w:t xml:space="preserve">pārāk optimistisko plānojumu par </w:t>
      </w:r>
      <w:r w:rsidR="00333C03">
        <w:rPr>
          <w:rFonts w:eastAsia="Times New Roman" w:cs="Times New Roman"/>
          <w:color w:val="000000"/>
          <w:szCs w:val="24"/>
          <w:lang w:eastAsia="lv-LV"/>
        </w:rPr>
        <w:t>atklāto projektu konkursu izsludināšanu</w:t>
      </w:r>
      <w:r w:rsidR="00300F23">
        <w:rPr>
          <w:rFonts w:eastAsia="Times New Roman" w:cs="Times New Roman"/>
          <w:color w:val="000000"/>
          <w:szCs w:val="24"/>
          <w:lang w:eastAsia="lv-LV"/>
        </w:rPr>
        <w:t>,</w:t>
      </w:r>
      <w:r w:rsidR="0036656F">
        <w:rPr>
          <w:rFonts w:eastAsia="Times New Roman" w:cs="Times New Roman"/>
          <w:color w:val="000000"/>
          <w:szCs w:val="24"/>
          <w:lang w:eastAsia="lv-LV"/>
        </w:rPr>
        <w:t xml:space="preserve"> avansu maksājumu veik</w:t>
      </w:r>
      <w:r w:rsidR="00300F23">
        <w:rPr>
          <w:rFonts w:eastAsia="Times New Roman" w:cs="Times New Roman"/>
          <w:color w:val="000000"/>
          <w:szCs w:val="24"/>
          <w:lang w:eastAsia="lv-LV"/>
        </w:rPr>
        <w:t xml:space="preserve">šanu, projektu pārskatu apstiprināšanu un starpposma maksājumu veikšanu, </w:t>
      </w:r>
      <w:r w:rsidR="00262B6B">
        <w:rPr>
          <w:rFonts w:eastAsia="Times New Roman" w:cs="Times New Roman"/>
          <w:color w:val="000000"/>
          <w:szCs w:val="24"/>
          <w:lang w:eastAsia="lv-LV"/>
        </w:rPr>
        <w:t xml:space="preserve">projektu </w:t>
      </w:r>
      <w:r w:rsidR="00A3143D">
        <w:rPr>
          <w:rFonts w:eastAsia="Times New Roman" w:cs="Times New Roman"/>
          <w:color w:val="000000"/>
          <w:szCs w:val="24"/>
          <w:lang w:eastAsia="lv-LV"/>
        </w:rPr>
        <w:t>iepirkumu</w:t>
      </w:r>
      <w:r w:rsidR="00A3143D" w:rsidRPr="00A3143D">
        <w:rPr>
          <w:rFonts w:eastAsia="Times New Roman" w:cs="Times New Roman"/>
          <w:color w:val="000000"/>
          <w:szCs w:val="24"/>
          <w:lang w:eastAsia="lv-LV"/>
        </w:rPr>
        <w:t xml:space="preserve"> dokumentāciju</w:t>
      </w:r>
      <w:r w:rsidR="00A3143D">
        <w:rPr>
          <w:rFonts w:eastAsia="Times New Roman" w:cs="Times New Roman"/>
          <w:color w:val="000000"/>
          <w:szCs w:val="24"/>
          <w:lang w:eastAsia="lv-LV"/>
        </w:rPr>
        <w:t xml:space="preserve"> sagatavo</w:t>
      </w:r>
      <w:r w:rsidR="0036656F">
        <w:rPr>
          <w:rFonts w:eastAsia="Times New Roman" w:cs="Times New Roman"/>
          <w:color w:val="000000"/>
          <w:szCs w:val="24"/>
          <w:lang w:eastAsia="lv-LV"/>
        </w:rPr>
        <w:t>šanu un iepirkumu</w:t>
      </w:r>
      <w:r w:rsidR="00A3143D">
        <w:rPr>
          <w:rFonts w:eastAsia="Times New Roman" w:cs="Times New Roman"/>
          <w:color w:val="000000"/>
          <w:szCs w:val="24"/>
          <w:lang w:eastAsia="lv-LV"/>
        </w:rPr>
        <w:t xml:space="preserve"> izsludināšanu</w:t>
      </w:r>
      <w:r w:rsidR="00B71C79">
        <w:rPr>
          <w:rFonts w:eastAsia="Times New Roman" w:cs="Times New Roman"/>
          <w:color w:val="000000"/>
          <w:szCs w:val="24"/>
          <w:lang w:eastAsia="lv-LV"/>
        </w:rPr>
        <w:t xml:space="preserve">, </w:t>
      </w:r>
      <w:r w:rsidR="00A3143D">
        <w:rPr>
          <w:rFonts w:eastAsia="Times New Roman" w:cs="Times New Roman"/>
          <w:color w:val="000000"/>
          <w:szCs w:val="24"/>
          <w:lang w:eastAsia="lv-LV"/>
        </w:rPr>
        <w:t>it īpaši</w:t>
      </w:r>
      <w:r w:rsidR="00B71C79" w:rsidRPr="00B71C79">
        <w:rPr>
          <w:rFonts w:eastAsia="Times New Roman" w:cs="Times New Roman"/>
          <w:color w:val="000000"/>
          <w:szCs w:val="24"/>
          <w:lang w:eastAsia="lv-LV"/>
        </w:rPr>
        <w:t xml:space="preserve"> </w:t>
      </w:r>
      <w:r w:rsidR="00B71C79">
        <w:rPr>
          <w:rFonts w:eastAsia="Times New Roman" w:cs="Times New Roman"/>
          <w:color w:val="000000"/>
          <w:szCs w:val="24"/>
          <w:lang w:eastAsia="lv-LV"/>
        </w:rPr>
        <w:t>IZM, EM, TM un VARAM</w:t>
      </w:r>
      <w:r w:rsidR="00A3143D">
        <w:rPr>
          <w:rFonts w:eastAsia="Times New Roman" w:cs="Times New Roman"/>
          <w:color w:val="000000"/>
          <w:szCs w:val="24"/>
          <w:lang w:eastAsia="lv-LV"/>
        </w:rPr>
        <w:t>, kuru 2014</w:t>
      </w:r>
      <w:r w:rsidR="00C95CC7">
        <w:rPr>
          <w:rFonts w:eastAsia="Times New Roman" w:cs="Times New Roman"/>
          <w:color w:val="000000"/>
          <w:szCs w:val="24"/>
          <w:lang w:eastAsia="lv-LV"/>
        </w:rPr>
        <w:t>.gada</w:t>
      </w:r>
      <w:r w:rsidR="000E39E9" w:rsidRPr="000E39E9">
        <w:rPr>
          <w:rFonts w:eastAsia="Times New Roman" w:cs="Times New Roman"/>
          <w:color w:val="000000"/>
          <w:szCs w:val="24"/>
          <w:lang w:eastAsia="lv-LV"/>
        </w:rPr>
        <w:t xml:space="preserve"> no</w:t>
      </w:r>
      <w:r>
        <w:rPr>
          <w:rFonts w:eastAsia="Times New Roman" w:cs="Times New Roman"/>
          <w:color w:val="000000"/>
          <w:szCs w:val="24"/>
          <w:lang w:eastAsia="lv-LV"/>
        </w:rPr>
        <w:t>galē</w:t>
      </w:r>
      <w:r w:rsidR="000E39E9" w:rsidRPr="000E39E9">
        <w:rPr>
          <w:rFonts w:eastAsia="Times New Roman" w:cs="Times New Roman"/>
          <w:color w:val="000000"/>
          <w:szCs w:val="24"/>
          <w:lang w:eastAsia="lv-LV"/>
        </w:rPr>
        <w:t xml:space="preserve"> </w:t>
      </w:r>
      <w:r w:rsidR="00C95CC7">
        <w:rPr>
          <w:rFonts w:eastAsia="Times New Roman" w:cs="Times New Roman"/>
          <w:color w:val="000000"/>
          <w:szCs w:val="24"/>
          <w:lang w:eastAsia="lv-LV"/>
        </w:rPr>
        <w:t xml:space="preserve">investīciju </w:t>
      </w:r>
      <w:r w:rsidR="0036656F">
        <w:rPr>
          <w:rFonts w:eastAsia="Times New Roman" w:cs="Times New Roman"/>
          <w:color w:val="000000"/>
          <w:szCs w:val="24"/>
          <w:lang w:eastAsia="lv-LV"/>
        </w:rPr>
        <w:t xml:space="preserve">plāna </w:t>
      </w:r>
      <w:r>
        <w:rPr>
          <w:rFonts w:eastAsia="Times New Roman" w:cs="Times New Roman"/>
          <w:color w:val="000000"/>
          <w:szCs w:val="24"/>
          <w:lang w:eastAsia="lv-LV"/>
        </w:rPr>
        <w:t>i</w:t>
      </w:r>
      <w:r w:rsidR="0036656F">
        <w:rPr>
          <w:rFonts w:eastAsia="Times New Roman" w:cs="Times New Roman"/>
          <w:color w:val="000000"/>
          <w:szCs w:val="24"/>
          <w:lang w:eastAsia="lv-LV"/>
        </w:rPr>
        <w:t xml:space="preserve">zpilde bija </w:t>
      </w:r>
      <w:r>
        <w:rPr>
          <w:rFonts w:eastAsia="Times New Roman" w:cs="Times New Roman"/>
          <w:color w:val="000000"/>
          <w:szCs w:val="24"/>
          <w:lang w:eastAsia="lv-LV"/>
        </w:rPr>
        <w:t>kristiki zema</w:t>
      </w:r>
      <w:r w:rsidR="000E39E9" w:rsidRPr="000E39E9">
        <w:rPr>
          <w:rFonts w:eastAsia="Times New Roman" w:cs="Times New Roman"/>
          <w:color w:val="000000"/>
          <w:szCs w:val="24"/>
          <w:lang w:eastAsia="lv-LV"/>
        </w:rPr>
        <w:t xml:space="preserve"> –</w:t>
      </w:r>
      <w:r w:rsidR="0036656F">
        <w:rPr>
          <w:rFonts w:eastAsia="Times New Roman" w:cs="Times New Roman"/>
          <w:color w:val="000000"/>
          <w:szCs w:val="24"/>
          <w:lang w:eastAsia="lv-LV"/>
        </w:rPr>
        <w:t xml:space="preserve"> vidēji</w:t>
      </w:r>
      <w:r>
        <w:rPr>
          <w:rFonts w:eastAsia="Times New Roman" w:cs="Times New Roman"/>
          <w:color w:val="000000"/>
          <w:szCs w:val="24"/>
          <w:lang w:eastAsia="lv-LV"/>
        </w:rPr>
        <w:t xml:space="preserve"> 18</w:t>
      </w:r>
      <w:r w:rsidR="0036656F">
        <w:rPr>
          <w:rFonts w:eastAsia="Times New Roman" w:cs="Times New Roman"/>
          <w:color w:val="000000"/>
          <w:szCs w:val="24"/>
          <w:lang w:eastAsia="lv-LV"/>
        </w:rPr>
        <w:t xml:space="preserve">% </w:t>
      </w:r>
      <w:r w:rsidR="000E39E9" w:rsidRPr="000E39E9">
        <w:rPr>
          <w:rFonts w:eastAsia="Times New Roman" w:cs="Times New Roman"/>
          <w:color w:val="000000"/>
          <w:szCs w:val="24"/>
          <w:lang w:eastAsia="lv-LV"/>
        </w:rPr>
        <w:t>no plānotā.</w:t>
      </w:r>
      <w:r w:rsidR="0097473B">
        <w:rPr>
          <w:rFonts w:eastAsia="Times New Roman" w:cs="Times New Roman"/>
          <w:color w:val="000000"/>
          <w:szCs w:val="24"/>
          <w:lang w:eastAsia="lv-LV"/>
        </w:rPr>
        <w:t xml:space="preserve"> Tā kā projektu īstenošana noslēgsies 2016.gada 30.aprīlī</w:t>
      </w:r>
      <w:r w:rsidR="00F362CD">
        <w:rPr>
          <w:rFonts w:eastAsia="Times New Roman" w:cs="Times New Roman"/>
          <w:color w:val="000000"/>
          <w:szCs w:val="24"/>
          <w:lang w:eastAsia="lv-LV"/>
        </w:rPr>
        <w:t>, līdz ar to lielākie maksājumi projektos ir plānoti 2015.gadā.</w:t>
      </w:r>
    </w:p>
    <w:p w14:paraId="45702F71" w14:textId="3827054F" w:rsidR="006547BB" w:rsidRPr="006547BB" w:rsidRDefault="006547BB" w:rsidP="006547BB">
      <w:pPr>
        <w:spacing w:before="120" w:after="120" w:line="276" w:lineRule="auto"/>
        <w:jc w:val="both"/>
        <w:rPr>
          <w:rFonts w:eastAsia="Times New Roman" w:cs="Times New Roman"/>
          <w:color w:val="000000"/>
          <w:szCs w:val="24"/>
          <w:lang w:eastAsia="lv-LV"/>
        </w:rPr>
      </w:pPr>
      <w:r w:rsidRPr="00581642">
        <w:rPr>
          <w:rFonts w:eastAsia="Times New Roman" w:cs="Times New Roman"/>
          <w:color w:val="000000"/>
          <w:szCs w:val="24"/>
          <w:lang w:eastAsia="lv-LV"/>
        </w:rPr>
        <w:t>Grafiks Nr.</w:t>
      </w:r>
      <w:r w:rsidR="0042496B" w:rsidRPr="00581642">
        <w:rPr>
          <w:rFonts w:eastAsia="Times New Roman" w:cs="Times New Roman"/>
          <w:color w:val="000000"/>
          <w:szCs w:val="24"/>
          <w:lang w:eastAsia="lv-LV"/>
        </w:rPr>
        <w:t>15</w:t>
      </w:r>
      <w:r w:rsidRPr="00581642">
        <w:rPr>
          <w:rFonts w:eastAsia="Times New Roman" w:cs="Times New Roman"/>
          <w:color w:val="000000"/>
          <w:szCs w:val="24"/>
          <w:lang w:eastAsia="lv-LV"/>
        </w:rPr>
        <w:t xml:space="preserve"> </w:t>
      </w:r>
      <w:r w:rsidRPr="00581642">
        <w:rPr>
          <w:rFonts w:eastAsia="Times New Roman" w:cs="Times New Roman"/>
          <w:i/>
          <w:color w:val="000000"/>
          <w:szCs w:val="24"/>
          <w:lang w:eastAsia="lv-LV"/>
        </w:rPr>
        <w:t>„EEZ/</w:t>
      </w:r>
      <w:r w:rsidRPr="006547BB">
        <w:rPr>
          <w:rFonts w:eastAsia="Times New Roman" w:cs="Times New Roman"/>
          <w:i/>
          <w:color w:val="000000"/>
          <w:szCs w:val="24"/>
          <w:lang w:eastAsia="lv-LV"/>
        </w:rPr>
        <w:t xml:space="preserve">Norvēģijas finanšu instrumentu veiktie maksājumi līdz 2014.gadam </w:t>
      </w:r>
      <w:r w:rsidR="007642F8">
        <w:rPr>
          <w:rFonts w:eastAsia="Times New Roman" w:cs="Times New Roman"/>
          <w:i/>
          <w:color w:val="000000"/>
          <w:szCs w:val="24"/>
          <w:lang w:eastAsia="lv-LV"/>
        </w:rPr>
        <w:t xml:space="preserve">31.decembrim </w:t>
      </w:r>
      <w:r w:rsidRPr="006547BB">
        <w:rPr>
          <w:rFonts w:eastAsia="Times New Roman" w:cs="Times New Roman"/>
          <w:i/>
          <w:color w:val="000000"/>
          <w:szCs w:val="24"/>
          <w:lang w:eastAsia="lv-LV"/>
        </w:rPr>
        <w:t>un investīciju plāns 2</w:t>
      </w:r>
      <w:r w:rsidR="003362FF">
        <w:rPr>
          <w:rFonts w:eastAsia="Times New Roman" w:cs="Times New Roman"/>
          <w:i/>
          <w:color w:val="000000"/>
          <w:szCs w:val="24"/>
          <w:lang w:eastAsia="lv-LV"/>
        </w:rPr>
        <w:t>015.gadam</w:t>
      </w:r>
      <w:r w:rsidRPr="006547BB">
        <w:rPr>
          <w:rFonts w:eastAsia="Times New Roman" w:cs="Times New Roman"/>
          <w:i/>
          <w:color w:val="000000"/>
          <w:szCs w:val="24"/>
          <w:lang w:eastAsia="lv-LV"/>
        </w:rPr>
        <w:t xml:space="preserve"> salīdzinājumā</w:t>
      </w:r>
      <w:r w:rsidR="006470B8">
        <w:rPr>
          <w:rStyle w:val="FootnoteReference"/>
          <w:rFonts w:eastAsia="Times New Roman" w:cs="Times New Roman"/>
          <w:i/>
          <w:color w:val="000000"/>
          <w:szCs w:val="24"/>
          <w:lang w:eastAsia="lv-LV"/>
        </w:rPr>
        <w:footnoteReference w:id="32"/>
      </w:r>
      <w:r w:rsidRPr="006547BB">
        <w:rPr>
          <w:rFonts w:eastAsia="Times New Roman" w:cs="Times New Roman"/>
          <w:i/>
          <w:color w:val="000000"/>
          <w:szCs w:val="24"/>
          <w:lang w:eastAsia="lv-LV"/>
        </w:rPr>
        <w:t xml:space="preserve"> ar investīciju plānu 2014.gadam</w:t>
      </w:r>
      <w:r w:rsidR="004B2B30">
        <w:rPr>
          <w:rFonts w:eastAsia="Times New Roman" w:cs="Times New Roman"/>
          <w:i/>
          <w:color w:val="000000"/>
          <w:szCs w:val="24"/>
          <w:lang w:eastAsia="lv-LV"/>
        </w:rPr>
        <w:t>, milj. euro</w:t>
      </w:r>
      <w:r w:rsidRPr="006547BB">
        <w:rPr>
          <w:rFonts w:eastAsia="Times New Roman" w:cs="Times New Roman"/>
          <w:color w:val="000000"/>
          <w:szCs w:val="24"/>
          <w:lang w:eastAsia="lv-LV"/>
        </w:rPr>
        <w:t>”</w:t>
      </w:r>
    </w:p>
    <w:p w14:paraId="325528CD" w14:textId="7FE6BDB6" w:rsidR="004E0DD4" w:rsidRDefault="004E0DD4" w:rsidP="00966B0C">
      <w:pPr>
        <w:tabs>
          <w:tab w:val="left" w:pos="8156"/>
        </w:tabs>
        <w:spacing w:before="120" w:after="120" w:line="276" w:lineRule="auto"/>
        <w:jc w:val="both"/>
        <w:rPr>
          <w:rFonts w:eastAsia="Times New Roman" w:cs="Times New Roman"/>
          <w:b/>
          <w:color w:val="000000"/>
          <w:szCs w:val="24"/>
          <w:lang w:eastAsia="lv-LV"/>
        </w:rPr>
      </w:pPr>
      <w:r>
        <w:rPr>
          <w:noProof/>
          <w:lang w:eastAsia="lv-LV"/>
        </w:rPr>
        <w:drawing>
          <wp:inline distT="0" distB="0" distL="0" distR="0" wp14:anchorId="5208EA73" wp14:editId="7497887F">
            <wp:extent cx="5651500" cy="3493770"/>
            <wp:effectExtent l="0" t="0" r="6350" b="1143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9766E9E" w14:textId="62D4FF2E" w:rsidR="00392D98" w:rsidRPr="00392D98" w:rsidRDefault="00392D98" w:rsidP="00966B0C">
      <w:pPr>
        <w:tabs>
          <w:tab w:val="left" w:pos="8156"/>
        </w:tabs>
        <w:spacing w:before="120" w:after="120" w:line="276" w:lineRule="auto"/>
        <w:jc w:val="both"/>
        <w:rPr>
          <w:rFonts w:eastAsia="Times New Roman" w:cs="Times New Roman"/>
          <w:b/>
          <w:color w:val="000000"/>
          <w:szCs w:val="24"/>
          <w:lang w:eastAsia="lv-LV"/>
        </w:rPr>
      </w:pPr>
      <w:r w:rsidRPr="00392D98">
        <w:rPr>
          <w:rFonts w:eastAsia="Times New Roman" w:cs="Times New Roman"/>
          <w:b/>
          <w:color w:val="000000"/>
          <w:szCs w:val="24"/>
          <w:lang w:eastAsia="lv-LV"/>
        </w:rPr>
        <w:t>Projektu atklātie konkursi un projektu īstenošana</w:t>
      </w:r>
      <w:r w:rsidR="00966B0C">
        <w:rPr>
          <w:rFonts w:eastAsia="Times New Roman" w:cs="Times New Roman"/>
          <w:b/>
          <w:color w:val="000000"/>
          <w:szCs w:val="24"/>
          <w:lang w:eastAsia="lv-LV"/>
        </w:rPr>
        <w:tab/>
      </w:r>
    </w:p>
    <w:p w14:paraId="0F7E81BD" w14:textId="155F49A9" w:rsidR="00392D98" w:rsidRPr="00392D98" w:rsidRDefault="00392D98" w:rsidP="00392D98">
      <w:pPr>
        <w:spacing w:before="120" w:after="120" w:line="276" w:lineRule="auto"/>
        <w:jc w:val="both"/>
        <w:rPr>
          <w:rFonts w:eastAsia="Times New Roman" w:cs="Times New Roman"/>
          <w:color w:val="000000"/>
          <w:szCs w:val="24"/>
        </w:rPr>
      </w:pPr>
      <w:r w:rsidRPr="00392D98">
        <w:rPr>
          <w:rFonts w:eastAsia="Times New Roman" w:cs="Times New Roman"/>
          <w:color w:val="000000"/>
          <w:szCs w:val="24"/>
          <w:lang w:eastAsia="lv-LV"/>
        </w:rPr>
        <w:t xml:space="preserve">6 no 7 programmām notiek 16 dažādu </w:t>
      </w:r>
      <w:r w:rsidRPr="00392D98">
        <w:rPr>
          <w:rFonts w:eastAsia="Times New Roman" w:cs="Times New Roman"/>
          <w:b/>
          <w:color w:val="000000"/>
          <w:szCs w:val="24"/>
          <w:lang w:eastAsia="lv-LV"/>
        </w:rPr>
        <w:t>iepriekš noteikto projektu īstenošana</w:t>
      </w:r>
      <w:r w:rsidRPr="00392D98">
        <w:rPr>
          <w:rFonts w:eastAsia="Times New Roman" w:cs="Times New Roman"/>
          <w:color w:val="000000"/>
          <w:szCs w:val="24"/>
          <w:lang w:eastAsia="lv-LV"/>
        </w:rPr>
        <w:t xml:space="preserve">. 2014.gada laikā tika noslēgti visi 16 projektu līgumi un sasniegti pirmie rezultāti (skat. tālāk sadaļu “Programmās sasniegtie rezultāti”). </w:t>
      </w:r>
      <w:r w:rsidRPr="00392D98">
        <w:rPr>
          <w:rFonts w:eastAsia="Times New Roman" w:cs="Times New Roman"/>
          <w:color w:val="000000"/>
          <w:szCs w:val="24"/>
        </w:rPr>
        <w:t>Gandrīz visu projektu īstenošana norisināsies līdz 2016.gada 30.aprīlim – maksimāli pieļaujamajam iz</w:t>
      </w:r>
      <w:r w:rsidR="00FC3898">
        <w:rPr>
          <w:rFonts w:eastAsia="Times New Roman" w:cs="Times New Roman"/>
          <w:color w:val="000000"/>
          <w:szCs w:val="24"/>
        </w:rPr>
        <w:t>devumu attiecināmības periodam.</w:t>
      </w:r>
    </w:p>
    <w:p w14:paraId="22029901" w14:textId="6BC3B07B" w:rsidR="0022669C" w:rsidRDefault="00392D98" w:rsidP="00392D98">
      <w:pPr>
        <w:spacing w:before="120" w:after="120" w:line="276" w:lineRule="auto"/>
        <w:jc w:val="both"/>
        <w:rPr>
          <w:rFonts w:eastAsia="Times New Roman" w:cs="Times New Roman"/>
          <w:color w:val="000000"/>
          <w:szCs w:val="24"/>
        </w:rPr>
      </w:pPr>
      <w:r w:rsidRPr="00392D98">
        <w:rPr>
          <w:rFonts w:eastAsia="Times New Roman" w:cs="Times New Roman"/>
          <w:b/>
          <w:color w:val="000000"/>
          <w:szCs w:val="24"/>
        </w:rPr>
        <w:lastRenderedPageBreak/>
        <w:t>TM programmā</w:t>
      </w:r>
      <w:r w:rsidRPr="00392D98">
        <w:rPr>
          <w:rFonts w:eastAsia="Times New Roman" w:cs="Times New Roman"/>
          <w:color w:val="000000"/>
          <w:szCs w:val="24"/>
        </w:rPr>
        <w:t xml:space="preserve"> </w:t>
      </w:r>
      <w:r w:rsidRPr="00392D98">
        <w:rPr>
          <w:rFonts w:eastAsia="Times New Roman" w:cs="Times New Roman"/>
          <w:i/>
          <w:color w:val="000000"/>
          <w:szCs w:val="24"/>
        </w:rPr>
        <w:t>“Latvijas korekcijas dienestu un Valsts policijas īslaicīgās aizturēšanas vietu reforma”</w:t>
      </w:r>
      <w:r w:rsidRPr="00392D98">
        <w:rPr>
          <w:rFonts w:eastAsia="Times New Roman" w:cs="Times New Roman"/>
          <w:color w:val="000000"/>
          <w:szCs w:val="24"/>
        </w:rPr>
        <w:t xml:space="preserve"> 2014.gada 9.septembrī MK lēma </w:t>
      </w:r>
      <w:r w:rsidR="0022669C" w:rsidRPr="0022669C">
        <w:rPr>
          <w:rFonts w:eastAsia="Times New Roman" w:cs="Times New Roman"/>
          <w:color w:val="000000"/>
          <w:szCs w:val="24"/>
        </w:rPr>
        <w:t xml:space="preserve">grozīt </w:t>
      </w:r>
      <w:r w:rsidR="0022669C">
        <w:rPr>
          <w:rFonts w:eastAsia="Times New Roman" w:cs="Times New Roman"/>
          <w:color w:val="000000"/>
          <w:szCs w:val="24"/>
        </w:rPr>
        <w:t xml:space="preserve">iepriekš noteiktā </w:t>
      </w:r>
      <w:r w:rsidR="0022669C" w:rsidRPr="0022669C">
        <w:rPr>
          <w:rFonts w:eastAsia="Times New Roman" w:cs="Times New Roman"/>
          <w:color w:val="000000"/>
          <w:szCs w:val="24"/>
        </w:rPr>
        <w:t xml:space="preserve">projekta "Jauna nodaļa Olaines cietumā, ieskaitot būvniecību un personāla apmācību" aprakstu, budžetu un īstenošanas termiņu, pagarinot to līdz 2016.gada 31.decembrim. Papildus Ministru kabinets uzdeva Finanšu ministrijai sadarbībā ar Tieslietu ministriju virzīt priekšlikumu donorvalstij segt projekta </w:t>
      </w:r>
      <w:r w:rsidR="00AD3743">
        <w:rPr>
          <w:rFonts w:eastAsia="Times New Roman" w:cs="Times New Roman"/>
          <w:color w:val="000000"/>
          <w:szCs w:val="24"/>
        </w:rPr>
        <w:t xml:space="preserve">resocializācijas </w:t>
      </w:r>
      <w:r w:rsidR="00AD3743" w:rsidRPr="0022669C">
        <w:rPr>
          <w:rFonts w:eastAsia="Times New Roman" w:cs="Times New Roman"/>
          <w:color w:val="000000"/>
          <w:szCs w:val="24"/>
        </w:rPr>
        <w:t>aktivitā</w:t>
      </w:r>
      <w:r w:rsidR="00AD3743">
        <w:rPr>
          <w:rFonts w:eastAsia="Times New Roman" w:cs="Times New Roman"/>
          <w:color w:val="000000"/>
          <w:szCs w:val="24"/>
        </w:rPr>
        <w:t>šu</w:t>
      </w:r>
      <w:r w:rsidR="00AD3743" w:rsidRPr="0022669C">
        <w:rPr>
          <w:rFonts w:eastAsia="Times New Roman" w:cs="Times New Roman"/>
          <w:color w:val="000000"/>
          <w:szCs w:val="24"/>
        </w:rPr>
        <w:t xml:space="preserve"> </w:t>
      </w:r>
      <w:r w:rsidR="0022669C" w:rsidRPr="0022669C">
        <w:rPr>
          <w:rFonts w:eastAsia="Times New Roman" w:cs="Times New Roman"/>
          <w:color w:val="000000"/>
          <w:szCs w:val="24"/>
        </w:rPr>
        <w:t xml:space="preserve">īstenošanai nepieciešamās izmaksas no nākamā </w:t>
      </w:r>
      <w:r w:rsidR="0022669C">
        <w:rPr>
          <w:rFonts w:eastAsia="Times New Roman" w:cs="Times New Roman"/>
          <w:color w:val="000000"/>
          <w:szCs w:val="24"/>
        </w:rPr>
        <w:t>EEZ/</w:t>
      </w:r>
      <w:r w:rsidR="0022669C" w:rsidRPr="0022669C">
        <w:rPr>
          <w:rFonts w:eastAsia="Times New Roman" w:cs="Times New Roman"/>
          <w:color w:val="000000"/>
          <w:szCs w:val="24"/>
        </w:rPr>
        <w:t>Norvēģijas finanšu instrumenta perio</w:t>
      </w:r>
      <w:r w:rsidR="0022669C">
        <w:rPr>
          <w:rFonts w:eastAsia="Times New Roman" w:cs="Times New Roman"/>
          <w:color w:val="000000"/>
          <w:szCs w:val="24"/>
        </w:rPr>
        <w:t>da līdzekļiem. Uz 2014.gada 15.</w:t>
      </w:r>
      <w:r w:rsidR="0022669C" w:rsidRPr="0022669C">
        <w:rPr>
          <w:rFonts w:eastAsia="Times New Roman" w:cs="Times New Roman"/>
          <w:color w:val="000000"/>
          <w:szCs w:val="24"/>
        </w:rPr>
        <w:t xml:space="preserve">septembra Finanšu ministrijas priekšlikumu donorvalstij 2014.gada 21.oktobrī </w:t>
      </w:r>
      <w:r w:rsidR="0022669C">
        <w:rPr>
          <w:rFonts w:eastAsia="Times New Roman" w:cs="Times New Roman"/>
          <w:color w:val="000000"/>
          <w:szCs w:val="24"/>
        </w:rPr>
        <w:t xml:space="preserve">tika </w:t>
      </w:r>
      <w:r w:rsidR="0022669C" w:rsidRPr="0022669C">
        <w:rPr>
          <w:rFonts w:eastAsia="Times New Roman" w:cs="Times New Roman"/>
          <w:color w:val="000000"/>
          <w:szCs w:val="24"/>
        </w:rPr>
        <w:t>saņemta Finanšu instrumenta biroja atbilde</w:t>
      </w:r>
      <w:r w:rsidR="0022669C">
        <w:rPr>
          <w:rFonts w:eastAsia="Times New Roman" w:cs="Times New Roman"/>
          <w:color w:val="000000"/>
          <w:szCs w:val="24"/>
        </w:rPr>
        <w:t>, ka priekšlikums ir pieņemts zināšanai un tiks izvērtēts</w:t>
      </w:r>
      <w:r w:rsidR="004815CB">
        <w:rPr>
          <w:rFonts w:eastAsia="Times New Roman" w:cs="Times New Roman"/>
          <w:color w:val="000000"/>
          <w:szCs w:val="24"/>
        </w:rPr>
        <w:t xml:space="preserve"> Saprašanās memoranda par </w:t>
      </w:r>
      <w:r w:rsidR="004815CB" w:rsidRPr="004815CB">
        <w:rPr>
          <w:rFonts w:eastAsia="Times New Roman" w:cs="Times New Roman"/>
          <w:color w:val="000000"/>
          <w:szCs w:val="24"/>
        </w:rPr>
        <w:t>EEZ/Norvēģijas finanšu instrument</w:t>
      </w:r>
      <w:r w:rsidR="004815CB">
        <w:rPr>
          <w:rFonts w:eastAsia="Times New Roman" w:cs="Times New Roman"/>
          <w:color w:val="000000"/>
          <w:szCs w:val="24"/>
        </w:rPr>
        <w:t>u ieviešanu nākamajā periodā</w:t>
      </w:r>
      <w:r w:rsidR="004815CB" w:rsidRPr="004815CB">
        <w:rPr>
          <w:rFonts w:eastAsia="Times New Roman" w:cs="Times New Roman"/>
          <w:color w:val="000000"/>
          <w:szCs w:val="24"/>
        </w:rPr>
        <w:t xml:space="preserve"> </w:t>
      </w:r>
      <w:r w:rsidR="004815CB">
        <w:rPr>
          <w:rFonts w:eastAsia="Times New Roman" w:cs="Times New Roman"/>
          <w:color w:val="000000"/>
          <w:szCs w:val="24"/>
        </w:rPr>
        <w:t>sarunās starp Latviju un donorvalstīm</w:t>
      </w:r>
      <w:r w:rsidR="0022669C" w:rsidRPr="0022669C">
        <w:rPr>
          <w:rFonts w:eastAsia="Times New Roman" w:cs="Times New Roman"/>
          <w:color w:val="000000"/>
          <w:szCs w:val="24"/>
        </w:rPr>
        <w:t>.</w:t>
      </w:r>
    </w:p>
    <w:p w14:paraId="5C9EBC35" w14:textId="084E9172" w:rsidR="00392D98" w:rsidRPr="00392D98" w:rsidRDefault="00392D98" w:rsidP="00392D98">
      <w:pPr>
        <w:spacing w:before="120" w:after="120" w:line="276" w:lineRule="auto"/>
        <w:jc w:val="both"/>
        <w:rPr>
          <w:rFonts w:eastAsia="Times New Roman" w:cs="Times New Roman"/>
          <w:color w:val="000000"/>
          <w:szCs w:val="24"/>
        </w:rPr>
      </w:pPr>
      <w:r w:rsidRPr="00392D98">
        <w:rPr>
          <w:rFonts w:eastAsia="Times New Roman" w:cs="Times New Roman"/>
          <w:color w:val="000000"/>
          <w:szCs w:val="24"/>
        </w:rPr>
        <w:t xml:space="preserve">Vienlaikus TM vērsa MK uzmanību uz nepieciešamību uzņemties ilgtermiņa saistības elektroniskās uzraudzības nodrošināšanai, atbalstot Valsts probācijas dienestam elektroniskās uzraudzības tehnoloģiju nomas līguma slēgšanu uz 5 gadiem, t.sk. šim mērķim paredzot valsts budžeta finansējumu indikatīvi 2,7 milj. </w:t>
      </w:r>
      <w:r w:rsidRPr="00392D98">
        <w:rPr>
          <w:rFonts w:eastAsia="Times New Roman" w:cs="Times New Roman"/>
          <w:i/>
          <w:color w:val="000000"/>
          <w:szCs w:val="24"/>
        </w:rPr>
        <w:t>euro</w:t>
      </w:r>
      <w:r w:rsidRPr="00392D98">
        <w:rPr>
          <w:rFonts w:eastAsia="Times New Roman" w:cs="Times New Roman"/>
          <w:color w:val="000000"/>
          <w:szCs w:val="24"/>
        </w:rPr>
        <w:t xml:space="preserve"> apmērā pēc iepriekš noteiktā projekta “</w:t>
      </w:r>
      <w:r w:rsidRPr="00392D98">
        <w:rPr>
          <w:rFonts w:eastAsia="Times New Roman" w:cs="Times New Roman"/>
          <w:i/>
          <w:color w:val="000000"/>
          <w:szCs w:val="24"/>
        </w:rPr>
        <w:t>Alternatīvu brīvības atņemšanai sekmēšana (ieskaitot iespējamo pilotprojektu elektroniskai uzraudzība)</w:t>
      </w:r>
      <w:r w:rsidRPr="00392D98">
        <w:rPr>
          <w:rFonts w:eastAsia="Times New Roman" w:cs="Times New Roman"/>
          <w:color w:val="000000"/>
          <w:szCs w:val="24"/>
        </w:rPr>
        <w:t xml:space="preserve">” beigām 2016.gada 30.aprīlī. MK lēma atļaut Valsts probācijas dienestam uzņemties elektroniskās uzraudzības tehnoloģijas nomas iepirkuma līguma saistības uz 5 gadiem, vienlaikus nosakot Finanšu ministrijai sadarbībā ar Tieslietu ministriju virzīt priekšlikumu donorvalstij minētos izdevumus segt no nākamā Norvēģijas finanšu instrumenta perioda līdzekļiem. 2014.gada 11.septembrī sarunās starp TM, VI, programmas donorvalsts partnera un Finanšu instrumenta biroja pārstāvjiem minētais priekšlikums tika izvirzīts, taču donorvalsts puse to noraidīja, vēršot uzmanību, ka projekta ietvaros paredzēts īstenot tikai elektroniskās uzraudzības </w:t>
      </w:r>
      <w:r w:rsidRPr="00392D98">
        <w:rPr>
          <w:rFonts w:eastAsia="Times New Roman" w:cs="Times New Roman"/>
          <w:i/>
          <w:color w:val="000000"/>
          <w:szCs w:val="24"/>
        </w:rPr>
        <w:t>pilotprojektu</w:t>
      </w:r>
      <w:r w:rsidRPr="00392D98">
        <w:rPr>
          <w:rFonts w:eastAsia="Times New Roman" w:cs="Times New Roman"/>
          <w:color w:val="000000"/>
          <w:szCs w:val="24"/>
        </w:rPr>
        <w:t xml:space="preserve"> līdz 2016.gada 30.aprīlim un sistēma pēc tam uzturama no saņēmējvalsts līdzekļiem. Valsts probācijas dienests ir izsludinājis elektroniskās uzraudzības tehnisko risinājumu iepirkumu uz 5 gadiem ar nosacījumu par līguma iespējamu laušanu pēc projekta beigām 2016. gada 30. aprīlī. Piedāvājumu iesniegšanas da</w:t>
      </w:r>
      <w:r w:rsidR="00FC3898">
        <w:rPr>
          <w:rFonts w:eastAsia="Times New Roman" w:cs="Times New Roman"/>
          <w:color w:val="000000"/>
          <w:szCs w:val="24"/>
        </w:rPr>
        <w:t>tums ir 2015. gada 2.februāris.</w:t>
      </w:r>
    </w:p>
    <w:p w14:paraId="50A721F6" w14:textId="77777777" w:rsidR="00392D98" w:rsidRPr="00392D98" w:rsidRDefault="00392D98" w:rsidP="00392D98">
      <w:pPr>
        <w:spacing w:before="120" w:after="120" w:line="276" w:lineRule="auto"/>
        <w:jc w:val="both"/>
        <w:rPr>
          <w:rFonts w:eastAsia="Times New Roman" w:cs="Times New Roman"/>
          <w:color w:val="000000"/>
          <w:szCs w:val="24"/>
        </w:rPr>
      </w:pPr>
      <w:r w:rsidRPr="00392D98">
        <w:rPr>
          <w:rFonts w:eastAsia="Times New Roman" w:cs="Times New Roman"/>
          <w:color w:val="000000"/>
          <w:szCs w:val="24"/>
        </w:rPr>
        <w:t>Līdz ar to TM pieprasījums par papildu nepieciešamo finansējumu abos minētajos iepriekš noteiktajos projektos uzsākto aktivitāšu īstenošanai jāiesniedz MK likumprojekta “Par valsts budžetu 2016.gadam” un likumprojekta “Par vidēja termiņa budžeta ietvaru 2016., 2017. un 2018.gadam” sagatavošanas un izskatīšanas procesā kopā ar visu ministriju un centrālo valsts iestāžu priekšlikumiem jaunajām politikas iniciatīvām un iesniegtajiem papildu pieprasījumiem.</w:t>
      </w:r>
    </w:p>
    <w:p w14:paraId="36CEA9A4" w14:textId="3B1DA984" w:rsidR="00392D98" w:rsidRPr="00392D98" w:rsidRDefault="00392D98" w:rsidP="00392D98">
      <w:pPr>
        <w:spacing w:before="120" w:after="120" w:line="276" w:lineRule="auto"/>
        <w:jc w:val="both"/>
        <w:rPr>
          <w:rFonts w:eastAsia="Times New Roman" w:cs="Times New Roman"/>
          <w:color w:val="000000"/>
          <w:szCs w:val="24"/>
        </w:rPr>
      </w:pPr>
      <w:r w:rsidRPr="00392D98">
        <w:rPr>
          <w:rFonts w:eastAsia="Times New Roman" w:cs="Times New Roman"/>
          <w:color w:val="000000"/>
          <w:szCs w:val="24"/>
          <w:lang w:eastAsia="lv-LV"/>
        </w:rPr>
        <w:t xml:space="preserve">Kopumā </w:t>
      </w:r>
      <w:r w:rsidRPr="00392D98">
        <w:rPr>
          <w:rFonts w:eastAsia="Times New Roman" w:cs="Times New Roman"/>
          <w:color w:val="000000"/>
          <w:szCs w:val="24"/>
        </w:rPr>
        <w:t xml:space="preserve">5 no 7 programmām līdz 2014.gada beigām noslēdzās visi </w:t>
      </w:r>
      <w:r w:rsidRPr="00392D98">
        <w:rPr>
          <w:rFonts w:eastAsia="Times New Roman" w:cs="Times New Roman"/>
          <w:b/>
          <w:color w:val="000000"/>
          <w:szCs w:val="24"/>
        </w:rPr>
        <w:t>atklātie projektu konkursi</w:t>
      </w:r>
      <w:r w:rsidRPr="00392D98">
        <w:rPr>
          <w:rFonts w:eastAsia="Times New Roman" w:cs="Times New Roman"/>
          <w:color w:val="000000"/>
          <w:szCs w:val="24"/>
        </w:rPr>
        <w:t xml:space="preserve">, izņemot IZM programmu </w:t>
      </w:r>
      <w:r w:rsidRPr="00392D98">
        <w:rPr>
          <w:rFonts w:eastAsia="Times New Roman" w:cs="Times New Roman"/>
          <w:i/>
          <w:color w:val="000000"/>
          <w:szCs w:val="24"/>
        </w:rPr>
        <w:t>“Pētniecība un stipendijas”</w:t>
      </w:r>
      <w:r w:rsidRPr="00392D98">
        <w:rPr>
          <w:rFonts w:eastAsia="Times New Roman" w:cs="Times New Roman"/>
          <w:color w:val="000000"/>
          <w:szCs w:val="24"/>
        </w:rPr>
        <w:t xml:space="preserve">, EM programmu </w:t>
      </w:r>
      <w:r w:rsidRPr="00392D98">
        <w:rPr>
          <w:rFonts w:eastAsia="Times New Roman" w:cs="Times New Roman"/>
          <w:i/>
          <w:color w:val="000000"/>
          <w:szCs w:val="24"/>
        </w:rPr>
        <w:t>„Inovācijas „zaļās” ražošanas jomā”</w:t>
      </w:r>
      <w:r w:rsidRPr="00392D98">
        <w:rPr>
          <w:rFonts w:eastAsia="Times New Roman" w:cs="Times New Roman"/>
          <w:color w:val="000000"/>
          <w:szCs w:val="24"/>
        </w:rPr>
        <w:t xml:space="preserve"> un SIF programmu </w:t>
      </w:r>
      <w:r w:rsidRPr="00392D98">
        <w:rPr>
          <w:rFonts w:eastAsia="Times New Roman" w:cs="Times New Roman"/>
          <w:i/>
          <w:color w:val="000000"/>
          <w:szCs w:val="24"/>
        </w:rPr>
        <w:t>“NVO fonds”</w:t>
      </w:r>
      <w:r w:rsidRPr="00392D98">
        <w:rPr>
          <w:rFonts w:eastAsia="Times New Roman" w:cs="Times New Roman"/>
          <w:color w:val="000000"/>
          <w:szCs w:val="24"/>
        </w:rPr>
        <w:t>, kurās konkursi noslē</w:t>
      </w:r>
      <w:r w:rsidR="00BA64D0">
        <w:rPr>
          <w:rFonts w:eastAsia="Times New Roman" w:cs="Times New Roman"/>
          <w:color w:val="000000"/>
          <w:szCs w:val="24"/>
        </w:rPr>
        <w:t>dzā</w:t>
      </w:r>
      <w:r w:rsidRPr="00392D98">
        <w:rPr>
          <w:rFonts w:eastAsia="Times New Roman" w:cs="Times New Roman"/>
          <w:color w:val="000000"/>
          <w:szCs w:val="24"/>
        </w:rPr>
        <w:t>s 201</w:t>
      </w:r>
      <w:r w:rsidR="00FC3898">
        <w:rPr>
          <w:rFonts w:eastAsia="Times New Roman" w:cs="Times New Roman"/>
          <w:color w:val="000000"/>
          <w:szCs w:val="24"/>
        </w:rPr>
        <w:t>5.gada janvārī.</w:t>
      </w:r>
    </w:p>
    <w:p w14:paraId="3818DDD5" w14:textId="77777777" w:rsidR="003721EE" w:rsidRDefault="003721EE" w:rsidP="00392D98">
      <w:pPr>
        <w:rPr>
          <w:rFonts w:eastAsia="Calibri" w:cs="Times New Roman"/>
          <w:szCs w:val="24"/>
        </w:rPr>
      </w:pPr>
    </w:p>
    <w:p w14:paraId="2D030441" w14:textId="77777777" w:rsidR="003721EE" w:rsidRDefault="003721EE" w:rsidP="00392D98">
      <w:pPr>
        <w:rPr>
          <w:rFonts w:eastAsia="Calibri" w:cs="Times New Roman"/>
          <w:szCs w:val="24"/>
        </w:rPr>
      </w:pPr>
    </w:p>
    <w:p w14:paraId="67C6FD37" w14:textId="77777777" w:rsidR="003721EE" w:rsidRDefault="003721EE" w:rsidP="00392D98">
      <w:pPr>
        <w:rPr>
          <w:rFonts w:eastAsia="Calibri" w:cs="Times New Roman"/>
          <w:szCs w:val="24"/>
        </w:rPr>
      </w:pPr>
    </w:p>
    <w:p w14:paraId="57ED0B62" w14:textId="77777777" w:rsidR="003721EE" w:rsidRDefault="003721EE" w:rsidP="00392D98">
      <w:pPr>
        <w:rPr>
          <w:rFonts w:eastAsia="Calibri" w:cs="Times New Roman"/>
          <w:szCs w:val="24"/>
        </w:rPr>
      </w:pPr>
    </w:p>
    <w:p w14:paraId="3BDA97BA" w14:textId="77777777" w:rsidR="003721EE" w:rsidRDefault="003721EE" w:rsidP="00392D98">
      <w:pPr>
        <w:rPr>
          <w:rFonts w:eastAsia="Calibri" w:cs="Times New Roman"/>
          <w:szCs w:val="24"/>
        </w:rPr>
      </w:pPr>
    </w:p>
    <w:p w14:paraId="71395569" w14:textId="3C4181AF" w:rsidR="00392D98" w:rsidRPr="00392D98" w:rsidRDefault="00392D98" w:rsidP="00392D98">
      <w:pPr>
        <w:rPr>
          <w:rFonts w:eastAsia="Calibri" w:cs="Times New Roman"/>
          <w:szCs w:val="24"/>
        </w:rPr>
      </w:pPr>
      <w:r w:rsidRPr="00392D98">
        <w:rPr>
          <w:rFonts w:eastAsia="Calibri" w:cs="Times New Roman"/>
          <w:szCs w:val="24"/>
        </w:rPr>
        <w:lastRenderedPageBreak/>
        <w:t xml:space="preserve">Tabula </w:t>
      </w:r>
      <w:r w:rsidRPr="009709A3">
        <w:rPr>
          <w:rFonts w:eastAsia="Calibri" w:cs="Times New Roman"/>
          <w:szCs w:val="24"/>
        </w:rPr>
        <w:t>Nr.</w:t>
      </w:r>
      <w:r w:rsidR="0042496B" w:rsidRPr="009709A3">
        <w:rPr>
          <w:rFonts w:eastAsia="Calibri" w:cs="Times New Roman"/>
          <w:szCs w:val="24"/>
        </w:rPr>
        <w:t>1</w:t>
      </w:r>
      <w:r w:rsidRPr="009709A3">
        <w:rPr>
          <w:rFonts w:eastAsia="Calibri" w:cs="Times New Roman"/>
          <w:szCs w:val="24"/>
        </w:rPr>
        <w:t xml:space="preserve"> „</w:t>
      </w:r>
      <w:r w:rsidRPr="00392D98">
        <w:rPr>
          <w:rFonts w:eastAsia="Calibri" w:cs="Times New Roman"/>
          <w:i/>
          <w:iCs/>
          <w:szCs w:val="24"/>
        </w:rPr>
        <w:t xml:space="preserve">Atklāto projektu konkursos </w:t>
      </w:r>
      <w:r w:rsidR="008B294E">
        <w:rPr>
          <w:rFonts w:eastAsia="Calibri" w:cs="Times New Roman"/>
          <w:i/>
          <w:iCs/>
          <w:szCs w:val="24"/>
        </w:rPr>
        <w:t xml:space="preserve">saņemtie un </w:t>
      </w:r>
      <w:r w:rsidRPr="00392D98">
        <w:rPr>
          <w:rFonts w:eastAsia="Calibri" w:cs="Times New Roman"/>
          <w:i/>
          <w:iCs/>
          <w:szCs w:val="24"/>
        </w:rPr>
        <w:t>apstiprinātie projekti 2014.gadā</w:t>
      </w:r>
      <w:r w:rsidRPr="00392D98">
        <w:rPr>
          <w:rFonts w:eastAsia="Calibri" w:cs="Times New Roman"/>
          <w:szCs w:val="24"/>
        </w:rPr>
        <w:t>”</w:t>
      </w:r>
    </w:p>
    <w:p w14:paraId="3F8E80A7" w14:textId="660E0E01" w:rsidR="00392D98" w:rsidRPr="00392D98" w:rsidRDefault="00392D98" w:rsidP="00392D98">
      <w:pPr>
        <w:tabs>
          <w:tab w:val="left" w:pos="978"/>
        </w:tabs>
        <w:rPr>
          <w:rFonts w:eastAsia="Calibri" w:cs="Times New Roman"/>
          <w:sz w:val="23"/>
          <w:szCs w:val="23"/>
        </w:rPr>
      </w:pPr>
    </w:p>
    <w:tbl>
      <w:tblPr>
        <w:tblStyle w:val="TableGrid1"/>
        <w:tblW w:w="9017" w:type="dxa"/>
        <w:tblLayout w:type="fixed"/>
        <w:tblLook w:val="04A0" w:firstRow="1" w:lastRow="0" w:firstColumn="1" w:lastColumn="0" w:noHBand="0" w:noVBand="1"/>
      </w:tblPr>
      <w:tblGrid>
        <w:gridCol w:w="2262"/>
        <w:gridCol w:w="3027"/>
        <w:gridCol w:w="1919"/>
        <w:gridCol w:w="1809"/>
      </w:tblGrid>
      <w:tr w:rsidR="00392D98" w:rsidRPr="00455622" w14:paraId="2732720F" w14:textId="77777777" w:rsidTr="0030188F">
        <w:trPr>
          <w:trHeight w:val="978"/>
        </w:trPr>
        <w:tc>
          <w:tcPr>
            <w:tcW w:w="2262" w:type="dxa"/>
            <w:vMerge w:val="restart"/>
          </w:tcPr>
          <w:p w14:paraId="58EA4E13" w14:textId="77777777" w:rsidR="00392D98" w:rsidRPr="00455622" w:rsidRDefault="00392D98" w:rsidP="00392D98">
            <w:pPr>
              <w:jc w:val="center"/>
              <w:rPr>
                <w:rFonts w:ascii="Times New Roman" w:eastAsia="Calibri" w:hAnsi="Times New Roman" w:cs="Times New Roman"/>
                <w:b/>
              </w:rPr>
            </w:pPr>
            <w:r w:rsidRPr="00455622">
              <w:rPr>
                <w:rFonts w:ascii="Times New Roman" w:eastAsia="Calibri" w:hAnsi="Times New Roman" w:cs="Times New Roman"/>
                <w:b/>
              </w:rPr>
              <w:t>Programmas nosaukums/ apsaimniekotājs</w:t>
            </w:r>
          </w:p>
        </w:tc>
        <w:tc>
          <w:tcPr>
            <w:tcW w:w="3027" w:type="dxa"/>
            <w:vMerge w:val="restart"/>
          </w:tcPr>
          <w:p w14:paraId="2FC20CB7" w14:textId="77777777" w:rsidR="00392D98" w:rsidRPr="00455622" w:rsidRDefault="00392D98" w:rsidP="00392D98">
            <w:pPr>
              <w:jc w:val="center"/>
              <w:rPr>
                <w:rFonts w:ascii="Times New Roman" w:eastAsia="Calibri" w:hAnsi="Times New Roman" w:cs="Times New Roman"/>
                <w:b/>
              </w:rPr>
            </w:pPr>
            <w:r w:rsidRPr="00455622">
              <w:rPr>
                <w:rFonts w:ascii="Times New Roman" w:eastAsia="Calibri" w:hAnsi="Times New Roman" w:cs="Times New Roman"/>
                <w:b/>
              </w:rPr>
              <w:t>Atklātie konkursi (AK) / Neliela apjoma grantu shēmas (MGS)</w:t>
            </w:r>
          </w:p>
        </w:tc>
        <w:tc>
          <w:tcPr>
            <w:tcW w:w="1919" w:type="dxa"/>
            <w:vMerge w:val="restart"/>
          </w:tcPr>
          <w:p w14:paraId="426E8BD7" w14:textId="77777777" w:rsidR="00392D98" w:rsidRPr="00455622" w:rsidRDefault="00392D98" w:rsidP="00392D98">
            <w:pPr>
              <w:jc w:val="center"/>
              <w:rPr>
                <w:rFonts w:ascii="Times New Roman" w:eastAsia="Calibri" w:hAnsi="Times New Roman" w:cs="Times New Roman"/>
                <w:b/>
              </w:rPr>
            </w:pPr>
            <w:r w:rsidRPr="00455622">
              <w:rPr>
                <w:rFonts w:ascii="Times New Roman" w:eastAsia="Calibri" w:hAnsi="Times New Roman" w:cs="Times New Roman"/>
                <w:b/>
              </w:rPr>
              <w:t>Saņemtie projektu iesniegumi</w:t>
            </w:r>
          </w:p>
        </w:tc>
        <w:tc>
          <w:tcPr>
            <w:tcW w:w="1809" w:type="dxa"/>
            <w:vMerge w:val="restart"/>
          </w:tcPr>
          <w:p w14:paraId="25F79C43" w14:textId="77777777" w:rsidR="00392D98" w:rsidRPr="00455622" w:rsidRDefault="00392D98" w:rsidP="00392D98">
            <w:pPr>
              <w:jc w:val="center"/>
              <w:rPr>
                <w:rFonts w:ascii="Times New Roman" w:eastAsia="Calibri" w:hAnsi="Times New Roman" w:cs="Times New Roman"/>
                <w:b/>
              </w:rPr>
            </w:pPr>
            <w:r w:rsidRPr="00455622">
              <w:rPr>
                <w:rFonts w:ascii="Times New Roman" w:eastAsia="Calibri" w:hAnsi="Times New Roman" w:cs="Times New Roman"/>
                <w:b/>
              </w:rPr>
              <w:t>Apstiprinātie projekti</w:t>
            </w:r>
          </w:p>
        </w:tc>
      </w:tr>
      <w:tr w:rsidR="00392D98" w:rsidRPr="00455622" w14:paraId="45BC2747" w14:textId="77777777" w:rsidTr="0030188F">
        <w:trPr>
          <w:trHeight w:val="255"/>
        </w:trPr>
        <w:tc>
          <w:tcPr>
            <w:tcW w:w="2262" w:type="dxa"/>
            <w:vMerge/>
          </w:tcPr>
          <w:p w14:paraId="554E7A5F" w14:textId="77777777" w:rsidR="00392D98" w:rsidRPr="00455622" w:rsidRDefault="00392D98" w:rsidP="00392D98">
            <w:pPr>
              <w:jc w:val="center"/>
              <w:rPr>
                <w:rFonts w:ascii="Times New Roman" w:eastAsia="Calibri" w:hAnsi="Times New Roman" w:cs="Times New Roman"/>
                <w:b/>
              </w:rPr>
            </w:pPr>
          </w:p>
        </w:tc>
        <w:tc>
          <w:tcPr>
            <w:tcW w:w="3027" w:type="dxa"/>
            <w:vMerge/>
          </w:tcPr>
          <w:p w14:paraId="3EB96EF2" w14:textId="77777777" w:rsidR="00392D98" w:rsidRPr="00455622" w:rsidRDefault="00392D98" w:rsidP="00392D98">
            <w:pPr>
              <w:jc w:val="center"/>
              <w:rPr>
                <w:rFonts w:ascii="Times New Roman" w:eastAsia="Calibri" w:hAnsi="Times New Roman" w:cs="Times New Roman"/>
                <w:b/>
              </w:rPr>
            </w:pPr>
          </w:p>
        </w:tc>
        <w:tc>
          <w:tcPr>
            <w:tcW w:w="1919" w:type="dxa"/>
            <w:vMerge/>
          </w:tcPr>
          <w:p w14:paraId="6AE20AFC" w14:textId="77777777" w:rsidR="00392D98" w:rsidRPr="00455622" w:rsidRDefault="00392D98" w:rsidP="00392D98">
            <w:pPr>
              <w:jc w:val="center"/>
              <w:rPr>
                <w:rFonts w:ascii="Times New Roman" w:eastAsia="Calibri" w:hAnsi="Times New Roman" w:cs="Times New Roman"/>
                <w:b/>
              </w:rPr>
            </w:pPr>
          </w:p>
        </w:tc>
        <w:tc>
          <w:tcPr>
            <w:tcW w:w="1809" w:type="dxa"/>
            <w:vMerge/>
          </w:tcPr>
          <w:p w14:paraId="7CCC53EA" w14:textId="77777777" w:rsidR="00392D98" w:rsidRPr="00455622" w:rsidRDefault="00392D98" w:rsidP="00392D98">
            <w:pPr>
              <w:jc w:val="center"/>
              <w:rPr>
                <w:rFonts w:ascii="Times New Roman" w:eastAsia="Calibri" w:hAnsi="Times New Roman" w:cs="Times New Roman"/>
                <w:b/>
              </w:rPr>
            </w:pPr>
          </w:p>
        </w:tc>
      </w:tr>
      <w:tr w:rsidR="00392D98" w:rsidRPr="00455622" w14:paraId="2CF16D83" w14:textId="77777777" w:rsidTr="0030188F">
        <w:trPr>
          <w:trHeight w:val="821"/>
        </w:trPr>
        <w:tc>
          <w:tcPr>
            <w:tcW w:w="2262" w:type="dxa"/>
            <w:vMerge w:val="restart"/>
          </w:tcPr>
          <w:p w14:paraId="5E3B9E97" w14:textId="77777777" w:rsidR="00392D98" w:rsidRPr="00455622" w:rsidRDefault="00392D98" w:rsidP="00392D98">
            <w:pPr>
              <w:rPr>
                <w:rFonts w:ascii="Times New Roman" w:eastAsia="Calibri" w:hAnsi="Times New Roman" w:cs="Times New Roman"/>
              </w:rPr>
            </w:pPr>
            <w:r w:rsidRPr="00455622">
              <w:rPr>
                <w:rFonts w:ascii="Times New Roman" w:eastAsia="Calibri" w:hAnsi="Times New Roman" w:cs="Times New Roman"/>
                <w:b/>
              </w:rPr>
              <w:t>Nacionālā klimata politika</w:t>
            </w:r>
            <w:r w:rsidRPr="00455622">
              <w:rPr>
                <w:rFonts w:ascii="Times New Roman" w:eastAsia="Calibri" w:hAnsi="Times New Roman" w:cs="Times New Roman"/>
              </w:rPr>
              <w:t>/ VARAM</w:t>
            </w:r>
          </w:p>
        </w:tc>
        <w:tc>
          <w:tcPr>
            <w:tcW w:w="3027" w:type="dxa"/>
          </w:tcPr>
          <w:p w14:paraId="303FF1DB" w14:textId="77777777" w:rsidR="00392D98" w:rsidRPr="00455622" w:rsidRDefault="00392D98" w:rsidP="00392D98">
            <w:pPr>
              <w:rPr>
                <w:rFonts w:ascii="Times New Roman" w:eastAsia="Calibri" w:hAnsi="Times New Roman" w:cs="Times New Roman"/>
              </w:rPr>
            </w:pPr>
            <w:r w:rsidRPr="00455622">
              <w:rPr>
                <w:rFonts w:ascii="Times New Roman" w:eastAsia="Calibri" w:hAnsi="Times New Roman" w:cs="Times New Roman"/>
                <w:i/>
              </w:rPr>
              <w:t xml:space="preserve">AK </w:t>
            </w:r>
            <w:r w:rsidRPr="00455622">
              <w:rPr>
                <w:rFonts w:ascii="Times New Roman" w:eastAsia="Calibri" w:hAnsi="Times New Roman" w:cs="Times New Roman"/>
              </w:rPr>
              <w:t>Ilgtspējīgu ēku, atjaunojamo energoresursu tehnoloģiju attīstība</w:t>
            </w:r>
          </w:p>
        </w:tc>
        <w:tc>
          <w:tcPr>
            <w:tcW w:w="1919" w:type="dxa"/>
          </w:tcPr>
          <w:p w14:paraId="202E20B9" w14:textId="77777777" w:rsidR="00392D98" w:rsidRPr="00455622" w:rsidRDefault="00392D98" w:rsidP="00392D98">
            <w:pPr>
              <w:jc w:val="center"/>
              <w:rPr>
                <w:rFonts w:ascii="Times New Roman" w:eastAsia="Calibri" w:hAnsi="Times New Roman" w:cs="Times New Roman"/>
              </w:rPr>
            </w:pPr>
            <w:r w:rsidRPr="00455622">
              <w:rPr>
                <w:rFonts w:ascii="Times New Roman" w:eastAsia="Calibri" w:hAnsi="Times New Roman" w:cs="Times New Roman"/>
              </w:rPr>
              <w:t>23</w:t>
            </w:r>
          </w:p>
        </w:tc>
        <w:tc>
          <w:tcPr>
            <w:tcW w:w="1809" w:type="dxa"/>
          </w:tcPr>
          <w:p w14:paraId="24AA1B98" w14:textId="1560DC23" w:rsidR="00392D98" w:rsidRPr="00455622" w:rsidRDefault="00392D98" w:rsidP="00392D98">
            <w:pPr>
              <w:jc w:val="center"/>
              <w:rPr>
                <w:rFonts w:ascii="Times New Roman" w:eastAsia="Calibri" w:hAnsi="Times New Roman" w:cs="Times New Roman"/>
              </w:rPr>
            </w:pPr>
            <w:r w:rsidRPr="00455622">
              <w:rPr>
                <w:rFonts w:ascii="Times New Roman" w:eastAsia="Calibri" w:hAnsi="Times New Roman" w:cs="Times New Roman"/>
              </w:rPr>
              <w:t>7</w:t>
            </w:r>
            <w:r w:rsidR="0057290A">
              <w:rPr>
                <w:rFonts w:ascii="Times New Roman" w:eastAsia="Calibri" w:hAnsi="Times New Roman" w:cs="Times New Roman"/>
              </w:rPr>
              <w:t>*</w:t>
            </w:r>
          </w:p>
        </w:tc>
      </w:tr>
      <w:tr w:rsidR="00392D98" w:rsidRPr="00455622" w14:paraId="22C8D426" w14:textId="77777777" w:rsidTr="0030188F">
        <w:trPr>
          <w:trHeight w:val="543"/>
        </w:trPr>
        <w:tc>
          <w:tcPr>
            <w:tcW w:w="2262" w:type="dxa"/>
            <w:vMerge/>
          </w:tcPr>
          <w:p w14:paraId="45030585" w14:textId="77777777" w:rsidR="00392D98" w:rsidRPr="00455622" w:rsidRDefault="00392D98" w:rsidP="00392D98">
            <w:pPr>
              <w:rPr>
                <w:rFonts w:ascii="Times New Roman" w:eastAsia="Calibri" w:hAnsi="Times New Roman" w:cs="Times New Roman"/>
                <w:b/>
              </w:rPr>
            </w:pPr>
          </w:p>
        </w:tc>
        <w:tc>
          <w:tcPr>
            <w:tcW w:w="3027" w:type="dxa"/>
          </w:tcPr>
          <w:p w14:paraId="1FF78B5F" w14:textId="77777777" w:rsidR="00392D98" w:rsidRPr="00455622" w:rsidRDefault="00392D98" w:rsidP="00392D98">
            <w:pPr>
              <w:rPr>
                <w:rFonts w:ascii="Times New Roman" w:eastAsia="Calibri" w:hAnsi="Times New Roman" w:cs="Times New Roman"/>
              </w:rPr>
            </w:pPr>
            <w:r w:rsidRPr="00455622">
              <w:rPr>
                <w:rFonts w:ascii="Times New Roman" w:eastAsia="Calibri" w:hAnsi="Times New Roman" w:cs="Times New Roman"/>
                <w:i/>
              </w:rPr>
              <w:t>MGS</w:t>
            </w:r>
            <w:r w:rsidRPr="00455622">
              <w:rPr>
                <w:rFonts w:ascii="Times New Roman" w:eastAsia="Calibri" w:hAnsi="Times New Roman" w:cs="Times New Roman"/>
              </w:rPr>
              <w:t xml:space="preserve"> Kapacitātes celšana pētījumiem par klimata pārmaiņām </w:t>
            </w:r>
          </w:p>
        </w:tc>
        <w:tc>
          <w:tcPr>
            <w:tcW w:w="1919" w:type="dxa"/>
          </w:tcPr>
          <w:p w14:paraId="76AA7CFF" w14:textId="77777777" w:rsidR="00392D98" w:rsidRPr="00455622" w:rsidRDefault="00392D98" w:rsidP="00392D98">
            <w:pPr>
              <w:tabs>
                <w:tab w:val="left" w:pos="593"/>
              </w:tabs>
              <w:jc w:val="center"/>
              <w:rPr>
                <w:rFonts w:ascii="Times New Roman" w:eastAsia="Calibri" w:hAnsi="Times New Roman" w:cs="Times New Roman"/>
              </w:rPr>
            </w:pPr>
            <w:r w:rsidRPr="00455622">
              <w:rPr>
                <w:rFonts w:ascii="Times New Roman" w:eastAsia="Calibri" w:hAnsi="Times New Roman" w:cs="Times New Roman"/>
              </w:rPr>
              <w:t>63</w:t>
            </w:r>
          </w:p>
        </w:tc>
        <w:tc>
          <w:tcPr>
            <w:tcW w:w="1809" w:type="dxa"/>
          </w:tcPr>
          <w:p w14:paraId="058A3967" w14:textId="2198E257" w:rsidR="00392D98" w:rsidRPr="00455622" w:rsidRDefault="00392D98" w:rsidP="00392D98">
            <w:pPr>
              <w:jc w:val="center"/>
              <w:rPr>
                <w:rFonts w:ascii="Times New Roman" w:eastAsia="Calibri" w:hAnsi="Times New Roman" w:cs="Times New Roman"/>
              </w:rPr>
            </w:pPr>
            <w:r w:rsidRPr="00455622">
              <w:rPr>
                <w:rFonts w:ascii="Times New Roman" w:eastAsia="Calibri" w:hAnsi="Times New Roman" w:cs="Times New Roman"/>
              </w:rPr>
              <w:t>12</w:t>
            </w:r>
            <w:r w:rsidR="0057290A">
              <w:rPr>
                <w:rFonts w:ascii="Times New Roman" w:eastAsia="Calibri" w:hAnsi="Times New Roman" w:cs="Times New Roman"/>
              </w:rPr>
              <w:t>*</w:t>
            </w:r>
          </w:p>
        </w:tc>
      </w:tr>
      <w:tr w:rsidR="00392D98" w:rsidRPr="00455622" w14:paraId="4E8AAE81" w14:textId="77777777" w:rsidTr="0030188F">
        <w:trPr>
          <w:trHeight w:val="121"/>
        </w:trPr>
        <w:tc>
          <w:tcPr>
            <w:tcW w:w="2262" w:type="dxa"/>
            <w:vMerge w:val="restart"/>
          </w:tcPr>
          <w:p w14:paraId="0D7F8455" w14:textId="77777777" w:rsidR="00392D98" w:rsidRPr="00455622" w:rsidRDefault="00392D98" w:rsidP="00392D98">
            <w:pPr>
              <w:rPr>
                <w:rFonts w:ascii="Times New Roman" w:eastAsia="Calibri" w:hAnsi="Times New Roman" w:cs="Times New Roman"/>
              </w:rPr>
            </w:pPr>
            <w:r w:rsidRPr="00455622">
              <w:rPr>
                <w:rFonts w:ascii="Times New Roman" w:eastAsia="Calibri" w:hAnsi="Times New Roman" w:cs="Times New Roman"/>
                <w:b/>
              </w:rPr>
              <w:t>NVO fonds</w:t>
            </w:r>
            <w:r w:rsidRPr="00455622">
              <w:rPr>
                <w:rFonts w:ascii="Times New Roman" w:eastAsia="Calibri" w:hAnsi="Times New Roman" w:cs="Times New Roman"/>
              </w:rPr>
              <w:t>/ SIF</w:t>
            </w:r>
          </w:p>
        </w:tc>
        <w:tc>
          <w:tcPr>
            <w:tcW w:w="3027" w:type="dxa"/>
          </w:tcPr>
          <w:p w14:paraId="70047224" w14:textId="77777777" w:rsidR="00392D98" w:rsidRPr="00455622" w:rsidRDefault="00392D98" w:rsidP="00392D98">
            <w:pPr>
              <w:rPr>
                <w:rFonts w:ascii="Times New Roman" w:eastAsia="Calibri" w:hAnsi="Times New Roman" w:cs="Times New Roman"/>
              </w:rPr>
            </w:pPr>
            <w:r w:rsidRPr="00455622">
              <w:rPr>
                <w:rFonts w:ascii="Times New Roman" w:eastAsia="Calibri" w:hAnsi="Times New Roman" w:cs="Times New Roman"/>
                <w:i/>
              </w:rPr>
              <w:t>AK</w:t>
            </w:r>
            <w:r w:rsidRPr="00455622">
              <w:rPr>
                <w:rFonts w:ascii="Times New Roman" w:eastAsia="Calibri" w:hAnsi="Times New Roman" w:cs="Times New Roman"/>
              </w:rPr>
              <w:t xml:space="preserve"> NVO projektu programma (2.konkurss)</w:t>
            </w:r>
          </w:p>
        </w:tc>
        <w:tc>
          <w:tcPr>
            <w:tcW w:w="1919" w:type="dxa"/>
          </w:tcPr>
          <w:p w14:paraId="759BB0EE" w14:textId="77777777" w:rsidR="00392D98" w:rsidRPr="00455622" w:rsidRDefault="00392D98" w:rsidP="00392D98">
            <w:pPr>
              <w:jc w:val="center"/>
              <w:rPr>
                <w:rFonts w:ascii="Times New Roman" w:eastAsia="Calibri" w:hAnsi="Times New Roman" w:cs="Times New Roman"/>
              </w:rPr>
            </w:pPr>
            <w:r w:rsidRPr="00455622">
              <w:rPr>
                <w:rFonts w:ascii="Times New Roman" w:eastAsia="Calibri" w:hAnsi="Times New Roman" w:cs="Times New Roman"/>
              </w:rPr>
              <w:t>309</w:t>
            </w:r>
          </w:p>
        </w:tc>
        <w:tc>
          <w:tcPr>
            <w:tcW w:w="1809" w:type="dxa"/>
          </w:tcPr>
          <w:p w14:paraId="70DFA35A" w14:textId="77777777" w:rsidR="00392D98" w:rsidRPr="00455622" w:rsidRDefault="00392D98" w:rsidP="00392D98">
            <w:pPr>
              <w:jc w:val="center"/>
              <w:rPr>
                <w:rFonts w:ascii="Times New Roman" w:eastAsia="Calibri" w:hAnsi="Times New Roman" w:cs="Times New Roman"/>
              </w:rPr>
            </w:pPr>
            <w:r w:rsidRPr="00455622">
              <w:rPr>
                <w:rFonts w:ascii="Times New Roman" w:eastAsia="Calibri" w:hAnsi="Times New Roman" w:cs="Times New Roman"/>
              </w:rPr>
              <w:t>44</w:t>
            </w:r>
          </w:p>
        </w:tc>
      </w:tr>
      <w:tr w:rsidR="00392D98" w:rsidRPr="00455622" w14:paraId="46136F0A" w14:textId="77777777" w:rsidTr="0030188F">
        <w:trPr>
          <w:trHeight w:val="120"/>
        </w:trPr>
        <w:tc>
          <w:tcPr>
            <w:tcW w:w="2262" w:type="dxa"/>
            <w:vMerge/>
          </w:tcPr>
          <w:p w14:paraId="3955599D" w14:textId="77777777" w:rsidR="00392D98" w:rsidRPr="00455622" w:rsidRDefault="00392D98" w:rsidP="00392D98">
            <w:pPr>
              <w:rPr>
                <w:rFonts w:ascii="Times New Roman" w:eastAsia="Calibri" w:hAnsi="Times New Roman" w:cs="Times New Roman"/>
              </w:rPr>
            </w:pPr>
          </w:p>
        </w:tc>
        <w:tc>
          <w:tcPr>
            <w:tcW w:w="3027" w:type="dxa"/>
          </w:tcPr>
          <w:p w14:paraId="1A5BB235" w14:textId="77777777" w:rsidR="00392D98" w:rsidRPr="00455622" w:rsidRDefault="00392D98" w:rsidP="00392D98">
            <w:pPr>
              <w:rPr>
                <w:rFonts w:ascii="Times New Roman" w:eastAsia="Calibri" w:hAnsi="Times New Roman" w:cs="Times New Roman"/>
              </w:rPr>
            </w:pPr>
            <w:r w:rsidRPr="00455622">
              <w:rPr>
                <w:rFonts w:ascii="Times New Roman" w:eastAsia="Calibri" w:hAnsi="Times New Roman" w:cs="Times New Roman"/>
                <w:i/>
              </w:rPr>
              <w:t>AK</w:t>
            </w:r>
            <w:r w:rsidRPr="00455622">
              <w:rPr>
                <w:rFonts w:ascii="Times New Roman" w:eastAsia="Calibri" w:hAnsi="Times New Roman" w:cs="Times New Roman"/>
              </w:rPr>
              <w:t xml:space="preserve"> NVO projektu programma (3.konkurss)</w:t>
            </w:r>
          </w:p>
        </w:tc>
        <w:tc>
          <w:tcPr>
            <w:tcW w:w="1919" w:type="dxa"/>
          </w:tcPr>
          <w:p w14:paraId="4AD04A62" w14:textId="77777777" w:rsidR="00392D98" w:rsidRPr="00455622" w:rsidRDefault="00392D98" w:rsidP="00392D98">
            <w:pPr>
              <w:jc w:val="center"/>
              <w:rPr>
                <w:rFonts w:ascii="Times New Roman" w:eastAsia="Calibri" w:hAnsi="Times New Roman" w:cs="Times New Roman"/>
              </w:rPr>
            </w:pPr>
            <w:r w:rsidRPr="00455622">
              <w:rPr>
                <w:rFonts w:ascii="Times New Roman" w:eastAsia="Calibri" w:hAnsi="Times New Roman" w:cs="Times New Roman"/>
              </w:rPr>
              <w:t>145</w:t>
            </w:r>
          </w:p>
        </w:tc>
        <w:tc>
          <w:tcPr>
            <w:tcW w:w="1809" w:type="dxa"/>
          </w:tcPr>
          <w:p w14:paraId="33C2751B" w14:textId="77777777" w:rsidR="00392D98" w:rsidRPr="00455622" w:rsidRDefault="00392D98" w:rsidP="00392D98">
            <w:pPr>
              <w:jc w:val="center"/>
              <w:rPr>
                <w:rFonts w:ascii="Times New Roman" w:eastAsia="Calibri" w:hAnsi="Times New Roman" w:cs="Times New Roman"/>
              </w:rPr>
            </w:pPr>
            <w:r w:rsidRPr="00455622">
              <w:rPr>
                <w:rFonts w:ascii="Times New Roman" w:eastAsia="Calibri" w:hAnsi="Times New Roman" w:cs="Times New Roman"/>
              </w:rPr>
              <w:t>Notiek vērtēšana (līdz 2015.g. aprīlim)</w:t>
            </w:r>
          </w:p>
        </w:tc>
      </w:tr>
      <w:tr w:rsidR="00392D98" w:rsidRPr="00455622" w14:paraId="028B941A" w14:textId="77777777" w:rsidTr="0030188F">
        <w:trPr>
          <w:trHeight w:val="372"/>
        </w:trPr>
        <w:tc>
          <w:tcPr>
            <w:tcW w:w="2262" w:type="dxa"/>
            <w:vMerge w:val="restart"/>
          </w:tcPr>
          <w:p w14:paraId="7297B17D" w14:textId="77777777" w:rsidR="00392D98" w:rsidRPr="00455622" w:rsidRDefault="00392D98" w:rsidP="00392D98">
            <w:pPr>
              <w:rPr>
                <w:rFonts w:ascii="Times New Roman" w:eastAsia="Calibri" w:hAnsi="Times New Roman" w:cs="Times New Roman"/>
              </w:rPr>
            </w:pPr>
            <w:r w:rsidRPr="00455622">
              <w:rPr>
                <w:rFonts w:ascii="Times New Roman" w:eastAsia="Calibri" w:hAnsi="Times New Roman" w:cs="Times New Roman"/>
                <w:b/>
              </w:rPr>
              <w:t>Kultūras un dabas mantojuma saglabāšana un atjaunināšana</w:t>
            </w:r>
            <w:r w:rsidRPr="00455622">
              <w:rPr>
                <w:rFonts w:ascii="Times New Roman" w:eastAsia="Calibri" w:hAnsi="Times New Roman" w:cs="Times New Roman"/>
              </w:rPr>
              <w:t>/ KM</w:t>
            </w:r>
          </w:p>
        </w:tc>
        <w:tc>
          <w:tcPr>
            <w:tcW w:w="3027" w:type="dxa"/>
          </w:tcPr>
          <w:p w14:paraId="408106F7" w14:textId="77777777" w:rsidR="00392D98" w:rsidRPr="00455622" w:rsidRDefault="00392D98" w:rsidP="00392D98">
            <w:pPr>
              <w:rPr>
                <w:rFonts w:ascii="Times New Roman" w:eastAsia="Calibri" w:hAnsi="Times New Roman" w:cs="Times New Roman"/>
                <w:b/>
              </w:rPr>
            </w:pPr>
            <w:r w:rsidRPr="00455622">
              <w:rPr>
                <w:rFonts w:ascii="Times New Roman" w:eastAsia="Calibri" w:hAnsi="Times New Roman" w:cs="Times New Roman"/>
                <w:i/>
              </w:rPr>
              <w:t>MGS</w:t>
            </w:r>
            <w:r w:rsidRPr="00455622">
              <w:rPr>
                <w:rFonts w:ascii="Times New Roman" w:eastAsia="Calibri" w:hAnsi="Times New Roman" w:cs="Times New Roman"/>
                <w:b/>
              </w:rPr>
              <w:t xml:space="preserve"> </w:t>
            </w:r>
            <w:r w:rsidRPr="00455622">
              <w:rPr>
                <w:rFonts w:ascii="Times New Roman" w:eastAsia="Calibri" w:hAnsi="Times New Roman" w:cs="Times New Roman"/>
              </w:rPr>
              <w:t>Kultūras apmaiņa</w:t>
            </w:r>
          </w:p>
        </w:tc>
        <w:tc>
          <w:tcPr>
            <w:tcW w:w="1919" w:type="dxa"/>
          </w:tcPr>
          <w:p w14:paraId="30F503A1" w14:textId="77777777" w:rsidR="00392D98" w:rsidRPr="00455622" w:rsidRDefault="00392D98" w:rsidP="00392D98">
            <w:pPr>
              <w:jc w:val="center"/>
              <w:rPr>
                <w:rFonts w:ascii="Times New Roman" w:eastAsia="Calibri" w:hAnsi="Times New Roman" w:cs="Times New Roman"/>
              </w:rPr>
            </w:pPr>
            <w:r w:rsidRPr="00455622">
              <w:rPr>
                <w:rFonts w:ascii="Times New Roman" w:eastAsia="Calibri" w:hAnsi="Times New Roman" w:cs="Times New Roman"/>
              </w:rPr>
              <w:t>38</w:t>
            </w:r>
          </w:p>
        </w:tc>
        <w:tc>
          <w:tcPr>
            <w:tcW w:w="1809" w:type="dxa"/>
          </w:tcPr>
          <w:p w14:paraId="4298FF6B" w14:textId="77777777" w:rsidR="00392D98" w:rsidRPr="00455622" w:rsidRDefault="00392D98" w:rsidP="00392D98">
            <w:pPr>
              <w:jc w:val="center"/>
              <w:rPr>
                <w:rFonts w:ascii="Times New Roman" w:eastAsia="Calibri" w:hAnsi="Times New Roman" w:cs="Times New Roman"/>
              </w:rPr>
            </w:pPr>
            <w:r w:rsidRPr="00455622">
              <w:rPr>
                <w:rFonts w:ascii="Times New Roman" w:eastAsia="Calibri" w:hAnsi="Times New Roman" w:cs="Times New Roman"/>
              </w:rPr>
              <w:t>8</w:t>
            </w:r>
          </w:p>
        </w:tc>
      </w:tr>
      <w:tr w:rsidR="00392D98" w:rsidRPr="00455622" w14:paraId="518F90F7" w14:textId="77777777" w:rsidTr="0030188F">
        <w:trPr>
          <w:trHeight w:val="371"/>
        </w:trPr>
        <w:tc>
          <w:tcPr>
            <w:tcW w:w="2262" w:type="dxa"/>
            <w:vMerge/>
          </w:tcPr>
          <w:p w14:paraId="3FBD4FF5" w14:textId="77777777" w:rsidR="00392D98" w:rsidRPr="00455622" w:rsidRDefault="00392D98" w:rsidP="00392D98">
            <w:pPr>
              <w:rPr>
                <w:rFonts w:ascii="Times New Roman" w:eastAsia="Calibri" w:hAnsi="Times New Roman" w:cs="Times New Roman"/>
              </w:rPr>
            </w:pPr>
          </w:p>
        </w:tc>
        <w:tc>
          <w:tcPr>
            <w:tcW w:w="3027" w:type="dxa"/>
          </w:tcPr>
          <w:p w14:paraId="5CB151C8" w14:textId="77777777" w:rsidR="00392D98" w:rsidRPr="00455622" w:rsidRDefault="00392D98" w:rsidP="00392D98">
            <w:pPr>
              <w:rPr>
                <w:rFonts w:ascii="Times New Roman" w:eastAsia="Calibri" w:hAnsi="Times New Roman" w:cs="Times New Roman"/>
              </w:rPr>
            </w:pPr>
            <w:r w:rsidRPr="00455622">
              <w:rPr>
                <w:rFonts w:ascii="Times New Roman" w:eastAsia="Calibri" w:hAnsi="Times New Roman" w:cs="Times New Roman"/>
                <w:i/>
              </w:rPr>
              <w:t>MGS</w:t>
            </w:r>
            <w:r w:rsidRPr="00455622">
              <w:rPr>
                <w:rFonts w:ascii="Times New Roman" w:eastAsia="Calibri" w:hAnsi="Times New Roman" w:cs="Times New Roman"/>
              </w:rPr>
              <w:t xml:space="preserve"> Kultūras mantojuma saglabāšana</w:t>
            </w:r>
          </w:p>
        </w:tc>
        <w:tc>
          <w:tcPr>
            <w:tcW w:w="1919" w:type="dxa"/>
          </w:tcPr>
          <w:p w14:paraId="199B4617" w14:textId="77777777" w:rsidR="00392D98" w:rsidRPr="009709A3" w:rsidRDefault="00392D98" w:rsidP="00392D98">
            <w:pPr>
              <w:jc w:val="center"/>
              <w:rPr>
                <w:rFonts w:ascii="Times New Roman" w:eastAsia="Calibri" w:hAnsi="Times New Roman" w:cs="Times New Roman"/>
              </w:rPr>
            </w:pPr>
            <w:r w:rsidRPr="009709A3">
              <w:rPr>
                <w:rFonts w:ascii="Times New Roman" w:eastAsia="Calibri" w:hAnsi="Times New Roman" w:cs="Times New Roman"/>
              </w:rPr>
              <w:t>27</w:t>
            </w:r>
          </w:p>
        </w:tc>
        <w:tc>
          <w:tcPr>
            <w:tcW w:w="1809" w:type="dxa"/>
          </w:tcPr>
          <w:p w14:paraId="74DCB16D" w14:textId="77777777" w:rsidR="00392D98" w:rsidRPr="009709A3" w:rsidRDefault="00392D98" w:rsidP="00392D98">
            <w:pPr>
              <w:jc w:val="center"/>
              <w:rPr>
                <w:rFonts w:ascii="Times New Roman" w:eastAsia="Calibri" w:hAnsi="Times New Roman" w:cs="Times New Roman"/>
              </w:rPr>
            </w:pPr>
            <w:r w:rsidRPr="009709A3">
              <w:rPr>
                <w:rFonts w:ascii="Times New Roman" w:eastAsia="Calibri" w:hAnsi="Times New Roman" w:cs="Times New Roman"/>
              </w:rPr>
              <w:t>5</w:t>
            </w:r>
          </w:p>
        </w:tc>
      </w:tr>
      <w:tr w:rsidR="00392D98" w:rsidRPr="00455622" w14:paraId="46C8DC6D" w14:textId="77777777" w:rsidTr="0030188F">
        <w:trPr>
          <w:trHeight w:val="147"/>
        </w:trPr>
        <w:tc>
          <w:tcPr>
            <w:tcW w:w="2262" w:type="dxa"/>
            <w:vMerge w:val="restart"/>
          </w:tcPr>
          <w:p w14:paraId="0BB94301" w14:textId="77777777" w:rsidR="00392D98" w:rsidRPr="00455622" w:rsidRDefault="00392D98" w:rsidP="00392D98">
            <w:pPr>
              <w:rPr>
                <w:rFonts w:ascii="Times New Roman" w:eastAsia="Calibri" w:hAnsi="Times New Roman" w:cs="Times New Roman"/>
              </w:rPr>
            </w:pPr>
            <w:r w:rsidRPr="00455622">
              <w:rPr>
                <w:rFonts w:ascii="Times New Roman" w:eastAsia="Calibri" w:hAnsi="Times New Roman" w:cs="Times New Roman"/>
                <w:b/>
              </w:rPr>
              <w:t>Pētniecība un stipendijas</w:t>
            </w:r>
            <w:r w:rsidRPr="00455622">
              <w:rPr>
                <w:rFonts w:ascii="Times New Roman" w:eastAsia="Calibri" w:hAnsi="Times New Roman" w:cs="Times New Roman"/>
              </w:rPr>
              <w:t>/ IZM</w:t>
            </w:r>
          </w:p>
        </w:tc>
        <w:tc>
          <w:tcPr>
            <w:tcW w:w="3027" w:type="dxa"/>
          </w:tcPr>
          <w:p w14:paraId="5D4C26B9" w14:textId="77777777" w:rsidR="00392D98" w:rsidRPr="00455622" w:rsidRDefault="00392D98" w:rsidP="00392D98">
            <w:pPr>
              <w:rPr>
                <w:rFonts w:ascii="Times New Roman" w:eastAsia="Calibri" w:hAnsi="Times New Roman" w:cs="Times New Roman"/>
              </w:rPr>
            </w:pPr>
            <w:r w:rsidRPr="00455622">
              <w:rPr>
                <w:rFonts w:ascii="Times New Roman" w:eastAsia="Calibri" w:hAnsi="Times New Roman" w:cs="Times New Roman"/>
                <w:i/>
              </w:rPr>
              <w:t>AK</w:t>
            </w:r>
            <w:r w:rsidRPr="00455622">
              <w:rPr>
                <w:rFonts w:ascii="Times New Roman" w:eastAsia="Calibri" w:hAnsi="Times New Roman" w:cs="Times New Roman"/>
              </w:rPr>
              <w:t xml:space="preserve"> Pētniecība</w:t>
            </w:r>
          </w:p>
        </w:tc>
        <w:tc>
          <w:tcPr>
            <w:tcW w:w="1919" w:type="dxa"/>
          </w:tcPr>
          <w:p w14:paraId="4D766B3C" w14:textId="77777777" w:rsidR="00392D98" w:rsidRPr="009709A3" w:rsidRDefault="00392D98" w:rsidP="00392D98">
            <w:pPr>
              <w:jc w:val="center"/>
              <w:rPr>
                <w:rFonts w:ascii="Times New Roman" w:eastAsia="Calibri" w:hAnsi="Times New Roman" w:cs="Times New Roman"/>
              </w:rPr>
            </w:pPr>
            <w:r w:rsidRPr="009709A3">
              <w:rPr>
                <w:rFonts w:ascii="Times New Roman" w:eastAsia="Calibri" w:hAnsi="Times New Roman" w:cs="Times New Roman"/>
              </w:rPr>
              <w:t>73</w:t>
            </w:r>
          </w:p>
        </w:tc>
        <w:tc>
          <w:tcPr>
            <w:tcW w:w="1809" w:type="dxa"/>
          </w:tcPr>
          <w:p w14:paraId="52FCC971" w14:textId="3FE9E0BD" w:rsidR="00392D98" w:rsidRPr="009709A3" w:rsidRDefault="00BA64D0" w:rsidP="00392D98">
            <w:pPr>
              <w:jc w:val="center"/>
              <w:rPr>
                <w:rFonts w:ascii="Times New Roman" w:eastAsia="Calibri" w:hAnsi="Times New Roman" w:cs="Times New Roman"/>
              </w:rPr>
            </w:pPr>
            <w:r w:rsidRPr="009709A3">
              <w:rPr>
                <w:rFonts w:ascii="Times New Roman" w:eastAsia="Calibri" w:hAnsi="Times New Roman" w:cs="Times New Roman"/>
              </w:rPr>
              <w:t>1</w:t>
            </w:r>
            <w:r w:rsidR="0057290A">
              <w:rPr>
                <w:rFonts w:ascii="Times New Roman" w:eastAsia="Calibri" w:hAnsi="Times New Roman" w:cs="Times New Roman"/>
              </w:rPr>
              <w:t>0 (+1**)</w:t>
            </w:r>
          </w:p>
        </w:tc>
      </w:tr>
      <w:tr w:rsidR="00392D98" w:rsidRPr="00455622" w14:paraId="0EECB503" w14:textId="77777777" w:rsidTr="0030188F">
        <w:trPr>
          <w:trHeight w:val="409"/>
        </w:trPr>
        <w:tc>
          <w:tcPr>
            <w:tcW w:w="2262" w:type="dxa"/>
            <w:vMerge/>
          </w:tcPr>
          <w:p w14:paraId="22BD1C6A" w14:textId="77777777" w:rsidR="00392D98" w:rsidRPr="00455622" w:rsidRDefault="00392D98" w:rsidP="00392D98">
            <w:pPr>
              <w:rPr>
                <w:rFonts w:ascii="Times New Roman" w:eastAsia="Calibri" w:hAnsi="Times New Roman" w:cs="Times New Roman"/>
                <w:b/>
              </w:rPr>
            </w:pPr>
          </w:p>
        </w:tc>
        <w:tc>
          <w:tcPr>
            <w:tcW w:w="3027" w:type="dxa"/>
          </w:tcPr>
          <w:p w14:paraId="4BF7C7AD" w14:textId="77777777" w:rsidR="00392D98" w:rsidRPr="00455622" w:rsidRDefault="00392D98" w:rsidP="00392D98">
            <w:pPr>
              <w:rPr>
                <w:rFonts w:ascii="Times New Roman" w:eastAsia="Calibri" w:hAnsi="Times New Roman" w:cs="Times New Roman"/>
              </w:rPr>
            </w:pPr>
            <w:r w:rsidRPr="00455622">
              <w:rPr>
                <w:rFonts w:ascii="Times New Roman" w:eastAsia="Calibri" w:hAnsi="Times New Roman" w:cs="Times New Roman"/>
                <w:i/>
              </w:rPr>
              <w:t>AK</w:t>
            </w:r>
            <w:r w:rsidRPr="00455622">
              <w:rPr>
                <w:rFonts w:ascii="Times New Roman" w:eastAsia="Calibri" w:hAnsi="Times New Roman" w:cs="Times New Roman"/>
              </w:rPr>
              <w:t xml:space="preserve"> Stipendijas</w:t>
            </w:r>
          </w:p>
        </w:tc>
        <w:tc>
          <w:tcPr>
            <w:tcW w:w="1919" w:type="dxa"/>
          </w:tcPr>
          <w:p w14:paraId="7BB42863" w14:textId="6420F4B9" w:rsidR="00392D98" w:rsidRPr="009709A3" w:rsidRDefault="00E37950" w:rsidP="00392D98">
            <w:pPr>
              <w:jc w:val="center"/>
              <w:rPr>
                <w:rFonts w:ascii="Times New Roman" w:eastAsia="Calibri" w:hAnsi="Times New Roman" w:cs="Times New Roman"/>
              </w:rPr>
            </w:pPr>
            <w:r w:rsidRPr="009709A3">
              <w:rPr>
                <w:rFonts w:ascii="Times New Roman" w:eastAsia="Calibri" w:hAnsi="Times New Roman" w:cs="Times New Roman"/>
              </w:rPr>
              <w:t>33</w:t>
            </w:r>
          </w:p>
        </w:tc>
        <w:tc>
          <w:tcPr>
            <w:tcW w:w="1809" w:type="dxa"/>
          </w:tcPr>
          <w:p w14:paraId="497E576C" w14:textId="77777777" w:rsidR="00392D98" w:rsidRPr="009709A3" w:rsidRDefault="00392D98" w:rsidP="00392D98">
            <w:pPr>
              <w:jc w:val="center"/>
              <w:rPr>
                <w:rFonts w:ascii="Times New Roman" w:eastAsia="Calibri" w:hAnsi="Times New Roman" w:cs="Times New Roman"/>
              </w:rPr>
            </w:pPr>
            <w:r w:rsidRPr="009709A3">
              <w:rPr>
                <w:rFonts w:ascii="Times New Roman" w:eastAsia="Calibri" w:hAnsi="Times New Roman" w:cs="Times New Roman"/>
              </w:rPr>
              <w:t>Notiek vērtēšana (līdz 2015.g. martam)</w:t>
            </w:r>
          </w:p>
        </w:tc>
      </w:tr>
      <w:tr w:rsidR="00392D98" w:rsidRPr="00455622" w14:paraId="391EDF73" w14:textId="77777777" w:rsidTr="0030188F">
        <w:trPr>
          <w:trHeight w:val="85"/>
        </w:trPr>
        <w:tc>
          <w:tcPr>
            <w:tcW w:w="2262" w:type="dxa"/>
            <w:vMerge w:val="restart"/>
          </w:tcPr>
          <w:p w14:paraId="29E8E159" w14:textId="77777777" w:rsidR="00392D98" w:rsidRPr="00455622" w:rsidRDefault="00392D98" w:rsidP="00392D98">
            <w:pPr>
              <w:rPr>
                <w:rFonts w:ascii="Times New Roman" w:eastAsia="Calibri" w:hAnsi="Times New Roman" w:cs="Times New Roman"/>
              </w:rPr>
            </w:pPr>
            <w:r w:rsidRPr="00455622">
              <w:rPr>
                <w:rFonts w:ascii="Times New Roman" w:eastAsia="Calibri" w:hAnsi="Times New Roman" w:cs="Times New Roman"/>
                <w:b/>
              </w:rPr>
              <w:t>Inovācijas "zaļās" ražošanas jomā</w:t>
            </w:r>
            <w:r w:rsidRPr="00455622">
              <w:rPr>
                <w:rFonts w:ascii="Times New Roman" w:eastAsia="Calibri" w:hAnsi="Times New Roman" w:cs="Times New Roman"/>
              </w:rPr>
              <w:t>/ EM</w:t>
            </w:r>
          </w:p>
        </w:tc>
        <w:tc>
          <w:tcPr>
            <w:tcW w:w="3027" w:type="dxa"/>
          </w:tcPr>
          <w:p w14:paraId="6619E214" w14:textId="77777777" w:rsidR="00392D98" w:rsidRPr="00455622" w:rsidRDefault="00392D98" w:rsidP="00392D98">
            <w:pPr>
              <w:jc w:val="both"/>
              <w:rPr>
                <w:rFonts w:ascii="Times New Roman" w:eastAsia="Calibri" w:hAnsi="Times New Roman" w:cs="Times New Roman"/>
              </w:rPr>
            </w:pPr>
            <w:r w:rsidRPr="00455622">
              <w:rPr>
                <w:rFonts w:ascii="Times New Roman" w:eastAsia="Calibri" w:hAnsi="Times New Roman" w:cs="Times New Roman"/>
                <w:i/>
              </w:rPr>
              <w:t>MGS</w:t>
            </w:r>
            <w:r w:rsidRPr="00455622">
              <w:rPr>
                <w:rFonts w:ascii="Times New Roman" w:eastAsia="Calibri" w:hAnsi="Times New Roman" w:cs="Times New Roman"/>
              </w:rPr>
              <w:t xml:space="preserve"> Inkubācijas pakalpojumi 1.kārta</w:t>
            </w:r>
          </w:p>
        </w:tc>
        <w:tc>
          <w:tcPr>
            <w:tcW w:w="1919" w:type="dxa"/>
          </w:tcPr>
          <w:p w14:paraId="0A0315CD" w14:textId="77777777" w:rsidR="00392D98" w:rsidRPr="009709A3" w:rsidRDefault="00392D98" w:rsidP="00392D98">
            <w:pPr>
              <w:jc w:val="center"/>
              <w:rPr>
                <w:rFonts w:ascii="Times New Roman" w:eastAsia="Calibri" w:hAnsi="Times New Roman" w:cs="Times New Roman"/>
              </w:rPr>
            </w:pPr>
            <w:r w:rsidRPr="009709A3">
              <w:rPr>
                <w:rFonts w:ascii="Times New Roman" w:eastAsia="Calibri" w:hAnsi="Times New Roman" w:cs="Times New Roman"/>
              </w:rPr>
              <w:t>7</w:t>
            </w:r>
          </w:p>
        </w:tc>
        <w:tc>
          <w:tcPr>
            <w:tcW w:w="1809" w:type="dxa"/>
          </w:tcPr>
          <w:p w14:paraId="3368089B" w14:textId="77777777" w:rsidR="00392D98" w:rsidRPr="009709A3" w:rsidRDefault="00392D98" w:rsidP="00392D98">
            <w:pPr>
              <w:jc w:val="center"/>
              <w:rPr>
                <w:rFonts w:ascii="Times New Roman" w:eastAsia="Calibri" w:hAnsi="Times New Roman" w:cs="Times New Roman"/>
              </w:rPr>
            </w:pPr>
            <w:r w:rsidRPr="009709A3">
              <w:rPr>
                <w:rFonts w:ascii="Times New Roman" w:eastAsia="Calibri" w:hAnsi="Times New Roman" w:cs="Times New Roman"/>
              </w:rPr>
              <w:t>4</w:t>
            </w:r>
          </w:p>
        </w:tc>
      </w:tr>
      <w:tr w:rsidR="00392D98" w:rsidRPr="00455622" w14:paraId="139CE6AC" w14:textId="77777777" w:rsidTr="0030188F">
        <w:trPr>
          <w:trHeight w:val="410"/>
        </w:trPr>
        <w:tc>
          <w:tcPr>
            <w:tcW w:w="2262" w:type="dxa"/>
            <w:vMerge/>
          </w:tcPr>
          <w:p w14:paraId="706F2101" w14:textId="77777777" w:rsidR="00392D98" w:rsidRPr="00455622" w:rsidRDefault="00392D98" w:rsidP="00392D98">
            <w:pPr>
              <w:rPr>
                <w:rFonts w:ascii="Times New Roman" w:eastAsia="Calibri" w:hAnsi="Times New Roman" w:cs="Times New Roman"/>
                <w:b/>
              </w:rPr>
            </w:pPr>
          </w:p>
        </w:tc>
        <w:tc>
          <w:tcPr>
            <w:tcW w:w="3027" w:type="dxa"/>
          </w:tcPr>
          <w:p w14:paraId="72522895" w14:textId="77777777" w:rsidR="00392D98" w:rsidRPr="00455622" w:rsidRDefault="00392D98" w:rsidP="00392D98">
            <w:pPr>
              <w:jc w:val="both"/>
              <w:rPr>
                <w:rFonts w:ascii="Times New Roman" w:eastAsia="Calibri" w:hAnsi="Times New Roman" w:cs="Times New Roman"/>
                <w:i/>
              </w:rPr>
            </w:pPr>
            <w:r w:rsidRPr="00455622">
              <w:rPr>
                <w:rFonts w:ascii="Times New Roman" w:eastAsia="Calibri" w:hAnsi="Times New Roman" w:cs="Times New Roman"/>
                <w:i/>
              </w:rPr>
              <w:t>MGS</w:t>
            </w:r>
            <w:r w:rsidRPr="00455622">
              <w:rPr>
                <w:rFonts w:ascii="Times New Roman" w:eastAsia="Calibri" w:hAnsi="Times New Roman" w:cs="Times New Roman"/>
              </w:rPr>
              <w:t xml:space="preserve"> Inkubācijas pakalpojumi 2.kārta</w:t>
            </w:r>
          </w:p>
        </w:tc>
        <w:tc>
          <w:tcPr>
            <w:tcW w:w="1919" w:type="dxa"/>
          </w:tcPr>
          <w:p w14:paraId="54EBDAD5" w14:textId="792FD0EE" w:rsidR="00E37950" w:rsidRPr="009709A3" w:rsidRDefault="00392D98" w:rsidP="00392D98">
            <w:pPr>
              <w:jc w:val="center"/>
              <w:rPr>
                <w:rFonts w:ascii="Times New Roman" w:eastAsia="Calibri" w:hAnsi="Times New Roman" w:cs="Times New Roman"/>
              </w:rPr>
            </w:pPr>
            <w:r w:rsidRPr="009709A3">
              <w:rPr>
                <w:rFonts w:ascii="Times New Roman" w:eastAsia="Calibri" w:hAnsi="Times New Roman" w:cs="Times New Roman"/>
              </w:rPr>
              <w:t>19</w:t>
            </w:r>
          </w:p>
          <w:p w14:paraId="3A6F399D" w14:textId="77777777" w:rsidR="00392D98" w:rsidRPr="009709A3" w:rsidRDefault="00392D98" w:rsidP="00E37950">
            <w:pPr>
              <w:jc w:val="center"/>
              <w:rPr>
                <w:rFonts w:ascii="Times New Roman" w:eastAsia="Calibri" w:hAnsi="Times New Roman" w:cs="Times New Roman"/>
              </w:rPr>
            </w:pPr>
          </w:p>
        </w:tc>
        <w:tc>
          <w:tcPr>
            <w:tcW w:w="1809" w:type="dxa"/>
          </w:tcPr>
          <w:p w14:paraId="7736FD36" w14:textId="6E2813A6" w:rsidR="00392D98" w:rsidRPr="009709A3" w:rsidRDefault="00990E17" w:rsidP="00392D98">
            <w:pPr>
              <w:jc w:val="center"/>
              <w:rPr>
                <w:rFonts w:ascii="Times New Roman" w:eastAsia="Calibri" w:hAnsi="Times New Roman" w:cs="Times New Roman"/>
              </w:rPr>
            </w:pPr>
            <w:r>
              <w:rPr>
                <w:rFonts w:ascii="Times New Roman" w:eastAsia="Calibri" w:hAnsi="Times New Roman" w:cs="Times New Roman"/>
              </w:rPr>
              <w:t xml:space="preserve">6 </w:t>
            </w:r>
          </w:p>
        </w:tc>
      </w:tr>
      <w:tr w:rsidR="00392D98" w:rsidRPr="00455622" w14:paraId="0CE467D0" w14:textId="77777777" w:rsidTr="0030188F">
        <w:trPr>
          <w:trHeight w:val="552"/>
        </w:trPr>
        <w:tc>
          <w:tcPr>
            <w:tcW w:w="2262" w:type="dxa"/>
            <w:vMerge/>
          </w:tcPr>
          <w:p w14:paraId="054A1740" w14:textId="77777777" w:rsidR="00392D98" w:rsidRPr="00455622" w:rsidRDefault="00392D98" w:rsidP="00392D98">
            <w:pPr>
              <w:rPr>
                <w:rFonts w:ascii="Times New Roman" w:eastAsia="Calibri" w:hAnsi="Times New Roman" w:cs="Times New Roman"/>
                <w:b/>
                <w:highlight w:val="yellow"/>
              </w:rPr>
            </w:pPr>
          </w:p>
        </w:tc>
        <w:tc>
          <w:tcPr>
            <w:tcW w:w="3027" w:type="dxa"/>
          </w:tcPr>
          <w:p w14:paraId="066A9FA9" w14:textId="77777777" w:rsidR="00392D98" w:rsidRPr="00455622" w:rsidRDefault="00392D98" w:rsidP="00392D98">
            <w:pPr>
              <w:jc w:val="both"/>
              <w:rPr>
                <w:rFonts w:ascii="Times New Roman" w:eastAsia="Calibri" w:hAnsi="Times New Roman" w:cs="Times New Roman"/>
              </w:rPr>
            </w:pPr>
            <w:r w:rsidRPr="00455622">
              <w:rPr>
                <w:rFonts w:ascii="Times New Roman" w:eastAsia="Calibri" w:hAnsi="Times New Roman" w:cs="Times New Roman"/>
                <w:i/>
              </w:rPr>
              <w:t>AK</w:t>
            </w:r>
            <w:r w:rsidRPr="00455622">
              <w:rPr>
                <w:rFonts w:ascii="Times New Roman" w:eastAsia="Calibri" w:hAnsi="Times New Roman" w:cs="Times New Roman"/>
              </w:rPr>
              <w:t xml:space="preserve"> atbalsts zaļo tehnoloģiju 1.kārta</w:t>
            </w:r>
          </w:p>
        </w:tc>
        <w:tc>
          <w:tcPr>
            <w:tcW w:w="1919" w:type="dxa"/>
          </w:tcPr>
          <w:p w14:paraId="437BCCB8" w14:textId="77777777" w:rsidR="00392D98" w:rsidRPr="00455622" w:rsidRDefault="00392D98" w:rsidP="00392D98">
            <w:pPr>
              <w:jc w:val="center"/>
              <w:rPr>
                <w:rFonts w:ascii="Times New Roman" w:eastAsia="Calibri" w:hAnsi="Times New Roman" w:cs="Times New Roman"/>
              </w:rPr>
            </w:pPr>
            <w:r w:rsidRPr="00455622">
              <w:rPr>
                <w:rFonts w:ascii="Times New Roman" w:eastAsia="Calibri" w:hAnsi="Times New Roman" w:cs="Times New Roman"/>
              </w:rPr>
              <w:t>13</w:t>
            </w:r>
          </w:p>
        </w:tc>
        <w:tc>
          <w:tcPr>
            <w:tcW w:w="1809" w:type="dxa"/>
          </w:tcPr>
          <w:p w14:paraId="7F697CC4" w14:textId="77777777" w:rsidR="00392D98" w:rsidRPr="00455622" w:rsidRDefault="00392D98" w:rsidP="00392D98">
            <w:pPr>
              <w:jc w:val="center"/>
              <w:rPr>
                <w:rFonts w:ascii="Times New Roman" w:eastAsia="Calibri" w:hAnsi="Times New Roman" w:cs="Times New Roman"/>
              </w:rPr>
            </w:pPr>
            <w:r w:rsidRPr="00455622">
              <w:rPr>
                <w:rFonts w:ascii="Times New Roman" w:eastAsia="Calibri" w:hAnsi="Times New Roman" w:cs="Times New Roman"/>
              </w:rPr>
              <w:t>3</w:t>
            </w:r>
          </w:p>
        </w:tc>
      </w:tr>
      <w:tr w:rsidR="00392D98" w:rsidRPr="00455622" w14:paraId="29F668C9" w14:textId="77777777" w:rsidTr="0030188F">
        <w:trPr>
          <w:trHeight w:val="305"/>
        </w:trPr>
        <w:tc>
          <w:tcPr>
            <w:tcW w:w="2262" w:type="dxa"/>
            <w:vMerge/>
          </w:tcPr>
          <w:p w14:paraId="316F4CBD" w14:textId="77777777" w:rsidR="00392D98" w:rsidRPr="00455622" w:rsidRDefault="00392D98" w:rsidP="00392D98">
            <w:pPr>
              <w:rPr>
                <w:rFonts w:ascii="Times New Roman" w:eastAsia="Calibri" w:hAnsi="Times New Roman" w:cs="Times New Roman"/>
                <w:b/>
                <w:highlight w:val="yellow"/>
              </w:rPr>
            </w:pPr>
          </w:p>
        </w:tc>
        <w:tc>
          <w:tcPr>
            <w:tcW w:w="3027" w:type="dxa"/>
          </w:tcPr>
          <w:p w14:paraId="342AC519" w14:textId="2DECFB4C" w:rsidR="00392D98" w:rsidRPr="00455622" w:rsidRDefault="00392D98" w:rsidP="00FC3898">
            <w:pPr>
              <w:jc w:val="both"/>
              <w:rPr>
                <w:rFonts w:ascii="Times New Roman" w:eastAsia="Calibri" w:hAnsi="Times New Roman" w:cs="Times New Roman"/>
              </w:rPr>
            </w:pPr>
            <w:r w:rsidRPr="00455622">
              <w:rPr>
                <w:rFonts w:ascii="Times New Roman" w:eastAsia="Calibri" w:hAnsi="Times New Roman" w:cs="Times New Roman"/>
                <w:i/>
              </w:rPr>
              <w:t>AK</w:t>
            </w:r>
            <w:r w:rsidRPr="00455622">
              <w:rPr>
                <w:rFonts w:ascii="Times New Roman" w:eastAsia="Calibri" w:hAnsi="Times New Roman" w:cs="Times New Roman"/>
              </w:rPr>
              <w:t xml:space="preserve"> atbalsts zaļo tehnoloģiju 2.kārta</w:t>
            </w:r>
          </w:p>
        </w:tc>
        <w:tc>
          <w:tcPr>
            <w:tcW w:w="1919" w:type="dxa"/>
          </w:tcPr>
          <w:p w14:paraId="67D81025" w14:textId="1286B23B" w:rsidR="00392D98" w:rsidRPr="00455622" w:rsidRDefault="007E024E" w:rsidP="00392D98">
            <w:pPr>
              <w:jc w:val="center"/>
              <w:rPr>
                <w:rFonts w:ascii="Times New Roman" w:eastAsia="Calibri" w:hAnsi="Times New Roman" w:cs="Times New Roman"/>
              </w:rPr>
            </w:pPr>
            <w:r>
              <w:rPr>
                <w:rFonts w:ascii="Times New Roman" w:eastAsia="Calibri" w:hAnsi="Times New Roman" w:cs="Times New Roman"/>
              </w:rPr>
              <w:t>22</w:t>
            </w:r>
          </w:p>
        </w:tc>
        <w:tc>
          <w:tcPr>
            <w:tcW w:w="1809" w:type="dxa"/>
          </w:tcPr>
          <w:p w14:paraId="66F040E4" w14:textId="77777777" w:rsidR="00392D98" w:rsidRPr="00455622" w:rsidRDefault="00392D98" w:rsidP="00392D98">
            <w:pPr>
              <w:jc w:val="center"/>
              <w:rPr>
                <w:rFonts w:ascii="Times New Roman" w:eastAsia="Calibri" w:hAnsi="Times New Roman" w:cs="Times New Roman"/>
              </w:rPr>
            </w:pPr>
            <w:r w:rsidRPr="00455622">
              <w:rPr>
                <w:rFonts w:ascii="Times New Roman" w:eastAsia="Calibri" w:hAnsi="Times New Roman" w:cs="Times New Roman"/>
              </w:rPr>
              <w:t>Projektu vērtēšana (līdz 2015.g. martam)</w:t>
            </w:r>
          </w:p>
        </w:tc>
      </w:tr>
      <w:tr w:rsidR="00392D98" w:rsidRPr="00455622" w14:paraId="65BB8B07" w14:textId="77777777" w:rsidTr="00392D98">
        <w:trPr>
          <w:trHeight w:val="254"/>
        </w:trPr>
        <w:tc>
          <w:tcPr>
            <w:tcW w:w="5289" w:type="dxa"/>
            <w:gridSpan w:val="2"/>
          </w:tcPr>
          <w:p w14:paraId="6D1EA775" w14:textId="77777777" w:rsidR="00392D98" w:rsidRPr="00455622" w:rsidRDefault="00392D98" w:rsidP="00392D98">
            <w:pPr>
              <w:jc w:val="right"/>
              <w:rPr>
                <w:rFonts w:ascii="Times New Roman" w:eastAsia="Calibri" w:hAnsi="Times New Roman" w:cs="Times New Roman"/>
                <w:b/>
              </w:rPr>
            </w:pPr>
            <w:r w:rsidRPr="00455622">
              <w:rPr>
                <w:rFonts w:ascii="Times New Roman" w:eastAsia="Calibri" w:hAnsi="Times New Roman" w:cs="Times New Roman"/>
                <w:b/>
              </w:rPr>
              <w:t>Kopā:</w:t>
            </w:r>
          </w:p>
        </w:tc>
        <w:tc>
          <w:tcPr>
            <w:tcW w:w="1919" w:type="dxa"/>
          </w:tcPr>
          <w:p w14:paraId="4C0B156F" w14:textId="77777777" w:rsidR="00392D98" w:rsidRPr="00455622" w:rsidRDefault="00392D98" w:rsidP="00392D98">
            <w:pPr>
              <w:jc w:val="center"/>
              <w:rPr>
                <w:rFonts w:ascii="Times New Roman" w:eastAsia="Calibri" w:hAnsi="Times New Roman" w:cs="Times New Roman"/>
                <w:b/>
              </w:rPr>
            </w:pPr>
            <w:r w:rsidRPr="00455622">
              <w:rPr>
                <w:rFonts w:ascii="Times New Roman" w:eastAsia="Calibri" w:hAnsi="Times New Roman" w:cs="Times New Roman"/>
                <w:b/>
              </w:rPr>
              <w:t>717</w:t>
            </w:r>
          </w:p>
        </w:tc>
        <w:tc>
          <w:tcPr>
            <w:tcW w:w="1809" w:type="dxa"/>
          </w:tcPr>
          <w:p w14:paraId="60422CBF" w14:textId="77777777" w:rsidR="00392D98" w:rsidRPr="00455622" w:rsidRDefault="00392D98" w:rsidP="00392D98">
            <w:pPr>
              <w:jc w:val="center"/>
              <w:rPr>
                <w:rFonts w:ascii="Times New Roman" w:eastAsia="Calibri" w:hAnsi="Times New Roman" w:cs="Times New Roman"/>
                <w:b/>
              </w:rPr>
            </w:pPr>
            <w:r w:rsidRPr="00455622">
              <w:rPr>
                <w:rFonts w:ascii="Times New Roman" w:eastAsia="Calibri" w:hAnsi="Times New Roman" w:cs="Times New Roman"/>
                <w:b/>
              </w:rPr>
              <w:t>83</w:t>
            </w:r>
          </w:p>
        </w:tc>
      </w:tr>
    </w:tbl>
    <w:p w14:paraId="6A7DD8D2" w14:textId="7E241C08" w:rsidR="0057290A" w:rsidRPr="0057290A" w:rsidRDefault="0057290A" w:rsidP="0057290A">
      <w:pPr>
        <w:spacing w:before="120" w:after="120" w:line="276" w:lineRule="auto"/>
        <w:jc w:val="both"/>
        <w:rPr>
          <w:rFonts w:eastAsia="Times New Roman" w:cs="Times New Roman"/>
          <w:sz w:val="20"/>
          <w:szCs w:val="20"/>
        </w:rPr>
      </w:pPr>
      <w:r>
        <w:rPr>
          <w:rFonts w:eastAsia="Times New Roman" w:cs="Times New Roman"/>
          <w:sz w:val="20"/>
          <w:szCs w:val="20"/>
        </w:rPr>
        <w:t>* projekti ir apstiprināti ar nosacījumiem.</w:t>
      </w:r>
    </w:p>
    <w:p w14:paraId="2C252A78" w14:textId="78F3E061" w:rsidR="0057290A" w:rsidRDefault="0057290A" w:rsidP="003563CF">
      <w:pPr>
        <w:spacing w:before="120" w:after="120" w:line="276" w:lineRule="auto"/>
        <w:jc w:val="both"/>
        <w:rPr>
          <w:rFonts w:eastAsia="Times New Roman" w:cs="Times New Roman"/>
          <w:sz w:val="20"/>
          <w:szCs w:val="20"/>
        </w:rPr>
      </w:pPr>
      <w:r w:rsidRPr="0057290A">
        <w:rPr>
          <w:rFonts w:eastAsia="Times New Roman" w:cs="Times New Roman"/>
          <w:sz w:val="20"/>
          <w:szCs w:val="20"/>
        </w:rPr>
        <w:t>*</w:t>
      </w:r>
      <w:r>
        <w:rPr>
          <w:rFonts w:eastAsia="Times New Roman" w:cs="Times New Roman"/>
          <w:sz w:val="20"/>
          <w:szCs w:val="20"/>
        </w:rPr>
        <w:t xml:space="preserve">* </w:t>
      </w:r>
      <w:r w:rsidRPr="0057290A">
        <w:rPr>
          <w:rFonts w:eastAsia="Times New Roman" w:cs="Times New Roman"/>
          <w:sz w:val="20"/>
          <w:szCs w:val="20"/>
        </w:rPr>
        <w:t>projekts tiks apstiprināts, ja projekta iesniedzējs piekritīs īstenot projektu par ~50% no pieprasītās projekta granta summas.</w:t>
      </w:r>
    </w:p>
    <w:p w14:paraId="0D6802F3" w14:textId="77777777" w:rsidR="00CF0C25" w:rsidRDefault="0030188F" w:rsidP="003563CF">
      <w:pPr>
        <w:spacing w:before="120" w:after="120" w:line="276" w:lineRule="auto"/>
        <w:jc w:val="both"/>
        <w:rPr>
          <w:rFonts w:eastAsia="Times New Roman" w:cs="Times New Roman"/>
          <w:szCs w:val="20"/>
        </w:rPr>
      </w:pPr>
      <w:r w:rsidRPr="00392D98">
        <w:rPr>
          <w:rFonts w:eastAsia="Times New Roman" w:cs="Times New Roman"/>
          <w:szCs w:val="20"/>
        </w:rPr>
        <w:t xml:space="preserve">Ņemot vērā, ka </w:t>
      </w:r>
      <w:r>
        <w:rPr>
          <w:rFonts w:eastAsia="Times New Roman" w:cs="Times New Roman"/>
          <w:b/>
          <w:szCs w:val="20"/>
        </w:rPr>
        <w:t xml:space="preserve">EM, </w:t>
      </w:r>
      <w:r w:rsidRPr="00392D98">
        <w:rPr>
          <w:rFonts w:eastAsia="Times New Roman" w:cs="Times New Roman"/>
          <w:b/>
          <w:szCs w:val="20"/>
        </w:rPr>
        <w:t>IZM un TM programmu</w:t>
      </w:r>
      <w:r w:rsidRPr="00392D98">
        <w:rPr>
          <w:rFonts w:eastAsia="Times New Roman" w:cs="Times New Roman"/>
          <w:szCs w:val="20"/>
        </w:rPr>
        <w:t xml:space="preserve"> aktivitāšu ieviešanas laika grafiks ir ievērojami aizkavējies un līdz ar to programmās un projektos plānotie rezultatīvie rādītāji būs jāsasniedz īsākā termiņā nekā sākotnēji plānots, šīs programmas ir uzskatāmas par augsta riska programmām, kurām VI nodrošina pastāvīgu uzraudzību, kā arī turpmāko kavējumu vai neizpilžu gadījumā lūgs stiprināt kapacitāti lielākā apmērā.</w:t>
      </w:r>
    </w:p>
    <w:p w14:paraId="0C907C4C" w14:textId="77777777" w:rsidR="003721EE" w:rsidRDefault="007C68A2" w:rsidP="00392D98">
      <w:pPr>
        <w:spacing w:before="120" w:after="120" w:line="276" w:lineRule="auto"/>
        <w:jc w:val="both"/>
        <w:rPr>
          <w:rFonts w:eastAsia="Times New Roman" w:cs="Times New Roman"/>
          <w:szCs w:val="20"/>
        </w:rPr>
      </w:pPr>
      <w:r w:rsidRPr="007C68A2">
        <w:rPr>
          <w:rFonts w:eastAsia="Times New Roman" w:cs="Times New Roman"/>
          <w:bCs/>
          <w:color w:val="000000"/>
          <w:szCs w:val="24"/>
          <w:lang w:eastAsia="lv-LV"/>
        </w:rPr>
        <w:t>Lai gan katru ceturksni vērojams prog</w:t>
      </w:r>
      <w:r w:rsidR="007A5FF7">
        <w:rPr>
          <w:rFonts w:eastAsia="Times New Roman" w:cs="Times New Roman"/>
          <w:bCs/>
          <w:color w:val="000000"/>
          <w:szCs w:val="24"/>
          <w:lang w:eastAsia="lv-LV"/>
        </w:rPr>
        <w:t xml:space="preserve">ress </w:t>
      </w:r>
      <w:r w:rsidR="00D33DA5">
        <w:rPr>
          <w:rFonts w:eastAsia="Times New Roman" w:cs="Times New Roman"/>
          <w:bCs/>
          <w:color w:val="000000"/>
          <w:szCs w:val="24"/>
          <w:lang w:eastAsia="lv-LV"/>
        </w:rPr>
        <w:t xml:space="preserve">programmās </w:t>
      </w:r>
      <w:r w:rsidR="007A5FF7">
        <w:rPr>
          <w:rFonts w:eastAsia="Times New Roman" w:cs="Times New Roman"/>
          <w:bCs/>
          <w:color w:val="000000"/>
          <w:szCs w:val="24"/>
          <w:lang w:eastAsia="lv-LV"/>
        </w:rPr>
        <w:t>izmaksātā</w:t>
      </w:r>
      <w:r w:rsidR="00036AA4">
        <w:rPr>
          <w:rFonts w:eastAsia="Times New Roman" w:cs="Times New Roman"/>
          <w:bCs/>
          <w:color w:val="000000"/>
          <w:szCs w:val="24"/>
          <w:lang w:eastAsia="lv-LV"/>
        </w:rPr>
        <w:t xml:space="preserve"> finans</w:t>
      </w:r>
      <w:r w:rsidRPr="007C68A2">
        <w:rPr>
          <w:rFonts w:eastAsia="Times New Roman" w:cs="Times New Roman"/>
          <w:bCs/>
          <w:color w:val="000000"/>
          <w:szCs w:val="24"/>
          <w:lang w:eastAsia="lv-LV"/>
        </w:rPr>
        <w:t>ējuma apjomā, vislielākais izmaksu apjoms vēl jāveic gandrīz visās programmās, ko to parāda arī zemāk esošais graf</w:t>
      </w:r>
      <w:r w:rsidR="009709A3">
        <w:rPr>
          <w:rFonts w:eastAsia="Times New Roman" w:cs="Times New Roman"/>
          <w:bCs/>
          <w:color w:val="000000"/>
          <w:szCs w:val="24"/>
          <w:lang w:eastAsia="lv-LV"/>
        </w:rPr>
        <w:t>iks. Kopumā programmās izmaksāti</w:t>
      </w:r>
      <w:r w:rsidRPr="007C68A2">
        <w:rPr>
          <w:rFonts w:eastAsia="Times New Roman" w:cs="Times New Roman"/>
          <w:bCs/>
          <w:color w:val="000000"/>
          <w:szCs w:val="24"/>
          <w:lang w:eastAsia="lv-LV"/>
        </w:rPr>
        <w:t xml:space="preserve"> 12,9 milj. </w:t>
      </w:r>
      <w:r w:rsidRPr="007C68A2">
        <w:rPr>
          <w:rFonts w:eastAsia="Times New Roman" w:cs="Times New Roman"/>
          <w:bCs/>
          <w:i/>
          <w:color w:val="000000"/>
          <w:szCs w:val="24"/>
          <w:lang w:eastAsia="lv-LV"/>
        </w:rPr>
        <w:t>euro,</w:t>
      </w:r>
      <w:r w:rsidRPr="007C68A2">
        <w:rPr>
          <w:rFonts w:eastAsia="Times New Roman" w:cs="Times New Roman"/>
          <w:bCs/>
          <w:color w:val="000000"/>
          <w:szCs w:val="24"/>
          <w:lang w:eastAsia="lv-LV"/>
        </w:rPr>
        <w:t xml:space="preserve"> kas ir 18% no pieejamā EEZ/Norvēģijas finanšu instrumentu finansējuma</w:t>
      </w:r>
      <w:r w:rsidR="009C7DF7">
        <w:rPr>
          <w:rFonts w:eastAsia="Times New Roman" w:cs="Times New Roman"/>
          <w:bCs/>
          <w:color w:val="000000"/>
          <w:szCs w:val="24"/>
          <w:lang w:eastAsia="lv-LV"/>
        </w:rPr>
        <w:t>,</w:t>
      </w:r>
      <w:r w:rsidRPr="007C68A2">
        <w:rPr>
          <w:rFonts w:eastAsia="Times New Roman" w:cs="Times New Roman"/>
          <w:bCs/>
          <w:color w:val="000000"/>
          <w:szCs w:val="24"/>
          <w:lang w:eastAsia="lv-LV"/>
        </w:rPr>
        <w:t xml:space="preserve"> </w:t>
      </w:r>
      <w:r w:rsidR="009C7DF7">
        <w:rPr>
          <w:rFonts w:eastAsia="Times New Roman" w:cs="Times New Roman"/>
          <w:bCs/>
          <w:color w:val="000000"/>
          <w:szCs w:val="24"/>
          <w:lang w:eastAsia="lv-LV"/>
        </w:rPr>
        <w:t>kas</w:t>
      </w:r>
      <w:r w:rsidR="0089265C">
        <w:rPr>
          <w:rFonts w:eastAsia="Times New Roman" w:cs="Times New Roman"/>
          <w:bCs/>
          <w:color w:val="000000"/>
          <w:szCs w:val="24"/>
          <w:lang w:eastAsia="lv-LV"/>
        </w:rPr>
        <w:t>,</w:t>
      </w:r>
      <w:r w:rsidR="009C7DF7">
        <w:rPr>
          <w:rFonts w:eastAsia="Times New Roman" w:cs="Times New Roman"/>
          <w:bCs/>
          <w:color w:val="000000"/>
          <w:szCs w:val="24"/>
          <w:lang w:eastAsia="lv-LV"/>
        </w:rPr>
        <w:t xml:space="preserve"> salīdzinot ar 2014.gada 3.ceturksni,  ir palielinājies </w:t>
      </w:r>
      <w:r w:rsidR="00D3728C">
        <w:rPr>
          <w:rFonts w:eastAsia="Times New Roman" w:cs="Times New Roman"/>
          <w:bCs/>
          <w:color w:val="000000"/>
          <w:szCs w:val="24"/>
          <w:lang w:eastAsia="lv-LV"/>
        </w:rPr>
        <w:t>par</w:t>
      </w:r>
      <w:r w:rsidR="005B40D4">
        <w:rPr>
          <w:rFonts w:eastAsia="Times New Roman" w:cs="Times New Roman"/>
          <w:bCs/>
          <w:color w:val="000000"/>
          <w:szCs w:val="24"/>
          <w:lang w:eastAsia="lv-LV"/>
        </w:rPr>
        <w:t xml:space="preserve"> </w:t>
      </w:r>
      <w:r w:rsidR="004552F5">
        <w:rPr>
          <w:rFonts w:eastAsia="Times New Roman" w:cs="Times New Roman"/>
          <w:bCs/>
          <w:color w:val="000000"/>
          <w:szCs w:val="24"/>
          <w:lang w:eastAsia="lv-LV"/>
        </w:rPr>
        <w:t>2,5 milj</w:t>
      </w:r>
      <w:r w:rsidR="0044666B">
        <w:rPr>
          <w:rFonts w:eastAsia="Times New Roman" w:cs="Times New Roman"/>
          <w:bCs/>
          <w:color w:val="000000"/>
          <w:szCs w:val="24"/>
          <w:lang w:eastAsia="lv-LV"/>
        </w:rPr>
        <w:t>.</w:t>
      </w:r>
      <w:r w:rsidR="004552F5">
        <w:rPr>
          <w:rFonts w:eastAsia="Times New Roman" w:cs="Times New Roman"/>
          <w:bCs/>
          <w:color w:val="000000"/>
          <w:szCs w:val="24"/>
          <w:lang w:eastAsia="lv-LV"/>
        </w:rPr>
        <w:t xml:space="preserve"> </w:t>
      </w:r>
      <w:r w:rsidR="004552F5" w:rsidRPr="0044666B">
        <w:rPr>
          <w:rFonts w:eastAsia="Times New Roman" w:cs="Times New Roman"/>
          <w:bCs/>
          <w:i/>
          <w:color w:val="000000"/>
          <w:szCs w:val="24"/>
          <w:lang w:eastAsia="lv-LV"/>
        </w:rPr>
        <w:t>euro</w:t>
      </w:r>
      <w:r w:rsidR="005B40D4">
        <w:rPr>
          <w:rFonts w:eastAsia="Times New Roman" w:cs="Times New Roman"/>
          <w:bCs/>
          <w:color w:val="000000"/>
          <w:szCs w:val="24"/>
          <w:lang w:eastAsia="lv-LV"/>
        </w:rPr>
        <w:t xml:space="preserve"> jeb par 3,4%. </w:t>
      </w:r>
      <w:r w:rsidR="006422F0">
        <w:rPr>
          <w:rFonts w:eastAsia="Times New Roman" w:cs="Times New Roman"/>
          <w:szCs w:val="20"/>
        </w:rPr>
        <w:t xml:space="preserve"> </w:t>
      </w:r>
    </w:p>
    <w:p w14:paraId="5CF900BD" w14:textId="1DFD172D" w:rsidR="007D4406" w:rsidRPr="003721EE" w:rsidRDefault="00392D98" w:rsidP="00392D98">
      <w:pPr>
        <w:spacing w:before="120" w:after="120" w:line="276" w:lineRule="auto"/>
        <w:jc w:val="both"/>
        <w:rPr>
          <w:rFonts w:eastAsia="Times New Roman" w:cs="Times New Roman"/>
          <w:szCs w:val="20"/>
        </w:rPr>
      </w:pPr>
      <w:r w:rsidRPr="00392D98">
        <w:rPr>
          <w:rFonts w:eastAsia="Calibri" w:cs="Times New Roman"/>
          <w:color w:val="000000"/>
          <w:szCs w:val="24"/>
          <w:lang w:eastAsia="lv-LV"/>
        </w:rPr>
        <w:lastRenderedPageBreak/>
        <w:t xml:space="preserve">Grafiks </w:t>
      </w:r>
      <w:r w:rsidRPr="00581642">
        <w:rPr>
          <w:rFonts w:eastAsia="Calibri" w:cs="Times New Roman"/>
          <w:color w:val="000000"/>
          <w:szCs w:val="24"/>
          <w:lang w:eastAsia="lv-LV"/>
        </w:rPr>
        <w:t>Nr.</w:t>
      </w:r>
      <w:r w:rsidR="0042496B" w:rsidRPr="00581642">
        <w:rPr>
          <w:rFonts w:eastAsia="Calibri" w:cs="Times New Roman"/>
          <w:color w:val="000000"/>
          <w:szCs w:val="24"/>
          <w:lang w:eastAsia="lv-LV"/>
        </w:rPr>
        <w:t>16</w:t>
      </w:r>
      <w:r w:rsidRPr="00581642">
        <w:rPr>
          <w:rFonts w:eastAsia="Calibri" w:cs="Times New Roman"/>
          <w:i/>
          <w:color w:val="000000"/>
          <w:szCs w:val="24"/>
          <w:lang w:eastAsia="lv-LV"/>
        </w:rPr>
        <w:t xml:space="preserve"> „</w:t>
      </w:r>
      <w:r w:rsidRPr="00392D98">
        <w:rPr>
          <w:rFonts w:eastAsia="Calibri" w:cs="Times New Roman"/>
          <w:i/>
          <w:color w:val="000000"/>
          <w:szCs w:val="24"/>
          <w:lang w:eastAsia="lv-LV"/>
        </w:rPr>
        <w:t>EEZ/Norvēģijas finanšu in</w:t>
      </w:r>
      <w:r w:rsidR="00C71796">
        <w:rPr>
          <w:rFonts w:eastAsia="Calibri" w:cs="Times New Roman"/>
          <w:i/>
          <w:color w:val="000000"/>
          <w:szCs w:val="24"/>
          <w:lang w:eastAsia="lv-LV"/>
        </w:rPr>
        <w:t>strumentu programmās pieejamais</w:t>
      </w:r>
      <w:r w:rsidRPr="00392D98">
        <w:rPr>
          <w:rFonts w:eastAsia="Calibri" w:cs="Times New Roman"/>
          <w:i/>
          <w:color w:val="000000"/>
          <w:szCs w:val="24"/>
          <w:lang w:eastAsia="lv-LV"/>
        </w:rPr>
        <w:t xml:space="preserve"> finansējums projektiem</w:t>
      </w:r>
      <w:r w:rsidR="00970CF3">
        <w:rPr>
          <w:rFonts w:eastAsia="Calibri" w:cs="Times New Roman"/>
          <w:i/>
          <w:color w:val="000000"/>
          <w:szCs w:val="24"/>
          <w:lang w:eastAsia="lv-LV"/>
        </w:rPr>
        <w:t xml:space="preserve"> un</w:t>
      </w:r>
      <w:r w:rsidR="007A5FF7">
        <w:rPr>
          <w:rFonts w:eastAsia="Calibri" w:cs="Times New Roman"/>
          <w:i/>
          <w:color w:val="000000"/>
          <w:szCs w:val="24"/>
          <w:lang w:eastAsia="lv-LV"/>
        </w:rPr>
        <w:t xml:space="preserve"> programmās izmaksātais finansējums</w:t>
      </w:r>
      <w:r w:rsidR="00970CF3">
        <w:rPr>
          <w:rFonts w:eastAsia="Calibri" w:cs="Times New Roman"/>
          <w:i/>
          <w:color w:val="000000"/>
          <w:szCs w:val="24"/>
          <w:lang w:eastAsia="lv-LV"/>
        </w:rPr>
        <w:t xml:space="preserve"> </w:t>
      </w:r>
      <w:r w:rsidRPr="00392D98">
        <w:rPr>
          <w:rFonts w:eastAsia="Calibri" w:cs="Times New Roman"/>
          <w:i/>
          <w:color w:val="000000"/>
          <w:szCs w:val="24"/>
          <w:lang w:eastAsia="lv-LV"/>
        </w:rPr>
        <w:t>, milj. euro”</w:t>
      </w:r>
    </w:p>
    <w:p w14:paraId="78055454" w14:textId="41726BD9" w:rsidR="00A16DCE" w:rsidRDefault="00A16DCE" w:rsidP="00392D98">
      <w:pPr>
        <w:spacing w:before="120" w:after="120" w:line="276" w:lineRule="auto"/>
        <w:jc w:val="both"/>
        <w:rPr>
          <w:rFonts w:eastAsia="Calibri" w:cs="Times New Roman"/>
          <w:i/>
          <w:color w:val="000000"/>
          <w:szCs w:val="24"/>
          <w:lang w:eastAsia="lv-LV"/>
        </w:rPr>
      </w:pPr>
      <w:r>
        <w:rPr>
          <w:noProof/>
          <w:lang w:eastAsia="lv-LV"/>
        </w:rPr>
        <w:drawing>
          <wp:inline distT="0" distB="0" distL="0" distR="0" wp14:anchorId="5DA02C23" wp14:editId="1CE397A9">
            <wp:extent cx="6042991" cy="5335326"/>
            <wp:effectExtent l="0" t="0" r="15240" b="1778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1DF92D1" w14:textId="77777777" w:rsidR="008577A8" w:rsidRDefault="00490B56" w:rsidP="008577A8">
      <w:pPr>
        <w:tabs>
          <w:tab w:val="left" w:pos="495"/>
          <w:tab w:val="left" w:pos="2260"/>
        </w:tabs>
        <w:spacing w:before="120" w:after="120" w:line="276" w:lineRule="auto"/>
        <w:rPr>
          <w:rFonts w:cs="Times New Roman"/>
          <w:b/>
          <w:color w:val="000000" w:themeColor="text1"/>
          <w:szCs w:val="20"/>
        </w:rPr>
      </w:pPr>
      <w:r w:rsidRPr="00490B56">
        <w:rPr>
          <w:rFonts w:cs="Times New Roman"/>
          <w:b/>
          <w:color w:val="000000" w:themeColor="text1"/>
          <w:szCs w:val="20"/>
        </w:rPr>
        <w:t>Publicitātes pasākumi</w:t>
      </w:r>
    </w:p>
    <w:p w14:paraId="143309F1" w14:textId="39104055" w:rsidR="008577A8" w:rsidRPr="008577A8" w:rsidRDefault="008577A8" w:rsidP="008577A8">
      <w:pPr>
        <w:tabs>
          <w:tab w:val="left" w:pos="495"/>
          <w:tab w:val="left" w:pos="2260"/>
        </w:tabs>
        <w:spacing w:before="120" w:after="120" w:line="276" w:lineRule="auto"/>
        <w:jc w:val="both"/>
        <w:rPr>
          <w:rFonts w:cs="Times New Roman"/>
          <w:b/>
          <w:color w:val="000000" w:themeColor="text1"/>
          <w:szCs w:val="20"/>
        </w:rPr>
      </w:pPr>
      <w:r>
        <w:rPr>
          <w:rFonts w:cs="Times New Roman"/>
          <w:szCs w:val="24"/>
        </w:rPr>
        <w:t xml:space="preserve">2014.gada 27.maijā VARAM noorganizēja divus partnerības meklēšanas forumus un 2014.gada 10.septembrī vienu partnerības veicināšanas pasākumu atklātā konkursa un neliela apjoma grantu shēmas konkursa potenciālajiem projektu iesniedzējiem, kurā piedalījās ap 100 dalībnieki gan no Latvijas, gan Norvēģijas, gan Īslandes. </w:t>
      </w:r>
    </w:p>
    <w:p w14:paraId="32B47671" w14:textId="116EC93B" w:rsidR="008577A8" w:rsidRPr="00490B56" w:rsidRDefault="00490B56" w:rsidP="00490B56">
      <w:pPr>
        <w:autoSpaceDE w:val="0"/>
        <w:autoSpaceDN w:val="0"/>
        <w:adjustRightInd w:val="0"/>
        <w:spacing w:before="120" w:after="120" w:line="276" w:lineRule="auto"/>
        <w:jc w:val="both"/>
        <w:rPr>
          <w:rFonts w:cs="Times New Roman"/>
          <w:color w:val="000000" w:themeColor="text1"/>
          <w:szCs w:val="20"/>
        </w:rPr>
      </w:pPr>
      <w:r w:rsidRPr="00490B56">
        <w:rPr>
          <w:rFonts w:cs="Times New Roman"/>
          <w:color w:val="000000" w:themeColor="text1"/>
          <w:szCs w:val="20"/>
        </w:rPr>
        <w:t xml:space="preserve">2014.gada 29.septembrī Norvēģijas Karalistes vēstniecība Latvijā un Norvēģijas Vietējo un reģionālo varas iestāžu asociācija sadarbībā ar VARAM, Latvijas Pašvaldību savienību, organizāciju </w:t>
      </w:r>
      <w:r w:rsidRPr="00490B56">
        <w:rPr>
          <w:rFonts w:cs="Times New Roman"/>
          <w:i/>
          <w:color w:val="000000" w:themeColor="text1"/>
          <w:szCs w:val="20"/>
        </w:rPr>
        <w:t>Innovation Norway</w:t>
      </w:r>
      <w:r w:rsidRPr="00490B56">
        <w:rPr>
          <w:rFonts w:cs="Times New Roman"/>
          <w:color w:val="000000" w:themeColor="text1"/>
          <w:szCs w:val="20"/>
        </w:rPr>
        <w:t xml:space="preserve"> un Rēzeknes pašvaldību rīkoja konferenci “Inovācijas publiskajā sektorā: no idejas līdz darbībai”, kurā tika diskutēts par inovāciju būtisko nozīmi, kā arī Norvēģijas pieredzi to ieviešanā un vadībā.</w:t>
      </w:r>
    </w:p>
    <w:p w14:paraId="33801F7A" w14:textId="54703CB3" w:rsidR="00490B56" w:rsidRPr="00490B56" w:rsidRDefault="00490B56" w:rsidP="00490B56">
      <w:pPr>
        <w:autoSpaceDE w:val="0"/>
        <w:autoSpaceDN w:val="0"/>
        <w:adjustRightInd w:val="0"/>
        <w:spacing w:before="120" w:after="120" w:line="276" w:lineRule="auto"/>
        <w:jc w:val="both"/>
        <w:rPr>
          <w:rFonts w:cs="Times New Roman"/>
          <w:color w:val="000000" w:themeColor="text1"/>
          <w:szCs w:val="20"/>
        </w:rPr>
      </w:pPr>
      <w:r w:rsidRPr="00490B56">
        <w:rPr>
          <w:rFonts w:cs="Times New Roman"/>
          <w:color w:val="000000" w:themeColor="text1"/>
          <w:szCs w:val="20"/>
        </w:rPr>
        <w:t>2014.gada 9.oktobrī tika atklāts Zaļo tehnoloģiju inkubators (ZTI) Rīgā, kurā jau tika prezentētas pirmās p</w:t>
      </w:r>
      <w:r w:rsidR="007E024E">
        <w:rPr>
          <w:rFonts w:cs="Times New Roman"/>
          <w:color w:val="000000" w:themeColor="text1"/>
          <w:szCs w:val="20"/>
        </w:rPr>
        <w:t>irms</w:t>
      </w:r>
      <w:r w:rsidRPr="00490B56">
        <w:rPr>
          <w:rFonts w:cs="Times New Roman"/>
          <w:color w:val="000000" w:themeColor="text1"/>
          <w:szCs w:val="20"/>
        </w:rPr>
        <w:t xml:space="preserve">inkubācijas idejas. ZTI nodrošinās pre-inkubācijas un inkubācijas </w:t>
      </w:r>
      <w:r w:rsidRPr="00490B56">
        <w:rPr>
          <w:rFonts w:cs="Times New Roman"/>
          <w:color w:val="000000" w:themeColor="text1"/>
          <w:szCs w:val="20"/>
        </w:rPr>
        <w:lastRenderedPageBreak/>
        <w:t>pakalpojumus mikro, maziem un vidējiem komersantiem. Inkubatora atklāšanā piedalījās arī Norvēģijas vēstnieks Rīgā, kā arī komersanti no Latvijas un Norvēģijas.</w:t>
      </w:r>
    </w:p>
    <w:p w14:paraId="55446D67" w14:textId="77777777" w:rsidR="00490B56" w:rsidRPr="00490B56" w:rsidRDefault="00490B56" w:rsidP="00490B56">
      <w:pPr>
        <w:autoSpaceDE w:val="0"/>
        <w:autoSpaceDN w:val="0"/>
        <w:adjustRightInd w:val="0"/>
        <w:spacing w:before="120" w:after="120" w:line="276" w:lineRule="auto"/>
        <w:jc w:val="both"/>
        <w:rPr>
          <w:rFonts w:cs="Times New Roman"/>
          <w:color w:val="000000" w:themeColor="text1"/>
          <w:szCs w:val="20"/>
        </w:rPr>
      </w:pPr>
      <w:r w:rsidRPr="00490B56">
        <w:rPr>
          <w:rFonts w:cs="Times New Roman"/>
          <w:color w:val="000000" w:themeColor="text1"/>
          <w:szCs w:val="20"/>
        </w:rPr>
        <w:t>2014.gada 16.-17.oktobrī TM rīkoja starptautisku konferenci „Cietumu un Probācijas dienestu personāla profesionālisms korekcijas/audzināšanas darbā”. Konferencē tika pārrunātas tēmas par cietumu un probācijas dienesta personāla profesionālismu korekcijas darba nodrošināšanā un korekcijas iestāžu attīstību.</w:t>
      </w:r>
      <w:r w:rsidRPr="00490B56">
        <w:rPr>
          <w:rFonts w:eastAsia="Calibri" w:cs="Times New Roman"/>
          <w:color w:val="000000"/>
          <w:szCs w:val="24"/>
          <w:lang w:eastAsia="lv-LV"/>
        </w:rPr>
        <w:t xml:space="preserve"> </w:t>
      </w:r>
      <w:r w:rsidRPr="00490B56">
        <w:rPr>
          <w:rFonts w:cs="Times New Roman"/>
          <w:color w:val="000000" w:themeColor="text1"/>
          <w:szCs w:val="20"/>
        </w:rPr>
        <w:t>Konferencē ar pieredzi dalījās Latvijas, Norvēģijas, Lielbritānijas un Igaunijas eksperti, un to apmeklēja apmēram 115 nozarē strādājošie.</w:t>
      </w:r>
    </w:p>
    <w:p w14:paraId="3D25D957" w14:textId="77777777" w:rsidR="00490B56" w:rsidRPr="00490B56" w:rsidRDefault="00490B56" w:rsidP="00490B56">
      <w:pPr>
        <w:autoSpaceDE w:val="0"/>
        <w:autoSpaceDN w:val="0"/>
        <w:adjustRightInd w:val="0"/>
        <w:spacing w:before="120" w:after="120" w:line="276" w:lineRule="auto"/>
        <w:jc w:val="both"/>
        <w:rPr>
          <w:rFonts w:cs="Times New Roman"/>
          <w:color w:val="000000" w:themeColor="text1"/>
          <w:szCs w:val="20"/>
        </w:rPr>
      </w:pPr>
      <w:r w:rsidRPr="00490B56">
        <w:rPr>
          <w:rFonts w:cs="Times New Roman"/>
          <w:color w:val="000000" w:themeColor="text1"/>
          <w:szCs w:val="20"/>
        </w:rPr>
        <w:t>2014.gada 11.decembrī SIF sadarbībā ar Norvēģijas vēstniecību Latvijā rīkoja starptautiskās pieredzes apmaiņas semināru “Starptautiskā sadarbība EEZ finanšu instrumenta programmas “NVO fonds” projektu ietvaros - ietekme un ieteikumi”, tādejādi veicinot diskusijas par starptautiskās sadarbības lomu un ietekmi mūsdienās, kā arī tuvāk iepazīstinot ar NVO fonda programmas projektiem, kas tiek īstenoti partnerībā ar Norvēģijas un Islandes organizācijām. Seminārā piedalījās vairāk kā 100 interesentu no Latvijas, Norvēģijas, Islandes nevalstiskajām organizācijām, kā arī pārstāvji no dažādām vietēja un nacionāla līmeņa institūcijām.</w:t>
      </w:r>
    </w:p>
    <w:p w14:paraId="700FBF09" w14:textId="77777777" w:rsidR="00490B56" w:rsidRPr="00490B56" w:rsidRDefault="00490B56" w:rsidP="00490B56">
      <w:pPr>
        <w:autoSpaceDE w:val="0"/>
        <w:autoSpaceDN w:val="0"/>
        <w:adjustRightInd w:val="0"/>
        <w:spacing w:before="120" w:after="120" w:line="276" w:lineRule="auto"/>
        <w:jc w:val="both"/>
        <w:rPr>
          <w:rFonts w:cs="Times New Roman"/>
          <w:b/>
          <w:color w:val="000000" w:themeColor="text1"/>
          <w:szCs w:val="20"/>
        </w:rPr>
      </w:pPr>
      <w:r w:rsidRPr="00490B56">
        <w:rPr>
          <w:rFonts w:cs="Times New Roman"/>
          <w:b/>
          <w:color w:val="000000" w:themeColor="text1"/>
          <w:szCs w:val="20"/>
        </w:rPr>
        <w:t>Programmās sasniegtie rezultāti</w:t>
      </w:r>
    </w:p>
    <w:p w14:paraId="2720B3B5" w14:textId="77777777" w:rsidR="00490B56" w:rsidRPr="00490B56" w:rsidRDefault="00490B56" w:rsidP="00490B56">
      <w:pPr>
        <w:spacing w:before="120" w:after="120" w:line="276" w:lineRule="auto"/>
        <w:jc w:val="both"/>
        <w:rPr>
          <w:rFonts w:eastAsia="Calibri" w:cs="Times New Roman"/>
        </w:rPr>
      </w:pPr>
      <w:r w:rsidRPr="00490B56">
        <w:rPr>
          <w:rFonts w:eastAsia="Calibri" w:cs="Times New Roman"/>
        </w:rPr>
        <w:t>2014.gadā visas EEZ/Norvēģijas finanšu instrumentu programmas bija ieviešanas fāzē un jau ir sasniegti pirmie rezultāti:</w:t>
      </w:r>
    </w:p>
    <w:p w14:paraId="2C9AEEE9" w14:textId="19E6A1BB" w:rsidR="00490B56" w:rsidRPr="00490B56" w:rsidRDefault="00490B56" w:rsidP="00E12DFB">
      <w:pPr>
        <w:numPr>
          <w:ilvl w:val="0"/>
          <w:numId w:val="22"/>
        </w:numPr>
        <w:spacing w:before="120" w:after="120" w:line="276" w:lineRule="auto"/>
        <w:ind w:left="0" w:firstLine="360"/>
        <w:contextualSpacing/>
        <w:jc w:val="both"/>
        <w:rPr>
          <w:rFonts w:eastAsia="Calibri" w:cs="Times New Roman"/>
        </w:rPr>
      </w:pPr>
      <w:r w:rsidRPr="00490B56">
        <w:rPr>
          <w:rFonts w:eastAsia="Calibri" w:cs="Times New Roman"/>
        </w:rPr>
        <w:t xml:space="preserve">SIF programmā </w:t>
      </w:r>
      <w:r w:rsidRPr="00490B56">
        <w:rPr>
          <w:rFonts w:eastAsia="Calibri" w:cs="Times New Roman"/>
          <w:b/>
        </w:rPr>
        <w:t>“</w:t>
      </w:r>
      <w:r w:rsidRPr="00490B56">
        <w:rPr>
          <w:rFonts w:eastAsia="Calibri" w:cs="Times New Roman"/>
          <w:b/>
          <w:i/>
        </w:rPr>
        <w:t>NVO fonds”</w:t>
      </w:r>
      <w:r w:rsidRPr="00490B56">
        <w:rPr>
          <w:rFonts w:eastAsia="Calibri" w:cs="Times New Roman"/>
        </w:rPr>
        <w:t>: Pilsoniskās alianses projektā veikti stratēģiski svarīgi pētījumi – “</w:t>
      </w:r>
      <w:r w:rsidRPr="00490B56">
        <w:rPr>
          <w:rFonts w:eastAsia="Calibri" w:cs="Times New Roman"/>
          <w:i/>
        </w:rPr>
        <w:t>Pārskats par NVO sektoru Latvijā. 2013”</w:t>
      </w:r>
      <w:r w:rsidR="001A0A19">
        <w:rPr>
          <w:rStyle w:val="FootnoteReference"/>
          <w:rFonts w:eastAsia="Calibri" w:cs="Times New Roman"/>
          <w:i/>
        </w:rPr>
        <w:footnoteReference w:id="33"/>
      </w:r>
      <w:r w:rsidRPr="00490B56">
        <w:rPr>
          <w:rFonts w:eastAsia="Calibri" w:cs="Times New Roman"/>
          <w:i/>
        </w:rPr>
        <w:t>,</w:t>
      </w:r>
      <w:r w:rsidRPr="00490B56">
        <w:rPr>
          <w:rFonts w:eastAsia="Calibri" w:cs="Times New Roman"/>
        </w:rPr>
        <w:t xml:space="preserve"> kas nodrošina aktuālu un kvalitatīvu informāciju par NVO sektora attīstību Latvijā, kā arī “</w:t>
      </w:r>
      <w:r w:rsidRPr="00490B56">
        <w:rPr>
          <w:rFonts w:eastAsia="Calibri" w:cs="Times New Roman"/>
          <w:i/>
        </w:rPr>
        <w:t>Cilvēkdrošības koncepcijas ieviešana kopienu līmenī, tajā skaitā nevalstiskajās organizācijās</w:t>
      </w:r>
      <w:r w:rsidRPr="00490B56">
        <w:rPr>
          <w:rFonts w:eastAsia="Calibri" w:cs="Times New Roman"/>
        </w:rPr>
        <w:t>”</w:t>
      </w:r>
      <w:r w:rsidR="001A0A19">
        <w:rPr>
          <w:rStyle w:val="FootnoteReference"/>
          <w:rFonts w:eastAsia="Calibri" w:cs="Times New Roman"/>
        </w:rPr>
        <w:footnoteReference w:id="34"/>
      </w:r>
      <w:r w:rsidRPr="00490B56">
        <w:rPr>
          <w:rFonts w:eastAsia="Calibri" w:cs="Times New Roman"/>
        </w:rPr>
        <w:t>, kas tiešā veidā sasaucas ar Nacionālā attīstības plānā 2014.-2020.gadam ietverto prioritāti "Cilvēka drošumspēja". Jau ir pabeigti 8 atklāto konkursu projekti, kas tika īstenoti ar mērķi veicināt labklājības izaugsmi, stiprināt demokrātiskās vērtības un cilvēktiesību ievērošanu Latvijā.</w:t>
      </w:r>
    </w:p>
    <w:p w14:paraId="4ECC3769" w14:textId="77777777" w:rsidR="00490B56" w:rsidRPr="00490B56" w:rsidRDefault="00490B56" w:rsidP="00E12DFB">
      <w:pPr>
        <w:numPr>
          <w:ilvl w:val="0"/>
          <w:numId w:val="22"/>
        </w:numPr>
        <w:spacing w:before="120" w:after="120" w:line="276" w:lineRule="auto"/>
        <w:ind w:left="0" w:firstLine="360"/>
        <w:contextualSpacing/>
        <w:jc w:val="both"/>
        <w:rPr>
          <w:rFonts w:eastAsia="Calibri" w:cs="Times New Roman"/>
        </w:rPr>
      </w:pPr>
      <w:r w:rsidRPr="00490B56">
        <w:rPr>
          <w:rFonts w:eastAsia="Calibri" w:cs="Times New Roman"/>
        </w:rPr>
        <w:t xml:space="preserve">KM programmā </w:t>
      </w:r>
      <w:r w:rsidRPr="00490B56">
        <w:rPr>
          <w:rFonts w:eastAsia="Calibri" w:cs="Times New Roman"/>
          <w:b/>
        </w:rPr>
        <w:t>“</w:t>
      </w:r>
      <w:r w:rsidRPr="00490B56">
        <w:rPr>
          <w:rFonts w:eastAsia="Calibri" w:cs="Times New Roman"/>
          <w:b/>
          <w:i/>
        </w:rPr>
        <w:t>Kultūras un dabas mantojuma saglabāšana un atjaunināšana”</w:t>
      </w:r>
      <w:r w:rsidRPr="00490B56">
        <w:rPr>
          <w:rFonts w:eastAsia="Calibri" w:cs="Times New Roman"/>
        </w:rPr>
        <w:t>: uzsākti darbi jau pie 4 kultūras pieminekļu restaurācijas, lai tos padarītu sabiedrībai pieejamus, kā arī nozares speciālisti ir paaugstinājuši savu profesionālo kvalifikāciju pieredzes apmaiņas pasākumos ar ekspertiem no Norvēģijas. Jau ir pabeigti 2 divpusējas sadarbības kultūras apmaiņas projekti, kas tika īstenoti ar mērķi veicināt kultūras un mākslas darbu, pakalpojumu un produktu starptautisku apriti.</w:t>
      </w:r>
    </w:p>
    <w:p w14:paraId="0B769E06" w14:textId="77777777" w:rsidR="00490B56" w:rsidRPr="00490B56" w:rsidRDefault="00490B56" w:rsidP="00E12DFB">
      <w:pPr>
        <w:numPr>
          <w:ilvl w:val="0"/>
          <w:numId w:val="22"/>
        </w:numPr>
        <w:spacing w:before="120" w:after="120" w:line="276" w:lineRule="auto"/>
        <w:ind w:left="0" w:firstLine="360"/>
        <w:contextualSpacing/>
        <w:jc w:val="both"/>
        <w:rPr>
          <w:rFonts w:eastAsia="Calibri" w:cs="Times New Roman"/>
        </w:rPr>
      </w:pPr>
      <w:r w:rsidRPr="00490B56">
        <w:rPr>
          <w:rFonts w:eastAsia="Calibri" w:cs="Times New Roman"/>
        </w:rPr>
        <w:t xml:space="preserve">TM programmā </w:t>
      </w:r>
      <w:r w:rsidRPr="00490B56">
        <w:rPr>
          <w:rFonts w:eastAsia="Calibri" w:cs="Times New Roman"/>
          <w:b/>
        </w:rPr>
        <w:t>“</w:t>
      </w:r>
      <w:r w:rsidRPr="00490B56">
        <w:rPr>
          <w:rFonts w:eastAsia="Calibri" w:cs="Times New Roman"/>
          <w:b/>
          <w:i/>
        </w:rPr>
        <w:t>Latvijas korekcijas dienestu un Valsts policijas īslaicīgās aizturēšanas vietu reforma”</w:t>
      </w:r>
      <w:r w:rsidRPr="00490B56">
        <w:rPr>
          <w:rFonts w:eastAsia="Calibri" w:cs="Times New Roman"/>
        </w:rPr>
        <w:t xml:space="preserve">: projektos veikta līdzšinējo tiesību aktu analīze, kā rezultātā izstrādāti priekšlikumi grozījumiem normatīvajos aktos, kas saistīti ar īslaicīgo aizturēšanas vietu un pagaidu turēšanas vietu darbību, un veikti nepieciešamie grozījumi Krimināllikumā un Kriminālprocesa likumā, lai 2015.gadā ieviestu elektronisko uzraudzību. Kā arī gada laikā nodrošinātas apmācības, semināri un kolēģu konsultācijas cietumu un probācijas </w:t>
      </w:r>
      <w:r w:rsidRPr="00490B56">
        <w:rPr>
          <w:rFonts w:eastAsia="Calibri" w:cs="Times New Roman"/>
        </w:rPr>
        <w:lastRenderedPageBreak/>
        <w:t>dienesta darbiniekiem par dažādām tēmām, t.sk. motivējošo intervēšanu, darbu ar dzimumnoziedzniekiem, u.c. jautājumiem.</w:t>
      </w:r>
    </w:p>
    <w:p w14:paraId="60990EB7" w14:textId="70D592DD" w:rsidR="00490B56" w:rsidRPr="00490B56" w:rsidRDefault="00490B56" w:rsidP="00E12DFB">
      <w:pPr>
        <w:numPr>
          <w:ilvl w:val="0"/>
          <w:numId w:val="22"/>
        </w:numPr>
        <w:spacing w:before="120" w:after="120" w:line="276" w:lineRule="auto"/>
        <w:ind w:left="0" w:firstLine="360"/>
        <w:contextualSpacing/>
        <w:jc w:val="both"/>
        <w:rPr>
          <w:rFonts w:eastAsia="Calibri" w:cs="Times New Roman"/>
        </w:rPr>
      </w:pPr>
      <w:r w:rsidRPr="00490B56">
        <w:rPr>
          <w:rFonts w:eastAsia="Times New Roman" w:cs="Times New Roman"/>
          <w:color w:val="000000"/>
          <w:szCs w:val="24"/>
          <w:lang w:eastAsia="lv-LV"/>
        </w:rPr>
        <w:t xml:space="preserve">EM programmas </w:t>
      </w:r>
      <w:r w:rsidRPr="00490B56">
        <w:rPr>
          <w:rFonts w:eastAsia="Times New Roman" w:cs="Times New Roman"/>
          <w:b/>
          <w:color w:val="000000"/>
          <w:szCs w:val="24"/>
          <w:lang w:eastAsia="lv-LV"/>
        </w:rPr>
        <w:t>“</w:t>
      </w:r>
      <w:r w:rsidRPr="00490B56">
        <w:rPr>
          <w:rFonts w:eastAsia="Times New Roman" w:cs="Times New Roman"/>
          <w:b/>
          <w:i/>
          <w:color w:val="000000"/>
          <w:szCs w:val="24"/>
          <w:lang w:eastAsia="lv-LV"/>
        </w:rPr>
        <w:t>Inovācijas „zaļās” ražošanas jomā”</w:t>
      </w:r>
      <w:r w:rsidRPr="00490B56">
        <w:rPr>
          <w:rFonts w:eastAsia="Times New Roman" w:cs="Times New Roman"/>
          <w:color w:val="000000"/>
          <w:szCs w:val="24"/>
          <w:lang w:eastAsia="lv-LV"/>
        </w:rPr>
        <w:t>:</w:t>
      </w:r>
      <w:r w:rsidRPr="00490B56">
        <w:rPr>
          <w:rFonts w:eastAsia="Calibri" w:cs="Times New Roman"/>
        </w:rPr>
        <w:t xml:space="preserve"> </w:t>
      </w:r>
      <w:r w:rsidRPr="00490B56">
        <w:rPr>
          <w:rFonts w:eastAsia="Times New Roman" w:cs="Times New Roman"/>
          <w:color w:val="000000"/>
          <w:szCs w:val="24"/>
          <w:lang w:eastAsia="lv-LV"/>
        </w:rPr>
        <w:t>izveidots Zaļais tehnoloģiju inkubators, kas darbību uzsāka 2014.gada jūlijā un oktobrī notika svinīgā inkubatora atklāšana, kuras laikā jau tika prezentētas pirmās atbalstītās pre-inkubācijas idejas. No inkubatora četrām izsludinātajām p</w:t>
      </w:r>
      <w:r w:rsidR="007E024E">
        <w:rPr>
          <w:rFonts w:eastAsia="Times New Roman" w:cs="Times New Roman"/>
          <w:color w:val="000000"/>
          <w:szCs w:val="24"/>
          <w:lang w:eastAsia="lv-LV"/>
        </w:rPr>
        <w:t>irms</w:t>
      </w:r>
      <w:r w:rsidRPr="00490B56">
        <w:rPr>
          <w:rFonts w:eastAsia="Times New Roman" w:cs="Times New Roman"/>
          <w:color w:val="000000"/>
          <w:szCs w:val="24"/>
          <w:lang w:eastAsia="lv-LV"/>
        </w:rPr>
        <w:t>inkubācijas kārtam ir noslēgušās trīs kārtas, kurās tika iesniegta 281 ideja un apstiprinātas 55 idejas (noslēgti 54 līgumi par 0,5 milj. eiro). Ir uzsākta pirmo trīs atklātā konkursā apstiprināto projektu īstenošana, atbalstot zaļo tehnoloģiju ieviešanu ražošanā.</w:t>
      </w:r>
    </w:p>
    <w:p w14:paraId="6AD667B5" w14:textId="428CE344" w:rsidR="00490B56" w:rsidRPr="00490B56" w:rsidRDefault="00490B56" w:rsidP="00E12DFB">
      <w:pPr>
        <w:numPr>
          <w:ilvl w:val="0"/>
          <w:numId w:val="22"/>
        </w:numPr>
        <w:spacing w:before="120" w:after="120" w:line="276" w:lineRule="auto"/>
        <w:ind w:left="0" w:firstLine="360"/>
        <w:contextualSpacing/>
        <w:jc w:val="both"/>
        <w:rPr>
          <w:rFonts w:eastAsia="Calibri" w:cs="Times New Roman"/>
        </w:rPr>
      </w:pPr>
      <w:r w:rsidRPr="00490B56">
        <w:rPr>
          <w:rFonts w:eastAsia="Calibri" w:cs="Times New Roman"/>
        </w:rPr>
        <w:t xml:space="preserve">IZM programmā </w:t>
      </w:r>
      <w:r w:rsidRPr="00490B56">
        <w:rPr>
          <w:rFonts w:eastAsia="Calibri" w:cs="Times New Roman"/>
          <w:b/>
        </w:rPr>
        <w:t>“</w:t>
      </w:r>
      <w:r w:rsidRPr="00490B56">
        <w:rPr>
          <w:rFonts w:eastAsia="Calibri" w:cs="Times New Roman"/>
          <w:b/>
          <w:i/>
        </w:rPr>
        <w:t>Pētniecība un stipendijas”</w:t>
      </w:r>
      <w:r w:rsidRPr="00490B56">
        <w:rPr>
          <w:rFonts w:eastAsia="Calibri" w:cs="Times New Roman"/>
        </w:rPr>
        <w:t xml:space="preserve">: programmas bilateriālā fondā sagatavošanas vizītēm aktivitātē “Stipendijas” un “Pētniecība” ir apstiprināti 51 projekti. Finansējums šajos projektos ir paredzēts partneru no </w:t>
      </w:r>
      <w:r w:rsidR="008B717D">
        <w:rPr>
          <w:rFonts w:eastAsia="Calibri" w:cs="Times New Roman"/>
        </w:rPr>
        <w:t xml:space="preserve">Īslandes, Lihtenšteinas un </w:t>
      </w:r>
      <w:r w:rsidRPr="00490B56">
        <w:rPr>
          <w:rFonts w:eastAsia="Calibri" w:cs="Times New Roman"/>
        </w:rPr>
        <w:t xml:space="preserve">Norvēģijas meklēšanai un/vai kopīgai projekta iesnieguma izstrādei. </w:t>
      </w:r>
      <w:r w:rsidR="008B717D">
        <w:rPr>
          <w:rFonts w:eastAsia="Calibri" w:cs="Times New Roman"/>
        </w:rPr>
        <w:t xml:space="preserve">44 sagatavošanās vizītes </w:t>
      </w:r>
      <w:r w:rsidRPr="00490B56">
        <w:rPr>
          <w:rFonts w:eastAsia="Calibri" w:cs="Times New Roman"/>
        </w:rPr>
        <w:t xml:space="preserve"> no 51 ir noslēguš</w:t>
      </w:r>
      <w:r w:rsidR="008B717D">
        <w:rPr>
          <w:rFonts w:eastAsia="Calibri" w:cs="Times New Roman"/>
        </w:rPr>
        <w:t>ās</w:t>
      </w:r>
      <w:r w:rsidRPr="00490B56">
        <w:rPr>
          <w:rFonts w:eastAsia="Calibri" w:cs="Times New Roman"/>
        </w:rPr>
        <w:t xml:space="preserve"> 2014.gadā, bet </w:t>
      </w:r>
      <w:r w:rsidR="00F4582B">
        <w:rPr>
          <w:rFonts w:eastAsia="Calibri" w:cs="Times New Roman"/>
        </w:rPr>
        <w:t>7</w:t>
      </w:r>
      <w:r w:rsidRPr="00490B56">
        <w:rPr>
          <w:rFonts w:eastAsia="Calibri" w:cs="Times New Roman"/>
        </w:rPr>
        <w:t xml:space="preserve"> </w:t>
      </w:r>
      <w:r w:rsidR="00F4582B">
        <w:rPr>
          <w:rFonts w:eastAsia="Calibri" w:cs="Times New Roman"/>
        </w:rPr>
        <w:t>sagatavošanās vizītes</w:t>
      </w:r>
      <w:r w:rsidRPr="00490B56">
        <w:rPr>
          <w:rFonts w:eastAsia="Calibri" w:cs="Times New Roman"/>
        </w:rPr>
        <w:t xml:space="preserve"> aktivitātē “Stipendijas” noslēgsies 2015.gada 23.janvārī.</w:t>
      </w:r>
    </w:p>
    <w:p w14:paraId="0B7CB6D0" w14:textId="77777777" w:rsidR="005F71BB" w:rsidRPr="005F71BB" w:rsidRDefault="005F71BB" w:rsidP="005F71BB">
      <w:pPr>
        <w:numPr>
          <w:ilvl w:val="0"/>
          <w:numId w:val="22"/>
        </w:numPr>
        <w:spacing w:before="120" w:after="120" w:line="276" w:lineRule="auto"/>
        <w:ind w:left="0" w:firstLine="360"/>
        <w:contextualSpacing/>
        <w:jc w:val="both"/>
        <w:rPr>
          <w:rFonts w:eastAsia="Calibri" w:cs="Times New Roman"/>
        </w:rPr>
      </w:pPr>
      <w:r w:rsidRPr="005F71BB">
        <w:rPr>
          <w:rFonts w:eastAsia="Calibri" w:cs="Times New Roman"/>
        </w:rPr>
        <w:t>VARAM programmā “</w:t>
      </w:r>
      <w:r w:rsidRPr="005F71BB">
        <w:rPr>
          <w:rFonts w:eastAsia="Calibri" w:cs="Times New Roman"/>
          <w:b/>
          <w:i/>
        </w:rPr>
        <w:t>Nacionālā klimata politika</w:t>
      </w:r>
      <w:r w:rsidRPr="005F71BB">
        <w:rPr>
          <w:rFonts w:eastAsia="Calibri" w:cs="Times New Roman"/>
        </w:rPr>
        <w:t>”: norisinājās iepriekš noteikto projektu atklāšanas konference un projektos ir uzsākta aktivitāšu īstenošanai nepieciešamās iepirkuma dokumentācijas izstrāde. Lai veiktu uzlabojumus Latvijas inventarizācija</w:t>
      </w:r>
      <w:r w:rsidR="00861C9D">
        <w:rPr>
          <w:rFonts w:eastAsia="Calibri" w:cs="Times New Roman"/>
        </w:rPr>
        <w:t>s sistēmā, norisinājās pirmie</w:t>
      </w:r>
      <w:r w:rsidRPr="005F71BB">
        <w:rPr>
          <w:rFonts w:eastAsia="Calibri" w:cs="Times New Roman"/>
        </w:rPr>
        <w:t xml:space="preserve"> d</w:t>
      </w:r>
      <w:r w:rsidR="00861C9D">
        <w:rPr>
          <w:rFonts w:eastAsia="Calibri" w:cs="Times New Roman"/>
        </w:rPr>
        <w:t>ivi pieredzes apmaiņas pasākumi</w:t>
      </w:r>
      <w:r w:rsidRPr="005F71BB">
        <w:rPr>
          <w:rFonts w:eastAsia="Calibri" w:cs="Times New Roman"/>
        </w:rPr>
        <w:t xml:space="preserve"> Norvēģijā, kur Latvijas un Norvēģijas puses dalījās pieredzē par nacionālo inventarizācijas si</w:t>
      </w:r>
      <w:r w:rsidR="00861C9D">
        <w:rPr>
          <w:rFonts w:eastAsia="Calibri" w:cs="Times New Roman"/>
        </w:rPr>
        <w:t xml:space="preserve">stēmu, </w:t>
      </w:r>
      <w:r w:rsidRPr="005F71BB">
        <w:rPr>
          <w:rFonts w:eastAsia="Calibri" w:cs="Times New Roman"/>
        </w:rPr>
        <w:t>kā arī par inventarizācijas ziņojumu sagatavošanu un SEG emisiju aprēķinu metodoloģijām lauksaimniecības un mežsaimniecības sektoros, t. sk. par digitālo augšņu karšu datubāzes izveides procesu.</w:t>
      </w:r>
    </w:p>
    <w:p w14:paraId="6F4872C9" w14:textId="25F32467" w:rsidR="00490B56" w:rsidRPr="00490B56" w:rsidRDefault="00490B56" w:rsidP="00E12DFB">
      <w:pPr>
        <w:numPr>
          <w:ilvl w:val="0"/>
          <w:numId w:val="22"/>
        </w:numPr>
        <w:spacing w:before="120" w:after="120" w:line="276" w:lineRule="auto"/>
        <w:ind w:left="0" w:firstLine="360"/>
        <w:contextualSpacing/>
        <w:jc w:val="both"/>
        <w:rPr>
          <w:rFonts w:eastAsia="Calibri" w:cs="Times New Roman"/>
        </w:rPr>
      </w:pPr>
      <w:r w:rsidRPr="00490B56">
        <w:rPr>
          <w:rFonts w:eastAsia="Calibri" w:cs="Times New Roman"/>
        </w:rPr>
        <w:t xml:space="preserve">VARAM programmā </w:t>
      </w:r>
      <w:r w:rsidRPr="00490B56">
        <w:rPr>
          <w:rFonts w:eastAsia="Calibri" w:cs="Times New Roman"/>
          <w:b/>
        </w:rPr>
        <w:t>“</w:t>
      </w:r>
      <w:r w:rsidRPr="00490B56">
        <w:rPr>
          <w:rFonts w:eastAsia="Calibri" w:cs="Times New Roman"/>
          <w:b/>
          <w:i/>
        </w:rPr>
        <w:t>Kapacitātes stiprināšana un institucionālā sadarbība starp Latvijas un Norvēģijas valsts institūcijām, vietējām un reģionālām iestādēm”</w:t>
      </w:r>
      <w:r w:rsidRPr="00490B56">
        <w:rPr>
          <w:rFonts w:eastAsia="Calibri" w:cs="Times New Roman"/>
        </w:rPr>
        <w:t xml:space="preserve">: projektos tika stiprināta sadarbība starp Latvijas un Norvēģijas institūcijām, organizējot </w:t>
      </w:r>
      <w:r w:rsidRPr="00490B56">
        <w:rPr>
          <w:rFonts w:cs="Times New Roman"/>
          <w:color w:val="000000" w:themeColor="text1"/>
          <w:szCs w:val="20"/>
        </w:rPr>
        <w:t>10 pieredzes un zināšanu apmaiņas pasākumus</w:t>
      </w:r>
      <w:r w:rsidRPr="00490B56">
        <w:rPr>
          <w:rFonts w:eastAsia="Calibri" w:cs="Times New Roman"/>
        </w:rPr>
        <w:t>. I</w:t>
      </w:r>
      <w:r w:rsidRPr="00490B56">
        <w:rPr>
          <w:rFonts w:cs="Times New Roman"/>
          <w:color w:val="000000" w:themeColor="text1"/>
          <w:szCs w:val="20"/>
        </w:rPr>
        <w:t xml:space="preserve">zstrādāti investīciju piesaistes mārketinga materiāli 30 pašvaldībām, kurus </w:t>
      </w:r>
      <w:r w:rsidRPr="00490B56">
        <w:rPr>
          <w:rFonts w:eastAsia="Calibri" w:cs="Times New Roman"/>
        </w:rPr>
        <w:t xml:space="preserve">pašvaldības varēs izmantot starptautiskas nozīmes pasākumos, kur mērķauditorija ir ārvalstu investori. </w:t>
      </w:r>
      <w:r w:rsidR="006B0AAE" w:rsidRPr="00717083">
        <w:rPr>
          <w:rFonts w:eastAsia="Calibri" w:cs="Times New Roman"/>
        </w:rPr>
        <w:t xml:space="preserve">Izveidoti 4 pašvaldību sadarbības un pakalpojumu kvalitātes uzlabošanas tīkli, kuros darbojas 44 </w:t>
      </w:r>
      <w:r w:rsidR="006B0AAE">
        <w:rPr>
          <w:rFonts w:eastAsia="Calibri" w:cs="Times New Roman"/>
        </w:rPr>
        <w:t xml:space="preserve">Latvijas </w:t>
      </w:r>
      <w:r w:rsidR="006B0AAE" w:rsidRPr="00717083">
        <w:rPr>
          <w:rFonts w:eastAsia="Calibri" w:cs="Times New Roman"/>
        </w:rPr>
        <w:t>pašvaldību pārstāvji</w:t>
      </w:r>
      <w:r w:rsidRPr="00490B56">
        <w:rPr>
          <w:rFonts w:eastAsia="Calibri" w:cs="Times New Roman"/>
        </w:rPr>
        <w:t xml:space="preserve">. </w:t>
      </w:r>
      <w:r w:rsidRPr="00490B56">
        <w:rPr>
          <w:rFonts w:cs="Times New Roman"/>
          <w:color w:val="000000" w:themeColor="text1"/>
          <w:szCs w:val="20"/>
        </w:rPr>
        <w:t xml:space="preserve">Izveidota Latgales reģiona pārstāvniecība Rīgā, </w:t>
      </w:r>
      <w:r w:rsidRPr="00490B56">
        <w:rPr>
          <w:rFonts w:eastAsia="Calibri" w:cs="Times New Roman"/>
        </w:rPr>
        <w:t>kurā potenciālajiem investoriem tiks prezentēti aktuālie Latgales reģiona investīciju piedāvājumi, tika prezentēta Latgales vietējo uzņēmēju un amatnieku produkcija, piedāvātas konferenču telpas Latgales uzņēmēju komunikācijai ar investoriem utt.</w:t>
      </w:r>
    </w:p>
    <w:p w14:paraId="496877C3" w14:textId="4F6BBF40" w:rsidR="00490B56" w:rsidRPr="00490B56" w:rsidRDefault="00490B56" w:rsidP="00490B56">
      <w:pPr>
        <w:spacing w:before="120" w:after="120" w:line="276" w:lineRule="auto"/>
        <w:jc w:val="both"/>
        <w:rPr>
          <w:rFonts w:eastAsia="Times New Roman" w:cs="Times New Roman"/>
          <w:szCs w:val="20"/>
        </w:rPr>
      </w:pPr>
      <w:r w:rsidRPr="00490B56">
        <w:rPr>
          <w:rFonts w:eastAsia="Times New Roman" w:cs="Times New Roman"/>
          <w:szCs w:val="20"/>
        </w:rPr>
        <w:t xml:space="preserve">Plašāka informācija par EEZ/Norvēģijas finanšu instrumentu ieviešanu Latvijā, t.sk. aktuālajiem publicitātes pasākumiem, ir pieejama VI uzturētajā mājaslapā </w:t>
      </w:r>
      <w:hyperlink r:id="rId41" w:history="1">
        <w:r w:rsidRPr="00490B56">
          <w:rPr>
            <w:rFonts w:eastAsia="Times New Roman" w:cs="Times New Roman"/>
            <w:color w:val="0563C1"/>
            <w:szCs w:val="20"/>
            <w:u w:val="single"/>
          </w:rPr>
          <w:t>www.eeagrants.lv</w:t>
        </w:r>
      </w:hyperlink>
      <w:r w:rsidR="007C2331">
        <w:rPr>
          <w:rFonts w:eastAsia="Times New Roman" w:cs="Times New Roman"/>
          <w:szCs w:val="20"/>
        </w:rPr>
        <w:t xml:space="preserve"> vai </w:t>
      </w:r>
      <w:hyperlink r:id="rId42" w:history="1">
        <w:r w:rsidRPr="00EF37AD">
          <w:rPr>
            <w:rStyle w:val="Hyperlink"/>
            <w:rFonts w:eastAsia="Times New Roman" w:cs="Times New Roman"/>
            <w:szCs w:val="20"/>
          </w:rPr>
          <w:t>www.norwaygrants.lv</w:t>
        </w:r>
      </w:hyperlink>
      <w:r w:rsidRPr="00490B56">
        <w:rPr>
          <w:rFonts w:eastAsia="Times New Roman" w:cs="Times New Roman"/>
          <w:szCs w:val="20"/>
        </w:rPr>
        <w:t>.</w:t>
      </w:r>
    </w:p>
    <w:p w14:paraId="34D8014F" w14:textId="7E09699B" w:rsidR="00A5315A" w:rsidRPr="00B57653" w:rsidRDefault="00A5315A" w:rsidP="00C04510">
      <w:pPr>
        <w:pStyle w:val="1lmenis"/>
      </w:pPr>
      <w:bookmarkStart w:id="17" w:name="_Toc412729441"/>
      <w:r w:rsidRPr="00B57653">
        <w:t>Šveices programmas ieviešana</w:t>
      </w:r>
      <w:bookmarkEnd w:id="17"/>
    </w:p>
    <w:p w14:paraId="7C07E15A" w14:textId="33114BCD" w:rsidR="00AA0D41" w:rsidRPr="00AA0D41" w:rsidRDefault="00AA0D41" w:rsidP="00AA0D41">
      <w:pPr>
        <w:spacing w:before="120" w:after="120" w:line="276" w:lineRule="auto"/>
        <w:jc w:val="both"/>
        <w:rPr>
          <w:rFonts w:eastAsia="Times New Roman" w:cs="Times New Roman"/>
          <w:color w:val="000000"/>
          <w:szCs w:val="24"/>
        </w:rPr>
      </w:pPr>
      <w:r w:rsidRPr="00AA0D41">
        <w:rPr>
          <w:rFonts w:eastAsia="Times New Roman" w:cs="Times New Roman"/>
          <w:color w:val="000000"/>
          <w:szCs w:val="24"/>
        </w:rPr>
        <w:t xml:space="preserve">Šveices programmas finansējums Latvijai ir pieejams no 2007.gada 14.jūnija. Iespēja īstenot projektus un līdz ar to arī </w:t>
      </w:r>
      <w:r w:rsidR="00C57790">
        <w:rPr>
          <w:rFonts w:eastAsia="Times New Roman" w:cs="Times New Roman"/>
          <w:color w:val="000000"/>
          <w:szCs w:val="24"/>
        </w:rPr>
        <w:t>inv</w:t>
      </w:r>
      <w:r w:rsidR="00A226F2">
        <w:rPr>
          <w:rFonts w:eastAsia="Times New Roman" w:cs="Times New Roman"/>
          <w:color w:val="000000"/>
          <w:szCs w:val="24"/>
        </w:rPr>
        <w:t>e</w:t>
      </w:r>
      <w:r w:rsidR="00C57790">
        <w:rPr>
          <w:rFonts w:eastAsia="Times New Roman" w:cs="Times New Roman"/>
          <w:color w:val="000000"/>
          <w:szCs w:val="24"/>
        </w:rPr>
        <w:t>stēt</w:t>
      </w:r>
      <w:r w:rsidR="00C57790" w:rsidRPr="00AA0D41">
        <w:rPr>
          <w:rFonts w:eastAsia="Times New Roman" w:cs="Times New Roman"/>
          <w:color w:val="000000"/>
          <w:szCs w:val="24"/>
        </w:rPr>
        <w:t xml:space="preserve"> </w:t>
      </w:r>
      <w:r w:rsidRPr="00AA0D41">
        <w:rPr>
          <w:rFonts w:eastAsia="Times New Roman" w:cs="Times New Roman"/>
          <w:color w:val="000000"/>
          <w:szCs w:val="24"/>
        </w:rPr>
        <w:t xml:space="preserve">piešķirto finansējumu būs līdz 2017.gada 14.jūnijam. Latvijai kopumā ir pieejami 56,72 milj. Šveices franku jeb 47,2 milj. </w:t>
      </w:r>
      <w:r w:rsidRPr="00AA0D41">
        <w:rPr>
          <w:rFonts w:eastAsia="Times New Roman" w:cs="Times New Roman"/>
          <w:i/>
          <w:color w:val="000000"/>
          <w:szCs w:val="24"/>
        </w:rPr>
        <w:t>euro</w:t>
      </w:r>
      <w:r w:rsidRPr="00AA0D41">
        <w:rPr>
          <w:rFonts w:eastAsia="Times New Roman" w:cs="Times New Roman"/>
          <w:color w:val="000000"/>
          <w:szCs w:val="24"/>
        </w:rPr>
        <w:t>. 2012.gada 14.jūnijā noslēdzās 5 gadu finanšu saistību periods, līdz kuram Šveices kompetentās iestādes ir apstiprinājušas 6 individuālos projektus, 1 programmu,</w:t>
      </w:r>
      <w:r w:rsidR="000E4334">
        <w:rPr>
          <w:rFonts w:eastAsia="Times New Roman" w:cs="Times New Roman"/>
          <w:color w:val="000000"/>
          <w:szCs w:val="24"/>
        </w:rPr>
        <w:t xml:space="preserve"> 3 grantu shēmas, 1 TP, </w:t>
      </w:r>
      <w:r w:rsidR="000E4334">
        <w:rPr>
          <w:rFonts w:eastAsia="Times New Roman" w:cs="Times New Roman"/>
          <w:color w:val="000000"/>
          <w:szCs w:val="24"/>
        </w:rPr>
        <w:lastRenderedPageBreak/>
        <w:t>t.sk., P</w:t>
      </w:r>
      <w:r w:rsidRPr="00AA0D41">
        <w:rPr>
          <w:rFonts w:eastAsia="Times New Roman" w:cs="Times New Roman"/>
          <w:color w:val="000000"/>
          <w:szCs w:val="24"/>
        </w:rPr>
        <w:t>rojektu sagatavošanas fonda projektu</w:t>
      </w:r>
      <w:r w:rsidR="002D33CE">
        <w:rPr>
          <w:rFonts w:eastAsia="Times New Roman" w:cs="Times New Roman"/>
          <w:color w:val="000000"/>
          <w:szCs w:val="24"/>
        </w:rPr>
        <w:t>,</w:t>
      </w:r>
      <w:r w:rsidRPr="00AA0D41">
        <w:rPr>
          <w:rFonts w:eastAsia="Times New Roman" w:cs="Times New Roman"/>
          <w:color w:val="000000"/>
          <w:szCs w:val="24"/>
        </w:rPr>
        <w:t xml:space="preserve"> par visu Latvijai pieejamo finansējumu, t.i., 100% apmērā. Ir noslēgti visi 11 paredzētie projektu līgumi un 4 projekti ir jau pabeigti – „Pašvaldību aktivitāšu īstenošana, lai nodrošinātu skolnieku pārvadāšanu un ar to saistītos atbalsta pasākumus”, „Projektu sagatavošanas fonds”, „NVO fonds” un „Tiesu modernizācija Latvijā”.</w:t>
      </w:r>
    </w:p>
    <w:p w14:paraId="555D2E6F" w14:textId="7D9AFC45" w:rsidR="00AA0D41" w:rsidRPr="00AA0D41" w:rsidRDefault="00AA0D41" w:rsidP="00AA0D41">
      <w:pPr>
        <w:spacing w:before="120" w:after="120" w:line="276" w:lineRule="auto"/>
        <w:jc w:val="both"/>
        <w:rPr>
          <w:rFonts w:eastAsia="Times New Roman" w:cs="Times New Roman"/>
          <w:color w:val="000000"/>
          <w:szCs w:val="24"/>
        </w:rPr>
      </w:pPr>
      <w:r w:rsidRPr="00AA0D41">
        <w:rPr>
          <w:rFonts w:eastAsia="Times New Roman" w:cs="Times New Roman"/>
          <w:color w:val="000000"/>
          <w:szCs w:val="24"/>
        </w:rPr>
        <w:t>Līdz 2014.gada beigām atmaksas Šveices programmas finansējuma saņēmējiem ir veiktas 33,7 milj</w:t>
      </w:r>
      <w:r w:rsidRPr="00AA0D41">
        <w:rPr>
          <w:rFonts w:eastAsia="Times New Roman" w:cs="Times New Roman"/>
          <w:i/>
          <w:color w:val="000000"/>
          <w:szCs w:val="24"/>
        </w:rPr>
        <w:t>. euro</w:t>
      </w:r>
      <w:r w:rsidRPr="00AA0D41">
        <w:rPr>
          <w:rFonts w:eastAsia="Times New Roman" w:cs="Times New Roman"/>
          <w:color w:val="000000"/>
          <w:szCs w:val="24"/>
        </w:rPr>
        <w:t xml:space="preserve"> apmērā jeb 71,6 % no Šveices programmas kopējā finansējuma, progress ceturksnī pieaudzis par 2,5 milj. </w:t>
      </w:r>
      <w:r w:rsidRPr="00AA0D41">
        <w:rPr>
          <w:rFonts w:eastAsia="Times New Roman" w:cs="Times New Roman"/>
          <w:i/>
          <w:color w:val="000000"/>
          <w:szCs w:val="24"/>
        </w:rPr>
        <w:t>euro</w:t>
      </w:r>
      <w:r w:rsidRPr="00AA0D41">
        <w:rPr>
          <w:rFonts w:eastAsia="Times New Roman" w:cs="Times New Roman"/>
          <w:color w:val="000000"/>
          <w:szCs w:val="24"/>
        </w:rPr>
        <w:t xml:space="preserve"> jeb 5,3%, ļaujot Latvijai joprojām būt starp līderiem 12 saņēmējvalstu </w:t>
      </w:r>
      <w:r w:rsidR="00903BB7">
        <w:rPr>
          <w:rFonts w:eastAsia="Times New Roman" w:cs="Times New Roman"/>
          <w:color w:val="000000"/>
          <w:szCs w:val="24"/>
        </w:rPr>
        <w:t>vidū</w:t>
      </w:r>
      <w:r w:rsidRPr="00AA0D41">
        <w:rPr>
          <w:rFonts w:eastAsia="Times New Roman" w:cs="Times New Roman"/>
          <w:color w:val="000000"/>
          <w:szCs w:val="24"/>
        </w:rPr>
        <w:t xml:space="preserve"> (</w:t>
      </w:r>
      <w:r w:rsidRPr="00AA0D41">
        <w:rPr>
          <w:rFonts w:eastAsia="Times New Roman" w:cs="Times New Roman"/>
          <w:szCs w:val="24"/>
        </w:rPr>
        <w:t>1.vietā - Malta; 2.- Slovēnija; 3.- Latvija).</w:t>
      </w:r>
    </w:p>
    <w:p w14:paraId="72CB3229" w14:textId="01CEBB69" w:rsidR="00AA0D41" w:rsidRPr="00AA0D41" w:rsidRDefault="00AA0D41" w:rsidP="00AA0D41">
      <w:pPr>
        <w:spacing w:before="120" w:after="120" w:line="276" w:lineRule="auto"/>
        <w:jc w:val="both"/>
        <w:rPr>
          <w:rFonts w:eastAsia="Calibri" w:cs="Times New Roman"/>
          <w:iCs/>
          <w:szCs w:val="24"/>
        </w:rPr>
      </w:pPr>
      <w:r w:rsidRPr="00AA0D41">
        <w:rPr>
          <w:rFonts w:eastAsia="Times New Roman" w:cs="Times New Roman"/>
          <w:color w:val="000000"/>
          <w:szCs w:val="24"/>
        </w:rPr>
        <w:t>Pamatojoties uz finansējuma saņēmēju 2014.gada valsts budžetā plānota</w:t>
      </w:r>
      <w:r w:rsidR="00C71796">
        <w:rPr>
          <w:rFonts w:eastAsia="Times New Roman" w:cs="Times New Roman"/>
          <w:color w:val="000000"/>
          <w:szCs w:val="24"/>
        </w:rPr>
        <w:t>jiem maksājumiem līdz 2014.gada</w:t>
      </w:r>
      <w:r w:rsidRPr="00AA0D41">
        <w:rPr>
          <w:rFonts w:eastAsia="Times New Roman" w:cs="Times New Roman"/>
          <w:color w:val="000000"/>
          <w:szCs w:val="24"/>
        </w:rPr>
        <w:t xml:space="preserve"> beigām </w:t>
      </w:r>
      <w:r w:rsidR="00C57790">
        <w:rPr>
          <w:rFonts w:eastAsia="Times New Roman" w:cs="Times New Roman"/>
          <w:color w:val="000000"/>
          <w:szCs w:val="24"/>
        </w:rPr>
        <w:t>investēti</w:t>
      </w:r>
      <w:r w:rsidR="00C57790" w:rsidRPr="00AA0D41">
        <w:rPr>
          <w:rFonts w:eastAsia="Times New Roman" w:cs="Times New Roman"/>
          <w:color w:val="000000"/>
          <w:szCs w:val="24"/>
        </w:rPr>
        <w:t xml:space="preserve"> </w:t>
      </w:r>
      <w:r w:rsidRPr="00AA0D41">
        <w:rPr>
          <w:rFonts w:eastAsia="Times New Roman" w:cs="Times New Roman"/>
          <w:color w:val="000000"/>
          <w:szCs w:val="24"/>
        </w:rPr>
        <w:t xml:space="preserve">92,9% no plānotā jeb 5,6 milj. </w:t>
      </w:r>
      <w:r w:rsidRPr="00AA0D41">
        <w:rPr>
          <w:rFonts w:eastAsia="Times New Roman" w:cs="Times New Roman"/>
          <w:i/>
          <w:color w:val="000000"/>
          <w:szCs w:val="24"/>
        </w:rPr>
        <w:t>euro</w:t>
      </w:r>
      <w:r w:rsidRPr="00AA0D41">
        <w:rPr>
          <w:rFonts w:eastAsia="Times New Roman" w:cs="Times New Roman"/>
          <w:color w:val="000000"/>
          <w:szCs w:val="24"/>
        </w:rPr>
        <w:t>.</w:t>
      </w:r>
    </w:p>
    <w:p w14:paraId="785046ED" w14:textId="7BC84D98" w:rsidR="00AA0D41" w:rsidRPr="00AA0D41" w:rsidRDefault="00AA0D41" w:rsidP="00AA0D41">
      <w:pPr>
        <w:spacing w:before="120" w:after="120" w:line="276" w:lineRule="auto"/>
        <w:jc w:val="both"/>
        <w:rPr>
          <w:rFonts w:eastAsia="Times New Roman" w:cs="Times New Roman"/>
          <w:color w:val="000000"/>
          <w:szCs w:val="24"/>
        </w:rPr>
      </w:pPr>
      <w:r w:rsidRPr="00AA0D41">
        <w:rPr>
          <w:rFonts w:eastAsia="Times New Roman" w:cs="Times New Roman"/>
          <w:color w:val="000000"/>
          <w:szCs w:val="24"/>
        </w:rPr>
        <w:t>“</w:t>
      </w:r>
      <w:r w:rsidRPr="00AA0D41">
        <w:rPr>
          <w:rFonts w:eastAsia="Times New Roman" w:cs="Times New Roman"/>
          <w:i/>
          <w:color w:val="000000"/>
          <w:szCs w:val="24"/>
        </w:rPr>
        <w:t>Stipendiju fonda</w:t>
      </w:r>
      <w:r w:rsidRPr="00AA0D41">
        <w:rPr>
          <w:rFonts w:eastAsia="Times New Roman" w:cs="Times New Roman"/>
          <w:color w:val="000000"/>
          <w:szCs w:val="24"/>
        </w:rPr>
        <w:t xml:space="preserve">” 6 konkursos doktorantiem un jaunajiem zinātniekiem no 65 saņemtajiem </w:t>
      </w:r>
      <w:r w:rsidR="000E4334" w:rsidRPr="00AA0D41">
        <w:rPr>
          <w:rFonts w:eastAsia="Times New Roman" w:cs="Times New Roman"/>
          <w:color w:val="000000"/>
          <w:szCs w:val="24"/>
        </w:rPr>
        <w:t>iesniegumi</w:t>
      </w:r>
      <w:r w:rsidR="00304DBB">
        <w:rPr>
          <w:rFonts w:eastAsia="Times New Roman" w:cs="Times New Roman"/>
          <w:color w:val="000000"/>
          <w:szCs w:val="24"/>
        </w:rPr>
        <w:t>em</w:t>
      </w:r>
      <w:r w:rsidR="000E4334" w:rsidRPr="00AA0D41">
        <w:rPr>
          <w:rFonts w:eastAsia="Times New Roman" w:cs="Times New Roman"/>
          <w:color w:val="000000"/>
          <w:szCs w:val="24"/>
        </w:rPr>
        <w:t xml:space="preserve"> </w:t>
      </w:r>
      <w:r w:rsidR="000E4334">
        <w:rPr>
          <w:rFonts w:eastAsia="Times New Roman" w:cs="Times New Roman"/>
          <w:color w:val="000000"/>
          <w:szCs w:val="24"/>
        </w:rPr>
        <w:t xml:space="preserve">ir </w:t>
      </w:r>
      <w:r w:rsidR="00304DBB" w:rsidRPr="00AA0D41">
        <w:rPr>
          <w:rFonts w:eastAsia="Times New Roman" w:cs="Times New Roman"/>
          <w:color w:val="000000"/>
          <w:szCs w:val="24"/>
        </w:rPr>
        <w:t xml:space="preserve">apstiprināti </w:t>
      </w:r>
      <w:r w:rsidRPr="00AA0D41">
        <w:rPr>
          <w:rFonts w:eastAsia="Times New Roman" w:cs="Times New Roman"/>
          <w:color w:val="000000"/>
          <w:szCs w:val="24"/>
        </w:rPr>
        <w:t xml:space="preserve">26, </w:t>
      </w:r>
      <w:r w:rsidR="00C57790">
        <w:rPr>
          <w:rFonts w:eastAsia="Times New Roman" w:cs="Times New Roman"/>
          <w:color w:val="000000"/>
          <w:szCs w:val="24"/>
        </w:rPr>
        <w:t>izmantoj</w:t>
      </w:r>
      <w:r w:rsidRPr="00C57790">
        <w:rPr>
          <w:rFonts w:eastAsia="Times New Roman" w:cs="Times New Roman"/>
          <w:color w:val="000000"/>
          <w:szCs w:val="24"/>
        </w:rPr>
        <w:t>ot</w:t>
      </w:r>
      <w:r w:rsidRPr="00AA0D41">
        <w:rPr>
          <w:rFonts w:eastAsia="Times New Roman" w:cs="Times New Roman"/>
          <w:color w:val="000000"/>
          <w:szCs w:val="24"/>
        </w:rPr>
        <w:t xml:space="preserve"> 9</w:t>
      </w:r>
      <w:r w:rsidR="00283E21">
        <w:rPr>
          <w:rFonts w:eastAsia="Times New Roman" w:cs="Times New Roman"/>
          <w:color w:val="000000"/>
          <w:szCs w:val="24"/>
        </w:rPr>
        <w:t>7</w:t>
      </w:r>
      <w:r w:rsidRPr="00AA0D41">
        <w:rPr>
          <w:rFonts w:eastAsia="Times New Roman" w:cs="Times New Roman"/>
          <w:color w:val="000000"/>
          <w:szCs w:val="24"/>
        </w:rPr>
        <w:t xml:space="preserve">% </w:t>
      </w:r>
      <w:r w:rsidR="00D925ED">
        <w:rPr>
          <w:rFonts w:eastAsia="Times New Roman" w:cs="Times New Roman"/>
          <w:color w:val="000000"/>
          <w:szCs w:val="24"/>
        </w:rPr>
        <w:t xml:space="preserve">no </w:t>
      </w:r>
      <w:r w:rsidR="000E4334">
        <w:rPr>
          <w:rFonts w:eastAsia="Times New Roman" w:cs="Times New Roman"/>
          <w:color w:val="000000"/>
          <w:szCs w:val="24"/>
        </w:rPr>
        <w:t>atklātajiem konkursiem paredzētā</w:t>
      </w:r>
      <w:r w:rsidRPr="00AA0D41">
        <w:rPr>
          <w:rFonts w:eastAsia="Times New Roman" w:cs="Times New Roman"/>
          <w:color w:val="000000"/>
          <w:szCs w:val="24"/>
        </w:rPr>
        <w:t xml:space="preserve"> finansējum</w:t>
      </w:r>
      <w:r w:rsidR="000E4334">
        <w:rPr>
          <w:rFonts w:eastAsia="Times New Roman" w:cs="Times New Roman"/>
          <w:color w:val="000000"/>
          <w:szCs w:val="24"/>
        </w:rPr>
        <w:t>a</w:t>
      </w:r>
      <w:r w:rsidRPr="00AA0D41">
        <w:rPr>
          <w:rFonts w:eastAsia="Times New Roman" w:cs="Times New Roman"/>
          <w:color w:val="000000"/>
          <w:szCs w:val="24"/>
        </w:rPr>
        <w:t>. Fonda noslēgums plānots 2016.gada martā.</w:t>
      </w:r>
    </w:p>
    <w:p w14:paraId="3ABDF200" w14:textId="0B13C9E8" w:rsidR="00AA0D41" w:rsidRPr="00AA0D41" w:rsidRDefault="00AA0D41" w:rsidP="00AA0D41">
      <w:pPr>
        <w:spacing w:before="120" w:after="120" w:line="276" w:lineRule="auto"/>
        <w:jc w:val="both"/>
        <w:rPr>
          <w:rFonts w:eastAsia="Times New Roman" w:cs="Times New Roman"/>
          <w:color w:val="000000"/>
          <w:szCs w:val="24"/>
        </w:rPr>
      </w:pPr>
      <w:r w:rsidRPr="00AA0D41">
        <w:rPr>
          <w:rFonts w:eastAsia="Times New Roman" w:cs="Times New Roman"/>
          <w:color w:val="000000"/>
          <w:szCs w:val="24"/>
        </w:rPr>
        <w:t>„</w:t>
      </w:r>
      <w:r w:rsidRPr="00AA0D41">
        <w:rPr>
          <w:rFonts w:eastAsia="Times New Roman" w:cs="Times New Roman"/>
          <w:i/>
          <w:color w:val="000000"/>
          <w:szCs w:val="24"/>
        </w:rPr>
        <w:t>Šveices pētnieku aktivitātes Latvijā</w:t>
      </w:r>
      <w:r w:rsidRPr="00AA0D41">
        <w:rPr>
          <w:rFonts w:eastAsia="Times New Roman" w:cs="Times New Roman"/>
          <w:color w:val="000000"/>
          <w:szCs w:val="24"/>
        </w:rPr>
        <w:t xml:space="preserve">” paredz vismaz 45 stipendiju piešķiršanu Šveices pētniekiem lekciju lasīšanai un pieredzes apmaiņai Latvijas augstskolās un zinātniskajās institūcijās. Pirmajos 3 konkursos no 44 saņemtajiem </w:t>
      </w:r>
      <w:r w:rsidR="000E4334" w:rsidRPr="00AA0D41">
        <w:rPr>
          <w:rFonts w:eastAsia="Times New Roman" w:cs="Times New Roman"/>
          <w:color w:val="000000"/>
          <w:szCs w:val="24"/>
        </w:rPr>
        <w:t>iesniegum</w:t>
      </w:r>
      <w:r w:rsidR="000E4334">
        <w:rPr>
          <w:rFonts w:eastAsia="Times New Roman" w:cs="Times New Roman"/>
          <w:color w:val="000000"/>
          <w:szCs w:val="24"/>
        </w:rPr>
        <w:t>iem</w:t>
      </w:r>
      <w:r w:rsidR="000E4334" w:rsidRPr="00AA0D41">
        <w:rPr>
          <w:rFonts w:eastAsia="Times New Roman" w:cs="Times New Roman"/>
          <w:color w:val="000000"/>
          <w:szCs w:val="24"/>
        </w:rPr>
        <w:t xml:space="preserve"> </w:t>
      </w:r>
      <w:r w:rsidRPr="00AA0D41">
        <w:rPr>
          <w:rFonts w:eastAsia="Times New Roman" w:cs="Times New Roman"/>
          <w:color w:val="000000"/>
          <w:szCs w:val="24"/>
        </w:rPr>
        <w:t xml:space="preserve">apstiprināts </w:t>
      </w:r>
      <w:r w:rsidR="000529FF">
        <w:rPr>
          <w:rFonts w:eastAsia="Times New Roman" w:cs="Times New Roman"/>
          <w:color w:val="000000"/>
          <w:szCs w:val="24"/>
        </w:rPr>
        <w:t>-</w:t>
      </w:r>
      <w:r w:rsidR="000E4334" w:rsidRPr="00AA0D41">
        <w:rPr>
          <w:rFonts w:eastAsia="Times New Roman" w:cs="Times New Roman"/>
          <w:color w:val="000000"/>
          <w:szCs w:val="24"/>
        </w:rPr>
        <w:t xml:space="preserve"> </w:t>
      </w:r>
      <w:r w:rsidRPr="00AA0D41">
        <w:rPr>
          <w:rFonts w:eastAsia="Times New Roman" w:cs="Times New Roman"/>
          <w:color w:val="000000"/>
          <w:szCs w:val="24"/>
        </w:rPr>
        <w:t>41. 4.konkursā</w:t>
      </w:r>
      <w:r w:rsidR="000E4334">
        <w:rPr>
          <w:rFonts w:eastAsia="Times New Roman" w:cs="Times New Roman"/>
          <w:color w:val="000000"/>
          <w:szCs w:val="24"/>
        </w:rPr>
        <w:t>, kas noslēdzās</w:t>
      </w:r>
      <w:r w:rsidRPr="00AA0D41">
        <w:rPr>
          <w:rFonts w:eastAsia="Times New Roman" w:cs="Times New Roman"/>
          <w:color w:val="000000"/>
          <w:szCs w:val="24"/>
        </w:rPr>
        <w:t xml:space="preserve"> 2014.gada beigā</w:t>
      </w:r>
      <w:r w:rsidR="000E4334">
        <w:rPr>
          <w:rFonts w:eastAsia="Times New Roman" w:cs="Times New Roman"/>
          <w:color w:val="000000"/>
          <w:szCs w:val="24"/>
        </w:rPr>
        <w:t>s,</w:t>
      </w:r>
      <w:r w:rsidRPr="00AA0D41">
        <w:rPr>
          <w:rFonts w:eastAsia="Times New Roman" w:cs="Times New Roman"/>
          <w:color w:val="000000"/>
          <w:szCs w:val="24"/>
        </w:rPr>
        <w:t xml:space="preserve"> no </w:t>
      </w:r>
      <w:r w:rsidR="00283E21">
        <w:rPr>
          <w:rFonts w:eastAsia="Times New Roman" w:cs="Times New Roman"/>
          <w:color w:val="000000"/>
          <w:szCs w:val="24"/>
        </w:rPr>
        <w:t>50</w:t>
      </w:r>
      <w:r w:rsidRPr="00AA0D41">
        <w:rPr>
          <w:rFonts w:eastAsia="Times New Roman" w:cs="Times New Roman"/>
          <w:color w:val="000000"/>
          <w:szCs w:val="24"/>
        </w:rPr>
        <w:t xml:space="preserve"> saņemtajiem ir apstiprināti </w:t>
      </w:r>
      <w:r w:rsidR="00283E21">
        <w:rPr>
          <w:rFonts w:eastAsia="Times New Roman" w:cs="Times New Roman"/>
          <w:color w:val="000000"/>
          <w:szCs w:val="24"/>
        </w:rPr>
        <w:t>4</w:t>
      </w:r>
      <w:r w:rsidR="002308E2">
        <w:rPr>
          <w:rFonts w:eastAsia="Times New Roman" w:cs="Times New Roman"/>
          <w:color w:val="000000"/>
          <w:szCs w:val="24"/>
        </w:rPr>
        <w:t>8</w:t>
      </w:r>
      <w:r w:rsidR="00283E21">
        <w:rPr>
          <w:rFonts w:eastAsia="Times New Roman" w:cs="Times New Roman"/>
          <w:color w:val="000000"/>
          <w:szCs w:val="24"/>
        </w:rPr>
        <w:t xml:space="preserve"> </w:t>
      </w:r>
      <w:r w:rsidRPr="00AA0D41">
        <w:rPr>
          <w:rFonts w:eastAsia="Times New Roman" w:cs="Times New Roman"/>
          <w:color w:val="000000"/>
          <w:szCs w:val="24"/>
        </w:rPr>
        <w:t xml:space="preserve">iesniegumi, bet 2 ieviesēji atteicās slēgt līgumus. 2015.gada janvārī </w:t>
      </w:r>
      <w:r w:rsidR="000E4334">
        <w:rPr>
          <w:rFonts w:eastAsia="Times New Roman" w:cs="Times New Roman"/>
          <w:color w:val="000000"/>
          <w:szCs w:val="24"/>
        </w:rPr>
        <w:t>ir</w:t>
      </w:r>
      <w:r w:rsidRPr="00AA0D41">
        <w:rPr>
          <w:rFonts w:eastAsia="Times New Roman" w:cs="Times New Roman"/>
          <w:color w:val="000000"/>
          <w:szCs w:val="24"/>
        </w:rPr>
        <w:t xml:space="preserve"> izsludināta papildus konkursa kārta, </w:t>
      </w:r>
      <w:r w:rsidR="000E4334">
        <w:rPr>
          <w:rFonts w:eastAsia="Times New Roman" w:cs="Times New Roman"/>
          <w:color w:val="000000"/>
          <w:szCs w:val="24"/>
        </w:rPr>
        <w:t xml:space="preserve">lai </w:t>
      </w:r>
      <w:r w:rsidR="000E4334" w:rsidRPr="00AA0D41">
        <w:rPr>
          <w:rFonts w:eastAsia="Times New Roman" w:cs="Times New Roman"/>
          <w:color w:val="000000"/>
          <w:szCs w:val="24"/>
        </w:rPr>
        <w:t>pilnībā izlietot</w:t>
      </w:r>
      <w:r w:rsidR="000E4334">
        <w:rPr>
          <w:rFonts w:eastAsia="Times New Roman" w:cs="Times New Roman"/>
          <w:color w:val="000000"/>
          <w:szCs w:val="24"/>
        </w:rPr>
        <w:t>u</w:t>
      </w:r>
      <w:r w:rsidR="000E4334" w:rsidRPr="00AA0D41">
        <w:rPr>
          <w:rFonts w:eastAsia="Times New Roman" w:cs="Times New Roman"/>
          <w:color w:val="000000"/>
          <w:szCs w:val="24"/>
        </w:rPr>
        <w:t xml:space="preserve"> </w:t>
      </w:r>
      <w:r w:rsidRPr="00AA0D41">
        <w:rPr>
          <w:rFonts w:eastAsia="Times New Roman" w:cs="Times New Roman"/>
          <w:color w:val="000000"/>
          <w:szCs w:val="24"/>
        </w:rPr>
        <w:t>pieejam</w:t>
      </w:r>
      <w:r w:rsidR="000E4334">
        <w:rPr>
          <w:rFonts w:eastAsia="Times New Roman" w:cs="Times New Roman"/>
          <w:color w:val="000000"/>
          <w:szCs w:val="24"/>
        </w:rPr>
        <w:t>o</w:t>
      </w:r>
      <w:r w:rsidRPr="00AA0D41">
        <w:rPr>
          <w:rFonts w:eastAsia="Times New Roman" w:cs="Times New Roman"/>
          <w:color w:val="000000"/>
          <w:szCs w:val="24"/>
        </w:rPr>
        <w:t xml:space="preserve"> finansējum</w:t>
      </w:r>
      <w:r w:rsidR="000E4334">
        <w:rPr>
          <w:rFonts w:eastAsia="Times New Roman" w:cs="Times New Roman"/>
          <w:color w:val="000000"/>
          <w:szCs w:val="24"/>
        </w:rPr>
        <w:t xml:space="preserve">u. Tā ilgs līdz </w:t>
      </w:r>
      <w:r w:rsidR="000E4334" w:rsidRPr="00AA0D41">
        <w:rPr>
          <w:rFonts w:eastAsia="Times New Roman" w:cs="Times New Roman"/>
          <w:color w:val="000000"/>
          <w:szCs w:val="24"/>
        </w:rPr>
        <w:t xml:space="preserve">2015.gada </w:t>
      </w:r>
      <w:r w:rsidRPr="00AA0D41">
        <w:rPr>
          <w:rFonts w:eastAsia="Times New Roman" w:cs="Times New Roman"/>
          <w:color w:val="000000"/>
          <w:szCs w:val="24"/>
        </w:rPr>
        <w:t>februār</w:t>
      </w:r>
      <w:r w:rsidR="000E4334">
        <w:rPr>
          <w:rFonts w:eastAsia="Times New Roman" w:cs="Times New Roman"/>
          <w:color w:val="000000"/>
          <w:szCs w:val="24"/>
        </w:rPr>
        <w:t>a</w:t>
      </w:r>
      <w:r w:rsidR="000E4334" w:rsidRPr="000E4334">
        <w:rPr>
          <w:rFonts w:eastAsia="Times New Roman" w:cs="Times New Roman"/>
          <w:color w:val="000000"/>
          <w:szCs w:val="24"/>
        </w:rPr>
        <w:t xml:space="preserve"> </w:t>
      </w:r>
      <w:r w:rsidR="000E4334">
        <w:rPr>
          <w:rFonts w:eastAsia="Times New Roman" w:cs="Times New Roman"/>
          <w:color w:val="000000"/>
          <w:szCs w:val="24"/>
        </w:rPr>
        <w:t>beigām</w:t>
      </w:r>
      <w:r w:rsidRPr="00AA0D41">
        <w:rPr>
          <w:rFonts w:eastAsia="Times New Roman" w:cs="Times New Roman"/>
          <w:color w:val="000000"/>
          <w:szCs w:val="24"/>
        </w:rPr>
        <w:t>.</w:t>
      </w:r>
    </w:p>
    <w:p w14:paraId="23F9C63D" w14:textId="25F14A12" w:rsidR="00AA0D41" w:rsidRPr="00AA0D41" w:rsidRDefault="001C4062" w:rsidP="00AA0D41">
      <w:pPr>
        <w:spacing w:before="120" w:after="120" w:line="276" w:lineRule="auto"/>
        <w:jc w:val="both"/>
        <w:rPr>
          <w:rFonts w:eastAsia="Times New Roman" w:cs="Times New Roman"/>
          <w:color w:val="000000"/>
          <w:szCs w:val="24"/>
        </w:rPr>
      </w:pPr>
      <w:r>
        <w:rPr>
          <w:rFonts w:eastAsia="Times New Roman" w:cs="Times New Roman"/>
          <w:color w:val="000000"/>
          <w:szCs w:val="24"/>
        </w:rPr>
        <w:t>S</w:t>
      </w:r>
      <w:r w:rsidRPr="00AA0D41">
        <w:rPr>
          <w:rFonts w:eastAsia="Times New Roman" w:cs="Times New Roman"/>
          <w:color w:val="000000"/>
          <w:szCs w:val="24"/>
        </w:rPr>
        <w:t xml:space="preserve">askaņā ar programmas </w:t>
      </w:r>
      <w:r w:rsidR="00AA0D41" w:rsidRPr="00AA0D41">
        <w:rPr>
          <w:rFonts w:eastAsia="Times New Roman" w:cs="Times New Roman"/>
          <w:color w:val="000000"/>
          <w:szCs w:val="24"/>
        </w:rPr>
        <w:t>„</w:t>
      </w:r>
      <w:r w:rsidR="00AA0D41" w:rsidRPr="00AA0D41">
        <w:rPr>
          <w:rFonts w:eastAsia="Times New Roman" w:cs="Times New Roman"/>
          <w:i/>
          <w:color w:val="000000"/>
          <w:szCs w:val="24"/>
        </w:rPr>
        <w:t>Atbalsts jaunatnes iniciatīvu attīstībai attālos vai mazattīstītos reģionos</w:t>
      </w:r>
      <w:r w:rsidR="00AA0D41" w:rsidRPr="00AA0D41">
        <w:rPr>
          <w:rFonts w:eastAsia="Times New Roman" w:cs="Times New Roman"/>
          <w:color w:val="000000"/>
          <w:szCs w:val="24"/>
        </w:rPr>
        <w:t>” līgumā noteikto ir paveikta 17 multifunkcionālu jauniešu iniciatīvu centru izveide 17 dažādās Latvijas pašvaldībās un turpinās semināru, konferenču un forumu organizēšana visā Latvijā jauniešiem un personām, kas iesaistītas darbā ar jauniešiem, par jauniešiem aktuālām tēmām. Ņemot vērā programmā radušos ievērojamos ietaupījumus, līdz 2015.gada beigām ir plānots izveidot vēl 5</w:t>
      </w:r>
      <w:r w:rsidR="00170549">
        <w:rPr>
          <w:rFonts w:eastAsia="Times New Roman" w:cs="Times New Roman"/>
          <w:color w:val="000000"/>
          <w:szCs w:val="24"/>
        </w:rPr>
        <w:t>-6</w:t>
      </w:r>
      <w:r w:rsidR="00AA0D41" w:rsidRPr="00AA0D41">
        <w:rPr>
          <w:rFonts w:eastAsia="Times New Roman" w:cs="Times New Roman"/>
          <w:color w:val="000000"/>
          <w:szCs w:val="24"/>
        </w:rPr>
        <w:t xml:space="preserve"> papildus centrus, tādejādi pārsniedzot projektā plānotos rezultātus. Līdz 2014.gada beigām pēc plāna ir notikuši 105 no kopumā 160 plānotajiem semināriem jauniešiem un personām, kas iesaistītas darbā ar jauniešiem.</w:t>
      </w:r>
    </w:p>
    <w:p w14:paraId="4036DCA4" w14:textId="4F00E6FC" w:rsidR="00AA0D41" w:rsidRPr="00AA0D41" w:rsidRDefault="00AA0D41" w:rsidP="00AA0D41">
      <w:pPr>
        <w:spacing w:before="120" w:after="120" w:line="276" w:lineRule="auto"/>
        <w:jc w:val="both"/>
        <w:rPr>
          <w:rFonts w:eastAsia="Times New Roman" w:cs="Times New Roman"/>
          <w:color w:val="000000"/>
          <w:szCs w:val="24"/>
        </w:rPr>
      </w:pPr>
      <w:r w:rsidRPr="00AA0D41">
        <w:rPr>
          <w:rFonts w:eastAsia="Times New Roman" w:cs="Times New Roman"/>
          <w:color w:val="000000"/>
          <w:szCs w:val="24"/>
        </w:rPr>
        <w:t>„</w:t>
      </w:r>
      <w:r w:rsidRPr="00AA0D41">
        <w:rPr>
          <w:rFonts w:eastAsia="Times New Roman" w:cs="Times New Roman"/>
          <w:i/>
          <w:color w:val="000000"/>
          <w:szCs w:val="24"/>
        </w:rPr>
        <w:t>Mikrokreditēšanas programmā</w:t>
      </w:r>
      <w:r w:rsidRPr="00AA0D41">
        <w:rPr>
          <w:rFonts w:eastAsia="Times New Roman" w:cs="Times New Roman"/>
          <w:color w:val="000000"/>
          <w:szCs w:val="24"/>
        </w:rPr>
        <w:t xml:space="preserve">” 4 gadu laikā sākotnēji bija plānots piešķirt 700 mikro aizdevumus 7,2 milj. </w:t>
      </w:r>
      <w:r w:rsidRPr="00AA0D41">
        <w:rPr>
          <w:rFonts w:eastAsia="Times New Roman" w:cs="Times New Roman"/>
          <w:i/>
          <w:color w:val="000000"/>
          <w:szCs w:val="24"/>
        </w:rPr>
        <w:t>euro</w:t>
      </w:r>
      <w:r w:rsidRPr="00AA0D41">
        <w:rPr>
          <w:rFonts w:eastAsia="Times New Roman" w:cs="Times New Roman"/>
          <w:color w:val="000000"/>
          <w:szCs w:val="24"/>
        </w:rPr>
        <w:t xml:space="preserve"> apmērā. </w:t>
      </w:r>
      <w:r w:rsidR="00835AE7">
        <w:rPr>
          <w:rFonts w:eastAsia="Times New Roman" w:cs="Times New Roman"/>
          <w:color w:val="000000"/>
          <w:szCs w:val="24"/>
        </w:rPr>
        <w:t>A</w:t>
      </w:r>
      <w:r w:rsidRPr="00AA0D41">
        <w:rPr>
          <w:rFonts w:eastAsia="Times New Roman" w:cs="Times New Roman"/>
          <w:color w:val="000000"/>
          <w:szCs w:val="24"/>
        </w:rPr>
        <w:t>izdevumu fonda apguves rādītāji bija labāki nekā sākotnēji plānots – 2 gadu laikā piešķirti 800 mikro aizdevumi par visu programmā pieejamo aizdevumu fonda budžetu. Līdz 20</w:t>
      </w:r>
      <w:r w:rsidR="002B2047">
        <w:rPr>
          <w:rFonts w:eastAsia="Times New Roman" w:cs="Times New Roman"/>
          <w:color w:val="000000"/>
          <w:szCs w:val="24"/>
        </w:rPr>
        <w:t>20</w:t>
      </w:r>
      <w:r w:rsidRPr="00AA0D41">
        <w:rPr>
          <w:rFonts w:eastAsia="Times New Roman" w:cs="Times New Roman"/>
          <w:color w:val="000000"/>
          <w:szCs w:val="24"/>
        </w:rPr>
        <w:t>.gada vidum  ALTUM turpin</w:t>
      </w:r>
      <w:r w:rsidR="002B2047">
        <w:rPr>
          <w:rFonts w:eastAsia="Times New Roman" w:cs="Times New Roman"/>
          <w:color w:val="000000"/>
          <w:szCs w:val="24"/>
        </w:rPr>
        <w:t>ās</w:t>
      </w:r>
      <w:r w:rsidRPr="00AA0D41">
        <w:rPr>
          <w:rFonts w:eastAsia="Times New Roman" w:cs="Times New Roman"/>
          <w:color w:val="000000"/>
          <w:szCs w:val="24"/>
        </w:rPr>
        <w:t xml:space="preserve"> mikrokreditēšanu t</w:t>
      </w:r>
      <w:r w:rsidR="002B2047">
        <w:rPr>
          <w:rFonts w:eastAsia="Times New Roman" w:cs="Times New Roman"/>
          <w:color w:val="000000"/>
          <w:szCs w:val="24"/>
        </w:rPr>
        <w:t>ikai jau no saņemtajām atmaksām</w:t>
      </w:r>
      <w:r w:rsidR="00C71796">
        <w:rPr>
          <w:rFonts w:eastAsia="Times New Roman" w:cs="Times New Roman"/>
          <w:color w:val="000000"/>
          <w:szCs w:val="24"/>
        </w:rPr>
        <w:t xml:space="preserve">. Līdz </w:t>
      </w:r>
      <w:r w:rsidRPr="00AA0D41">
        <w:rPr>
          <w:rFonts w:eastAsia="Times New Roman" w:cs="Times New Roman"/>
          <w:color w:val="000000"/>
          <w:szCs w:val="24"/>
        </w:rPr>
        <w:t xml:space="preserve">2014.gada beigām no saņemtajām atmaksām piešķirti </w:t>
      </w:r>
      <w:r w:rsidR="00835AE7">
        <w:rPr>
          <w:rFonts w:eastAsia="Times New Roman" w:cs="Times New Roman"/>
          <w:color w:val="000000"/>
          <w:szCs w:val="24"/>
        </w:rPr>
        <w:t xml:space="preserve">vēl </w:t>
      </w:r>
      <w:r w:rsidRPr="00AA0D41">
        <w:rPr>
          <w:rFonts w:eastAsia="Times New Roman" w:cs="Times New Roman"/>
          <w:color w:val="000000"/>
          <w:szCs w:val="24"/>
        </w:rPr>
        <w:t>270 mikro aizdevumi, tādējādi kopumā programmā piešķirti 1070 mikro aizdevumi.</w:t>
      </w:r>
    </w:p>
    <w:p w14:paraId="13BB4830" w14:textId="4B7D6BDC" w:rsidR="00AA0D41" w:rsidRPr="00AA0D41" w:rsidRDefault="00AA0D41" w:rsidP="00AA0D41">
      <w:pPr>
        <w:spacing w:before="120" w:after="120" w:line="276" w:lineRule="auto"/>
        <w:jc w:val="both"/>
        <w:rPr>
          <w:rFonts w:eastAsia="Times New Roman" w:cs="Times New Roman"/>
          <w:color w:val="000000"/>
          <w:szCs w:val="24"/>
        </w:rPr>
      </w:pPr>
      <w:r w:rsidRPr="00AA0D41">
        <w:rPr>
          <w:rFonts w:eastAsia="Times New Roman" w:cs="Times New Roman"/>
          <w:color w:val="000000"/>
          <w:szCs w:val="24"/>
        </w:rPr>
        <w:t>„</w:t>
      </w:r>
      <w:r w:rsidRPr="00AA0D41">
        <w:rPr>
          <w:rFonts w:eastAsia="Times New Roman" w:cs="Times New Roman"/>
          <w:i/>
          <w:color w:val="000000"/>
          <w:szCs w:val="24"/>
        </w:rPr>
        <w:t>Atbalsts ugunsdrošības pasākumiem pašvaldību vispārējās izglītības iestādēs</w:t>
      </w:r>
      <w:r w:rsidRPr="00AA0D41">
        <w:rPr>
          <w:rFonts w:eastAsia="Times New Roman" w:cs="Times New Roman"/>
          <w:color w:val="000000"/>
          <w:szCs w:val="24"/>
        </w:rPr>
        <w:t xml:space="preserve">” mērķis ir ugunsdrošības pasākumu īstenošana pašvaldību vispārējās izglītības iestādēs, lai radītu bērniem un jauniešiem drošu vidi. Ir pabeigti visi ugunsdrošības sistēmu uzstādīšanas darbi – 115 izglītības iestādes aprīkotas ar ugunsdrošības sistēmām (kopumā 122 ēkas). </w:t>
      </w:r>
      <w:r w:rsidR="00C14D89">
        <w:rPr>
          <w:rFonts w:eastAsia="Times New Roman" w:cs="Times New Roman"/>
          <w:color w:val="000000"/>
          <w:szCs w:val="24"/>
        </w:rPr>
        <w:t>Pārskata periodā turpinājās</w:t>
      </w:r>
      <w:r w:rsidRPr="00AA0D41">
        <w:rPr>
          <w:rFonts w:eastAsia="Times New Roman" w:cs="Times New Roman"/>
          <w:color w:val="000000"/>
          <w:szCs w:val="24"/>
        </w:rPr>
        <w:t xml:space="preserve"> aktivitāt</w:t>
      </w:r>
      <w:r w:rsidR="00C14D89">
        <w:rPr>
          <w:rFonts w:eastAsia="Times New Roman" w:cs="Times New Roman"/>
          <w:color w:val="000000"/>
          <w:szCs w:val="24"/>
        </w:rPr>
        <w:t>es</w:t>
      </w:r>
      <w:r w:rsidRPr="00AA0D41">
        <w:rPr>
          <w:rFonts w:eastAsia="Times New Roman" w:cs="Times New Roman"/>
          <w:color w:val="000000"/>
          <w:szCs w:val="24"/>
        </w:rPr>
        <w:t xml:space="preserve"> “</w:t>
      </w:r>
      <w:r w:rsidRPr="00C14D89">
        <w:rPr>
          <w:rFonts w:eastAsia="Times New Roman" w:cs="Times New Roman"/>
          <w:i/>
          <w:color w:val="000000"/>
          <w:szCs w:val="24"/>
        </w:rPr>
        <w:t xml:space="preserve">Sociāli izglītojoša satura web spēle par ugunsdrošību un </w:t>
      </w:r>
      <w:r w:rsidRPr="00C14D89">
        <w:rPr>
          <w:rFonts w:eastAsia="Times New Roman" w:cs="Times New Roman"/>
          <w:i/>
          <w:color w:val="000000"/>
          <w:szCs w:val="24"/>
        </w:rPr>
        <w:lastRenderedPageBreak/>
        <w:t>civilo aizsardzību</w:t>
      </w:r>
      <w:r w:rsidRPr="00AA0D41">
        <w:rPr>
          <w:rFonts w:eastAsia="Times New Roman" w:cs="Times New Roman"/>
          <w:color w:val="000000"/>
          <w:szCs w:val="24"/>
        </w:rPr>
        <w:t>”</w:t>
      </w:r>
      <w:r w:rsidR="00C14D89">
        <w:rPr>
          <w:rFonts w:eastAsia="Times New Roman" w:cs="Times New Roman"/>
          <w:color w:val="000000"/>
          <w:szCs w:val="24"/>
        </w:rPr>
        <w:t xml:space="preserve"> īstenošana.</w:t>
      </w:r>
      <w:r w:rsidRPr="00AA0D41">
        <w:rPr>
          <w:rFonts w:eastAsia="Times New Roman" w:cs="Times New Roman"/>
          <w:color w:val="000000"/>
          <w:szCs w:val="24"/>
        </w:rPr>
        <w:t xml:space="preserve"> Lai </w:t>
      </w:r>
      <w:r w:rsidR="00C14D89">
        <w:rPr>
          <w:rFonts w:eastAsia="Times New Roman" w:cs="Times New Roman"/>
          <w:color w:val="000000"/>
          <w:szCs w:val="24"/>
        </w:rPr>
        <w:t xml:space="preserve">veiktu kvalitatīvu </w:t>
      </w:r>
      <w:r w:rsidR="00C14D89" w:rsidRPr="00C14D89">
        <w:rPr>
          <w:rFonts w:eastAsia="Times New Roman" w:cs="Times New Roman"/>
          <w:i/>
          <w:color w:val="000000"/>
          <w:szCs w:val="24"/>
        </w:rPr>
        <w:t>web spēle</w:t>
      </w:r>
      <w:r w:rsidR="00C14D89">
        <w:rPr>
          <w:rFonts w:eastAsia="Times New Roman" w:cs="Times New Roman"/>
          <w:i/>
          <w:color w:val="000000"/>
          <w:szCs w:val="24"/>
        </w:rPr>
        <w:t xml:space="preserve">s </w:t>
      </w:r>
      <w:r w:rsidR="00C14D89" w:rsidRPr="00C14D89">
        <w:rPr>
          <w:rFonts w:eastAsia="Times New Roman" w:cs="Times New Roman"/>
          <w:color w:val="000000"/>
          <w:szCs w:val="24"/>
        </w:rPr>
        <w:t>testēšanu</w:t>
      </w:r>
      <w:r w:rsidR="00C14D89">
        <w:rPr>
          <w:rFonts w:eastAsia="Times New Roman" w:cs="Times New Roman"/>
          <w:color w:val="000000"/>
          <w:szCs w:val="24"/>
        </w:rPr>
        <w:t xml:space="preserve"> un</w:t>
      </w:r>
      <w:r w:rsidR="00C14D89" w:rsidRPr="00C14D89">
        <w:rPr>
          <w:rFonts w:eastAsia="Times New Roman" w:cs="Times New Roman"/>
          <w:color w:val="000000"/>
          <w:szCs w:val="24"/>
        </w:rPr>
        <w:t xml:space="preserve"> </w:t>
      </w:r>
      <w:r w:rsidRPr="00AA0D41">
        <w:rPr>
          <w:rFonts w:eastAsia="Times New Roman" w:cs="Times New Roman"/>
          <w:color w:val="000000"/>
          <w:szCs w:val="24"/>
        </w:rPr>
        <w:t>apgūtu projektā ietaupītos līdzekļus pilnā apmērā, projekt</w:t>
      </w:r>
      <w:r w:rsidR="00C14D89">
        <w:rPr>
          <w:rFonts w:eastAsia="Times New Roman" w:cs="Times New Roman"/>
          <w:color w:val="000000"/>
          <w:szCs w:val="24"/>
        </w:rPr>
        <w:t xml:space="preserve">u plānots </w:t>
      </w:r>
      <w:r w:rsidRPr="00AA0D41">
        <w:rPr>
          <w:rFonts w:eastAsia="Times New Roman" w:cs="Times New Roman"/>
          <w:color w:val="000000"/>
          <w:szCs w:val="24"/>
        </w:rPr>
        <w:t>pagarināt</w:t>
      </w:r>
      <w:r w:rsidR="00C14D89">
        <w:rPr>
          <w:rFonts w:eastAsia="Times New Roman" w:cs="Times New Roman"/>
          <w:color w:val="000000"/>
          <w:szCs w:val="24"/>
        </w:rPr>
        <w:t xml:space="preserve"> par 10</w:t>
      </w:r>
      <w:r w:rsidRPr="00AA0D41">
        <w:rPr>
          <w:rFonts w:eastAsia="Times New Roman" w:cs="Times New Roman"/>
          <w:color w:val="000000"/>
          <w:szCs w:val="24"/>
        </w:rPr>
        <w:t xml:space="preserve"> mēnešiem, t.i. līdz 2015.gada beigām.</w:t>
      </w:r>
    </w:p>
    <w:p w14:paraId="12CD0D4A" w14:textId="77777777" w:rsidR="00AA0D41" w:rsidRPr="00AA0D41" w:rsidRDefault="00AA0D41" w:rsidP="00AA0D41">
      <w:pPr>
        <w:spacing w:before="120" w:after="120" w:line="276" w:lineRule="auto"/>
        <w:jc w:val="both"/>
        <w:rPr>
          <w:rFonts w:eastAsia="Times New Roman" w:cs="Times New Roman"/>
          <w:b/>
          <w:color w:val="000000"/>
          <w:szCs w:val="24"/>
        </w:rPr>
      </w:pPr>
      <w:r w:rsidRPr="00AA0D41">
        <w:rPr>
          <w:rFonts w:eastAsia="Times New Roman" w:cs="Times New Roman"/>
          <w:b/>
          <w:color w:val="000000"/>
          <w:szCs w:val="24"/>
        </w:rPr>
        <w:t>Konstatētie riski projektā „</w:t>
      </w:r>
      <w:r w:rsidRPr="00AA0D41">
        <w:rPr>
          <w:rFonts w:eastAsia="Times New Roman" w:cs="Times New Roman"/>
          <w:b/>
          <w:i/>
          <w:color w:val="000000"/>
          <w:szCs w:val="24"/>
        </w:rPr>
        <w:t>Vēsturiski piesārņoto vietu sanācija – Sarkandaugavas teritorijā</w:t>
      </w:r>
      <w:r w:rsidRPr="00AA0D41">
        <w:rPr>
          <w:rFonts w:eastAsia="Times New Roman" w:cs="Times New Roman"/>
          <w:b/>
          <w:color w:val="000000"/>
          <w:szCs w:val="24"/>
        </w:rPr>
        <w:t>”:</w:t>
      </w:r>
    </w:p>
    <w:p w14:paraId="32364B0E" w14:textId="5339BDCB" w:rsidR="00CE74DE" w:rsidRDefault="00AA0D41" w:rsidP="00AA0D41">
      <w:pPr>
        <w:spacing w:before="120" w:after="120" w:line="276" w:lineRule="auto"/>
        <w:jc w:val="both"/>
        <w:rPr>
          <w:rFonts w:eastAsia="Times New Roman" w:cs="Times New Roman"/>
          <w:color w:val="000000"/>
          <w:szCs w:val="24"/>
        </w:rPr>
      </w:pPr>
      <w:r w:rsidRPr="00AA0D41">
        <w:rPr>
          <w:rFonts w:eastAsia="Times New Roman" w:cs="Times New Roman"/>
          <w:color w:val="000000"/>
          <w:szCs w:val="24"/>
        </w:rPr>
        <w:t xml:space="preserve">Projekta mērķis ir atjaunot un uzlabot piesārņoto vietu vides kvalitāti un novērst draudus cilvēku veselībai Sarkandaugavā. </w:t>
      </w:r>
      <w:r w:rsidR="00E4111E">
        <w:rPr>
          <w:rFonts w:eastAsia="Times New Roman" w:cs="Times New Roman"/>
          <w:color w:val="000000"/>
          <w:szCs w:val="24"/>
        </w:rPr>
        <w:t>Tas</w:t>
      </w:r>
      <w:r w:rsidRPr="00AA0D41">
        <w:rPr>
          <w:rFonts w:eastAsia="Times New Roman" w:cs="Times New Roman"/>
          <w:color w:val="000000"/>
          <w:szCs w:val="24"/>
        </w:rPr>
        <w:t xml:space="preserve"> paredz sanācijas darbu veikšanu 5 objektos Rīgas Brīvostas teritorijā kopumā aptuveni 8 ha lielā platībā. Sanācijas darbus</w:t>
      </w:r>
      <w:r w:rsidR="00E4111E">
        <w:rPr>
          <w:rFonts w:eastAsia="Times New Roman" w:cs="Times New Roman"/>
          <w:color w:val="000000"/>
          <w:szCs w:val="24"/>
        </w:rPr>
        <w:t xml:space="preserve"> 1.</w:t>
      </w:r>
      <w:r w:rsidR="00CE74DE">
        <w:rPr>
          <w:rFonts w:eastAsia="Times New Roman" w:cs="Times New Roman"/>
          <w:color w:val="000000"/>
          <w:szCs w:val="24"/>
        </w:rPr>
        <w:t>kārtā</w:t>
      </w:r>
      <w:r w:rsidRPr="00AA0D41">
        <w:rPr>
          <w:rFonts w:eastAsia="Times New Roman" w:cs="Times New Roman"/>
          <w:color w:val="000000"/>
          <w:szCs w:val="24"/>
        </w:rPr>
        <w:t xml:space="preserve"> (5,5 ha</w:t>
      </w:r>
      <w:r w:rsidR="00CE74DE" w:rsidRPr="00CE74DE">
        <w:rPr>
          <w:rFonts w:eastAsia="Times New Roman" w:cs="Times New Roman"/>
          <w:color w:val="000000"/>
          <w:szCs w:val="24"/>
        </w:rPr>
        <w:t xml:space="preserve"> </w:t>
      </w:r>
      <w:r w:rsidR="00CE74DE" w:rsidRPr="00AA0D41">
        <w:rPr>
          <w:rFonts w:eastAsia="Times New Roman" w:cs="Times New Roman"/>
          <w:color w:val="000000"/>
          <w:szCs w:val="24"/>
        </w:rPr>
        <w:t>teritorijā</w:t>
      </w:r>
      <w:r w:rsidRPr="00AA0D41">
        <w:rPr>
          <w:rFonts w:eastAsia="Times New Roman" w:cs="Times New Roman"/>
          <w:color w:val="000000"/>
          <w:szCs w:val="24"/>
        </w:rPr>
        <w:t>) VVD uzsāka 2013.gada martā. Uzstādītās tehnoloģijas darbojas un darbi norit sekmīgi.</w:t>
      </w:r>
    </w:p>
    <w:p w14:paraId="5752840D" w14:textId="4AA4955A" w:rsidR="00AA0D41" w:rsidRPr="00AA0D41" w:rsidRDefault="00AA0D41" w:rsidP="00AA0D41">
      <w:pPr>
        <w:spacing w:before="120" w:after="120" w:line="276" w:lineRule="auto"/>
        <w:jc w:val="both"/>
        <w:rPr>
          <w:rFonts w:eastAsia="Times New Roman" w:cs="Times New Roman"/>
          <w:color w:val="000000"/>
          <w:szCs w:val="24"/>
        </w:rPr>
      </w:pPr>
      <w:r w:rsidRPr="00AA0D41">
        <w:rPr>
          <w:rFonts w:eastAsia="Times New Roman" w:cs="Times New Roman"/>
          <w:color w:val="000000"/>
          <w:szCs w:val="24"/>
        </w:rPr>
        <w:t xml:space="preserve">Par attīrīšanas darbiem </w:t>
      </w:r>
      <w:r w:rsidR="00CE74DE">
        <w:rPr>
          <w:rFonts w:eastAsia="Times New Roman" w:cs="Times New Roman"/>
          <w:color w:val="000000"/>
          <w:szCs w:val="24"/>
        </w:rPr>
        <w:t>2.kārtā</w:t>
      </w:r>
      <w:r w:rsidRPr="00AA0D41">
        <w:rPr>
          <w:rFonts w:eastAsia="Times New Roman" w:cs="Times New Roman"/>
          <w:color w:val="000000"/>
          <w:szCs w:val="24"/>
        </w:rPr>
        <w:t xml:space="preserve"> (2,5 ha </w:t>
      </w:r>
      <w:r w:rsidR="00CE74DE" w:rsidRPr="00AA0D41">
        <w:rPr>
          <w:rFonts w:eastAsia="Times New Roman" w:cs="Times New Roman"/>
          <w:color w:val="000000"/>
          <w:szCs w:val="24"/>
        </w:rPr>
        <w:t>teritorijā</w:t>
      </w:r>
      <w:r w:rsidRPr="00AA0D41">
        <w:rPr>
          <w:rFonts w:eastAsia="Times New Roman" w:cs="Times New Roman"/>
          <w:color w:val="000000"/>
          <w:szCs w:val="24"/>
        </w:rPr>
        <w:t>) iepirkuma līgums tika noslēgts 2014.gada maijā, kas nodrošin</w:t>
      </w:r>
      <w:r w:rsidR="00CE74DE">
        <w:rPr>
          <w:rFonts w:eastAsia="Times New Roman" w:cs="Times New Roman"/>
          <w:color w:val="000000"/>
          <w:szCs w:val="24"/>
        </w:rPr>
        <w:t>āja</w:t>
      </w:r>
      <w:r w:rsidRPr="00AA0D41">
        <w:rPr>
          <w:rFonts w:eastAsia="Times New Roman" w:cs="Times New Roman"/>
          <w:color w:val="000000"/>
          <w:szCs w:val="24"/>
        </w:rPr>
        <w:t xml:space="preserve"> darbu uzsākšanu saskaņā ar projekta līgumu un saskaņoto laika grafiku. </w:t>
      </w:r>
      <w:r w:rsidR="00CE74DE">
        <w:rPr>
          <w:rFonts w:eastAsia="Times New Roman" w:cs="Times New Roman"/>
          <w:color w:val="000000"/>
          <w:szCs w:val="24"/>
        </w:rPr>
        <w:t>Līgums tika noslēgts</w:t>
      </w:r>
      <w:r w:rsidRPr="00AA0D41">
        <w:rPr>
          <w:rFonts w:eastAsia="Times New Roman" w:cs="Times New Roman"/>
          <w:color w:val="000000"/>
          <w:szCs w:val="24"/>
        </w:rPr>
        <w:t>, lai gan projekta partneris</w:t>
      </w:r>
      <w:r w:rsidR="00E4111E">
        <w:rPr>
          <w:rFonts w:eastAsia="Times New Roman" w:cs="Times New Roman"/>
          <w:color w:val="000000"/>
          <w:szCs w:val="24"/>
        </w:rPr>
        <w:t>,</w:t>
      </w:r>
      <w:r w:rsidRPr="00AA0D41">
        <w:rPr>
          <w:rFonts w:eastAsia="Times New Roman" w:cs="Times New Roman"/>
          <w:color w:val="000000"/>
          <w:szCs w:val="24"/>
        </w:rPr>
        <w:t xml:space="preserve"> Rīgas dome</w:t>
      </w:r>
      <w:r w:rsidR="00E4111E">
        <w:rPr>
          <w:rFonts w:eastAsia="Times New Roman" w:cs="Times New Roman"/>
          <w:color w:val="000000"/>
          <w:szCs w:val="24"/>
        </w:rPr>
        <w:t>,</w:t>
      </w:r>
      <w:r w:rsidRPr="00AA0D41">
        <w:rPr>
          <w:rFonts w:eastAsia="Times New Roman" w:cs="Times New Roman"/>
          <w:color w:val="000000"/>
          <w:szCs w:val="24"/>
        </w:rPr>
        <w:t xml:space="preserve"> līgumslēgšanas brīdī nebija apstiprināj</w:t>
      </w:r>
      <w:r w:rsidR="00E4111E">
        <w:rPr>
          <w:rFonts w:eastAsia="Times New Roman" w:cs="Times New Roman"/>
          <w:color w:val="000000"/>
          <w:szCs w:val="24"/>
        </w:rPr>
        <w:t>is</w:t>
      </w:r>
      <w:r w:rsidRPr="00AA0D41">
        <w:rPr>
          <w:rFonts w:eastAsia="Times New Roman" w:cs="Times New Roman"/>
          <w:color w:val="000000"/>
          <w:szCs w:val="24"/>
        </w:rPr>
        <w:t xml:space="preserve"> nacionālo līdzfinansējumu 0,7 milj. </w:t>
      </w:r>
      <w:r w:rsidRPr="00AA0D41">
        <w:rPr>
          <w:rFonts w:eastAsia="Times New Roman" w:cs="Times New Roman"/>
          <w:i/>
          <w:color w:val="000000"/>
          <w:szCs w:val="24"/>
        </w:rPr>
        <w:t>euro</w:t>
      </w:r>
      <w:r w:rsidRPr="00AA0D41">
        <w:rPr>
          <w:rFonts w:eastAsia="Times New Roman" w:cs="Times New Roman"/>
          <w:color w:val="000000"/>
          <w:szCs w:val="24"/>
        </w:rPr>
        <w:t xml:space="preserve"> apmērā projekta </w:t>
      </w:r>
      <w:r w:rsidR="00CE74DE">
        <w:rPr>
          <w:rFonts w:eastAsia="Times New Roman" w:cs="Times New Roman"/>
          <w:color w:val="000000"/>
          <w:szCs w:val="24"/>
        </w:rPr>
        <w:t>2.kārtai</w:t>
      </w:r>
      <w:r w:rsidRPr="00AA0D41">
        <w:rPr>
          <w:rFonts w:eastAsia="Times New Roman" w:cs="Times New Roman"/>
          <w:color w:val="000000"/>
          <w:szCs w:val="24"/>
        </w:rPr>
        <w:t>, tādējādi pārkāpjot Likumu par budžetu un finanšu vadību.</w:t>
      </w:r>
      <w:r w:rsidRPr="00AA0D41">
        <w:rPr>
          <w:rFonts w:eastAsia="Calibri" w:cs="Times New Roman"/>
          <w:bCs/>
          <w:szCs w:val="24"/>
        </w:rPr>
        <w:t xml:space="preserve"> </w:t>
      </w:r>
      <w:r w:rsidRPr="00AA0D41">
        <w:rPr>
          <w:rFonts w:eastAsia="Times New Roman" w:cs="Times New Roman"/>
          <w:color w:val="000000"/>
          <w:szCs w:val="24"/>
        </w:rPr>
        <w:t xml:space="preserve">Šveices kompetentās iestādes </w:t>
      </w:r>
      <w:r w:rsidRPr="00AA0D41">
        <w:rPr>
          <w:rFonts w:eastAsia="Times New Roman" w:cs="Times New Roman"/>
          <w:szCs w:val="24"/>
        </w:rPr>
        <w:t xml:space="preserve"> snie</w:t>
      </w:r>
      <w:r w:rsidR="004E7F11">
        <w:rPr>
          <w:rFonts w:eastAsia="Times New Roman" w:cs="Times New Roman"/>
          <w:szCs w:val="24"/>
        </w:rPr>
        <w:t>dza</w:t>
      </w:r>
      <w:r w:rsidRPr="00AA0D41">
        <w:rPr>
          <w:rFonts w:eastAsia="Times New Roman" w:cs="Times New Roman"/>
          <w:szCs w:val="24"/>
        </w:rPr>
        <w:t xml:space="preserve"> informāciju, ka </w:t>
      </w:r>
      <w:r w:rsidRPr="00AA0D41">
        <w:rPr>
          <w:rFonts w:eastAsia="Times New Roman" w:cs="Times New Roman"/>
          <w:color w:val="000000"/>
          <w:szCs w:val="24"/>
        </w:rPr>
        <w:t xml:space="preserve">neveiks atmaksu Latvijai par </w:t>
      </w:r>
      <w:r w:rsidR="00CE74DE">
        <w:rPr>
          <w:rFonts w:eastAsia="Times New Roman" w:cs="Times New Roman"/>
          <w:color w:val="000000"/>
          <w:szCs w:val="24"/>
        </w:rPr>
        <w:t xml:space="preserve">2.kārtas aktivitātēm </w:t>
      </w:r>
      <w:r w:rsidRPr="00AA0D41">
        <w:rPr>
          <w:rFonts w:eastAsia="Times New Roman" w:cs="Times New Roman"/>
          <w:color w:val="000000"/>
          <w:szCs w:val="24"/>
        </w:rPr>
        <w:t>līdz apliecinājuma saņemšanai par nacionālā līdzfinansējuma nodrošināšanu.</w:t>
      </w:r>
    </w:p>
    <w:p w14:paraId="1D523496" w14:textId="31DBCF5E" w:rsidR="00AA0D41" w:rsidRDefault="0084460E" w:rsidP="00497BC7">
      <w:pPr>
        <w:spacing w:before="120" w:after="120" w:line="276" w:lineRule="auto"/>
        <w:jc w:val="both"/>
        <w:rPr>
          <w:rFonts w:eastAsia="Times New Roman" w:cs="Times New Roman"/>
          <w:color w:val="000000"/>
          <w:szCs w:val="24"/>
        </w:rPr>
      </w:pPr>
      <w:r>
        <w:rPr>
          <w:rFonts w:eastAsia="Calibri" w:cs="Times New Roman"/>
          <w:szCs w:val="24"/>
        </w:rPr>
        <w:t>Lai mazinātu starptautiskās reputācijas riskus</w:t>
      </w:r>
      <w:r w:rsidR="009546B0">
        <w:rPr>
          <w:rFonts w:eastAsia="Calibri" w:cs="Times New Roman"/>
          <w:szCs w:val="24"/>
        </w:rPr>
        <w:t>, s</w:t>
      </w:r>
      <w:r w:rsidR="00AA0D41" w:rsidRPr="00AA0D41">
        <w:rPr>
          <w:rFonts w:eastAsia="Calibri" w:cs="Times New Roman"/>
          <w:szCs w:val="24"/>
        </w:rPr>
        <w:t>askaņā ar 2014.</w:t>
      </w:r>
      <w:r w:rsidR="00CE74DE">
        <w:rPr>
          <w:rFonts w:eastAsia="Calibri" w:cs="Times New Roman"/>
          <w:szCs w:val="24"/>
        </w:rPr>
        <w:t>gada 25.novembra</w:t>
      </w:r>
      <w:r w:rsidR="00AA0D41" w:rsidRPr="00AA0D41">
        <w:rPr>
          <w:rFonts w:eastAsia="Calibri" w:cs="Times New Roman"/>
          <w:szCs w:val="24"/>
        </w:rPr>
        <w:t xml:space="preserve"> M</w:t>
      </w:r>
      <w:r w:rsidR="00CE74DE">
        <w:rPr>
          <w:rFonts w:eastAsia="Calibri" w:cs="Times New Roman"/>
          <w:szCs w:val="24"/>
        </w:rPr>
        <w:t>K</w:t>
      </w:r>
      <w:r w:rsidR="00AA0D41" w:rsidRPr="00AA0D41">
        <w:rPr>
          <w:rFonts w:eastAsia="Calibri" w:cs="Times New Roman"/>
          <w:szCs w:val="24"/>
        </w:rPr>
        <w:t xml:space="preserve"> sēdes protokola Nr.65 83.</w:t>
      </w:r>
      <w:r w:rsidR="00950156">
        <w:rPr>
          <w:rFonts w:eastAsia="Calibri" w:cs="Times New Roman"/>
          <w:szCs w:val="24"/>
        </w:rPr>
        <w:t>§</w:t>
      </w:r>
      <w:r w:rsidR="00AA0D41" w:rsidRPr="00AA0D41">
        <w:rPr>
          <w:rFonts w:eastAsia="Calibri" w:cs="Times New Roman"/>
          <w:szCs w:val="24"/>
        </w:rPr>
        <w:t xml:space="preserve"> 10.1.</w:t>
      </w:r>
      <w:r w:rsidR="009546B0">
        <w:rPr>
          <w:rFonts w:eastAsia="Calibri" w:cs="Times New Roman"/>
          <w:szCs w:val="24"/>
        </w:rPr>
        <w:t>apakš</w:t>
      </w:r>
      <w:r w:rsidR="00AA0D41" w:rsidRPr="00AA0D41">
        <w:rPr>
          <w:rFonts w:eastAsia="Calibri" w:cs="Times New Roman"/>
          <w:szCs w:val="24"/>
        </w:rPr>
        <w:t xml:space="preserve">punktu </w:t>
      </w:r>
      <w:r w:rsidR="0015519F" w:rsidRPr="0015519F">
        <w:rPr>
          <w:rFonts w:eastAsia="Calibri" w:cs="Times New Roman"/>
          <w:szCs w:val="24"/>
        </w:rPr>
        <w:t xml:space="preserve">tika noteikts, ka </w:t>
      </w:r>
      <w:r w:rsidR="00AA0D41" w:rsidRPr="00AA0D41">
        <w:rPr>
          <w:rFonts w:eastAsia="Calibri" w:cs="Times New Roman"/>
          <w:szCs w:val="24"/>
        </w:rPr>
        <w:t xml:space="preserve">projekta </w:t>
      </w:r>
      <w:r w:rsidR="00CE74DE">
        <w:rPr>
          <w:rFonts w:eastAsia="Calibri" w:cs="Times New Roman"/>
          <w:szCs w:val="24"/>
        </w:rPr>
        <w:t>2.</w:t>
      </w:r>
      <w:r w:rsidR="00AA0D41" w:rsidRPr="00AA0D41">
        <w:rPr>
          <w:rFonts w:eastAsia="Calibri" w:cs="Times New Roman"/>
          <w:szCs w:val="24"/>
        </w:rPr>
        <w:t>kārtas īstenošanai nacionālo līdzfinansējumu pārdal</w:t>
      </w:r>
      <w:r w:rsidR="00991CB9">
        <w:rPr>
          <w:rFonts w:eastAsia="Calibri" w:cs="Times New Roman"/>
          <w:szCs w:val="24"/>
        </w:rPr>
        <w:t>a</w:t>
      </w:r>
      <w:r w:rsidR="00AA0D41" w:rsidRPr="00AA0D41">
        <w:rPr>
          <w:rFonts w:eastAsia="Calibri" w:cs="Times New Roman"/>
          <w:szCs w:val="24"/>
        </w:rPr>
        <w:t xml:space="preserve"> no </w:t>
      </w:r>
      <w:r w:rsidR="00CE74DE">
        <w:rPr>
          <w:rFonts w:eastAsia="Calibri" w:cs="Times New Roman"/>
          <w:szCs w:val="24"/>
        </w:rPr>
        <w:t>ERAF</w:t>
      </w:r>
      <w:r w:rsidR="00AA0D41" w:rsidRPr="00AA0D41">
        <w:rPr>
          <w:rFonts w:eastAsia="Calibri" w:cs="Times New Roman"/>
          <w:szCs w:val="24"/>
        </w:rPr>
        <w:t xml:space="preserve"> projekta "</w:t>
      </w:r>
      <w:r w:rsidR="00AA0D41" w:rsidRPr="00CE74DE">
        <w:rPr>
          <w:rFonts w:eastAsia="Calibri" w:cs="Times New Roman"/>
          <w:i/>
          <w:szCs w:val="24"/>
        </w:rPr>
        <w:t>Olaines šķidro bīstamo atkritumu izgāztuves sanācijas projekts, 1.kārta</w:t>
      </w:r>
      <w:r w:rsidR="00AA0D41" w:rsidRPr="00AA0D41">
        <w:rPr>
          <w:rFonts w:eastAsia="Calibri" w:cs="Times New Roman"/>
          <w:szCs w:val="24"/>
        </w:rPr>
        <w:t xml:space="preserve">" </w:t>
      </w:r>
      <w:r w:rsidR="00762A93">
        <w:rPr>
          <w:rFonts w:eastAsia="Calibri" w:cs="Times New Roman"/>
          <w:szCs w:val="24"/>
        </w:rPr>
        <w:t xml:space="preserve">vienlaikus </w:t>
      </w:r>
      <w:r w:rsidR="009546B0">
        <w:rPr>
          <w:rFonts w:eastAsia="Calibri" w:cs="Times New Roman"/>
          <w:szCs w:val="24"/>
        </w:rPr>
        <w:t xml:space="preserve">nosakot, </w:t>
      </w:r>
      <w:r w:rsidR="009546B0" w:rsidRPr="00DD21E4">
        <w:rPr>
          <w:rFonts w:eastAsia="Calibri" w:cs="Times New Roman"/>
          <w:szCs w:val="24"/>
        </w:rPr>
        <w:t xml:space="preserve">ka </w:t>
      </w:r>
      <w:r w:rsidR="00762A93" w:rsidRPr="00950156">
        <w:rPr>
          <w:rFonts w:eastAsia="Calibri" w:cs="Times New Roman"/>
          <w:szCs w:val="24"/>
        </w:rPr>
        <w:t>VARAM turpina sarunas ar</w:t>
      </w:r>
      <w:r w:rsidR="009546B0" w:rsidRPr="00950156">
        <w:rPr>
          <w:rFonts w:eastAsia="Calibri" w:cs="Times New Roman"/>
          <w:szCs w:val="24"/>
        </w:rPr>
        <w:t xml:space="preserve"> </w:t>
      </w:r>
      <w:r w:rsidR="00DD21E4" w:rsidRPr="00950156">
        <w:rPr>
          <w:rFonts w:eastAsia="Calibri" w:cs="Times New Roman"/>
          <w:szCs w:val="24"/>
        </w:rPr>
        <w:t>Rīgas brīvostas pārvaldi un Rīgas domi par 2.kārtai nepieciešamo līdzfinansējuma piešķiršanu no Rīgas brīvostas pārval</w:t>
      </w:r>
      <w:r w:rsidR="00C62606">
        <w:rPr>
          <w:rFonts w:eastAsia="Calibri" w:cs="Times New Roman"/>
          <w:szCs w:val="24"/>
        </w:rPr>
        <w:t>d</w:t>
      </w:r>
      <w:r w:rsidR="00DD21E4" w:rsidRPr="00950156">
        <w:rPr>
          <w:rFonts w:eastAsia="Calibri" w:cs="Times New Roman"/>
          <w:szCs w:val="24"/>
        </w:rPr>
        <w:t>es vai Rīgas domes līdzekļiem.</w:t>
      </w:r>
      <w:r w:rsidR="00AA0D41" w:rsidRPr="00DD21E4">
        <w:rPr>
          <w:rFonts w:eastAsia="Calibri" w:cs="Times New Roman"/>
          <w:szCs w:val="24"/>
        </w:rPr>
        <w:t xml:space="preserve"> </w:t>
      </w:r>
      <w:r w:rsidR="00710AD2" w:rsidRPr="00AA0D41">
        <w:rPr>
          <w:rFonts w:eastAsia="Calibri" w:cs="Times New Roman"/>
          <w:szCs w:val="24"/>
        </w:rPr>
        <w:t>2015.gada 2</w:t>
      </w:r>
      <w:r w:rsidR="00710AD2">
        <w:rPr>
          <w:rFonts w:eastAsia="Calibri" w:cs="Times New Roman"/>
          <w:szCs w:val="24"/>
        </w:rPr>
        <w:t>1</w:t>
      </w:r>
      <w:r w:rsidR="00710AD2" w:rsidRPr="00AA0D41">
        <w:rPr>
          <w:rFonts w:eastAsia="Calibri" w:cs="Times New Roman"/>
          <w:szCs w:val="24"/>
        </w:rPr>
        <w:t>.janvār</w:t>
      </w:r>
      <w:r w:rsidR="00710AD2">
        <w:rPr>
          <w:rFonts w:eastAsia="Calibri" w:cs="Times New Roman"/>
          <w:szCs w:val="24"/>
        </w:rPr>
        <w:t xml:space="preserve">ī </w:t>
      </w:r>
      <w:r w:rsidR="00AA0D41" w:rsidRPr="00AA0D41">
        <w:rPr>
          <w:rFonts w:eastAsia="Calibri" w:cs="Times New Roman"/>
          <w:szCs w:val="24"/>
        </w:rPr>
        <w:t xml:space="preserve">VARAM </w:t>
      </w:r>
      <w:r w:rsidR="00B51546">
        <w:rPr>
          <w:rFonts w:eastAsia="Calibri" w:cs="Times New Roman"/>
          <w:szCs w:val="24"/>
        </w:rPr>
        <w:t>steidzamā kārtā</w:t>
      </w:r>
      <w:r w:rsidR="00710AD2">
        <w:rPr>
          <w:rFonts w:eastAsia="Calibri" w:cs="Times New Roman"/>
          <w:szCs w:val="24"/>
        </w:rPr>
        <w:t xml:space="preserve"> </w:t>
      </w:r>
      <w:r w:rsidR="00AA0D41" w:rsidRPr="00AA0D41">
        <w:rPr>
          <w:rFonts w:eastAsia="Calibri" w:cs="Times New Roman"/>
          <w:szCs w:val="24"/>
        </w:rPr>
        <w:t>vei</w:t>
      </w:r>
      <w:r w:rsidR="009546B0">
        <w:rPr>
          <w:rFonts w:eastAsia="Calibri" w:cs="Times New Roman"/>
          <w:szCs w:val="24"/>
        </w:rPr>
        <w:t>ca</w:t>
      </w:r>
      <w:r w:rsidR="00AA0D41" w:rsidRPr="00AA0D41">
        <w:rPr>
          <w:rFonts w:eastAsia="Calibri" w:cs="Times New Roman"/>
          <w:szCs w:val="24"/>
        </w:rPr>
        <w:t xml:space="preserve"> grozījumus </w:t>
      </w:r>
      <w:r w:rsidR="00B51546">
        <w:rPr>
          <w:rFonts w:eastAsia="Calibri" w:cs="Times New Roman"/>
          <w:szCs w:val="24"/>
        </w:rPr>
        <w:t xml:space="preserve">Olaines </w:t>
      </w:r>
      <w:r w:rsidR="00C71796">
        <w:rPr>
          <w:rFonts w:eastAsia="Calibri" w:cs="Times New Roman"/>
          <w:szCs w:val="24"/>
        </w:rPr>
        <w:t>projektā</w:t>
      </w:r>
      <w:r w:rsidR="009546B0">
        <w:rPr>
          <w:rFonts w:eastAsia="Calibri" w:cs="Times New Roman"/>
          <w:szCs w:val="24"/>
        </w:rPr>
        <w:t>, tādejādi nodrošinot projekta</w:t>
      </w:r>
      <w:r w:rsidR="00B84C30">
        <w:rPr>
          <w:rFonts w:eastAsia="Calibri" w:cs="Times New Roman"/>
          <w:szCs w:val="24"/>
        </w:rPr>
        <w:t>m</w:t>
      </w:r>
      <w:r w:rsidR="009546B0">
        <w:rPr>
          <w:rFonts w:eastAsia="Calibri" w:cs="Times New Roman"/>
          <w:szCs w:val="24"/>
        </w:rPr>
        <w:t xml:space="preserve"> nacionālo līdzfinansējumu</w:t>
      </w:r>
      <w:r w:rsidR="00B84C30">
        <w:rPr>
          <w:rFonts w:eastAsia="Calibri" w:cs="Times New Roman"/>
          <w:szCs w:val="24"/>
        </w:rPr>
        <w:t xml:space="preserve"> pilnā apmērā</w:t>
      </w:r>
      <w:r w:rsidR="00C71796">
        <w:rPr>
          <w:rFonts w:eastAsia="Calibri" w:cs="Times New Roman"/>
          <w:szCs w:val="24"/>
        </w:rPr>
        <w:t>.</w:t>
      </w:r>
      <w:r w:rsidR="009546B0" w:rsidRPr="009546B0">
        <w:rPr>
          <w:rFonts w:eastAsia="Times New Roman" w:cs="Times New Roman"/>
          <w:color w:val="000000"/>
          <w:szCs w:val="24"/>
        </w:rPr>
        <w:t xml:space="preserve"> </w:t>
      </w:r>
      <w:r w:rsidR="009546B0" w:rsidRPr="00AA0D41">
        <w:rPr>
          <w:rFonts w:eastAsia="Times New Roman" w:cs="Times New Roman"/>
          <w:color w:val="000000"/>
          <w:szCs w:val="24"/>
        </w:rPr>
        <w:t>Šveices kompetentās iestādes</w:t>
      </w:r>
      <w:r w:rsidR="009546B0">
        <w:rPr>
          <w:rFonts w:eastAsia="Times New Roman" w:cs="Times New Roman"/>
          <w:color w:val="000000"/>
          <w:szCs w:val="24"/>
        </w:rPr>
        <w:t xml:space="preserve"> </w:t>
      </w:r>
      <w:r w:rsidR="009546B0" w:rsidRPr="00AA0D41">
        <w:rPr>
          <w:rFonts w:eastAsia="Calibri" w:cs="Times New Roman"/>
          <w:szCs w:val="24"/>
        </w:rPr>
        <w:t>2015.gada</w:t>
      </w:r>
      <w:r w:rsidR="009546B0">
        <w:rPr>
          <w:rFonts w:eastAsia="Calibri" w:cs="Times New Roman"/>
          <w:szCs w:val="24"/>
        </w:rPr>
        <w:t xml:space="preserve"> </w:t>
      </w:r>
      <w:r w:rsidR="00463FDC">
        <w:rPr>
          <w:rFonts w:eastAsia="Calibri" w:cs="Times New Roman"/>
          <w:szCs w:val="24"/>
        </w:rPr>
        <w:t>30.janvārī saņēma apliecinājumu</w:t>
      </w:r>
      <w:r w:rsidR="00463FDC" w:rsidRPr="00463FDC">
        <w:rPr>
          <w:rFonts w:eastAsia="Times New Roman" w:cs="Times New Roman"/>
          <w:color w:val="000000"/>
          <w:szCs w:val="24"/>
        </w:rPr>
        <w:t xml:space="preserve"> </w:t>
      </w:r>
      <w:r w:rsidR="00463FDC" w:rsidRPr="00AA0D41">
        <w:rPr>
          <w:rFonts w:eastAsia="Times New Roman" w:cs="Times New Roman"/>
          <w:color w:val="000000"/>
          <w:szCs w:val="24"/>
        </w:rPr>
        <w:t>par nacionālā līdzfinansējuma nodrošināšanu</w:t>
      </w:r>
      <w:r w:rsidR="00463FDC">
        <w:rPr>
          <w:rFonts w:eastAsia="Times New Roman" w:cs="Times New Roman"/>
          <w:color w:val="000000"/>
          <w:szCs w:val="24"/>
        </w:rPr>
        <w:t xml:space="preserve"> proj</w:t>
      </w:r>
      <w:r w:rsidR="00643015">
        <w:rPr>
          <w:rFonts w:eastAsia="Times New Roman" w:cs="Times New Roman"/>
          <w:color w:val="000000"/>
          <w:szCs w:val="24"/>
        </w:rPr>
        <w:t>e</w:t>
      </w:r>
      <w:r w:rsidR="00463FDC">
        <w:rPr>
          <w:rFonts w:eastAsia="Times New Roman" w:cs="Times New Roman"/>
          <w:color w:val="000000"/>
          <w:szCs w:val="24"/>
        </w:rPr>
        <w:t>kta 2.kārtai.</w:t>
      </w:r>
    </w:p>
    <w:p w14:paraId="632EED7F" w14:textId="7C293101" w:rsidR="0015519F" w:rsidRPr="00AA0D41" w:rsidRDefault="0015519F" w:rsidP="00497BC7">
      <w:pPr>
        <w:spacing w:before="120" w:after="120" w:line="276" w:lineRule="auto"/>
        <w:jc w:val="both"/>
        <w:rPr>
          <w:rFonts w:eastAsia="Calibri" w:cs="Times New Roman"/>
          <w:szCs w:val="24"/>
        </w:rPr>
      </w:pPr>
      <w:r w:rsidRPr="0015519F">
        <w:rPr>
          <w:rFonts w:eastAsia="Calibri" w:cs="Times New Roman"/>
          <w:szCs w:val="24"/>
        </w:rPr>
        <w:t>Saskaņā ar 2014.gada 25.novembra MK sēdes protokola Nr.65 83.§ 10.3. apakšpunktu VARAM ir izskatījusi iespējamo disciplinārpārkāpumu izdarīšanas apstākļus un disciplinārlieta tika ierosināta pret VVD ģenerāldirektori</w:t>
      </w:r>
      <w:r w:rsidR="00417EED">
        <w:rPr>
          <w:rFonts w:eastAsia="Calibri" w:cs="Times New Roman"/>
          <w:szCs w:val="24"/>
        </w:rPr>
        <w:t xml:space="preserve">, </w:t>
      </w:r>
      <w:r w:rsidRPr="0015519F">
        <w:rPr>
          <w:rFonts w:eastAsia="Calibri" w:cs="Times New Roman"/>
          <w:szCs w:val="24"/>
        </w:rPr>
        <w:t xml:space="preserve"> konstatē</w:t>
      </w:r>
      <w:r w:rsidR="00417EED">
        <w:rPr>
          <w:rFonts w:eastAsia="Calibri" w:cs="Times New Roman"/>
          <w:szCs w:val="24"/>
        </w:rPr>
        <w:t>jot</w:t>
      </w:r>
      <w:r w:rsidRPr="0015519F">
        <w:rPr>
          <w:rFonts w:eastAsia="Calibri" w:cs="Times New Roman"/>
          <w:szCs w:val="24"/>
        </w:rPr>
        <w:t xml:space="preserve"> prettiesisk</w:t>
      </w:r>
      <w:r w:rsidR="00417EED">
        <w:rPr>
          <w:rFonts w:eastAsia="Calibri" w:cs="Times New Roman"/>
          <w:szCs w:val="24"/>
        </w:rPr>
        <w:t>u</w:t>
      </w:r>
      <w:r w:rsidRPr="0015519F">
        <w:rPr>
          <w:rFonts w:eastAsia="Calibri" w:cs="Times New Roman"/>
          <w:szCs w:val="24"/>
        </w:rPr>
        <w:t xml:space="preserve"> amata pienākumu izpild</w:t>
      </w:r>
      <w:r w:rsidR="00417EED">
        <w:rPr>
          <w:rFonts w:eastAsia="Calibri" w:cs="Times New Roman"/>
          <w:szCs w:val="24"/>
        </w:rPr>
        <w:t>i</w:t>
      </w:r>
      <w:r w:rsidRPr="0015519F">
        <w:rPr>
          <w:rFonts w:eastAsia="Calibri" w:cs="Times New Roman"/>
          <w:szCs w:val="24"/>
        </w:rPr>
        <w:t xml:space="preserve">, slēdzot projekta iepirkuma līgumu par projektēšanu un sanācijas darbu veikšanu bez attiecīga finansiālā pamatojuma, vienlaikus nenodrošinot projekta 2.kārtas īstenošanai nepieciešamo līdzfinansējuma daļu, bez objektīva un izskaidrojama attaisnojuma, kavējot un laicīgi nenodrošinot Sadarbības līguma grozījumu noslēgšanu par līdzfinansējuma nodrošināšanu ar Projekta partneriem. Ar vides aizsardzības un reģionālās attīstības ministra 2015.gada 9.februāra rīkojumu Nr1-d „Par disciplinārsoda piemērošanu” VVD ģenerāldirektorei piemērots Valsts civildienesta ierēdņu disciplināratbildības likuma 36.panta otrajā daļā noteiktais disciplinārsods – samazināt mēnešalgu uz četriem mēnešiem, ieturot 15 procentus no mēnešalgas. Lai nodrošinātu, ka VARAM pārraudzībā esošais VVD turpmāk novērstu pārkāpumus valsts budžeta līdzekļu efektīvā izlietošanā, 2014. gada 9.oktobrī tika veikti grozījumi VVD iekšējos noteikumos Nr.11, Kārtība, kādā Valsts vides dienests veic publiskos iepirkumus”, paredzot, ka iepirkumu līgumu vizē arī Budžeta un finanšu daļas amatpersonas. Šādu grozījumu veikšana līgumu slēgšanas procedūrā iesaistot </w:t>
      </w:r>
      <w:r w:rsidRPr="0015519F">
        <w:rPr>
          <w:rFonts w:eastAsia="Calibri" w:cs="Times New Roman"/>
          <w:szCs w:val="24"/>
        </w:rPr>
        <w:lastRenderedPageBreak/>
        <w:t>arī Budžeta un finanšu daļas amatpersonas, mazinās iespēju, ka VVD uzņemas līguma saistības bez finansiālā pamatojuma.</w:t>
      </w:r>
    </w:p>
    <w:p w14:paraId="1553782A" w14:textId="53A67805" w:rsidR="00CE74DE" w:rsidRPr="00AA0D41" w:rsidRDefault="00CE74DE" w:rsidP="00CE74DE">
      <w:pPr>
        <w:spacing w:before="120" w:after="120" w:line="276" w:lineRule="auto"/>
        <w:jc w:val="both"/>
        <w:rPr>
          <w:rFonts w:eastAsia="Times New Roman" w:cs="Times New Roman"/>
          <w:color w:val="000000"/>
          <w:szCs w:val="24"/>
        </w:rPr>
      </w:pPr>
      <w:r w:rsidRPr="00AA0D41">
        <w:rPr>
          <w:rFonts w:eastAsia="Times New Roman" w:cs="Times New Roman"/>
          <w:color w:val="000000"/>
          <w:szCs w:val="24"/>
        </w:rPr>
        <w:t xml:space="preserve">Projekts uzskatāms ar augstu ieviešanas risku, ievērojot tā sarežģītību un iepirkuma procedūras kavējumus, kā arī konstatētās problēmas līdzīgos ES fondu līdzfinansētos VVD īstenotos projektos. Projekta ieviešanas gaita tiek īpaši rūpīgi uzraudzīta </w:t>
      </w:r>
      <w:r w:rsidR="00B51546">
        <w:rPr>
          <w:rFonts w:eastAsia="Times New Roman" w:cs="Times New Roman"/>
          <w:color w:val="000000"/>
          <w:szCs w:val="24"/>
        </w:rPr>
        <w:t xml:space="preserve">no VI un </w:t>
      </w:r>
      <w:r w:rsidRPr="00AA0D41">
        <w:rPr>
          <w:rFonts w:eastAsia="Times New Roman" w:cs="Times New Roman"/>
          <w:color w:val="000000"/>
          <w:szCs w:val="24"/>
        </w:rPr>
        <w:t xml:space="preserve">Šveices puses. </w:t>
      </w:r>
    </w:p>
    <w:p w14:paraId="75B8102B" w14:textId="77777777" w:rsidR="00AA0D41" w:rsidRPr="00AA0D41" w:rsidRDefault="00AA0D41" w:rsidP="00AA0D41">
      <w:pPr>
        <w:spacing w:before="120" w:after="120" w:line="276" w:lineRule="auto"/>
        <w:jc w:val="both"/>
        <w:rPr>
          <w:rFonts w:eastAsia="Times New Roman" w:cs="Times New Roman"/>
          <w:color w:val="000000"/>
          <w:szCs w:val="24"/>
        </w:rPr>
      </w:pPr>
      <w:r w:rsidRPr="00AA0D41">
        <w:rPr>
          <w:rFonts w:eastAsia="Times New Roman" w:cs="Times New Roman"/>
          <w:color w:val="000000"/>
          <w:szCs w:val="24"/>
        </w:rPr>
        <w:t xml:space="preserve">Plašāka informācija par Šveices programmas projektiem pieejama mājaslapā </w:t>
      </w:r>
      <w:hyperlink r:id="rId43" w:history="1">
        <w:r w:rsidRPr="00AA0D41">
          <w:rPr>
            <w:rFonts w:eastAsia="Times New Roman" w:cs="Times New Roman"/>
            <w:color w:val="0563C1"/>
            <w:szCs w:val="24"/>
            <w:u w:val="single"/>
          </w:rPr>
          <w:t>www.swiss-contribution.lv</w:t>
        </w:r>
      </w:hyperlink>
      <w:r w:rsidRPr="00AA0D41">
        <w:rPr>
          <w:rFonts w:eastAsia="Times New Roman" w:cs="Times New Roman"/>
          <w:color w:val="000000"/>
          <w:szCs w:val="24"/>
        </w:rPr>
        <w:t xml:space="preserve">. </w:t>
      </w:r>
    </w:p>
    <w:p w14:paraId="515E8683" w14:textId="1677BA38" w:rsidR="00A5315A" w:rsidRPr="00B57653" w:rsidRDefault="00BB2B77" w:rsidP="00C04510">
      <w:pPr>
        <w:pStyle w:val="1lmenis"/>
      </w:pPr>
      <w:bookmarkStart w:id="18" w:name="_Toc412729442"/>
      <w:r w:rsidRPr="00B57653">
        <w:t>Neatbilstības ES fondu un citas</w:t>
      </w:r>
      <w:r w:rsidR="00A5315A" w:rsidRPr="00B57653">
        <w:t xml:space="preserve"> ārvalstu finanšu palīdzības līdzfinansēt</w:t>
      </w:r>
      <w:r w:rsidRPr="00B57653">
        <w:t>os</w:t>
      </w:r>
      <w:r w:rsidR="00A5315A" w:rsidRPr="00B57653">
        <w:t xml:space="preserve"> projekt</w:t>
      </w:r>
      <w:r w:rsidRPr="00B57653">
        <w:t>os</w:t>
      </w:r>
      <w:bookmarkEnd w:id="18"/>
      <w:r w:rsidR="00A5315A" w:rsidRPr="00B57653">
        <w:t xml:space="preserve"> </w:t>
      </w:r>
    </w:p>
    <w:p w14:paraId="66C99288" w14:textId="77777777" w:rsidR="00B9442C" w:rsidRPr="00B9442C" w:rsidRDefault="00B9442C" w:rsidP="00B9442C">
      <w:pPr>
        <w:spacing w:before="120" w:after="120" w:line="276" w:lineRule="auto"/>
        <w:jc w:val="both"/>
        <w:rPr>
          <w:rFonts w:eastAsia="Times New Roman" w:cs="Times New Roman"/>
          <w:szCs w:val="20"/>
        </w:rPr>
      </w:pPr>
      <w:bookmarkStart w:id="19" w:name="_Toc356465234"/>
      <w:bookmarkStart w:id="20" w:name="_Toc381282708"/>
      <w:bookmarkStart w:id="21" w:name="_Toc276049989"/>
      <w:bookmarkStart w:id="22" w:name="_Toc290449014"/>
      <w:bookmarkStart w:id="23" w:name="_Toc290449856"/>
      <w:bookmarkStart w:id="24" w:name="_Toc324948887"/>
      <w:bookmarkStart w:id="25" w:name="OLE_LINK4"/>
      <w:bookmarkStart w:id="26" w:name="OLE_LINK5"/>
      <w:r w:rsidRPr="00B9442C">
        <w:rPr>
          <w:rFonts w:eastAsia="Times New Roman" w:cs="Times New Roman"/>
          <w:szCs w:val="20"/>
        </w:rPr>
        <w:t>ES fondu gadījumā</w:t>
      </w:r>
      <w:r w:rsidRPr="00B9442C">
        <w:rPr>
          <w:rFonts w:eastAsia="Times New Roman" w:cs="Times New Roman"/>
          <w:szCs w:val="20"/>
          <w:vertAlign w:val="superscript"/>
        </w:rPr>
        <w:footnoteReference w:id="35"/>
      </w:r>
      <w:r w:rsidRPr="00B9442C">
        <w:rPr>
          <w:rFonts w:eastAsia="Times New Roman" w:cs="Times New Roman"/>
          <w:szCs w:val="20"/>
        </w:rPr>
        <w:t xml:space="preserve"> neatbilstība</w:t>
      </w:r>
      <w:r w:rsidRPr="00B9442C">
        <w:rPr>
          <w:rFonts w:eastAsia="Times New Roman" w:cs="Times New Roman"/>
          <w:szCs w:val="20"/>
          <w:vertAlign w:val="superscript"/>
        </w:rPr>
        <w:footnoteReference w:id="36"/>
      </w:r>
      <w:r w:rsidRPr="00B9442C">
        <w:rPr>
          <w:rFonts w:eastAsia="Times New Roman" w:cs="Times New Roman"/>
          <w:szCs w:val="20"/>
        </w:rPr>
        <w:t xml:space="preserve"> ir jebkurš ES tiesību aktu pārkāpums, kas noticis saimnieciskās darbības subjekta darbības vai bezdarbības dēļ un kas rada vai varētu radīt kaitējumu ES vispārējam budžetam, prasot no vispārējā budžeta segt nepamatotu izdevumu daļu, un par ko samazina projekta attiecināmās izmaksas. Par neatbilstību ar finansiālu ietekmi tiek uzskatīti gadījumi, kad finansējuma saņēmējam ir izmaksāts ES fondu finansējums un tas ir jāatgūst (tai skaitā ieturot no kārtējā vai nākamā maksājuma), piemērojot finanšu korekciju. Metodoloģiskais atbalsts par neatbilstību administrēšanu pieejams ES fondu tīmekļa vietnē</w:t>
      </w:r>
      <w:r w:rsidRPr="00B9442C">
        <w:rPr>
          <w:rFonts w:eastAsia="Times New Roman" w:cs="Times New Roman"/>
          <w:szCs w:val="20"/>
          <w:vertAlign w:val="superscript"/>
        </w:rPr>
        <w:footnoteReference w:id="37"/>
      </w:r>
      <w:r w:rsidRPr="00B9442C">
        <w:rPr>
          <w:rFonts w:eastAsia="Times New Roman" w:cs="Times New Roman"/>
          <w:szCs w:val="20"/>
        </w:rPr>
        <w:t>.</w:t>
      </w:r>
    </w:p>
    <w:p w14:paraId="5E07610B" w14:textId="77777777" w:rsidR="00B9442C" w:rsidRPr="00B9442C" w:rsidRDefault="00B9442C" w:rsidP="00B9442C">
      <w:pPr>
        <w:spacing w:before="120" w:after="120" w:line="276" w:lineRule="auto"/>
        <w:jc w:val="both"/>
        <w:rPr>
          <w:rFonts w:eastAsia="Times New Roman" w:cs="Times New Roman"/>
          <w:szCs w:val="20"/>
        </w:rPr>
      </w:pPr>
      <w:r w:rsidRPr="00B9442C">
        <w:rPr>
          <w:rFonts w:eastAsia="Times New Roman" w:cs="Times New Roman"/>
          <w:szCs w:val="20"/>
        </w:rPr>
        <w:t>Ziņojumā analizētas neatbilstības ar finansiālu ietekmi – neatbilstība, kurā finansējuma saņēmējam ir veikta ES fondu līdzekļu atmaksa, un veiktajā maksājumā ir ietverti neattaisnoti / neattiecināmi / nepamatoti izdevumi, piemērota jebkura no atgūšanas procedūrām, t.sk. samazinot projekta attiecināmās izmaksas.</w:t>
      </w:r>
    </w:p>
    <w:p w14:paraId="5C22C394" w14:textId="77777777" w:rsidR="00B9442C" w:rsidRPr="00B9442C" w:rsidRDefault="004F7C0F" w:rsidP="00B9442C">
      <w:pPr>
        <w:spacing w:before="120" w:after="120" w:line="276" w:lineRule="auto"/>
        <w:jc w:val="both"/>
        <w:rPr>
          <w:rFonts w:eastAsia="Times New Roman" w:cs="Times New Roman"/>
          <w:szCs w:val="20"/>
        </w:rPr>
      </w:pPr>
      <w:hyperlink r:id="rId44" w:history="1">
        <w:r w:rsidR="00B9442C" w:rsidRPr="00B9442C">
          <w:rPr>
            <w:rFonts w:eastAsia="Times New Roman" w:cs="Times New Roman"/>
            <w:szCs w:val="20"/>
          </w:rPr>
          <w:t>ES fondu tīmekļa vietnē</w:t>
        </w:r>
      </w:hyperlink>
      <w:r w:rsidR="00B9442C" w:rsidRPr="00B9442C">
        <w:rPr>
          <w:rFonts w:eastAsia="Times New Roman" w:cs="Times New Roman"/>
          <w:szCs w:val="20"/>
          <w:vertAlign w:val="superscript"/>
        </w:rPr>
        <w:footnoteReference w:id="38"/>
      </w:r>
      <w:r w:rsidR="00B9442C" w:rsidRPr="00B9442C">
        <w:rPr>
          <w:rFonts w:eastAsia="Times New Roman" w:cs="Times New Roman"/>
          <w:szCs w:val="20"/>
        </w:rPr>
        <w:t xml:space="preserve"> tabulā Nr.1 pieejama informācija par neatbilstībām un neatbilstoši veiktiem izdevumiem (turpmāk analīzē – neatbilstība) un atgūtiem neatbilstoši veiktiem izdevumiem pārskata periodā un kumulatīvi uz pārskata perioda beigām, tabulā Nr.2 – informācija par 2014.gada 4.ceturksnī konstatētajām neatbilstībām tiešo vai pastarpināto valsts pārvaldes iestāžu, atvasināto publisko personu vai citu valsts iestāžu īstenotajos projektos un tabulā Nr.3 informācija par aktivitātēm, kurās konstatēto neatbilstību apjoms pret aktivitātēs pieprasīto finansējumu pārsniedz 2% līmeni, norādot riskantākās aktivitātes, jomas, kurām tiek veikta pastiprināta uzraudzība no VI un AI, SI puses.</w:t>
      </w:r>
    </w:p>
    <w:p w14:paraId="3CB5E3C6" w14:textId="77777777" w:rsidR="00B9442C" w:rsidRPr="00B9442C" w:rsidRDefault="00B9442C" w:rsidP="00D63924">
      <w:pPr>
        <w:pStyle w:val="2lmenis"/>
        <w:rPr>
          <w:rFonts w:eastAsia="Times New Roman" w:cs="Times New Roman"/>
          <w:b w:val="0"/>
          <w:iCs/>
          <w:szCs w:val="24"/>
        </w:rPr>
      </w:pPr>
      <w:bookmarkStart w:id="27" w:name="_Toc412729443"/>
      <w:r w:rsidRPr="00B9442C">
        <w:rPr>
          <w:rFonts w:eastAsia="Times New Roman" w:cs="Times New Roman"/>
          <w:iCs/>
          <w:szCs w:val="24"/>
        </w:rPr>
        <w:t>Neatbilstības ar finansiālu ietekmi ES fondu 2007.-2013.gada plānošanas periodā ES fondos līdz 2014.gada 3</w:t>
      </w:r>
      <w:bookmarkEnd w:id="19"/>
      <w:r w:rsidRPr="00B9442C">
        <w:rPr>
          <w:rFonts w:eastAsia="Times New Roman" w:cs="Times New Roman"/>
          <w:iCs/>
          <w:szCs w:val="24"/>
        </w:rPr>
        <w:t>1.decembrim</w:t>
      </w:r>
      <w:bookmarkEnd w:id="20"/>
      <w:bookmarkEnd w:id="27"/>
    </w:p>
    <w:p w14:paraId="6300CD32" w14:textId="546D6EC3" w:rsidR="000A03C6" w:rsidRDefault="00B9442C" w:rsidP="00C90EB0">
      <w:pPr>
        <w:spacing w:before="120" w:after="120" w:line="276" w:lineRule="auto"/>
        <w:jc w:val="both"/>
        <w:rPr>
          <w:rFonts w:eastAsia="EUAlbertina-Bold-Identity-H" w:cs="Times New Roman"/>
          <w:szCs w:val="20"/>
        </w:rPr>
      </w:pPr>
      <w:r w:rsidRPr="00B9442C">
        <w:rPr>
          <w:rFonts w:eastAsia="EUAlbertina-Bold-Identity-H" w:cs="Times New Roman"/>
          <w:szCs w:val="20"/>
        </w:rPr>
        <w:t xml:space="preserve">Salīdzinājumā ar neatbilstību apjomu līdz 2014.gada 30.septembrim, tas ir pieaudzis par 6,9 milj. </w:t>
      </w:r>
      <w:r w:rsidRPr="0042496B">
        <w:rPr>
          <w:rFonts w:eastAsia="EUAlbertina-Bold-Identity-H" w:cs="Times New Roman"/>
          <w:i/>
          <w:szCs w:val="20"/>
        </w:rPr>
        <w:t>euro</w:t>
      </w:r>
      <w:r w:rsidR="0017590A">
        <w:rPr>
          <w:rFonts w:eastAsia="EUAlbertina-Bold-Identity-H" w:cs="Times New Roman"/>
          <w:szCs w:val="20"/>
        </w:rPr>
        <w:t xml:space="preserve"> jeb 6,7</w:t>
      </w:r>
      <w:r w:rsidRPr="00B9442C">
        <w:rPr>
          <w:rFonts w:eastAsia="EUAlbertina-Bold-Identity-H" w:cs="Times New Roman"/>
          <w:szCs w:val="20"/>
        </w:rPr>
        <w:t xml:space="preserve">% (skatīt </w:t>
      </w:r>
      <w:r w:rsidR="0017590A" w:rsidRPr="00581642">
        <w:rPr>
          <w:rFonts w:eastAsia="EUAlbertina-Bold-Identity-H" w:cs="Times New Roman"/>
          <w:szCs w:val="20"/>
        </w:rPr>
        <w:t>grafikā Nr.18</w:t>
      </w:r>
      <w:r w:rsidRPr="00581642">
        <w:rPr>
          <w:rFonts w:eastAsia="EUAlbertina-Bold-Identity-H" w:cs="Times New Roman"/>
          <w:szCs w:val="20"/>
        </w:rPr>
        <w:t>). Analizējot</w:t>
      </w:r>
      <w:r w:rsidRPr="00B9442C">
        <w:rPr>
          <w:rFonts w:eastAsia="EUAlbertina-Bold-Identity-H" w:cs="Times New Roman"/>
          <w:szCs w:val="20"/>
        </w:rPr>
        <w:t xml:space="preserve"> datus par 2014.gadu kopumā, secināms, ka konstatēto neatbilstību apjoms pieaug pakāpeniski un saistāms ar intensitāti, </w:t>
      </w:r>
      <w:r w:rsidRPr="00B9442C">
        <w:rPr>
          <w:rFonts w:eastAsia="EUAlbertina-Bold-Identity-H" w:cs="Times New Roman"/>
          <w:szCs w:val="20"/>
        </w:rPr>
        <w:lastRenderedPageBreak/>
        <w:t>kādā tiek īstenoti projekti. Lielākais kāpums vērojams komersantu īstenotajos projektos, kad pēc EK audita LIAA tika pieņemti lēmumi kopumā par konstatētām neatbilstībām</w:t>
      </w:r>
      <w:r w:rsidRPr="00B9442C">
        <w:rPr>
          <w:rFonts w:eastAsia="Times New Roman" w:cs="Times New Roman"/>
          <w:szCs w:val="20"/>
        </w:rPr>
        <w:t xml:space="preserve"> </w:t>
      </w:r>
      <w:r w:rsidRPr="00B9442C">
        <w:rPr>
          <w:rFonts w:eastAsia="EUAlbertina-Bold-Identity-H" w:cs="Times New Roman"/>
          <w:szCs w:val="20"/>
        </w:rPr>
        <w:t xml:space="preserve">24,0 milj. </w:t>
      </w:r>
      <w:r w:rsidRPr="0042496B">
        <w:rPr>
          <w:rFonts w:eastAsia="EUAlbertina-Bold-Identity-H" w:cs="Times New Roman"/>
          <w:i/>
          <w:szCs w:val="20"/>
        </w:rPr>
        <w:t>euro</w:t>
      </w:r>
      <w:r w:rsidRPr="00B9442C">
        <w:rPr>
          <w:rFonts w:eastAsia="EUAlbertina-Bold-Identity-H" w:cs="Times New Roman"/>
          <w:szCs w:val="20"/>
        </w:rPr>
        <w:t xml:space="preserve"> publiskā finansējuma apmērā DP “U</w:t>
      </w:r>
      <w:r w:rsidR="00C04510">
        <w:rPr>
          <w:rFonts w:eastAsia="EUAlbertina-Bold-Identity-H" w:cs="Times New Roman"/>
          <w:szCs w:val="20"/>
        </w:rPr>
        <w:t>zņēmējdarbība un inovācijas” un</w:t>
      </w:r>
      <w:r w:rsidRPr="00B9442C">
        <w:rPr>
          <w:rFonts w:eastAsia="EUAlbertina-Bold-Identity-H" w:cs="Times New Roman"/>
          <w:szCs w:val="20"/>
        </w:rPr>
        <w:t xml:space="preserve"> DP</w:t>
      </w:r>
      <w:r w:rsidR="00C04510">
        <w:rPr>
          <w:rFonts w:eastAsia="EUAlbertina-Bold-Identity-H" w:cs="Times New Roman"/>
          <w:szCs w:val="20"/>
        </w:rPr>
        <w:t xml:space="preserve"> </w:t>
      </w:r>
      <w:r w:rsidRPr="00B9442C">
        <w:rPr>
          <w:rFonts w:eastAsia="EUAlbertina-Bold-Identity-H" w:cs="Times New Roman"/>
          <w:szCs w:val="20"/>
        </w:rPr>
        <w:t xml:space="preserve">„Cilvēkresursi un nodarbinātība” finanšu instrumentu </w:t>
      </w:r>
      <w:r w:rsidRPr="00581642">
        <w:rPr>
          <w:rFonts w:eastAsia="EUAlbertina-Bold-Identity-H" w:cs="Times New Roman"/>
          <w:szCs w:val="20"/>
        </w:rPr>
        <w:t xml:space="preserve">aktivitātēs  (skatīt grafikā </w:t>
      </w:r>
      <w:r w:rsidR="00023781" w:rsidRPr="00581642">
        <w:rPr>
          <w:rFonts w:eastAsia="EUAlbertina-Bold-Identity-H" w:cs="Times New Roman"/>
          <w:szCs w:val="20"/>
        </w:rPr>
        <w:t>Nr.17</w:t>
      </w:r>
      <w:r w:rsidRPr="00581642">
        <w:rPr>
          <w:rFonts w:eastAsia="EUAlbertina-Bold-Identity-H" w:cs="Times New Roman"/>
          <w:szCs w:val="20"/>
        </w:rPr>
        <w:t>).</w:t>
      </w:r>
      <w:r w:rsidRPr="00B9442C">
        <w:rPr>
          <w:rFonts w:eastAsia="EUAlbertina-Bold-Identity-H" w:cs="Times New Roman"/>
          <w:szCs w:val="20"/>
        </w:rPr>
        <w:t xml:space="preserve"> Detalizētāka informācija par problemātiku un risinājumiem Finanšu instrumentu aktivitātēs gan ESF, gan ERAF ietvaros papildus tikusi skaidrota VI ziņojumā par 2013.gada ceturto ceturksni</w:t>
      </w:r>
      <w:r w:rsidRPr="00B9442C">
        <w:rPr>
          <w:rFonts w:eastAsia="EUAlbertina-Bold-Identity-H" w:cs="Times New Roman"/>
          <w:color w:val="000000"/>
          <w:szCs w:val="24"/>
          <w:vertAlign w:val="superscript"/>
          <w:lang w:eastAsia="lv-LV"/>
        </w:rPr>
        <w:footnoteReference w:id="39"/>
      </w:r>
      <w:r w:rsidRPr="00B9442C">
        <w:rPr>
          <w:rFonts w:eastAsia="EUAlbertina-Bold-Identity-H" w:cs="Times New Roman"/>
          <w:szCs w:val="20"/>
        </w:rPr>
        <w:t xml:space="preserve">.  </w:t>
      </w:r>
    </w:p>
    <w:p w14:paraId="1B984E08" w14:textId="21D8ACD9" w:rsidR="00B9442C" w:rsidRPr="00B9442C" w:rsidRDefault="00023781" w:rsidP="00B9442C">
      <w:pPr>
        <w:spacing w:line="276" w:lineRule="auto"/>
        <w:rPr>
          <w:rFonts w:eastAsia="Calibri" w:cs="Times New Roman"/>
          <w:i/>
          <w:szCs w:val="24"/>
        </w:rPr>
      </w:pPr>
      <w:r w:rsidRPr="00581642">
        <w:rPr>
          <w:rFonts w:eastAsia="Calibri" w:cs="Times New Roman"/>
          <w:szCs w:val="24"/>
        </w:rPr>
        <w:t>Grafiks Nr.17</w:t>
      </w:r>
      <w:r w:rsidR="00B9442C" w:rsidRPr="00581642">
        <w:rPr>
          <w:rFonts w:eastAsia="Calibri" w:cs="Times New Roman"/>
          <w:i/>
          <w:szCs w:val="24"/>
        </w:rPr>
        <w:t xml:space="preserve"> „Konstatētās</w:t>
      </w:r>
      <w:r w:rsidR="00B9442C" w:rsidRPr="00B9442C">
        <w:rPr>
          <w:rFonts w:eastAsia="Calibri" w:cs="Times New Roman"/>
          <w:i/>
          <w:szCs w:val="24"/>
        </w:rPr>
        <w:t xml:space="preserve"> neatbilstības sadalījumā pa finansējuma saņēmēju veidiem uz 2014.gada 31.decembri ceturkšņu griezumā, milj. euro.”</w:t>
      </w:r>
    </w:p>
    <w:p w14:paraId="3CF64A9E" w14:textId="77777777" w:rsidR="00B9442C" w:rsidRPr="00B9442C" w:rsidRDefault="00B9442C" w:rsidP="00B9442C">
      <w:pPr>
        <w:spacing w:line="276" w:lineRule="auto"/>
        <w:rPr>
          <w:rFonts w:eastAsia="Calibri" w:cs="Times New Roman"/>
          <w:i/>
          <w:szCs w:val="24"/>
          <w:highlight w:val="yellow"/>
        </w:rPr>
      </w:pPr>
      <w:r w:rsidRPr="00B9442C">
        <w:rPr>
          <w:rFonts w:eastAsia="Calibri" w:cs="Times New Roman"/>
          <w:i/>
          <w:noProof/>
          <w:sz w:val="20"/>
          <w:lang w:eastAsia="lv-LV"/>
        </w:rPr>
        <w:drawing>
          <wp:inline distT="0" distB="0" distL="0" distR="0" wp14:anchorId="7ECA6BF6" wp14:editId="38984029">
            <wp:extent cx="5788549" cy="2504660"/>
            <wp:effectExtent l="57150" t="57150" r="41275" b="4826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690124C" w14:textId="77777777" w:rsidR="00C90EB0" w:rsidRDefault="00B9442C" w:rsidP="00B9442C">
      <w:pPr>
        <w:spacing w:before="120" w:after="120" w:line="276" w:lineRule="auto"/>
        <w:jc w:val="both"/>
        <w:rPr>
          <w:rFonts w:eastAsia="EUAlbertina-Bold-Identity-H" w:cs="Times New Roman"/>
          <w:szCs w:val="20"/>
        </w:rPr>
      </w:pPr>
      <w:r w:rsidRPr="00B9442C">
        <w:rPr>
          <w:rFonts w:eastAsia="EUAlbertina-Bold-Identity-H" w:cs="Times New Roman"/>
          <w:szCs w:val="20"/>
        </w:rPr>
        <w:t xml:space="preserve">Līdz 2014.gada 31.decembrim neatbilstību apjoms veido 108,3 milj. </w:t>
      </w:r>
      <w:r w:rsidRPr="0042496B">
        <w:rPr>
          <w:rFonts w:eastAsia="EUAlbertina-Bold-Identity-H" w:cs="Times New Roman"/>
          <w:i/>
          <w:szCs w:val="20"/>
        </w:rPr>
        <w:t>euro</w:t>
      </w:r>
      <w:r w:rsidRPr="00B9442C">
        <w:rPr>
          <w:rFonts w:eastAsia="EUAlbertina-Bold-Identity-H" w:cs="Times New Roman"/>
          <w:szCs w:val="20"/>
        </w:rPr>
        <w:t xml:space="preserve"> jeb 2,4% no kopējā finansējumu saņēmēju pieprasītā finansējuma (4,4 mljrd. </w:t>
      </w:r>
      <w:r w:rsidRPr="00023781">
        <w:rPr>
          <w:rFonts w:eastAsia="EUAlbertina-Bold-Identity-H" w:cs="Times New Roman"/>
          <w:i/>
          <w:szCs w:val="20"/>
        </w:rPr>
        <w:t>euro</w:t>
      </w:r>
      <w:r w:rsidRPr="00581642">
        <w:rPr>
          <w:rFonts w:eastAsia="EUAlbertina-Bold-Identity-H" w:cs="Times New Roman"/>
          <w:szCs w:val="20"/>
        </w:rPr>
        <w:t>) (skatīt grafikā N</w:t>
      </w:r>
      <w:r w:rsidR="00023781" w:rsidRPr="00581642">
        <w:rPr>
          <w:rFonts w:eastAsia="EUAlbertina-Bold-Identity-H" w:cs="Times New Roman"/>
          <w:szCs w:val="20"/>
        </w:rPr>
        <w:t>r.18</w:t>
      </w:r>
      <w:r w:rsidRPr="00581642">
        <w:rPr>
          <w:rFonts w:eastAsia="EUAlbertina-Bold-Identity-H" w:cs="Times New Roman"/>
          <w:szCs w:val="20"/>
        </w:rPr>
        <w:t>).</w:t>
      </w:r>
      <w:r w:rsidRPr="00B9442C">
        <w:rPr>
          <w:rFonts w:eastAsia="EUAlbertina-Bold-Identity-H" w:cs="Times New Roman"/>
          <w:szCs w:val="20"/>
        </w:rPr>
        <w:t xml:space="preserve"> Kopumā līdz 2014.gada 31.decembrim </w:t>
      </w:r>
      <w:r w:rsidR="0017590A" w:rsidRPr="0017590A">
        <w:rPr>
          <w:rFonts w:eastAsia="EUAlbertina-Bold-Identity-H" w:cs="Times New Roman"/>
          <w:szCs w:val="20"/>
        </w:rPr>
        <w:t>atgūti 90,9</w:t>
      </w:r>
      <w:r w:rsidRPr="0017590A">
        <w:rPr>
          <w:rFonts w:eastAsia="EUAlbertina-Bold-Identity-H" w:cs="Times New Roman"/>
          <w:szCs w:val="20"/>
        </w:rPr>
        <w:t xml:space="preserve"> milj</w:t>
      </w:r>
      <w:r w:rsidRPr="00B9442C">
        <w:rPr>
          <w:rFonts w:eastAsia="EUAlbertina-Bold-Identity-H" w:cs="Times New Roman"/>
          <w:szCs w:val="20"/>
        </w:rPr>
        <w:t xml:space="preserve"> </w:t>
      </w:r>
      <w:r w:rsidRPr="0042496B">
        <w:rPr>
          <w:rFonts w:eastAsia="EUAlbertina-Bold-Identity-H" w:cs="Times New Roman"/>
          <w:i/>
          <w:szCs w:val="20"/>
        </w:rPr>
        <w:t>euro</w:t>
      </w:r>
      <w:r w:rsidR="0017590A">
        <w:rPr>
          <w:rFonts w:eastAsia="EUAlbertina-Bold-Identity-H" w:cs="Times New Roman"/>
          <w:szCs w:val="20"/>
        </w:rPr>
        <w:t xml:space="preserve"> jeb 83,9</w:t>
      </w:r>
      <w:r w:rsidRPr="00B9442C">
        <w:rPr>
          <w:rFonts w:eastAsia="EUAlbertina-Bold-Identity-H" w:cs="Times New Roman"/>
          <w:szCs w:val="20"/>
        </w:rPr>
        <w:t xml:space="preserve">% no neatbilstību apjoma. Neatbilstību apjoma pieaugums komersantu īstenotajos projektos uz 2014.gada 31.decembri pret iepriekšējo pārskata periodu skaidrojams ar konstatētu apjomīgu neatbilstību Finanšu instrumentos, kur konstatēts dubultfinansējums. Plašāks skaidrojums turpmāk aprakstā. </w:t>
      </w:r>
    </w:p>
    <w:p w14:paraId="622A9288" w14:textId="77777777" w:rsidR="003721EE" w:rsidRDefault="003721EE" w:rsidP="00B9442C">
      <w:pPr>
        <w:spacing w:before="120" w:after="120" w:line="276" w:lineRule="auto"/>
        <w:jc w:val="both"/>
        <w:rPr>
          <w:rFonts w:eastAsia="EUAlbertina-Bold-Identity-H" w:cs="Times New Roman"/>
          <w:szCs w:val="20"/>
        </w:rPr>
      </w:pPr>
    </w:p>
    <w:p w14:paraId="16444ACB" w14:textId="77777777" w:rsidR="003721EE" w:rsidRDefault="003721EE" w:rsidP="00B9442C">
      <w:pPr>
        <w:spacing w:before="120" w:after="120" w:line="276" w:lineRule="auto"/>
        <w:jc w:val="both"/>
        <w:rPr>
          <w:rFonts w:eastAsia="EUAlbertina-Bold-Identity-H" w:cs="Times New Roman"/>
          <w:szCs w:val="20"/>
        </w:rPr>
      </w:pPr>
    </w:p>
    <w:p w14:paraId="54F609FD" w14:textId="77777777" w:rsidR="003721EE" w:rsidRDefault="003721EE" w:rsidP="00B9442C">
      <w:pPr>
        <w:spacing w:before="120" w:after="120" w:line="276" w:lineRule="auto"/>
        <w:jc w:val="both"/>
        <w:rPr>
          <w:rFonts w:eastAsia="EUAlbertina-Bold-Identity-H" w:cs="Times New Roman"/>
          <w:szCs w:val="20"/>
        </w:rPr>
      </w:pPr>
    </w:p>
    <w:p w14:paraId="7DEA0A3F" w14:textId="77777777" w:rsidR="003721EE" w:rsidRDefault="003721EE" w:rsidP="00B9442C">
      <w:pPr>
        <w:spacing w:before="120" w:after="120" w:line="276" w:lineRule="auto"/>
        <w:jc w:val="both"/>
        <w:rPr>
          <w:rFonts w:eastAsia="EUAlbertina-Bold-Identity-H" w:cs="Times New Roman"/>
          <w:szCs w:val="20"/>
        </w:rPr>
      </w:pPr>
    </w:p>
    <w:p w14:paraId="1697FCD7" w14:textId="77777777" w:rsidR="003721EE" w:rsidRDefault="003721EE" w:rsidP="00B9442C">
      <w:pPr>
        <w:spacing w:before="120" w:after="120" w:line="276" w:lineRule="auto"/>
        <w:jc w:val="both"/>
        <w:rPr>
          <w:rFonts w:eastAsia="EUAlbertina-Bold-Identity-H" w:cs="Times New Roman"/>
          <w:szCs w:val="20"/>
        </w:rPr>
      </w:pPr>
    </w:p>
    <w:p w14:paraId="5FCB7196" w14:textId="77777777" w:rsidR="003721EE" w:rsidRDefault="003721EE" w:rsidP="00B9442C">
      <w:pPr>
        <w:spacing w:before="120" w:after="120" w:line="276" w:lineRule="auto"/>
        <w:jc w:val="both"/>
        <w:rPr>
          <w:rFonts w:eastAsia="EUAlbertina-Bold-Identity-H" w:cs="Times New Roman"/>
          <w:szCs w:val="20"/>
        </w:rPr>
      </w:pPr>
    </w:p>
    <w:p w14:paraId="1AD16B26" w14:textId="77777777" w:rsidR="003721EE" w:rsidRDefault="003721EE" w:rsidP="00B9442C">
      <w:pPr>
        <w:spacing w:before="120" w:after="120" w:line="276" w:lineRule="auto"/>
        <w:jc w:val="both"/>
        <w:rPr>
          <w:rFonts w:eastAsia="EUAlbertina-Bold-Identity-H" w:cs="Times New Roman"/>
          <w:szCs w:val="20"/>
        </w:rPr>
      </w:pPr>
    </w:p>
    <w:p w14:paraId="6F085A9B" w14:textId="77777777" w:rsidR="003721EE" w:rsidRDefault="003721EE" w:rsidP="00B9442C">
      <w:pPr>
        <w:spacing w:before="120" w:after="120" w:line="276" w:lineRule="auto"/>
        <w:jc w:val="both"/>
        <w:rPr>
          <w:rFonts w:eastAsia="EUAlbertina-Bold-Identity-H" w:cs="Times New Roman"/>
          <w:szCs w:val="20"/>
        </w:rPr>
      </w:pPr>
    </w:p>
    <w:p w14:paraId="4D1EE70B" w14:textId="501AB71D" w:rsidR="00B9442C" w:rsidRPr="00C90EB0" w:rsidRDefault="00023781" w:rsidP="00B9442C">
      <w:pPr>
        <w:spacing w:before="120" w:after="120" w:line="276" w:lineRule="auto"/>
        <w:jc w:val="both"/>
        <w:rPr>
          <w:rFonts w:eastAsia="EUAlbertina-Bold-Identity-H" w:cs="Times New Roman"/>
          <w:szCs w:val="20"/>
          <w:highlight w:val="yellow"/>
        </w:rPr>
      </w:pPr>
      <w:r w:rsidRPr="00581642">
        <w:rPr>
          <w:rFonts w:eastAsia="EUAlbertina-Bold-Identity-H" w:cs="Times New Roman"/>
          <w:szCs w:val="20"/>
        </w:rPr>
        <w:lastRenderedPageBreak/>
        <w:t>Grafiks Nr.18</w:t>
      </w:r>
      <w:r w:rsidR="00B9442C" w:rsidRPr="00581642">
        <w:rPr>
          <w:rFonts w:eastAsia="EUAlbertina-Bold-Identity-H" w:cs="Times New Roman"/>
          <w:szCs w:val="20"/>
        </w:rPr>
        <w:t xml:space="preserve"> </w:t>
      </w:r>
      <w:r w:rsidR="00B9442C" w:rsidRPr="00581642">
        <w:rPr>
          <w:rFonts w:eastAsia="EUAlbertina-Bold-Identity-H" w:cs="Times New Roman"/>
          <w:i/>
          <w:szCs w:val="20"/>
        </w:rPr>
        <w:t>„Konstatētās</w:t>
      </w:r>
      <w:r w:rsidR="00B9442C" w:rsidRPr="00B9442C">
        <w:rPr>
          <w:rFonts w:eastAsia="EUAlbertina-Bold-Identity-H" w:cs="Times New Roman"/>
          <w:i/>
          <w:szCs w:val="20"/>
        </w:rPr>
        <w:t xml:space="preserve"> neatbilstības sadalījumā pa finansējuma saņēmēju veidiem kumulatīvi uz 2014.gada 31.decembri un uz 2014.gada 30.septembri; milj. latu (% pieaugums pret iepriekšējo pārskata periodu – 2014.gada 30.septembri un 2014.gada 30.jūniju; % no kopējiem finansējuma saņēmēju pieprasītajiem maksājumiem uz 2014.gada 31.decembri un 2014.gada 30.septembri).” </w:t>
      </w:r>
    </w:p>
    <w:p w14:paraId="3592800A" w14:textId="77777777" w:rsidR="00B9442C" w:rsidRPr="00B9442C" w:rsidRDefault="00B9442C" w:rsidP="00B9442C">
      <w:pPr>
        <w:spacing w:before="120" w:after="120" w:line="276" w:lineRule="auto"/>
        <w:jc w:val="both"/>
        <w:rPr>
          <w:rFonts w:eastAsia="EUAlbertina-Bold-Identity-H" w:cs="Times New Roman"/>
          <w:szCs w:val="20"/>
        </w:rPr>
      </w:pPr>
      <w:r w:rsidRPr="00B9442C">
        <w:rPr>
          <w:rFonts w:eastAsia="EUAlbertina-Bold-Identity-H" w:cs="Times New Roman"/>
          <w:noProof/>
          <w:szCs w:val="20"/>
          <w:lang w:eastAsia="lv-LV"/>
        </w:rPr>
        <w:drawing>
          <wp:inline distT="0" distB="0" distL="0" distR="0" wp14:anchorId="3526485B" wp14:editId="1763FD83">
            <wp:extent cx="5689600" cy="2679700"/>
            <wp:effectExtent l="0" t="0" r="0" b="0"/>
            <wp:docPr id="1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046E0D0" w14:textId="12A49B69" w:rsidR="00B9442C" w:rsidRPr="00B9442C" w:rsidRDefault="00B9442C" w:rsidP="00B9442C">
      <w:pPr>
        <w:spacing w:before="120" w:after="120" w:line="276" w:lineRule="auto"/>
        <w:jc w:val="both"/>
        <w:rPr>
          <w:rFonts w:eastAsia="EUAlbertina-Bold-Identity-H" w:cs="Times New Roman"/>
          <w:szCs w:val="20"/>
        </w:rPr>
      </w:pPr>
      <w:r w:rsidRPr="00B9442C">
        <w:rPr>
          <w:rFonts w:eastAsia="EUAlbertina-Bold-Identity-H" w:cs="Times New Roman"/>
          <w:szCs w:val="20"/>
        </w:rPr>
        <w:t xml:space="preserve">Kopumā </w:t>
      </w:r>
      <w:r w:rsidR="00733837">
        <w:rPr>
          <w:color w:val="000000"/>
          <w:szCs w:val="24"/>
        </w:rPr>
        <w:t>pārskata periodā</w:t>
      </w:r>
      <w:r w:rsidR="00733837" w:rsidRPr="00B57653">
        <w:rPr>
          <w:color w:val="000000"/>
          <w:szCs w:val="24"/>
        </w:rPr>
        <w:t xml:space="preserve"> </w:t>
      </w:r>
      <w:r w:rsidRPr="00B9442C">
        <w:rPr>
          <w:rFonts w:eastAsia="EUAlbertina-Bold-Identity-H" w:cs="Times New Roman"/>
          <w:szCs w:val="20"/>
        </w:rPr>
        <w:t xml:space="preserve">visbiežāk neatbilstības konstatētas maksājumu pieprasījumu pārbaudēs un klasificētas kā „Noteikto ieviešanas nosacījumu pārkāpšana”. Tāpat pārskata periodā salīdzinājumā ar iepriekšējo ceturksni vērojams mērenāks neatbilstību pieaugums ar veidiem “Cita neatbilstība” un “Iepirkuma vai konkurences normu pārkāpums” (skatīt </w:t>
      </w:r>
      <w:r w:rsidR="00023781" w:rsidRPr="00581642">
        <w:rPr>
          <w:rFonts w:eastAsia="EUAlbertina-Bold-Identity-H" w:cs="Times New Roman"/>
          <w:szCs w:val="20"/>
        </w:rPr>
        <w:t>grafikā Nr.19</w:t>
      </w:r>
      <w:r w:rsidRPr="00581642">
        <w:rPr>
          <w:rFonts w:eastAsia="EUAlbertina-Bold-Identity-H" w:cs="Times New Roman"/>
          <w:szCs w:val="20"/>
        </w:rPr>
        <w:t>). Tāpat</w:t>
      </w:r>
      <w:r w:rsidRPr="00B9442C">
        <w:rPr>
          <w:rFonts w:eastAsia="EUAlbertina-Bold-Identity-H" w:cs="Times New Roman"/>
          <w:szCs w:val="20"/>
        </w:rPr>
        <w:t xml:space="preserve"> kā līdz šim, arī turpmāk neatbilstību veidiem </w:t>
      </w:r>
      <w:r w:rsidR="00CD5039">
        <w:rPr>
          <w:rFonts w:eastAsia="EUAlbertina-Bold-Identity-H" w:cs="Times New Roman"/>
          <w:szCs w:val="20"/>
        </w:rPr>
        <w:t>“</w:t>
      </w:r>
      <w:r w:rsidRPr="00B9442C">
        <w:rPr>
          <w:rFonts w:eastAsia="EUAlbertina-Bold-Identity-H" w:cs="Times New Roman"/>
          <w:szCs w:val="20"/>
        </w:rPr>
        <w:t>Cita neatbilstība” un “Iepirkuma vai konkurences normu pārkāpums” tiks pievērsta pastiprināta uzmanība, pārrunājot galvenos problēmjautājumus un iespējamos risinājumus ik ceturkšņa neatbilstību darba grupas sanāksmēs, lai mērķtiecīgi un preventīvi samazinātu šo pārkāpumu skaitu un apjomu, kā arī lai veicinātu vienotu izpratni un informētību ES fondu vadībā iesaistījās iestādēs, kuras tālāk strādā tieši ar finansējuma saņēmējiem</w:t>
      </w:r>
    </w:p>
    <w:p w14:paraId="4A2B7BF4" w14:textId="4FEAB94D" w:rsidR="00B9442C" w:rsidRPr="00B9442C" w:rsidRDefault="00733837" w:rsidP="00B9442C">
      <w:pPr>
        <w:spacing w:before="120" w:after="120" w:line="276" w:lineRule="auto"/>
        <w:jc w:val="both"/>
        <w:rPr>
          <w:rFonts w:eastAsia="EUAlbertina-Bold-Identity-H" w:cs="Times New Roman"/>
          <w:color w:val="000000"/>
          <w:szCs w:val="24"/>
          <w:lang w:eastAsia="lv-LV"/>
        </w:rPr>
      </w:pPr>
      <w:r>
        <w:rPr>
          <w:color w:val="000000"/>
          <w:szCs w:val="24"/>
        </w:rPr>
        <w:t>Pārskata periodā</w:t>
      </w:r>
      <w:r w:rsidRPr="00B57653">
        <w:rPr>
          <w:color w:val="000000"/>
          <w:szCs w:val="24"/>
        </w:rPr>
        <w:t xml:space="preserve"> </w:t>
      </w:r>
      <w:r w:rsidR="00B9442C" w:rsidRPr="00B9442C">
        <w:rPr>
          <w:rFonts w:eastAsia="EUAlbertina-Bold-Identity-H" w:cs="Times New Roman"/>
          <w:color w:val="000000"/>
          <w:szCs w:val="24"/>
          <w:lang w:eastAsia="lv-LV"/>
        </w:rPr>
        <w:t xml:space="preserve">DP „Cilvēkresursi un nodarbinātība” konstatēts ļoti neliels neatbilstību apjoms – 0,02 milj. </w:t>
      </w:r>
      <w:r w:rsidR="00B9442C" w:rsidRPr="0042496B">
        <w:rPr>
          <w:rFonts w:eastAsia="EUAlbertina-Bold-Identity-H" w:cs="Times New Roman"/>
          <w:i/>
          <w:color w:val="000000"/>
          <w:szCs w:val="24"/>
          <w:lang w:eastAsia="lv-LV"/>
        </w:rPr>
        <w:t>euro</w:t>
      </w:r>
      <w:r w:rsidR="00B9442C" w:rsidRPr="00B9442C">
        <w:rPr>
          <w:rFonts w:eastAsia="EUAlbertina-Bold-Identity-H" w:cs="Times New Roman"/>
          <w:color w:val="000000"/>
          <w:szCs w:val="24"/>
          <w:lang w:eastAsia="lv-LV"/>
        </w:rPr>
        <w:t>, kas vērtējams ļoti pozitīvi, kā arī skaidrojams ar vairāku aktivitāšu noslēgšanos.</w:t>
      </w:r>
    </w:p>
    <w:p w14:paraId="013F2B2B" w14:textId="7191EE75" w:rsidR="00B9442C" w:rsidRPr="00B9442C" w:rsidRDefault="00B9442C" w:rsidP="00B9442C">
      <w:pPr>
        <w:spacing w:before="120" w:after="120" w:line="276" w:lineRule="auto"/>
        <w:jc w:val="both"/>
        <w:rPr>
          <w:rFonts w:eastAsia="EUAlbertina-Bold-Identity-H" w:cs="Times New Roman"/>
          <w:color w:val="000000"/>
          <w:szCs w:val="24"/>
          <w:lang w:eastAsia="lv-LV"/>
        </w:rPr>
      </w:pPr>
      <w:r w:rsidRPr="00B9442C">
        <w:rPr>
          <w:rFonts w:eastAsia="EUAlbertina-Bold-Identity-H" w:cs="Times New Roman"/>
          <w:color w:val="000000"/>
          <w:szCs w:val="24"/>
          <w:lang w:eastAsia="lv-LV"/>
        </w:rPr>
        <w:t xml:space="preserve">DP „Uzņēmējdarbība un </w:t>
      </w:r>
      <w:r w:rsidR="00BC3CDE">
        <w:rPr>
          <w:rFonts w:eastAsia="EUAlbertina-Bold-Identity-H" w:cs="Times New Roman"/>
          <w:color w:val="000000"/>
          <w:szCs w:val="24"/>
          <w:lang w:eastAsia="lv-LV"/>
        </w:rPr>
        <w:t>inovācijas”</w:t>
      </w:r>
      <w:r w:rsidRPr="00B9442C">
        <w:rPr>
          <w:rFonts w:eastAsia="EUAlbertina-Bold-Identity-H" w:cs="Times New Roman"/>
          <w:color w:val="000000"/>
          <w:szCs w:val="24"/>
          <w:lang w:eastAsia="lv-LV"/>
        </w:rPr>
        <w:t xml:space="preserve"> </w:t>
      </w:r>
      <w:r w:rsidR="00733837">
        <w:rPr>
          <w:color w:val="000000"/>
          <w:szCs w:val="24"/>
        </w:rPr>
        <w:t>pārskata periodā</w:t>
      </w:r>
      <w:r w:rsidR="00733837" w:rsidRPr="00B57653">
        <w:rPr>
          <w:color w:val="000000"/>
          <w:szCs w:val="24"/>
        </w:rPr>
        <w:t xml:space="preserve"> </w:t>
      </w:r>
      <w:r w:rsidRPr="00B9442C">
        <w:rPr>
          <w:rFonts w:eastAsia="EUAlbertina-Bold-Identity-H" w:cs="Times New Roman"/>
          <w:color w:val="000000"/>
          <w:szCs w:val="24"/>
          <w:lang w:eastAsia="lv-LV"/>
        </w:rPr>
        <w:t xml:space="preserve">konstatētais neatbilstību apjoms ir 4,3 milj. </w:t>
      </w:r>
      <w:r w:rsidRPr="0042496B">
        <w:rPr>
          <w:rFonts w:eastAsia="EUAlbertina-Bold-Identity-H" w:cs="Times New Roman"/>
          <w:i/>
          <w:color w:val="000000"/>
          <w:szCs w:val="24"/>
          <w:lang w:eastAsia="lv-LV"/>
        </w:rPr>
        <w:t>euro</w:t>
      </w:r>
      <w:r w:rsidRPr="00B9442C">
        <w:rPr>
          <w:rFonts w:eastAsia="EUAlbertina-Bold-Identity-H" w:cs="Times New Roman"/>
          <w:color w:val="000000"/>
          <w:szCs w:val="24"/>
          <w:lang w:eastAsia="lv-LV"/>
        </w:rPr>
        <w:t xml:space="preserve">, kas ir par 4 milj. </w:t>
      </w:r>
      <w:r w:rsidRPr="0042496B">
        <w:rPr>
          <w:rFonts w:eastAsia="EUAlbertina-Bold-Identity-H" w:cs="Times New Roman"/>
          <w:i/>
          <w:color w:val="000000"/>
          <w:szCs w:val="24"/>
          <w:lang w:eastAsia="lv-LV"/>
        </w:rPr>
        <w:t>euro</w:t>
      </w:r>
      <w:r w:rsidRPr="00B9442C">
        <w:rPr>
          <w:rFonts w:eastAsia="EUAlbertina-Bold-Identity-H" w:cs="Times New Roman"/>
          <w:color w:val="000000"/>
          <w:szCs w:val="24"/>
          <w:lang w:eastAsia="lv-LV"/>
        </w:rPr>
        <w:t xml:space="preserve"> vairāk nekā iepriekšējā pārskata periodā (0,3 milj. </w:t>
      </w:r>
      <w:r w:rsidRPr="0042496B">
        <w:rPr>
          <w:rFonts w:eastAsia="EUAlbertina-Bold-Identity-H" w:cs="Times New Roman"/>
          <w:i/>
          <w:color w:val="000000"/>
          <w:szCs w:val="24"/>
          <w:lang w:eastAsia="lv-LV"/>
        </w:rPr>
        <w:t>euro</w:t>
      </w:r>
      <w:r w:rsidRPr="00B9442C">
        <w:rPr>
          <w:rFonts w:eastAsia="EUAlbertina-Bold-Identity-H" w:cs="Times New Roman"/>
          <w:color w:val="000000"/>
          <w:szCs w:val="24"/>
          <w:lang w:eastAsia="lv-LV"/>
        </w:rPr>
        <w:t xml:space="preserve">). 3,9 milj. </w:t>
      </w:r>
      <w:r w:rsidRPr="0042496B">
        <w:rPr>
          <w:rFonts w:eastAsia="EUAlbertina-Bold-Identity-H" w:cs="Times New Roman"/>
          <w:i/>
          <w:color w:val="000000"/>
          <w:szCs w:val="24"/>
          <w:lang w:eastAsia="lv-LV"/>
        </w:rPr>
        <w:t>euro</w:t>
      </w:r>
      <w:r w:rsidRPr="00B9442C">
        <w:rPr>
          <w:rFonts w:eastAsia="EUAlbertina-Bold-Identity-H" w:cs="Times New Roman"/>
          <w:color w:val="000000"/>
          <w:szCs w:val="24"/>
          <w:lang w:eastAsia="lv-LV"/>
        </w:rPr>
        <w:t xml:space="preserve">, jeb 91,7% no DP neatbilstībām pārskata periodā veido neatbilstība finanšu instrumentu aktivitātē “Ieguldījumu fonds investīcijām garantijās, paaugstināta riska aizdevumos, riska kapitāla fondos un cita veida finanšu instrumentos” projektā “Latvijas Republikas valdības un Eiropas Investīciju fonda līgums par Eiropas Savienības struktūrfondu ieguldījumu fonda ieviešanu”. Finansējuma saņēmējs (LGA), veicot pārbaudi pie finanšu starpniekiem – AS "SEB banka" un AS "Swedbank", konstatēja, ka daļa no izsniegtajiem dalīta riska aizdevumiem ir līdzfinansēti arī no LIAA un Lauku atbalsta dienesta īstenotajām grantu programmām, kā arī atsevišķi dalīta riska aizdevumi ir izsniegti neatbilstoši aktivitātēs mērķim un grūtībās nonākušam uzņēmumam. Neatbilstoši veiktie </w:t>
      </w:r>
      <w:r w:rsidRPr="00B9442C">
        <w:rPr>
          <w:rFonts w:eastAsia="EUAlbertina-Bold-Identity-H" w:cs="Times New Roman"/>
          <w:color w:val="000000"/>
          <w:szCs w:val="24"/>
          <w:lang w:eastAsia="lv-LV"/>
        </w:rPr>
        <w:lastRenderedPageBreak/>
        <w:t>izdevumi tika atmaksāti labprātīgi, un finansējums ir pārdalīts aktivitātei “Atbalsts aizdevumu veidā komersantu konkurētspējas uzlabošanai". Ņemot vērā, ka pārējās neatbilstības veido salīdzinoši nelielu apjoma d</w:t>
      </w:r>
      <w:r w:rsidR="001103E1">
        <w:rPr>
          <w:rFonts w:eastAsia="EUAlbertina-Bold-Identity-H" w:cs="Times New Roman"/>
          <w:color w:val="000000"/>
          <w:szCs w:val="24"/>
          <w:lang w:eastAsia="lv-LV"/>
        </w:rPr>
        <w:t>aļu (8,3 % no kopējās summas),</w:t>
      </w:r>
      <w:r w:rsidRPr="00B9442C">
        <w:rPr>
          <w:rFonts w:eastAsia="EUAlbertina-Bold-Identity-H" w:cs="Times New Roman"/>
          <w:color w:val="000000"/>
          <w:szCs w:val="24"/>
          <w:lang w:eastAsia="lv-LV"/>
        </w:rPr>
        <w:t xml:space="preserve"> kopumā secināms, ka DP ietvaros turpinās pozitīva tendence, un līdz šim veiktie pasākumi neatbilstību apjoma samazināšanā vērtējami kā efektīvi.</w:t>
      </w:r>
    </w:p>
    <w:p w14:paraId="2B29A3AB" w14:textId="62652B05" w:rsidR="003C2F0B" w:rsidRPr="003C2F0B" w:rsidRDefault="00B9442C" w:rsidP="003C2F0B">
      <w:pPr>
        <w:spacing w:before="120" w:line="276" w:lineRule="auto"/>
        <w:jc w:val="both"/>
        <w:rPr>
          <w:rFonts w:eastAsia="Times New Roman" w:cs="Times New Roman"/>
          <w:iCs/>
          <w:szCs w:val="20"/>
        </w:rPr>
      </w:pPr>
      <w:r w:rsidRPr="00B9442C">
        <w:rPr>
          <w:rFonts w:eastAsia="Times New Roman" w:cs="Times New Roman"/>
          <w:szCs w:val="20"/>
        </w:rPr>
        <w:t xml:space="preserve">DP „Infrastruktūra un pakalpojumi” </w:t>
      </w:r>
      <w:r w:rsidR="00733837">
        <w:rPr>
          <w:color w:val="000000"/>
          <w:szCs w:val="24"/>
        </w:rPr>
        <w:t>pārskata periodā</w:t>
      </w:r>
      <w:r w:rsidR="00733837" w:rsidRPr="00B57653">
        <w:rPr>
          <w:color w:val="000000"/>
          <w:szCs w:val="24"/>
        </w:rPr>
        <w:t xml:space="preserve"> </w:t>
      </w:r>
      <w:r w:rsidRPr="00B9442C">
        <w:rPr>
          <w:rFonts w:eastAsia="Times New Roman" w:cs="Times New Roman"/>
          <w:szCs w:val="20"/>
        </w:rPr>
        <w:t xml:space="preserve">konstatētais neatbilstību apjoms ir 2,2 milj. </w:t>
      </w:r>
      <w:r w:rsidRPr="0042496B">
        <w:rPr>
          <w:rFonts w:eastAsia="Times New Roman" w:cs="Times New Roman"/>
          <w:i/>
          <w:szCs w:val="20"/>
        </w:rPr>
        <w:t>euro</w:t>
      </w:r>
      <w:r w:rsidRPr="00B9442C">
        <w:rPr>
          <w:rFonts w:eastAsia="Times New Roman" w:cs="Times New Roman"/>
          <w:szCs w:val="20"/>
        </w:rPr>
        <w:t xml:space="preserve">, kas ir 33,3% no kopējā konstatēto neatbilstību apjoma ceturksnī. Apjomīgākā neatbilstība 424 997,6 </w:t>
      </w:r>
      <w:r w:rsidRPr="0042496B">
        <w:rPr>
          <w:rFonts w:eastAsia="Times New Roman" w:cs="Times New Roman"/>
          <w:i/>
          <w:szCs w:val="20"/>
        </w:rPr>
        <w:t>euro</w:t>
      </w:r>
      <w:r w:rsidRPr="00B9442C">
        <w:rPr>
          <w:rFonts w:eastAsia="Times New Roman" w:cs="Times New Roman"/>
          <w:szCs w:val="20"/>
        </w:rPr>
        <w:t xml:space="preserve"> apmērā konstatēta SIA "Īslīces ūdens" projektā “Ūdenssaimniecības attīstība Bauskas novada Īslīces pagasta Bērzu ciemā”</w:t>
      </w:r>
      <w:r w:rsidR="00CE6E4A">
        <w:rPr>
          <w:rFonts w:eastAsia="Times New Roman" w:cs="Times New Roman"/>
          <w:szCs w:val="20"/>
        </w:rPr>
        <w:t>, kas klasificējama kā aizdomas par krāpšanu</w:t>
      </w:r>
      <w:r w:rsidRPr="00B9442C">
        <w:rPr>
          <w:rFonts w:eastAsia="Times New Roman" w:cs="Times New Roman"/>
          <w:szCs w:val="20"/>
        </w:rPr>
        <w:t xml:space="preserve">. Pārskata periodā CFLA, izvērtējot piesaistīto ārējo ekspertu ziņojumu un IZM skaidrojumu, secinājusi, ka projekta “Portāla www.skolas.lv attīstība (2.kārta)” ietvaros izstrādātā informācijas sistēma netiek izmantota paredzētajam projekta mērķim, kā arī netiek nodrošināta tās izmantošanas ilgtspēja. Ņemot vērā, ka projekta mērķis nav sasniegts un ir veiktas nelietderīgas projekta izmaksas, neievērojot atbilstošas finanšu vadības, ekonomiskuma, produktivitātes un efektivitātes principus, CFLA konstatējusi neatbilstību un pieņēmusi lēmumu par finanšu korekciju 100% no projekta attiecināmajām izmaksām 3 328 795,2 </w:t>
      </w:r>
      <w:r w:rsidRPr="0042496B">
        <w:rPr>
          <w:rFonts w:eastAsia="Times New Roman" w:cs="Times New Roman"/>
          <w:i/>
          <w:szCs w:val="20"/>
        </w:rPr>
        <w:t>euro</w:t>
      </w:r>
      <w:r w:rsidRPr="00B9442C">
        <w:rPr>
          <w:rFonts w:eastAsia="Times New Roman" w:cs="Times New Roman"/>
          <w:szCs w:val="20"/>
        </w:rPr>
        <w:t xml:space="preserve"> (100,0 % ERAF daļa) apmērā.</w:t>
      </w:r>
      <w:r w:rsidR="00C61FF5">
        <w:rPr>
          <w:rFonts w:eastAsia="Times New Roman" w:cs="Times New Roman"/>
          <w:szCs w:val="20"/>
        </w:rPr>
        <w:t xml:space="preserve"> </w:t>
      </w:r>
      <w:r w:rsidR="00BF352F" w:rsidRPr="00BF352F">
        <w:rPr>
          <w:rFonts w:eastAsia="Times New Roman" w:cs="Times New Roman"/>
          <w:szCs w:val="20"/>
        </w:rPr>
        <w:t>IZM informē par procesā esošu dienesta pārbaudi atbilstoši Valsts pārvaldes iekārtas likuma 35.panta pirmajai daļai un pēc dienesta pārbaudes atzinuma saņemšanas, ja nepieciešamas, ierosinās disciplinārlietu pret atbildīgajām amatpersonām un pārvaldes amatpersonām.</w:t>
      </w:r>
      <w:r w:rsidR="00690D59">
        <w:rPr>
          <w:rFonts w:eastAsia="Times New Roman" w:cs="Times New Roman"/>
          <w:szCs w:val="20"/>
        </w:rPr>
        <w:t xml:space="preserve"> </w:t>
      </w:r>
      <w:r w:rsidR="006C5F85" w:rsidRPr="006C5F85">
        <w:rPr>
          <w:rFonts w:eastAsia="Times New Roman" w:cs="Times New Roman"/>
          <w:szCs w:val="20"/>
        </w:rPr>
        <w:t xml:space="preserve">CFLA 2014.gadā, veicot </w:t>
      </w:r>
      <w:r w:rsidR="00A42CC9">
        <w:rPr>
          <w:rFonts w:eastAsia="Times New Roman" w:cs="Times New Roman"/>
          <w:szCs w:val="20"/>
        </w:rPr>
        <w:t xml:space="preserve">Kultūras informācijas sistēmas centra (turpmāk – </w:t>
      </w:r>
      <w:r w:rsidR="006C5F85" w:rsidRPr="006C5F85">
        <w:rPr>
          <w:rFonts w:eastAsia="Times New Roman" w:cs="Times New Roman"/>
          <w:iCs/>
          <w:szCs w:val="20"/>
        </w:rPr>
        <w:t>KISC</w:t>
      </w:r>
      <w:r w:rsidR="00A42CC9">
        <w:rPr>
          <w:rFonts w:eastAsia="Times New Roman" w:cs="Times New Roman"/>
          <w:iCs/>
          <w:szCs w:val="20"/>
        </w:rPr>
        <w:t>)</w:t>
      </w:r>
      <w:r w:rsidR="006C5F85" w:rsidRPr="006C5F85">
        <w:rPr>
          <w:rFonts w:eastAsia="Times New Roman" w:cs="Times New Roman"/>
          <w:iCs/>
          <w:szCs w:val="20"/>
        </w:rPr>
        <w:t xml:space="preserve"> projekta 3DP/3.2.2.1.1/08/IPIA/IUMEPLS/015 „Nacionālā muzeju krājuma kopkataloga pilnveidošana” 2. kārta” kandidātu atlases nolikuma pārbaudi kopkataloga izstrādes, ieviešanas un uzturēšanas iepirkumam, secināja, ka KISC izvirzījis ar iepirkuma priekšmetu nesamērīgas prasības pretendentu un viņu speciālistu pieredzei, tādējādi radot nepamatotus ierobežojumus konkurencei iepirkumā. CFLA piemēroja piemēroto finanšu korekciju 25% apmērā no attiecīgā līguma vērtības 374 798,3 </w:t>
      </w:r>
      <w:r w:rsidR="006C5F85" w:rsidRPr="00E464B8">
        <w:rPr>
          <w:rFonts w:eastAsia="Times New Roman" w:cs="Times New Roman"/>
          <w:i/>
          <w:iCs/>
          <w:szCs w:val="20"/>
        </w:rPr>
        <w:t>euro</w:t>
      </w:r>
      <w:r w:rsidR="006C5F85" w:rsidRPr="006C5F85">
        <w:rPr>
          <w:rFonts w:eastAsia="Times New Roman" w:cs="Times New Roman"/>
          <w:iCs/>
          <w:szCs w:val="20"/>
        </w:rPr>
        <w:t xml:space="preserve"> apmērā. IUB kā funkcionāli augstākā iestāde 2010.gadā, atbilstoši tobrīd spēkā esošajam normatīvo aktu regulējumam, bija veikusi augstāk minētā iepirkuma kandidātu atlases nolikuma pirmspārbaudi. IUB bija konstatējusi trūkumus, ko KISC novērsis, un pēc iepirkuma kandidātu atlases nolikuma grozījumu pārbaudes, IUB saskaņojis iepirkuma kandidātu atlases nolikuma dokumentāciju, sniedzot pozitīvu atzinumu, t.sk. neizvirzot nekādus iebildumus par predendentu pieredzes prasībām. </w:t>
      </w:r>
      <w:r w:rsidR="006C5F85">
        <w:rPr>
          <w:rFonts w:eastAsia="Times New Roman" w:cs="Times New Roman"/>
          <w:iCs/>
          <w:szCs w:val="20"/>
        </w:rPr>
        <w:t>Izskatot</w:t>
      </w:r>
      <w:r w:rsidR="006C5F85" w:rsidRPr="006C5F85">
        <w:rPr>
          <w:rFonts w:eastAsia="Times New Roman" w:cs="Times New Roman"/>
          <w:iCs/>
          <w:szCs w:val="20"/>
        </w:rPr>
        <w:t xml:space="preserve"> visus argumentus</w:t>
      </w:r>
      <w:r w:rsidR="006C5F85">
        <w:rPr>
          <w:rFonts w:eastAsia="Times New Roman" w:cs="Times New Roman"/>
          <w:iCs/>
          <w:szCs w:val="20"/>
        </w:rPr>
        <w:t>,</w:t>
      </w:r>
      <w:r w:rsidR="006C5F85" w:rsidRPr="006C5F85">
        <w:rPr>
          <w:rFonts w:eastAsia="Times New Roman" w:cs="Times New Roman"/>
          <w:iCs/>
          <w:szCs w:val="20"/>
        </w:rPr>
        <w:t xml:space="preserve"> secināms, ka KISC veicis visas iespējamās darbības, lai iepirkuma kandidātu atlases nolikuma dokumentācija būtu leģitīma</w:t>
      </w:r>
      <w:r w:rsidR="006C5F85">
        <w:rPr>
          <w:rFonts w:eastAsia="Times New Roman" w:cs="Times New Roman"/>
          <w:iCs/>
          <w:szCs w:val="20"/>
        </w:rPr>
        <w:t xml:space="preserve">, un atbilstu </w:t>
      </w:r>
      <w:r w:rsidR="006C5F85" w:rsidRPr="006C5F85">
        <w:rPr>
          <w:rFonts w:eastAsia="Times New Roman" w:cs="Times New Roman"/>
          <w:iCs/>
          <w:szCs w:val="20"/>
        </w:rPr>
        <w:t>tobrīd spēkā esošajam normatīvo aktu regulējumam</w:t>
      </w:r>
      <w:r w:rsidR="006C5F85">
        <w:rPr>
          <w:rStyle w:val="CommentReference"/>
        </w:rPr>
        <w:t>.</w:t>
      </w:r>
    </w:p>
    <w:p w14:paraId="78DDFBA5" w14:textId="4D50E44A" w:rsidR="00B9442C" w:rsidRPr="00B9442C" w:rsidRDefault="00245E75" w:rsidP="00B9442C">
      <w:pPr>
        <w:spacing w:before="120" w:line="276" w:lineRule="auto"/>
        <w:jc w:val="both"/>
        <w:rPr>
          <w:rFonts w:eastAsia="EUAlbertina-Bold-Identity-H" w:cs="Times New Roman"/>
          <w:color w:val="000000"/>
          <w:szCs w:val="24"/>
          <w:lang w:eastAsia="lv-LV"/>
        </w:rPr>
      </w:pPr>
      <w:r w:rsidRPr="00245E75">
        <w:rPr>
          <w:rFonts w:eastAsia="Calibri" w:cs="Times New Roman"/>
          <w:szCs w:val="24"/>
        </w:rPr>
        <w:t>Ņemot vērā informatīvajā ziņojumā par 2014.gada 3.ceturksni sniegto informāciju par apakšaktivitātes "Ģimenes ārstu tīkla attīstība" projektos iegādātiem vairāku LR normatīvo aktu prasībām un EK direktīvai neat</w:t>
      </w:r>
      <w:r>
        <w:rPr>
          <w:rFonts w:eastAsia="Calibri" w:cs="Times New Roman"/>
          <w:szCs w:val="24"/>
        </w:rPr>
        <w:t>bilstošiem svariem, 2014. gada 4</w:t>
      </w:r>
      <w:r w:rsidRPr="00245E75">
        <w:rPr>
          <w:rFonts w:eastAsia="Calibri" w:cs="Times New Roman"/>
          <w:szCs w:val="24"/>
        </w:rPr>
        <w:t>.ceturksnī CFLA ir pieņēmusi lēmumus par neatbilstībām 11</w:t>
      </w:r>
      <w:r>
        <w:rPr>
          <w:rFonts w:eastAsia="Calibri" w:cs="Times New Roman"/>
          <w:szCs w:val="24"/>
        </w:rPr>
        <w:t xml:space="preserve">3 projektos </w:t>
      </w:r>
      <w:r w:rsidRPr="00245E75">
        <w:rPr>
          <w:rFonts w:eastAsia="Calibri" w:cs="Times New Roman"/>
          <w:szCs w:val="24"/>
        </w:rPr>
        <w:t>33,</w:t>
      </w:r>
      <w:r>
        <w:rPr>
          <w:rFonts w:eastAsia="Calibri" w:cs="Times New Roman"/>
          <w:szCs w:val="24"/>
        </w:rPr>
        <w:t>9</w:t>
      </w:r>
      <w:r w:rsidRPr="00245E75">
        <w:rPr>
          <w:rFonts w:eastAsia="Calibri" w:cs="Times New Roman"/>
          <w:szCs w:val="24"/>
        </w:rPr>
        <w:t xml:space="preserve"> tūkst. </w:t>
      </w:r>
      <w:r w:rsidRPr="00245E75">
        <w:rPr>
          <w:rFonts w:eastAsia="Calibri" w:cs="Times New Roman"/>
          <w:i/>
          <w:szCs w:val="24"/>
        </w:rPr>
        <w:t>euro</w:t>
      </w:r>
      <w:r>
        <w:rPr>
          <w:rFonts w:eastAsia="Calibri" w:cs="Times New Roman"/>
          <w:szCs w:val="24"/>
        </w:rPr>
        <w:t xml:space="preserve"> apmērā</w:t>
      </w:r>
      <w:r w:rsidRPr="00245E75">
        <w:rPr>
          <w:rFonts w:eastAsia="Calibri" w:cs="Times New Roman"/>
          <w:szCs w:val="24"/>
        </w:rPr>
        <w:t xml:space="preserve">. Saskaņā ar MK 25.11.2014. </w:t>
      </w:r>
      <w:r w:rsidR="00A051FA">
        <w:rPr>
          <w:rFonts w:eastAsia="Calibri" w:cs="Times New Roman"/>
          <w:szCs w:val="24"/>
          <w:u w:val="single"/>
        </w:rPr>
        <w:t>sē</w:t>
      </w:r>
      <w:r w:rsidRPr="00245E75">
        <w:rPr>
          <w:rFonts w:eastAsia="Calibri" w:cs="Times New Roman"/>
          <w:szCs w:val="24"/>
          <w:u w:val="single"/>
        </w:rPr>
        <w:t xml:space="preserve">des protokola Nr.65 83§ </w:t>
      </w:r>
      <w:r>
        <w:rPr>
          <w:rFonts w:eastAsia="Calibri" w:cs="Times New Roman"/>
          <w:szCs w:val="24"/>
          <w:u w:val="single"/>
        </w:rPr>
        <w:t xml:space="preserve">9.punktu </w:t>
      </w:r>
      <w:r w:rsidRPr="00245E75">
        <w:rPr>
          <w:rFonts w:eastAsia="Calibri" w:cs="Times New Roman"/>
          <w:szCs w:val="24"/>
        </w:rPr>
        <w:t xml:space="preserve">apakšaktivitātē "Ģimenes ārstu tīkla attīstība" neatbilstoši veiktie izdevumi par svaru iegādi nav deklarējami Eiropas Komisijai un nav atgūstami no finansējuma saņēmējiem. </w:t>
      </w:r>
      <w:r>
        <w:rPr>
          <w:rFonts w:eastAsia="Calibri" w:cs="Times New Roman"/>
          <w:szCs w:val="24"/>
        </w:rPr>
        <w:t>VM ir</w:t>
      </w:r>
      <w:r w:rsidRPr="00245E75">
        <w:rPr>
          <w:rFonts w:eastAsia="Calibri" w:cs="Times New Roman"/>
          <w:szCs w:val="24"/>
        </w:rPr>
        <w:t xml:space="preserve"> </w:t>
      </w:r>
      <w:r>
        <w:rPr>
          <w:rFonts w:eastAsia="Calibri" w:cs="Times New Roman"/>
          <w:szCs w:val="24"/>
        </w:rPr>
        <w:t>jā</w:t>
      </w:r>
      <w:r w:rsidRPr="00245E75">
        <w:rPr>
          <w:rFonts w:eastAsia="Calibri" w:cs="Times New Roman"/>
          <w:szCs w:val="24"/>
        </w:rPr>
        <w:t>nodrošin</w:t>
      </w:r>
      <w:r w:rsidR="00A051FA">
        <w:rPr>
          <w:rFonts w:eastAsia="Calibri" w:cs="Times New Roman"/>
          <w:szCs w:val="24"/>
        </w:rPr>
        <w:t>a</w:t>
      </w:r>
      <w:r w:rsidRPr="00245E75">
        <w:rPr>
          <w:rFonts w:eastAsia="Calibri" w:cs="Times New Roman"/>
          <w:szCs w:val="24"/>
        </w:rPr>
        <w:t xml:space="preserve"> nepieciešamās darbības minēto neatbilstoši veikto izdevumu atgūšanai no piegādātāja</w:t>
      </w:r>
      <w:r>
        <w:rPr>
          <w:rFonts w:eastAsia="Calibri" w:cs="Times New Roman"/>
          <w:szCs w:val="24"/>
        </w:rPr>
        <w:t xml:space="preserve">. </w:t>
      </w:r>
      <w:r w:rsidRPr="00245E75">
        <w:rPr>
          <w:rFonts w:eastAsia="Calibri" w:cs="Times New Roman"/>
          <w:szCs w:val="24"/>
        </w:rPr>
        <w:t xml:space="preserve">Gadījumā, ja izdevumi nebūs </w:t>
      </w:r>
      <w:r w:rsidRPr="00245E75">
        <w:rPr>
          <w:rFonts w:eastAsia="Calibri" w:cs="Times New Roman"/>
          <w:szCs w:val="24"/>
        </w:rPr>
        <w:lastRenderedPageBreak/>
        <w:t>atgūti līdz plānošanas perioda slēgšanai, tiks virzīts MK lēmums par izdevumu norakstīšanu zaudējumos</w:t>
      </w:r>
      <w:r>
        <w:rPr>
          <w:rFonts w:eastAsia="Calibri" w:cs="Times New Roman"/>
          <w:szCs w:val="24"/>
        </w:rPr>
        <w:t>.</w:t>
      </w:r>
      <w:r w:rsidR="00733837">
        <w:rPr>
          <w:color w:val="000000"/>
          <w:szCs w:val="24"/>
        </w:rPr>
        <w:t>Pārskata periodā</w:t>
      </w:r>
      <w:r w:rsidR="00733837" w:rsidRPr="00B57653">
        <w:rPr>
          <w:color w:val="000000"/>
          <w:szCs w:val="24"/>
        </w:rPr>
        <w:t xml:space="preserve"> </w:t>
      </w:r>
      <w:r w:rsidR="00B9442C" w:rsidRPr="00B9442C">
        <w:rPr>
          <w:rFonts w:eastAsia="EUAlbertina-Bold-Identity-H" w:cs="Times New Roman"/>
          <w:color w:val="000000"/>
          <w:szCs w:val="24"/>
          <w:lang w:eastAsia="lv-LV"/>
        </w:rPr>
        <w:t>saglabājas iepriekšējā pārskata perioda statistika attiecībā uz aktivitātēm, kurās neatbilstību apjoms pret aktivitātē iesniegtajiem maksājumu pieprasījumiem pārsniedz 2% būtiskuma līmeni. Detalizēta informācija pieejama ES fondu interneta vietnē</w:t>
      </w:r>
      <w:r w:rsidR="00B9442C" w:rsidRPr="00B9442C">
        <w:rPr>
          <w:rFonts w:eastAsia="EUAlbertina-Bold-Identity-H" w:cs="Times New Roman"/>
          <w:color w:val="000000"/>
          <w:szCs w:val="24"/>
          <w:vertAlign w:val="superscript"/>
          <w:lang w:eastAsia="lv-LV"/>
        </w:rPr>
        <w:footnoteReference w:id="40"/>
      </w:r>
      <w:r w:rsidR="00B9442C" w:rsidRPr="00B9442C">
        <w:rPr>
          <w:rFonts w:eastAsia="EUAlbertina-Bold-Identity-H" w:cs="Times New Roman"/>
          <w:color w:val="000000"/>
          <w:szCs w:val="24"/>
          <w:lang w:eastAsia="lv-LV"/>
        </w:rPr>
        <w:t xml:space="preserve"> tabulā Nr.3. Tās, galvenokārt, ir aktivitātes, kurās tiek īstenoti apjomīgu investīciju projekti, projekti, kuru īstenošana ietver būvniecības darbu veikšanu, ražošanas līniju un citu tehnoloģiju iepirkšanu uzņēmumu darbības diversificēšanai vai modernizēšanai. Konstatēto neatbilstību finansiālais apjoms galvenokārt tiek pārdalīts citām aktivitātēm, kur to iespējams izmantot atkārtoti, tādējādi mazinot risku ES investīciju efektīvam un lietderīgam izlietojumam. Lai mazinātu neatbilstību skaitu un apjomu, joprojām iestādes regulāri un pēc nepieciešamības nodrošina dažādas preventīvas darbības, kas mērķtiecīgi vērstas uz darbu ar finansējuma saņēmējiem nolūkā skaidrot ES prasības projektu atbilstošai ieviešanai:</w:t>
      </w:r>
    </w:p>
    <w:p w14:paraId="770BCE77" w14:textId="77777777" w:rsidR="00B9442C" w:rsidRPr="00B9442C" w:rsidRDefault="00B9442C" w:rsidP="00B9442C">
      <w:pPr>
        <w:numPr>
          <w:ilvl w:val="0"/>
          <w:numId w:val="38"/>
        </w:numPr>
        <w:spacing w:before="120" w:after="120" w:line="276" w:lineRule="auto"/>
        <w:contextualSpacing/>
        <w:jc w:val="both"/>
        <w:rPr>
          <w:rFonts w:eastAsia="EUAlbertina-Bold-Identity-H" w:cs="Times New Roman"/>
          <w:color w:val="000000"/>
          <w:szCs w:val="24"/>
          <w:lang w:eastAsia="lv-LV"/>
        </w:rPr>
      </w:pPr>
      <w:r w:rsidRPr="00B9442C">
        <w:rPr>
          <w:rFonts w:eastAsia="EUAlbertina-Bold-Identity-H" w:cs="Times New Roman"/>
          <w:color w:val="000000"/>
          <w:szCs w:val="24"/>
          <w:lang w:eastAsia="lv-LV"/>
        </w:rPr>
        <w:t>individuālas konsultācijas;</w:t>
      </w:r>
    </w:p>
    <w:p w14:paraId="1AFCB03B" w14:textId="77777777" w:rsidR="00B9442C" w:rsidRPr="00B9442C" w:rsidRDefault="00B9442C" w:rsidP="00B9442C">
      <w:pPr>
        <w:numPr>
          <w:ilvl w:val="0"/>
          <w:numId w:val="38"/>
        </w:numPr>
        <w:spacing w:before="120" w:after="200" w:line="276" w:lineRule="auto"/>
        <w:contextualSpacing/>
        <w:jc w:val="both"/>
        <w:rPr>
          <w:rFonts w:eastAsia="EUAlbertina-Bold-Identity-H" w:cs="Times New Roman"/>
          <w:color w:val="000000"/>
          <w:szCs w:val="24"/>
          <w:lang w:eastAsia="lv-LV"/>
        </w:rPr>
      </w:pPr>
      <w:r w:rsidRPr="00B9442C">
        <w:rPr>
          <w:rFonts w:eastAsia="EUAlbertina-Bold-Identity-H" w:cs="Times New Roman"/>
          <w:color w:val="000000"/>
          <w:szCs w:val="24"/>
          <w:lang w:eastAsia="lv-LV"/>
        </w:rPr>
        <w:t>biežāk pieļauto kļūdu un to novēršanai veicamo darbību apkopojumu publicēšana;</w:t>
      </w:r>
    </w:p>
    <w:p w14:paraId="6B018ACB" w14:textId="77777777" w:rsidR="00B9442C" w:rsidRPr="00B9442C" w:rsidRDefault="00B9442C" w:rsidP="00B9442C">
      <w:pPr>
        <w:numPr>
          <w:ilvl w:val="0"/>
          <w:numId w:val="38"/>
        </w:numPr>
        <w:spacing w:before="120" w:after="200" w:line="276" w:lineRule="auto"/>
        <w:contextualSpacing/>
        <w:jc w:val="both"/>
        <w:rPr>
          <w:rFonts w:eastAsia="EUAlbertina-Bold-Identity-H" w:cs="Times New Roman"/>
          <w:color w:val="000000"/>
          <w:szCs w:val="24"/>
          <w:lang w:eastAsia="lv-LV"/>
        </w:rPr>
      </w:pPr>
      <w:r w:rsidRPr="00B9442C">
        <w:rPr>
          <w:rFonts w:eastAsia="EUAlbertina-Bold-Identity-H" w:cs="Times New Roman"/>
          <w:color w:val="000000"/>
          <w:szCs w:val="24"/>
          <w:lang w:eastAsia="lv-LV"/>
        </w:rPr>
        <w:t>iepirkumu dokumentācijas pirmspārbaudes;</w:t>
      </w:r>
    </w:p>
    <w:p w14:paraId="353672E6" w14:textId="77777777" w:rsidR="00B9442C" w:rsidRPr="00B9442C" w:rsidRDefault="00B9442C" w:rsidP="00B9442C">
      <w:pPr>
        <w:numPr>
          <w:ilvl w:val="0"/>
          <w:numId w:val="38"/>
        </w:numPr>
        <w:spacing w:before="120" w:after="200" w:line="276" w:lineRule="auto"/>
        <w:contextualSpacing/>
        <w:jc w:val="both"/>
        <w:rPr>
          <w:rFonts w:eastAsia="EUAlbertina-Bold-Identity-H" w:cs="Times New Roman"/>
          <w:color w:val="000000"/>
          <w:szCs w:val="24"/>
          <w:lang w:eastAsia="lv-LV"/>
        </w:rPr>
      </w:pPr>
      <w:r w:rsidRPr="00B9442C">
        <w:rPr>
          <w:rFonts w:eastAsia="EUAlbertina-Bold-Identity-H" w:cs="Times New Roman"/>
          <w:color w:val="000000"/>
          <w:szCs w:val="24"/>
          <w:lang w:eastAsia="lv-LV"/>
        </w:rPr>
        <w:t>informatīvi semināri konkrētām finansējuma saņēmēju grupām.</w:t>
      </w:r>
    </w:p>
    <w:p w14:paraId="17590225" w14:textId="77777777" w:rsidR="00C90EB0" w:rsidRDefault="00B9442C" w:rsidP="00C90EB0">
      <w:pPr>
        <w:spacing w:before="120" w:after="120" w:line="276" w:lineRule="auto"/>
        <w:ind w:left="-284"/>
        <w:jc w:val="both"/>
        <w:rPr>
          <w:rFonts w:eastAsia="EUAlbertina-Bold-Identity-H" w:cs="Times New Roman"/>
          <w:color w:val="000000"/>
          <w:szCs w:val="24"/>
          <w:lang w:eastAsia="lv-LV"/>
        </w:rPr>
      </w:pPr>
      <w:r w:rsidRPr="00B9442C">
        <w:rPr>
          <w:rFonts w:eastAsia="EUAlbertina-Bold-Identity-H" w:cs="Times New Roman"/>
          <w:color w:val="000000"/>
          <w:szCs w:val="24"/>
          <w:lang w:eastAsia="lv-LV"/>
        </w:rPr>
        <w:t xml:space="preserve">Būtiski ir analizēt neatbilstību rašanās iemeslus, tādējādi attīstot darbības turpmāku neatbilstību rašanās risku novēršanai. Attiecīgi secināms, ka pārsvarā neatbilstības iepirkumu jomā saistītas ar būtisku grozījumu veikšanu jau noslēgtos iepirkuma līgumos, kā arī vienlīdzīga principa pārkāpums iepirkumā, tāpat pārkāpumi saistāmi ar papildu darbu veikšana un termiņa pagarināšana bez atbilstošas iepirkuma procedūras u.c. 2014.gadā noritēja aktīvs darbs pie būvniecības nozares sakārtošanas jautājumiem, t.sk. </w:t>
      </w:r>
      <w:r w:rsidR="00733837">
        <w:rPr>
          <w:color w:val="000000"/>
          <w:szCs w:val="24"/>
        </w:rPr>
        <w:t>pārskata periodā</w:t>
      </w:r>
      <w:r w:rsidR="00733837" w:rsidRPr="00B57653">
        <w:rPr>
          <w:color w:val="000000"/>
          <w:szCs w:val="24"/>
        </w:rPr>
        <w:t xml:space="preserve"> </w:t>
      </w:r>
      <w:r w:rsidRPr="00B9442C">
        <w:rPr>
          <w:rFonts w:eastAsia="EUAlbertina-Bold-Identity-H" w:cs="Times New Roman"/>
          <w:color w:val="000000"/>
          <w:szCs w:val="24"/>
          <w:lang w:eastAsia="lv-LV"/>
        </w:rPr>
        <w:t xml:space="preserve">stājās spēkā jaunais būvniecības nozares regulējums, kā rezultātā tiek sagaidīta stabila un ilgtspējīga nozares attīstība, kā </w:t>
      </w:r>
      <w:r w:rsidRPr="00581642">
        <w:rPr>
          <w:rFonts w:eastAsia="EUAlbertina-Bold-Identity-H" w:cs="Times New Roman"/>
          <w:color w:val="000000"/>
          <w:szCs w:val="24"/>
          <w:lang w:eastAsia="lv-LV"/>
        </w:rPr>
        <w:t xml:space="preserve">rezultātā varētu samazināties arī neatbilstību apjoms ar būvniecību saistītos ES fondu projektos. </w:t>
      </w:r>
      <w:r w:rsidR="00023781" w:rsidRPr="00581642">
        <w:rPr>
          <w:rFonts w:eastAsia="EUAlbertina-Bold-Identity-H" w:cs="Times New Roman"/>
          <w:color w:val="000000"/>
          <w:szCs w:val="24"/>
          <w:lang w:eastAsia="lv-LV"/>
        </w:rPr>
        <w:t>Grafikā Nr.19</w:t>
      </w:r>
      <w:r w:rsidRPr="00581642">
        <w:rPr>
          <w:rFonts w:eastAsia="EUAlbertina-Bold-Identity-H" w:cs="Times New Roman"/>
          <w:color w:val="000000"/>
          <w:szCs w:val="24"/>
          <w:lang w:eastAsia="lv-LV"/>
        </w:rPr>
        <w:t xml:space="preserve"> apkopoti</w:t>
      </w:r>
      <w:r w:rsidRPr="00B9442C">
        <w:rPr>
          <w:rFonts w:eastAsia="EUAlbertina-Bold-Identity-H" w:cs="Times New Roman"/>
          <w:color w:val="000000"/>
          <w:szCs w:val="24"/>
          <w:lang w:eastAsia="lv-LV"/>
        </w:rPr>
        <w:t xml:space="preserve"> neatbilstību dati par 2014.gadu ceturkšņu un neatbilstību veidu griezumos.</w:t>
      </w:r>
    </w:p>
    <w:p w14:paraId="2E88E94A" w14:textId="77777777" w:rsidR="003721EE" w:rsidRDefault="003721EE" w:rsidP="00C90EB0">
      <w:pPr>
        <w:spacing w:before="120" w:after="120" w:line="276" w:lineRule="auto"/>
        <w:ind w:left="-284"/>
        <w:jc w:val="both"/>
        <w:rPr>
          <w:rFonts w:eastAsia="EUAlbertina-Bold-Identity-H" w:cs="Times New Roman"/>
          <w:color w:val="000000"/>
          <w:szCs w:val="24"/>
          <w:lang w:eastAsia="lv-LV"/>
        </w:rPr>
      </w:pPr>
    </w:p>
    <w:p w14:paraId="556A94D2" w14:textId="77777777" w:rsidR="003721EE" w:rsidRDefault="003721EE" w:rsidP="00C90EB0">
      <w:pPr>
        <w:spacing w:before="120" w:after="120" w:line="276" w:lineRule="auto"/>
        <w:ind w:left="-284"/>
        <w:jc w:val="both"/>
        <w:rPr>
          <w:rFonts w:eastAsia="EUAlbertina-Bold-Identity-H" w:cs="Times New Roman"/>
          <w:color w:val="000000"/>
          <w:szCs w:val="24"/>
          <w:lang w:eastAsia="lv-LV"/>
        </w:rPr>
      </w:pPr>
    </w:p>
    <w:p w14:paraId="74DC2D6E" w14:textId="77777777" w:rsidR="003721EE" w:rsidRDefault="003721EE" w:rsidP="00C90EB0">
      <w:pPr>
        <w:spacing w:before="120" w:after="120" w:line="276" w:lineRule="auto"/>
        <w:ind w:left="-284"/>
        <w:jc w:val="both"/>
        <w:rPr>
          <w:rFonts w:eastAsia="EUAlbertina-Bold-Identity-H" w:cs="Times New Roman"/>
          <w:color w:val="000000"/>
          <w:szCs w:val="24"/>
          <w:lang w:eastAsia="lv-LV"/>
        </w:rPr>
      </w:pPr>
    </w:p>
    <w:p w14:paraId="3DC7B971" w14:textId="77777777" w:rsidR="003721EE" w:rsidRDefault="003721EE" w:rsidP="00C90EB0">
      <w:pPr>
        <w:spacing w:before="120" w:after="120" w:line="276" w:lineRule="auto"/>
        <w:ind w:left="-284"/>
        <w:jc w:val="both"/>
        <w:rPr>
          <w:rFonts w:eastAsia="EUAlbertina-Bold-Identity-H" w:cs="Times New Roman"/>
          <w:color w:val="000000"/>
          <w:szCs w:val="24"/>
          <w:lang w:eastAsia="lv-LV"/>
        </w:rPr>
      </w:pPr>
    </w:p>
    <w:p w14:paraId="3221EDDB" w14:textId="77777777" w:rsidR="003721EE" w:rsidRDefault="003721EE" w:rsidP="00C90EB0">
      <w:pPr>
        <w:spacing w:before="120" w:after="120" w:line="276" w:lineRule="auto"/>
        <w:ind w:left="-284"/>
        <w:jc w:val="both"/>
        <w:rPr>
          <w:rFonts w:eastAsia="EUAlbertina-Bold-Identity-H" w:cs="Times New Roman"/>
          <w:color w:val="000000"/>
          <w:szCs w:val="24"/>
          <w:lang w:eastAsia="lv-LV"/>
        </w:rPr>
      </w:pPr>
    </w:p>
    <w:p w14:paraId="5AAEC12D" w14:textId="77777777" w:rsidR="003721EE" w:rsidRDefault="003721EE" w:rsidP="00C90EB0">
      <w:pPr>
        <w:spacing w:before="120" w:after="120" w:line="276" w:lineRule="auto"/>
        <w:ind w:left="-284"/>
        <w:jc w:val="both"/>
        <w:rPr>
          <w:rFonts w:eastAsia="EUAlbertina-Bold-Identity-H" w:cs="Times New Roman"/>
          <w:color w:val="000000"/>
          <w:szCs w:val="24"/>
          <w:lang w:eastAsia="lv-LV"/>
        </w:rPr>
      </w:pPr>
    </w:p>
    <w:p w14:paraId="7D35B449" w14:textId="77777777" w:rsidR="003721EE" w:rsidRDefault="003721EE" w:rsidP="00C90EB0">
      <w:pPr>
        <w:spacing w:before="120" w:after="120" w:line="276" w:lineRule="auto"/>
        <w:ind w:left="-284"/>
        <w:jc w:val="both"/>
        <w:rPr>
          <w:rFonts w:eastAsia="EUAlbertina-Bold-Identity-H" w:cs="Times New Roman"/>
          <w:color w:val="000000"/>
          <w:szCs w:val="24"/>
          <w:lang w:eastAsia="lv-LV"/>
        </w:rPr>
      </w:pPr>
    </w:p>
    <w:p w14:paraId="105245AA" w14:textId="77777777" w:rsidR="003721EE" w:rsidRDefault="003721EE" w:rsidP="00C90EB0">
      <w:pPr>
        <w:spacing w:before="120" w:after="120" w:line="276" w:lineRule="auto"/>
        <w:ind w:left="-284"/>
        <w:jc w:val="both"/>
        <w:rPr>
          <w:rFonts w:eastAsia="EUAlbertina-Bold-Identity-H" w:cs="Times New Roman"/>
          <w:color w:val="000000"/>
          <w:szCs w:val="24"/>
          <w:lang w:eastAsia="lv-LV"/>
        </w:rPr>
      </w:pPr>
    </w:p>
    <w:p w14:paraId="3F474906" w14:textId="77777777" w:rsidR="003721EE" w:rsidRDefault="003721EE" w:rsidP="00C90EB0">
      <w:pPr>
        <w:spacing w:before="120" w:after="120" w:line="276" w:lineRule="auto"/>
        <w:ind w:left="-284"/>
        <w:jc w:val="both"/>
        <w:rPr>
          <w:rFonts w:eastAsia="EUAlbertina-Bold-Identity-H" w:cs="Times New Roman"/>
          <w:color w:val="000000"/>
          <w:szCs w:val="24"/>
          <w:lang w:eastAsia="lv-LV"/>
        </w:rPr>
      </w:pPr>
    </w:p>
    <w:p w14:paraId="2CC942D9" w14:textId="77777777" w:rsidR="003721EE" w:rsidRDefault="003721EE" w:rsidP="00C90EB0">
      <w:pPr>
        <w:spacing w:before="120" w:after="120" w:line="276" w:lineRule="auto"/>
        <w:ind w:left="-284"/>
        <w:jc w:val="both"/>
        <w:rPr>
          <w:rFonts w:eastAsia="EUAlbertina-Bold-Identity-H" w:cs="Times New Roman"/>
          <w:color w:val="000000"/>
          <w:szCs w:val="24"/>
          <w:lang w:eastAsia="lv-LV"/>
        </w:rPr>
      </w:pPr>
    </w:p>
    <w:p w14:paraId="0A7DD4E2" w14:textId="4CB414DD" w:rsidR="00B9442C" w:rsidRPr="00C90EB0" w:rsidRDefault="00023781" w:rsidP="00C90EB0">
      <w:pPr>
        <w:spacing w:before="120" w:after="120" w:line="276" w:lineRule="auto"/>
        <w:ind w:left="-284"/>
        <w:jc w:val="both"/>
        <w:rPr>
          <w:rFonts w:eastAsia="EUAlbertina-Bold-Identity-H" w:cs="Times New Roman"/>
          <w:color w:val="000000"/>
          <w:szCs w:val="24"/>
          <w:lang w:eastAsia="lv-LV"/>
        </w:rPr>
      </w:pPr>
      <w:r w:rsidRPr="00581642">
        <w:rPr>
          <w:rFonts w:eastAsia="EUAlbertina-Bold-Identity-H" w:cs="Times New Roman"/>
          <w:color w:val="000000"/>
          <w:szCs w:val="24"/>
          <w:lang w:eastAsia="lv-LV"/>
        </w:rPr>
        <w:lastRenderedPageBreak/>
        <w:t>Grafiks Nr.19</w:t>
      </w:r>
      <w:r w:rsidR="00B9442C" w:rsidRPr="00581642">
        <w:rPr>
          <w:rFonts w:eastAsia="EUAlbertina-Bold-Identity-H" w:cs="Times New Roman"/>
          <w:color w:val="000000"/>
          <w:szCs w:val="24"/>
          <w:lang w:eastAsia="lv-LV"/>
        </w:rPr>
        <w:t xml:space="preserve"> </w:t>
      </w:r>
      <w:r w:rsidR="00B9442C" w:rsidRPr="00581642">
        <w:rPr>
          <w:rFonts w:eastAsia="EUAlbertina-Bold-Identity-H" w:cs="Times New Roman"/>
          <w:i/>
          <w:color w:val="000000"/>
          <w:szCs w:val="24"/>
          <w:lang w:eastAsia="lv-LV"/>
        </w:rPr>
        <w:t>„Konstatētās</w:t>
      </w:r>
      <w:r w:rsidR="00B9442C" w:rsidRPr="00B9442C">
        <w:rPr>
          <w:rFonts w:eastAsia="EUAlbertina-Bold-Identity-H" w:cs="Times New Roman"/>
          <w:i/>
          <w:color w:val="000000"/>
          <w:szCs w:val="24"/>
          <w:lang w:eastAsia="lv-LV"/>
        </w:rPr>
        <w:t xml:space="preserve"> neatbilstības sadalījumā pa neatbilstību veidiem uz 2014.gada 31.decembri ceturkšņu griezumā, milj. euro.”</w:t>
      </w:r>
    </w:p>
    <w:p w14:paraId="185C93EE" w14:textId="77777777" w:rsidR="00B9442C" w:rsidRPr="00B9442C" w:rsidRDefault="00B9442C" w:rsidP="00B9442C">
      <w:pPr>
        <w:spacing w:before="120" w:after="120" w:line="276" w:lineRule="auto"/>
        <w:ind w:left="-284"/>
        <w:jc w:val="both"/>
        <w:rPr>
          <w:rFonts w:eastAsia="EUAlbertina-Bold-Identity-H" w:cs="Times New Roman"/>
          <w:color w:val="000000"/>
          <w:szCs w:val="24"/>
          <w:highlight w:val="yellow"/>
          <w:lang w:eastAsia="lv-LV"/>
        </w:rPr>
      </w:pPr>
      <w:r w:rsidRPr="00B9442C">
        <w:rPr>
          <w:rFonts w:eastAsia="Times New Roman" w:cs="Times New Roman"/>
          <w:noProof/>
          <w:szCs w:val="20"/>
          <w:lang w:eastAsia="lv-LV"/>
        </w:rPr>
        <w:drawing>
          <wp:inline distT="0" distB="0" distL="0" distR="0" wp14:anchorId="191C3557" wp14:editId="188CE403">
            <wp:extent cx="5597718" cy="3490623"/>
            <wp:effectExtent l="57150" t="57150" r="41275" b="5270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453287B" w14:textId="77777777" w:rsidR="00B9442C" w:rsidRPr="00B9442C" w:rsidRDefault="00B9442C" w:rsidP="00B9442C">
      <w:pPr>
        <w:spacing w:before="120" w:after="120" w:line="276" w:lineRule="auto"/>
        <w:jc w:val="both"/>
        <w:rPr>
          <w:rFonts w:eastAsia="EUAlbertina-Bold-Identity-H" w:cs="Times New Roman"/>
          <w:color w:val="000000"/>
          <w:szCs w:val="24"/>
          <w:lang w:eastAsia="lv-LV"/>
        </w:rPr>
      </w:pPr>
      <w:r w:rsidRPr="00B9442C">
        <w:rPr>
          <w:rFonts w:eastAsia="EUAlbertina-Bold-Identity-H" w:cs="Times New Roman"/>
          <w:color w:val="000000"/>
          <w:szCs w:val="24"/>
          <w:lang w:eastAsia="lv-LV"/>
        </w:rPr>
        <w:t>Pozitīvi vērtējams, ka uz 2014.gada 31.decembri joprojām vērojams samazinājums neatbilstību procentuālajam apjomam aizdomām par krāpšanu vai organizēto noziedzību (8,5% no kopējā neatbilstību apjoma). Salīdzinājumam uz 2013.gada 31.decembri šis rādītājs bija 8,7%, savukārt 2012.gada 31.decembri</w:t>
      </w:r>
      <w:r w:rsidRPr="00B9442C">
        <w:rPr>
          <w:rFonts w:eastAsia="Times New Roman" w:cs="Times New Roman"/>
          <w:szCs w:val="20"/>
        </w:rPr>
        <w:t xml:space="preserve"> – 14,1%. Secināms, ka pasākumi krāpšanas risku mazināšanai ir efektīvi un tiek sasniegti pozitīvi rezultāti. </w:t>
      </w:r>
      <w:r w:rsidRPr="00B9442C">
        <w:rPr>
          <w:rFonts w:eastAsia="EUAlbertina-Bold-Identity-H" w:cs="Times New Roman"/>
          <w:color w:val="000000"/>
          <w:szCs w:val="24"/>
          <w:lang w:eastAsia="lv-LV"/>
        </w:rPr>
        <w:t>Par šiem gadījumiem informācija ir sniegta tiesībsargājošajās institūcijās nepieciešamās izmeklēšanas veikšanai. Arī turpmāk, t.sk. jaunajā 2014.-2020.gada plānošanas periodā saskaņā ar EK prasībām</w:t>
      </w:r>
      <w:r w:rsidRPr="00B9442C">
        <w:rPr>
          <w:rFonts w:eastAsia="EUAlbertina-Bold-Identity-H" w:cs="Times New Roman"/>
          <w:color w:val="000000"/>
          <w:szCs w:val="24"/>
          <w:vertAlign w:val="superscript"/>
          <w:lang w:eastAsia="lv-LV"/>
        </w:rPr>
        <w:footnoteReference w:id="41"/>
      </w:r>
      <w:r w:rsidRPr="00B9442C">
        <w:rPr>
          <w:rFonts w:eastAsia="EUAlbertina-Bold-Identity-H" w:cs="Times New Roman"/>
          <w:color w:val="000000"/>
          <w:szCs w:val="24"/>
          <w:lang w:eastAsia="lv-LV"/>
        </w:rPr>
        <w:t xml:space="preserve"> liela nozīme un vērība tiks veltīta dažādu krāpšanas risku mazināšanas pasākumu uzlabošanai un pilnveidošanai. Pārskata periodā tika uzsākta krāpšanas risku pašnovērtējuma veikšana ES fondu vadībā iesaistītajās iestādēs. Šobrīd tiek apkopoti rezultāti un veikta to analīze, atbilstoši kurai tiks plānoti horizontāli nepieciešami pasākumi, lai nodrošinātu krāpšanas risku līmeņa maksimālu tuvināšanu nulles līmenim.</w:t>
      </w:r>
    </w:p>
    <w:p w14:paraId="1544E308" w14:textId="4D773009" w:rsidR="00B9442C" w:rsidRPr="00581642" w:rsidRDefault="00B9442C" w:rsidP="00B9442C">
      <w:pPr>
        <w:spacing w:before="120" w:after="120" w:line="276" w:lineRule="auto"/>
        <w:jc w:val="both"/>
        <w:rPr>
          <w:rFonts w:eastAsia="EUAlbertina-Bold-Identity-H" w:cs="Times New Roman"/>
          <w:color w:val="000000"/>
          <w:szCs w:val="24"/>
          <w:lang w:eastAsia="lv-LV"/>
        </w:rPr>
      </w:pPr>
      <w:r w:rsidRPr="00B9442C">
        <w:rPr>
          <w:rFonts w:eastAsia="EUAlbertina-Bold-Identity-H" w:cs="Times New Roman"/>
          <w:color w:val="000000"/>
          <w:szCs w:val="24"/>
          <w:lang w:eastAsia="lv-LV"/>
        </w:rPr>
        <w:t xml:space="preserve">Detalizēta informācija par 2007 – 2013.gada plānošanas periodā konstatēto neatbilstību apjomu dalījumā pa finansējumu saņēmēju veidiem un neatbilstību veidiem apkopota </w:t>
      </w:r>
      <w:r w:rsidRPr="00581642">
        <w:rPr>
          <w:rFonts w:eastAsia="EUAlbertina-Bold-Identity-H" w:cs="Times New Roman"/>
          <w:color w:val="000000"/>
          <w:szCs w:val="24"/>
          <w:lang w:eastAsia="lv-LV"/>
        </w:rPr>
        <w:t xml:space="preserve">ziņojuma </w:t>
      </w:r>
      <w:r w:rsidR="00023781" w:rsidRPr="00581642">
        <w:rPr>
          <w:rFonts w:eastAsia="EUAlbertina-Bold-Identity-H" w:cs="Times New Roman"/>
          <w:color w:val="000000"/>
          <w:szCs w:val="24"/>
          <w:lang w:eastAsia="lv-LV"/>
        </w:rPr>
        <w:t>grafikā Nr.20</w:t>
      </w:r>
      <w:r w:rsidRPr="00581642">
        <w:rPr>
          <w:rFonts w:eastAsia="EUAlbertina-Bold-Identity-H" w:cs="Times New Roman"/>
          <w:color w:val="000000"/>
          <w:szCs w:val="24"/>
          <w:lang w:eastAsia="lv-LV"/>
        </w:rPr>
        <w:t>.</w:t>
      </w:r>
    </w:p>
    <w:p w14:paraId="4016463D" w14:textId="77777777" w:rsidR="003721EE" w:rsidRDefault="003721EE" w:rsidP="00B9442C">
      <w:pPr>
        <w:spacing w:before="120" w:after="120" w:line="276" w:lineRule="auto"/>
        <w:jc w:val="both"/>
        <w:rPr>
          <w:rFonts w:eastAsia="EUAlbertina-Bold-Identity-H" w:cs="Times New Roman"/>
          <w:color w:val="000000"/>
          <w:szCs w:val="24"/>
          <w:lang w:eastAsia="lv-LV"/>
        </w:rPr>
      </w:pPr>
    </w:p>
    <w:p w14:paraId="31916FF9" w14:textId="77777777" w:rsidR="003721EE" w:rsidRDefault="003721EE" w:rsidP="00B9442C">
      <w:pPr>
        <w:spacing w:before="120" w:after="120" w:line="276" w:lineRule="auto"/>
        <w:jc w:val="both"/>
        <w:rPr>
          <w:rFonts w:eastAsia="EUAlbertina-Bold-Identity-H" w:cs="Times New Roman"/>
          <w:color w:val="000000"/>
          <w:szCs w:val="24"/>
          <w:lang w:eastAsia="lv-LV"/>
        </w:rPr>
      </w:pPr>
    </w:p>
    <w:p w14:paraId="338166D2" w14:textId="77777777" w:rsidR="003721EE" w:rsidRDefault="003721EE" w:rsidP="00B9442C">
      <w:pPr>
        <w:spacing w:before="120" w:after="120" w:line="276" w:lineRule="auto"/>
        <w:jc w:val="both"/>
        <w:rPr>
          <w:rFonts w:eastAsia="EUAlbertina-Bold-Identity-H" w:cs="Times New Roman"/>
          <w:color w:val="000000"/>
          <w:szCs w:val="24"/>
          <w:lang w:eastAsia="lv-LV"/>
        </w:rPr>
      </w:pPr>
    </w:p>
    <w:p w14:paraId="06524515" w14:textId="77777777" w:rsidR="003721EE" w:rsidRDefault="003721EE" w:rsidP="00B9442C">
      <w:pPr>
        <w:spacing w:before="120" w:after="120" w:line="276" w:lineRule="auto"/>
        <w:jc w:val="both"/>
        <w:rPr>
          <w:rFonts w:eastAsia="EUAlbertina-Bold-Identity-H" w:cs="Times New Roman"/>
          <w:color w:val="000000"/>
          <w:szCs w:val="24"/>
          <w:lang w:eastAsia="lv-LV"/>
        </w:rPr>
      </w:pPr>
    </w:p>
    <w:p w14:paraId="0EC67669" w14:textId="17D5D39B" w:rsidR="00B9442C" w:rsidRPr="00B9442C" w:rsidRDefault="00023781" w:rsidP="00B9442C">
      <w:pPr>
        <w:spacing w:before="120" w:after="120" w:line="276" w:lineRule="auto"/>
        <w:jc w:val="both"/>
        <w:rPr>
          <w:rFonts w:eastAsia="EUAlbertina-Bold-Identity-H" w:cs="Times New Roman"/>
          <w:color w:val="000000"/>
          <w:szCs w:val="24"/>
          <w:highlight w:val="yellow"/>
          <w:lang w:eastAsia="lv-LV"/>
        </w:rPr>
      </w:pPr>
      <w:r w:rsidRPr="00581642">
        <w:rPr>
          <w:rFonts w:eastAsia="EUAlbertina-Bold-Identity-H" w:cs="Times New Roman"/>
          <w:color w:val="000000"/>
          <w:szCs w:val="24"/>
          <w:lang w:eastAsia="lv-LV"/>
        </w:rPr>
        <w:lastRenderedPageBreak/>
        <w:t>Grafiks Nr.20</w:t>
      </w:r>
      <w:r w:rsidR="00B9442C" w:rsidRPr="00581642">
        <w:rPr>
          <w:rFonts w:eastAsia="EUAlbertina-Bold-Identity-H" w:cs="Times New Roman"/>
          <w:color w:val="000000"/>
          <w:szCs w:val="24"/>
          <w:lang w:eastAsia="lv-LV"/>
        </w:rPr>
        <w:t xml:space="preserve"> </w:t>
      </w:r>
      <w:r w:rsidR="00B9442C" w:rsidRPr="00581642">
        <w:rPr>
          <w:rFonts w:eastAsia="EUAlbertina-Bold-Identity-H" w:cs="Times New Roman"/>
          <w:i/>
          <w:color w:val="000000"/>
          <w:szCs w:val="24"/>
          <w:lang w:eastAsia="lv-LV"/>
        </w:rPr>
        <w:t>„Konstatētās</w:t>
      </w:r>
      <w:r w:rsidR="00B9442C" w:rsidRPr="00B9442C">
        <w:rPr>
          <w:rFonts w:eastAsia="EUAlbertina-Bold-Identity-H" w:cs="Times New Roman"/>
          <w:i/>
          <w:color w:val="000000"/>
          <w:szCs w:val="24"/>
          <w:lang w:eastAsia="lv-LV"/>
        </w:rPr>
        <w:t xml:space="preserve"> neatbilstības sadalījumā pa finansējuma saņēmēju veidiem un pa neatbilstību veidiem kumulatīvi uz 2014.gada 31.decembri, milj. euro.</w:t>
      </w:r>
    </w:p>
    <w:p w14:paraId="6EB95F13" w14:textId="1E2FBA72" w:rsidR="00B9442C" w:rsidRPr="00B9442C" w:rsidRDefault="00581642" w:rsidP="00B9442C">
      <w:pPr>
        <w:spacing w:before="120" w:after="120" w:line="276" w:lineRule="auto"/>
        <w:ind w:left="-284"/>
        <w:jc w:val="both"/>
        <w:rPr>
          <w:rFonts w:eastAsia="EUAlbertina-Bold-Identity-H" w:cs="Times New Roman"/>
          <w:color w:val="000000"/>
          <w:szCs w:val="24"/>
          <w:highlight w:val="yellow"/>
          <w:lang w:eastAsia="lv-LV"/>
        </w:rPr>
      </w:pPr>
      <w:r w:rsidRPr="00B9442C">
        <w:rPr>
          <w:rFonts w:eastAsia="Times New Roman" w:cs="Times New Roman"/>
          <w:noProof/>
          <w:szCs w:val="20"/>
          <w:lang w:eastAsia="lv-LV"/>
        </w:rPr>
        <w:drawing>
          <wp:anchor distT="0" distB="0" distL="114300" distR="114300" simplePos="0" relativeHeight="251658240" behindDoc="0" locked="0" layoutInCell="1" allowOverlap="1" wp14:anchorId="5D3F4076" wp14:editId="1FF1166C">
            <wp:simplePos x="0" y="0"/>
            <wp:positionH relativeFrom="column">
              <wp:posOffset>7620</wp:posOffset>
            </wp:positionH>
            <wp:positionV relativeFrom="paragraph">
              <wp:posOffset>280670</wp:posOffset>
            </wp:positionV>
            <wp:extent cx="5613400" cy="3810000"/>
            <wp:effectExtent l="0" t="0" r="6350" b="0"/>
            <wp:wrapTopAndBottom/>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75AC2B1F" w14:textId="77777777" w:rsidR="00AE1B15" w:rsidRDefault="00AE1B15" w:rsidP="00B9442C">
      <w:pPr>
        <w:spacing w:before="120" w:after="120" w:line="276" w:lineRule="auto"/>
        <w:jc w:val="both"/>
        <w:rPr>
          <w:rFonts w:eastAsia="EUAlbertina-Bold-Identity-H" w:cs="Times New Roman"/>
          <w:color w:val="000000"/>
          <w:szCs w:val="24"/>
          <w:lang w:eastAsia="lv-LV"/>
        </w:rPr>
      </w:pPr>
    </w:p>
    <w:p w14:paraId="09AAABEE" w14:textId="77777777" w:rsidR="00B9442C" w:rsidRPr="00B9442C" w:rsidRDefault="00B9442C" w:rsidP="00B9442C">
      <w:pPr>
        <w:spacing w:before="120" w:after="120" w:line="276" w:lineRule="auto"/>
        <w:jc w:val="both"/>
        <w:rPr>
          <w:rFonts w:eastAsia="Calibri" w:cs="Times New Roman"/>
          <w:color w:val="000000"/>
          <w:szCs w:val="24"/>
        </w:rPr>
      </w:pPr>
      <w:r w:rsidRPr="00B9442C">
        <w:rPr>
          <w:rFonts w:eastAsia="Calibri" w:cs="Times New Roman"/>
          <w:color w:val="000000"/>
          <w:szCs w:val="24"/>
        </w:rPr>
        <w:t>Tendences biežākajiem neatbilstību veidiem finansējuma saņēmēju īstenotajos projektos saglabājas iepriekšējo pārskata periodu līmenī. Vērtējot neatbilstību veida „Cita neatbilstība” apjomu jāņem vērā, ka apmēram 50,0% no tā veido 2013.gadā EK konstatētās neatbilstības finanšu instrumentos. Atbrīvotais finansējums pārdalīts citu aktivitāšu īstenošanai. Lai nodrošinātu padziļinātu finansējuma saņēmēju, kā arī ES fondu vadībā iesaistīto iestāžu darbinieku izpratni par galvenajiem neatbilstību rašanās iemesliem un to mazināšanas iespējām, IUB interneta vietnē regulāri tiek aktualizēta informācija par biežāk sastopamajām kļūdām ES fondu projektu iepirkumos, kā arī normatīvo aktu skaidrojumi.</w:t>
      </w:r>
    </w:p>
    <w:p w14:paraId="73927C7C" w14:textId="4CA7E0DC" w:rsidR="00B9442C" w:rsidRPr="00581642" w:rsidRDefault="00B9442C" w:rsidP="00B9442C">
      <w:pPr>
        <w:spacing w:before="120" w:after="120" w:line="276" w:lineRule="auto"/>
        <w:jc w:val="both"/>
        <w:rPr>
          <w:rFonts w:eastAsia="Calibri" w:cs="Times New Roman"/>
          <w:color w:val="000000"/>
          <w:szCs w:val="24"/>
        </w:rPr>
      </w:pPr>
      <w:r w:rsidRPr="00B9442C">
        <w:rPr>
          <w:rFonts w:eastAsia="Calibri" w:cs="Times New Roman"/>
          <w:color w:val="000000"/>
          <w:szCs w:val="24"/>
        </w:rPr>
        <w:t xml:space="preserve">Lai samazinātu neatbilstību apmēru tiešo vai pastarpināto valsts pārvaldes iestāžu, atvasinātu publisku personu vai citas valsts iestāžu īstenotajos projektos, atbilstoši MK 2011.gada 8.marta sēdes protokollēmuma (protokols Nr.14, 21.§) ceturtajam punktam tiek ierosināts piemērot ierēdņu disciplināratbildības principus. Attiecīgi informācija par ierosināto dienesta izmeklēšanu un disciplinārlietu skaitu </w:t>
      </w:r>
      <w:r w:rsidRPr="00581642">
        <w:rPr>
          <w:rFonts w:eastAsia="Calibri" w:cs="Times New Roman"/>
          <w:color w:val="000000"/>
          <w:szCs w:val="24"/>
        </w:rPr>
        <w:t xml:space="preserve">apkopota </w:t>
      </w:r>
      <w:r w:rsidR="00023781" w:rsidRPr="00581642">
        <w:rPr>
          <w:rFonts w:eastAsia="Calibri" w:cs="Times New Roman"/>
          <w:color w:val="000000"/>
          <w:szCs w:val="24"/>
          <w:u w:val="single"/>
        </w:rPr>
        <w:t>tabulā Nr.2</w:t>
      </w:r>
      <w:r w:rsidRPr="00581642">
        <w:rPr>
          <w:rFonts w:eastAsia="Calibri" w:cs="Times New Roman"/>
          <w:color w:val="000000"/>
          <w:szCs w:val="24"/>
          <w:u w:val="single"/>
        </w:rPr>
        <w:t>.</w:t>
      </w:r>
      <w:r w:rsidRPr="00581642">
        <w:rPr>
          <w:rFonts w:eastAsia="Calibri" w:cs="Times New Roman"/>
          <w:color w:val="000000"/>
          <w:szCs w:val="24"/>
        </w:rPr>
        <w:t xml:space="preserve"> </w:t>
      </w:r>
    </w:p>
    <w:p w14:paraId="1D30F259" w14:textId="77777777" w:rsidR="003721EE" w:rsidRDefault="003721EE" w:rsidP="00B9442C">
      <w:pPr>
        <w:spacing w:before="120" w:after="120" w:line="276" w:lineRule="auto"/>
        <w:jc w:val="both"/>
        <w:rPr>
          <w:rFonts w:eastAsia="Calibri" w:cs="Times New Roman"/>
          <w:color w:val="000000"/>
          <w:szCs w:val="24"/>
        </w:rPr>
      </w:pPr>
    </w:p>
    <w:p w14:paraId="79CE1140" w14:textId="77777777" w:rsidR="003721EE" w:rsidRDefault="003721EE" w:rsidP="00B9442C">
      <w:pPr>
        <w:spacing w:before="120" w:after="120" w:line="276" w:lineRule="auto"/>
        <w:jc w:val="both"/>
        <w:rPr>
          <w:rFonts w:eastAsia="Calibri" w:cs="Times New Roman"/>
          <w:color w:val="000000"/>
          <w:szCs w:val="24"/>
        </w:rPr>
      </w:pPr>
    </w:p>
    <w:p w14:paraId="7178CB0B" w14:textId="77777777" w:rsidR="003721EE" w:rsidRDefault="003721EE" w:rsidP="00B9442C">
      <w:pPr>
        <w:spacing w:before="120" w:after="120" w:line="276" w:lineRule="auto"/>
        <w:jc w:val="both"/>
        <w:rPr>
          <w:rFonts w:eastAsia="Calibri" w:cs="Times New Roman"/>
          <w:color w:val="000000"/>
          <w:szCs w:val="24"/>
        </w:rPr>
      </w:pPr>
    </w:p>
    <w:p w14:paraId="42125C82" w14:textId="77777777" w:rsidR="003721EE" w:rsidRDefault="003721EE" w:rsidP="00B9442C">
      <w:pPr>
        <w:spacing w:before="120" w:after="120" w:line="276" w:lineRule="auto"/>
        <w:jc w:val="both"/>
        <w:rPr>
          <w:rFonts w:eastAsia="Calibri" w:cs="Times New Roman"/>
          <w:color w:val="000000"/>
          <w:szCs w:val="24"/>
        </w:rPr>
      </w:pPr>
    </w:p>
    <w:p w14:paraId="55BE95A2" w14:textId="2C827E4B" w:rsidR="00B9442C" w:rsidRPr="00B9442C" w:rsidRDefault="00023781" w:rsidP="00B9442C">
      <w:pPr>
        <w:spacing w:before="120" w:after="120" w:line="276" w:lineRule="auto"/>
        <w:jc w:val="both"/>
        <w:rPr>
          <w:rFonts w:eastAsia="Calibri" w:cs="Times New Roman"/>
          <w:color w:val="000000"/>
          <w:szCs w:val="24"/>
        </w:rPr>
      </w:pPr>
      <w:r>
        <w:rPr>
          <w:rFonts w:eastAsia="Calibri" w:cs="Times New Roman"/>
          <w:color w:val="000000"/>
          <w:szCs w:val="24"/>
        </w:rPr>
        <w:lastRenderedPageBreak/>
        <w:t>Tabula Nr.2</w:t>
      </w:r>
      <w:r w:rsidR="00B9442C" w:rsidRPr="00B9442C">
        <w:rPr>
          <w:rFonts w:eastAsia="Calibri" w:cs="Times New Roman"/>
          <w:color w:val="000000"/>
          <w:szCs w:val="24"/>
        </w:rPr>
        <w:t xml:space="preserve"> </w:t>
      </w:r>
      <w:r w:rsidR="00B9442C" w:rsidRPr="00B9442C">
        <w:rPr>
          <w:rFonts w:eastAsia="Calibri" w:cs="Times New Roman"/>
          <w:i/>
          <w:color w:val="000000"/>
          <w:szCs w:val="24"/>
        </w:rPr>
        <w:t>„Ierosināto dienesta izmeklēšanu un disciplinārlietu skaits 2014.gadā, saistībā ar konstatētajām neatbilstībām valsts budžeta iestāžu īstenotajos projektos, kuri līdzfinansēti no ES fondu 2007. – 2013.gada plānošanas perioda, EEZ/Norvēģijas finanšu instrumentu un Latvijas Šveices sadarbības programmām.”</w:t>
      </w:r>
    </w:p>
    <w:tbl>
      <w:tblPr>
        <w:tblW w:w="86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9"/>
        <w:gridCol w:w="2840"/>
        <w:gridCol w:w="2178"/>
        <w:gridCol w:w="2033"/>
      </w:tblGrid>
      <w:tr w:rsidR="00B9442C" w:rsidRPr="00B9442C" w14:paraId="40D7BAC2" w14:textId="77777777" w:rsidTr="000A03C6">
        <w:trPr>
          <w:trHeight w:val="627"/>
          <w:tblHeader/>
          <w:jc w:val="center"/>
        </w:trPr>
        <w:tc>
          <w:tcPr>
            <w:tcW w:w="1589" w:type="dxa"/>
            <w:shd w:val="clear" w:color="auto" w:fill="EAF1DD"/>
            <w:vAlign w:val="center"/>
          </w:tcPr>
          <w:p w14:paraId="0B7F59F9"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Resors</w:t>
            </w:r>
          </w:p>
        </w:tc>
        <w:tc>
          <w:tcPr>
            <w:tcW w:w="2840" w:type="dxa"/>
            <w:shd w:val="clear" w:color="auto" w:fill="EAF1DD"/>
            <w:vAlign w:val="center"/>
          </w:tcPr>
          <w:p w14:paraId="2FAB4B13"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 xml:space="preserve">Neatbilstību skaits virs 120 </w:t>
            </w:r>
            <w:r w:rsidRPr="0042496B">
              <w:rPr>
                <w:rFonts w:eastAsia="EUAlbertina-Bold-Identity-H" w:cs="Times New Roman"/>
                <w:i/>
                <w:color w:val="000000"/>
                <w:sz w:val="22"/>
                <w:lang w:eastAsia="lv-LV"/>
              </w:rPr>
              <w:t>euro</w:t>
            </w:r>
            <w:r w:rsidRPr="00B9442C">
              <w:rPr>
                <w:rFonts w:eastAsia="EUAlbertina-Bold-Identity-H" w:cs="Times New Roman"/>
                <w:color w:val="000000"/>
                <w:sz w:val="22"/>
                <w:lang w:eastAsia="lv-LV"/>
              </w:rPr>
              <w:t xml:space="preserve"> (summa </w:t>
            </w:r>
            <w:r w:rsidRPr="0042496B">
              <w:rPr>
                <w:rFonts w:eastAsia="EUAlbertina-Bold-Identity-H" w:cs="Times New Roman"/>
                <w:i/>
                <w:color w:val="000000"/>
                <w:sz w:val="22"/>
                <w:lang w:eastAsia="lv-LV"/>
              </w:rPr>
              <w:t>euro</w:t>
            </w:r>
            <w:r w:rsidRPr="00B9442C">
              <w:rPr>
                <w:rFonts w:eastAsia="EUAlbertina-Bold-Identity-H" w:cs="Times New Roman"/>
                <w:color w:val="000000"/>
                <w:sz w:val="22"/>
                <w:lang w:eastAsia="lv-LV"/>
              </w:rPr>
              <w:t>)*</w:t>
            </w:r>
          </w:p>
        </w:tc>
        <w:tc>
          <w:tcPr>
            <w:tcW w:w="2178" w:type="dxa"/>
            <w:shd w:val="clear" w:color="auto" w:fill="EAF1DD"/>
            <w:vAlign w:val="center"/>
          </w:tcPr>
          <w:p w14:paraId="596BD26C"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Ierosināto izmeklēšanu skaits*</w:t>
            </w:r>
          </w:p>
        </w:tc>
        <w:tc>
          <w:tcPr>
            <w:tcW w:w="2033" w:type="dxa"/>
            <w:shd w:val="clear" w:color="auto" w:fill="EAF1DD"/>
            <w:vAlign w:val="center"/>
          </w:tcPr>
          <w:p w14:paraId="18744DC2"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Ierosināto disciplinārlietu skaits*</w:t>
            </w:r>
          </w:p>
        </w:tc>
      </w:tr>
      <w:tr w:rsidR="00B9442C" w:rsidRPr="00B9442C" w14:paraId="3CCC4A23" w14:textId="77777777" w:rsidTr="000A03C6">
        <w:trPr>
          <w:trHeight w:val="58"/>
          <w:jc w:val="center"/>
        </w:trPr>
        <w:tc>
          <w:tcPr>
            <w:tcW w:w="15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246F8E"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IZM</w:t>
            </w:r>
          </w:p>
        </w:tc>
        <w:tc>
          <w:tcPr>
            <w:tcW w:w="28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D87494"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26 (600 382,75)</w:t>
            </w:r>
          </w:p>
        </w:tc>
        <w:tc>
          <w:tcPr>
            <w:tcW w:w="21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FD0B03"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26</w:t>
            </w:r>
          </w:p>
        </w:tc>
        <w:tc>
          <w:tcPr>
            <w:tcW w:w="20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9C433D"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0</w:t>
            </w:r>
          </w:p>
        </w:tc>
      </w:tr>
      <w:tr w:rsidR="00B9442C" w:rsidRPr="00B9442C" w14:paraId="7906C091" w14:textId="77777777" w:rsidTr="000A03C6">
        <w:trPr>
          <w:trHeight w:val="58"/>
          <w:jc w:val="center"/>
        </w:trPr>
        <w:tc>
          <w:tcPr>
            <w:tcW w:w="15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44E56E"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VM</w:t>
            </w:r>
          </w:p>
        </w:tc>
        <w:tc>
          <w:tcPr>
            <w:tcW w:w="28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224FBA"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13 (213 384,15)</w:t>
            </w:r>
          </w:p>
        </w:tc>
        <w:tc>
          <w:tcPr>
            <w:tcW w:w="21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597733"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13</w:t>
            </w:r>
          </w:p>
        </w:tc>
        <w:tc>
          <w:tcPr>
            <w:tcW w:w="20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3EB731"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0</w:t>
            </w:r>
          </w:p>
        </w:tc>
      </w:tr>
      <w:tr w:rsidR="00B9442C" w:rsidRPr="00B9442C" w14:paraId="050BBDF3" w14:textId="77777777" w:rsidTr="000A03C6">
        <w:trPr>
          <w:trHeight w:val="58"/>
          <w:jc w:val="center"/>
        </w:trPr>
        <w:tc>
          <w:tcPr>
            <w:tcW w:w="15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167EDA"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VARAM</w:t>
            </w:r>
          </w:p>
        </w:tc>
        <w:tc>
          <w:tcPr>
            <w:tcW w:w="28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0D348E" w14:textId="48DC6809" w:rsidR="00B9442C" w:rsidRPr="00B9442C" w:rsidRDefault="003F5606" w:rsidP="00B9442C">
            <w:pPr>
              <w:spacing w:line="276" w:lineRule="auto"/>
              <w:jc w:val="center"/>
              <w:rPr>
                <w:rFonts w:eastAsia="EUAlbertina-Bold-Identity-H" w:cs="Times New Roman"/>
                <w:color w:val="000000"/>
                <w:sz w:val="22"/>
                <w:lang w:eastAsia="lv-LV"/>
              </w:rPr>
            </w:pPr>
            <w:r>
              <w:rPr>
                <w:rFonts w:eastAsia="EUAlbertina-Bold-Identity-H" w:cs="Times New Roman"/>
                <w:color w:val="000000"/>
                <w:sz w:val="22"/>
                <w:lang w:eastAsia="lv-LV"/>
              </w:rPr>
              <w:t>9</w:t>
            </w:r>
            <w:r w:rsidR="00B9442C" w:rsidRPr="00B9442C">
              <w:rPr>
                <w:rFonts w:eastAsia="EUAlbertina-Bold-Identity-H" w:cs="Times New Roman"/>
                <w:color w:val="000000"/>
                <w:sz w:val="22"/>
                <w:vertAlign w:val="superscript"/>
                <w:lang w:eastAsia="lv-LV"/>
              </w:rPr>
              <w:footnoteReference w:id="42"/>
            </w:r>
            <w:r w:rsidR="00B9442C" w:rsidRPr="00B9442C">
              <w:rPr>
                <w:rFonts w:eastAsia="EUAlbertina-Bold-Identity-H" w:cs="Times New Roman"/>
                <w:color w:val="000000"/>
                <w:sz w:val="22"/>
                <w:lang w:eastAsia="lv-LV"/>
              </w:rPr>
              <w:t xml:space="preserve"> (152</w:t>
            </w:r>
            <w:r w:rsidR="005F5CE9">
              <w:rPr>
                <w:rFonts w:eastAsia="EUAlbertina-Bold-Identity-H" w:cs="Times New Roman"/>
                <w:color w:val="000000"/>
                <w:sz w:val="22"/>
                <w:lang w:eastAsia="lv-LV"/>
              </w:rPr>
              <w:t xml:space="preserve"> </w:t>
            </w:r>
            <w:r w:rsidR="00B9442C" w:rsidRPr="00B9442C">
              <w:rPr>
                <w:rFonts w:eastAsia="EUAlbertina-Bold-Identity-H" w:cs="Times New Roman"/>
                <w:color w:val="000000"/>
                <w:sz w:val="22"/>
                <w:lang w:eastAsia="lv-LV"/>
              </w:rPr>
              <w:t>684,4)</w:t>
            </w:r>
          </w:p>
        </w:tc>
        <w:tc>
          <w:tcPr>
            <w:tcW w:w="21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A610BD"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9</w:t>
            </w:r>
          </w:p>
        </w:tc>
        <w:tc>
          <w:tcPr>
            <w:tcW w:w="20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DD04BE"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1</w:t>
            </w:r>
          </w:p>
        </w:tc>
      </w:tr>
      <w:tr w:rsidR="00B9442C" w:rsidRPr="00B9442C" w14:paraId="4EFD219B" w14:textId="77777777" w:rsidTr="000A03C6">
        <w:trPr>
          <w:trHeight w:val="58"/>
          <w:jc w:val="center"/>
        </w:trPr>
        <w:tc>
          <w:tcPr>
            <w:tcW w:w="15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82CD59"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LM</w:t>
            </w:r>
          </w:p>
        </w:tc>
        <w:tc>
          <w:tcPr>
            <w:tcW w:w="28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0CA067" w14:textId="162D59AC"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7 (</w:t>
            </w:r>
            <w:r w:rsidR="00487455" w:rsidRPr="00487455">
              <w:rPr>
                <w:rFonts w:eastAsia="EUAlbertina-Bold-Identity-H" w:cs="Times New Roman"/>
                <w:color w:val="000000"/>
                <w:sz w:val="22"/>
                <w:lang w:eastAsia="lv-LV"/>
              </w:rPr>
              <w:t>49 055,40</w:t>
            </w:r>
            <w:r w:rsidRPr="00B9442C">
              <w:rPr>
                <w:rFonts w:eastAsia="EUAlbertina-Bold-Identity-H" w:cs="Times New Roman"/>
                <w:color w:val="000000"/>
                <w:sz w:val="22"/>
                <w:lang w:eastAsia="lv-LV"/>
              </w:rPr>
              <w:t>)</w:t>
            </w:r>
          </w:p>
        </w:tc>
        <w:tc>
          <w:tcPr>
            <w:tcW w:w="21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727DC9"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5 (viena dienesta izmeklēšana procesā)</w:t>
            </w:r>
          </w:p>
        </w:tc>
        <w:tc>
          <w:tcPr>
            <w:tcW w:w="20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507749"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0</w:t>
            </w:r>
          </w:p>
        </w:tc>
      </w:tr>
      <w:tr w:rsidR="00B9442C" w:rsidRPr="00B9442C" w14:paraId="6CAA02E7" w14:textId="77777777" w:rsidTr="000A03C6">
        <w:trPr>
          <w:trHeight w:val="228"/>
          <w:jc w:val="center"/>
        </w:trPr>
        <w:tc>
          <w:tcPr>
            <w:tcW w:w="1589" w:type="dxa"/>
            <w:shd w:val="clear" w:color="auto" w:fill="auto"/>
            <w:vAlign w:val="center"/>
          </w:tcPr>
          <w:p w14:paraId="5FFF1B56"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Vkanc</w:t>
            </w:r>
          </w:p>
        </w:tc>
        <w:tc>
          <w:tcPr>
            <w:tcW w:w="2840" w:type="dxa"/>
            <w:shd w:val="clear" w:color="auto" w:fill="auto"/>
            <w:vAlign w:val="center"/>
          </w:tcPr>
          <w:p w14:paraId="58C89EE3" w14:textId="3900D33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4 (6</w:t>
            </w:r>
            <w:r w:rsidR="005F5CE9">
              <w:rPr>
                <w:rFonts w:eastAsia="EUAlbertina-Bold-Identity-H" w:cs="Times New Roman"/>
                <w:color w:val="000000"/>
                <w:sz w:val="22"/>
                <w:lang w:eastAsia="lv-LV"/>
              </w:rPr>
              <w:t xml:space="preserve"> </w:t>
            </w:r>
            <w:r w:rsidRPr="00B9442C">
              <w:rPr>
                <w:rFonts w:eastAsia="EUAlbertina-Bold-Identity-H" w:cs="Times New Roman"/>
                <w:color w:val="000000"/>
                <w:sz w:val="22"/>
                <w:lang w:eastAsia="lv-LV"/>
              </w:rPr>
              <w:t>940,57)</w:t>
            </w:r>
          </w:p>
        </w:tc>
        <w:tc>
          <w:tcPr>
            <w:tcW w:w="2178" w:type="dxa"/>
            <w:shd w:val="clear" w:color="auto" w:fill="auto"/>
            <w:vAlign w:val="center"/>
          </w:tcPr>
          <w:p w14:paraId="238452D8"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4</w:t>
            </w:r>
          </w:p>
        </w:tc>
        <w:tc>
          <w:tcPr>
            <w:tcW w:w="2033" w:type="dxa"/>
            <w:shd w:val="clear" w:color="auto" w:fill="auto"/>
            <w:vAlign w:val="center"/>
          </w:tcPr>
          <w:p w14:paraId="266ADCEC"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0</w:t>
            </w:r>
          </w:p>
        </w:tc>
      </w:tr>
      <w:tr w:rsidR="00B9442C" w:rsidRPr="00B9442C" w14:paraId="2257855E" w14:textId="77777777" w:rsidTr="000A03C6">
        <w:trPr>
          <w:trHeight w:val="45"/>
          <w:jc w:val="center"/>
        </w:trPr>
        <w:tc>
          <w:tcPr>
            <w:tcW w:w="1589" w:type="dxa"/>
            <w:shd w:val="clear" w:color="auto" w:fill="auto"/>
            <w:vAlign w:val="center"/>
          </w:tcPr>
          <w:p w14:paraId="513E4876"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TM</w:t>
            </w:r>
          </w:p>
        </w:tc>
        <w:tc>
          <w:tcPr>
            <w:tcW w:w="2840" w:type="dxa"/>
            <w:shd w:val="clear" w:color="auto" w:fill="auto"/>
            <w:vAlign w:val="center"/>
          </w:tcPr>
          <w:p w14:paraId="5D6EAA1C"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2 (14 599,49)</w:t>
            </w:r>
          </w:p>
        </w:tc>
        <w:tc>
          <w:tcPr>
            <w:tcW w:w="2178" w:type="dxa"/>
            <w:shd w:val="clear" w:color="auto" w:fill="auto"/>
            <w:vAlign w:val="center"/>
          </w:tcPr>
          <w:p w14:paraId="7980ECCE"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1</w:t>
            </w:r>
          </w:p>
        </w:tc>
        <w:tc>
          <w:tcPr>
            <w:tcW w:w="2033" w:type="dxa"/>
            <w:shd w:val="clear" w:color="auto" w:fill="auto"/>
            <w:vAlign w:val="center"/>
          </w:tcPr>
          <w:p w14:paraId="6209859B"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0</w:t>
            </w:r>
          </w:p>
        </w:tc>
      </w:tr>
      <w:tr w:rsidR="00B9442C" w:rsidRPr="00B9442C" w14:paraId="5824E307" w14:textId="77777777" w:rsidTr="000A03C6">
        <w:trPr>
          <w:trHeight w:val="92"/>
          <w:jc w:val="center"/>
        </w:trPr>
        <w:tc>
          <w:tcPr>
            <w:tcW w:w="1589" w:type="dxa"/>
            <w:shd w:val="clear" w:color="auto" w:fill="auto"/>
            <w:vAlign w:val="center"/>
          </w:tcPr>
          <w:p w14:paraId="12A43CDF"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KM</w:t>
            </w:r>
          </w:p>
        </w:tc>
        <w:tc>
          <w:tcPr>
            <w:tcW w:w="2840" w:type="dxa"/>
            <w:shd w:val="clear" w:color="auto" w:fill="auto"/>
            <w:vAlign w:val="center"/>
          </w:tcPr>
          <w:p w14:paraId="41BFE2B2" w14:textId="5FE1F0A6"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2 (5</w:t>
            </w:r>
            <w:r w:rsidR="005F5CE9">
              <w:rPr>
                <w:rFonts w:eastAsia="EUAlbertina-Bold-Identity-H" w:cs="Times New Roman"/>
                <w:color w:val="000000"/>
                <w:sz w:val="22"/>
                <w:lang w:eastAsia="lv-LV"/>
              </w:rPr>
              <w:t xml:space="preserve"> </w:t>
            </w:r>
            <w:r w:rsidRPr="00B9442C">
              <w:rPr>
                <w:rFonts w:eastAsia="EUAlbertina-Bold-Identity-H" w:cs="Times New Roman"/>
                <w:color w:val="000000"/>
                <w:sz w:val="22"/>
                <w:lang w:eastAsia="lv-LV"/>
              </w:rPr>
              <w:t>818,37)</w:t>
            </w:r>
          </w:p>
        </w:tc>
        <w:tc>
          <w:tcPr>
            <w:tcW w:w="2178" w:type="dxa"/>
            <w:shd w:val="clear" w:color="auto" w:fill="auto"/>
            <w:vAlign w:val="center"/>
          </w:tcPr>
          <w:p w14:paraId="79689C87"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2</w:t>
            </w:r>
          </w:p>
        </w:tc>
        <w:tc>
          <w:tcPr>
            <w:tcW w:w="2033" w:type="dxa"/>
            <w:shd w:val="clear" w:color="auto" w:fill="auto"/>
            <w:vAlign w:val="center"/>
          </w:tcPr>
          <w:p w14:paraId="3D49ED64"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1</w:t>
            </w:r>
          </w:p>
        </w:tc>
      </w:tr>
      <w:tr w:rsidR="005F5CE9" w:rsidRPr="00B9442C" w14:paraId="72E945AF" w14:textId="77777777" w:rsidTr="000A03C6">
        <w:trPr>
          <w:trHeight w:val="92"/>
          <w:jc w:val="center"/>
        </w:trPr>
        <w:tc>
          <w:tcPr>
            <w:tcW w:w="1589" w:type="dxa"/>
            <w:shd w:val="clear" w:color="auto" w:fill="auto"/>
            <w:vAlign w:val="center"/>
          </w:tcPr>
          <w:p w14:paraId="28991896" w14:textId="44B1F71F" w:rsidR="005F5CE9" w:rsidRPr="00B9442C" w:rsidRDefault="005F5CE9" w:rsidP="005F5CE9">
            <w:pPr>
              <w:spacing w:line="276" w:lineRule="auto"/>
              <w:jc w:val="center"/>
              <w:rPr>
                <w:rFonts w:eastAsia="EUAlbertina-Bold-Identity-H" w:cs="Times New Roman"/>
                <w:color w:val="000000"/>
                <w:sz w:val="22"/>
                <w:lang w:eastAsia="lv-LV"/>
              </w:rPr>
            </w:pPr>
            <w:r w:rsidRPr="005F5CE9">
              <w:rPr>
                <w:rFonts w:eastAsia="EUAlbertina-Bold-Identity-H" w:cs="Times New Roman"/>
                <w:color w:val="000000"/>
                <w:sz w:val="22"/>
                <w:lang w:eastAsia="lv-LV"/>
              </w:rPr>
              <w:t>SM</w:t>
            </w:r>
          </w:p>
        </w:tc>
        <w:tc>
          <w:tcPr>
            <w:tcW w:w="2840" w:type="dxa"/>
            <w:shd w:val="clear" w:color="auto" w:fill="auto"/>
            <w:vAlign w:val="center"/>
          </w:tcPr>
          <w:p w14:paraId="14510225" w14:textId="7A624A5B" w:rsidR="005F5CE9" w:rsidRPr="00B9442C" w:rsidRDefault="005F5CE9" w:rsidP="005F5CE9">
            <w:pPr>
              <w:spacing w:line="276" w:lineRule="auto"/>
              <w:jc w:val="center"/>
              <w:rPr>
                <w:rFonts w:eastAsia="EUAlbertina-Bold-Identity-H" w:cs="Times New Roman"/>
                <w:color w:val="000000"/>
                <w:sz w:val="22"/>
                <w:lang w:eastAsia="lv-LV"/>
              </w:rPr>
            </w:pPr>
            <w:r w:rsidRPr="005F5CE9">
              <w:rPr>
                <w:rFonts w:eastAsia="EUAlbertina-Bold-Identity-H" w:cs="Times New Roman"/>
                <w:color w:val="000000"/>
                <w:sz w:val="22"/>
                <w:lang w:eastAsia="lv-LV"/>
              </w:rPr>
              <w:t>2 (15 957,52)</w:t>
            </w:r>
          </w:p>
        </w:tc>
        <w:tc>
          <w:tcPr>
            <w:tcW w:w="2178" w:type="dxa"/>
            <w:shd w:val="clear" w:color="auto" w:fill="auto"/>
            <w:vAlign w:val="center"/>
          </w:tcPr>
          <w:p w14:paraId="02CBFC25" w14:textId="27CB8D0E" w:rsidR="005F5CE9" w:rsidRPr="00B9442C" w:rsidRDefault="005F5CE9" w:rsidP="005F5CE9">
            <w:pPr>
              <w:spacing w:line="276" w:lineRule="auto"/>
              <w:jc w:val="center"/>
              <w:rPr>
                <w:rFonts w:eastAsia="EUAlbertina-Bold-Identity-H" w:cs="Times New Roman"/>
                <w:color w:val="000000"/>
                <w:sz w:val="22"/>
                <w:lang w:eastAsia="lv-LV"/>
              </w:rPr>
            </w:pPr>
            <w:r w:rsidRPr="005F5CE9">
              <w:rPr>
                <w:rFonts w:eastAsia="EUAlbertina-Bold-Identity-H" w:cs="Times New Roman"/>
                <w:color w:val="000000"/>
                <w:sz w:val="22"/>
                <w:lang w:eastAsia="lv-LV"/>
              </w:rPr>
              <w:t>1</w:t>
            </w:r>
          </w:p>
        </w:tc>
        <w:tc>
          <w:tcPr>
            <w:tcW w:w="2033" w:type="dxa"/>
            <w:shd w:val="clear" w:color="auto" w:fill="auto"/>
            <w:vAlign w:val="center"/>
          </w:tcPr>
          <w:p w14:paraId="6694BB7B" w14:textId="46EF1FA3" w:rsidR="005F5CE9" w:rsidRPr="00B9442C" w:rsidRDefault="005F5CE9" w:rsidP="005F5CE9">
            <w:pPr>
              <w:spacing w:line="276" w:lineRule="auto"/>
              <w:jc w:val="center"/>
              <w:rPr>
                <w:rFonts w:eastAsia="EUAlbertina-Bold-Identity-H" w:cs="Times New Roman"/>
                <w:color w:val="000000"/>
                <w:sz w:val="22"/>
                <w:lang w:eastAsia="lv-LV"/>
              </w:rPr>
            </w:pPr>
            <w:r w:rsidRPr="005F5CE9">
              <w:rPr>
                <w:rFonts w:eastAsia="EUAlbertina-Bold-Identity-H" w:cs="Times New Roman"/>
                <w:color w:val="000000"/>
                <w:sz w:val="22"/>
                <w:lang w:eastAsia="lv-LV"/>
              </w:rPr>
              <w:t>0</w:t>
            </w:r>
          </w:p>
        </w:tc>
      </w:tr>
      <w:tr w:rsidR="00B9442C" w:rsidRPr="00B9442C" w14:paraId="40B49D0C" w14:textId="77777777" w:rsidTr="000A03C6">
        <w:trPr>
          <w:trHeight w:val="92"/>
          <w:jc w:val="center"/>
        </w:trPr>
        <w:tc>
          <w:tcPr>
            <w:tcW w:w="1589" w:type="dxa"/>
            <w:shd w:val="clear" w:color="auto" w:fill="auto"/>
            <w:vAlign w:val="center"/>
          </w:tcPr>
          <w:p w14:paraId="1A266B3F"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IeM</w:t>
            </w:r>
          </w:p>
        </w:tc>
        <w:tc>
          <w:tcPr>
            <w:tcW w:w="2840" w:type="dxa"/>
            <w:shd w:val="clear" w:color="auto" w:fill="auto"/>
            <w:vAlign w:val="center"/>
          </w:tcPr>
          <w:p w14:paraId="4EED1259"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1 (13 412,70)</w:t>
            </w:r>
          </w:p>
        </w:tc>
        <w:tc>
          <w:tcPr>
            <w:tcW w:w="2178" w:type="dxa"/>
            <w:shd w:val="clear" w:color="auto" w:fill="auto"/>
            <w:vAlign w:val="center"/>
          </w:tcPr>
          <w:p w14:paraId="77E5BE97"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1</w:t>
            </w:r>
          </w:p>
        </w:tc>
        <w:tc>
          <w:tcPr>
            <w:tcW w:w="2033" w:type="dxa"/>
            <w:shd w:val="clear" w:color="auto" w:fill="auto"/>
            <w:vAlign w:val="center"/>
          </w:tcPr>
          <w:p w14:paraId="43CD9407"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1</w:t>
            </w:r>
          </w:p>
        </w:tc>
      </w:tr>
      <w:tr w:rsidR="00B9442C" w:rsidRPr="00B9442C" w14:paraId="36D082AD" w14:textId="77777777" w:rsidTr="000A03C6">
        <w:trPr>
          <w:trHeight w:val="169"/>
          <w:jc w:val="center"/>
        </w:trPr>
        <w:tc>
          <w:tcPr>
            <w:tcW w:w="1589" w:type="dxa"/>
            <w:shd w:val="clear" w:color="auto" w:fill="auto"/>
            <w:vAlign w:val="center"/>
          </w:tcPr>
          <w:p w14:paraId="53B5C044"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EM</w:t>
            </w:r>
          </w:p>
        </w:tc>
        <w:tc>
          <w:tcPr>
            <w:tcW w:w="2840" w:type="dxa"/>
            <w:shd w:val="clear" w:color="auto" w:fill="auto"/>
            <w:vAlign w:val="center"/>
          </w:tcPr>
          <w:p w14:paraId="7E9DD448"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0</w:t>
            </w:r>
          </w:p>
        </w:tc>
        <w:tc>
          <w:tcPr>
            <w:tcW w:w="2178" w:type="dxa"/>
            <w:shd w:val="clear" w:color="auto" w:fill="auto"/>
            <w:vAlign w:val="center"/>
          </w:tcPr>
          <w:p w14:paraId="07E5B75C"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0</w:t>
            </w:r>
          </w:p>
        </w:tc>
        <w:tc>
          <w:tcPr>
            <w:tcW w:w="2033" w:type="dxa"/>
            <w:shd w:val="clear" w:color="auto" w:fill="auto"/>
            <w:vAlign w:val="center"/>
          </w:tcPr>
          <w:p w14:paraId="12B7F8CD"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0</w:t>
            </w:r>
          </w:p>
        </w:tc>
      </w:tr>
      <w:tr w:rsidR="00B9442C" w:rsidRPr="00B9442C" w14:paraId="50AC1F8F" w14:textId="77777777" w:rsidTr="000A03C6">
        <w:trPr>
          <w:trHeight w:val="169"/>
          <w:jc w:val="center"/>
        </w:trPr>
        <w:tc>
          <w:tcPr>
            <w:tcW w:w="1589" w:type="dxa"/>
            <w:shd w:val="clear" w:color="auto" w:fill="auto"/>
            <w:vAlign w:val="center"/>
          </w:tcPr>
          <w:p w14:paraId="7831F525"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FM</w:t>
            </w:r>
          </w:p>
        </w:tc>
        <w:tc>
          <w:tcPr>
            <w:tcW w:w="2840" w:type="dxa"/>
            <w:shd w:val="clear" w:color="auto" w:fill="auto"/>
            <w:vAlign w:val="center"/>
          </w:tcPr>
          <w:p w14:paraId="2F968587"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0</w:t>
            </w:r>
          </w:p>
        </w:tc>
        <w:tc>
          <w:tcPr>
            <w:tcW w:w="2178" w:type="dxa"/>
            <w:shd w:val="clear" w:color="auto" w:fill="auto"/>
            <w:vAlign w:val="center"/>
          </w:tcPr>
          <w:p w14:paraId="3C8D53E6"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0</w:t>
            </w:r>
          </w:p>
        </w:tc>
        <w:tc>
          <w:tcPr>
            <w:tcW w:w="2033" w:type="dxa"/>
            <w:shd w:val="clear" w:color="auto" w:fill="auto"/>
            <w:vAlign w:val="center"/>
          </w:tcPr>
          <w:p w14:paraId="14D87FD1"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0</w:t>
            </w:r>
          </w:p>
        </w:tc>
      </w:tr>
      <w:tr w:rsidR="00B9442C" w:rsidRPr="00B9442C" w14:paraId="268E934B" w14:textId="77777777" w:rsidTr="000A03C6">
        <w:trPr>
          <w:trHeight w:val="169"/>
          <w:jc w:val="center"/>
        </w:trPr>
        <w:tc>
          <w:tcPr>
            <w:tcW w:w="1589" w:type="dxa"/>
            <w:shd w:val="clear" w:color="auto" w:fill="auto"/>
            <w:vAlign w:val="center"/>
          </w:tcPr>
          <w:p w14:paraId="76439859"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SIF</w:t>
            </w:r>
          </w:p>
        </w:tc>
        <w:tc>
          <w:tcPr>
            <w:tcW w:w="2840" w:type="dxa"/>
            <w:shd w:val="clear" w:color="auto" w:fill="auto"/>
            <w:vAlign w:val="center"/>
          </w:tcPr>
          <w:p w14:paraId="1A3881A6"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0</w:t>
            </w:r>
          </w:p>
        </w:tc>
        <w:tc>
          <w:tcPr>
            <w:tcW w:w="2178" w:type="dxa"/>
            <w:shd w:val="clear" w:color="auto" w:fill="auto"/>
            <w:vAlign w:val="center"/>
          </w:tcPr>
          <w:p w14:paraId="04D285C4"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0</w:t>
            </w:r>
          </w:p>
        </w:tc>
        <w:tc>
          <w:tcPr>
            <w:tcW w:w="2033" w:type="dxa"/>
            <w:shd w:val="clear" w:color="auto" w:fill="auto"/>
            <w:vAlign w:val="center"/>
          </w:tcPr>
          <w:p w14:paraId="1B62561F" w14:textId="77777777" w:rsidR="00B9442C" w:rsidRPr="00B9442C" w:rsidRDefault="00B9442C" w:rsidP="00B9442C">
            <w:pPr>
              <w:spacing w:line="276" w:lineRule="auto"/>
              <w:jc w:val="center"/>
              <w:rPr>
                <w:rFonts w:eastAsia="EUAlbertina-Bold-Identity-H" w:cs="Times New Roman"/>
                <w:color w:val="000000"/>
                <w:sz w:val="22"/>
                <w:lang w:eastAsia="lv-LV"/>
              </w:rPr>
            </w:pPr>
            <w:r w:rsidRPr="00B9442C">
              <w:rPr>
                <w:rFonts w:eastAsia="EUAlbertina-Bold-Identity-H" w:cs="Times New Roman"/>
                <w:color w:val="000000"/>
                <w:sz w:val="22"/>
                <w:lang w:eastAsia="lv-LV"/>
              </w:rPr>
              <w:t>0</w:t>
            </w:r>
          </w:p>
        </w:tc>
      </w:tr>
      <w:tr w:rsidR="005F5CE9" w:rsidRPr="00B9442C" w14:paraId="0DDE256B" w14:textId="77777777" w:rsidTr="000A03C6">
        <w:trPr>
          <w:trHeight w:val="295"/>
          <w:jc w:val="center"/>
        </w:trPr>
        <w:tc>
          <w:tcPr>
            <w:tcW w:w="1589" w:type="dxa"/>
            <w:shd w:val="clear" w:color="auto" w:fill="auto"/>
            <w:vAlign w:val="center"/>
          </w:tcPr>
          <w:p w14:paraId="0E675C54" w14:textId="3AA404AF" w:rsidR="005F5CE9" w:rsidRPr="00D402CA" w:rsidRDefault="005F5CE9" w:rsidP="00B9442C">
            <w:pPr>
              <w:spacing w:line="276" w:lineRule="auto"/>
              <w:jc w:val="center"/>
              <w:rPr>
                <w:rFonts w:eastAsia="EUAlbertina-Bold-Identity-H" w:cs="Times New Roman"/>
                <w:b/>
                <w:color w:val="000000"/>
                <w:sz w:val="22"/>
                <w:lang w:eastAsia="lv-LV"/>
              </w:rPr>
            </w:pPr>
            <w:r w:rsidRPr="00D402CA">
              <w:rPr>
                <w:rFonts w:eastAsia="EUAlbertina-Bold-Identity-H" w:cs="Times New Roman"/>
                <w:b/>
                <w:color w:val="000000"/>
                <w:sz w:val="22"/>
                <w:lang w:eastAsia="lv-LV"/>
              </w:rPr>
              <w:t>Kopā</w:t>
            </w:r>
          </w:p>
        </w:tc>
        <w:tc>
          <w:tcPr>
            <w:tcW w:w="2840" w:type="dxa"/>
            <w:shd w:val="clear" w:color="auto" w:fill="auto"/>
            <w:vAlign w:val="center"/>
          </w:tcPr>
          <w:p w14:paraId="2E4DA895" w14:textId="55E1F732" w:rsidR="005F5CE9" w:rsidRPr="00D402CA" w:rsidRDefault="005F5CE9" w:rsidP="00B9442C">
            <w:pPr>
              <w:spacing w:line="276" w:lineRule="auto"/>
              <w:jc w:val="center"/>
              <w:rPr>
                <w:rFonts w:eastAsia="EUAlbertina-Bold-Identity-H" w:cs="Times New Roman"/>
                <w:b/>
                <w:color w:val="000000"/>
                <w:sz w:val="22"/>
                <w:lang w:eastAsia="lv-LV"/>
              </w:rPr>
            </w:pPr>
            <w:r w:rsidRPr="00D402CA">
              <w:rPr>
                <w:rFonts w:eastAsia="EUAlbertina-Bold-Identity-H" w:cs="Times New Roman"/>
                <w:b/>
                <w:color w:val="000000"/>
                <w:sz w:val="22"/>
                <w:lang w:eastAsia="lv-LV"/>
              </w:rPr>
              <w:t>67 (1 070 031,28)</w:t>
            </w:r>
          </w:p>
        </w:tc>
        <w:tc>
          <w:tcPr>
            <w:tcW w:w="2178" w:type="dxa"/>
            <w:shd w:val="clear" w:color="auto" w:fill="auto"/>
            <w:vAlign w:val="center"/>
          </w:tcPr>
          <w:p w14:paraId="74491A17" w14:textId="3E090CE6" w:rsidR="005F5CE9" w:rsidRPr="00D402CA" w:rsidRDefault="00D402CA" w:rsidP="00B9442C">
            <w:pPr>
              <w:spacing w:line="276" w:lineRule="auto"/>
              <w:jc w:val="center"/>
              <w:rPr>
                <w:rFonts w:eastAsia="EUAlbertina-Bold-Identity-H" w:cs="Times New Roman"/>
                <w:b/>
                <w:color w:val="000000"/>
                <w:sz w:val="22"/>
                <w:lang w:eastAsia="lv-LV"/>
              </w:rPr>
            </w:pPr>
            <w:r w:rsidRPr="00D402CA">
              <w:rPr>
                <w:rFonts w:eastAsia="EUAlbertina-Bold-Identity-H" w:cs="Times New Roman"/>
                <w:b/>
                <w:color w:val="000000"/>
                <w:sz w:val="22"/>
                <w:lang w:eastAsia="lv-LV"/>
              </w:rPr>
              <w:t>63</w:t>
            </w:r>
          </w:p>
        </w:tc>
        <w:tc>
          <w:tcPr>
            <w:tcW w:w="2033" w:type="dxa"/>
            <w:shd w:val="clear" w:color="auto" w:fill="auto"/>
            <w:vAlign w:val="center"/>
          </w:tcPr>
          <w:p w14:paraId="337AECE0" w14:textId="7C40ADFE" w:rsidR="005F5CE9" w:rsidRPr="00D402CA" w:rsidRDefault="00D402CA" w:rsidP="00B9442C">
            <w:pPr>
              <w:spacing w:line="276" w:lineRule="auto"/>
              <w:jc w:val="center"/>
              <w:rPr>
                <w:rFonts w:eastAsia="EUAlbertina-Bold-Identity-H" w:cs="Times New Roman"/>
                <w:b/>
                <w:color w:val="000000"/>
                <w:sz w:val="22"/>
                <w:lang w:eastAsia="lv-LV"/>
              </w:rPr>
            </w:pPr>
            <w:r w:rsidRPr="00D402CA">
              <w:rPr>
                <w:rFonts w:eastAsia="EUAlbertina-Bold-Identity-H" w:cs="Times New Roman"/>
                <w:b/>
                <w:color w:val="000000"/>
                <w:sz w:val="22"/>
                <w:lang w:eastAsia="lv-LV"/>
              </w:rPr>
              <w:t>3</w:t>
            </w:r>
          </w:p>
        </w:tc>
      </w:tr>
    </w:tbl>
    <w:p w14:paraId="46B56848" w14:textId="77777777" w:rsidR="00B9442C" w:rsidRPr="00B9442C" w:rsidRDefault="00B9442C" w:rsidP="00B9442C">
      <w:pPr>
        <w:spacing w:before="120" w:after="120" w:line="276" w:lineRule="auto"/>
        <w:jc w:val="both"/>
        <w:rPr>
          <w:rFonts w:eastAsia="EUAlbertina-Bold-Identity-H" w:cs="Times New Roman"/>
          <w:i/>
          <w:color w:val="000000"/>
          <w:sz w:val="20"/>
          <w:szCs w:val="20"/>
          <w:lang w:eastAsia="lv-LV"/>
        </w:rPr>
      </w:pPr>
      <w:r w:rsidRPr="00B9442C">
        <w:rPr>
          <w:rFonts w:eastAsia="EUAlbertina-Bold-Identity-H" w:cs="Times New Roman"/>
          <w:i/>
          <w:color w:val="000000"/>
          <w:sz w:val="20"/>
          <w:szCs w:val="20"/>
          <w:lang w:eastAsia="lv-LV"/>
        </w:rPr>
        <w:t xml:space="preserve">*Atbilstoši iestāžu sniegtai informācijai. </w:t>
      </w:r>
    </w:p>
    <w:p w14:paraId="30B20041" w14:textId="0D460161" w:rsidR="00974DBB" w:rsidRDefault="00B9442C" w:rsidP="00B9442C">
      <w:pPr>
        <w:spacing w:before="120" w:after="120" w:line="276" w:lineRule="auto"/>
        <w:jc w:val="both"/>
        <w:rPr>
          <w:rFonts w:eastAsia="Calibri" w:cs="Times New Roman"/>
          <w:color w:val="000000"/>
          <w:szCs w:val="24"/>
        </w:rPr>
      </w:pPr>
      <w:r w:rsidRPr="00B9442C">
        <w:rPr>
          <w:rFonts w:eastAsia="Calibri" w:cs="Times New Roman"/>
          <w:color w:val="000000"/>
          <w:szCs w:val="24"/>
        </w:rPr>
        <w:t>Detalizētāk jautājums tiks pārrunāts FM 2014.gada ceturtā ceturkšņa neatbilstību darba grupas sanāksmē</w:t>
      </w:r>
      <w:bookmarkStart w:id="28" w:name="_Toc276050004"/>
      <w:bookmarkStart w:id="29" w:name="_Toc324948892"/>
      <w:bookmarkEnd w:id="21"/>
      <w:bookmarkEnd w:id="22"/>
      <w:bookmarkEnd w:id="23"/>
      <w:bookmarkEnd w:id="24"/>
      <w:r w:rsidRPr="00B9442C">
        <w:rPr>
          <w:rFonts w:eastAsia="Calibri" w:cs="Times New Roman"/>
          <w:color w:val="000000"/>
          <w:szCs w:val="24"/>
        </w:rPr>
        <w:t>, kur tiks diskutēts par secinājumiem par 2014.gadu, problēmām, ar kurām iestādes saskārušās, plānotajiem uzlabojumiem</w:t>
      </w:r>
      <w:r w:rsidR="0084460E">
        <w:rPr>
          <w:rFonts w:eastAsia="Calibri" w:cs="Times New Roman"/>
          <w:color w:val="000000"/>
          <w:szCs w:val="24"/>
        </w:rPr>
        <w:t>, kā arī par neierosinātajām izmeklēšanas lietām</w:t>
      </w:r>
      <w:bookmarkEnd w:id="25"/>
      <w:bookmarkEnd w:id="26"/>
      <w:bookmarkEnd w:id="28"/>
      <w:bookmarkEnd w:id="29"/>
      <w:r w:rsidR="004369FD">
        <w:rPr>
          <w:rFonts w:eastAsia="Calibri" w:cs="Times New Roman"/>
          <w:color w:val="000000"/>
          <w:szCs w:val="24"/>
        </w:rPr>
        <w:t>.</w:t>
      </w:r>
    </w:p>
    <w:p w14:paraId="3BE3AA1D" w14:textId="1FFB9A42" w:rsidR="00974DBB" w:rsidRPr="00C90EB0" w:rsidRDefault="00974DBB" w:rsidP="00B9442C">
      <w:pPr>
        <w:spacing w:before="120" w:after="120" w:line="276" w:lineRule="auto"/>
        <w:jc w:val="both"/>
        <w:rPr>
          <w:rFonts w:eastAsia="Calibri" w:cs="Times New Roman"/>
          <w:b/>
          <w:i/>
          <w:color w:val="000000"/>
          <w:szCs w:val="24"/>
        </w:rPr>
      </w:pPr>
      <w:r w:rsidRPr="00C90EB0">
        <w:rPr>
          <w:rFonts w:eastAsia="Calibri" w:cs="Times New Roman"/>
          <w:b/>
          <w:i/>
          <w:color w:val="000000"/>
          <w:szCs w:val="24"/>
        </w:rPr>
        <w:t xml:space="preserve">Informācija par </w:t>
      </w:r>
      <w:r w:rsidR="00A20B97" w:rsidRPr="00C90EB0">
        <w:rPr>
          <w:rFonts w:eastAsia="Calibri" w:cs="Times New Roman"/>
          <w:b/>
          <w:i/>
          <w:color w:val="000000"/>
          <w:szCs w:val="24"/>
        </w:rPr>
        <w:t>NVA</w:t>
      </w:r>
      <w:r w:rsidRPr="00C90EB0">
        <w:rPr>
          <w:rFonts w:eastAsia="Calibri" w:cs="Times New Roman"/>
          <w:b/>
          <w:i/>
          <w:color w:val="000000"/>
          <w:szCs w:val="24"/>
        </w:rPr>
        <w:t xml:space="preserve"> kā ES fondu finansējuma saņēmēja</w:t>
      </w:r>
      <w:r w:rsidR="00A20B97" w:rsidRPr="00C90EB0">
        <w:rPr>
          <w:rFonts w:eastAsia="Calibri" w:cs="Times New Roman"/>
          <w:b/>
          <w:i/>
          <w:color w:val="000000"/>
          <w:szCs w:val="24"/>
        </w:rPr>
        <w:t xml:space="preserve"> 2014.gadā ES fondu projektu ietvaros veiktajiem valsts budžeta izdevumiem, kas atzīti par neatbilstošiem, bet nav iekļauti maksājumu pieprasījumos ES finansējuma atmaksas saņemšanai</w:t>
      </w:r>
    </w:p>
    <w:p w14:paraId="74D88F55" w14:textId="5E303A9A" w:rsidR="00235EC7" w:rsidRPr="00C90EB0" w:rsidRDefault="00235EC7" w:rsidP="00D5630D">
      <w:pPr>
        <w:suppressAutoHyphens/>
        <w:autoSpaceDE w:val="0"/>
        <w:autoSpaceDN w:val="0"/>
        <w:spacing w:after="60" w:line="276" w:lineRule="auto"/>
        <w:ind w:firstLine="567"/>
        <w:jc w:val="both"/>
        <w:textAlignment w:val="baseline"/>
        <w:rPr>
          <w:rFonts w:eastAsia="Calibri" w:cs="Times New Roman"/>
          <w:szCs w:val="24"/>
        </w:rPr>
      </w:pPr>
      <w:r w:rsidRPr="00C90EB0">
        <w:rPr>
          <w:rFonts w:eastAsia="Calibri" w:cs="Times New Roman"/>
          <w:szCs w:val="24"/>
        </w:rPr>
        <w:t>Lai izpildītu MK 2014. gada 11. marta protokola Nr.16. 38.§ 10.punkta uzdevumu un informētu MK par ministriju kā ES fondu finansējuma saņēmēju un to padotības iestāžu kā ES fondu finansējuma saņēmēju īstenotajiem ES fonda projektiem, ja kādā no šiem projektiem kalendārā gada ietvaros finansējuma saņēmējs veicis tādus no ES fonda projekta īstenošanai plānotā valsts budžeta finansējuma neatbilstošus izdevumus, kuri nav iekļauti maksājumu pieprasījumos ES finansējuma atmaksas saņemšanai, ziņojumā tiek sniegta informācija par trīs NVA īstenotiem Eiropas Sociālā fonda projektiem, kuros 2014.gadā konstatēti maksājumu pieprasījumos neiekļauti valsts budžeta izdevumi:</w:t>
      </w:r>
    </w:p>
    <w:p w14:paraId="32FFAD4F" w14:textId="7B451356" w:rsidR="00235EC7" w:rsidRPr="00C90EB0" w:rsidRDefault="00235EC7" w:rsidP="00D5630D">
      <w:pPr>
        <w:numPr>
          <w:ilvl w:val="0"/>
          <w:numId w:val="47"/>
        </w:numPr>
        <w:tabs>
          <w:tab w:val="left" w:pos="426"/>
        </w:tabs>
        <w:suppressAutoHyphens/>
        <w:autoSpaceDE w:val="0"/>
        <w:autoSpaceDN w:val="0"/>
        <w:spacing w:after="60" w:line="276" w:lineRule="auto"/>
        <w:ind w:left="426" w:hanging="284"/>
        <w:jc w:val="both"/>
        <w:textAlignment w:val="baseline"/>
        <w:rPr>
          <w:rFonts w:eastAsia="Calibri" w:cs="Times New Roman"/>
          <w:szCs w:val="24"/>
        </w:rPr>
      </w:pPr>
      <w:r w:rsidRPr="00C90EB0">
        <w:rPr>
          <w:rFonts w:eastAsia="Calibri" w:cs="Times New Roman"/>
          <w:szCs w:val="24"/>
        </w:rPr>
        <w:t xml:space="preserve">Projekts Nr.1DP/1.3.1.5.0./12/IPIA/NVA/001 "Algotie pagaidu sabiedriskie darbi pašvaldībās". Maksājumu pieprasījumos neiekļauto valsts budžeta izdevumu apmērs 206,44 </w:t>
      </w:r>
      <w:r w:rsidRPr="00C90EB0">
        <w:rPr>
          <w:rFonts w:eastAsia="Calibri" w:cs="Times New Roman"/>
          <w:i/>
          <w:szCs w:val="24"/>
        </w:rPr>
        <w:t>euro</w:t>
      </w:r>
      <w:r w:rsidRPr="00C90EB0">
        <w:rPr>
          <w:rFonts w:eastAsia="Calibri" w:cs="Times New Roman"/>
          <w:szCs w:val="24"/>
        </w:rPr>
        <w:t xml:space="preserve">, gadījumu skaits - pieci. Valsts budžeta neatbilstoši veikto izdevumu </w:t>
      </w:r>
      <w:r w:rsidRPr="00C90EB0">
        <w:rPr>
          <w:rFonts w:eastAsia="Calibri" w:cs="Times New Roman"/>
          <w:szCs w:val="24"/>
        </w:rPr>
        <w:lastRenderedPageBreak/>
        <w:t xml:space="preserve">iemesls – projektā iesaistītie bezdarbnieki algoto pagaidu sabiedrisko darbu laikā kļuvuši par pensijas saņēmēju, darba ņēmēju, vai ticis piešķirts bezdarbnieka pabalsts, līdz ar to tie vairs nav atbilduši projekta mērķa grupai. Neatbilstoši veiktie izdevumi ir konstatēti projekta ietvaros, veicot ikmēneša pārbaudes par projekta dalībnieku atbilstību mērķa grupai (NVA Bezdarbnieku uzskaites un reģistrēto vakanču informācijas sistēmas (BURVIS) datu salīdzināšana ar Valsts sociālās apdrošināšanas aģentūras un </w:t>
      </w:r>
      <w:r w:rsidR="00B77BA6">
        <w:rPr>
          <w:rFonts w:eastAsia="Calibri" w:cs="Times New Roman"/>
          <w:szCs w:val="24"/>
        </w:rPr>
        <w:t>VID</w:t>
      </w:r>
      <w:r w:rsidRPr="00C90EB0">
        <w:rPr>
          <w:rFonts w:eastAsia="Calibri" w:cs="Times New Roman"/>
          <w:szCs w:val="24"/>
        </w:rPr>
        <w:t xml:space="preserve"> datu bāzēm). </w:t>
      </w:r>
    </w:p>
    <w:p w14:paraId="15A88C3D" w14:textId="4199BC3A" w:rsidR="00235EC7" w:rsidRPr="00C90EB0" w:rsidRDefault="00235EC7" w:rsidP="00D5630D">
      <w:pPr>
        <w:numPr>
          <w:ilvl w:val="0"/>
          <w:numId w:val="47"/>
        </w:numPr>
        <w:tabs>
          <w:tab w:val="left" w:pos="426"/>
        </w:tabs>
        <w:suppressAutoHyphens/>
        <w:autoSpaceDE w:val="0"/>
        <w:autoSpaceDN w:val="0"/>
        <w:spacing w:after="60" w:line="276" w:lineRule="auto"/>
        <w:ind w:left="426" w:hanging="284"/>
        <w:jc w:val="both"/>
        <w:textAlignment w:val="baseline"/>
        <w:rPr>
          <w:rFonts w:eastAsia="Calibri" w:cs="Times New Roman"/>
          <w:szCs w:val="24"/>
        </w:rPr>
      </w:pPr>
      <w:r w:rsidRPr="00C90EB0">
        <w:rPr>
          <w:rFonts w:eastAsia="Calibri" w:cs="Times New Roman"/>
          <w:szCs w:val="24"/>
        </w:rPr>
        <w:t xml:space="preserve">Projekts Nr.1DP/1.3.1.1.3./09/IPIA/NVA/001 "Bezdarbnieku un darba meklētāju apmācība Latvijā - 2". Maksājumu pieprasījumos neiekļauto valsts budžeta izdevumu apmērs 697,74 </w:t>
      </w:r>
      <w:r w:rsidRPr="00C90EB0">
        <w:rPr>
          <w:rFonts w:eastAsia="Calibri" w:cs="Times New Roman"/>
          <w:i/>
          <w:szCs w:val="24"/>
        </w:rPr>
        <w:t>euro</w:t>
      </w:r>
      <w:r w:rsidRPr="00C90EB0">
        <w:rPr>
          <w:rFonts w:eastAsia="Calibri" w:cs="Times New Roman"/>
          <w:szCs w:val="24"/>
        </w:rPr>
        <w:t xml:space="preserve">, gadījumu skaits - divi. Valsts budžeta neatbilstoši veikto izdevumu iemesls – bezdarbnieki iesaistīti neformālās izglītības apmācību programmu apguvē, neievērojot 2011.gada 25.janvāra MK noteikumu Nr.75 "Noteikumi par aktīvo nodarbinātības pasākumu organizēšanas un finansēšanas kārtību un pasākumu īstenotāju izvēles principiem" 33.punktu - "Bezdarbnieku un darba meklētāju viena gada laikā var iesaistīt ne vairāk kā divu neformālās izglītības programmu apguvē". </w:t>
      </w:r>
    </w:p>
    <w:p w14:paraId="7E18C025" w14:textId="5F40E4DE" w:rsidR="00235EC7" w:rsidRPr="00C90EB0" w:rsidRDefault="00235EC7" w:rsidP="00D5630D">
      <w:pPr>
        <w:numPr>
          <w:ilvl w:val="0"/>
          <w:numId w:val="47"/>
        </w:numPr>
        <w:tabs>
          <w:tab w:val="left" w:pos="426"/>
        </w:tabs>
        <w:suppressAutoHyphens/>
        <w:autoSpaceDE w:val="0"/>
        <w:autoSpaceDN w:val="0"/>
        <w:spacing w:after="60" w:line="276" w:lineRule="auto"/>
        <w:ind w:left="426" w:hanging="284"/>
        <w:jc w:val="both"/>
        <w:textAlignment w:val="baseline"/>
        <w:rPr>
          <w:rFonts w:eastAsia="Calibri" w:cs="Times New Roman"/>
          <w:szCs w:val="24"/>
        </w:rPr>
      </w:pPr>
      <w:r w:rsidRPr="00C90EB0">
        <w:rPr>
          <w:rFonts w:eastAsia="Calibri" w:cs="Times New Roman"/>
          <w:szCs w:val="24"/>
        </w:rPr>
        <w:t xml:space="preserve">Projekts Nr.1DP/1.4.1.1.2/08/IPIA/NVA/001 "Pasākumi noteiktām personu grupām". Maksājumu pieprasījumos neiekļauto valsts budžeta izdevumu apmērs 162,02 </w:t>
      </w:r>
      <w:r w:rsidRPr="00C90EB0">
        <w:rPr>
          <w:rFonts w:eastAsia="Calibri" w:cs="Times New Roman"/>
          <w:i/>
          <w:szCs w:val="24"/>
        </w:rPr>
        <w:t>euro</w:t>
      </w:r>
      <w:r w:rsidRPr="00C90EB0">
        <w:rPr>
          <w:rFonts w:eastAsia="Calibri" w:cs="Times New Roman"/>
          <w:szCs w:val="24"/>
        </w:rPr>
        <w:t xml:space="preserve">, gadījumu skaits - viens. Valsts budžeta neatbilstoši veikto izdevumu iemesls – veicot pretendentu izvēles pēcpārbaudi, konstatēts, ka pretendenta izvēle veikta nekorekti - nav konstatēts, ka darba devējs ir nonācis finanšu grūtībās. Vienlaikus konstatēts, ka arī bezdarbnieka dalība projektā ir neatbilstoša prasībām. Bezdarbnieks norīkots dalībai projektā neievērojot 2010.gada 8.septembra iekšējā normatīvā akta "Aktīvā nodarbinātības pasākuma "Pasākums noteiktām personu grupām" un atbalsta pasākuma "Subsidētā darba vieta jauniešiem bezdarbniekiem (pasākumi noteiktām personu grupām) organizēšanas kārtība" 32.2.apakšpunktā noteikto - pasākumā neiesaista bezdarbnieku, kurš pēdējo 12 mēnešu laikā ir bijis nodarbināts pie konkrētā darba devēja. </w:t>
      </w:r>
    </w:p>
    <w:p w14:paraId="1690504B" w14:textId="5799128E" w:rsidR="00235EC7" w:rsidRPr="00C90EB0" w:rsidRDefault="00235EC7" w:rsidP="00D5630D">
      <w:pPr>
        <w:suppressAutoHyphens/>
        <w:autoSpaceDE w:val="0"/>
        <w:autoSpaceDN w:val="0"/>
        <w:spacing w:after="60" w:line="276" w:lineRule="auto"/>
        <w:jc w:val="both"/>
        <w:textAlignment w:val="baseline"/>
        <w:rPr>
          <w:rFonts w:eastAsia="Calibri" w:cs="Times New Roman"/>
          <w:szCs w:val="24"/>
        </w:rPr>
      </w:pPr>
      <w:r w:rsidRPr="00C90EB0">
        <w:rPr>
          <w:rFonts w:eastAsia="Calibri" w:cs="Times New Roman"/>
          <w:szCs w:val="24"/>
        </w:rPr>
        <w:t>Visos trīs gadījumos papildu darbības projektos saistībā ar minētajiem izdevumiem netiek plānotas (izdevumus plānots fiksēt vienošanās par projekta īstenošanu kārtējos grozījumos 2015.gadā, par valsts budžeta neatbilstoši veiktiem izdevumiem attiecīgi samazinot projekta attiecināmās izmaksas un norādot tos pie neattiecināmām izmaksām ar norādi, ka tās ir izmaksas, ko nevar attiecināt un iekļaut maksājumu pieprasījumos). Vienlaikus NVA organizē valsts budžeta neatbilstoši veikto izdevumu atgūšanu atbilstoši normatīvajam regulējumam, kā arī NVA ir veikts darbinieku atbildības izvērtējums saskaņā ar Valsts pārvaldes iekārtas likuma prasībām.</w:t>
      </w:r>
    </w:p>
    <w:p w14:paraId="74A22470" w14:textId="2669BFBB" w:rsidR="00A20B97" w:rsidRPr="00A800E4" w:rsidRDefault="00235EC7" w:rsidP="00D5630D">
      <w:pPr>
        <w:spacing w:before="120" w:after="120" w:line="276" w:lineRule="auto"/>
        <w:jc w:val="both"/>
        <w:rPr>
          <w:rFonts w:eastAsia="Calibri" w:cs="Times New Roman"/>
          <w:color w:val="000000"/>
          <w:szCs w:val="24"/>
        </w:rPr>
      </w:pPr>
      <w:r w:rsidRPr="00C90EB0">
        <w:rPr>
          <w:rFonts w:eastAsia="Calibri" w:cs="Times New Roman"/>
          <w:szCs w:val="24"/>
        </w:rPr>
        <w:t>Pārējos LM kā ES fondu finansējuma saņēmēja un tās padotības</w:t>
      </w:r>
      <w:r w:rsidRPr="00C90EB0">
        <w:rPr>
          <w:rFonts w:eastAsia="Calibri" w:cs="Times New Roman"/>
          <w:szCs w:val="24"/>
        </w:rPr>
        <w:br/>
        <w:t>iestāžu kā ES fondu finansējuma saņēmēju īstenotajos projektos 2014.gadā maksājumu pieprasījumos neiekļauti neatbilstoši veikti valsts budžeta izdevumi nav</w:t>
      </w:r>
      <w:r w:rsidRPr="00C90EB0">
        <w:rPr>
          <w:rFonts w:eastAsia="Calibri" w:cs="Times New Roman"/>
          <w:szCs w:val="24"/>
        </w:rPr>
        <w:br/>
        <w:t>konstatēti.</w:t>
      </w:r>
    </w:p>
    <w:p w14:paraId="513921C1" w14:textId="0F25E6B9" w:rsidR="00074D14" w:rsidRPr="00B57653" w:rsidRDefault="00074D14" w:rsidP="00D63924">
      <w:pPr>
        <w:pStyle w:val="2lmenis"/>
      </w:pPr>
      <w:bookmarkStart w:id="30" w:name="_Toc412729444"/>
      <w:r w:rsidRPr="00B57653">
        <w:t>Neatbilstības EEZ/Norvēģijas finanšu instrument</w:t>
      </w:r>
      <w:r w:rsidR="00BB2B77" w:rsidRPr="00B57653">
        <w:t>os</w:t>
      </w:r>
      <w:r w:rsidRPr="00B57653">
        <w:t xml:space="preserve"> un Šveices programm</w:t>
      </w:r>
      <w:r w:rsidR="00BB2B77" w:rsidRPr="00B57653">
        <w:t>ā</w:t>
      </w:r>
      <w:bookmarkEnd w:id="30"/>
      <w:r w:rsidRPr="00B57653">
        <w:t xml:space="preserve"> </w:t>
      </w:r>
    </w:p>
    <w:p w14:paraId="4DC3893D" w14:textId="37A3B6CC" w:rsidR="009031C4" w:rsidRPr="00D355D8" w:rsidRDefault="009031C4" w:rsidP="009031C4">
      <w:pPr>
        <w:spacing w:before="120" w:after="120" w:line="276" w:lineRule="auto"/>
        <w:jc w:val="both"/>
        <w:rPr>
          <w:iCs/>
          <w:szCs w:val="24"/>
        </w:rPr>
      </w:pPr>
      <w:r w:rsidRPr="00D355D8">
        <w:rPr>
          <w:iCs/>
          <w:szCs w:val="24"/>
        </w:rPr>
        <w:t>Līdz pārskata perioda beigām EEZ</w:t>
      </w:r>
      <w:r w:rsidR="00B840EB">
        <w:rPr>
          <w:iCs/>
          <w:szCs w:val="24"/>
        </w:rPr>
        <w:t xml:space="preserve">/Norvēģijas finanšu instrumentu </w:t>
      </w:r>
      <w:r w:rsidR="004649DE" w:rsidRPr="00D355D8">
        <w:rPr>
          <w:iCs/>
          <w:szCs w:val="24"/>
        </w:rPr>
        <w:t xml:space="preserve">programmās un projektos </w:t>
      </w:r>
      <w:r w:rsidRPr="00D355D8">
        <w:rPr>
          <w:iCs/>
          <w:szCs w:val="24"/>
        </w:rPr>
        <w:t xml:space="preserve">par neattiecināmiem izdevumiem </w:t>
      </w:r>
      <w:r w:rsidR="00B840EB">
        <w:rPr>
          <w:iCs/>
          <w:szCs w:val="24"/>
        </w:rPr>
        <w:t>tika atzīti</w:t>
      </w:r>
      <w:r w:rsidRPr="00D355D8">
        <w:rPr>
          <w:iCs/>
          <w:szCs w:val="24"/>
        </w:rPr>
        <w:t xml:space="preserve"> </w:t>
      </w:r>
      <w:r w:rsidR="00B840EB" w:rsidRPr="00C148CE">
        <w:rPr>
          <w:iCs/>
          <w:szCs w:val="24"/>
        </w:rPr>
        <w:t>22,2</w:t>
      </w:r>
      <w:r w:rsidRPr="00C148CE">
        <w:rPr>
          <w:iCs/>
          <w:szCs w:val="24"/>
        </w:rPr>
        <w:t xml:space="preserve"> tūkst. </w:t>
      </w:r>
      <w:r w:rsidRPr="00C148CE">
        <w:rPr>
          <w:i/>
          <w:iCs/>
          <w:szCs w:val="24"/>
        </w:rPr>
        <w:t>euro</w:t>
      </w:r>
      <w:r w:rsidR="00C148CE" w:rsidRPr="00C148CE">
        <w:rPr>
          <w:iCs/>
          <w:szCs w:val="24"/>
        </w:rPr>
        <w:t>.</w:t>
      </w:r>
      <w:r w:rsidR="004649DE" w:rsidRPr="00C148CE">
        <w:rPr>
          <w:iCs/>
          <w:szCs w:val="24"/>
        </w:rPr>
        <w:t xml:space="preserve"> K</w:t>
      </w:r>
      <w:r w:rsidRPr="00C148CE">
        <w:rPr>
          <w:iCs/>
          <w:szCs w:val="24"/>
        </w:rPr>
        <w:t xml:space="preserve">onstatētie </w:t>
      </w:r>
      <w:r w:rsidRPr="00C148CE">
        <w:rPr>
          <w:iCs/>
          <w:szCs w:val="24"/>
        </w:rPr>
        <w:lastRenderedPageBreak/>
        <w:t>pārkāpumi ir dažāda veida programmu apsaimniekotāju (nozares minist</w:t>
      </w:r>
      <w:r w:rsidR="004649DE" w:rsidRPr="00C148CE">
        <w:rPr>
          <w:iCs/>
          <w:szCs w:val="24"/>
        </w:rPr>
        <w:t>riju</w:t>
      </w:r>
      <w:r w:rsidR="004649DE" w:rsidRPr="00D355D8">
        <w:rPr>
          <w:iCs/>
          <w:szCs w:val="24"/>
        </w:rPr>
        <w:t xml:space="preserve">) administratīvie pārkāpumi, </w:t>
      </w:r>
      <w:r w:rsidR="001E4576">
        <w:t xml:space="preserve">neatbilstoši </w:t>
      </w:r>
      <w:r w:rsidR="001E4576" w:rsidRPr="001E4576">
        <w:rPr>
          <w:iCs/>
          <w:szCs w:val="24"/>
        </w:rPr>
        <w:t xml:space="preserve">aprēķināti </w:t>
      </w:r>
      <w:r w:rsidR="001E4576">
        <w:rPr>
          <w:iCs/>
          <w:szCs w:val="24"/>
        </w:rPr>
        <w:t xml:space="preserve">projektu </w:t>
      </w:r>
      <w:r w:rsidR="001E4576" w:rsidRPr="001E4576">
        <w:rPr>
          <w:iCs/>
          <w:szCs w:val="24"/>
        </w:rPr>
        <w:t>administratīvie izdevumi, izmanojot nepreizu proporciju</w:t>
      </w:r>
      <w:r w:rsidR="001E4576">
        <w:rPr>
          <w:iCs/>
          <w:szCs w:val="24"/>
        </w:rPr>
        <w:t>,</w:t>
      </w:r>
      <w:r w:rsidR="001E4576" w:rsidRPr="001E4576">
        <w:rPr>
          <w:iCs/>
          <w:szCs w:val="24"/>
        </w:rPr>
        <w:t xml:space="preserve"> </w:t>
      </w:r>
      <w:r w:rsidR="001E4576">
        <w:rPr>
          <w:iCs/>
          <w:szCs w:val="24"/>
        </w:rPr>
        <w:t>kļūdas nolietojuma aprēķinā</w:t>
      </w:r>
      <w:r w:rsidR="00F71223">
        <w:rPr>
          <w:iCs/>
          <w:szCs w:val="24"/>
        </w:rPr>
        <w:t xml:space="preserve"> utt.</w:t>
      </w:r>
    </w:p>
    <w:p w14:paraId="48BAF795" w14:textId="471E04A4" w:rsidR="009031C4" w:rsidRPr="00B57653" w:rsidRDefault="009031C4" w:rsidP="009031C4">
      <w:pPr>
        <w:spacing w:before="120" w:after="120" w:line="276" w:lineRule="auto"/>
        <w:jc w:val="both"/>
        <w:rPr>
          <w:iCs/>
          <w:szCs w:val="24"/>
        </w:rPr>
      </w:pPr>
      <w:r w:rsidRPr="00AC1D0F">
        <w:rPr>
          <w:iCs/>
          <w:szCs w:val="24"/>
        </w:rPr>
        <w:t>CFLA un Valsts kase līdz pārskata perioda beigām par neattiecināmiem izdevumiem kopumā ir atzinušas 18</w:t>
      </w:r>
      <w:r w:rsidR="00AC1D0F" w:rsidRPr="00AC1D0F">
        <w:rPr>
          <w:iCs/>
          <w:szCs w:val="24"/>
        </w:rPr>
        <w:t>7,1</w:t>
      </w:r>
      <w:r w:rsidRPr="00AC1D0F">
        <w:rPr>
          <w:iCs/>
          <w:szCs w:val="24"/>
        </w:rPr>
        <w:t xml:space="preserve"> tūkst. </w:t>
      </w:r>
      <w:r w:rsidRPr="00AC1D0F">
        <w:rPr>
          <w:i/>
          <w:iCs/>
          <w:szCs w:val="24"/>
        </w:rPr>
        <w:t>euro</w:t>
      </w:r>
      <w:r w:rsidRPr="00AC1D0F">
        <w:rPr>
          <w:iCs/>
          <w:szCs w:val="24"/>
        </w:rPr>
        <w:t xml:space="preserve"> jeb 0,</w:t>
      </w:r>
      <w:r w:rsidR="00AC1D0F" w:rsidRPr="00AC1D0F">
        <w:rPr>
          <w:iCs/>
          <w:szCs w:val="24"/>
        </w:rPr>
        <w:t>3</w:t>
      </w:r>
      <w:r w:rsidRPr="00AC1D0F">
        <w:rPr>
          <w:iCs/>
          <w:szCs w:val="24"/>
        </w:rPr>
        <w:t xml:space="preserve">% no Šveices programmā pieejamā kopējā publiskā finansējuma. </w:t>
      </w:r>
      <w:r w:rsidR="00733837">
        <w:rPr>
          <w:color w:val="000000"/>
          <w:szCs w:val="24"/>
        </w:rPr>
        <w:t>Pārskata periodā</w:t>
      </w:r>
      <w:r w:rsidR="00733837" w:rsidRPr="00B57653">
        <w:rPr>
          <w:color w:val="000000"/>
          <w:szCs w:val="24"/>
        </w:rPr>
        <w:t xml:space="preserve"> </w:t>
      </w:r>
      <w:r w:rsidRPr="00AC1D0F">
        <w:rPr>
          <w:iCs/>
          <w:szCs w:val="24"/>
        </w:rPr>
        <w:t>ir konstatēti neatbilstoši veiktie izdevumi</w:t>
      </w:r>
      <w:r w:rsidR="00E55A1B" w:rsidRPr="00AC1D0F">
        <w:rPr>
          <w:color w:val="000000"/>
          <w:szCs w:val="24"/>
        </w:rPr>
        <w:t xml:space="preserve"> programmā „</w:t>
      </w:r>
      <w:r w:rsidR="00AC1D0F" w:rsidRPr="00AC1D0F">
        <w:rPr>
          <w:color w:val="000000"/>
          <w:szCs w:val="24"/>
        </w:rPr>
        <w:t>Mikrokreditēšanas programma</w:t>
      </w:r>
      <w:r w:rsidR="00E55A1B" w:rsidRPr="00AC1D0F">
        <w:rPr>
          <w:color w:val="000000"/>
          <w:szCs w:val="24"/>
        </w:rPr>
        <w:t xml:space="preserve">” </w:t>
      </w:r>
      <w:r w:rsidR="00AC1D0F" w:rsidRPr="00AC1D0F">
        <w:rPr>
          <w:iCs/>
          <w:szCs w:val="24"/>
        </w:rPr>
        <w:t xml:space="preserve">0,2 </w:t>
      </w:r>
      <w:r w:rsidR="00E55A1B" w:rsidRPr="00AC1D0F">
        <w:rPr>
          <w:iCs/>
          <w:szCs w:val="24"/>
        </w:rPr>
        <w:t xml:space="preserve">tūkst. </w:t>
      </w:r>
      <w:r w:rsidR="00E55A1B" w:rsidRPr="00AC1D0F">
        <w:rPr>
          <w:i/>
          <w:iCs/>
          <w:szCs w:val="24"/>
        </w:rPr>
        <w:t>euro</w:t>
      </w:r>
      <w:r w:rsidR="00E55A1B" w:rsidRPr="00AC1D0F">
        <w:rPr>
          <w:iCs/>
          <w:szCs w:val="24"/>
        </w:rPr>
        <w:t xml:space="preserve"> apmērā (</w:t>
      </w:r>
      <w:r w:rsidR="00AC1D0F" w:rsidRPr="00AC1D0F">
        <w:rPr>
          <w:iCs/>
          <w:szCs w:val="24"/>
        </w:rPr>
        <w:t>neatbilstošs administratīvo izdevumu aprēķins</w:t>
      </w:r>
      <w:r w:rsidR="00E55A1B" w:rsidRPr="00AC1D0F">
        <w:rPr>
          <w:iCs/>
          <w:szCs w:val="24"/>
        </w:rPr>
        <w:t>)</w:t>
      </w:r>
      <w:r w:rsidR="008606C0" w:rsidRPr="00AC1D0F">
        <w:rPr>
          <w:iCs/>
          <w:szCs w:val="24"/>
        </w:rPr>
        <w:t>.</w:t>
      </w:r>
    </w:p>
    <w:p w14:paraId="47E25E3D" w14:textId="63D474F7" w:rsidR="00074D14" w:rsidRPr="00B57653" w:rsidRDefault="00074D14" w:rsidP="00C04510">
      <w:pPr>
        <w:pStyle w:val="1lmenis"/>
      </w:pPr>
      <w:bookmarkStart w:id="31" w:name="_Toc412729445"/>
      <w:r w:rsidRPr="00B57653">
        <w:t>ES fondu ieviešanas, vadības, kontroles un uzraudzības sistēmas darbība un pasākumi tās pilnveidošanai</w:t>
      </w:r>
      <w:bookmarkEnd w:id="31"/>
    </w:p>
    <w:p w14:paraId="52461610" w14:textId="6D8EE32A" w:rsidR="00074D14" w:rsidRPr="00B57653" w:rsidRDefault="00074D14" w:rsidP="00D63924">
      <w:pPr>
        <w:pStyle w:val="2lmenis"/>
      </w:pPr>
      <w:bookmarkStart w:id="32" w:name="_Toc412729446"/>
      <w:r w:rsidRPr="00B57653">
        <w:t>Veiktie pasākumi ES fondu vadības un kontroles sistēmas pilnveidošanai</w:t>
      </w:r>
      <w:bookmarkEnd w:id="32"/>
    </w:p>
    <w:p w14:paraId="4949E22F" w14:textId="65A4D5BA" w:rsidR="002331A9" w:rsidRPr="00B57653" w:rsidRDefault="002331A9" w:rsidP="002331A9">
      <w:pPr>
        <w:spacing w:before="120" w:after="120" w:line="276" w:lineRule="auto"/>
        <w:jc w:val="both"/>
      </w:pPr>
      <w:r w:rsidRPr="00B57653">
        <w:t xml:space="preserve">Būtiskākie </w:t>
      </w:r>
      <w:r w:rsidR="00733837">
        <w:rPr>
          <w:color w:val="000000"/>
          <w:szCs w:val="24"/>
        </w:rPr>
        <w:t>pārskata periodā</w:t>
      </w:r>
      <w:r w:rsidR="00733837" w:rsidRPr="00B57653">
        <w:rPr>
          <w:color w:val="000000"/>
          <w:szCs w:val="24"/>
        </w:rPr>
        <w:t xml:space="preserve"> </w:t>
      </w:r>
      <w:r w:rsidRPr="00B57653">
        <w:t>paveiktie pasākumi ES fondu vadības un kontroles sistēmas pilnveidošanai ir šādi:</w:t>
      </w:r>
    </w:p>
    <w:p w14:paraId="3276F819" w14:textId="77777777" w:rsidR="002331A9" w:rsidRPr="00B57653" w:rsidRDefault="002331A9" w:rsidP="00E12DFB">
      <w:pPr>
        <w:pStyle w:val="ListParagraph"/>
        <w:numPr>
          <w:ilvl w:val="0"/>
          <w:numId w:val="2"/>
        </w:numPr>
        <w:spacing w:before="120" w:after="120" w:line="276" w:lineRule="auto"/>
        <w:contextualSpacing w:val="0"/>
        <w:jc w:val="both"/>
      </w:pPr>
      <w:r w:rsidRPr="00B57653">
        <w:rPr>
          <w:b/>
          <w:bCs/>
        </w:rPr>
        <w:t xml:space="preserve">Metodoloģiskā atbalsta stiprināšana ES fondu vadībā iesaistītajām iestādēm </w:t>
      </w:r>
      <w:r w:rsidRPr="00B57653">
        <w:t>ar mērķi nodrošināt vienotu praksi starp iestādēm un mazināt neatbilstoši veikto izdevumu rašanās risku</w:t>
      </w:r>
    </w:p>
    <w:p w14:paraId="19189473" w14:textId="77777777" w:rsidR="002331A9" w:rsidRPr="00B57653" w:rsidRDefault="002331A9" w:rsidP="002331A9">
      <w:pPr>
        <w:pStyle w:val="ListParagraph"/>
        <w:spacing w:before="120" w:after="120" w:line="276" w:lineRule="auto"/>
        <w:contextualSpacing w:val="0"/>
        <w:jc w:val="both"/>
        <w:rPr>
          <w:bCs/>
          <w:i/>
        </w:rPr>
      </w:pPr>
      <w:r w:rsidRPr="00B57653">
        <w:rPr>
          <w:bCs/>
          <w:i/>
        </w:rPr>
        <w:t>Vadlīnijas Nr.10.8. “Vadlīnijas par vadības un kontroles sistēmas apraksta aktualizāciju”</w:t>
      </w:r>
    </w:p>
    <w:p w14:paraId="5F03D08C" w14:textId="77777777" w:rsidR="002331A9" w:rsidRPr="00B57653" w:rsidRDefault="002331A9" w:rsidP="002331A9">
      <w:pPr>
        <w:spacing w:before="120" w:after="120" w:line="276" w:lineRule="auto"/>
        <w:jc w:val="both"/>
        <w:rPr>
          <w:bCs/>
        </w:rPr>
      </w:pPr>
      <w:r w:rsidRPr="00B57653">
        <w:rPr>
          <w:bCs/>
        </w:rPr>
        <w:t>Vadlīnijās veikti precizējumi attiecībā uz izmaiņām, kas aprakstā ieviestas aktualizēšanas gaitā attiecībā uz pielikumiem; grozījumiem Ministru kabineta 2007.gada 31.jūlija noteikumos Nr.524 „Eiropas Savienības fondu vadības un kontroles sistēmas izveidošanas prasības” attiecībā uz VI¹.nodaļu; Ministru kabineta 2012.gada 24.jūlija noteikumu Nr.501 "Kārtība, kādā nodrošina revīzijas iestādes funkcijas Eiropas Savienības struktūrfondu un Kohēzijas fonda vadībā" 9.punktu.</w:t>
      </w:r>
    </w:p>
    <w:p w14:paraId="306483B8" w14:textId="77777777" w:rsidR="002331A9" w:rsidRPr="00B57653" w:rsidRDefault="002331A9" w:rsidP="002331A9">
      <w:pPr>
        <w:pStyle w:val="ListParagraph"/>
        <w:spacing w:before="120" w:after="120" w:line="276" w:lineRule="auto"/>
        <w:jc w:val="both"/>
        <w:rPr>
          <w:i/>
        </w:rPr>
      </w:pPr>
      <w:r w:rsidRPr="00B57653">
        <w:rPr>
          <w:i/>
        </w:rPr>
        <w:t>Vadlīnijas Nr.10.2. “Vadlīnijas grūtībās nonākušu uzņēmumu noteikšanai”</w:t>
      </w:r>
    </w:p>
    <w:p w14:paraId="1B1E0329" w14:textId="77777777" w:rsidR="002331A9" w:rsidRPr="00B57653" w:rsidRDefault="002331A9" w:rsidP="002331A9">
      <w:pPr>
        <w:spacing w:before="120" w:after="120" w:line="276" w:lineRule="auto"/>
        <w:jc w:val="both"/>
      </w:pPr>
      <w:r w:rsidRPr="00B57653">
        <w:t>Pārskata periodā VI uzsākusi vadlīniju aktualizēšanu saistībā ar jaunu Komisijas regulu Nr.651/2014 (2014.gada 17.jūnijs), ar ko noteiktas atbalsta kategorijas atzīst par saderīgām ar iekšējo tirgu, piemērojot Līguma 107. un 108.pantu.</w:t>
      </w:r>
    </w:p>
    <w:p w14:paraId="696C0326" w14:textId="77777777" w:rsidR="002331A9" w:rsidRPr="00B57653" w:rsidRDefault="002331A9" w:rsidP="002331A9">
      <w:pPr>
        <w:pStyle w:val="ListParagraph"/>
        <w:autoSpaceDE w:val="0"/>
        <w:autoSpaceDN w:val="0"/>
        <w:adjustRightInd w:val="0"/>
        <w:spacing w:before="120" w:after="120" w:line="276" w:lineRule="auto"/>
        <w:jc w:val="both"/>
      </w:pPr>
      <w:bookmarkStart w:id="33" w:name="_Toc324747605"/>
      <w:bookmarkStart w:id="34" w:name="_Toc329257103"/>
      <w:bookmarkStart w:id="35" w:name="_Toc329257375"/>
      <w:bookmarkStart w:id="36" w:name="_Toc329338776"/>
      <w:bookmarkStart w:id="37" w:name="_Toc350929051"/>
      <w:r w:rsidRPr="00B57653">
        <w:rPr>
          <w:i/>
        </w:rPr>
        <w:t>Vadlīnijas Nr.10.1. “Vadlīnijas attiecināmo un neattiecināmo izmaksu noteikšanai 2007.-2013.gada plānošanas periodā</w:t>
      </w:r>
      <w:bookmarkEnd w:id="33"/>
      <w:bookmarkEnd w:id="34"/>
      <w:bookmarkEnd w:id="35"/>
      <w:bookmarkEnd w:id="36"/>
      <w:bookmarkEnd w:id="37"/>
      <w:r w:rsidRPr="00B57653">
        <w:rPr>
          <w:i/>
        </w:rPr>
        <w:t>”</w:t>
      </w:r>
    </w:p>
    <w:p w14:paraId="6FC1BF0A" w14:textId="77777777" w:rsidR="002331A9" w:rsidRPr="00B57653" w:rsidRDefault="002331A9" w:rsidP="002331A9">
      <w:pPr>
        <w:autoSpaceDE w:val="0"/>
        <w:autoSpaceDN w:val="0"/>
        <w:adjustRightInd w:val="0"/>
        <w:spacing w:before="120" w:after="120" w:line="276" w:lineRule="auto"/>
        <w:jc w:val="both"/>
      </w:pPr>
      <w:r w:rsidRPr="00B57653">
        <w:t xml:space="preserve">Pārskata periodā VI turpināja vadlīniju saskaņošanu ar AI un SI. Vadlīnijas tiks papildinātas ar nosacījumiem gadījumos, kad </w:t>
      </w:r>
      <w:r w:rsidRPr="00B57653">
        <w:rPr>
          <w:rFonts w:eastAsia="Times New Roman"/>
          <w:szCs w:val="24"/>
          <w:lang w:eastAsia="lv-LV"/>
        </w:rPr>
        <w:t>iestājies projekta īstenošanas termiņš, taču projekta rezultāti nav pilnībā izpildīti, un projekta mērķis nav sasniegts vai nav nodrošināta pilnīga funkcionalitāte, tādējādi dodot iespēju projektu pabeigt un attiecināt izdevumus, kas veikti līdz projekta īstenošanas termiņa beigām. P</w:t>
      </w:r>
      <w:r w:rsidRPr="00B57653">
        <w:t>recizētās vadlīnijas tiks apstiprinātas 2015.gada janvārī.</w:t>
      </w:r>
    </w:p>
    <w:p w14:paraId="0A6EE402" w14:textId="77777777" w:rsidR="00014F89" w:rsidRPr="00B57653" w:rsidRDefault="00014F89" w:rsidP="00E12DFB">
      <w:pPr>
        <w:pStyle w:val="ListParagraph"/>
        <w:numPr>
          <w:ilvl w:val="0"/>
          <w:numId w:val="2"/>
        </w:numPr>
        <w:autoSpaceDE w:val="0"/>
        <w:autoSpaceDN w:val="0"/>
        <w:adjustRightInd w:val="0"/>
        <w:spacing w:before="120" w:after="120" w:line="276" w:lineRule="auto"/>
        <w:jc w:val="both"/>
        <w:rPr>
          <w:b/>
          <w:bCs/>
        </w:rPr>
      </w:pPr>
      <w:r w:rsidRPr="00B57653">
        <w:rPr>
          <w:b/>
          <w:bCs/>
        </w:rPr>
        <w:t>VI kontroļu un virsuzraudzības stiprināšana</w:t>
      </w:r>
    </w:p>
    <w:p w14:paraId="76B00EBC" w14:textId="0A013F48" w:rsidR="00A75D8C" w:rsidRPr="00B57653" w:rsidRDefault="00014F89" w:rsidP="00646790">
      <w:pPr>
        <w:autoSpaceDE w:val="0"/>
        <w:autoSpaceDN w:val="0"/>
        <w:adjustRightInd w:val="0"/>
        <w:spacing w:before="120" w:after="120" w:line="276" w:lineRule="auto"/>
        <w:jc w:val="both"/>
        <w:rPr>
          <w:rFonts w:cs="Times New Roman"/>
          <w:color w:val="000000"/>
          <w:szCs w:val="23"/>
        </w:rPr>
      </w:pPr>
      <w:r w:rsidRPr="00B57653">
        <w:rPr>
          <w:rFonts w:cs="Times New Roman"/>
          <w:color w:val="000000"/>
          <w:szCs w:val="23"/>
        </w:rPr>
        <w:t xml:space="preserve">Pārskata periodā VI </w:t>
      </w:r>
      <w:r w:rsidR="00D84F18" w:rsidRPr="00B57653">
        <w:rPr>
          <w:rFonts w:cs="Times New Roman"/>
          <w:color w:val="000000"/>
          <w:szCs w:val="23"/>
        </w:rPr>
        <w:t>ir turpinājusi veikt deleģēto funkciju pārbaudes</w:t>
      </w:r>
      <w:r w:rsidR="00AA0878" w:rsidRPr="00B57653">
        <w:rPr>
          <w:rFonts w:cs="Times New Roman"/>
          <w:color w:val="000000"/>
          <w:szCs w:val="23"/>
        </w:rPr>
        <w:t>, kā arī pārbaudes projektu īstenošanas vietās.</w:t>
      </w:r>
      <w:r w:rsidR="00D84F18" w:rsidRPr="00B57653">
        <w:rPr>
          <w:rFonts w:cs="Times New Roman"/>
          <w:color w:val="000000"/>
          <w:szCs w:val="23"/>
        </w:rPr>
        <w:t xml:space="preserve"> Uz informatīvā ziņojuma sagatavošanas brīdi 2014.gada </w:t>
      </w:r>
      <w:r w:rsidR="00D84F18" w:rsidRPr="00B57653">
        <w:rPr>
          <w:rFonts w:cs="Times New Roman"/>
          <w:color w:val="000000"/>
          <w:szCs w:val="23"/>
        </w:rPr>
        <w:lastRenderedPageBreak/>
        <w:t>pārbaužu ci</w:t>
      </w:r>
      <w:r w:rsidR="00372F2E" w:rsidRPr="00B57653">
        <w:rPr>
          <w:rFonts w:cs="Times New Roman"/>
          <w:color w:val="000000"/>
          <w:szCs w:val="23"/>
        </w:rPr>
        <w:t>kla ietvaros ir noslēgušās deleģ</w:t>
      </w:r>
      <w:r w:rsidR="00D84F18" w:rsidRPr="00B57653">
        <w:rPr>
          <w:rFonts w:cs="Times New Roman"/>
          <w:color w:val="000000"/>
          <w:szCs w:val="23"/>
        </w:rPr>
        <w:t xml:space="preserve">ēto funkciju pārbaudes </w:t>
      </w:r>
      <w:r w:rsidR="00A05907" w:rsidRPr="00B57653">
        <w:rPr>
          <w:rFonts w:cs="Times New Roman"/>
          <w:color w:val="000000"/>
          <w:szCs w:val="23"/>
        </w:rPr>
        <w:t>LM</w:t>
      </w:r>
      <w:r w:rsidR="00FD2585">
        <w:rPr>
          <w:rFonts w:cs="Times New Roman"/>
          <w:color w:val="000000"/>
          <w:szCs w:val="23"/>
        </w:rPr>
        <w:t>,</w:t>
      </w:r>
      <w:r w:rsidR="00D84F18" w:rsidRPr="00B57653">
        <w:rPr>
          <w:rFonts w:cs="Times New Roman"/>
          <w:color w:val="000000"/>
          <w:szCs w:val="23"/>
        </w:rPr>
        <w:t xml:space="preserve"> Nodarbinātības valsts aģentūrā, </w:t>
      </w:r>
      <w:r w:rsidR="00A05907" w:rsidRPr="00B57653">
        <w:rPr>
          <w:rFonts w:cs="Times New Roman"/>
          <w:color w:val="000000"/>
          <w:szCs w:val="23"/>
        </w:rPr>
        <w:t>VKanc</w:t>
      </w:r>
      <w:r w:rsidR="00A75D8C" w:rsidRPr="00B57653">
        <w:rPr>
          <w:rFonts w:cs="Times New Roman"/>
          <w:color w:val="000000"/>
          <w:szCs w:val="23"/>
        </w:rPr>
        <w:t xml:space="preserve">, </w:t>
      </w:r>
      <w:r w:rsidR="00A05907" w:rsidRPr="00B57653">
        <w:rPr>
          <w:rFonts w:cs="Times New Roman"/>
          <w:color w:val="000000"/>
          <w:szCs w:val="23"/>
        </w:rPr>
        <w:t>SIF</w:t>
      </w:r>
      <w:r w:rsidR="00D84F18" w:rsidRPr="00B57653">
        <w:rPr>
          <w:rFonts w:cs="Times New Roman"/>
          <w:color w:val="000000"/>
          <w:szCs w:val="23"/>
        </w:rPr>
        <w:t xml:space="preserve">, </w:t>
      </w:r>
      <w:r w:rsidR="00A05907" w:rsidRPr="00B57653">
        <w:rPr>
          <w:rFonts w:cs="Times New Roman"/>
          <w:color w:val="000000"/>
          <w:szCs w:val="23"/>
        </w:rPr>
        <w:t>VIAA</w:t>
      </w:r>
      <w:r w:rsidR="00A75D8C" w:rsidRPr="00B57653">
        <w:rPr>
          <w:rFonts w:cs="Times New Roman"/>
          <w:color w:val="000000"/>
          <w:szCs w:val="23"/>
        </w:rPr>
        <w:t xml:space="preserve">, </w:t>
      </w:r>
      <w:r w:rsidR="00A05907" w:rsidRPr="00B57653">
        <w:rPr>
          <w:rFonts w:cs="Times New Roman"/>
          <w:color w:val="000000"/>
          <w:szCs w:val="23"/>
        </w:rPr>
        <w:t>IZM</w:t>
      </w:r>
      <w:r w:rsidR="00AA0878" w:rsidRPr="00B57653">
        <w:rPr>
          <w:rFonts w:cs="Times New Roman"/>
          <w:color w:val="000000"/>
          <w:szCs w:val="23"/>
        </w:rPr>
        <w:t xml:space="preserve">, </w:t>
      </w:r>
      <w:r w:rsidR="00A75D8C" w:rsidRPr="00B57653">
        <w:rPr>
          <w:rFonts w:cs="Times New Roman"/>
          <w:color w:val="000000"/>
          <w:szCs w:val="23"/>
        </w:rPr>
        <w:t>Valsts reģionālās attīstības aģentūrā</w:t>
      </w:r>
      <w:r w:rsidR="00D84F18" w:rsidRPr="00B57653">
        <w:rPr>
          <w:rFonts w:cs="Times New Roman"/>
          <w:color w:val="000000"/>
          <w:szCs w:val="23"/>
        </w:rPr>
        <w:t xml:space="preserve"> </w:t>
      </w:r>
      <w:r w:rsidR="00A75D8C" w:rsidRPr="00B57653">
        <w:rPr>
          <w:rFonts w:cs="Times New Roman"/>
          <w:color w:val="000000"/>
          <w:szCs w:val="23"/>
        </w:rPr>
        <w:t xml:space="preserve">un </w:t>
      </w:r>
      <w:r w:rsidR="00A05907" w:rsidRPr="00B57653">
        <w:rPr>
          <w:rFonts w:cs="Times New Roman"/>
          <w:color w:val="000000"/>
          <w:szCs w:val="23"/>
        </w:rPr>
        <w:t>LIAA</w:t>
      </w:r>
      <w:r w:rsidR="00A75D8C" w:rsidRPr="00B57653">
        <w:rPr>
          <w:rFonts w:cs="Times New Roman"/>
          <w:color w:val="000000"/>
          <w:szCs w:val="23"/>
        </w:rPr>
        <w:t xml:space="preserve">. </w:t>
      </w:r>
      <w:r w:rsidR="00AA0878" w:rsidRPr="00B57653">
        <w:rPr>
          <w:rFonts w:cs="Times New Roman"/>
          <w:color w:val="000000"/>
          <w:szCs w:val="23"/>
        </w:rPr>
        <w:t xml:space="preserve">Uzsāktas un ir procesā deleģēto funkciju pārbaudes </w:t>
      </w:r>
      <w:r w:rsidR="00A05907" w:rsidRPr="00B57653">
        <w:rPr>
          <w:rFonts w:cs="Times New Roman"/>
          <w:color w:val="000000"/>
          <w:szCs w:val="23"/>
        </w:rPr>
        <w:t>VARAM</w:t>
      </w:r>
      <w:r w:rsidR="00AA0878" w:rsidRPr="00B57653">
        <w:rPr>
          <w:rFonts w:cs="Times New Roman"/>
          <w:color w:val="000000"/>
          <w:szCs w:val="23"/>
        </w:rPr>
        <w:t xml:space="preserve">, </w:t>
      </w:r>
      <w:r w:rsidR="00A05907" w:rsidRPr="00B57653">
        <w:rPr>
          <w:rFonts w:cs="Times New Roman"/>
          <w:color w:val="000000"/>
          <w:szCs w:val="23"/>
        </w:rPr>
        <w:t>EM</w:t>
      </w:r>
      <w:r w:rsidR="00AA0878" w:rsidRPr="00B57653">
        <w:rPr>
          <w:rFonts w:cs="Times New Roman"/>
          <w:color w:val="000000"/>
          <w:szCs w:val="23"/>
        </w:rPr>
        <w:t xml:space="preserve">, </w:t>
      </w:r>
      <w:r w:rsidR="00A05907" w:rsidRPr="00B57653">
        <w:rPr>
          <w:rFonts w:cs="Times New Roman"/>
          <w:color w:val="000000"/>
          <w:szCs w:val="23"/>
        </w:rPr>
        <w:t>SM</w:t>
      </w:r>
      <w:r w:rsidR="00AA0878" w:rsidRPr="00B57653">
        <w:rPr>
          <w:rFonts w:cs="Times New Roman"/>
          <w:color w:val="000000"/>
          <w:szCs w:val="23"/>
        </w:rPr>
        <w:t xml:space="preserve"> un </w:t>
      </w:r>
      <w:r w:rsidR="00ED7C81" w:rsidRPr="00B57653">
        <w:rPr>
          <w:rFonts w:cs="Times New Roman"/>
          <w:color w:val="000000"/>
          <w:szCs w:val="23"/>
        </w:rPr>
        <w:t>CFLA</w:t>
      </w:r>
      <w:r w:rsidR="00AA0878" w:rsidRPr="00B57653">
        <w:rPr>
          <w:rFonts w:cs="Times New Roman"/>
          <w:color w:val="000000"/>
          <w:szCs w:val="23"/>
        </w:rPr>
        <w:t>.</w:t>
      </w:r>
    </w:p>
    <w:p w14:paraId="7BF7FDD6" w14:textId="21459EF5" w:rsidR="0008630E" w:rsidRPr="00B57653" w:rsidRDefault="00D84F18" w:rsidP="00646790">
      <w:pPr>
        <w:autoSpaceDE w:val="0"/>
        <w:autoSpaceDN w:val="0"/>
        <w:adjustRightInd w:val="0"/>
        <w:spacing w:before="120" w:after="120" w:line="276" w:lineRule="auto"/>
        <w:jc w:val="both"/>
        <w:rPr>
          <w:rFonts w:cs="Times New Roman"/>
          <w:color w:val="000000"/>
          <w:szCs w:val="23"/>
        </w:rPr>
      </w:pPr>
      <w:r w:rsidRPr="00B57653">
        <w:rPr>
          <w:rFonts w:cs="Times New Roman"/>
          <w:color w:val="000000"/>
          <w:szCs w:val="23"/>
        </w:rPr>
        <w:t xml:space="preserve">Ievērojot šajā periodā pabeigto pārbaužu rezultātus, VI </w:t>
      </w:r>
      <w:r w:rsidR="0008630E" w:rsidRPr="00B57653">
        <w:rPr>
          <w:rFonts w:cs="Times New Roman"/>
          <w:color w:val="000000"/>
          <w:szCs w:val="23"/>
        </w:rPr>
        <w:t>ir guvusi pārliecību, ka kopumā AI un SI 2007.-2013.gada plānošanas periodā saskaņā ar Padomes Regulas (EK) Nr.1083/2006 59.panta otro punktu un 60.pantu deleģētās funkcijas pilda atbilstošā kvalitāt</w:t>
      </w:r>
      <w:r w:rsidR="00CA0CFD" w:rsidRPr="00B57653">
        <w:rPr>
          <w:rFonts w:cs="Times New Roman"/>
          <w:color w:val="000000"/>
          <w:szCs w:val="23"/>
        </w:rPr>
        <w:t xml:space="preserve">ē, vadības un kontroles sistēma darbojas atbilstoši </w:t>
      </w:r>
      <w:r w:rsidR="0008630E" w:rsidRPr="00B57653">
        <w:rPr>
          <w:rFonts w:cs="Times New Roman"/>
          <w:color w:val="000000"/>
          <w:szCs w:val="23"/>
        </w:rPr>
        <w:t xml:space="preserve">– atsevišķos gadījumos </w:t>
      </w:r>
      <w:r w:rsidR="00CA0CFD" w:rsidRPr="00B57653">
        <w:rPr>
          <w:rFonts w:cs="Times New Roman"/>
          <w:color w:val="000000"/>
          <w:szCs w:val="23"/>
        </w:rPr>
        <w:t>konstatēti trūkumi, kuriem nav būtiskas ietekmes uz deleģēto funkciju izpildes kopējo kvalitāti. Par konstatēto trūkumu novēršanu ir sagatavoti un ar AI/SI saskaņoti rīcības plāni.</w:t>
      </w:r>
    </w:p>
    <w:p w14:paraId="0B06C963" w14:textId="00436E82" w:rsidR="0019795B" w:rsidRPr="00B57653" w:rsidRDefault="00402773" w:rsidP="004928FF">
      <w:pPr>
        <w:autoSpaceDE w:val="0"/>
        <w:autoSpaceDN w:val="0"/>
        <w:adjustRightInd w:val="0"/>
        <w:spacing w:before="120" w:after="120" w:line="276" w:lineRule="auto"/>
        <w:jc w:val="both"/>
        <w:rPr>
          <w:rFonts w:cs="Times New Roman"/>
          <w:color w:val="000000"/>
          <w:szCs w:val="23"/>
        </w:rPr>
      </w:pPr>
      <w:r w:rsidRPr="00B57653">
        <w:rPr>
          <w:rFonts w:cs="Times New Roman"/>
          <w:color w:val="000000"/>
          <w:szCs w:val="23"/>
        </w:rPr>
        <w:t xml:space="preserve">Līdz šim veikto pārbaužu ietvaros </w:t>
      </w:r>
      <w:r w:rsidR="00CA0CFD" w:rsidRPr="00B57653">
        <w:rPr>
          <w:rFonts w:cs="Times New Roman"/>
          <w:color w:val="000000"/>
          <w:szCs w:val="23"/>
        </w:rPr>
        <w:t>nav konstatēti būtiski trūkumi ar sistēmiskām pazīmēm</w:t>
      </w:r>
      <w:r w:rsidRPr="00B57653">
        <w:rPr>
          <w:rFonts w:cs="Times New Roman"/>
          <w:color w:val="000000"/>
          <w:szCs w:val="23"/>
        </w:rPr>
        <w:t>, kas varētu ietekmēt atbilstošu vadības</w:t>
      </w:r>
      <w:r w:rsidR="00CA0CFD" w:rsidRPr="00B57653">
        <w:rPr>
          <w:rFonts w:cs="Times New Roman"/>
          <w:color w:val="000000"/>
          <w:szCs w:val="23"/>
        </w:rPr>
        <w:t xml:space="preserve"> un kontroles sistēmas darbību. </w:t>
      </w:r>
    </w:p>
    <w:p w14:paraId="3AB89AED" w14:textId="21E6DB6F" w:rsidR="00EF11A8" w:rsidRDefault="00074D14" w:rsidP="00EF11A8">
      <w:pPr>
        <w:pStyle w:val="2lmenis"/>
      </w:pPr>
      <w:bookmarkStart w:id="38" w:name="_Toc412729447"/>
      <w:r w:rsidRPr="00B57653">
        <w:t>Plānotie pasākumi vadības un kontroles sistēmas pilnveidošanai</w:t>
      </w:r>
      <w:bookmarkEnd w:id="38"/>
    </w:p>
    <w:p w14:paraId="0887D406" w14:textId="77777777" w:rsidR="00EF11A8" w:rsidRPr="00B57653" w:rsidRDefault="00EF11A8" w:rsidP="00EF11A8">
      <w:pPr>
        <w:spacing w:before="120" w:after="120" w:line="276" w:lineRule="auto"/>
        <w:jc w:val="both"/>
      </w:pPr>
      <w:r w:rsidRPr="00B57653">
        <w:rPr>
          <w:b/>
          <w:bCs/>
        </w:rPr>
        <w:t xml:space="preserve">Metodoloģiskā atbalsta stiprināšana ES fondu vadībā iesaistītajām iestādēm </w:t>
      </w:r>
      <w:r w:rsidRPr="00B57653">
        <w:t>ar mērķi nodrošināt vienotu praksi starp iestādēm un mazināt neatbilstoši veikto izdevumu rašanās risku</w:t>
      </w:r>
    </w:p>
    <w:p w14:paraId="5DDD99D5" w14:textId="77777777" w:rsidR="00EF11A8" w:rsidRPr="00B57653" w:rsidRDefault="00EF11A8" w:rsidP="00EF11A8">
      <w:pPr>
        <w:pStyle w:val="ListParagraph"/>
        <w:numPr>
          <w:ilvl w:val="0"/>
          <w:numId w:val="12"/>
        </w:numPr>
        <w:autoSpaceDE w:val="0"/>
        <w:autoSpaceDN w:val="0"/>
        <w:adjustRightInd w:val="0"/>
        <w:spacing w:before="120" w:after="120" w:line="276" w:lineRule="auto"/>
        <w:jc w:val="both"/>
      </w:pPr>
      <w:r w:rsidRPr="00B57653">
        <w:rPr>
          <w:i/>
        </w:rPr>
        <w:t>Vadlīnijas Nr.10.1. “Vadlīnijas attiecināmo un neattiecināmo izmaksu noteikšanai 2007.-2013.gada plānošanas periodā”</w:t>
      </w:r>
    </w:p>
    <w:p w14:paraId="19636E4D" w14:textId="77777777" w:rsidR="00EF11A8" w:rsidRPr="00B57653" w:rsidRDefault="00EF11A8" w:rsidP="00EF11A8">
      <w:pPr>
        <w:autoSpaceDE w:val="0"/>
        <w:autoSpaceDN w:val="0"/>
        <w:adjustRightInd w:val="0"/>
        <w:spacing w:before="120" w:after="120" w:line="276" w:lineRule="auto"/>
        <w:jc w:val="both"/>
      </w:pPr>
      <w:r w:rsidRPr="00B57653">
        <w:t>Veikt VI uzsākto vadlīniju aktualizēšanu un apstiprināšanu 2015.gada janvārī, ņemot vērā iestāžu iesūtītos jautājumus un diskusijas par netiešo attiecināmo izmaksu plānošanu, kā arī daļlaika noslodzes principa attiecināšanu.</w:t>
      </w:r>
    </w:p>
    <w:p w14:paraId="168B455C" w14:textId="77777777" w:rsidR="00EF11A8" w:rsidRPr="00B57653" w:rsidRDefault="00EF11A8" w:rsidP="00EF11A8">
      <w:pPr>
        <w:pStyle w:val="ListParagraph"/>
        <w:numPr>
          <w:ilvl w:val="0"/>
          <w:numId w:val="12"/>
        </w:numPr>
        <w:autoSpaceDE w:val="0"/>
        <w:autoSpaceDN w:val="0"/>
        <w:adjustRightInd w:val="0"/>
        <w:spacing w:before="120" w:after="120" w:line="276" w:lineRule="auto"/>
        <w:jc w:val="both"/>
        <w:rPr>
          <w:i/>
        </w:rPr>
      </w:pPr>
      <w:r w:rsidRPr="00B57653">
        <w:rPr>
          <w:i/>
        </w:rPr>
        <w:t>Vadlīnijas Nr.10.2. “Vadlīnijas grūtībās nonākušu uzņēmumu noteikšanai”</w:t>
      </w:r>
    </w:p>
    <w:p w14:paraId="77F0958A" w14:textId="77777777" w:rsidR="00EF11A8" w:rsidRPr="00B57653" w:rsidRDefault="00EF11A8" w:rsidP="00EF11A8">
      <w:pPr>
        <w:autoSpaceDE w:val="0"/>
        <w:autoSpaceDN w:val="0"/>
        <w:adjustRightInd w:val="0"/>
        <w:spacing w:before="120" w:after="120" w:line="276" w:lineRule="auto"/>
        <w:jc w:val="both"/>
      </w:pPr>
      <w:r w:rsidRPr="00B57653">
        <w:t>Turpināt VI vadlīniju aktualizēšanu saistībā ar jaunu Komisijas regulu Nr.651/2014 (2014.gada 17.jūnijs), ar ko noteiktas atbalsta kategorijas atzīst par saderīgām ar iekšējo tirgu, piemērojot Līguma 107. un 108.pantu.</w:t>
      </w:r>
    </w:p>
    <w:p w14:paraId="63A5B509" w14:textId="77777777" w:rsidR="00EF11A8" w:rsidRPr="00CC0CE4" w:rsidRDefault="00EF11A8" w:rsidP="00EF11A8">
      <w:pPr>
        <w:autoSpaceDE w:val="0"/>
        <w:autoSpaceDN w:val="0"/>
        <w:adjustRightInd w:val="0"/>
        <w:spacing w:before="120" w:after="120" w:line="276" w:lineRule="auto"/>
        <w:jc w:val="both"/>
        <w:rPr>
          <w:b/>
          <w:bCs/>
        </w:rPr>
      </w:pPr>
      <w:r w:rsidRPr="00CC0CE4">
        <w:rPr>
          <w:b/>
          <w:bCs/>
        </w:rPr>
        <w:t>Normatīvās bāzes stiprināšana ES fondu ieviešanā</w:t>
      </w:r>
    </w:p>
    <w:p w14:paraId="671EF54E" w14:textId="77777777" w:rsidR="00EF11A8" w:rsidRPr="00CC0CE4" w:rsidRDefault="00EF11A8" w:rsidP="00EF11A8">
      <w:pPr>
        <w:pStyle w:val="ListParagraph"/>
        <w:numPr>
          <w:ilvl w:val="0"/>
          <w:numId w:val="3"/>
        </w:numPr>
        <w:autoSpaceDE w:val="0"/>
        <w:autoSpaceDN w:val="0"/>
        <w:adjustRightInd w:val="0"/>
        <w:spacing w:before="120" w:after="120" w:line="276" w:lineRule="auto"/>
        <w:jc w:val="both"/>
        <w:rPr>
          <w:i/>
          <w:sz w:val="23"/>
          <w:szCs w:val="23"/>
        </w:rPr>
      </w:pPr>
      <w:r w:rsidRPr="00CC0CE4">
        <w:rPr>
          <w:i/>
          <w:sz w:val="23"/>
          <w:szCs w:val="23"/>
        </w:rPr>
        <w:t xml:space="preserve"> ES fondu 2014.-2020.gada plānošanas perioda normatīvie akti</w:t>
      </w:r>
    </w:p>
    <w:p w14:paraId="585AC4D6" w14:textId="7FA82BB7" w:rsidR="00EF11A8" w:rsidRPr="00BC3CDE" w:rsidRDefault="00EF11A8" w:rsidP="00BC3CDE">
      <w:pPr>
        <w:autoSpaceDE w:val="0"/>
        <w:autoSpaceDN w:val="0"/>
        <w:adjustRightInd w:val="0"/>
        <w:spacing w:before="120" w:after="120" w:line="276" w:lineRule="auto"/>
        <w:jc w:val="both"/>
        <w:rPr>
          <w:b/>
          <w:szCs w:val="24"/>
        </w:rPr>
      </w:pPr>
      <w:r w:rsidRPr="00CC0CE4">
        <w:rPr>
          <w:szCs w:val="24"/>
        </w:rPr>
        <w:t xml:space="preserve">Informācija par plānotajām un veiktajām darbībām attiecībā uz 2014. – 2020.gada plānošanas periodu sniegta sadaļā „ ES fondu 2014.-2020.gada </w:t>
      </w:r>
      <w:r w:rsidRPr="00CC0CE4">
        <w:rPr>
          <w:b/>
          <w:szCs w:val="24"/>
        </w:rPr>
        <w:t>plānošanas periods”.</w:t>
      </w:r>
    </w:p>
    <w:p w14:paraId="09B70083" w14:textId="6102D6E7" w:rsidR="00EF11A8" w:rsidRDefault="00EF11A8" w:rsidP="00EF11A8">
      <w:pPr>
        <w:pStyle w:val="2lmenis"/>
      </w:pPr>
      <w:bookmarkStart w:id="39" w:name="_Toc412729448"/>
      <w:r>
        <w:t>Eiropas savienības fondu auditoru sanāksme</w:t>
      </w:r>
      <w:bookmarkEnd w:id="39"/>
    </w:p>
    <w:p w14:paraId="34D35DCF" w14:textId="77777777" w:rsidR="00F453AE" w:rsidRPr="002A6F85" w:rsidRDefault="00F453AE" w:rsidP="00F453AE">
      <w:pPr>
        <w:spacing w:before="120" w:after="120" w:line="276" w:lineRule="auto"/>
        <w:jc w:val="both"/>
        <w:rPr>
          <w:rFonts w:eastAsia="Times New Roman" w:cs="Times New Roman"/>
          <w:color w:val="000000" w:themeColor="text1"/>
          <w:szCs w:val="24"/>
          <w:lang w:eastAsia="lv-LV"/>
        </w:rPr>
      </w:pPr>
      <w:r w:rsidRPr="002A6F85">
        <w:rPr>
          <w:rFonts w:eastAsia="Times New Roman" w:cs="Times New Roman"/>
          <w:color w:val="000000" w:themeColor="text1"/>
          <w:szCs w:val="24"/>
          <w:lang w:eastAsia="lv-LV"/>
        </w:rPr>
        <w:t>2013.gada 2.jūlijā ir saņemta EK vēstule Nr.2560489, ar kuru Latvija ir apstiprināta par 24. Ikgadējās augsta līmeņa Eiropas Savienības fondu auditoru sanāksmes (24th Annual Meeting of European Auditors of Structural Funds (The Homologues Group) uzņemošo valsti.</w:t>
      </w:r>
    </w:p>
    <w:p w14:paraId="2BC29A67" w14:textId="77777777" w:rsidR="00F453AE" w:rsidRPr="002A6F85" w:rsidRDefault="00F453AE" w:rsidP="00F453AE">
      <w:pPr>
        <w:spacing w:before="120" w:after="120"/>
        <w:jc w:val="both"/>
        <w:rPr>
          <w:rFonts w:eastAsia="Times New Roman" w:cs="Times New Roman"/>
          <w:color w:val="000000" w:themeColor="text1"/>
          <w:szCs w:val="24"/>
          <w:lang w:eastAsia="lv-LV"/>
        </w:rPr>
      </w:pPr>
      <w:r w:rsidRPr="002A6F85">
        <w:rPr>
          <w:rFonts w:eastAsia="Times New Roman" w:cs="Times New Roman"/>
          <w:color w:val="000000" w:themeColor="text1"/>
          <w:szCs w:val="24"/>
          <w:lang w:eastAsia="lv-LV"/>
        </w:rPr>
        <w:t xml:space="preserve">Pasākuma norises laiks ir no 2015.gada 20.-23.septembrim. Latvijā minēto sanāksmi organizē </w:t>
      </w:r>
      <w:r>
        <w:rPr>
          <w:rFonts w:eastAsia="Times New Roman" w:cs="Times New Roman"/>
          <w:color w:val="000000" w:themeColor="text1"/>
          <w:szCs w:val="24"/>
          <w:lang w:eastAsia="lv-LV"/>
        </w:rPr>
        <w:t xml:space="preserve">Eiropas Savienības fondu </w:t>
      </w:r>
      <w:r w:rsidRPr="002A6F85">
        <w:rPr>
          <w:rFonts w:eastAsia="Times New Roman" w:cs="Times New Roman"/>
          <w:color w:val="000000" w:themeColor="text1"/>
          <w:szCs w:val="24"/>
          <w:lang w:eastAsia="lv-LV"/>
        </w:rPr>
        <w:t>Revīzijas iestāde</w:t>
      </w:r>
      <w:r>
        <w:rPr>
          <w:rStyle w:val="FootnoteReference"/>
          <w:rFonts w:eastAsia="Times New Roman" w:cs="Times New Roman"/>
          <w:color w:val="000000" w:themeColor="text1"/>
          <w:szCs w:val="24"/>
          <w:lang w:eastAsia="lv-LV"/>
        </w:rPr>
        <w:footnoteReference w:id="43"/>
      </w:r>
      <w:r w:rsidRPr="002A6F85">
        <w:rPr>
          <w:rFonts w:eastAsia="Times New Roman" w:cs="Times New Roman"/>
          <w:color w:val="000000" w:themeColor="text1"/>
          <w:szCs w:val="24"/>
          <w:lang w:eastAsia="lv-LV"/>
        </w:rPr>
        <w:t>, kurai ir nepieciešams izpildīt sekojošas funkcijas:</w:t>
      </w:r>
    </w:p>
    <w:p w14:paraId="63AA30D7" w14:textId="77777777" w:rsidR="00F453AE" w:rsidRPr="002A6F85" w:rsidRDefault="00F453AE" w:rsidP="00F453AE">
      <w:pPr>
        <w:pStyle w:val="ListParagraph"/>
        <w:numPr>
          <w:ilvl w:val="0"/>
          <w:numId w:val="23"/>
        </w:numPr>
        <w:contextualSpacing w:val="0"/>
        <w:jc w:val="both"/>
        <w:rPr>
          <w:rFonts w:eastAsia="Times New Roman" w:cs="Times New Roman"/>
          <w:color w:val="000000" w:themeColor="text1"/>
          <w:szCs w:val="24"/>
          <w:lang w:eastAsia="lv-LV"/>
        </w:rPr>
      </w:pPr>
      <w:r w:rsidRPr="002A6F85">
        <w:rPr>
          <w:rFonts w:eastAsia="Times New Roman" w:cs="Times New Roman"/>
          <w:color w:val="000000" w:themeColor="text1"/>
          <w:szCs w:val="24"/>
          <w:lang w:eastAsia="lv-LV"/>
        </w:rPr>
        <w:lastRenderedPageBreak/>
        <w:t>Organizēt un koordinēt dalībnieku ceļošanu (avio transports, transfērs no lidostas uz viesnīcu</w:t>
      </w:r>
      <w:r>
        <w:rPr>
          <w:rFonts w:eastAsia="Times New Roman" w:cs="Times New Roman"/>
          <w:color w:val="000000" w:themeColor="text1"/>
          <w:szCs w:val="24"/>
          <w:lang w:eastAsia="lv-LV"/>
        </w:rPr>
        <w:t xml:space="preserve"> un atpakaļ</w:t>
      </w:r>
      <w:r w:rsidRPr="002A6F85">
        <w:rPr>
          <w:rFonts w:eastAsia="Times New Roman" w:cs="Times New Roman"/>
          <w:color w:val="000000" w:themeColor="text1"/>
          <w:szCs w:val="24"/>
          <w:lang w:eastAsia="lv-LV"/>
        </w:rPr>
        <w:t>);</w:t>
      </w:r>
    </w:p>
    <w:p w14:paraId="132096A1" w14:textId="77777777" w:rsidR="00F453AE" w:rsidRPr="002A6F85" w:rsidRDefault="00F453AE" w:rsidP="00F453AE">
      <w:pPr>
        <w:pStyle w:val="ListParagraph"/>
        <w:numPr>
          <w:ilvl w:val="0"/>
          <w:numId w:val="23"/>
        </w:numPr>
        <w:contextualSpacing w:val="0"/>
        <w:jc w:val="both"/>
        <w:rPr>
          <w:rFonts w:eastAsia="Times New Roman" w:cs="Times New Roman"/>
          <w:color w:val="000000" w:themeColor="text1"/>
          <w:szCs w:val="24"/>
          <w:lang w:eastAsia="lv-LV"/>
        </w:rPr>
      </w:pPr>
      <w:r w:rsidRPr="002A6F85">
        <w:rPr>
          <w:rFonts w:eastAsia="Times New Roman" w:cs="Times New Roman"/>
          <w:color w:val="000000" w:themeColor="text1"/>
          <w:szCs w:val="24"/>
          <w:lang w:eastAsia="lv-LV"/>
        </w:rPr>
        <w:t>Nodrošināt naktsmītnes un ēdināšanu;</w:t>
      </w:r>
    </w:p>
    <w:p w14:paraId="643F4EE4" w14:textId="77777777" w:rsidR="00F453AE" w:rsidRPr="002A6F85" w:rsidRDefault="00F453AE" w:rsidP="00F453AE">
      <w:pPr>
        <w:pStyle w:val="ListParagraph"/>
        <w:numPr>
          <w:ilvl w:val="0"/>
          <w:numId w:val="23"/>
        </w:numPr>
        <w:contextualSpacing w:val="0"/>
        <w:jc w:val="both"/>
        <w:rPr>
          <w:rFonts w:eastAsia="Times New Roman" w:cs="Times New Roman"/>
          <w:color w:val="000000" w:themeColor="text1"/>
          <w:szCs w:val="24"/>
          <w:lang w:eastAsia="lv-LV"/>
        </w:rPr>
      </w:pPr>
      <w:r w:rsidRPr="002A6F85">
        <w:rPr>
          <w:rFonts w:eastAsia="Times New Roman" w:cs="Times New Roman"/>
          <w:color w:val="000000" w:themeColor="text1"/>
          <w:szCs w:val="24"/>
          <w:lang w:eastAsia="lv-LV"/>
        </w:rPr>
        <w:t xml:space="preserve">Organizēt </w:t>
      </w:r>
      <w:r>
        <w:rPr>
          <w:rFonts w:eastAsia="Times New Roman" w:cs="Times New Roman"/>
          <w:color w:val="000000" w:themeColor="text1"/>
          <w:szCs w:val="24"/>
          <w:lang w:eastAsia="lv-LV"/>
        </w:rPr>
        <w:t>konferenci 2015.gada 21. un 22.</w:t>
      </w:r>
      <w:r w:rsidRPr="002A6F85">
        <w:rPr>
          <w:rFonts w:eastAsia="Times New Roman" w:cs="Times New Roman"/>
          <w:color w:val="000000" w:themeColor="text1"/>
          <w:szCs w:val="24"/>
          <w:lang w:eastAsia="lv-LV"/>
        </w:rPr>
        <w:t>septembrī, tai skaitā nodrošināt konferences telpas, tehnisko nodrošinājumu</w:t>
      </w:r>
      <w:r>
        <w:rPr>
          <w:rFonts w:eastAsia="Times New Roman" w:cs="Times New Roman"/>
          <w:color w:val="000000" w:themeColor="text1"/>
          <w:szCs w:val="24"/>
          <w:lang w:eastAsia="lv-LV"/>
        </w:rPr>
        <w:t>, tai skaitā sinhronai tulkošanai uz 7 valodām,</w:t>
      </w:r>
      <w:r w:rsidRPr="002A6F85">
        <w:rPr>
          <w:rFonts w:eastAsia="Times New Roman" w:cs="Times New Roman"/>
          <w:color w:val="000000" w:themeColor="text1"/>
          <w:szCs w:val="24"/>
          <w:lang w:eastAsia="lv-LV"/>
        </w:rPr>
        <w:t xml:space="preserve"> un ēdināšanu;</w:t>
      </w:r>
    </w:p>
    <w:p w14:paraId="6BC267B4" w14:textId="77777777" w:rsidR="00F453AE" w:rsidRPr="002A6F85" w:rsidRDefault="00F453AE" w:rsidP="00F453AE">
      <w:pPr>
        <w:pStyle w:val="ListParagraph"/>
        <w:numPr>
          <w:ilvl w:val="0"/>
          <w:numId w:val="23"/>
        </w:numPr>
        <w:contextualSpacing w:val="0"/>
        <w:jc w:val="both"/>
        <w:rPr>
          <w:rFonts w:eastAsia="Times New Roman" w:cs="Times New Roman"/>
          <w:color w:val="000000" w:themeColor="text1"/>
          <w:szCs w:val="24"/>
          <w:lang w:eastAsia="lv-LV"/>
        </w:rPr>
      </w:pPr>
      <w:r w:rsidRPr="002A6F85">
        <w:rPr>
          <w:rFonts w:eastAsia="Times New Roman" w:cs="Times New Roman"/>
          <w:color w:val="000000" w:themeColor="text1"/>
          <w:szCs w:val="24"/>
          <w:lang w:eastAsia="lv-LV"/>
        </w:rPr>
        <w:t>Nodrošināt divas vakariņas viesnīcā 2015.gada 20. un 22.septembrī un svinīgās vakariņas (Gala diner) ar izklaidējošu programmu 2015.gada 21.septembrī;</w:t>
      </w:r>
    </w:p>
    <w:p w14:paraId="1C114D4B" w14:textId="77777777" w:rsidR="00F453AE" w:rsidRPr="002A6F85" w:rsidRDefault="00F453AE" w:rsidP="00F453AE">
      <w:pPr>
        <w:pStyle w:val="ListParagraph"/>
        <w:numPr>
          <w:ilvl w:val="0"/>
          <w:numId w:val="23"/>
        </w:numPr>
        <w:contextualSpacing w:val="0"/>
        <w:jc w:val="both"/>
        <w:rPr>
          <w:rFonts w:eastAsia="Times New Roman" w:cs="Times New Roman"/>
          <w:color w:val="000000" w:themeColor="text1"/>
          <w:szCs w:val="24"/>
          <w:lang w:eastAsia="lv-LV"/>
        </w:rPr>
      </w:pPr>
      <w:r w:rsidRPr="002A6F85">
        <w:rPr>
          <w:rFonts w:eastAsia="Times New Roman" w:cs="Times New Roman"/>
          <w:color w:val="000000" w:themeColor="text1"/>
          <w:szCs w:val="24"/>
          <w:lang w:eastAsia="lv-LV"/>
        </w:rPr>
        <w:t>Kā arī citas aktivitātes ar mērķi</w:t>
      </w:r>
      <w:r>
        <w:rPr>
          <w:rFonts w:eastAsia="Times New Roman" w:cs="Times New Roman"/>
          <w:color w:val="000000" w:themeColor="text1"/>
          <w:szCs w:val="24"/>
          <w:lang w:eastAsia="lv-LV"/>
        </w:rPr>
        <w:t xml:space="preserve"> prezentēt Latviju un</w:t>
      </w:r>
      <w:r w:rsidRPr="002A6F85">
        <w:rPr>
          <w:rFonts w:eastAsia="Times New Roman" w:cs="Times New Roman"/>
          <w:color w:val="000000" w:themeColor="text1"/>
          <w:szCs w:val="24"/>
          <w:lang w:eastAsia="lv-LV"/>
        </w:rPr>
        <w:t xml:space="preserve"> uzlabot dalībvalstu revīzijas iestāžu un EK, kā arī Eiropas Revīzijas palātas sadarbību ES fondu ietvaros.</w:t>
      </w:r>
    </w:p>
    <w:p w14:paraId="5210D970" w14:textId="04A0AFAE" w:rsidR="00FA27BA" w:rsidRDefault="00F453AE" w:rsidP="00F453AE">
      <w:pPr>
        <w:spacing w:before="120" w:after="120"/>
        <w:jc w:val="both"/>
        <w:rPr>
          <w:rFonts w:eastAsia="Times New Roman" w:cs="Times New Roman"/>
          <w:color w:val="000000" w:themeColor="text1"/>
          <w:szCs w:val="24"/>
          <w:lang w:eastAsia="lv-LV"/>
        </w:rPr>
      </w:pPr>
      <w:r w:rsidRPr="002A6F85">
        <w:rPr>
          <w:rFonts w:eastAsia="Times New Roman" w:cs="Times New Roman"/>
          <w:color w:val="000000" w:themeColor="text1"/>
          <w:szCs w:val="24"/>
          <w:lang w:eastAsia="lv-LV"/>
        </w:rPr>
        <w:t>2015.gada maijā ir plānots iesniegt E</w:t>
      </w:r>
      <w:r>
        <w:rPr>
          <w:rFonts w:eastAsia="Times New Roman" w:cs="Times New Roman"/>
          <w:color w:val="000000" w:themeColor="text1"/>
          <w:szCs w:val="24"/>
          <w:lang w:eastAsia="lv-LV"/>
        </w:rPr>
        <w:t xml:space="preserve">iropas </w:t>
      </w:r>
      <w:r w:rsidRPr="002A6F85">
        <w:rPr>
          <w:rFonts w:eastAsia="Times New Roman" w:cs="Times New Roman"/>
          <w:color w:val="000000" w:themeColor="text1"/>
          <w:szCs w:val="24"/>
          <w:lang w:eastAsia="lv-LV"/>
        </w:rPr>
        <w:t>K</w:t>
      </w:r>
      <w:r>
        <w:rPr>
          <w:rFonts w:eastAsia="Times New Roman" w:cs="Times New Roman"/>
          <w:color w:val="000000" w:themeColor="text1"/>
          <w:szCs w:val="24"/>
          <w:lang w:eastAsia="lv-LV"/>
        </w:rPr>
        <w:t>omisijai</w:t>
      </w:r>
      <w:r w:rsidRPr="002A6F85">
        <w:rPr>
          <w:rFonts w:eastAsia="Times New Roman" w:cs="Times New Roman"/>
          <w:color w:val="000000" w:themeColor="text1"/>
          <w:szCs w:val="24"/>
          <w:lang w:eastAsia="lv-LV"/>
        </w:rPr>
        <w:t xml:space="preserve"> atbalsta pieteikum</w:t>
      </w:r>
      <w:r>
        <w:rPr>
          <w:rFonts w:eastAsia="Times New Roman" w:cs="Times New Roman"/>
          <w:color w:val="000000" w:themeColor="text1"/>
          <w:szCs w:val="24"/>
          <w:lang w:eastAsia="lv-LV"/>
        </w:rPr>
        <w:t>u</w:t>
      </w:r>
      <w:r w:rsidRPr="002A6F85">
        <w:rPr>
          <w:rFonts w:eastAsia="Times New Roman" w:cs="Times New Roman"/>
          <w:color w:val="000000" w:themeColor="text1"/>
          <w:szCs w:val="24"/>
          <w:lang w:eastAsia="lv-LV"/>
        </w:rPr>
        <w:t xml:space="preserve"> ar noteiktām plānotām izmaksām (skatīt zemāk). Šis laiks tiks noteikts arī kā izdevumu attiecināmības perioda sākums.  </w:t>
      </w:r>
    </w:p>
    <w:p w14:paraId="449E1C39" w14:textId="77777777" w:rsidR="00F453AE" w:rsidRPr="002A6F85" w:rsidRDefault="00F453AE" w:rsidP="00F453AE">
      <w:pPr>
        <w:spacing w:before="120" w:after="120"/>
        <w:jc w:val="both"/>
        <w:rPr>
          <w:rFonts w:eastAsia="Times New Roman" w:cs="Times New Roman"/>
          <w:color w:val="000000" w:themeColor="text1"/>
          <w:szCs w:val="24"/>
          <w:lang w:eastAsia="lv-LV"/>
        </w:rPr>
      </w:pPr>
      <w:r>
        <w:rPr>
          <w:rFonts w:eastAsia="Times New Roman" w:cs="Times New Roman"/>
          <w:color w:val="000000" w:themeColor="text1"/>
          <w:szCs w:val="24"/>
          <w:lang w:eastAsia="lv-LV"/>
        </w:rPr>
        <w:t>Tabula Nr.</w:t>
      </w:r>
      <w:r w:rsidRPr="002A6F85">
        <w:rPr>
          <w:rFonts w:eastAsia="Times New Roman" w:cs="Times New Roman"/>
          <w:color w:val="000000" w:themeColor="text1"/>
          <w:szCs w:val="24"/>
          <w:lang w:eastAsia="lv-LV"/>
        </w:rPr>
        <w:t xml:space="preserve">3 </w:t>
      </w:r>
      <w:r w:rsidRPr="002A6F85">
        <w:rPr>
          <w:rFonts w:eastAsia="Times New Roman" w:cs="Times New Roman"/>
          <w:i/>
          <w:color w:val="000000" w:themeColor="text1"/>
          <w:szCs w:val="24"/>
          <w:lang w:eastAsia="lv-LV"/>
        </w:rPr>
        <w:t>“Plānotais pasākuma budžets</w:t>
      </w:r>
      <w:r>
        <w:rPr>
          <w:rFonts w:eastAsia="Times New Roman" w:cs="Times New Roman"/>
          <w:i/>
          <w:color w:val="000000" w:themeColor="text1"/>
          <w:szCs w:val="24"/>
          <w:lang w:eastAsia="lv-LV"/>
        </w:rPr>
        <w:t>,</w:t>
      </w:r>
      <w:r w:rsidRPr="002A6F85">
        <w:rPr>
          <w:rFonts w:eastAsia="Times New Roman" w:cs="Times New Roman"/>
          <w:i/>
          <w:color w:val="000000" w:themeColor="text1"/>
          <w:szCs w:val="24"/>
          <w:lang w:eastAsia="lv-LV"/>
        </w:rPr>
        <w:t xml:space="preserve"> euro”</w:t>
      </w:r>
    </w:p>
    <w:tbl>
      <w:tblPr>
        <w:tblW w:w="10293" w:type="dxa"/>
        <w:jc w:val="center"/>
        <w:tblLayout w:type="fixed"/>
        <w:tblCellMar>
          <w:left w:w="0" w:type="dxa"/>
          <w:right w:w="0" w:type="dxa"/>
        </w:tblCellMar>
        <w:tblLook w:val="04A0" w:firstRow="1" w:lastRow="0" w:firstColumn="1" w:lastColumn="0" w:noHBand="0" w:noVBand="1"/>
      </w:tblPr>
      <w:tblGrid>
        <w:gridCol w:w="2969"/>
        <w:gridCol w:w="1000"/>
        <w:gridCol w:w="1002"/>
        <w:gridCol w:w="1143"/>
        <w:gridCol w:w="1177"/>
        <w:gridCol w:w="1571"/>
        <w:gridCol w:w="1431"/>
      </w:tblGrid>
      <w:tr w:rsidR="00F453AE" w14:paraId="7D1CD240" w14:textId="77777777" w:rsidTr="000A03C6">
        <w:trPr>
          <w:trHeight w:val="708"/>
          <w:jc w:val="center"/>
        </w:trPr>
        <w:tc>
          <w:tcPr>
            <w:tcW w:w="2969" w:type="dxa"/>
            <w:tcBorders>
              <w:top w:val="nil"/>
              <w:left w:val="nil"/>
              <w:bottom w:val="single" w:sz="4" w:space="0" w:color="auto"/>
              <w:right w:val="single" w:sz="4" w:space="0" w:color="auto"/>
            </w:tcBorders>
            <w:shd w:val="clear" w:color="auto" w:fill="BFBFBF" w:themeFill="background1" w:themeFillShade="BF"/>
            <w:tcMar>
              <w:top w:w="0" w:type="dxa"/>
              <w:left w:w="108" w:type="dxa"/>
              <w:bottom w:w="0" w:type="dxa"/>
              <w:right w:w="108" w:type="dxa"/>
            </w:tcMar>
            <w:vAlign w:val="center"/>
            <w:hideMark/>
          </w:tcPr>
          <w:p w14:paraId="00AD8383" w14:textId="77777777" w:rsidR="00F453AE" w:rsidRDefault="00F453AE" w:rsidP="00871BC8">
            <w:pPr>
              <w:rPr>
                <w:b/>
                <w:bCs/>
                <w:sz w:val="20"/>
                <w:szCs w:val="20"/>
                <w:lang w:eastAsia="lv-LV"/>
              </w:rPr>
            </w:pPr>
          </w:p>
        </w:tc>
        <w:tc>
          <w:tcPr>
            <w:tcW w:w="200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0" w:type="dxa"/>
              <w:left w:w="108" w:type="dxa"/>
              <w:bottom w:w="0" w:type="dxa"/>
              <w:right w:w="108" w:type="dxa"/>
            </w:tcMar>
            <w:vAlign w:val="center"/>
            <w:hideMark/>
          </w:tcPr>
          <w:p w14:paraId="1B9AF309" w14:textId="77777777" w:rsidR="00F453AE" w:rsidRDefault="00F453AE" w:rsidP="00871BC8">
            <w:pPr>
              <w:jc w:val="center"/>
              <w:rPr>
                <w:b/>
                <w:bCs/>
                <w:sz w:val="20"/>
                <w:szCs w:val="20"/>
                <w:lang w:eastAsia="lv-LV"/>
              </w:rPr>
            </w:pPr>
            <w:r>
              <w:rPr>
                <w:b/>
                <w:bCs/>
                <w:sz w:val="20"/>
                <w:szCs w:val="20"/>
                <w:lang w:eastAsia="lv-LV"/>
              </w:rPr>
              <w:t>Plānotās izmaksas</w:t>
            </w:r>
          </w:p>
        </w:tc>
        <w:tc>
          <w:tcPr>
            <w:tcW w:w="114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0" w:type="dxa"/>
              <w:left w:w="108" w:type="dxa"/>
              <w:bottom w:w="0" w:type="dxa"/>
              <w:right w:w="108" w:type="dxa"/>
            </w:tcMar>
            <w:vAlign w:val="center"/>
            <w:hideMark/>
          </w:tcPr>
          <w:p w14:paraId="226A6DD3" w14:textId="77777777" w:rsidR="00F453AE" w:rsidRDefault="00F453AE" w:rsidP="00871BC8">
            <w:pPr>
              <w:jc w:val="center"/>
              <w:rPr>
                <w:b/>
                <w:bCs/>
                <w:sz w:val="20"/>
                <w:szCs w:val="20"/>
                <w:lang w:eastAsia="lv-LV"/>
              </w:rPr>
            </w:pPr>
            <w:r>
              <w:rPr>
                <w:b/>
                <w:bCs/>
                <w:sz w:val="20"/>
                <w:szCs w:val="20"/>
                <w:lang w:eastAsia="lv-LV"/>
              </w:rPr>
              <w:t>Kopējās izmaksas</w:t>
            </w:r>
          </w:p>
        </w:tc>
        <w:tc>
          <w:tcPr>
            <w:tcW w:w="117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803F68D" w14:textId="77777777" w:rsidR="00F453AE" w:rsidRDefault="00F453AE" w:rsidP="00871BC8">
            <w:pPr>
              <w:jc w:val="center"/>
              <w:rPr>
                <w:b/>
                <w:bCs/>
                <w:sz w:val="20"/>
                <w:szCs w:val="20"/>
                <w:lang w:eastAsia="lv-LV"/>
              </w:rPr>
            </w:pPr>
            <w:r>
              <w:rPr>
                <w:b/>
                <w:bCs/>
                <w:sz w:val="20"/>
                <w:szCs w:val="20"/>
                <w:lang w:eastAsia="lv-LV"/>
              </w:rPr>
              <w:t>PVN</w:t>
            </w:r>
          </w:p>
          <w:p w14:paraId="7B167EEF" w14:textId="77777777" w:rsidR="00F453AE" w:rsidRDefault="00F453AE" w:rsidP="00871BC8">
            <w:pPr>
              <w:jc w:val="center"/>
              <w:rPr>
                <w:b/>
                <w:bCs/>
                <w:sz w:val="20"/>
                <w:szCs w:val="20"/>
                <w:lang w:eastAsia="lv-LV"/>
              </w:rPr>
            </w:pPr>
            <w:r>
              <w:rPr>
                <w:b/>
                <w:bCs/>
                <w:sz w:val="20"/>
                <w:szCs w:val="20"/>
                <w:lang w:eastAsia="lv-LV"/>
              </w:rPr>
              <w:t>(aptuvenais aprēķins)</w:t>
            </w:r>
          </w:p>
        </w:tc>
        <w:tc>
          <w:tcPr>
            <w:tcW w:w="300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0" w:type="dxa"/>
              <w:left w:w="108" w:type="dxa"/>
              <w:bottom w:w="0" w:type="dxa"/>
              <w:right w:w="108" w:type="dxa"/>
            </w:tcMar>
            <w:vAlign w:val="center"/>
            <w:hideMark/>
          </w:tcPr>
          <w:p w14:paraId="29109B26" w14:textId="77777777" w:rsidR="00F453AE" w:rsidRDefault="00F453AE" w:rsidP="00871BC8">
            <w:pPr>
              <w:jc w:val="center"/>
              <w:rPr>
                <w:b/>
                <w:bCs/>
                <w:sz w:val="20"/>
                <w:szCs w:val="20"/>
                <w:lang w:eastAsia="lv-LV"/>
              </w:rPr>
            </w:pPr>
            <w:r>
              <w:rPr>
                <w:b/>
                <w:bCs/>
                <w:sz w:val="20"/>
                <w:szCs w:val="20"/>
                <w:lang w:eastAsia="lv-LV"/>
              </w:rPr>
              <w:t>Maksimālais ES atbalsts</w:t>
            </w:r>
          </w:p>
        </w:tc>
      </w:tr>
      <w:tr w:rsidR="00F453AE" w14:paraId="2B5BF7D1" w14:textId="77777777" w:rsidTr="000A03C6">
        <w:trPr>
          <w:trHeight w:val="729"/>
          <w:jc w:val="center"/>
        </w:trPr>
        <w:tc>
          <w:tcPr>
            <w:tcW w:w="296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0" w:type="dxa"/>
              <w:left w:w="108" w:type="dxa"/>
              <w:bottom w:w="0" w:type="dxa"/>
              <w:right w:w="108" w:type="dxa"/>
            </w:tcMar>
            <w:vAlign w:val="center"/>
            <w:hideMark/>
          </w:tcPr>
          <w:p w14:paraId="55BACC19" w14:textId="77777777" w:rsidR="00F453AE" w:rsidRDefault="00F453AE" w:rsidP="00871BC8">
            <w:pPr>
              <w:jc w:val="center"/>
              <w:rPr>
                <w:b/>
                <w:bCs/>
                <w:sz w:val="20"/>
                <w:szCs w:val="20"/>
                <w:lang w:eastAsia="lv-LV"/>
              </w:rPr>
            </w:pPr>
            <w:r>
              <w:rPr>
                <w:b/>
                <w:bCs/>
                <w:sz w:val="20"/>
                <w:szCs w:val="20"/>
                <w:lang w:eastAsia="lv-LV"/>
              </w:rPr>
              <w:t>Izmaksu pozīcijas</w:t>
            </w:r>
          </w:p>
        </w:tc>
        <w:tc>
          <w:tcPr>
            <w:tcW w:w="100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0" w:type="dxa"/>
              <w:left w:w="108" w:type="dxa"/>
              <w:bottom w:w="0" w:type="dxa"/>
              <w:right w:w="108" w:type="dxa"/>
            </w:tcMar>
            <w:vAlign w:val="center"/>
            <w:hideMark/>
          </w:tcPr>
          <w:p w14:paraId="7A34B5D1" w14:textId="77777777" w:rsidR="00F453AE" w:rsidRDefault="00F453AE" w:rsidP="00871BC8">
            <w:pPr>
              <w:jc w:val="center"/>
              <w:rPr>
                <w:sz w:val="20"/>
                <w:szCs w:val="20"/>
                <w:lang w:eastAsia="lv-LV"/>
              </w:rPr>
            </w:pPr>
            <w:r>
              <w:rPr>
                <w:b/>
                <w:bCs/>
                <w:sz w:val="20"/>
                <w:szCs w:val="20"/>
                <w:lang w:eastAsia="lv-LV"/>
              </w:rPr>
              <w:t>Vienību skaits</w:t>
            </w:r>
          </w:p>
        </w:tc>
        <w:tc>
          <w:tcPr>
            <w:tcW w:w="100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0" w:type="dxa"/>
              <w:left w:w="108" w:type="dxa"/>
              <w:bottom w:w="0" w:type="dxa"/>
              <w:right w:w="108" w:type="dxa"/>
            </w:tcMar>
            <w:vAlign w:val="center"/>
            <w:hideMark/>
          </w:tcPr>
          <w:p w14:paraId="533011DA" w14:textId="77777777" w:rsidR="00F453AE" w:rsidRDefault="00F453AE" w:rsidP="00871BC8">
            <w:pPr>
              <w:jc w:val="center"/>
              <w:rPr>
                <w:sz w:val="20"/>
                <w:szCs w:val="20"/>
                <w:lang w:eastAsia="lv-LV"/>
              </w:rPr>
            </w:pPr>
            <w:r>
              <w:rPr>
                <w:b/>
                <w:bCs/>
                <w:sz w:val="20"/>
                <w:szCs w:val="20"/>
                <w:lang w:eastAsia="lv-LV"/>
              </w:rPr>
              <w:t>Vienības izmaksas (</w:t>
            </w:r>
            <w:r w:rsidRPr="00000F9D">
              <w:rPr>
                <w:b/>
                <w:bCs/>
                <w:i/>
                <w:sz w:val="20"/>
                <w:szCs w:val="20"/>
                <w:lang w:eastAsia="lv-LV"/>
              </w:rPr>
              <w:t>euro</w:t>
            </w:r>
            <w:r>
              <w:rPr>
                <w:b/>
                <w:bCs/>
                <w:sz w:val="20"/>
                <w:szCs w:val="20"/>
                <w:lang w:eastAsia="lv-LV"/>
              </w:rPr>
              <w:t>)</w:t>
            </w:r>
          </w:p>
        </w:tc>
        <w:tc>
          <w:tcPr>
            <w:tcW w:w="114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0" w:type="dxa"/>
              <w:left w:w="108" w:type="dxa"/>
              <w:bottom w:w="0" w:type="dxa"/>
              <w:right w:w="108" w:type="dxa"/>
            </w:tcMar>
            <w:vAlign w:val="center"/>
          </w:tcPr>
          <w:p w14:paraId="7629CD01" w14:textId="77777777" w:rsidR="00F453AE" w:rsidRDefault="00F453AE" w:rsidP="00871BC8">
            <w:pPr>
              <w:jc w:val="center"/>
              <w:rPr>
                <w:sz w:val="20"/>
                <w:szCs w:val="20"/>
                <w:lang w:eastAsia="lv-LV"/>
              </w:rPr>
            </w:pPr>
            <w:r>
              <w:rPr>
                <w:b/>
                <w:bCs/>
                <w:sz w:val="20"/>
                <w:szCs w:val="20"/>
                <w:lang w:eastAsia="lv-LV"/>
              </w:rPr>
              <w:t>(</w:t>
            </w:r>
            <w:r w:rsidRPr="00000F9D">
              <w:rPr>
                <w:b/>
                <w:bCs/>
                <w:i/>
                <w:sz w:val="20"/>
                <w:szCs w:val="20"/>
                <w:lang w:eastAsia="lv-LV"/>
              </w:rPr>
              <w:t>euro</w:t>
            </w:r>
            <w:r>
              <w:rPr>
                <w:b/>
                <w:bCs/>
                <w:sz w:val="20"/>
                <w:szCs w:val="20"/>
                <w:lang w:eastAsia="lv-LV"/>
              </w:rPr>
              <w:t>)</w:t>
            </w:r>
          </w:p>
        </w:tc>
        <w:tc>
          <w:tcPr>
            <w:tcW w:w="117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CAAA662" w14:textId="77777777" w:rsidR="00F453AE" w:rsidRDefault="00F453AE" w:rsidP="00871BC8">
            <w:pPr>
              <w:jc w:val="center"/>
              <w:rPr>
                <w:b/>
                <w:bCs/>
                <w:sz w:val="20"/>
                <w:szCs w:val="20"/>
                <w:lang w:eastAsia="lv-LV"/>
              </w:rPr>
            </w:pPr>
            <w:r>
              <w:rPr>
                <w:b/>
                <w:bCs/>
                <w:sz w:val="20"/>
                <w:szCs w:val="20"/>
                <w:lang w:eastAsia="lv-LV"/>
              </w:rPr>
              <w:t>(euro)</w:t>
            </w:r>
          </w:p>
        </w:tc>
        <w:tc>
          <w:tcPr>
            <w:tcW w:w="157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0" w:type="dxa"/>
              <w:left w:w="108" w:type="dxa"/>
              <w:bottom w:w="0" w:type="dxa"/>
              <w:right w:w="108" w:type="dxa"/>
            </w:tcMar>
            <w:vAlign w:val="center"/>
            <w:hideMark/>
          </w:tcPr>
          <w:p w14:paraId="79BDE3BA" w14:textId="77777777" w:rsidR="00F453AE" w:rsidRDefault="00F453AE" w:rsidP="00871BC8">
            <w:pPr>
              <w:jc w:val="center"/>
              <w:rPr>
                <w:b/>
                <w:bCs/>
                <w:sz w:val="20"/>
                <w:szCs w:val="20"/>
                <w:lang w:eastAsia="lv-LV"/>
              </w:rPr>
            </w:pPr>
            <w:r>
              <w:rPr>
                <w:b/>
                <w:bCs/>
                <w:sz w:val="20"/>
                <w:szCs w:val="20"/>
                <w:lang w:eastAsia="lv-LV"/>
              </w:rPr>
              <w:t>Maksimālā finansējuma likme pēc kategorijas (%)</w:t>
            </w:r>
          </w:p>
        </w:tc>
        <w:tc>
          <w:tcPr>
            <w:tcW w:w="143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0" w:type="dxa"/>
              <w:left w:w="108" w:type="dxa"/>
              <w:bottom w:w="0" w:type="dxa"/>
              <w:right w:w="108" w:type="dxa"/>
            </w:tcMar>
            <w:vAlign w:val="center"/>
            <w:hideMark/>
          </w:tcPr>
          <w:p w14:paraId="04D64684" w14:textId="77777777" w:rsidR="00F453AE" w:rsidRDefault="00F453AE" w:rsidP="00871BC8">
            <w:pPr>
              <w:jc w:val="center"/>
              <w:rPr>
                <w:b/>
                <w:bCs/>
                <w:sz w:val="20"/>
                <w:szCs w:val="20"/>
                <w:lang w:eastAsia="lv-LV"/>
              </w:rPr>
            </w:pPr>
            <w:r>
              <w:rPr>
                <w:b/>
                <w:bCs/>
                <w:sz w:val="20"/>
                <w:szCs w:val="20"/>
                <w:lang w:eastAsia="lv-LV"/>
              </w:rPr>
              <w:t>Maksimālais atbalsts kategorijām</w:t>
            </w:r>
          </w:p>
        </w:tc>
      </w:tr>
      <w:tr w:rsidR="00F453AE" w14:paraId="719A0211" w14:textId="77777777" w:rsidTr="000A03C6">
        <w:trPr>
          <w:trHeight w:val="73"/>
          <w:jc w:val="center"/>
        </w:trPr>
        <w:tc>
          <w:tcPr>
            <w:tcW w:w="296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0" w:type="dxa"/>
              <w:left w:w="108" w:type="dxa"/>
              <w:bottom w:w="0" w:type="dxa"/>
              <w:right w:w="108" w:type="dxa"/>
            </w:tcMar>
            <w:vAlign w:val="center"/>
            <w:hideMark/>
          </w:tcPr>
          <w:p w14:paraId="023ED9CE" w14:textId="77777777" w:rsidR="00F453AE" w:rsidRDefault="00F453AE" w:rsidP="00871BC8">
            <w:pPr>
              <w:jc w:val="center"/>
              <w:rPr>
                <w:i/>
                <w:iCs/>
                <w:sz w:val="20"/>
                <w:szCs w:val="20"/>
                <w:lang w:eastAsia="lv-LV"/>
              </w:rPr>
            </w:pPr>
            <w:r>
              <w:rPr>
                <w:i/>
                <w:iCs/>
                <w:sz w:val="20"/>
                <w:szCs w:val="20"/>
                <w:lang w:eastAsia="lv-LV"/>
              </w:rPr>
              <w:t>1</w:t>
            </w:r>
          </w:p>
        </w:tc>
        <w:tc>
          <w:tcPr>
            <w:tcW w:w="100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0" w:type="dxa"/>
              <w:left w:w="108" w:type="dxa"/>
              <w:bottom w:w="0" w:type="dxa"/>
              <w:right w:w="108" w:type="dxa"/>
            </w:tcMar>
            <w:vAlign w:val="center"/>
            <w:hideMark/>
          </w:tcPr>
          <w:p w14:paraId="40367540" w14:textId="77777777" w:rsidR="00F453AE" w:rsidRDefault="00F453AE" w:rsidP="00871BC8">
            <w:pPr>
              <w:jc w:val="center"/>
              <w:rPr>
                <w:i/>
                <w:iCs/>
                <w:sz w:val="20"/>
                <w:szCs w:val="20"/>
                <w:lang w:eastAsia="lv-LV"/>
              </w:rPr>
            </w:pPr>
            <w:r>
              <w:rPr>
                <w:i/>
                <w:iCs/>
                <w:sz w:val="20"/>
                <w:szCs w:val="20"/>
                <w:lang w:eastAsia="lv-LV"/>
              </w:rPr>
              <w:t>2</w:t>
            </w:r>
          </w:p>
        </w:tc>
        <w:tc>
          <w:tcPr>
            <w:tcW w:w="100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0" w:type="dxa"/>
              <w:left w:w="108" w:type="dxa"/>
              <w:bottom w:w="0" w:type="dxa"/>
              <w:right w:w="108" w:type="dxa"/>
            </w:tcMar>
            <w:vAlign w:val="center"/>
            <w:hideMark/>
          </w:tcPr>
          <w:p w14:paraId="043CE1B0" w14:textId="77777777" w:rsidR="00F453AE" w:rsidRDefault="00F453AE" w:rsidP="00871BC8">
            <w:pPr>
              <w:jc w:val="center"/>
              <w:rPr>
                <w:i/>
                <w:iCs/>
                <w:sz w:val="20"/>
                <w:szCs w:val="20"/>
                <w:lang w:eastAsia="lv-LV"/>
              </w:rPr>
            </w:pPr>
            <w:r>
              <w:rPr>
                <w:i/>
                <w:iCs/>
                <w:sz w:val="20"/>
                <w:szCs w:val="20"/>
                <w:lang w:eastAsia="lv-LV"/>
              </w:rPr>
              <w:t>3</w:t>
            </w:r>
          </w:p>
        </w:tc>
        <w:tc>
          <w:tcPr>
            <w:tcW w:w="114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0" w:type="dxa"/>
              <w:left w:w="108" w:type="dxa"/>
              <w:bottom w:w="0" w:type="dxa"/>
              <w:right w:w="108" w:type="dxa"/>
            </w:tcMar>
            <w:vAlign w:val="center"/>
            <w:hideMark/>
          </w:tcPr>
          <w:p w14:paraId="2EAAC15B" w14:textId="77777777" w:rsidR="00F453AE" w:rsidRDefault="00F453AE" w:rsidP="00871BC8">
            <w:pPr>
              <w:jc w:val="center"/>
              <w:rPr>
                <w:i/>
                <w:iCs/>
                <w:sz w:val="20"/>
                <w:szCs w:val="20"/>
                <w:lang w:eastAsia="lv-LV"/>
              </w:rPr>
            </w:pPr>
            <w:r>
              <w:rPr>
                <w:i/>
                <w:iCs/>
                <w:sz w:val="20"/>
                <w:szCs w:val="20"/>
                <w:lang w:eastAsia="lv-LV"/>
              </w:rPr>
              <w:t>4</w:t>
            </w:r>
          </w:p>
        </w:tc>
        <w:tc>
          <w:tcPr>
            <w:tcW w:w="117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7C87E2C" w14:textId="77777777" w:rsidR="00F453AE" w:rsidRDefault="00F453AE" w:rsidP="00871BC8">
            <w:pPr>
              <w:jc w:val="center"/>
              <w:rPr>
                <w:i/>
                <w:iCs/>
                <w:sz w:val="20"/>
                <w:szCs w:val="20"/>
                <w:lang w:eastAsia="lv-LV"/>
              </w:rPr>
            </w:pPr>
            <w:r>
              <w:rPr>
                <w:i/>
                <w:iCs/>
                <w:sz w:val="20"/>
                <w:szCs w:val="20"/>
                <w:lang w:eastAsia="lv-LV"/>
              </w:rPr>
              <w:t>5</w:t>
            </w:r>
          </w:p>
        </w:tc>
        <w:tc>
          <w:tcPr>
            <w:tcW w:w="157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0" w:type="dxa"/>
              <w:left w:w="108" w:type="dxa"/>
              <w:bottom w:w="0" w:type="dxa"/>
              <w:right w:w="108" w:type="dxa"/>
            </w:tcMar>
            <w:vAlign w:val="center"/>
            <w:hideMark/>
          </w:tcPr>
          <w:p w14:paraId="119D4E15" w14:textId="77777777" w:rsidR="00F453AE" w:rsidRDefault="00F453AE" w:rsidP="00871BC8">
            <w:pPr>
              <w:jc w:val="center"/>
              <w:rPr>
                <w:i/>
                <w:iCs/>
                <w:sz w:val="20"/>
                <w:szCs w:val="20"/>
                <w:lang w:eastAsia="lv-LV"/>
              </w:rPr>
            </w:pPr>
            <w:r>
              <w:rPr>
                <w:i/>
                <w:iCs/>
                <w:sz w:val="20"/>
                <w:szCs w:val="20"/>
                <w:lang w:eastAsia="lv-LV"/>
              </w:rPr>
              <w:t>6</w:t>
            </w:r>
          </w:p>
        </w:tc>
        <w:tc>
          <w:tcPr>
            <w:tcW w:w="143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0" w:type="dxa"/>
              <w:left w:w="108" w:type="dxa"/>
              <w:bottom w:w="0" w:type="dxa"/>
              <w:right w:w="108" w:type="dxa"/>
            </w:tcMar>
            <w:vAlign w:val="center"/>
            <w:hideMark/>
          </w:tcPr>
          <w:p w14:paraId="5AC924EA" w14:textId="77777777" w:rsidR="00F453AE" w:rsidRDefault="00F453AE" w:rsidP="00871BC8">
            <w:pPr>
              <w:jc w:val="center"/>
              <w:rPr>
                <w:i/>
                <w:iCs/>
                <w:sz w:val="20"/>
                <w:szCs w:val="20"/>
                <w:lang w:eastAsia="lv-LV"/>
              </w:rPr>
            </w:pPr>
            <w:r>
              <w:rPr>
                <w:i/>
                <w:iCs/>
                <w:sz w:val="20"/>
                <w:szCs w:val="20"/>
                <w:lang w:eastAsia="lv-LV"/>
              </w:rPr>
              <w:t>7</w:t>
            </w:r>
          </w:p>
        </w:tc>
      </w:tr>
      <w:tr w:rsidR="00F453AE" w14:paraId="1E985024" w14:textId="77777777" w:rsidTr="000A03C6">
        <w:trPr>
          <w:trHeight w:val="341"/>
          <w:jc w:val="center"/>
        </w:trPr>
        <w:tc>
          <w:tcPr>
            <w:tcW w:w="296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3C4E36F2" w14:textId="77777777" w:rsidR="00F453AE" w:rsidRDefault="00F453AE" w:rsidP="00871BC8">
            <w:pPr>
              <w:jc w:val="both"/>
              <w:rPr>
                <w:b/>
                <w:bCs/>
                <w:sz w:val="20"/>
                <w:szCs w:val="20"/>
                <w:lang w:eastAsia="lv-LV"/>
              </w:rPr>
            </w:pPr>
            <w:r>
              <w:rPr>
                <w:b/>
                <w:bCs/>
                <w:sz w:val="20"/>
                <w:szCs w:val="20"/>
                <w:lang w:eastAsia="lv-LV"/>
              </w:rPr>
              <w:t>1. Administratīvie izdevumi (darbinieku algas)</w:t>
            </w:r>
          </w:p>
        </w:tc>
        <w:tc>
          <w:tcPr>
            <w:tcW w:w="10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1F9EA3A1" w14:textId="5BB18EDC" w:rsidR="00F453AE" w:rsidRDefault="00F453AE" w:rsidP="00D5630D">
            <w:pPr>
              <w:jc w:val="center"/>
              <w:rPr>
                <w:b/>
                <w:bCs/>
                <w:sz w:val="20"/>
                <w:szCs w:val="20"/>
                <w:lang w:eastAsia="lv-LV"/>
              </w:rPr>
            </w:pPr>
          </w:p>
        </w:tc>
        <w:tc>
          <w:tcPr>
            <w:tcW w:w="100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23F8166E" w14:textId="45C27001" w:rsidR="00F453AE" w:rsidRDefault="00F453AE" w:rsidP="00D5630D">
            <w:pPr>
              <w:jc w:val="center"/>
              <w:rPr>
                <w:b/>
                <w:bCs/>
                <w:sz w:val="20"/>
                <w:szCs w:val="20"/>
                <w:lang w:eastAsia="lv-LV"/>
              </w:rPr>
            </w:pP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7F81439D" w14:textId="0CFAD241" w:rsidR="00F453AE" w:rsidRDefault="0070651F" w:rsidP="00D5630D">
            <w:pPr>
              <w:jc w:val="center"/>
              <w:rPr>
                <w:b/>
                <w:bCs/>
                <w:sz w:val="20"/>
                <w:szCs w:val="20"/>
                <w:lang w:eastAsia="lv-LV"/>
              </w:rPr>
            </w:pPr>
            <w:r>
              <w:rPr>
                <w:b/>
                <w:bCs/>
                <w:sz w:val="20"/>
                <w:szCs w:val="20"/>
                <w:lang w:eastAsia="lv-LV"/>
              </w:rPr>
              <w:t>10 000</w:t>
            </w:r>
          </w:p>
        </w:tc>
        <w:tc>
          <w:tcPr>
            <w:tcW w:w="117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0BCD15" w14:textId="77777777" w:rsidR="00F453AE" w:rsidRDefault="00F453AE" w:rsidP="00D5630D">
            <w:pPr>
              <w:jc w:val="center"/>
              <w:rPr>
                <w:b/>
                <w:bCs/>
                <w:sz w:val="20"/>
                <w:szCs w:val="20"/>
                <w:lang w:eastAsia="lv-LV"/>
              </w:rPr>
            </w:pPr>
          </w:p>
        </w:tc>
        <w:tc>
          <w:tcPr>
            <w:tcW w:w="157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68C75998" w14:textId="77777777" w:rsidR="00F453AE" w:rsidRDefault="00F453AE" w:rsidP="00D5630D">
            <w:pPr>
              <w:jc w:val="center"/>
              <w:rPr>
                <w:b/>
                <w:bCs/>
                <w:sz w:val="20"/>
                <w:szCs w:val="20"/>
                <w:lang w:eastAsia="lv-LV"/>
              </w:rPr>
            </w:pPr>
            <w:r>
              <w:rPr>
                <w:b/>
                <w:bCs/>
                <w:sz w:val="20"/>
                <w:szCs w:val="20"/>
                <w:lang w:eastAsia="lv-LV"/>
              </w:rPr>
              <w:t>80%</w:t>
            </w:r>
          </w:p>
        </w:tc>
        <w:tc>
          <w:tcPr>
            <w:tcW w:w="143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42C51A8C" w14:textId="49FE17A6" w:rsidR="00F453AE" w:rsidRDefault="0070651F" w:rsidP="00D5630D">
            <w:pPr>
              <w:jc w:val="center"/>
              <w:rPr>
                <w:b/>
                <w:bCs/>
                <w:sz w:val="20"/>
                <w:szCs w:val="20"/>
                <w:lang w:eastAsia="lv-LV"/>
              </w:rPr>
            </w:pPr>
            <w:r>
              <w:rPr>
                <w:b/>
                <w:bCs/>
                <w:sz w:val="20"/>
                <w:szCs w:val="20"/>
                <w:lang w:eastAsia="lv-LV"/>
              </w:rPr>
              <w:t>8 000</w:t>
            </w:r>
          </w:p>
        </w:tc>
      </w:tr>
      <w:tr w:rsidR="00F453AE" w14:paraId="666A5D86" w14:textId="77777777" w:rsidTr="000A03C6">
        <w:trPr>
          <w:trHeight w:val="341"/>
          <w:jc w:val="center"/>
        </w:trPr>
        <w:tc>
          <w:tcPr>
            <w:tcW w:w="296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54474267" w14:textId="77777777" w:rsidR="00F453AE" w:rsidRDefault="00F453AE" w:rsidP="00871BC8">
            <w:pPr>
              <w:jc w:val="both"/>
              <w:rPr>
                <w:b/>
                <w:bCs/>
                <w:sz w:val="20"/>
                <w:szCs w:val="20"/>
                <w:lang w:eastAsia="lv-LV"/>
              </w:rPr>
            </w:pPr>
            <w:r>
              <w:rPr>
                <w:b/>
                <w:bCs/>
                <w:sz w:val="20"/>
                <w:szCs w:val="20"/>
                <w:lang w:eastAsia="lv-LV"/>
              </w:rPr>
              <w:t xml:space="preserve">2. Svinīgās vakariņas </w:t>
            </w:r>
            <w:r w:rsidRPr="00130765">
              <w:rPr>
                <w:bCs/>
                <w:sz w:val="20"/>
                <w:szCs w:val="20"/>
                <w:lang w:eastAsia="lv-LV"/>
              </w:rPr>
              <w:t>(</w:t>
            </w:r>
            <w:r w:rsidRPr="00130765">
              <w:rPr>
                <w:bCs/>
                <w:i/>
                <w:sz w:val="20"/>
                <w:szCs w:val="20"/>
                <w:lang w:eastAsia="lv-LV"/>
              </w:rPr>
              <w:t>Gala diner</w:t>
            </w:r>
            <w:r w:rsidRPr="00130765">
              <w:rPr>
                <w:bCs/>
                <w:sz w:val="20"/>
                <w:szCs w:val="20"/>
                <w:lang w:eastAsia="lv-LV"/>
              </w:rPr>
              <w:t>) 21.09.2015.</w:t>
            </w:r>
          </w:p>
        </w:tc>
        <w:tc>
          <w:tcPr>
            <w:tcW w:w="10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4CCB54A4" w14:textId="77777777" w:rsidR="00F453AE" w:rsidRDefault="00F453AE" w:rsidP="00D5630D">
            <w:pPr>
              <w:jc w:val="center"/>
              <w:rPr>
                <w:sz w:val="20"/>
                <w:szCs w:val="20"/>
                <w:lang w:eastAsia="lv-LV"/>
              </w:rPr>
            </w:pPr>
            <w:r>
              <w:rPr>
                <w:sz w:val="20"/>
                <w:szCs w:val="20"/>
                <w:lang w:eastAsia="lv-LV"/>
              </w:rPr>
              <w:t>153</w:t>
            </w:r>
          </w:p>
        </w:tc>
        <w:tc>
          <w:tcPr>
            <w:tcW w:w="100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2F7AEEA5" w14:textId="53248D78" w:rsidR="00F453AE" w:rsidRDefault="003721EE" w:rsidP="00D5630D">
            <w:pPr>
              <w:jc w:val="center"/>
              <w:rPr>
                <w:sz w:val="20"/>
                <w:szCs w:val="20"/>
                <w:lang w:eastAsia="lv-LV"/>
              </w:rPr>
            </w:pPr>
            <w:r>
              <w:rPr>
                <w:sz w:val="20"/>
                <w:szCs w:val="20"/>
                <w:lang w:eastAsia="lv-LV"/>
              </w:rPr>
              <w:t>100</w:t>
            </w: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1A220C55" w14:textId="50FC49CA" w:rsidR="00F453AE" w:rsidRDefault="0070651F" w:rsidP="00D5630D">
            <w:pPr>
              <w:jc w:val="center"/>
              <w:rPr>
                <w:b/>
                <w:bCs/>
                <w:sz w:val="20"/>
                <w:szCs w:val="20"/>
                <w:lang w:eastAsia="lv-LV"/>
              </w:rPr>
            </w:pPr>
            <w:r>
              <w:rPr>
                <w:b/>
                <w:bCs/>
                <w:sz w:val="20"/>
                <w:szCs w:val="20"/>
                <w:lang w:eastAsia="lv-LV"/>
              </w:rPr>
              <w:t>15 300</w:t>
            </w:r>
          </w:p>
        </w:tc>
        <w:tc>
          <w:tcPr>
            <w:tcW w:w="117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3FCAEF" w14:textId="45AFC235" w:rsidR="00F453AE" w:rsidRDefault="00F453AE" w:rsidP="00D5630D">
            <w:pPr>
              <w:jc w:val="center"/>
              <w:rPr>
                <w:b/>
                <w:bCs/>
                <w:sz w:val="20"/>
                <w:szCs w:val="20"/>
                <w:lang w:eastAsia="lv-LV"/>
              </w:rPr>
            </w:pPr>
            <w:r w:rsidRPr="00ED20D3">
              <w:rPr>
                <w:b/>
                <w:bCs/>
                <w:sz w:val="20"/>
                <w:szCs w:val="20"/>
                <w:lang w:eastAsia="lv-LV"/>
              </w:rPr>
              <w:t>3</w:t>
            </w:r>
            <w:r>
              <w:rPr>
                <w:b/>
                <w:bCs/>
                <w:sz w:val="20"/>
                <w:szCs w:val="20"/>
                <w:lang w:eastAsia="lv-LV"/>
              </w:rPr>
              <w:t> </w:t>
            </w:r>
            <w:r w:rsidRPr="00ED20D3">
              <w:rPr>
                <w:b/>
                <w:bCs/>
                <w:sz w:val="20"/>
                <w:szCs w:val="20"/>
                <w:lang w:eastAsia="lv-LV"/>
              </w:rPr>
              <w:t>213</w:t>
            </w:r>
          </w:p>
        </w:tc>
        <w:tc>
          <w:tcPr>
            <w:tcW w:w="157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5558F330" w14:textId="77777777" w:rsidR="00F453AE" w:rsidRDefault="00F453AE" w:rsidP="00D5630D">
            <w:pPr>
              <w:jc w:val="center"/>
              <w:rPr>
                <w:b/>
                <w:bCs/>
                <w:sz w:val="20"/>
                <w:szCs w:val="20"/>
                <w:lang w:eastAsia="lv-LV"/>
              </w:rPr>
            </w:pPr>
            <w:r>
              <w:rPr>
                <w:b/>
                <w:bCs/>
                <w:sz w:val="20"/>
                <w:szCs w:val="20"/>
                <w:lang w:eastAsia="lv-LV"/>
              </w:rPr>
              <w:t>80%</w:t>
            </w:r>
          </w:p>
        </w:tc>
        <w:tc>
          <w:tcPr>
            <w:tcW w:w="143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50765366" w14:textId="6BD7E759" w:rsidR="00F453AE" w:rsidRDefault="0070651F" w:rsidP="00D5630D">
            <w:pPr>
              <w:jc w:val="center"/>
              <w:rPr>
                <w:b/>
                <w:bCs/>
                <w:sz w:val="20"/>
                <w:szCs w:val="20"/>
                <w:lang w:eastAsia="lv-LV"/>
              </w:rPr>
            </w:pPr>
            <w:r>
              <w:rPr>
                <w:b/>
                <w:bCs/>
                <w:sz w:val="20"/>
                <w:szCs w:val="20"/>
                <w:lang w:eastAsia="lv-LV"/>
              </w:rPr>
              <w:t>12 240</w:t>
            </w:r>
          </w:p>
        </w:tc>
      </w:tr>
      <w:tr w:rsidR="00F453AE" w14:paraId="5FECA479" w14:textId="77777777" w:rsidTr="000A03C6">
        <w:trPr>
          <w:trHeight w:val="458"/>
          <w:jc w:val="center"/>
        </w:trPr>
        <w:tc>
          <w:tcPr>
            <w:tcW w:w="296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1992C5FC" w14:textId="77777777" w:rsidR="00F453AE" w:rsidRDefault="00F453AE" w:rsidP="00871BC8">
            <w:pPr>
              <w:rPr>
                <w:b/>
                <w:bCs/>
                <w:sz w:val="20"/>
                <w:szCs w:val="20"/>
                <w:lang w:eastAsia="lv-LV"/>
              </w:rPr>
            </w:pPr>
            <w:r>
              <w:rPr>
                <w:b/>
                <w:bCs/>
                <w:sz w:val="20"/>
                <w:szCs w:val="20"/>
                <w:lang w:eastAsia="lv-LV"/>
              </w:rPr>
              <w:t>3. Citi attiecināmie izdevumi</w:t>
            </w:r>
          </w:p>
        </w:tc>
        <w:tc>
          <w:tcPr>
            <w:tcW w:w="10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2EC20208" w14:textId="4F4FA749" w:rsidR="00F453AE" w:rsidRDefault="00F453AE" w:rsidP="00D5630D">
            <w:pPr>
              <w:jc w:val="center"/>
              <w:rPr>
                <w:sz w:val="20"/>
                <w:szCs w:val="20"/>
                <w:lang w:eastAsia="lv-LV"/>
              </w:rPr>
            </w:pPr>
          </w:p>
        </w:tc>
        <w:tc>
          <w:tcPr>
            <w:tcW w:w="100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63D4AA32" w14:textId="3DD17BF4" w:rsidR="00F453AE" w:rsidRDefault="00F453AE" w:rsidP="00D5630D">
            <w:pPr>
              <w:jc w:val="center"/>
              <w:rPr>
                <w:sz w:val="20"/>
                <w:szCs w:val="20"/>
                <w:lang w:eastAsia="lv-LV"/>
              </w:rPr>
            </w:pP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70923054" w14:textId="2EB8B75D" w:rsidR="00F453AE" w:rsidRDefault="0070651F" w:rsidP="00D5630D">
            <w:pPr>
              <w:jc w:val="center"/>
              <w:rPr>
                <w:b/>
                <w:bCs/>
                <w:sz w:val="20"/>
                <w:szCs w:val="20"/>
                <w:lang w:eastAsia="lv-LV"/>
              </w:rPr>
            </w:pPr>
            <w:r>
              <w:rPr>
                <w:b/>
                <w:bCs/>
                <w:sz w:val="20"/>
                <w:szCs w:val="20"/>
                <w:lang w:eastAsia="lv-LV"/>
              </w:rPr>
              <w:t>178 989</w:t>
            </w:r>
          </w:p>
        </w:tc>
        <w:tc>
          <w:tcPr>
            <w:tcW w:w="117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55037F" w14:textId="1BEA3B73" w:rsidR="00F453AE" w:rsidRDefault="0070651F" w:rsidP="00D5630D">
            <w:pPr>
              <w:jc w:val="center"/>
              <w:rPr>
                <w:b/>
                <w:bCs/>
                <w:sz w:val="20"/>
                <w:szCs w:val="20"/>
                <w:lang w:eastAsia="lv-LV"/>
              </w:rPr>
            </w:pPr>
            <w:r>
              <w:rPr>
                <w:b/>
                <w:bCs/>
                <w:sz w:val="20"/>
                <w:szCs w:val="20"/>
                <w:lang w:eastAsia="lv-LV"/>
              </w:rPr>
              <w:t>17334</w:t>
            </w:r>
          </w:p>
        </w:tc>
        <w:tc>
          <w:tcPr>
            <w:tcW w:w="157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5F73F813" w14:textId="77777777" w:rsidR="00F453AE" w:rsidRDefault="00F453AE" w:rsidP="00D5630D">
            <w:pPr>
              <w:jc w:val="center"/>
              <w:rPr>
                <w:b/>
                <w:bCs/>
                <w:sz w:val="20"/>
                <w:szCs w:val="20"/>
                <w:lang w:eastAsia="lv-LV"/>
              </w:rPr>
            </w:pPr>
            <w:r>
              <w:rPr>
                <w:b/>
                <w:bCs/>
                <w:sz w:val="20"/>
                <w:szCs w:val="20"/>
                <w:lang w:eastAsia="lv-LV"/>
              </w:rPr>
              <w:t>80%</w:t>
            </w:r>
          </w:p>
        </w:tc>
        <w:tc>
          <w:tcPr>
            <w:tcW w:w="143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7F00E20A" w14:textId="47FEB116" w:rsidR="00F453AE" w:rsidRDefault="0070651F" w:rsidP="00D5630D">
            <w:pPr>
              <w:jc w:val="center"/>
              <w:rPr>
                <w:b/>
                <w:bCs/>
                <w:sz w:val="20"/>
                <w:szCs w:val="20"/>
                <w:lang w:eastAsia="lv-LV"/>
              </w:rPr>
            </w:pPr>
            <w:r>
              <w:rPr>
                <w:b/>
                <w:bCs/>
                <w:sz w:val="20"/>
                <w:szCs w:val="20"/>
                <w:lang w:eastAsia="lv-LV"/>
              </w:rPr>
              <w:t>143 191</w:t>
            </w:r>
          </w:p>
        </w:tc>
      </w:tr>
      <w:tr w:rsidR="00F453AE" w14:paraId="1E421B0F" w14:textId="77777777" w:rsidTr="000A03C6">
        <w:trPr>
          <w:trHeight w:val="324"/>
          <w:jc w:val="center"/>
        </w:trPr>
        <w:tc>
          <w:tcPr>
            <w:tcW w:w="296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46EA621" w14:textId="77777777" w:rsidR="00F453AE" w:rsidRPr="00130765" w:rsidRDefault="00F453AE" w:rsidP="00871BC8">
            <w:pPr>
              <w:rPr>
                <w:iCs/>
                <w:sz w:val="20"/>
                <w:szCs w:val="20"/>
                <w:lang w:eastAsia="lv-LV"/>
              </w:rPr>
            </w:pPr>
            <w:r w:rsidRPr="00130765">
              <w:rPr>
                <w:iCs/>
                <w:sz w:val="20"/>
                <w:szCs w:val="20"/>
                <w:lang w:eastAsia="lv-LV"/>
              </w:rPr>
              <w:t>3.1. Publicitāte</w:t>
            </w:r>
          </w:p>
        </w:tc>
        <w:tc>
          <w:tcPr>
            <w:tcW w:w="10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3E7F03D" w14:textId="288D10B7" w:rsidR="00F453AE" w:rsidRDefault="00F453AE" w:rsidP="00D5630D">
            <w:pPr>
              <w:jc w:val="center"/>
              <w:rPr>
                <w:sz w:val="20"/>
                <w:szCs w:val="20"/>
                <w:lang w:eastAsia="lv-LV"/>
              </w:rPr>
            </w:pPr>
          </w:p>
        </w:tc>
        <w:tc>
          <w:tcPr>
            <w:tcW w:w="10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3F85377" w14:textId="46C7047D" w:rsidR="00F453AE" w:rsidRDefault="00F453AE" w:rsidP="00D5630D">
            <w:pPr>
              <w:jc w:val="center"/>
              <w:rPr>
                <w:sz w:val="20"/>
                <w:szCs w:val="20"/>
                <w:lang w:eastAsia="lv-LV"/>
              </w:rPr>
            </w:pPr>
          </w:p>
        </w:tc>
        <w:tc>
          <w:tcPr>
            <w:tcW w:w="114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08A6C716" w14:textId="03A20DC5" w:rsidR="00F453AE" w:rsidRDefault="0070651F" w:rsidP="00D5630D">
            <w:pPr>
              <w:jc w:val="center"/>
              <w:rPr>
                <w:sz w:val="20"/>
                <w:szCs w:val="20"/>
                <w:lang w:eastAsia="lv-LV"/>
              </w:rPr>
            </w:pPr>
            <w:r>
              <w:rPr>
                <w:sz w:val="20"/>
                <w:szCs w:val="20"/>
                <w:lang w:eastAsia="lv-LV"/>
              </w:rPr>
              <w:t>6 400</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305C15" w14:textId="48852022" w:rsidR="00F453AE" w:rsidRDefault="00F453AE" w:rsidP="00D5630D">
            <w:pPr>
              <w:jc w:val="center"/>
              <w:rPr>
                <w:sz w:val="20"/>
                <w:szCs w:val="20"/>
                <w:lang w:eastAsia="lv-LV"/>
              </w:rPr>
            </w:pPr>
            <w:r w:rsidRPr="00F1466E">
              <w:rPr>
                <w:sz w:val="20"/>
                <w:szCs w:val="20"/>
                <w:lang w:eastAsia="lv-LV"/>
              </w:rPr>
              <w:t>1</w:t>
            </w:r>
            <w:r>
              <w:rPr>
                <w:sz w:val="20"/>
                <w:szCs w:val="20"/>
                <w:lang w:eastAsia="lv-LV"/>
              </w:rPr>
              <w:t> </w:t>
            </w:r>
            <w:r w:rsidRPr="00F1466E">
              <w:rPr>
                <w:sz w:val="20"/>
                <w:szCs w:val="20"/>
                <w:lang w:eastAsia="lv-LV"/>
              </w:rPr>
              <w:t>344</w:t>
            </w:r>
          </w:p>
        </w:tc>
        <w:tc>
          <w:tcPr>
            <w:tcW w:w="157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374930E0" w14:textId="5C03F83D" w:rsidR="00F453AE" w:rsidRDefault="00F453AE" w:rsidP="00D5630D">
            <w:pPr>
              <w:jc w:val="center"/>
              <w:rPr>
                <w:sz w:val="20"/>
                <w:szCs w:val="20"/>
                <w:lang w:eastAsia="lv-LV"/>
              </w:rPr>
            </w:pPr>
          </w:p>
        </w:tc>
        <w:tc>
          <w:tcPr>
            <w:tcW w:w="143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0DE4D167" w14:textId="1F572B48" w:rsidR="00F453AE" w:rsidRDefault="00F453AE" w:rsidP="00D5630D">
            <w:pPr>
              <w:jc w:val="center"/>
              <w:rPr>
                <w:b/>
                <w:bCs/>
                <w:sz w:val="20"/>
                <w:szCs w:val="20"/>
                <w:lang w:eastAsia="lv-LV"/>
              </w:rPr>
            </w:pPr>
          </w:p>
        </w:tc>
      </w:tr>
      <w:tr w:rsidR="00F453AE" w14:paraId="22B47B10" w14:textId="77777777" w:rsidTr="000A03C6">
        <w:trPr>
          <w:trHeight w:val="324"/>
          <w:jc w:val="center"/>
        </w:trPr>
        <w:tc>
          <w:tcPr>
            <w:tcW w:w="2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6914E297" w14:textId="77777777" w:rsidR="00F453AE" w:rsidRPr="00130765" w:rsidRDefault="00F453AE" w:rsidP="00871BC8">
            <w:pPr>
              <w:rPr>
                <w:sz w:val="20"/>
                <w:szCs w:val="20"/>
                <w:lang w:eastAsia="lv-LV"/>
              </w:rPr>
            </w:pPr>
            <w:r w:rsidRPr="00130765">
              <w:rPr>
                <w:sz w:val="20"/>
                <w:szCs w:val="20"/>
                <w:lang w:eastAsia="lv-LV"/>
              </w:rPr>
              <w:t>3.2. Ceļa izdevumi (avio)</w:t>
            </w:r>
          </w:p>
        </w:tc>
        <w:tc>
          <w:tcPr>
            <w:tcW w:w="100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6145BA62" w14:textId="77777777" w:rsidR="00F453AE" w:rsidRDefault="00F453AE" w:rsidP="00D5630D">
            <w:pPr>
              <w:jc w:val="center"/>
              <w:rPr>
                <w:sz w:val="20"/>
                <w:szCs w:val="20"/>
                <w:lang w:eastAsia="lv-LV"/>
              </w:rPr>
            </w:pPr>
            <w:r>
              <w:rPr>
                <w:sz w:val="20"/>
                <w:szCs w:val="20"/>
                <w:lang w:eastAsia="lv-LV"/>
              </w:rPr>
              <w:t>103</w:t>
            </w:r>
          </w:p>
        </w:tc>
        <w:tc>
          <w:tcPr>
            <w:tcW w:w="100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4B0C2149" w14:textId="36F59813" w:rsidR="00F453AE" w:rsidRDefault="0070651F" w:rsidP="00D5630D">
            <w:pPr>
              <w:jc w:val="center"/>
              <w:rPr>
                <w:sz w:val="20"/>
                <w:szCs w:val="20"/>
                <w:lang w:eastAsia="lv-LV"/>
              </w:rPr>
            </w:pPr>
            <w:r>
              <w:rPr>
                <w:sz w:val="20"/>
                <w:szCs w:val="20"/>
                <w:lang w:eastAsia="lv-LV"/>
              </w:rPr>
              <w:t>750</w:t>
            </w:r>
          </w:p>
        </w:tc>
        <w:tc>
          <w:tcPr>
            <w:tcW w:w="114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2B65C5A3" w14:textId="6C5A7C91" w:rsidR="00F453AE" w:rsidRDefault="0070651F" w:rsidP="00D5630D">
            <w:pPr>
              <w:jc w:val="center"/>
              <w:rPr>
                <w:sz w:val="20"/>
                <w:szCs w:val="20"/>
                <w:lang w:eastAsia="lv-LV"/>
              </w:rPr>
            </w:pPr>
            <w:r>
              <w:rPr>
                <w:sz w:val="20"/>
                <w:szCs w:val="20"/>
                <w:lang w:eastAsia="lv-LV"/>
              </w:rPr>
              <w:t>77 250</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5BC911" w14:textId="77777777" w:rsidR="00F453AE" w:rsidRDefault="00F453AE" w:rsidP="00D5630D">
            <w:pPr>
              <w:jc w:val="center"/>
              <w:rPr>
                <w:sz w:val="20"/>
                <w:szCs w:val="20"/>
                <w:lang w:eastAsia="lv-LV"/>
              </w:rPr>
            </w:pPr>
            <w:r>
              <w:rPr>
                <w:sz w:val="20"/>
                <w:szCs w:val="20"/>
                <w:lang w:eastAsia="lv-LV"/>
              </w:rPr>
              <w:t>-</w:t>
            </w:r>
          </w:p>
        </w:tc>
        <w:tc>
          <w:tcPr>
            <w:tcW w:w="157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2E3D7CA0" w14:textId="6E242AF1" w:rsidR="00F453AE" w:rsidRDefault="00F453AE" w:rsidP="00D5630D">
            <w:pPr>
              <w:jc w:val="center"/>
              <w:rPr>
                <w:sz w:val="20"/>
                <w:szCs w:val="20"/>
                <w:lang w:eastAsia="lv-LV"/>
              </w:rPr>
            </w:pPr>
          </w:p>
        </w:tc>
        <w:tc>
          <w:tcPr>
            <w:tcW w:w="143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07E2CBE3" w14:textId="7C904BD2" w:rsidR="00F453AE" w:rsidRDefault="00F453AE" w:rsidP="00D5630D">
            <w:pPr>
              <w:jc w:val="center"/>
              <w:rPr>
                <w:b/>
                <w:bCs/>
                <w:sz w:val="20"/>
                <w:szCs w:val="20"/>
                <w:lang w:eastAsia="lv-LV"/>
              </w:rPr>
            </w:pPr>
          </w:p>
        </w:tc>
      </w:tr>
      <w:tr w:rsidR="00F453AE" w14:paraId="4E05AF11" w14:textId="77777777" w:rsidTr="000A03C6">
        <w:trPr>
          <w:trHeight w:val="324"/>
          <w:jc w:val="center"/>
        </w:trPr>
        <w:tc>
          <w:tcPr>
            <w:tcW w:w="2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00E1E61D" w14:textId="77777777" w:rsidR="00F453AE" w:rsidRPr="00130765" w:rsidRDefault="00F453AE" w:rsidP="00871BC8">
            <w:pPr>
              <w:rPr>
                <w:sz w:val="20"/>
                <w:szCs w:val="20"/>
                <w:lang w:eastAsia="lv-LV"/>
              </w:rPr>
            </w:pPr>
            <w:r w:rsidRPr="00130765">
              <w:rPr>
                <w:sz w:val="20"/>
                <w:szCs w:val="20"/>
                <w:lang w:eastAsia="lv-LV"/>
              </w:rPr>
              <w:t>3.3. Naktsmītnes (3 naktis)</w:t>
            </w:r>
          </w:p>
        </w:tc>
        <w:tc>
          <w:tcPr>
            <w:tcW w:w="100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75459D14" w14:textId="77777777" w:rsidR="00F453AE" w:rsidRDefault="00F453AE" w:rsidP="00D5630D">
            <w:pPr>
              <w:jc w:val="center"/>
              <w:rPr>
                <w:sz w:val="20"/>
                <w:szCs w:val="20"/>
                <w:lang w:eastAsia="lv-LV"/>
              </w:rPr>
            </w:pPr>
            <w:r>
              <w:rPr>
                <w:sz w:val="20"/>
                <w:szCs w:val="20"/>
                <w:lang w:eastAsia="lv-LV"/>
              </w:rPr>
              <w:t>103</w:t>
            </w:r>
          </w:p>
        </w:tc>
        <w:tc>
          <w:tcPr>
            <w:tcW w:w="100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0AA81177" w14:textId="5F497C4F" w:rsidR="00F453AE" w:rsidRDefault="0070651F" w:rsidP="00D5630D">
            <w:pPr>
              <w:jc w:val="center"/>
              <w:rPr>
                <w:sz w:val="20"/>
                <w:szCs w:val="20"/>
                <w:lang w:eastAsia="lv-LV"/>
              </w:rPr>
            </w:pPr>
            <w:r>
              <w:rPr>
                <w:sz w:val="20"/>
                <w:szCs w:val="20"/>
                <w:lang w:eastAsia="lv-LV"/>
              </w:rPr>
              <w:t>435</w:t>
            </w:r>
          </w:p>
        </w:tc>
        <w:tc>
          <w:tcPr>
            <w:tcW w:w="114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6CB2B15C" w14:textId="7F2E2374" w:rsidR="00F453AE" w:rsidRDefault="0070651F" w:rsidP="00D5630D">
            <w:pPr>
              <w:jc w:val="center"/>
              <w:rPr>
                <w:sz w:val="20"/>
                <w:szCs w:val="20"/>
                <w:lang w:eastAsia="lv-LV"/>
              </w:rPr>
            </w:pPr>
            <w:r>
              <w:rPr>
                <w:sz w:val="20"/>
                <w:szCs w:val="20"/>
                <w:lang w:eastAsia="lv-LV"/>
              </w:rPr>
              <w:t>44 805</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4AF9EE" w14:textId="090E2D6D" w:rsidR="00F453AE" w:rsidRDefault="00F453AE" w:rsidP="00D5630D">
            <w:pPr>
              <w:jc w:val="center"/>
              <w:rPr>
                <w:sz w:val="20"/>
                <w:szCs w:val="20"/>
                <w:lang w:eastAsia="lv-LV"/>
              </w:rPr>
            </w:pPr>
            <w:r w:rsidRPr="00F1466E">
              <w:rPr>
                <w:sz w:val="20"/>
                <w:szCs w:val="20"/>
                <w:lang w:eastAsia="lv-LV"/>
              </w:rPr>
              <w:t>5</w:t>
            </w:r>
            <w:r>
              <w:rPr>
                <w:sz w:val="20"/>
                <w:szCs w:val="20"/>
                <w:lang w:eastAsia="lv-LV"/>
              </w:rPr>
              <w:t xml:space="preserve"> </w:t>
            </w:r>
            <w:r w:rsidRPr="00F1466E">
              <w:rPr>
                <w:sz w:val="20"/>
                <w:szCs w:val="20"/>
                <w:lang w:eastAsia="lv-LV"/>
              </w:rPr>
              <w:t>37</w:t>
            </w:r>
            <w:r>
              <w:rPr>
                <w:sz w:val="20"/>
                <w:szCs w:val="20"/>
                <w:lang w:eastAsia="lv-LV"/>
              </w:rPr>
              <w:t>7</w:t>
            </w:r>
          </w:p>
        </w:tc>
        <w:tc>
          <w:tcPr>
            <w:tcW w:w="157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3D62DB54" w14:textId="46B9A343" w:rsidR="00F453AE" w:rsidRDefault="00F453AE" w:rsidP="00D5630D">
            <w:pPr>
              <w:jc w:val="center"/>
              <w:rPr>
                <w:sz w:val="20"/>
                <w:szCs w:val="20"/>
                <w:lang w:eastAsia="lv-LV"/>
              </w:rPr>
            </w:pPr>
          </w:p>
        </w:tc>
        <w:tc>
          <w:tcPr>
            <w:tcW w:w="143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14850461" w14:textId="5AB91170" w:rsidR="00F453AE" w:rsidRDefault="00F453AE" w:rsidP="00D5630D">
            <w:pPr>
              <w:jc w:val="center"/>
              <w:rPr>
                <w:b/>
                <w:bCs/>
                <w:sz w:val="20"/>
                <w:szCs w:val="20"/>
                <w:lang w:eastAsia="lv-LV"/>
              </w:rPr>
            </w:pPr>
          </w:p>
        </w:tc>
      </w:tr>
      <w:tr w:rsidR="00F453AE" w14:paraId="4D5C901C" w14:textId="77777777" w:rsidTr="000A03C6">
        <w:trPr>
          <w:trHeight w:val="324"/>
          <w:jc w:val="center"/>
        </w:trPr>
        <w:tc>
          <w:tcPr>
            <w:tcW w:w="2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4B19F0FF" w14:textId="77777777" w:rsidR="00F453AE" w:rsidRPr="00130765" w:rsidRDefault="00F453AE" w:rsidP="00871BC8">
            <w:pPr>
              <w:rPr>
                <w:iCs/>
                <w:sz w:val="20"/>
                <w:szCs w:val="20"/>
                <w:lang w:eastAsia="lv-LV"/>
              </w:rPr>
            </w:pPr>
            <w:r w:rsidRPr="00130765">
              <w:rPr>
                <w:iCs/>
                <w:sz w:val="20"/>
                <w:szCs w:val="20"/>
                <w:lang w:eastAsia="lv-LV"/>
              </w:rPr>
              <w:t>3.4. 2 vakariņas</w:t>
            </w:r>
            <w:r>
              <w:rPr>
                <w:iCs/>
                <w:sz w:val="20"/>
                <w:szCs w:val="20"/>
                <w:lang w:eastAsia="lv-LV"/>
              </w:rPr>
              <w:t xml:space="preserve"> 20., 22.09.2015. (vidēji 153 cilvēki vienās)</w:t>
            </w:r>
          </w:p>
        </w:tc>
        <w:tc>
          <w:tcPr>
            <w:tcW w:w="100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3D3F4DF7" w14:textId="77777777" w:rsidR="00F453AE" w:rsidRDefault="00F453AE" w:rsidP="00D5630D">
            <w:pPr>
              <w:jc w:val="center"/>
              <w:rPr>
                <w:sz w:val="20"/>
                <w:szCs w:val="20"/>
                <w:lang w:eastAsia="lv-LV"/>
              </w:rPr>
            </w:pPr>
            <w:r>
              <w:rPr>
                <w:sz w:val="20"/>
                <w:szCs w:val="20"/>
                <w:lang w:eastAsia="lv-LV"/>
              </w:rPr>
              <w:t>306</w:t>
            </w:r>
          </w:p>
        </w:tc>
        <w:tc>
          <w:tcPr>
            <w:tcW w:w="100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409EC2B7" w14:textId="3F192ECC" w:rsidR="00F453AE" w:rsidRDefault="0070651F" w:rsidP="00D5630D">
            <w:pPr>
              <w:jc w:val="center"/>
              <w:rPr>
                <w:sz w:val="20"/>
                <w:szCs w:val="20"/>
                <w:lang w:eastAsia="lv-LV"/>
              </w:rPr>
            </w:pPr>
            <w:r>
              <w:rPr>
                <w:sz w:val="20"/>
                <w:szCs w:val="20"/>
                <w:lang w:eastAsia="lv-LV"/>
              </w:rPr>
              <w:t>50</w:t>
            </w:r>
          </w:p>
        </w:tc>
        <w:tc>
          <w:tcPr>
            <w:tcW w:w="114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25A0B2FC" w14:textId="7DFCCB17" w:rsidR="00F453AE" w:rsidRDefault="0070651F" w:rsidP="00D5630D">
            <w:pPr>
              <w:jc w:val="center"/>
              <w:rPr>
                <w:sz w:val="20"/>
                <w:szCs w:val="20"/>
                <w:lang w:eastAsia="lv-LV"/>
              </w:rPr>
            </w:pPr>
            <w:r>
              <w:rPr>
                <w:sz w:val="20"/>
                <w:szCs w:val="20"/>
                <w:lang w:eastAsia="lv-LV"/>
              </w:rPr>
              <w:t>15 300</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FF327C" w14:textId="64E1D235" w:rsidR="00F453AE" w:rsidRDefault="00F453AE" w:rsidP="00D5630D">
            <w:pPr>
              <w:jc w:val="center"/>
              <w:rPr>
                <w:sz w:val="20"/>
                <w:szCs w:val="20"/>
                <w:lang w:eastAsia="lv-LV"/>
              </w:rPr>
            </w:pPr>
            <w:r w:rsidRPr="00F1466E">
              <w:rPr>
                <w:sz w:val="20"/>
                <w:szCs w:val="20"/>
                <w:lang w:eastAsia="lv-LV"/>
              </w:rPr>
              <w:t>3</w:t>
            </w:r>
            <w:r>
              <w:rPr>
                <w:sz w:val="20"/>
                <w:szCs w:val="20"/>
                <w:lang w:eastAsia="lv-LV"/>
              </w:rPr>
              <w:t> </w:t>
            </w:r>
            <w:r w:rsidRPr="00F1466E">
              <w:rPr>
                <w:sz w:val="20"/>
                <w:szCs w:val="20"/>
                <w:lang w:eastAsia="lv-LV"/>
              </w:rPr>
              <w:t>213</w:t>
            </w:r>
          </w:p>
        </w:tc>
        <w:tc>
          <w:tcPr>
            <w:tcW w:w="157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794076B7" w14:textId="08DED633" w:rsidR="00F453AE" w:rsidRDefault="00F453AE" w:rsidP="00D5630D">
            <w:pPr>
              <w:jc w:val="center"/>
              <w:rPr>
                <w:sz w:val="20"/>
                <w:szCs w:val="20"/>
                <w:lang w:eastAsia="lv-LV"/>
              </w:rPr>
            </w:pPr>
          </w:p>
        </w:tc>
        <w:tc>
          <w:tcPr>
            <w:tcW w:w="143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3917491C" w14:textId="67CC1434" w:rsidR="00F453AE" w:rsidRDefault="00F453AE" w:rsidP="00D5630D">
            <w:pPr>
              <w:jc w:val="center"/>
              <w:rPr>
                <w:b/>
                <w:bCs/>
                <w:sz w:val="20"/>
                <w:szCs w:val="20"/>
                <w:lang w:eastAsia="lv-LV"/>
              </w:rPr>
            </w:pPr>
          </w:p>
        </w:tc>
      </w:tr>
      <w:tr w:rsidR="00F453AE" w14:paraId="2153D404" w14:textId="77777777" w:rsidTr="000A03C6">
        <w:trPr>
          <w:trHeight w:val="324"/>
          <w:jc w:val="center"/>
        </w:trPr>
        <w:tc>
          <w:tcPr>
            <w:tcW w:w="2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73117350" w14:textId="77777777" w:rsidR="00F453AE" w:rsidRPr="00130765" w:rsidRDefault="00F453AE" w:rsidP="00871BC8">
            <w:pPr>
              <w:jc w:val="both"/>
              <w:rPr>
                <w:iCs/>
                <w:sz w:val="20"/>
                <w:szCs w:val="20"/>
                <w:lang w:eastAsia="lv-LV"/>
              </w:rPr>
            </w:pPr>
            <w:r w:rsidRPr="00130765">
              <w:rPr>
                <w:iCs/>
                <w:sz w:val="20"/>
                <w:szCs w:val="20"/>
                <w:lang w:eastAsia="lv-LV"/>
              </w:rPr>
              <w:t>3.5. 3 Konferences telpas un palīgtelpas (2 dienas)</w:t>
            </w:r>
          </w:p>
        </w:tc>
        <w:tc>
          <w:tcPr>
            <w:tcW w:w="100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7F81A88A" w14:textId="77777777" w:rsidR="00F453AE" w:rsidRDefault="00F453AE" w:rsidP="00D5630D">
            <w:pPr>
              <w:jc w:val="center"/>
              <w:rPr>
                <w:sz w:val="20"/>
                <w:szCs w:val="20"/>
                <w:lang w:eastAsia="lv-LV"/>
              </w:rPr>
            </w:pPr>
            <w:r>
              <w:rPr>
                <w:sz w:val="20"/>
                <w:szCs w:val="20"/>
                <w:lang w:eastAsia="lv-LV"/>
              </w:rPr>
              <w:t>2</w:t>
            </w:r>
          </w:p>
        </w:tc>
        <w:tc>
          <w:tcPr>
            <w:tcW w:w="100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2C2BA64D" w14:textId="36D86121" w:rsidR="00F453AE" w:rsidRDefault="00F453AE" w:rsidP="00D5630D">
            <w:pPr>
              <w:jc w:val="center"/>
              <w:rPr>
                <w:sz w:val="20"/>
                <w:szCs w:val="20"/>
                <w:lang w:eastAsia="lv-LV"/>
              </w:rPr>
            </w:pPr>
            <w:r w:rsidRPr="00FD35AC">
              <w:rPr>
                <w:sz w:val="20"/>
                <w:szCs w:val="20"/>
                <w:lang w:eastAsia="lv-LV"/>
              </w:rPr>
              <w:t>2</w:t>
            </w:r>
            <w:r>
              <w:rPr>
                <w:sz w:val="20"/>
                <w:szCs w:val="20"/>
                <w:lang w:eastAsia="lv-LV"/>
              </w:rPr>
              <w:t> </w:t>
            </w:r>
            <w:r w:rsidRPr="00FD35AC">
              <w:rPr>
                <w:sz w:val="20"/>
                <w:szCs w:val="20"/>
                <w:lang w:eastAsia="lv-LV"/>
              </w:rPr>
              <w:t>662</w:t>
            </w:r>
          </w:p>
        </w:tc>
        <w:tc>
          <w:tcPr>
            <w:tcW w:w="114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2197AEAB" w14:textId="64A11E6A" w:rsidR="00F453AE" w:rsidRDefault="0070651F" w:rsidP="00D5630D">
            <w:pPr>
              <w:jc w:val="center"/>
              <w:rPr>
                <w:sz w:val="20"/>
                <w:szCs w:val="20"/>
                <w:lang w:eastAsia="lv-LV"/>
              </w:rPr>
            </w:pPr>
            <w:r>
              <w:rPr>
                <w:sz w:val="20"/>
                <w:szCs w:val="20"/>
                <w:lang w:eastAsia="lv-LV"/>
              </w:rPr>
              <w:t>5 324</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148FAA" w14:textId="68F3E86C" w:rsidR="00F453AE" w:rsidRDefault="00F453AE" w:rsidP="00D5630D">
            <w:pPr>
              <w:jc w:val="center"/>
              <w:rPr>
                <w:sz w:val="20"/>
                <w:szCs w:val="20"/>
                <w:lang w:eastAsia="lv-LV"/>
              </w:rPr>
            </w:pPr>
            <w:r w:rsidRPr="00F1466E">
              <w:rPr>
                <w:sz w:val="20"/>
                <w:szCs w:val="20"/>
                <w:lang w:eastAsia="lv-LV"/>
              </w:rPr>
              <w:t>1</w:t>
            </w:r>
            <w:r>
              <w:rPr>
                <w:sz w:val="20"/>
                <w:szCs w:val="20"/>
                <w:lang w:eastAsia="lv-LV"/>
              </w:rPr>
              <w:t xml:space="preserve"> </w:t>
            </w:r>
            <w:r w:rsidR="0070651F">
              <w:rPr>
                <w:sz w:val="20"/>
                <w:szCs w:val="20"/>
                <w:lang w:eastAsia="lv-LV"/>
              </w:rPr>
              <w:t>118</w:t>
            </w:r>
          </w:p>
        </w:tc>
        <w:tc>
          <w:tcPr>
            <w:tcW w:w="157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56D859C7" w14:textId="1B2FF924" w:rsidR="00F453AE" w:rsidRDefault="00F453AE" w:rsidP="00D5630D">
            <w:pPr>
              <w:jc w:val="center"/>
              <w:rPr>
                <w:sz w:val="20"/>
                <w:szCs w:val="20"/>
                <w:lang w:eastAsia="lv-LV"/>
              </w:rPr>
            </w:pPr>
          </w:p>
        </w:tc>
        <w:tc>
          <w:tcPr>
            <w:tcW w:w="143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44F90C25" w14:textId="1A75A349" w:rsidR="00F453AE" w:rsidRDefault="00F453AE" w:rsidP="00D5630D">
            <w:pPr>
              <w:jc w:val="center"/>
              <w:rPr>
                <w:b/>
                <w:bCs/>
                <w:sz w:val="20"/>
                <w:szCs w:val="20"/>
                <w:lang w:eastAsia="lv-LV"/>
              </w:rPr>
            </w:pPr>
          </w:p>
        </w:tc>
      </w:tr>
      <w:tr w:rsidR="00F453AE" w:rsidRPr="005E7A26" w14:paraId="438C7C50" w14:textId="77777777" w:rsidTr="000A03C6">
        <w:trPr>
          <w:trHeight w:val="324"/>
          <w:jc w:val="center"/>
        </w:trPr>
        <w:tc>
          <w:tcPr>
            <w:tcW w:w="2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27F95880" w14:textId="77777777" w:rsidR="00F453AE" w:rsidRPr="005E7A26" w:rsidRDefault="00F453AE" w:rsidP="00871BC8">
            <w:pPr>
              <w:jc w:val="both"/>
              <w:rPr>
                <w:iCs/>
                <w:sz w:val="20"/>
                <w:szCs w:val="20"/>
                <w:lang w:eastAsia="lv-LV"/>
              </w:rPr>
            </w:pPr>
            <w:r w:rsidRPr="005E7A26">
              <w:rPr>
                <w:iCs/>
                <w:sz w:val="20"/>
                <w:szCs w:val="20"/>
                <w:lang w:eastAsia="lv-LV"/>
              </w:rPr>
              <w:t>3.6. tehniskais nodrošinājums un tulku kabīnes</w:t>
            </w:r>
            <w:r w:rsidRPr="005E7A26">
              <w:rPr>
                <w:rStyle w:val="FootnoteReference"/>
                <w:iCs/>
                <w:sz w:val="20"/>
                <w:szCs w:val="20"/>
                <w:lang w:eastAsia="lv-LV"/>
              </w:rPr>
              <w:footnoteReference w:id="44"/>
            </w:r>
            <w:r w:rsidRPr="005E7A26">
              <w:rPr>
                <w:iCs/>
                <w:sz w:val="20"/>
                <w:szCs w:val="20"/>
                <w:lang w:eastAsia="lv-LV"/>
              </w:rPr>
              <w:t xml:space="preserve"> </w:t>
            </w:r>
          </w:p>
        </w:tc>
        <w:tc>
          <w:tcPr>
            <w:tcW w:w="100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23C4DF13" w14:textId="2E05ECC1" w:rsidR="00F453AE" w:rsidRPr="005E7A26" w:rsidRDefault="00F453AE" w:rsidP="00D5630D">
            <w:pPr>
              <w:jc w:val="center"/>
              <w:rPr>
                <w:sz w:val="20"/>
                <w:szCs w:val="20"/>
                <w:lang w:eastAsia="lv-LV"/>
              </w:rPr>
            </w:pPr>
          </w:p>
        </w:tc>
        <w:tc>
          <w:tcPr>
            <w:tcW w:w="100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52AE94B2" w14:textId="34587BA9" w:rsidR="00F453AE" w:rsidRPr="005E7A26" w:rsidRDefault="00F453AE" w:rsidP="00D5630D">
            <w:pPr>
              <w:jc w:val="center"/>
              <w:rPr>
                <w:sz w:val="20"/>
                <w:szCs w:val="20"/>
                <w:lang w:eastAsia="lv-LV"/>
              </w:rPr>
            </w:pPr>
          </w:p>
        </w:tc>
        <w:tc>
          <w:tcPr>
            <w:tcW w:w="114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0E8B64BB" w14:textId="128E85AF" w:rsidR="00F453AE" w:rsidRPr="005E7A26" w:rsidRDefault="0070651F" w:rsidP="00D5630D">
            <w:pPr>
              <w:jc w:val="center"/>
              <w:rPr>
                <w:sz w:val="20"/>
                <w:szCs w:val="20"/>
                <w:lang w:eastAsia="lv-LV"/>
              </w:rPr>
            </w:pPr>
            <w:r>
              <w:rPr>
                <w:sz w:val="20"/>
                <w:szCs w:val="20"/>
                <w:lang w:eastAsia="lv-LV"/>
              </w:rPr>
              <w:t>10 900</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A41B46" w14:textId="41EF3734" w:rsidR="00F453AE" w:rsidRPr="005E7A26" w:rsidRDefault="0070651F" w:rsidP="00D5630D">
            <w:pPr>
              <w:jc w:val="center"/>
              <w:rPr>
                <w:sz w:val="20"/>
                <w:szCs w:val="20"/>
                <w:lang w:eastAsia="lv-LV"/>
              </w:rPr>
            </w:pPr>
            <w:r>
              <w:rPr>
                <w:sz w:val="20"/>
                <w:szCs w:val="20"/>
                <w:lang w:eastAsia="lv-LV"/>
              </w:rPr>
              <w:t>2 289</w:t>
            </w:r>
          </w:p>
        </w:tc>
        <w:tc>
          <w:tcPr>
            <w:tcW w:w="157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76B70EE3" w14:textId="418CCA2D" w:rsidR="00F453AE" w:rsidRPr="005E7A26" w:rsidRDefault="00F453AE" w:rsidP="00D5630D">
            <w:pPr>
              <w:jc w:val="center"/>
              <w:rPr>
                <w:sz w:val="20"/>
                <w:szCs w:val="20"/>
                <w:lang w:eastAsia="lv-LV"/>
              </w:rPr>
            </w:pPr>
          </w:p>
        </w:tc>
        <w:tc>
          <w:tcPr>
            <w:tcW w:w="143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67C31F16" w14:textId="5134FAA3" w:rsidR="00F453AE" w:rsidRPr="005E7A26" w:rsidRDefault="00F453AE" w:rsidP="00D5630D">
            <w:pPr>
              <w:jc w:val="center"/>
              <w:rPr>
                <w:b/>
                <w:bCs/>
                <w:sz w:val="20"/>
                <w:szCs w:val="20"/>
                <w:lang w:eastAsia="lv-LV"/>
              </w:rPr>
            </w:pPr>
          </w:p>
        </w:tc>
      </w:tr>
      <w:tr w:rsidR="00F453AE" w14:paraId="13DF7A9E" w14:textId="77777777" w:rsidTr="000A03C6">
        <w:trPr>
          <w:trHeight w:val="324"/>
          <w:jc w:val="center"/>
        </w:trPr>
        <w:tc>
          <w:tcPr>
            <w:tcW w:w="2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7F89E36C" w14:textId="77777777" w:rsidR="00F453AE" w:rsidRPr="00130765" w:rsidRDefault="00F453AE" w:rsidP="00871BC8">
            <w:pPr>
              <w:jc w:val="both"/>
              <w:rPr>
                <w:iCs/>
                <w:sz w:val="20"/>
                <w:szCs w:val="20"/>
                <w:lang w:eastAsia="lv-LV"/>
              </w:rPr>
            </w:pPr>
            <w:r w:rsidRPr="00130765">
              <w:rPr>
                <w:iCs/>
                <w:sz w:val="20"/>
                <w:szCs w:val="20"/>
                <w:lang w:eastAsia="lv-LV"/>
              </w:rPr>
              <w:t>3.7. 4 kafijas pauzes</w:t>
            </w:r>
            <w:r>
              <w:rPr>
                <w:iCs/>
                <w:sz w:val="20"/>
                <w:szCs w:val="20"/>
                <w:lang w:eastAsia="lv-LV"/>
              </w:rPr>
              <w:t xml:space="preserve"> (21.-22.09.2015.)</w:t>
            </w:r>
          </w:p>
        </w:tc>
        <w:tc>
          <w:tcPr>
            <w:tcW w:w="100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67E6A8AF" w14:textId="77777777" w:rsidR="00F453AE" w:rsidRDefault="00F453AE" w:rsidP="00D5630D">
            <w:pPr>
              <w:jc w:val="center"/>
              <w:rPr>
                <w:sz w:val="20"/>
                <w:szCs w:val="20"/>
                <w:lang w:eastAsia="lv-LV"/>
              </w:rPr>
            </w:pPr>
            <w:r>
              <w:rPr>
                <w:sz w:val="20"/>
                <w:szCs w:val="20"/>
                <w:lang w:eastAsia="lv-LV"/>
              </w:rPr>
              <w:t>189</w:t>
            </w:r>
          </w:p>
        </w:tc>
        <w:tc>
          <w:tcPr>
            <w:tcW w:w="100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16E2248F" w14:textId="705CE55F" w:rsidR="00F453AE" w:rsidRDefault="0070651F" w:rsidP="00D5630D">
            <w:pPr>
              <w:jc w:val="center"/>
              <w:rPr>
                <w:sz w:val="20"/>
                <w:szCs w:val="20"/>
                <w:lang w:eastAsia="lv-LV"/>
              </w:rPr>
            </w:pPr>
            <w:r>
              <w:rPr>
                <w:sz w:val="20"/>
                <w:szCs w:val="20"/>
                <w:lang w:eastAsia="lv-LV"/>
              </w:rPr>
              <w:t>40</w:t>
            </w:r>
          </w:p>
        </w:tc>
        <w:tc>
          <w:tcPr>
            <w:tcW w:w="114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7CA13366" w14:textId="47218BBF" w:rsidR="00F453AE" w:rsidRDefault="0070651F" w:rsidP="00D5630D">
            <w:pPr>
              <w:jc w:val="center"/>
              <w:rPr>
                <w:sz w:val="20"/>
                <w:szCs w:val="20"/>
                <w:lang w:eastAsia="lv-LV"/>
              </w:rPr>
            </w:pPr>
            <w:r>
              <w:rPr>
                <w:sz w:val="20"/>
                <w:szCs w:val="20"/>
                <w:lang w:eastAsia="lv-LV"/>
              </w:rPr>
              <w:t>7 560</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3DCBC3" w14:textId="48F36890" w:rsidR="00F453AE" w:rsidRDefault="00F453AE" w:rsidP="00D5630D">
            <w:pPr>
              <w:jc w:val="center"/>
              <w:rPr>
                <w:sz w:val="20"/>
                <w:szCs w:val="20"/>
                <w:lang w:eastAsia="lv-LV"/>
              </w:rPr>
            </w:pPr>
            <w:r w:rsidRPr="00F1466E">
              <w:rPr>
                <w:sz w:val="20"/>
                <w:szCs w:val="20"/>
                <w:lang w:eastAsia="lv-LV"/>
              </w:rPr>
              <w:t>1</w:t>
            </w:r>
            <w:r>
              <w:rPr>
                <w:sz w:val="20"/>
                <w:szCs w:val="20"/>
                <w:lang w:eastAsia="lv-LV"/>
              </w:rPr>
              <w:t xml:space="preserve"> </w:t>
            </w:r>
            <w:r w:rsidRPr="00F1466E">
              <w:rPr>
                <w:sz w:val="20"/>
                <w:szCs w:val="20"/>
                <w:lang w:eastAsia="lv-LV"/>
              </w:rPr>
              <w:t>58</w:t>
            </w:r>
            <w:r>
              <w:rPr>
                <w:sz w:val="20"/>
                <w:szCs w:val="20"/>
                <w:lang w:eastAsia="lv-LV"/>
              </w:rPr>
              <w:t>8</w:t>
            </w:r>
          </w:p>
        </w:tc>
        <w:tc>
          <w:tcPr>
            <w:tcW w:w="157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10BECD7C" w14:textId="78801455" w:rsidR="00F453AE" w:rsidRDefault="00F453AE" w:rsidP="00D5630D">
            <w:pPr>
              <w:jc w:val="center"/>
              <w:rPr>
                <w:sz w:val="20"/>
                <w:szCs w:val="20"/>
                <w:lang w:eastAsia="lv-LV"/>
              </w:rPr>
            </w:pPr>
          </w:p>
        </w:tc>
        <w:tc>
          <w:tcPr>
            <w:tcW w:w="143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02DDD921" w14:textId="6498E7E7" w:rsidR="00F453AE" w:rsidRDefault="00F453AE" w:rsidP="00D5630D">
            <w:pPr>
              <w:jc w:val="center"/>
              <w:rPr>
                <w:b/>
                <w:bCs/>
                <w:sz w:val="20"/>
                <w:szCs w:val="20"/>
                <w:lang w:eastAsia="lv-LV"/>
              </w:rPr>
            </w:pPr>
          </w:p>
        </w:tc>
      </w:tr>
      <w:tr w:rsidR="00F453AE" w14:paraId="5B53C976" w14:textId="77777777" w:rsidTr="000A03C6">
        <w:trPr>
          <w:trHeight w:val="324"/>
          <w:jc w:val="center"/>
        </w:trPr>
        <w:tc>
          <w:tcPr>
            <w:tcW w:w="2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7F6FB8A4" w14:textId="77777777" w:rsidR="00F453AE" w:rsidRPr="00130765" w:rsidRDefault="00F453AE" w:rsidP="00871BC8">
            <w:pPr>
              <w:rPr>
                <w:iCs/>
                <w:sz w:val="20"/>
                <w:szCs w:val="20"/>
                <w:lang w:eastAsia="lv-LV"/>
              </w:rPr>
            </w:pPr>
            <w:r w:rsidRPr="00130765">
              <w:rPr>
                <w:iCs/>
                <w:sz w:val="20"/>
                <w:szCs w:val="20"/>
                <w:lang w:eastAsia="lv-LV"/>
              </w:rPr>
              <w:t>3.8. 2 pusdienas</w:t>
            </w:r>
            <w:r>
              <w:rPr>
                <w:iCs/>
                <w:sz w:val="20"/>
                <w:szCs w:val="20"/>
                <w:lang w:eastAsia="lv-LV"/>
              </w:rPr>
              <w:t xml:space="preserve"> (21., 22.09.2015.)</w:t>
            </w:r>
          </w:p>
        </w:tc>
        <w:tc>
          <w:tcPr>
            <w:tcW w:w="100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7C0B7A17" w14:textId="77777777" w:rsidR="00F453AE" w:rsidRDefault="00F453AE" w:rsidP="00D5630D">
            <w:pPr>
              <w:jc w:val="center"/>
              <w:rPr>
                <w:sz w:val="20"/>
                <w:szCs w:val="20"/>
                <w:lang w:eastAsia="lv-LV"/>
              </w:rPr>
            </w:pPr>
            <w:r>
              <w:rPr>
                <w:sz w:val="20"/>
                <w:szCs w:val="20"/>
                <w:lang w:eastAsia="lv-LV"/>
              </w:rPr>
              <w:t>189</w:t>
            </w:r>
          </w:p>
        </w:tc>
        <w:tc>
          <w:tcPr>
            <w:tcW w:w="100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5F57B0C6" w14:textId="24720B67" w:rsidR="00F453AE" w:rsidRDefault="0070651F" w:rsidP="00D5630D">
            <w:pPr>
              <w:jc w:val="center"/>
              <w:rPr>
                <w:sz w:val="20"/>
                <w:szCs w:val="20"/>
                <w:lang w:eastAsia="lv-LV"/>
              </w:rPr>
            </w:pPr>
            <w:r>
              <w:rPr>
                <w:sz w:val="20"/>
                <w:szCs w:val="20"/>
                <w:lang w:eastAsia="lv-LV"/>
              </w:rPr>
              <w:t>50</w:t>
            </w:r>
          </w:p>
        </w:tc>
        <w:tc>
          <w:tcPr>
            <w:tcW w:w="114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422595D7" w14:textId="62C66BF7" w:rsidR="00F453AE" w:rsidRDefault="0070651F" w:rsidP="00D5630D">
            <w:pPr>
              <w:jc w:val="center"/>
              <w:rPr>
                <w:sz w:val="20"/>
                <w:szCs w:val="20"/>
                <w:lang w:eastAsia="lv-LV"/>
              </w:rPr>
            </w:pPr>
            <w:r>
              <w:rPr>
                <w:sz w:val="20"/>
                <w:szCs w:val="20"/>
                <w:lang w:eastAsia="lv-LV"/>
              </w:rPr>
              <w:t>9 450</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F220E3" w14:textId="28232CF1" w:rsidR="00F453AE" w:rsidRDefault="00F453AE" w:rsidP="00D5630D">
            <w:pPr>
              <w:jc w:val="center"/>
              <w:rPr>
                <w:sz w:val="20"/>
                <w:szCs w:val="20"/>
                <w:lang w:eastAsia="lv-LV"/>
              </w:rPr>
            </w:pPr>
            <w:r w:rsidRPr="00F1466E">
              <w:rPr>
                <w:sz w:val="20"/>
                <w:szCs w:val="20"/>
                <w:lang w:eastAsia="lv-LV"/>
              </w:rPr>
              <w:t>1</w:t>
            </w:r>
            <w:r>
              <w:rPr>
                <w:sz w:val="20"/>
                <w:szCs w:val="20"/>
                <w:lang w:eastAsia="lv-LV"/>
              </w:rPr>
              <w:t> </w:t>
            </w:r>
            <w:r w:rsidRPr="00F1466E">
              <w:rPr>
                <w:sz w:val="20"/>
                <w:szCs w:val="20"/>
                <w:lang w:eastAsia="lv-LV"/>
              </w:rPr>
              <w:t>985</w:t>
            </w:r>
          </w:p>
        </w:tc>
        <w:tc>
          <w:tcPr>
            <w:tcW w:w="157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01E47EC2" w14:textId="59057FD4" w:rsidR="00F453AE" w:rsidRDefault="00F453AE" w:rsidP="00D5630D">
            <w:pPr>
              <w:jc w:val="center"/>
              <w:rPr>
                <w:sz w:val="20"/>
                <w:szCs w:val="20"/>
                <w:lang w:eastAsia="lv-LV"/>
              </w:rPr>
            </w:pPr>
          </w:p>
        </w:tc>
        <w:tc>
          <w:tcPr>
            <w:tcW w:w="143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35DF873C" w14:textId="4305CBF8" w:rsidR="00F453AE" w:rsidRDefault="00F453AE" w:rsidP="00D5630D">
            <w:pPr>
              <w:jc w:val="center"/>
              <w:rPr>
                <w:b/>
                <w:bCs/>
                <w:sz w:val="20"/>
                <w:szCs w:val="20"/>
                <w:lang w:eastAsia="lv-LV"/>
              </w:rPr>
            </w:pPr>
          </w:p>
        </w:tc>
      </w:tr>
      <w:tr w:rsidR="00F453AE" w14:paraId="750094B0" w14:textId="77777777" w:rsidTr="000A03C6">
        <w:trPr>
          <w:trHeight w:val="341"/>
          <w:jc w:val="center"/>
        </w:trPr>
        <w:tc>
          <w:tcPr>
            <w:tcW w:w="2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38649B58" w14:textId="77777777" w:rsidR="00F453AE" w:rsidRPr="00130765" w:rsidRDefault="00F453AE" w:rsidP="00871BC8">
            <w:pPr>
              <w:jc w:val="both"/>
              <w:rPr>
                <w:iCs/>
                <w:sz w:val="20"/>
                <w:szCs w:val="20"/>
                <w:lang w:eastAsia="lv-LV"/>
              </w:rPr>
            </w:pPr>
            <w:r w:rsidRPr="00130765">
              <w:rPr>
                <w:iCs/>
                <w:sz w:val="20"/>
                <w:szCs w:val="20"/>
                <w:lang w:eastAsia="lv-LV"/>
              </w:rPr>
              <w:t>3.9. citi izdevumi (transfērs</w:t>
            </w:r>
            <w:r>
              <w:rPr>
                <w:iCs/>
                <w:sz w:val="20"/>
                <w:szCs w:val="20"/>
                <w:lang w:eastAsia="lv-LV"/>
              </w:rPr>
              <w:t>: l</w:t>
            </w:r>
            <w:r w:rsidRPr="001D0D67">
              <w:rPr>
                <w:iCs/>
                <w:sz w:val="20"/>
                <w:szCs w:val="20"/>
                <w:lang w:eastAsia="lv-LV"/>
              </w:rPr>
              <w:t>idosta-viesnīca / viesnīca-lidosta</w:t>
            </w:r>
            <w:r w:rsidRPr="00130765">
              <w:rPr>
                <w:iCs/>
                <w:sz w:val="20"/>
                <w:szCs w:val="20"/>
                <w:lang w:eastAsia="lv-LV"/>
              </w:rPr>
              <w:t>)</w:t>
            </w:r>
          </w:p>
        </w:tc>
        <w:tc>
          <w:tcPr>
            <w:tcW w:w="100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06A852E4" w14:textId="77777777" w:rsidR="00F453AE" w:rsidRDefault="00F453AE" w:rsidP="00D5630D">
            <w:pPr>
              <w:jc w:val="center"/>
              <w:rPr>
                <w:sz w:val="20"/>
                <w:szCs w:val="20"/>
                <w:lang w:eastAsia="lv-LV"/>
              </w:rPr>
            </w:pPr>
            <w:r>
              <w:rPr>
                <w:sz w:val="20"/>
                <w:szCs w:val="20"/>
                <w:lang w:eastAsia="lv-LV"/>
              </w:rPr>
              <w:t>2</w:t>
            </w:r>
          </w:p>
        </w:tc>
        <w:tc>
          <w:tcPr>
            <w:tcW w:w="100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0280B918" w14:textId="2B5E6357" w:rsidR="00F453AE" w:rsidRDefault="0070651F" w:rsidP="00D5630D">
            <w:pPr>
              <w:jc w:val="center"/>
              <w:rPr>
                <w:sz w:val="20"/>
                <w:szCs w:val="20"/>
                <w:lang w:eastAsia="lv-LV"/>
              </w:rPr>
            </w:pPr>
            <w:r>
              <w:rPr>
                <w:sz w:val="20"/>
                <w:szCs w:val="20"/>
                <w:lang w:eastAsia="lv-LV"/>
              </w:rPr>
              <w:t>1 000</w:t>
            </w:r>
          </w:p>
        </w:tc>
        <w:tc>
          <w:tcPr>
            <w:tcW w:w="114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1F496D0B" w14:textId="46B3D239" w:rsidR="00F453AE" w:rsidRDefault="0070651F" w:rsidP="00D5630D">
            <w:pPr>
              <w:jc w:val="center"/>
              <w:rPr>
                <w:sz w:val="20"/>
                <w:szCs w:val="20"/>
                <w:lang w:eastAsia="lv-LV"/>
              </w:rPr>
            </w:pPr>
            <w:r>
              <w:rPr>
                <w:sz w:val="20"/>
                <w:szCs w:val="20"/>
                <w:lang w:eastAsia="lv-LV"/>
              </w:rPr>
              <w:t>2 000</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E8EFA0" w14:textId="0D9DEC8A" w:rsidR="00F453AE" w:rsidRDefault="00F453AE" w:rsidP="00D5630D">
            <w:pPr>
              <w:jc w:val="center"/>
              <w:rPr>
                <w:sz w:val="20"/>
                <w:szCs w:val="20"/>
                <w:lang w:eastAsia="lv-LV"/>
              </w:rPr>
            </w:pPr>
            <w:r w:rsidRPr="00F1466E">
              <w:rPr>
                <w:sz w:val="20"/>
                <w:szCs w:val="20"/>
                <w:lang w:eastAsia="lv-LV"/>
              </w:rPr>
              <w:t>420</w:t>
            </w:r>
          </w:p>
        </w:tc>
        <w:tc>
          <w:tcPr>
            <w:tcW w:w="157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293DB98C" w14:textId="506ECEC5" w:rsidR="00F453AE" w:rsidRDefault="00F453AE" w:rsidP="00D5630D">
            <w:pPr>
              <w:jc w:val="center"/>
              <w:rPr>
                <w:sz w:val="20"/>
                <w:szCs w:val="20"/>
                <w:lang w:eastAsia="lv-LV"/>
              </w:rPr>
            </w:pPr>
          </w:p>
        </w:tc>
        <w:tc>
          <w:tcPr>
            <w:tcW w:w="143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40040354" w14:textId="45FF4810" w:rsidR="00F453AE" w:rsidRDefault="00F453AE" w:rsidP="00D5630D">
            <w:pPr>
              <w:jc w:val="center"/>
              <w:rPr>
                <w:b/>
                <w:bCs/>
                <w:sz w:val="20"/>
                <w:szCs w:val="20"/>
                <w:lang w:eastAsia="lv-LV"/>
              </w:rPr>
            </w:pPr>
          </w:p>
        </w:tc>
      </w:tr>
      <w:tr w:rsidR="00F453AE" w14:paraId="79CF74D1" w14:textId="77777777" w:rsidTr="000A03C6">
        <w:trPr>
          <w:trHeight w:val="341"/>
          <w:jc w:val="center"/>
        </w:trPr>
        <w:tc>
          <w:tcPr>
            <w:tcW w:w="296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325528B6" w14:textId="77777777" w:rsidR="00F453AE" w:rsidRDefault="00F453AE" w:rsidP="00871BC8">
            <w:pPr>
              <w:jc w:val="both"/>
              <w:rPr>
                <w:b/>
                <w:bCs/>
                <w:sz w:val="20"/>
                <w:szCs w:val="20"/>
                <w:lang w:eastAsia="lv-LV"/>
              </w:rPr>
            </w:pPr>
            <w:r>
              <w:rPr>
                <w:b/>
                <w:bCs/>
                <w:sz w:val="20"/>
                <w:szCs w:val="20"/>
                <w:lang w:eastAsia="lv-LV"/>
              </w:rPr>
              <w:t>4. Attiecināmie izdevumi (bez PVN) (1.-3.)</w:t>
            </w:r>
          </w:p>
        </w:tc>
        <w:tc>
          <w:tcPr>
            <w:tcW w:w="10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0807A2DD" w14:textId="6D7C6840" w:rsidR="00F453AE" w:rsidRDefault="00F453AE" w:rsidP="00D5630D">
            <w:pPr>
              <w:jc w:val="center"/>
              <w:rPr>
                <w:b/>
                <w:bCs/>
                <w:sz w:val="20"/>
                <w:szCs w:val="20"/>
                <w:lang w:eastAsia="lv-LV"/>
              </w:rPr>
            </w:pPr>
          </w:p>
        </w:tc>
        <w:tc>
          <w:tcPr>
            <w:tcW w:w="100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27FFBC79" w14:textId="58B8424E" w:rsidR="00F453AE" w:rsidRDefault="00F453AE" w:rsidP="00D5630D">
            <w:pPr>
              <w:jc w:val="center"/>
              <w:rPr>
                <w:b/>
                <w:bCs/>
                <w:sz w:val="20"/>
                <w:szCs w:val="20"/>
                <w:lang w:eastAsia="lv-LV"/>
              </w:rPr>
            </w:pP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18EE2CAD" w14:textId="12327FF3" w:rsidR="00F453AE" w:rsidRDefault="0070651F" w:rsidP="00D5630D">
            <w:pPr>
              <w:jc w:val="center"/>
              <w:rPr>
                <w:b/>
                <w:bCs/>
                <w:sz w:val="20"/>
                <w:szCs w:val="20"/>
                <w:lang w:eastAsia="lv-LV"/>
              </w:rPr>
            </w:pPr>
            <w:r>
              <w:rPr>
                <w:b/>
                <w:bCs/>
                <w:sz w:val="20"/>
                <w:szCs w:val="20"/>
                <w:lang w:eastAsia="lv-LV"/>
              </w:rPr>
              <w:t>204 289</w:t>
            </w:r>
          </w:p>
        </w:tc>
        <w:tc>
          <w:tcPr>
            <w:tcW w:w="117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349D9A" w14:textId="77777777" w:rsidR="00F453AE" w:rsidRDefault="00F453AE" w:rsidP="00D5630D">
            <w:pPr>
              <w:jc w:val="center"/>
              <w:rPr>
                <w:b/>
                <w:bCs/>
                <w:sz w:val="20"/>
                <w:szCs w:val="20"/>
                <w:lang w:eastAsia="lv-LV"/>
              </w:rPr>
            </w:pPr>
          </w:p>
        </w:tc>
        <w:tc>
          <w:tcPr>
            <w:tcW w:w="157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718ECB9F" w14:textId="77777777" w:rsidR="00F453AE" w:rsidRDefault="00F453AE" w:rsidP="00D5630D">
            <w:pPr>
              <w:jc w:val="center"/>
              <w:rPr>
                <w:b/>
                <w:bCs/>
                <w:sz w:val="20"/>
                <w:szCs w:val="20"/>
                <w:lang w:eastAsia="lv-LV"/>
              </w:rPr>
            </w:pPr>
            <w:r>
              <w:rPr>
                <w:b/>
                <w:bCs/>
                <w:sz w:val="20"/>
                <w:szCs w:val="20"/>
                <w:lang w:eastAsia="lv-LV"/>
              </w:rPr>
              <w:t>80%</w:t>
            </w:r>
          </w:p>
        </w:tc>
        <w:tc>
          <w:tcPr>
            <w:tcW w:w="143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0E269930" w14:textId="72371DAE" w:rsidR="00F453AE" w:rsidRDefault="0070651F" w:rsidP="00D5630D">
            <w:pPr>
              <w:jc w:val="center"/>
              <w:rPr>
                <w:b/>
                <w:bCs/>
                <w:sz w:val="20"/>
                <w:szCs w:val="20"/>
                <w:lang w:eastAsia="lv-LV"/>
              </w:rPr>
            </w:pPr>
            <w:r>
              <w:rPr>
                <w:b/>
                <w:bCs/>
                <w:sz w:val="20"/>
                <w:szCs w:val="20"/>
                <w:lang w:eastAsia="lv-LV"/>
              </w:rPr>
              <w:t>163 431</w:t>
            </w:r>
          </w:p>
        </w:tc>
      </w:tr>
      <w:tr w:rsidR="00F453AE" w14:paraId="4E3A56A5" w14:textId="77777777" w:rsidTr="000A03C6">
        <w:trPr>
          <w:trHeight w:val="393"/>
          <w:jc w:val="center"/>
        </w:trPr>
        <w:tc>
          <w:tcPr>
            <w:tcW w:w="296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26C1607A" w14:textId="795B7F7A" w:rsidR="00F453AE" w:rsidRDefault="00F453AE" w:rsidP="000A03C6">
            <w:pPr>
              <w:jc w:val="both"/>
              <w:rPr>
                <w:b/>
                <w:bCs/>
                <w:sz w:val="20"/>
                <w:szCs w:val="20"/>
                <w:lang w:eastAsia="lv-LV"/>
              </w:rPr>
            </w:pPr>
            <w:r>
              <w:rPr>
                <w:b/>
                <w:bCs/>
                <w:sz w:val="20"/>
                <w:szCs w:val="20"/>
                <w:lang w:eastAsia="lv-LV"/>
              </w:rPr>
              <w:t>5. Netiešās</w:t>
            </w:r>
            <w:r w:rsidR="000A03C6">
              <w:rPr>
                <w:b/>
                <w:bCs/>
                <w:sz w:val="20"/>
                <w:szCs w:val="20"/>
                <w:lang w:eastAsia="lv-LV"/>
              </w:rPr>
              <w:t xml:space="preserve"> </w:t>
            </w:r>
            <w:r>
              <w:rPr>
                <w:b/>
                <w:bCs/>
                <w:sz w:val="20"/>
                <w:szCs w:val="20"/>
                <w:lang w:eastAsia="lv-LV"/>
              </w:rPr>
              <w:t xml:space="preserve"> </w:t>
            </w:r>
            <w:r w:rsidR="000A03C6">
              <w:rPr>
                <w:b/>
                <w:bCs/>
                <w:sz w:val="20"/>
                <w:szCs w:val="20"/>
                <w:lang w:eastAsia="lv-LV"/>
              </w:rPr>
              <w:t xml:space="preserve"> </w:t>
            </w:r>
            <w:r>
              <w:rPr>
                <w:b/>
                <w:bCs/>
                <w:sz w:val="20"/>
                <w:szCs w:val="20"/>
                <w:lang w:eastAsia="lv-LV"/>
              </w:rPr>
              <w:t>(administratīvās)</w:t>
            </w:r>
            <w:r w:rsidR="000A03C6">
              <w:rPr>
                <w:b/>
                <w:bCs/>
                <w:sz w:val="20"/>
                <w:szCs w:val="20"/>
                <w:lang w:eastAsia="lv-LV"/>
              </w:rPr>
              <w:t xml:space="preserve"> </w:t>
            </w:r>
            <w:r>
              <w:rPr>
                <w:b/>
                <w:bCs/>
                <w:sz w:val="20"/>
                <w:szCs w:val="20"/>
                <w:lang w:eastAsia="lv-LV"/>
              </w:rPr>
              <w:t>izmaksas (7%)</w:t>
            </w:r>
          </w:p>
        </w:tc>
        <w:tc>
          <w:tcPr>
            <w:tcW w:w="10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639EE72F" w14:textId="2FD48945" w:rsidR="00F453AE" w:rsidRDefault="00F453AE" w:rsidP="00D5630D">
            <w:pPr>
              <w:jc w:val="center"/>
              <w:rPr>
                <w:b/>
                <w:bCs/>
                <w:sz w:val="20"/>
                <w:szCs w:val="20"/>
                <w:lang w:eastAsia="lv-LV"/>
              </w:rPr>
            </w:pPr>
          </w:p>
        </w:tc>
        <w:tc>
          <w:tcPr>
            <w:tcW w:w="100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6217DF1F" w14:textId="07A2FB3B" w:rsidR="00F453AE" w:rsidRDefault="00F453AE" w:rsidP="00D5630D">
            <w:pPr>
              <w:jc w:val="center"/>
              <w:rPr>
                <w:b/>
                <w:bCs/>
                <w:sz w:val="20"/>
                <w:szCs w:val="20"/>
                <w:lang w:eastAsia="lv-LV"/>
              </w:rPr>
            </w:pP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48D79B6D" w14:textId="17D20822" w:rsidR="00F453AE" w:rsidRDefault="0070651F" w:rsidP="00D5630D">
            <w:pPr>
              <w:jc w:val="center"/>
              <w:rPr>
                <w:b/>
                <w:bCs/>
                <w:sz w:val="20"/>
                <w:szCs w:val="20"/>
                <w:lang w:eastAsia="lv-LV"/>
              </w:rPr>
            </w:pPr>
            <w:r>
              <w:rPr>
                <w:b/>
                <w:bCs/>
                <w:sz w:val="20"/>
                <w:szCs w:val="20"/>
                <w:lang w:eastAsia="lv-LV"/>
              </w:rPr>
              <w:t>14 300</w:t>
            </w:r>
          </w:p>
        </w:tc>
        <w:tc>
          <w:tcPr>
            <w:tcW w:w="117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728568" w14:textId="77777777" w:rsidR="00F453AE" w:rsidRDefault="00F453AE" w:rsidP="00D5630D">
            <w:pPr>
              <w:jc w:val="center"/>
              <w:rPr>
                <w:b/>
                <w:bCs/>
                <w:sz w:val="20"/>
                <w:szCs w:val="20"/>
                <w:lang w:eastAsia="lv-LV"/>
              </w:rPr>
            </w:pPr>
          </w:p>
        </w:tc>
        <w:tc>
          <w:tcPr>
            <w:tcW w:w="157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4E74B455" w14:textId="77777777" w:rsidR="00F453AE" w:rsidRDefault="00F453AE" w:rsidP="00D5630D">
            <w:pPr>
              <w:jc w:val="center"/>
              <w:rPr>
                <w:b/>
                <w:bCs/>
                <w:sz w:val="20"/>
                <w:szCs w:val="20"/>
                <w:lang w:eastAsia="lv-LV"/>
              </w:rPr>
            </w:pPr>
            <w:r>
              <w:rPr>
                <w:b/>
                <w:bCs/>
                <w:sz w:val="20"/>
                <w:szCs w:val="20"/>
                <w:lang w:eastAsia="lv-LV"/>
              </w:rPr>
              <w:t>80%</w:t>
            </w:r>
          </w:p>
        </w:tc>
        <w:tc>
          <w:tcPr>
            <w:tcW w:w="143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6E36FAA4" w14:textId="44960E6D" w:rsidR="00F453AE" w:rsidRDefault="0070651F" w:rsidP="00D5630D">
            <w:pPr>
              <w:jc w:val="center"/>
              <w:rPr>
                <w:b/>
                <w:bCs/>
                <w:sz w:val="20"/>
                <w:szCs w:val="20"/>
                <w:lang w:eastAsia="lv-LV"/>
              </w:rPr>
            </w:pPr>
            <w:r>
              <w:rPr>
                <w:b/>
                <w:bCs/>
                <w:sz w:val="20"/>
                <w:szCs w:val="20"/>
                <w:lang w:eastAsia="lv-LV"/>
              </w:rPr>
              <w:t>11 440</w:t>
            </w:r>
          </w:p>
        </w:tc>
      </w:tr>
      <w:tr w:rsidR="00F453AE" w14:paraId="12EFE0F8" w14:textId="77777777" w:rsidTr="000A03C6">
        <w:trPr>
          <w:trHeight w:val="387"/>
          <w:jc w:val="center"/>
        </w:trPr>
        <w:tc>
          <w:tcPr>
            <w:tcW w:w="296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2F1AD587" w14:textId="77777777" w:rsidR="00F453AE" w:rsidRDefault="00F453AE" w:rsidP="00871BC8">
            <w:pPr>
              <w:jc w:val="both"/>
              <w:rPr>
                <w:b/>
                <w:bCs/>
                <w:sz w:val="20"/>
                <w:szCs w:val="20"/>
                <w:lang w:eastAsia="lv-LV"/>
              </w:rPr>
            </w:pPr>
            <w:r>
              <w:rPr>
                <w:b/>
                <w:bCs/>
                <w:sz w:val="20"/>
                <w:szCs w:val="20"/>
                <w:lang w:eastAsia="lv-LV"/>
              </w:rPr>
              <w:t>6. Attiecināmie izdevumi kopā (bez PVN) (4.+5.)</w:t>
            </w:r>
          </w:p>
        </w:tc>
        <w:tc>
          <w:tcPr>
            <w:tcW w:w="10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337E70DD" w14:textId="128CADC6" w:rsidR="00F453AE" w:rsidRDefault="00F453AE" w:rsidP="00D5630D">
            <w:pPr>
              <w:jc w:val="center"/>
              <w:rPr>
                <w:b/>
                <w:bCs/>
                <w:sz w:val="20"/>
                <w:szCs w:val="20"/>
                <w:lang w:eastAsia="lv-LV"/>
              </w:rPr>
            </w:pPr>
          </w:p>
        </w:tc>
        <w:tc>
          <w:tcPr>
            <w:tcW w:w="100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14BC9971" w14:textId="39F34645" w:rsidR="00F453AE" w:rsidRDefault="00F453AE" w:rsidP="00D5630D">
            <w:pPr>
              <w:jc w:val="center"/>
              <w:rPr>
                <w:b/>
                <w:bCs/>
                <w:sz w:val="20"/>
                <w:szCs w:val="20"/>
                <w:lang w:eastAsia="lv-LV"/>
              </w:rPr>
            </w:pP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22573EA6" w14:textId="53EE3726" w:rsidR="00F453AE" w:rsidRDefault="0070651F" w:rsidP="00D5630D">
            <w:pPr>
              <w:jc w:val="center"/>
              <w:rPr>
                <w:b/>
                <w:bCs/>
                <w:sz w:val="20"/>
                <w:szCs w:val="20"/>
                <w:lang w:eastAsia="lv-LV"/>
              </w:rPr>
            </w:pPr>
            <w:r>
              <w:rPr>
                <w:b/>
                <w:bCs/>
                <w:sz w:val="20"/>
                <w:szCs w:val="20"/>
                <w:lang w:eastAsia="lv-LV"/>
              </w:rPr>
              <w:t>218 589</w:t>
            </w:r>
          </w:p>
        </w:tc>
        <w:tc>
          <w:tcPr>
            <w:tcW w:w="117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0B1B6F" w14:textId="77777777" w:rsidR="00F453AE" w:rsidRDefault="00F453AE" w:rsidP="00D5630D">
            <w:pPr>
              <w:jc w:val="center"/>
              <w:rPr>
                <w:b/>
                <w:bCs/>
                <w:sz w:val="20"/>
                <w:szCs w:val="20"/>
                <w:lang w:eastAsia="lv-LV"/>
              </w:rPr>
            </w:pPr>
          </w:p>
        </w:tc>
        <w:tc>
          <w:tcPr>
            <w:tcW w:w="157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2D281C7C" w14:textId="77777777" w:rsidR="00F453AE" w:rsidRDefault="00F453AE" w:rsidP="00D5630D">
            <w:pPr>
              <w:jc w:val="center"/>
              <w:rPr>
                <w:b/>
                <w:bCs/>
                <w:sz w:val="20"/>
                <w:szCs w:val="20"/>
                <w:lang w:eastAsia="lv-LV"/>
              </w:rPr>
            </w:pPr>
            <w:r>
              <w:rPr>
                <w:b/>
                <w:bCs/>
                <w:sz w:val="20"/>
                <w:szCs w:val="20"/>
                <w:lang w:eastAsia="lv-LV"/>
              </w:rPr>
              <w:t>80%</w:t>
            </w:r>
          </w:p>
        </w:tc>
        <w:tc>
          <w:tcPr>
            <w:tcW w:w="143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76D98C7F" w14:textId="5E31C759" w:rsidR="00F453AE" w:rsidRDefault="0070651F" w:rsidP="00D5630D">
            <w:pPr>
              <w:jc w:val="center"/>
              <w:rPr>
                <w:b/>
                <w:bCs/>
                <w:sz w:val="20"/>
                <w:szCs w:val="20"/>
                <w:lang w:eastAsia="lv-LV"/>
              </w:rPr>
            </w:pPr>
            <w:r>
              <w:rPr>
                <w:b/>
                <w:bCs/>
                <w:sz w:val="20"/>
                <w:szCs w:val="20"/>
                <w:lang w:eastAsia="lv-LV"/>
              </w:rPr>
              <w:t>174 871</w:t>
            </w:r>
          </w:p>
        </w:tc>
      </w:tr>
      <w:tr w:rsidR="00F453AE" w14:paraId="7F3D9373" w14:textId="77777777" w:rsidTr="000A03C6">
        <w:trPr>
          <w:trHeight w:val="438"/>
          <w:jc w:val="center"/>
        </w:trPr>
        <w:tc>
          <w:tcPr>
            <w:tcW w:w="296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17965540" w14:textId="77777777" w:rsidR="00F453AE" w:rsidRDefault="00F453AE" w:rsidP="00871BC8">
            <w:pPr>
              <w:jc w:val="both"/>
              <w:rPr>
                <w:b/>
                <w:bCs/>
                <w:sz w:val="20"/>
                <w:szCs w:val="20"/>
                <w:lang w:eastAsia="lv-LV"/>
              </w:rPr>
            </w:pPr>
            <w:r>
              <w:rPr>
                <w:b/>
                <w:bCs/>
                <w:sz w:val="20"/>
                <w:szCs w:val="20"/>
                <w:lang w:eastAsia="lv-LV"/>
              </w:rPr>
              <w:lastRenderedPageBreak/>
              <w:t>7. Neattiecināmie izdevumi (t.sk. PVN)</w:t>
            </w:r>
          </w:p>
        </w:tc>
        <w:tc>
          <w:tcPr>
            <w:tcW w:w="10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7D5132D7" w14:textId="44DB8787" w:rsidR="00F453AE" w:rsidRDefault="00F453AE" w:rsidP="00D5630D">
            <w:pPr>
              <w:jc w:val="center"/>
              <w:rPr>
                <w:b/>
                <w:bCs/>
                <w:sz w:val="20"/>
                <w:szCs w:val="20"/>
                <w:lang w:eastAsia="lv-LV"/>
              </w:rPr>
            </w:pPr>
          </w:p>
        </w:tc>
        <w:tc>
          <w:tcPr>
            <w:tcW w:w="100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2F1863F5" w14:textId="34EB244E" w:rsidR="00F453AE" w:rsidRDefault="00F453AE" w:rsidP="00D5630D">
            <w:pPr>
              <w:jc w:val="center"/>
              <w:rPr>
                <w:b/>
                <w:bCs/>
                <w:sz w:val="20"/>
                <w:szCs w:val="20"/>
                <w:lang w:eastAsia="lv-LV"/>
              </w:rPr>
            </w:pP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55BF7F9A" w14:textId="7F05BB29" w:rsidR="00F453AE" w:rsidRDefault="00F453AE" w:rsidP="00D5630D">
            <w:pPr>
              <w:jc w:val="center"/>
              <w:rPr>
                <w:b/>
                <w:bCs/>
                <w:sz w:val="20"/>
                <w:szCs w:val="20"/>
                <w:lang w:eastAsia="lv-LV"/>
              </w:rPr>
            </w:pPr>
            <w:r w:rsidRPr="001D0D67">
              <w:rPr>
                <w:b/>
                <w:bCs/>
                <w:sz w:val="20"/>
                <w:szCs w:val="20"/>
                <w:lang w:eastAsia="lv-LV"/>
              </w:rPr>
              <w:t>9</w:t>
            </w:r>
            <w:r>
              <w:rPr>
                <w:b/>
                <w:bCs/>
                <w:sz w:val="20"/>
                <w:szCs w:val="20"/>
                <w:lang w:eastAsia="lv-LV"/>
              </w:rPr>
              <w:t xml:space="preserve"> </w:t>
            </w:r>
            <w:r w:rsidRPr="001D0D67">
              <w:rPr>
                <w:b/>
                <w:bCs/>
                <w:sz w:val="20"/>
                <w:szCs w:val="20"/>
                <w:lang w:eastAsia="lv-LV"/>
              </w:rPr>
              <w:t>63</w:t>
            </w:r>
            <w:r>
              <w:rPr>
                <w:b/>
                <w:bCs/>
                <w:sz w:val="20"/>
                <w:szCs w:val="20"/>
                <w:lang w:eastAsia="lv-LV"/>
              </w:rPr>
              <w:t>2</w:t>
            </w:r>
          </w:p>
        </w:tc>
        <w:tc>
          <w:tcPr>
            <w:tcW w:w="117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8F095E" w14:textId="77777777" w:rsidR="00F453AE" w:rsidRDefault="00F453AE" w:rsidP="00D5630D">
            <w:pPr>
              <w:jc w:val="center"/>
              <w:rPr>
                <w:b/>
                <w:bCs/>
                <w:sz w:val="20"/>
                <w:szCs w:val="20"/>
                <w:lang w:eastAsia="lv-LV"/>
              </w:rPr>
            </w:pPr>
          </w:p>
        </w:tc>
        <w:tc>
          <w:tcPr>
            <w:tcW w:w="157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40672D7F" w14:textId="3BDC8B25" w:rsidR="00F453AE" w:rsidRDefault="00F453AE" w:rsidP="00D5630D">
            <w:pPr>
              <w:jc w:val="center"/>
              <w:rPr>
                <w:b/>
                <w:bCs/>
                <w:sz w:val="20"/>
                <w:szCs w:val="20"/>
                <w:lang w:eastAsia="lv-LV"/>
              </w:rPr>
            </w:pPr>
          </w:p>
        </w:tc>
        <w:tc>
          <w:tcPr>
            <w:tcW w:w="143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51492C84" w14:textId="16D2D6DF" w:rsidR="00F453AE" w:rsidRDefault="00F453AE" w:rsidP="00D5630D">
            <w:pPr>
              <w:jc w:val="center"/>
              <w:rPr>
                <w:b/>
                <w:bCs/>
                <w:sz w:val="20"/>
                <w:szCs w:val="20"/>
                <w:lang w:eastAsia="lv-LV"/>
              </w:rPr>
            </w:pPr>
          </w:p>
        </w:tc>
      </w:tr>
      <w:tr w:rsidR="00F453AE" w14:paraId="0E748345" w14:textId="77777777" w:rsidTr="000A03C6">
        <w:trPr>
          <w:trHeight w:val="324"/>
          <w:jc w:val="center"/>
        </w:trPr>
        <w:tc>
          <w:tcPr>
            <w:tcW w:w="296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84E9843" w14:textId="77777777" w:rsidR="00F453AE" w:rsidRDefault="00F453AE" w:rsidP="00871BC8">
            <w:pPr>
              <w:jc w:val="both"/>
              <w:rPr>
                <w:sz w:val="20"/>
                <w:szCs w:val="20"/>
                <w:lang w:eastAsia="lv-LV"/>
              </w:rPr>
            </w:pPr>
            <w:r>
              <w:rPr>
                <w:sz w:val="20"/>
                <w:szCs w:val="20"/>
                <w:lang w:eastAsia="lv-LV"/>
              </w:rPr>
              <w:t>7.1. ekskursija 20.09.2015.</w:t>
            </w:r>
          </w:p>
        </w:tc>
        <w:tc>
          <w:tcPr>
            <w:tcW w:w="10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A343B59" w14:textId="77777777" w:rsidR="00F453AE" w:rsidRPr="00A47E9C" w:rsidRDefault="00F453AE" w:rsidP="00D5630D">
            <w:pPr>
              <w:jc w:val="center"/>
              <w:rPr>
                <w:sz w:val="20"/>
                <w:szCs w:val="20"/>
                <w:lang w:eastAsia="lv-LV"/>
              </w:rPr>
            </w:pPr>
            <w:r>
              <w:rPr>
                <w:sz w:val="20"/>
                <w:szCs w:val="20"/>
                <w:lang w:eastAsia="lv-LV"/>
              </w:rPr>
              <w:t>138</w:t>
            </w:r>
          </w:p>
        </w:tc>
        <w:tc>
          <w:tcPr>
            <w:tcW w:w="10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0D5ACA9" w14:textId="0934E5A5" w:rsidR="00F453AE" w:rsidRPr="00A47E9C" w:rsidRDefault="0070651F" w:rsidP="00D5630D">
            <w:pPr>
              <w:jc w:val="center"/>
              <w:rPr>
                <w:sz w:val="20"/>
                <w:szCs w:val="20"/>
                <w:lang w:eastAsia="lv-LV"/>
              </w:rPr>
            </w:pPr>
            <w:r>
              <w:rPr>
                <w:sz w:val="20"/>
                <w:szCs w:val="20"/>
                <w:lang w:eastAsia="lv-LV"/>
              </w:rPr>
              <w:t>12,1</w:t>
            </w:r>
          </w:p>
        </w:tc>
        <w:tc>
          <w:tcPr>
            <w:tcW w:w="114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604D9573" w14:textId="3189E6FB" w:rsidR="00F453AE" w:rsidRDefault="00F453AE" w:rsidP="00D5630D">
            <w:pPr>
              <w:jc w:val="center"/>
              <w:rPr>
                <w:sz w:val="20"/>
                <w:szCs w:val="20"/>
                <w:lang w:eastAsia="lv-LV"/>
              </w:rPr>
            </w:pPr>
            <w:r w:rsidRPr="001D0D67">
              <w:rPr>
                <w:sz w:val="20"/>
                <w:szCs w:val="20"/>
                <w:lang w:eastAsia="lv-LV"/>
              </w:rPr>
              <w:t>1</w:t>
            </w:r>
            <w:r>
              <w:rPr>
                <w:sz w:val="20"/>
                <w:szCs w:val="20"/>
                <w:lang w:eastAsia="lv-LV"/>
              </w:rPr>
              <w:t xml:space="preserve"> </w:t>
            </w:r>
            <w:r w:rsidRPr="001D0D67">
              <w:rPr>
                <w:sz w:val="20"/>
                <w:szCs w:val="20"/>
                <w:lang w:eastAsia="lv-LV"/>
              </w:rPr>
              <w:t>6</w:t>
            </w:r>
            <w:r>
              <w:rPr>
                <w:sz w:val="20"/>
                <w:szCs w:val="20"/>
                <w:lang w:eastAsia="lv-LV"/>
              </w:rPr>
              <w:t>70</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6B569D" w14:textId="77777777" w:rsidR="00F453AE" w:rsidRDefault="00F453AE" w:rsidP="00D5630D">
            <w:pPr>
              <w:jc w:val="center"/>
              <w:rPr>
                <w:sz w:val="20"/>
                <w:szCs w:val="20"/>
                <w:lang w:eastAsia="lv-LV"/>
              </w:rPr>
            </w:pPr>
          </w:p>
        </w:tc>
        <w:tc>
          <w:tcPr>
            <w:tcW w:w="157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7FE685D8" w14:textId="126EE6FB" w:rsidR="00F453AE" w:rsidRDefault="00F453AE" w:rsidP="00D5630D">
            <w:pPr>
              <w:jc w:val="center"/>
              <w:rPr>
                <w:sz w:val="20"/>
                <w:szCs w:val="20"/>
                <w:lang w:eastAsia="lv-LV"/>
              </w:rPr>
            </w:pPr>
          </w:p>
        </w:tc>
        <w:tc>
          <w:tcPr>
            <w:tcW w:w="143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49A9B43E" w14:textId="439FDCB6" w:rsidR="00F453AE" w:rsidRDefault="00F453AE" w:rsidP="00D5630D">
            <w:pPr>
              <w:jc w:val="center"/>
              <w:rPr>
                <w:b/>
                <w:bCs/>
                <w:sz w:val="20"/>
                <w:szCs w:val="20"/>
                <w:lang w:eastAsia="lv-LV"/>
              </w:rPr>
            </w:pPr>
          </w:p>
        </w:tc>
      </w:tr>
      <w:tr w:rsidR="00F453AE" w14:paraId="6797C871" w14:textId="77777777" w:rsidTr="000A03C6">
        <w:trPr>
          <w:trHeight w:val="324"/>
          <w:jc w:val="center"/>
        </w:trPr>
        <w:tc>
          <w:tcPr>
            <w:tcW w:w="2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26DCB241" w14:textId="77777777" w:rsidR="00F453AE" w:rsidRDefault="00F453AE" w:rsidP="00871BC8">
            <w:pPr>
              <w:jc w:val="both"/>
              <w:rPr>
                <w:sz w:val="20"/>
                <w:szCs w:val="20"/>
                <w:lang w:eastAsia="lv-LV"/>
              </w:rPr>
            </w:pPr>
            <w:r>
              <w:rPr>
                <w:sz w:val="20"/>
                <w:szCs w:val="20"/>
                <w:lang w:eastAsia="lv-LV"/>
              </w:rPr>
              <w:t>7.2. kultūras pasākums 21.09.2015.</w:t>
            </w:r>
          </w:p>
        </w:tc>
        <w:tc>
          <w:tcPr>
            <w:tcW w:w="100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BAF2653" w14:textId="77777777" w:rsidR="00F453AE" w:rsidRPr="00A47E9C" w:rsidRDefault="00F453AE" w:rsidP="00D5630D">
            <w:pPr>
              <w:jc w:val="center"/>
              <w:rPr>
                <w:sz w:val="20"/>
                <w:szCs w:val="20"/>
                <w:lang w:eastAsia="lv-LV"/>
              </w:rPr>
            </w:pPr>
            <w:r>
              <w:rPr>
                <w:sz w:val="20"/>
                <w:szCs w:val="20"/>
                <w:lang w:eastAsia="lv-LV"/>
              </w:rPr>
              <w:t>153</w:t>
            </w:r>
          </w:p>
        </w:tc>
        <w:tc>
          <w:tcPr>
            <w:tcW w:w="100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95E3FA2" w14:textId="2B1162CD" w:rsidR="00F453AE" w:rsidRPr="00A47E9C" w:rsidRDefault="0070651F" w:rsidP="00D5630D">
            <w:pPr>
              <w:jc w:val="center"/>
              <w:rPr>
                <w:sz w:val="20"/>
                <w:szCs w:val="20"/>
                <w:lang w:eastAsia="lv-LV"/>
              </w:rPr>
            </w:pPr>
            <w:r>
              <w:rPr>
                <w:sz w:val="20"/>
                <w:szCs w:val="20"/>
                <w:lang w:eastAsia="lv-LV"/>
              </w:rPr>
              <w:t>12,1</w:t>
            </w:r>
          </w:p>
        </w:tc>
        <w:tc>
          <w:tcPr>
            <w:tcW w:w="114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14:paraId="7FBBD887" w14:textId="438C14F9" w:rsidR="00F453AE" w:rsidRDefault="00F453AE" w:rsidP="00D5630D">
            <w:pPr>
              <w:jc w:val="center"/>
              <w:rPr>
                <w:sz w:val="20"/>
                <w:szCs w:val="20"/>
                <w:lang w:eastAsia="lv-LV"/>
              </w:rPr>
            </w:pPr>
            <w:r w:rsidRPr="001D0D67">
              <w:rPr>
                <w:sz w:val="20"/>
                <w:szCs w:val="20"/>
                <w:lang w:eastAsia="lv-LV"/>
              </w:rPr>
              <w:t>1</w:t>
            </w:r>
            <w:r>
              <w:rPr>
                <w:sz w:val="20"/>
                <w:szCs w:val="20"/>
                <w:lang w:eastAsia="lv-LV"/>
              </w:rPr>
              <w:t xml:space="preserve"> </w:t>
            </w:r>
            <w:r w:rsidR="0070651F">
              <w:rPr>
                <w:sz w:val="20"/>
                <w:szCs w:val="20"/>
                <w:lang w:eastAsia="lv-LV"/>
              </w:rPr>
              <w:t>851</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6EB976" w14:textId="77777777" w:rsidR="00F453AE" w:rsidRDefault="00F453AE" w:rsidP="00D5630D">
            <w:pPr>
              <w:jc w:val="center"/>
              <w:rPr>
                <w:sz w:val="20"/>
                <w:szCs w:val="20"/>
                <w:lang w:eastAsia="lv-LV"/>
              </w:rPr>
            </w:pPr>
          </w:p>
        </w:tc>
        <w:tc>
          <w:tcPr>
            <w:tcW w:w="157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14:paraId="06CDDEFA" w14:textId="77777777" w:rsidR="00F453AE" w:rsidRDefault="00F453AE" w:rsidP="00D5630D">
            <w:pPr>
              <w:jc w:val="center"/>
              <w:rPr>
                <w:sz w:val="20"/>
                <w:szCs w:val="20"/>
                <w:lang w:eastAsia="lv-LV"/>
              </w:rPr>
            </w:pPr>
          </w:p>
        </w:tc>
        <w:tc>
          <w:tcPr>
            <w:tcW w:w="143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14:paraId="22EFE102" w14:textId="77777777" w:rsidR="00F453AE" w:rsidRDefault="00F453AE" w:rsidP="00D5630D">
            <w:pPr>
              <w:jc w:val="center"/>
              <w:rPr>
                <w:b/>
                <w:bCs/>
                <w:sz w:val="20"/>
                <w:szCs w:val="20"/>
                <w:lang w:eastAsia="lv-LV"/>
              </w:rPr>
            </w:pPr>
          </w:p>
        </w:tc>
      </w:tr>
      <w:tr w:rsidR="00F453AE" w14:paraId="02E3D66A" w14:textId="77777777" w:rsidTr="000A03C6">
        <w:trPr>
          <w:trHeight w:val="324"/>
          <w:jc w:val="center"/>
        </w:trPr>
        <w:tc>
          <w:tcPr>
            <w:tcW w:w="2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44F1722A" w14:textId="77777777" w:rsidR="00F453AE" w:rsidRDefault="00F453AE" w:rsidP="00871BC8">
            <w:pPr>
              <w:jc w:val="both"/>
              <w:rPr>
                <w:sz w:val="20"/>
                <w:szCs w:val="20"/>
                <w:lang w:eastAsia="lv-LV"/>
              </w:rPr>
            </w:pPr>
            <w:r>
              <w:rPr>
                <w:sz w:val="20"/>
                <w:szCs w:val="20"/>
                <w:lang w:eastAsia="lv-LV"/>
              </w:rPr>
              <w:t>7.3. Dāvanas/suvenīri</w:t>
            </w:r>
          </w:p>
        </w:tc>
        <w:tc>
          <w:tcPr>
            <w:tcW w:w="1000"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7DB58A4C" w14:textId="77777777" w:rsidR="00F453AE" w:rsidRPr="00A47E9C" w:rsidRDefault="00F453AE" w:rsidP="00D5630D">
            <w:pPr>
              <w:jc w:val="center"/>
              <w:rPr>
                <w:sz w:val="20"/>
                <w:szCs w:val="20"/>
                <w:lang w:eastAsia="lv-LV"/>
              </w:rPr>
            </w:pPr>
            <w:r w:rsidRPr="00A47E9C">
              <w:rPr>
                <w:sz w:val="20"/>
                <w:szCs w:val="20"/>
                <w:lang w:eastAsia="lv-LV"/>
              </w:rPr>
              <w:t>1</w:t>
            </w:r>
            <w:r>
              <w:rPr>
                <w:sz w:val="20"/>
                <w:szCs w:val="20"/>
                <w:lang w:eastAsia="lv-LV"/>
              </w:rPr>
              <w:t>45</w:t>
            </w:r>
          </w:p>
        </w:tc>
        <w:tc>
          <w:tcPr>
            <w:tcW w:w="100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38878C08" w14:textId="3176FA54" w:rsidR="00F453AE" w:rsidRPr="00A47E9C" w:rsidRDefault="0070651F" w:rsidP="00D5630D">
            <w:pPr>
              <w:jc w:val="center"/>
              <w:rPr>
                <w:sz w:val="20"/>
                <w:szCs w:val="20"/>
                <w:lang w:eastAsia="lv-LV"/>
              </w:rPr>
            </w:pPr>
            <w:r>
              <w:rPr>
                <w:sz w:val="20"/>
                <w:szCs w:val="20"/>
                <w:lang w:eastAsia="lv-LV"/>
              </w:rPr>
              <w:t>12,1</w:t>
            </w:r>
          </w:p>
        </w:tc>
        <w:tc>
          <w:tcPr>
            <w:tcW w:w="114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4313E3A6" w14:textId="4C30C398" w:rsidR="00F453AE" w:rsidRDefault="00F453AE" w:rsidP="00D5630D">
            <w:pPr>
              <w:jc w:val="center"/>
              <w:rPr>
                <w:sz w:val="20"/>
                <w:szCs w:val="20"/>
                <w:lang w:eastAsia="lv-LV"/>
              </w:rPr>
            </w:pPr>
            <w:r w:rsidRPr="001D0D67">
              <w:rPr>
                <w:sz w:val="20"/>
                <w:szCs w:val="20"/>
                <w:lang w:eastAsia="lv-LV"/>
              </w:rPr>
              <w:t>1</w:t>
            </w:r>
            <w:r>
              <w:rPr>
                <w:sz w:val="20"/>
                <w:szCs w:val="20"/>
                <w:lang w:eastAsia="lv-LV"/>
              </w:rPr>
              <w:t xml:space="preserve"> </w:t>
            </w:r>
            <w:r w:rsidRPr="001D0D67">
              <w:rPr>
                <w:sz w:val="20"/>
                <w:szCs w:val="20"/>
                <w:lang w:eastAsia="lv-LV"/>
              </w:rPr>
              <w:t>75</w:t>
            </w:r>
            <w:r>
              <w:rPr>
                <w:sz w:val="20"/>
                <w:szCs w:val="20"/>
                <w:lang w:eastAsia="lv-LV"/>
              </w:rPr>
              <w:t>5</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1141DA" w14:textId="77777777" w:rsidR="00F453AE" w:rsidRDefault="00F453AE" w:rsidP="00D5630D">
            <w:pPr>
              <w:jc w:val="center"/>
              <w:rPr>
                <w:sz w:val="20"/>
                <w:szCs w:val="20"/>
                <w:lang w:eastAsia="lv-LV"/>
              </w:rPr>
            </w:pPr>
          </w:p>
        </w:tc>
        <w:tc>
          <w:tcPr>
            <w:tcW w:w="157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4A182D46" w14:textId="66E30E6D" w:rsidR="00F453AE" w:rsidRDefault="00F453AE" w:rsidP="00D5630D">
            <w:pPr>
              <w:jc w:val="center"/>
              <w:rPr>
                <w:sz w:val="20"/>
                <w:szCs w:val="20"/>
                <w:lang w:eastAsia="lv-LV"/>
              </w:rPr>
            </w:pPr>
          </w:p>
        </w:tc>
        <w:tc>
          <w:tcPr>
            <w:tcW w:w="143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1C8DB19F" w14:textId="2FAD6369" w:rsidR="00F453AE" w:rsidRDefault="00F453AE" w:rsidP="00D5630D">
            <w:pPr>
              <w:jc w:val="center"/>
              <w:rPr>
                <w:b/>
                <w:bCs/>
                <w:sz w:val="20"/>
                <w:szCs w:val="20"/>
                <w:lang w:eastAsia="lv-LV"/>
              </w:rPr>
            </w:pPr>
          </w:p>
        </w:tc>
      </w:tr>
      <w:tr w:rsidR="00F453AE" w14:paraId="042FFDDB" w14:textId="77777777" w:rsidTr="000A03C6">
        <w:trPr>
          <w:trHeight w:val="341"/>
          <w:jc w:val="center"/>
        </w:trPr>
        <w:tc>
          <w:tcPr>
            <w:tcW w:w="2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79A55614" w14:textId="77777777" w:rsidR="00F453AE" w:rsidRDefault="00F453AE" w:rsidP="00871BC8">
            <w:pPr>
              <w:jc w:val="both"/>
              <w:rPr>
                <w:sz w:val="20"/>
                <w:szCs w:val="20"/>
                <w:lang w:eastAsia="lv-LV"/>
              </w:rPr>
            </w:pPr>
            <w:r>
              <w:rPr>
                <w:sz w:val="20"/>
                <w:szCs w:val="20"/>
                <w:lang w:eastAsia="lv-LV"/>
              </w:rPr>
              <w:t>7.4. Izklaidējošā programma (21., 22.09.2015.)</w:t>
            </w:r>
          </w:p>
        </w:tc>
        <w:tc>
          <w:tcPr>
            <w:tcW w:w="10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6E43899" w14:textId="77777777" w:rsidR="00F453AE" w:rsidRDefault="00F453AE" w:rsidP="00D5630D">
            <w:pPr>
              <w:jc w:val="center"/>
              <w:rPr>
                <w:sz w:val="20"/>
                <w:szCs w:val="20"/>
                <w:lang w:eastAsia="lv-LV"/>
              </w:rPr>
            </w:pPr>
            <w:r>
              <w:rPr>
                <w:sz w:val="20"/>
                <w:szCs w:val="20"/>
                <w:lang w:eastAsia="lv-LV"/>
              </w:rPr>
              <w:t>2</w:t>
            </w:r>
          </w:p>
        </w:tc>
        <w:tc>
          <w:tcPr>
            <w:tcW w:w="10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C5C35C1" w14:textId="3C6E2FEC" w:rsidR="00F453AE" w:rsidRDefault="00F453AE" w:rsidP="00D5630D">
            <w:pPr>
              <w:jc w:val="center"/>
              <w:rPr>
                <w:b/>
                <w:bCs/>
                <w:sz w:val="20"/>
                <w:szCs w:val="20"/>
                <w:lang w:eastAsia="lv-LV"/>
              </w:rPr>
            </w:pPr>
            <w:r w:rsidRPr="001D0D67">
              <w:rPr>
                <w:sz w:val="20"/>
                <w:szCs w:val="20"/>
                <w:lang w:eastAsia="lv-LV"/>
              </w:rPr>
              <w:t>2</w:t>
            </w:r>
            <w:r>
              <w:rPr>
                <w:sz w:val="20"/>
                <w:szCs w:val="20"/>
                <w:lang w:eastAsia="lv-LV"/>
              </w:rPr>
              <w:t> </w:t>
            </w:r>
            <w:r w:rsidRPr="001D0D67">
              <w:rPr>
                <w:sz w:val="20"/>
                <w:szCs w:val="20"/>
                <w:lang w:eastAsia="lv-LV"/>
              </w:rPr>
              <w:t>178</w:t>
            </w:r>
          </w:p>
        </w:tc>
        <w:tc>
          <w:tcPr>
            <w:tcW w:w="114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4886DD5E" w14:textId="05CC7F41" w:rsidR="00F453AE" w:rsidRDefault="00F453AE" w:rsidP="00D5630D">
            <w:pPr>
              <w:jc w:val="center"/>
              <w:rPr>
                <w:sz w:val="20"/>
                <w:szCs w:val="20"/>
                <w:lang w:eastAsia="lv-LV"/>
              </w:rPr>
            </w:pPr>
            <w:r w:rsidRPr="001D0D67">
              <w:rPr>
                <w:sz w:val="20"/>
                <w:szCs w:val="20"/>
                <w:lang w:eastAsia="lv-LV"/>
              </w:rPr>
              <w:t>4</w:t>
            </w:r>
            <w:r>
              <w:rPr>
                <w:sz w:val="20"/>
                <w:szCs w:val="20"/>
                <w:lang w:eastAsia="lv-LV"/>
              </w:rPr>
              <w:t> </w:t>
            </w:r>
            <w:r w:rsidRPr="001D0D67">
              <w:rPr>
                <w:sz w:val="20"/>
                <w:szCs w:val="20"/>
                <w:lang w:eastAsia="lv-LV"/>
              </w:rPr>
              <w:t>356</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E73816" w14:textId="77777777" w:rsidR="00F453AE" w:rsidRDefault="00F453AE" w:rsidP="00D5630D">
            <w:pPr>
              <w:jc w:val="center"/>
              <w:rPr>
                <w:b/>
                <w:bCs/>
                <w:sz w:val="20"/>
                <w:szCs w:val="20"/>
                <w:lang w:eastAsia="lv-LV"/>
              </w:rPr>
            </w:pPr>
          </w:p>
        </w:tc>
        <w:tc>
          <w:tcPr>
            <w:tcW w:w="157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595F9522" w14:textId="29CB77A1" w:rsidR="00F453AE" w:rsidRDefault="00F453AE" w:rsidP="00D5630D">
            <w:pPr>
              <w:jc w:val="center"/>
              <w:rPr>
                <w:b/>
                <w:bCs/>
                <w:sz w:val="20"/>
                <w:szCs w:val="20"/>
                <w:lang w:eastAsia="lv-LV"/>
              </w:rPr>
            </w:pPr>
          </w:p>
        </w:tc>
        <w:tc>
          <w:tcPr>
            <w:tcW w:w="1431"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42E91DFB" w14:textId="7DB93613" w:rsidR="00F453AE" w:rsidRDefault="00F453AE" w:rsidP="00D5630D">
            <w:pPr>
              <w:jc w:val="center"/>
              <w:rPr>
                <w:b/>
                <w:bCs/>
                <w:sz w:val="20"/>
                <w:szCs w:val="20"/>
                <w:lang w:eastAsia="lv-LV"/>
              </w:rPr>
            </w:pPr>
          </w:p>
        </w:tc>
      </w:tr>
      <w:tr w:rsidR="00F453AE" w14:paraId="09CFD024" w14:textId="77777777" w:rsidTr="000A03C6">
        <w:trPr>
          <w:trHeight w:val="549"/>
          <w:jc w:val="center"/>
        </w:trPr>
        <w:tc>
          <w:tcPr>
            <w:tcW w:w="296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402A5B9A" w14:textId="77777777" w:rsidR="00F453AE" w:rsidRDefault="00F453AE" w:rsidP="00871BC8">
            <w:pPr>
              <w:jc w:val="both"/>
              <w:rPr>
                <w:b/>
                <w:bCs/>
                <w:sz w:val="20"/>
                <w:szCs w:val="20"/>
                <w:lang w:eastAsia="lv-LV"/>
              </w:rPr>
            </w:pPr>
            <w:r>
              <w:rPr>
                <w:b/>
                <w:bCs/>
                <w:sz w:val="20"/>
                <w:szCs w:val="20"/>
                <w:lang w:eastAsia="lv-LV"/>
              </w:rPr>
              <w:t>9. Kopējie plānotie izdevumi (6.+7.)</w:t>
            </w:r>
          </w:p>
        </w:tc>
        <w:tc>
          <w:tcPr>
            <w:tcW w:w="10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340900C2" w14:textId="77777777" w:rsidR="00F453AE" w:rsidRDefault="00F453AE" w:rsidP="00871BC8">
            <w:pPr>
              <w:rPr>
                <w:b/>
                <w:bCs/>
                <w:sz w:val="20"/>
                <w:szCs w:val="20"/>
                <w:lang w:eastAsia="lv-LV"/>
              </w:rPr>
            </w:pPr>
            <w:r>
              <w:rPr>
                <w:b/>
                <w:bCs/>
                <w:sz w:val="20"/>
                <w:szCs w:val="20"/>
                <w:lang w:eastAsia="lv-LV"/>
              </w:rPr>
              <w:t> </w:t>
            </w:r>
          </w:p>
        </w:tc>
        <w:tc>
          <w:tcPr>
            <w:tcW w:w="100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586ED5D6" w14:textId="77777777" w:rsidR="00F453AE" w:rsidRDefault="00F453AE" w:rsidP="00871BC8">
            <w:pPr>
              <w:rPr>
                <w:b/>
                <w:bCs/>
                <w:sz w:val="20"/>
                <w:szCs w:val="20"/>
                <w:lang w:eastAsia="lv-LV"/>
              </w:rPr>
            </w:pPr>
            <w:r>
              <w:rPr>
                <w:b/>
                <w:bCs/>
                <w:sz w:val="20"/>
                <w:szCs w:val="20"/>
                <w:lang w:eastAsia="lv-LV"/>
              </w:rPr>
              <w:t> </w:t>
            </w:r>
          </w:p>
        </w:tc>
        <w:tc>
          <w:tcPr>
            <w:tcW w:w="11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2F0E57E6" w14:textId="109A9928" w:rsidR="00F453AE" w:rsidRDefault="00F453AE" w:rsidP="00871BC8">
            <w:pPr>
              <w:jc w:val="right"/>
              <w:rPr>
                <w:b/>
                <w:bCs/>
                <w:sz w:val="20"/>
                <w:szCs w:val="20"/>
                <w:lang w:eastAsia="lv-LV"/>
              </w:rPr>
            </w:pPr>
            <w:r>
              <w:rPr>
                <w:b/>
                <w:bCs/>
                <w:sz w:val="20"/>
                <w:szCs w:val="20"/>
                <w:lang w:eastAsia="lv-LV"/>
              </w:rPr>
              <w:t>228 221</w:t>
            </w:r>
          </w:p>
        </w:tc>
        <w:tc>
          <w:tcPr>
            <w:tcW w:w="117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4ECE46" w14:textId="77777777" w:rsidR="00F453AE" w:rsidRDefault="00F453AE" w:rsidP="00871BC8">
            <w:pPr>
              <w:rPr>
                <w:b/>
                <w:bCs/>
                <w:sz w:val="20"/>
                <w:szCs w:val="20"/>
                <w:lang w:eastAsia="lv-LV"/>
              </w:rPr>
            </w:pPr>
          </w:p>
        </w:tc>
        <w:tc>
          <w:tcPr>
            <w:tcW w:w="157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6E4C245A" w14:textId="77777777" w:rsidR="00F453AE" w:rsidRDefault="00F453AE" w:rsidP="00871BC8">
            <w:pPr>
              <w:rPr>
                <w:b/>
                <w:bCs/>
                <w:sz w:val="20"/>
                <w:szCs w:val="20"/>
                <w:lang w:eastAsia="lv-LV"/>
              </w:rPr>
            </w:pPr>
            <w:r>
              <w:rPr>
                <w:b/>
                <w:bCs/>
                <w:sz w:val="20"/>
                <w:szCs w:val="20"/>
                <w:lang w:eastAsia="lv-LV"/>
              </w:rPr>
              <w:t> </w:t>
            </w:r>
          </w:p>
        </w:tc>
        <w:tc>
          <w:tcPr>
            <w:tcW w:w="143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7A1B7120" w14:textId="77777777" w:rsidR="00F453AE" w:rsidRDefault="00F453AE" w:rsidP="00871BC8">
            <w:pPr>
              <w:rPr>
                <w:b/>
                <w:bCs/>
                <w:sz w:val="20"/>
                <w:szCs w:val="20"/>
                <w:lang w:eastAsia="lv-LV"/>
              </w:rPr>
            </w:pPr>
            <w:r>
              <w:rPr>
                <w:b/>
                <w:bCs/>
                <w:sz w:val="20"/>
                <w:szCs w:val="20"/>
                <w:lang w:eastAsia="lv-LV"/>
              </w:rPr>
              <w:t> </w:t>
            </w:r>
          </w:p>
        </w:tc>
      </w:tr>
    </w:tbl>
    <w:p w14:paraId="29845AF1" w14:textId="77777777" w:rsidR="000A03C6" w:rsidRDefault="000A03C6" w:rsidP="00F453AE">
      <w:pPr>
        <w:rPr>
          <w:rFonts w:eastAsia="Times New Roman" w:cs="Times New Roman"/>
          <w:color w:val="000000" w:themeColor="text1"/>
          <w:szCs w:val="24"/>
          <w:lang w:eastAsia="lv-LV"/>
        </w:rPr>
      </w:pPr>
    </w:p>
    <w:p w14:paraId="7F102A1B" w14:textId="0EBAA624" w:rsidR="00F453AE" w:rsidRPr="000A03C6" w:rsidRDefault="00F453AE" w:rsidP="00F453AE">
      <w:pPr>
        <w:rPr>
          <w:rFonts w:eastAsia="Times New Roman" w:cs="Times New Roman"/>
          <w:color w:val="000000" w:themeColor="text1"/>
          <w:szCs w:val="24"/>
          <w:lang w:eastAsia="lv-LV"/>
        </w:rPr>
      </w:pPr>
      <w:r w:rsidRPr="002A6F85">
        <w:rPr>
          <w:rFonts w:eastAsia="Times New Roman" w:cs="Times New Roman"/>
          <w:color w:val="000000" w:themeColor="text1"/>
          <w:szCs w:val="24"/>
          <w:lang w:eastAsia="lv-LV"/>
        </w:rPr>
        <w:t xml:space="preserve">Tabula </w:t>
      </w:r>
      <w:r>
        <w:rPr>
          <w:rFonts w:eastAsia="Times New Roman" w:cs="Times New Roman"/>
          <w:color w:val="000000" w:themeColor="text1"/>
          <w:szCs w:val="24"/>
          <w:lang w:eastAsia="lv-LV"/>
        </w:rPr>
        <w:t>Nr.</w:t>
      </w:r>
      <w:r w:rsidRPr="00CF78F8">
        <w:rPr>
          <w:rFonts w:eastAsia="Times New Roman" w:cs="Times New Roman"/>
          <w:color w:val="000000" w:themeColor="text1"/>
          <w:szCs w:val="24"/>
          <w:lang w:eastAsia="lv-LV"/>
        </w:rPr>
        <w:t>4</w:t>
      </w:r>
      <w:r w:rsidRPr="002A6F85">
        <w:rPr>
          <w:rFonts w:eastAsia="Times New Roman" w:cs="Times New Roman"/>
          <w:color w:val="000000" w:themeColor="text1"/>
          <w:szCs w:val="24"/>
          <w:lang w:eastAsia="lv-LV"/>
        </w:rPr>
        <w:t xml:space="preserve"> </w:t>
      </w:r>
      <w:r w:rsidRPr="002A6F85">
        <w:rPr>
          <w:rFonts w:eastAsia="Times New Roman" w:cs="Times New Roman"/>
          <w:i/>
          <w:color w:val="000000" w:themeColor="text1"/>
          <w:szCs w:val="24"/>
          <w:lang w:eastAsia="lv-LV"/>
        </w:rPr>
        <w:t>“Finansējuma sadalījums pa līdzfinansējuma avotiem”</w:t>
      </w:r>
    </w:p>
    <w:tbl>
      <w:tblPr>
        <w:tblStyle w:val="TableGrid"/>
        <w:tblW w:w="9606" w:type="dxa"/>
        <w:tblLook w:val="04A0" w:firstRow="1" w:lastRow="0" w:firstColumn="1" w:lastColumn="0" w:noHBand="0" w:noVBand="1"/>
      </w:tblPr>
      <w:tblGrid>
        <w:gridCol w:w="4149"/>
        <w:gridCol w:w="2255"/>
        <w:gridCol w:w="3202"/>
      </w:tblGrid>
      <w:tr w:rsidR="00F453AE" w:rsidRPr="002A6F85" w14:paraId="137381F8" w14:textId="77777777" w:rsidTr="000A03C6">
        <w:trPr>
          <w:trHeight w:val="433"/>
        </w:trPr>
        <w:tc>
          <w:tcPr>
            <w:tcW w:w="4149" w:type="dxa"/>
            <w:shd w:val="clear" w:color="auto" w:fill="D9D9D9" w:themeFill="background1" w:themeFillShade="D9"/>
            <w:vAlign w:val="center"/>
          </w:tcPr>
          <w:p w14:paraId="2A2C5940" w14:textId="77777777" w:rsidR="00F453AE" w:rsidRPr="002A6F85" w:rsidRDefault="00F453AE" w:rsidP="00871BC8">
            <w:pPr>
              <w:jc w:val="center"/>
              <w:rPr>
                <w:sz w:val="20"/>
              </w:rPr>
            </w:pPr>
            <w:r w:rsidRPr="002A6F85">
              <w:rPr>
                <w:sz w:val="20"/>
              </w:rPr>
              <w:t>Izmaksu pozīcijas</w:t>
            </w:r>
          </w:p>
        </w:tc>
        <w:tc>
          <w:tcPr>
            <w:tcW w:w="2255" w:type="dxa"/>
            <w:shd w:val="clear" w:color="auto" w:fill="D9D9D9" w:themeFill="background1" w:themeFillShade="D9"/>
            <w:vAlign w:val="center"/>
          </w:tcPr>
          <w:p w14:paraId="0268C771" w14:textId="77777777" w:rsidR="00F453AE" w:rsidRPr="002A6F85" w:rsidRDefault="00F453AE" w:rsidP="00871BC8">
            <w:pPr>
              <w:jc w:val="center"/>
              <w:rPr>
                <w:sz w:val="20"/>
              </w:rPr>
            </w:pPr>
            <w:r w:rsidRPr="002A6F85">
              <w:rPr>
                <w:sz w:val="20"/>
              </w:rPr>
              <w:t>Kopējās izmaksas (</w:t>
            </w:r>
            <w:r w:rsidRPr="002A6F85">
              <w:rPr>
                <w:i/>
                <w:sz w:val="20"/>
              </w:rPr>
              <w:t>euro</w:t>
            </w:r>
            <w:r w:rsidRPr="002A6F85">
              <w:rPr>
                <w:sz w:val="20"/>
              </w:rPr>
              <w:t>)</w:t>
            </w:r>
          </w:p>
        </w:tc>
        <w:tc>
          <w:tcPr>
            <w:tcW w:w="3202" w:type="dxa"/>
            <w:shd w:val="clear" w:color="auto" w:fill="D9D9D9" w:themeFill="background1" w:themeFillShade="D9"/>
            <w:vAlign w:val="center"/>
          </w:tcPr>
          <w:p w14:paraId="08B7EFB4" w14:textId="77777777" w:rsidR="00F453AE" w:rsidRPr="002A6F85" w:rsidRDefault="00F453AE" w:rsidP="00871BC8">
            <w:pPr>
              <w:jc w:val="center"/>
              <w:rPr>
                <w:sz w:val="20"/>
              </w:rPr>
            </w:pPr>
            <w:r w:rsidRPr="002A6F85">
              <w:rPr>
                <w:bCs/>
                <w:sz w:val="20"/>
                <w:lang w:eastAsia="lv-LV"/>
              </w:rPr>
              <w:t>Maksimālā finansējuma likme pēc kategorijas (%)</w:t>
            </w:r>
          </w:p>
        </w:tc>
      </w:tr>
      <w:tr w:rsidR="00F453AE" w:rsidRPr="002A6F85" w14:paraId="204E74AB" w14:textId="77777777" w:rsidTr="000A03C6">
        <w:trPr>
          <w:trHeight w:val="210"/>
        </w:trPr>
        <w:tc>
          <w:tcPr>
            <w:tcW w:w="4149" w:type="dxa"/>
            <w:vAlign w:val="center"/>
          </w:tcPr>
          <w:p w14:paraId="514DCCB1" w14:textId="77777777" w:rsidR="00F453AE" w:rsidRPr="002A6F85" w:rsidRDefault="00F453AE" w:rsidP="00871BC8">
            <w:pPr>
              <w:rPr>
                <w:sz w:val="20"/>
              </w:rPr>
            </w:pPr>
            <w:r w:rsidRPr="002A6F85">
              <w:rPr>
                <w:b/>
                <w:bCs/>
                <w:sz w:val="20"/>
                <w:lang w:eastAsia="lv-LV"/>
              </w:rPr>
              <w:t>ES līdzfinansējums (80% no 6.)</w:t>
            </w:r>
          </w:p>
        </w:tc>
        <w:tc>
          <w:tcPr>
            <w:tcW w:w="2255" w:type="dxa"/>
            <w:vAlign w:val="center"/>
          </w:tcPr>
          <w:p w14:paraId="30B28971" w14:textId="71D78D7F" w:rsidR="00F453AE" w:rsidRPr="009C7B4F" w:rsidRDefault="0070651F" w:rsidP="00871BC8">
            <w:pPr>
              <w:jc w:val="center"/>
              <w:rPr>
                <w:sz w:val="20"/>
              </w:rPr>
            </w:pPr>
            <w:r>
              <w:rPr>
                <w:bCs/>
                <w:sz w:val="20"/>
                <w:szCs w:val="20"/>
                <w:lang w:eastAsia="lv-LV"/>
              </w:rPr>
              <w:t>174 871</w:t>
            </w:r>
          </w:p>
        </w:tc>
        <w:tc>
          <w:tcPr>
            <w:tcW w:w="3202" w:type="dxa"/>
            <w:vAlign w:val="center"/>
          </w:tcPr>
          <w:p w14:paraId="4C4F7BD5" w14:textId="77777777" w:rsidR="00F453AE" w:rsidRPr="002A6F85" w:rsidRDefault="00F453AE" w:rsidP="00871BC8">
            <w:pPr>
              <w:jc w:val="center"/>
              <w:rPr>
                <w:sz w:val="20"/>
              </w:rPr>
            </w:pPr>
            <w:r w:rsidRPr="002A6F85">
              <w:rPr>
                <w:bCs/>
                <w:sz w:val="20"/>
                <w:lang w:eastAsia="lv-LV"/>
              </w:rPr>
              <w:t>0,80</w:t>
            </w:r>
          </w:p>
        </w:tc>
      </w:tr>
      <w:tr w:rsidR="00F453AE" w:rsidRPr="002A6F85" w14:paraId="1BEBA482" w14:textId="77777777" w:rsidTr="000A03C6">
        <w:trPr>
          <w:trHeight w:val="210"/>
        </w:trPr>
        <w:tc>
          <w:tcPr>
            <w:tcW w:w="4149" w:type="dxa"/>
            <w:vAlign w:val="center"/>
          </w:tcPr>
          <w:p w14:paraId="7CDE993C" w14:textId="77777777" w:rsidR="00F453AE" w:rsidRPr="002A6F85" w:rsidRDefault="00F453AE" w:rsidP="00871BC8">
            <w:pPr>
              <w:rPr>
                <w:sz w:val="20"/>
              </w:rPr>
            </w:pPr>
            <w:r w:rsidRPr="002A6F85">
              <w:rPr>
                <w:b/>
                <w:bCs/>
                <w:sz w:val="20"/>
                <w:lang w:eastAsia="lv-LV"/>
              </w:rPr>
              <w:t>LV finansējums, t.sk.:</w:t>
            </w:r>
          </w:p>
        </w:tc>
        <w:tc>
          <w:tcPr>
            <w:tcW w:w="2255" w:type="dxa"/>
            <w:vAlign w:val="center"/>
          </w:tcPr>
          <w:p w14:paraId="02A9A031" w14:textId="6ABFF7E1" w:rsidR="00F453AE" w:rsidRPr="009C7B4F" w:rsidRDefault="00F453AE" w:rsidP="00871BC8">
            <w:pPr>
              <w:jc w:val="center"/>
              <w:rPr>
                <w:sz w:val="20"/>
              </w:rPr>
            </w:pPr>
            <w:r w:rsidRPr="009C7B4F">
              <w:rPr>
                <w:sz w:val="20"/>
              </w:rPr>
              <w:t>73 89</w:t>
            </w:r>
            <w:r>
              <w:rPr>
                <w:sz w:val="20"/>
              </w:rPr>
              <w:t>7</w:t>
            </w:r>
          </w:p>
        </w:tc>
        <w:tc>
          <w:tcPr>
            <w:tcW w:w="3202" w:type="dxa"/>
            <w:vAlign w:val="center"/>
          </w:tcPr>
          <w:p w14:paraId="407321FC" w14:textId="77777777" w:rsidR="00F453AE" w:rsidRPr="002A6F85" w:rsidRDefault="00F453AE" w:rsidP="00871BC8">
            <w:pPr>
              <w:jc w:val="center"/>
              <w:rPr>
                <w:sz w:val="20"/>
              </w:rPr>
            </w:pPr>
          </w:p>
        </w:tc>
      </w:tr>
      <w:tr w:rsidR="00F453AE" w:rsidRPr="002A6F85" w14:paraId="7000EFBC" w14:textId="77777777" w:rsidTr="000A03C6">
        <w:trPr>
          <w:trHeight w:val="410"/>
        </w:trPr>
        <w:tc>
          <w:tcPr>
            <w:tcW w:w="4149" w:type="dxa"/>
            <w:vAlign w:val="center"/>
          </w:tcPr>
          <w:p w14:paraId="3A12BF2E" w14:textId="77777777" w:rsidR="00F453AE" w:rsidRPr="002A6F85" w:rsidRDefault="00F453AE" w:rsidP="00871BC8">
            <w:pPr>
              <w:jc w:val="right"/>
              <w:rPr>
                <w:sz w:val="20"/>
              </w:rPr>
            </w:pPr>
            <w:r w:rsidRPr="002A6F85">
              <w:rPr>
                <w:sz w:val="20"/>
                <w:lang w:eastAsia="lv-LV"/>
              </w:rPr>
              <w:t>LV līdzfinansējum</w:t>
            </w:r>
            <w:r>
              <w:rPr>
                <w:sz w:val="20"/>
                <w:lang w:eastAsia="lv-LV"/>
              </w:rPr>
              <w:t>s</w:t>
            </w:r>
            <w:r w:rsidRPr="002A6F85">
              <w:rPr>
                <w:sz w:val="20"/>
                <w:lang w:eastAsia="lv-LV"/>
              </w:rPr>
              <w:t xml:space="preserve"> no attiecināmajām izmaksā</w:t>
            </w:r>
            <w:r>
              <w:rPr>
                <w:sz w:val="20"/>
                <w:lang w:eastAsia="lv-LV"/>
              </w:rPr>
              <w:t>m</w:t>
            </w:r>
            <w:r w:rsidRPr="002A6F85">
              <w:rPr>
                <w:sz w:val="20"/>
                <w:lang w:eastAsia="lv-LV"/>
              </w:rPr>
              <w:t xml:space="preserve"> (20% no 6.)</w:t>
            </w:r>
          </w:p>
        </w:tc>
        <w:tc>
          <w:tcPr>
            <w:tcW w:w="2255" w:type="dxa"/>
            <w:vAlign w:val="center"/>
          </w:tcPr>
          <w:p w14:paraId="7C3D2B23" w14:textId="398A85B6" w:rsidR="00F453AE" w:rsidRPr="00A47E9C" w:rsidRDefault="00F453AE" w:rsidP="00871BC8">
            <w:pPr>
              <w:jc w:val="center"/>
              <w:rPr>
                <w:sz w:val="20"/>
              </w:rPr>
            </w:pPr>
            <w:r w:rsidRPr="00A47E9C">
              <w:rPr>
                <w:bCs/>
                <w:sz w:val="20"/>
                <w:szCs w:val="20"/>
                <w:lang w:eastAsia="lv-LV"/>
              </w:rPr>
              <w:t>43 71</w:t>
            </w:r>
            <w:r>
              <w:rPr>
                <w:bCs/>
                <w:sz w:val="20"/>
                <w:szCs w:val="20"/>
                <w:lang w:eastAsia="lv-LV"/>
              </w:rPr>
              <w:t>8</w:t>
            </w:r>
          </w:p>
        </w:tc>
        <w:tc>
          <w:tcPr>
            <w:tcW w:w="3202" w:type="dxa"/>
            <w:vAlign w:val="center"/>
          </w:tcPr>
          <w:p w14:paraId="51ACDF57" w14:textId="77777777" w:rsidR="00F453AE" w:rsidRPr="002A6F85" w:rsidRDefault="00F453AE" w:rsidP="00871BC8">
            <w:pPr>
              <w:jc w:val="center"/>
              <w:rPr>
                <w:sz w:val="20"/>
              </w:rPr>
            </w:pPr>
            <w:r w:rsidRPr="002A6F85">
              <w:rPr>
                <w:bCs/>
                <w:sz w:val="20"/>
                <w:lang w:eastAsia="lv-LV"/>
              </w:rPr>
              <w:t>0,20</w:t>
            </w:r>
          </w:p>
        </w:tc>
      </w:tr>
      <w:tr w:rsidR="00F453AE" w:rsidRPr="002A6F85" w14:paraId="3780552D" w14:textId="77777777" w:rsidTr="000A03C6">
        <w:trPr>
          <w:trHeight w:val="422"/>
        </w:trPr>
        <w:tc>
          <w:tcPr>
            <w:tcW w:w="4149" w:type="dxa"/>
            <w:vAlign w:val="center"/>
          </w:tcPr>
          <w:p w14:paraId="6EF9E50C" w14:textId="77777777" w:rsidR="00F453AE" w:rsidRPr="002A6F85" w:rsidRDefault="00F453AE" w:rsidP="00871BC8">
            <w:pPr>
              <w:jc w:val="right"/>
              <w:rPr>
                <w:sz w:val="20"/>
              </w:rPr>
            </w:pPr>
            <w:r w:rsidRPr="002A6F85">
              <w:rPr>
                <w:sz w:val="20"/>
                <w:lang w:eastAsia="lv-LV"/>
              </w:rPr>
              <w:t xml:space="preserve">PVN </w:t>
            </w:r>
            <w:r w:rsidRPr="001D0D67">
              <w:rPr>
                <w:sz w:val="20"/>
                <w:lang w:eastAsia="lv-LV"/>
              </w:rPr>
              <w:t xml:space="preserve">no attiecināmajām izmaksām </w:t>
            </w:r>
            <w:r w:rsidRPr="002A6F85">
              <w:rPr>
                <w:sz w:val="20"/>
                <w:lang w:eastAsia="lv-LV"/>
              </w:rPr>
              <w:t>(aptuvens aprēķins)</w:t>
            </w:r>
          </w:p>
        </w:tc>
        <w:tc>
          <w:tcPr>
            <w:tcW w:w="2255" w:type="dxa"/>
            <w:vAlign w:val="center"/>
          </w:tcPr>
          <w:p w14:paraId="03D4F0FA" w14:textId="19FBFC8F" w:rsidR="00F453AE" w:rsidRPr="00A47E9C" w:rsidRDefault="00F453AE" w:rsidP="00871BC8">
            <w:pPr>
              <w:jc w:val="center"/>
              <w:rPr>
                <w:sz w:val="20"/>
              </w:rPr>
            </w:pPr>
            <w:r w:rsidRPr="001D0D67">
              <w:rPr>
                <w:sz w:val="20"/>
              </w:rPr>
              <w:t>20</w:t>
            </w:r>
            <w:r>
              <w:rPr>
                <w:sz w:val="20"/>
              </w:rPr>
              <w:t xml:space="preserve"> </w:t>
            </w:r>
            <w:r w:rsidRPr="001D0D67">
              <w:rPr>
                <w:sz w:val="20"/>
              </w:rPr>
              <w:t>54</w:t>
            </w:r>
            <w:r>
              <w:rPr>
                <w:sz w:val="20"/>
              </w:rPr>
              <w:t>7</w:t>
            </w:r>
          </w:p>
        </w:tc>
        <w:tc>
          <w:tcPr>
            <w:tcW w:w="3202" w:type="dxa"/>
            <w:vAlign w:val="center"/>
          </w:tcPr>
          <w:p w14:paraId="1B2D64CA" w14:textId="77777777" w:rsidR="00F453AE" w:rsidRPr="002A6F85" w:rsidRDefault="00F453AE" w:rsidP="00871BC8">
            <w:pPr>
              <w:jc w:val="center"/>
              <w:rPr>
                <w:sz w:val="20"/>
              </w:rPr>
            </w:pPr>
          </w:p>
        </w:tc>
      </w:tr>
      <w:tr w:rsidR="00F453AE" w:rsidRPr="002A6F85" w14:paraId="183CF445" w14:textId="77777777" w:rsidTr="000A03C6">
        <w:trPr>
          <w:trHeight w:val="221"/>
        </w:trPr>
        <w:tc>
          <w:tcPr>
            <w:tcW w:w="4149" w:type="dxa"/>
            <w:vAlign w:val="center"/>
          </w:tcPr>
          <w:p w14:paraId="5150773D" w14:textId="77777777" w:rsidR="00F453AE" w:rsidRPr="002A6F85" w:rsidRDefault="00F453AE" w:rsidP="00871BC8">
            <w:pPr>
              <w:jc w:val="right"/>
              <w:rPr>
                <w:sz w:val="20"/>
              </w:rPr>
            </w:pPr>
            <w:r w:rsidRPr="002A6F85">
              <w:rPr>
                <w:sz w:val="20"/>
                <w:lang w:eastAsia="lv-LV"/>
              </w:rPr>
              <w:t>Neattiecināmās izmaksas</w:t>
            </w:r>
            <w:r>
              <w:rPr>
                <w:sz w:val="20"/>
                <w:lang w:eastAsia="lv-LV"/>
              </w:rPr>
              <w:t xml:space="preserve"> </w:t>
            </w:r>
            <w:r w:rsidRPr="001D0D67">
              <w:rPr>
                <w:sz w:val="20"/>
                <w:lang w:eastAsia="lv-LV"/>
              </w:rPr>
              <w:t>(t.sk. PVN)</w:t>
            </w:r>
          </w:p>
        </w:tc>
        <w:tc>
          <w:tcPr>
            <w:tcW w:w="2255" w:type="dxa"/>
            <w:vAlign w:val="center"/>
          </w:tcPr>
          <w:p w14:paraId="16FB3B7A" w14:textId="7C84724D" w:rsidR="00F453AE" w:rsidRPr="00A47E9C" w:rsidRDefault="00F453AE" w:rsidP="00871BC8">
            <w:pPr>
              <w:jc w:val="center"/>
              <w:rPr>
                <w:sz w:val="20"/>
              </w:rPr>
            </w:pPr>
            <w:r w:rsidRPr="001D0D67">
              <w:rPr>
                <w:sz w:val="20"/>
              </w:rPr>
              <w:t>9</w:t>
            </w:r>
            <w:r>
              <w:rPr>
                <w:sz w:val="20"/>
              </w:rPr>
              <w:t xml:space="preserve"> </w:t>
            </w:r>
            <w:r w:rsidRPr="001D0D67">
              <w:rPr>
                <w:sz w:val="20"/>
              </w:rPr>
              <w:t>63</w:t>
            </w:r>
            <w:r>
              <w:rPr>
                <w:sz w:val="20"/>
              </w:rPr>
              <w:t>2</w:t>
            </w:r>
          </w:p>
        </w:tc>
        <w:tc>
          <w:tcPr>
            <w:tcW w:w="3202" w:type="dxa"/>
            <w:vAlign w:val="center"/>
          </w:tcPr>
          <w:p w14:paraId="3F256268" w14:textId="77777777" w:rsidR="00F453AE" w:rsidRPr="002A6F85" w:rsidRDefault="00F453AE" w:rsidP="00871BC8">
            <w:pPr>
              <w:jc w:val="center"/>
              <w:rPr>
                <w:sz w:val="20"/>
              </w:rPr>
            </w:pPr>
          </w:p>
        </w:tc>
      </w:tr>
    </w:tbl>
    <w:p w14:paraId="7573AF4A" w14:textId="77777777" w:rsidR="00F453AE" w:rsidRDefault="00F453AE" w:rsidP="00F453AE">
      <w:pPr>
        <w:rPr>
          <w:color w:val="1F497D"/>
          <w:szCs w:val="24"/>
        </w:rPr>
      </w:pPr>
    </w:p>
    <w:p w14:paraId="72189ADF" w14:textId="77777777" w:rsidR="00F453AE" w:rsidRDefault="00F453AE" w:rsidP="00F453AE">
      <w:pPr>
        <w:spacing w:before="120" w:after="120" w:line="276" w:lineRule="auto"/>
        <w:jc w:val="both"/>
        <w:rPr>
          <w:rFonts w:eastAsia="Times New Roman" w:cs="Times New Roman"/>
          <w:color w:val="000000" w:themeColor="text1"/>
          <w:szCs w:val="24"/>
          <w:lang w:eastAsia="lv-LV"/>
        </w:rPr>
      </w:pPr>
      <w:r w:rsidRPr="002A6F85">
        <w:rPr>
          <w:rFonts w:eastAsia="Times New Roman" w:cs="Times New Roman"/>
          <w:color w:val="000000" w:themeColor="text1"/>
          <w:szCs w:val="24"/>
          <w:lang w:eastAsia="lv-LV"/>
        </w:rPr>
        <w:t xml:space="preserve">Saskaņā ar elektroniski no EK saņemto informāciju, EK segs 80% no attiecīgā pasākuma attiecināmajām izmaksām. </w:t>
      </w:r>
    </w:p>
    <w:p w14:paraId="34FA59EB" w14:textId="55279E69" w:rsidR="00F453AE" w:rsidRPr="002A6F85" w:rsidRDefault="00F453AE" w:rsidP="00F453AE">
      <w:pPr>
        <w:spacing w:before="120" w:after="120" w:line="276" w:lineRule="auto"/>
        <w:jc w:val="both"/>
        <w:rPr>
          <w:rFonts w:eastAsia="Times New Roman" w:cs="Times New Roman"/>
          <w:color w:val="000000" w:themeColor="text1"/>
          <w:szCs w:val="24"/>
          <w:lang w:eastAsia="lv-LV"/>
        </w:rPr>
      </w:pPr>
      <w:r>
        <w:rPr>
          <w:rFonts w:eastAsia="Times New Roman" w:cs="Times New Roman"/>
          <w:color w:val="000000" w:themeColor="text1"/>
          <w:szCs w:val="24"/>
          <w:lang w:eastAsia="lv-LV"/>
        </w:rPr>
        <w:t xml:space="preserve">Kā tas ir minēts augstāk, </w:t>
      </w:r>
      <w:r w:rsidRPr="002A6F85">
        <w:rPr>
          <w:rFonts w:eastAsia="Times New Roman" w:cs="Times New Roman"/>
          <w:color w:val="000000" w:themeColor="text1"/>
          <w:szCs w:val="24"/>
          <w:lang w:eastAsia="lv-LV"/>
        </w:rPr>
        <w:t xml:space="preserve">2015.gada maijā </w:t>
      </w:r>
      <w:r>
        <w:rPr>
          <w:rFonts w:eastAsia="Times New Roman" w:cs="Times New Roman"/>
          <w:color w:val="000000" w:themeColor="text1"/>
          <w:szCs w:val="24"/>
          <w:lang w:eastAsia="lv-LV"/>
        </w:rPr>
        <w:t xml:space="preserve">EK tiks </w:t>
      </w:r>
      <w:r w:rsidRPr="002A6F85">
        <w:rPr>
          <w:rFonts w:eastAsia="Times New Roman" w:cs="Times New Roman"/>
          <w:color w:val="000000" w:themeColor="text1"/>
          <w:szCs w:val="24"/>
          <w:lang w:eastAsia="lv-LV"/>
        </w:rPr>
        <w:t>iesniegt</w:t>
      </w:r>
      <w:r>
        <w:rPr>
          <w:rFonts w:eastAsia="Times New Roman" w:cs="Times New Roman"/>
          <w:color w:val="000000" w:themeColor="text1"/>
          <w:szCs w:val="24"/>
          <w:lang w:eastAsia="lv-LV"/>
        </w:rPr>
        <w:t>s</w:t>
      </w:r>
      <w:r w:rsidRPr="002A6F85">
        <w:rPr>
          <w:rFonts w:eastAsia="Times New Roman" w:cs="Times New Roman"/>
          <w:color w:val="000000" w:themeColor="text1"/>
          <w:szCs w:val="24"/>
          <w:lang w:eastAsia="lv-LV"/>
        </w:rPr>
        <w:t xml:space="preserve"> atbalsta pieteikum</w:t>
      </w:r>
      <w:r>
        <w:rPr>
          <w:rFonts w:eastAsia="Times New Roman" w:cs="Times New Roman"/>
          <w:color w:val="000000" w:themeColor="text1"/>
          <w:szCs w:val="24"/>
          <w:lang w:eastAsia="lv-LV"/>
        </w:rPr>
        <w:t>s un parakstītas līgums, pēc kā tiks ieskaitīs avanss – 50% no ES līdzfinansējuma daļas (</w:t>
      </w:r>
      <w:r w:rsidRPr="00ED20D3">
        <w:rPr>
          <w:rFonts w:eastAsia="Times New Roman" w:cs="Times New Roman"/>
          <w:color w:val="000000" w:themeColor="text1"/>
          <w:szCs w:val="24"/>
          <w:lang w:eastAsia="lv-LV"/>
        </w:rPr>
        <w:t>87</w:t>
      </w:r>
      <w:r>
        <w:rPr>
          <w:rFonts w:eastAsia="Times New Roman" w:cs="Times New Roman"/>
          <w:color w:val="000000" w:themeColor="text1"/>
          <w:szCs w:val="24"/>
          <w:lang w:eastAsia="lv-LV"/>
        </w:rPr>
        <w:t xml:space="preserve"> </w:t>
      </w:r>
      <w:r w:rsidRPr="00ED20D3">
        <w:rPr>
          <w:rFonts w:eastAsia="Times New Roman" w:cs="Times New Roman"/>
          <w:color w:val="000000" w:themeColor="text1"/>
          <w:szCs w:val="24"/>
          <w:lang w:eastAsia="lv-LV"/>
        </w:rPr>
        <w:t>43</w:t>
      </w:r>
      <w:r>
        <w:rPr>
          <w:rFonts w:eastAsia="Times New Roman" w:cs="Times New Roman"/>
          <w:color w:val="000000" w:themeColor="text1"/>
          <w:szCs w:val="24"/>
          <w:lang w:eastAsia="lv-LV"/>
        </w:rPr>
        <w:t>6</w:t>
      </w:r>
      <w:r w:rsidR="00D213B9">
        <w:rPr>
          <w:rFonts w:eastAsia="Times New Roman" w:cs="Times New Roman"/>
          <w:color w:val="000000" w:themeColor="text1"/>
          <w:szCs w:val="24"/>
          <w:lang w:eastAsia="lv-LV"/>
        </w:rPr>
        <w:t xml:space="preserve"> </w:t>
      </w:r>
      <w:r w:rsidR="00D213B9" w:rsidRPr="00D213B9">
        <w:rPr>
          <w:rFonts w:eastAsia="Times New Roman" w:cs="Times New Roman"/>
          <w:i/>
          <w:color w:val="000000" w:themeColor="text1"/>
          <w:szCs w:val="24"/>
          <w:lang w:eastAsia="lv-LV"/>
        </w:rPr>
        <w:t>euro</w:t>
      </w:r>
      <w:r>
        <w:rPr>
          <w:rFonts w:eastAsia="Times New Roman" w:cs="Times New Roman"/>
          <w:color w:val="000000" w:themeColor="text1"/>
          <w:szCs w:val="24"/>
          <w:lang w:eastAsia="lv-LV"/>
        </w:rPr>
        <w:t xml:space="preserve">), pārējais ES līdzfinansējums tiks ieskaitīts pēc faktisko izdevumui veikšanas un maksājuma pieprasījuma iesniegšanas Eiropas Komisijā. </w:t>
      </w:r>
    </w:p>
    <w:p w14:paraId="03585E6C" w14:textId="77777777" w:rsidR="00F453AE" w:rsidRPr="002A6F85" w:rsidRDefault="00F453AE" w:rsidP="00F453AE">
      <w:pPr>
        <w:spacing w:before="120" w:after="120" w:line="276" w:lineRule="auto"/>
        <w:jc w:val="both"/>
        <w:rPr>
          <w:rFonts w:eastAsia="Times New Roman" w:cs="Times New Roman"/>
          <w:color w:val="000000" w:themeColor="text1"/>
          <w:szCs w:val="24"/>
          <w:lang w:eastAsia="lv-LV"/>
        </w:rPr>
      </w:pPr>
      <w:r w:rsidRPr="002A6F85">
        <w:rPr>
          <w:rFonts w:eastAsia="Times New Roman" w:cs="Times New Roman"/>
          <w:color w:val="000000" w:themeColor="text1"/>
          <w:szCs w:val="24"/>
          <w:lang w:eastAsia="lv-LV"/>
        </w:rPr>
        <w:t>Attiecībā uz dalībnieku skaitu, kas kopā veido 189 personas, aprēķins balstās uz Eiropas Komisijas sniegto informāciju:</w:t>
      </w:r>
    </w:p>
    <w:p w14:paraId="702B04BC" w14:textId="77777777" w:rsidR="00F453AE" w:rsidRPr="002A6F85" w:rsidRDefault="00F453AE" w:rsidP="00F453AE">
      <w:pPr>
        <w:pStyle w:val="ListParagraph"/>
        <w:numPr>
          <w:ilvl w:val="0"/>
          <w:numId w:val="24"/>
        </w:numPr>
        <w:spacing w:before="120" w:after="120" w:line="276" w:lineRule="auto"/>
        <w:jc w:val="both"/>
        <w:rPr>
          <w:rFonts w:eastAsia="Times New Roman" w:cs="Times New Roman"/>
          <w:color w:val="000000" w:themeColor="text1"/>
          <w:szCs w:val="24"/>
          <w:lang w:eastAsia="lv-LV"/>
        </w:rPr>
      </w:pPr>
      <w:r w:rsidRPr="002A6F85">
        <w:rPr>
          <w:rFonts w:eastAsia="Times New Roman" w:cs="Times New Roman"/>
          <w:color w:val="000000" w:themeColor="text1"/>
          <w:szCs w:val="24"/>
          <w:lang w:eastAsia="lv-LV"/>
        </w:rPr>
        <w:t>ES Dalībvalsts pārstāvji – 103 (tiek segtas visas izmaksas);</w:t>
      </w:r>
    </w:p>
    <w:p w14:paraId="3D61A6A5" w14:textId="77777777" w:rsidR="00F453AE" w:rsidRPr="002A6F85" w:rsidRDefault="00F453AE" w:rsidP="00F453AE">
      <w:pPr>
        <w:pStyle w:val="ListParagraph"/>
        <w:numPr>
          <w:ilvl w:val="0"/>
          <w:numId w:val="24"/>
        </w:numPr>
        <w:spacing w:before="120" w:after="120" w:line="276" w:lineRule="auto"/>
        <w:jc w:val="both"/>
        <w:rPr>
          <w:rFonts w:eastAsia="Times New Roman" w:cs="Times New Roman"/>
          <w:color w:val="000000" w:themeColor="text1"/>
          <w:szCs w:val="24"/>
          <w:lang w:eastAsia="lv-LV"/>
        </w:rPr>
      </w:pPr>
      <w:r w:rsidRPr="002A6F85">
        <w:rPr>
          <w:rFonts w:eastAsia="Times New Roman" w:cs="Times New Roman"/>
          <w:color w:val="000000" w:themeColor="text1"/>
          <w:szCs w:val="24"/>
          <w:lang w:eastAsia="lv-LV"/>
        </w:rPr>
        <w:t>EK un ERP pārstāvji – 35 (tiek segti tikai ēšanas un izklaides pasākumu izdevumi);</w:t>
      </w:r>
    </w:p>
    <w:p w14:paraId="6642D5A4" w14:textId="77777777" w:rsidR="00F453AE" w:rsidRPr="002A6F85" w:rsidRDefault="00F453AE" w:rsidP="00F453AE">
      <w:pPr>
        <w:pStyle w:val="ListParagraph"/>
        <w:numPr>
          <w:ilvl w:val="0"/>
          <w:numId w:val="24"/>
        </w:numPr>
        <w:spacing w:before="120" w:after="120" w:line="276" w:lineRule="auto"/>
        <w:jc w:val="both"/>
        <w:rPr>
          <w:rFonts w:eastAsia="Times New Roman" w:cs="Times New Roman"/>
          <w:color w:val="000000" w:themeColor="text1"/>
          <w:szCs w:val="24"/>
          <w:lang w:eastAsia="lv-LV"/>
        </w:rPr>
      </w:pPr>
      <w:r w:rsidRPr="002A6F85">
        <w:rPr>
          <w:rFonts w:eastAsia="Times New Roman" w:cs="Times New Roman"/>
          <w:color w:val="000000" w:themeColor="text1"/>
          <w:szCs w:val="24"/>
          <w:lang w:eastAsia="lv-LV"/>
        </w:rPr>
        <w:t>Tulki – 21 (tiek segti tikai izdevumi par pusdienām un kafijas pauzēm);</w:t>
      </w:r>
    </w:p>
    <w:p w14:paraId="2D0ADC48" w14:textId="77777777" w:rsidR="00F453AE" w:rsidRPr="00E63549" w:rsidRDefault="00F453AE" w:rsidP="00F453AE">
      <w:pPr>
        <w:pStyle w:val="ListParagraph"/>
        <w:numPr>
          <w:ilvl w:val="0"/>
          <w:numId w:val="24"/>
        </w:numPr>
        <w:spacing w:before="120" w:after="120" w:line="276" w:lineRule="auto"/>
        <w:jc w:val="both"/>
        <w:rPr>
          <w:rFonts w:eastAsia="Times New Roman" w:cs="Times New Roman"/>
          <w:color w:val="000000" w:themeColor="text1"/>
          <w:szCs w:val="24"/>
          <w:lang w:eastAsia="lv-LV"/>
        </w:rPr>
      </w:pPr>
      <w:r w:rsidRPr="002A6F85">
        <w:rPr>
          <w:rFonts w:eastAsia="Times New Roman" w:cs="Times New Roman"/>
          <w:color w:val="000000" w:themeColor="text1"/>
          <w:szCs w:val="24"/>
          <w:lang w:eastAsia="lv-LV"/>
        </w:rPr>
        <w:t>Latvijas dalībnieki – 30 (tiek segti tikai izdevumi par pusdienām un kafijas pauzēm)</w:t>
      </w:r>
      <w:r>
        <w:rPr>
          <w:rFonts w:eastAsia="Times New Roman" w:cs="Times New Roman"/>
          <w:color w:val="000000" w:themeColor="text1"/>
          <w:szCs w:val="24"/>
          <w:lang w:eastAsia="lv-LV"/>
        </w:rPr>
        <w:t>.</w:t>
      </w:r>
    </w:p>
    <w:p w14:paraId="14B1789F" w14:textId="5E603C0E" w:rsidR="00F453AE" w:rsidRPr="00B06070" w:rsidRDefault="00F453AE" w:rsidP="00F453AE">
      <w:pPr>
        <w:spacing w:after="200" w:line="276" w:lineRule="auto"/>
        <w:jc w:val="both"/>
        <w:rPr>
          <w:rFonts w:cs="Times New Roman"/>
          <w:sz w:val="26"/>
          <w:szCs w:val="26"/>
        </w:rPr>
      </w:pPr>
      <w:r>
        <w:rPr>
          <w:szCs w:val="24"/>
        </w:rPr>
        <w:t>Ņemot vērā augrāk minēto informāciju, a</w:t>
      </w:r>
      <w:r w:rsidRPr="00B06070">
        <w:rPr>
          <w:szCs w:val="24"/>
        </w:rPr>
        <w:t xml:space="preserve">tļaut </w:t>
      </w:r>
      <w:r>
        <w:rPr>
          <w:szCs w:val="24"/>
        </w:rPr>
        <w:t>FM</w:t>
      </w:r>
      <w:r w:rsidRPr="00B06070">
        <w:rPr>
          <w:szCs w:val="24"/>
        </w:rPr>
        <w:t xml:space="preserve"> uzņemties saistības un veikt nepieciešamās darbības, lai veiktu 24. Ikgadējās augsta līmeņa Eiropas Savienības fondu auditoru sanāksmes (</w:t>
      </w:r>
      <w:r w:rsidRPr="00B06070">
        <w:rPr>
          <w:i/>
          <w:iCs/>
          <w:szCs w:val="24"/>
        </w:rPr>
        <w:t>24th Annual Meeting of European Auditors of Structural Funds (The Homologues Group</w:t>
      </w:r>
      <w:r w:rsidRPr="00B06070">
        <w:rPr>
          <w:szCs w:val="24"/>
        </w:rPr>
        <w:t>) uzņemošās valsts uzdevumus, paredzot, ka nacionālā līdzfinansējuma apmērs nepārsniedz 20% (izņemot pievienotās vērtības nodokli, ja tas projekta ietvaros nav attiecināms) no kopējām projekta (pasākuma) izmaksām. Finansējumu sanāksmes organizēšanai 73 8</w:t>
      </w:r>
      <w:r>
        <w:rPr>
          <w:szCs w:val="24"/>
        </w:rPr>
        <w:t>97</w:t>
      </w:r>
      <w:r w:rsidRPr="00B06070">
        <w:rPr>
          <w:szCs w:val="24"/>
        </w:rPr>
        <w:t xml:space="preserve"> </w:t>
      </w:r>
      <w:r w:rsidRPr="00B06070">
        <w:rPr>
          <w:i/>
          <w:szCs w:val="24"/>
        </w:rPr>
        <w:t>euro</w:t>
      </w:r>
      <w:r w:rsidRPr="00B06070">
        <w:rPr>
          <w:szCs w:val="24"/>
        </w:rPr>
        <w:t xml:space="preserve"> apmērā, t.sk. </w:t>
      </w:r>
      <w:r w:rsidR="0070651F">
        <w:rPr>
          <w:szCs w:val="24"/>
        </w:rPr>
        <w:t>Latvijas</w:t>
      </w:r>
      <w:r>
        <w:rPr>
          <w:szCs w:val="24"/>
        </w:rPr>
        <w:t xml:space="preserve"> līdzfinansējums </w:t>
      </w:r>
      <w:r w:rsidRPr="00487DD8">
        <w:rPr>
          <w:szCs w:val="24"/>
        </w:rPr>
        <w:t>43</w:t>
      </w:r>
      <w:r>
        <w:rPr>
          <w:szCs w:val="24"/>
        </w:rPr>
        <w:t> </w:t>
      </w:r>
      <w:r w:rsidRPr="00487DD8">
        <w:rPr>
          <w:szCs w:val="24"/>
        </w:rPr>
        <w:t>718</w:t>
      </w:r>
      <w:r>
        <w:rPr>
          <w:bCs/>
          <w:sz w:val="20"/>
          <w:szCs w:val="20"/>
          <w:lang w:eastAsia="lv-LV"/>
        </w:rPr>
        <w:t xml:space="preserve"> </w:t>
      </w:r>
      <w:r w:rsidRPr="00B06070">
        <w:rPr>
          <w:i/>
          <w:szCs w:val="24"/>
        </w:rPr>
        <w:t>euro</w:t>
      </w:r>
      <w:r>
        <w:rPr>
          <w:i/>
          <w:szCs w:val="24"/>
        </w:rPr>
        <w:t>,</w:t>
      </w:r>
      <w:r w:rsidRPr="00B06070">
        <w:rPr>
          <w:szCs w:val="24"/>
        </w:rPr>
        <w:t xml:space="preserve"> neattiecinā</w:t>
      </w:r>
      <w:r>
        <w:rPr>
          <w:szCs w:val="24"/>
        </w:rPr>
        <w:t>s</w:t>
      </w:r>
      <w:r w:rsidRPr="00B06070">
        <w:rPr>
          <w:szCs w:val="24"/>
        </w:rPr>
        <w:t xml:space="preserve"> izmaks</w:t>
      </w:r>
      <w:r>
        <w:rPr>
          <w:szCs w:val="24"/>
        </w:rPr>
        <w:t>as</w:t>
      </w:r>
      <w:r w:rsidRPr="00B06070">
        <w:rPr>
          <w:szCs w:val="24"/>
        </w:rPr>
        <w:t xml:space="preserve"> </w:t>
      </w:r>
      <w:r w:rsidR="0070651F">
        <w:rPr>
          <w:szCs w:val="24"/>
        </w:rPr>
        <w:t>9 632</w:t>
      </w:r>
      <w:r>
        <w:rPr>
          <w:szCs w:val="24"/>
        </w:rPr>
        <w:t xml:space="preserve"> </w:t>
      </w:r>
      <w:r w:rsidRPr="00B06070">
        <w:rPr>
          <w:i/>
          <w:szCs w:val="24"/>
        </w:rPr>
        <w:t>euro</w:t>
      </w:r>
      <w:r w:rsidRPr="00B06070">
        <w:rPr>
          <w:szCs w:val="24"/>
        </w:rPr>
        <w:t xml:space="preserve"> </w:t>
      </w:r>
      <w:r>
        <w:rPr>
          <w:szCs w:val="24"/>
        </w:rPr>
        <w:t xml:space="preserve">un </w:t>
      </w:r>
      <w:r w:rsidRPr="00B06070">
        <w:rPr>
          <w:szCs w:val="24"/>
        </w:rPr>
        <w:t>pievienotās vērtības nodokli</w:t>
      </w:r>
      <w:r>
        <w:rPr>
          <w:szCs w:val="24"/>
        </w:rPr>
        <w:t xml:space="preserve">s </w:t>
      </w:r>
      <w:r w:rsidRPr="00ED20D3">
        <w:rPr>
          <w:szCs w:val="24"/>
        </w:rPr>
        <w:t>20</w:t>
      </w:r>
      <w:r w:rsidR="0070651F">
        <w:rPr>
          <w:szCs w:val="24"/>
        </w:rPr>
        <w:t> 547</w:t>
      </w:r>
      <w:r w:rsidRPr="00B06070">
        <w:rPr>
          <w:szCs w:val="24"/>
        </w:rPr>
        <w:t xml:space="preserve"> </w:t>
      </w:r>
      <w:r w:rsidRPr="00B06070">
        <w:rPr>
          <w:i/>
          <w:szCs w:val="24"/>
        </w:rPr>
        <w:t>euro</w:t>
      </w:r>
      <w:r>
        <w:rPr>
          <w:rStyle w:val="FootnoteReference"/>
          <w:szCs w:val="24"/>
        </w:rPr>
        <w:footnoteReference w:id="45"/>
      </w:r>
      <w:r>
        <w:rPr>
          <w:szCs w:val="24"/>
        </w:rPr>
        <w:t>,</w:t>
      </w:r>
      <w:r w:rsidRPr="00B06070">
        <w:rPr>
          <w:szCs w:val="24"/>
        </w:rPr>
        <w:t xml:space="preserve"> normatīvajos aktos noteiktajā kārtībā nodrošināt no 74.resora "Gadskārtējā valsts budžeta izpildes procesā pārdalāmais fi</w:t>
      </w:r>
      <w:r>
        <w:rPr>
          <w:szCs w:val="24"/>
        </w:rPr>
        <w:t>nansējums" 80.00.00 programmas “</w:t>
      </w:r>
      <w:r w:rsidRPr="00B06070">
        <w:rPr>
          <w:szCs w:val="24"/>
        </w:rPr>
        <w:t xml:space="preserve">Nesadalītais finansējums Eiropas </w:t>
      </w:r>
      <w:r w:rsidRPr="00B06070">
        <w:rPr>
          <w:szCs w:val="24"/>
        </w:rPr>
        <w:lastRenderedPageBreak/>
        <w:t>Savienības politiku instrumentu un pārējās ārvalstu finanšu palīdzības līdzfinansēto projektu un pasākumu īstenošanai</w:t>
      </w:r>
      <w:r>
        <w:rPr>
          <w:szCs w:val="24"/>
        </w:rPr>
        <w:t>”</w:t>
      </w:r>
      <w:r w:rsidRPr="00B06070">
        <w:rPr>
          <w:szCs w:val="24"/>
        </w:rPr>
        <w:t>.</w:t>
      </w:r>
    </w:p>
    <w:p w14:paraId="66934F48" w14:textId="68D5C59A" w:rsidR="00EF11A8" w:rsidRPr="00B57653" w:rsidRDefault="00F453AE" w:rsidP="00C90EB0">
      <w:pPr>
        <w:spacing w:line="276" w:lineRule="auto"/>
        <w:jc w:val="both"/>
      </w:pPr>
      <w:r>
        <w:rPr>
          <w:szCs w:val="24"/>
        </w:rPr>
        <w:t>FM</w:t>
      </w:r>
      <w:r w:rsidRPr="00B06070">
        <w:rPr>
          <w:szCs w:val="24"/>
        </w:rPr>
        <w:t>  ieskaita valsts pamatbudžeta ieņēmumos  pēcmaksājumā saņemto finansējumu. Atmaksa valsts pamatbudžetam tiek plānota 2015. vai 2016.gada budžetā atbilstoši noslēgtajiem līdzfinansējuma līgumiem.</w:t>
      </w:r>
    </w:p>
    <w:p w14:paraId="5E467A18" w14:textId="793A4358" w:rsidR="00173F21" w:rsidRDefault="003106BA" w:rsidP="00C04510">
      <w:pPr>
        <w:pStyle w:val="1lmenis"/>
      </w:pPr>
      <w:bookmarkStart w:id="40" w:name="_Toc412729449"/>
      <w:r w:rsidRPr="00B57653">
        <w:t xml:space="preserve">2007-2013.gada plānošanas perioda </w:t>
      </w:r>
      <w:r w:rsidR="00173F21" w:rsidRPr="00B57653">
        <w:t>ES fondu izvērtēšanas jautājumi</w:t>
      </w:r>
      <w:bookmarkEnd w:id="40"/>
    </w:p>
    <w:p w14:paraId="5A2F07AF" w14:textId="77777777" w:rsidR="00DD277F" w:rsidRPr="00B57653" w:rsidRDefault="00DD277F" w:rsidP="00DD277F">
      <w:pPr>
        <w:spacing w:before="120" w:after="120" w:line="276" w:lineRule="auto"/>
        <w:jc w:val="both"/>
      </w:pPr>
      <w:r w:rsidRPr="00B57653">
        <w:t>2014.gadā VI ir piedalījusies un organizējusi vairākas aktivitātes saistībā ar ES fondu izvērtēšanu.</w:t>
      </w:r>
    </w:p>
    <w:p w14:paraId="59469FFC" w14:textId="77777777" w:rsidR="00DD277F" w:rsidRPr="00B57653" w:rsidRDefault="00DD277F" w:rsidP="00DD277F">
      <w:pPr>
        <w:spacing w:before="120" w:after="120" w:line="276" w:lineRule="auto"/>
        <w:jc w:val="both"/>
      </w:pPr>
      <w:r w:rsidRPr="00B57653">
        <w:t xml:space="preserve">2014. gada martā ir ticis noslēgts </w:t>
      </w:r>
      <w:r w:rsidRPr="00B57653">
        <w:rPr>
          <w:i/>
        </w:rPr>
        <w:t>ES Kohēzijas politikas fondu darbības programmas 2014.- 2020.gadam ex-ante izvērtējums</w:t>
      </w:r>
      <w:r w:rsidRPr="00B57653">
        <w:t>. Izvērtējums veikts atbilstoši Eiropas Parlamenta un Padomes regula (ES) Nr. 1303/2013 noteiktajam.</w:t>
      </w:r>
      <w:r w:rsidRPr="00B57653">
        <w:rPr>
          <w:rStyle w:val="FootnoteReference"/>
        </w:rPr>
        <w:footnoteReference w:id="46"/>
      </w:r>
      <w:r w:rsidRPr="00B57653">
        <w:t xml:space="preserve"> Izvērtējuma ietvaros izvērtēti 2014.-2020.gada plānošanas perioda DP “Izaugsme un nodarbinātība” projekti. Atbilstoši veiktajiem precizējumiem veikti precizējumi DP, tādējādi nodrošinot veicamo darbību saskaņotību ar sasniedzamajiem mērķiem un tiem paredzēto finansējumu.</w:t>
      </w:r>
    </w:p>
    <w:p w14:paraId="05747778" w14:textId="77777777" w:rsidR="00DD277F" w:rsidRPr="00B57653" w:rsidRDefault="00DD277F" w:rsidP="00DD277F">
      <w:pPr>
        <w:spacing w:before="120" w:after="120" w:line="276" w:lineRule="auto"/>
        <w:jc w:val="both"/>
      </w:pPr>
      <w:r w:rsidRPr="00B57653">
        <w:t>Savukārt, lai nodrošinātu, ka DP “Izaugsme un nodarbinātība” ieguldījums ir skaidri izmērāms un novērtējams, VI pasūtīja izvērtējumu datu pieejamības novērtēšanai. Izvērtējuma “</w:t>
      </w:r>
      <w:r w:rsidRPr="00B57653">
        <w:rPr>
          <w:i/>
        </w:rPr>
        <w:t>Datu pieejamība ES Kohēzijas politikas 2014. – 2020.gada plānošanas perioda Darbības programmas ietekmes izvērtēšanai Latvijā</w:t>
      </w:r>
      <w:r w:rsidRPr="00B57653">
        <w:t>” gala nodevums pieņemts 2014.gada janvārī. Izvērtējuma ietvaros datu pieejamības jautājums aplūkots ņemot vērā juridiskos, finansiālos un administratīvā sloga aspektus, kā arī izstrādāti priekšlikumi, lai nodrošinātu efektīvu un kvalitatīvu ES fondu ieguldījumu izvērtēšanas procesu.</w:t>
      </w:r>
    </w:p>
    <w:p w14:paraId="6017DFCD" w14:textId="787E2ED8" w:rsidR="00DD277F" w:rsidRPr="00B57653" w:rsidRDefault="00DD277F" w:rsidP="00DD277F">
      <w:pPr>
        <w:spacing w:before="120" w:after="120" w:line="276" w:lineRule="auto"/>
        <w:jc w:val="both"/>
      </w:pPr>
      <w:r w:rsidRPr="00B57653">
        <w:t>Papildus 2014.gadā ir uzsākts darbs pie divu jaunu izvērtējumu izstrādes. Uzsākts VKanc administrētais izvērtējums „</w:t>
      </w:r>
      <w:r w:rsidRPr="00B57653">
        <w:rPr>
          <w:i/>
        </w:rPr>
        <w:t>Darbības programmas „Cilvēkresursi un nodarbinātība” un tās papildinājuma ietvaros īstenoto pasākumu 1.5.1. „Labāka regulējuma politika” un 1.5.2. „Cilvēkresursu kapacitātes stiprināšana” ieviešanas ietekmes izvērtējums 2007.-2013.gada plānošanas periodā”.</w:t>
      </w:r>
      <w:r w:rsidRPr="00B57653">
        <w:t xml:space="preserve"> Tāpat 2014.gadā ir uzsākts darbs pie </w:t>
      </w:r>
      <w:r w:rsidR="00B93476">
        <w:t xml:space="preserve">FM administrētā </w:t>
      </w:r>
      <w:r w:rsidRPr="00B57653">
        <w:t xml:space="preserve">izvērtējuma </w:t>
      </w:r>
      <w:r w:rsidRPr="00B57653">
        <w:rPr>
          <w:i/>
        </w:rPr>
        <w:t xml:space="preserve">„Vienkāršoto izmaksu, t.i. netiešo izmaksu nemainīgās (flat-rate) likmes, vienas vienības izmaksu, kopsummas maksājumu, piemērošanas analīze un metodoloģijas izstrāde piemērošanai ES fondu 2014. – 2020.gada plānošanas periodā”. </w:t>
      </w:r>
      <w:r w:rsidR="00B93476">
        <w:t xml:space="preserve">FM administrētā izvērtējuma gala nodevums plānots 2015. gada februārī, savukārt VKanc izvērtējumu </w:t>
      </w:r>
      <w:r w:rsidRPr="00B57653">
        <w:t>plānot</w:t>
      </w:r>
      <w:r w:rsidR="00B93476">
        <w:t>s noslēgt</w:t>
      </w:r>
      <w:r w:rsidRPr="00B57653">
        <w:t xml:space="preserve"> 2015.gada </w:t>
      </w:r>
      <w:r w:rsidR="00B93476">
        <w:t>2 ceturksnī.</w:t>
      </w:r>
    </w:p>
    <w:p w14:paraId="0EF1B7EF" w14:textId="77777777" w:rsidR="00DD277F" w:rsidRPr="00B57653" w:rsidRDefault="00DD277F" w:rsidP="00DD277F">
      <w:pPr>
        <w:spacing w:before="120" w:after="120" w:line="276" w:lineRule="auto"/>
        <w:jc w:val="both"/>
      </w:pPr>
      <w:r w:rsidRPr="00B57653">
        <w:t xml:space="preserve">Lai stiprinātu izvērtēšanas institucionālo kapacitāti 2014.gada jūlijā ir veikta VI ES fondu stratēģijas departamenta reorganizācija. Stratēģiskās plānošanas nodaļas vietā ir izveidota specializēta Izvērtēšanas nodaļa, kurā izvērtēšanas funkcijas nodrošināšanai ir paredzētas 5 pilnas slodzes štata vietas. Izveidojot jauno struktūrvienību, saglabāti cilvēkresursi, kuri iepriekš strādājuši ar izvērtēšanas jautājumiem, tādējādi nodrošinot profesionālo </w:t>
      </w:r>
      <w:r w:rsidRPr="00B57653">
        <w:lastRenderedPageBreak/>
        <w:t>kompetenču saglabāšanu. Veiktās reorganizācijas ietvaros paredzams izvērtēšanas kapacitātes pieaugums, kas ir nepieciešams, lai nodrošinātu pieaugošās prasības attiecībā uz izvērtēšanas apjomu, ko nosaka Eiropas Parlamenta un Padomes regula (ES) Nr. 1303/2013.</w:t>
      </w:r>
      <w:r w:rsidRPr="00B57653">
        <w:rPr>
          <w:rStyle w:val="FootnoteReference"/>
        </w:rPr>
        <w:footnoteReference w:id="47"/>
      </w:r>
    </w:p>
    <w:p w14:paraId="6A29F3FC" w14:textId="77777777" w:rsidR="00DD277F" w:rsidRPr="00B57653" w:rsidRDefault="00DD277F" w:rsidP="00DD277F">
      <w:pPr>
        <w:spacing w:before="120" w:after="120" w:line="276" w:lineRule="auto"/>
        <w:jc w:val="both"/>
      </w:pPr>
      <w:r w:rsidRPr="00B57653">
        <w:t xml:space="preserve">Strādājot pie izvērtējumu kvalitātes un rekomendāciju pielietojamības paaugstināšanas, VI ir izstrādājusi priekšlikumus izvērtējumu kvalitātes uzraudzības procesa pilnveidei. VI ir paplašinājusi rīkojumu par Konsultatīvās izvērtēšanas darba grupas sastāvu iesaistot galvenos sabiedrības partnerus, kuri iesaistīti ES fondu ieviešanā. Papildus tiks palielināta UK iesaiste izvērtējumu rekomendāciju izvērtēšanā un to ieviešanas uzraudzībā. Izvērtējuma ziņojumu rekomendācijas plānots izskatīt UK apakškomitejās, kur tiks pieņemts lēmums par rekomendāciju iekļaušanu rekomendāciju ieviešanas plānā. </w:t>
      </w:r>
    </w:p>
    <w:p w14:paraId="030BB4DD" w14:textId="6BF5014D" w:rsidR="00DD277F" w:rsidRDefault="00DD277F" w:rsidP="00296430">
      <w:pPr>
        <w:spacing w:after="240" w:line="276" w:lineRule="auto"/>
        <w:jc w:val="both"/>
      </w:pPr>
      <w:r w:rsidRPr="00B57653">
        <w:t>Cilvēkresursu kapacitātes stiprināšanai FM un VKanc 201</w:t>
      </w:r>
      <w:r w:rsidR="009C497F">
        <w:t>4</w:t>
      </w:r>
      <w:r w:rsidRPr="00B57653">
        <w:t>.gadā ir organizējusi 2 apmācības par izvērtēšanas metodēm. 2014.gada jūnijā FM organizēja apmācības par kontrfaktuālajām izvērtēšanas metodēm. Apmācību procesu nodrošināja EK Ietekmes novērtēšanas pētniecības centra eksperti un tajās piedalījās 40 ES fondu administrēšanā iesaistītie darbinieki. Savukārt, VKanc 2014.gada septembrī organizēja apmācības par teorijā balstītām izvērtēšanas metodēm un tajās piedalījās 14 dalībnieki, kuru darba pienākumi saistīti ar izvērtēšanas jautājumiem.</w:t>
      </w:r>
    </w:p>
    <w:p w14:paraId="2805650B" w14:textId="2C79B99C" w:rsidR="00DD277F" w:rsidRDefault="00C55F07" w:rsidP="00C04510">
      <w:pPr>
        <w:pStyle w:val="1lmenis"/>
      </w:pPr>
      <w:bookmarkStart w:id="41" w:name="_Toc412729450"/>
      <w:r>
        <w:t>ES fondu publicitātes pasākumu</w:t>
      </w:r>
      <w:r w:rsidR="00DD277F">
        <w:t xml:space="preserve"> aktualitātes</w:t>
      </w:r>
      <w:bookmarkEnd w:id="41"/>
      <w:r>
        <w:t xml:space="preserve"> </w:t>
      </w:r>
      <w:r w:rsidR="005E1817">
        <w:t xml:space="preserve"> </w:t>
      </w:r>
    </w:p>
    <w:p w14:paraId="285D1061" w14:textId="3E343C1C" w:rsidR="00D42CE0" w:rsidRPr="00D42CE0" w:rsidRDefault="00D42CE0" w:rsidP="003F1001">
      <w:pPr>
        <w:spacing w:before="120" w:after="120" w:line="276" w:lineRule="auto"/>
        <w:jc w:val="both"/>
        <w:rPr>
          <w:b/>
          <w:i/>
          <w:szCs w:val="24"/>
        </w:rPr>
      </w:pPr>
      <w:r w:rsidRPr="00D42CE0">
        <w:rPr>
          <w:b/>
          <w:i/>
          <w:szCs w:val="24"/>
        </w:rPr>
        <w:t>Sabiedriskās domas izvērtējums par iedzīvotāju informētību par E</w:t>
      </w:r>
      <w:r w:rsidR="00C55F07">
        <w:rPr>
          <w:b/>
          <w:i/>
          <w:szCs w:val="24"/>
        </w:rPr>
        <w:t>iropas Savienības fondiem 2014.</w:t>
      </w:r>
      <w:r w:rsidRPr="00D42CE0">
        <w:rPr>
          <w:b/>
          <w:i/>
          <w:szCs w:val="24"/>
        </w:rPr>
        <w:t>gadā</w:t>
      </w:r>
    </w:p>
    <w:p w14:paraId="154A33AE" w14:textId="140C1B59" w:rsidR="00D42CE0" w:rsidRPr="003661FD" w:rsidRDefault="00D42CE0" w:rsidP="00D42CE0">
      <w:pPr>
        <w:spacing w:before="120" w:after="120" w:line="276" w:lineRule="auto"/>
        <w:jc w:val="both"/>
        <w:rPr>
          <w:szCs w:val="24"/>
          <w:lang w:eastAsia="lv-LV"/>
        </w:rPr>
      </w:pPr>
      <w:r w:rsidRPr="003661FD">
        <w:rPr>
          <w:szCs w:val="24"/>
          <w:lang w:eastAsia="lv-LV"/>
        </w:rPr>
        <w:t xml:space="preserve">Sabiedriskās domas aptauju par iedzīvotāju informētību ES fondu jautājumos </w:t>
      </w:r>
      <w:r>
        <w:rPr>
          <w:szCs w:val="24"/>
          <w:lang w:eastAsia="lv-LV"/>
        </w:rPr>
        <w:t>FM</w:t>
      </w:r>
      <w:r w:rsidRPr="003661FD">
        <w:rPr>
          <w:szCs w:val="24"/>
          <w:lang w:eastAsia="lv-LV"/>
        </w:rPr>
        <w:t xml:space="preserve"> pasūtījumā novembrī veica tirgus un sociālo pētījumu aģentūra „Latvijas Fakti”, izmantojot tiešās intervēšanas metodi respondentu dzīves vietās. Aptaujā pēc stratificētās nejaušības principa tika iekļauti 1000 Latvijas pastāvīgie iedzīvotāji vecumā no 18 līdz 74 gadiem.</w:t>
      </w:r>
    </w:p>
    <w:p w14:paraId="5AAD56E7" w14:textId="6624BBD3" w:rsidR="00D42CE0" w:rsidRPr="003661FD" w:rsidRDefault="00D42CE0" w:rsidP="00D42CE0">
      <w:pPr>
        <w:spacing w:before="120" w:after="120" w:line="276" w:lineRule="auto"/>
        <w:jc w:val="both"/>
        <w:rPr>
          <w:szCs w:val="24"/>
        </w:rPr>
      </w:pPr>
      <w:r w:rsidRPr="003661FD">
        <w:rPr>
          <w:szCs w:val="24"/>
        </w:rPr>
        <w:t xml:space="preserve">Aptaujas rezultāti liecina, ka 63,6% aptaujāto Latvijas iedzīvotāju pauž pozitīvu viedokli un vērtējumu </w:t>
      </w:r>
      <w:r>
        <w:rPr>
          <w:szCs w:val="24"/>
        </w:rPr>
        <w:t>ES</w:t>
      </w:r>
      <w:r w:rsidRPr="003661FD">
        <w:rPr>
          <w:szCs w:val="24"/>
        </w:rPr>
        <w:t xml:space="preserve"> fo</w:t>
      </w:r>
      <w:r>
        <w:rPr>
          <w:szCs w:val="24"/>
        </w:rPr>
        <w:t>ndu apguvei Latvijā. Kopš 2010.</w:t>
      </w:r>
      <w:r w:rsidRPr="003661FD">
        <w:rPr>
          <w:szCs w:val="24"/>
        </w:rPr>
        <w:t>gada arvien pieaugusi aptaujāto iedzīvotāju pozitīvā attieksme, savukārt sarucis to iedzīvotāju skaits, kuri ES fondu apguvi Latvijā vērtē negatīvi.</w:t>
      </w:r>
    </w:p>
    <w:p w14:paraId="46EBBAB4" w14:textId="77777777" w:rsidR="00D42CE0" w:rsidRPr="003661FD" w:rsidRDefault="00D42CE0" w:rsidP="00D42CE0">
      <w:pPr>
        <w:spacing w:before="120" w:after="120" w:line="276" w:lineRule="auto"/>
        <w:jc w:val="both"/>
        <w:rPr>
          <w:szCs w:val="24"/>
        </w:rPr>
      </w:pPr>
      <w:r w:rsidRPr="003661FD">
        <w:rPr>
          <w:szCs w:val="24"/>
        </w:rPr>
        <w:t>Tāpat kā 2012.-2013.gadā, arī šogad vairāk nekā trīs ceturtdaļas (79,6%) aptaujāto Latvijas iedzīvotāju pauda viedokli, ka ES piešķirtie līdzekļi pozitīvi ietekmē Latvijas tautsaimniecības un sabiedrības attīstību. Savukārt kritisku viedokli par ES līdzekļu ietekmi pārstāvēja vien 6% aptaujas dalībnieku.</w:t>
      </w:r>
    </w:p>
    <w:p w14:paraId="5C665C9D" w14:textId="3EFCE448" w:rsidR="00D42CE0" w:rsidRPr="003661FD" w:rsidRDefault="00D42CE0" w:rsidP="00D42CE0">
      <w:pPr>
        <w:spacing w:before="120" w:after="120" w:line="276" w:lineRule="auto"/>
        <w:jc w:val="both"/>
        <w:rPr>
          <w:szCs w:val="24"/>
          <w:lang w:eastAsia="lv-LV"/>
        </w:rPr>
      </w:pPr>
      <w:r w:rsidRPr="003661FD">
        <w:rPr>
          <w:szCs w:val="24"/>
          <w:lang w:eastAsia="lv-LV"/>
        </w:rPr>
        <w:t xml:space="preserve">Absolūti lielākā daļa jeb 90% Latvijas iedzīvotāju ir dzirdējuši, ka Latvijai ir pieejami ES fondu līdzekļi. Starp pazīstamākajiem ES fondiem līdzīgi kā citus gadus ir Eiropas Lauksaimniecības fonds lauku attīstībai (ELFLA), kuru pārrauga Zemkopības ministrija, un </w:t>
      </w:r>
      <w:r w:rsidR="00050860">
        <w:rPr>
          <w:szCs w:val="24"/>
          <w:lang w:eastAsia="lv-LV"/>
        </w:rPr>
        <w:t>ERAF</w:t>
      </w:r>
      <w:r w:rsidRPr="003661FD">
        <w:rPr>
          <w:szCs w:val="24"/>
          <w:lang w:eastAsia="lv-LV"/>
        </w:rPr>
        <w:t xml:space="preserve"> par kuriem dzirdējuši gandrīz puse Latvijas iedzīvotāju – attiecīgi 46,4% un 44,8%. </w:t>
      </w:r>
    </w:p>
    <w:p w14:paraId="5DFBC8FA" w14:textId="77777777" w:rsidR="00D42CE0" w:rsidRPr="003661FD" w:rsidRDefault="00D42CE0" w:rsidP="00D42CE0">
      <w:pPr>
        <w:spacing w:before="120" w:after="120" w:line="276" w:lineRule="auto"/>
        <w:jc w:val="both"/>
        <w:rPr>
          <w:szCs w:val="24"/>
        </w:rPr>
      </w:pPr>
      <w:r w:rsidRPr="003661FD">
        <w:rPr>
          <w:szCs w:val="24"/>
        </w:rPr>
        <w:t xml:space="preserve">Latvijas iedzīvotāju skatījumā ES fondu atbalstītajās jomās vislielākā atdeve ir ceļu un transporta sistēmas sakārtošanā, ko minēja 46,9% respondentu, lauksaimniecībā (36,7%), </w:t>
      </w:r>
      <w:r w:rsidRPr="003661FD">
        <w:rPr>
          <w:szCs w:val="24"/>
        </w:rPr>
        <w:lastRenderedPageBreak/>
        <w:t>vides sakārtošanā (28,7%), energoefektivitātes veicināšanā (28,6%) un kultūrvēsturisko objektu atjaunošanā (23,1%). Līdzīgi rezultāti bija vērojami arī iepriekšējos pētījumos.</w:t>
      </w:r>
    </w:p>
    <w:p w14:paraId="1546F16F" w14:textId="3F1C7FFF" w:rsidR="00D42CE0" w:rsidRPr="003661FD" w:rsidRDefault="00D42CE0" w:rsidP="00D42CE0">
      <w:pPr>
        <w:spacing w:before="120" w:after="120" w:line="276" w:lineRule="auto"/>
        <w:jc w:val="both"/>
        <w:rPr>
          <w:szCs w:val="24"/>
        </w:rPr>
      </w:pPr>
      <w:r w:rsidRPr="003661FD">
        <w:rPr>
          <w:szCs w:val="24"/>
        </w:rPr>
        <w:t>Tāpat arī prioritāri atbalstāmo jomu hierarhija palikusi nemainīga. Kā prioritārās jomas, kurās turpmāk būtu jāiegulda vairāk Eiropas Savienības fondu līdzekļu, visbiežāk tika nosauktas - veselības un sociālā aprūpe (60,8%) nodarbinātības veicināšana (50,3%), ceļu un transporta sistēmas sakārtošana (33,4%), atbalsts lauksaimniekiem (29,7%) un izglītības attīstība (24,5%).</w:t>
      </w:r>
    </w:p>
    <w:p w14:paraId="3567893F" w14:textId="436738CC" w:rsidR="00D42CE0" w:rsidRPr="00D42CE0" w:rsidRDefault="00D42CE0" w:rsidP="00D42CE0">
      <w:pPr>
        <w:jc w:val="both"/>
        <w:rPr>
          <w:b/>
          <w:i/>
          <w:szCs w:val="24"/>
        </w:rPr>
      </w:pPr>
      <w:r w:rsidRPr="00D42CE0">
        <w:rPr>
          <w:b/>
          <w:i/>
          <w:szCs w:val="24"/>
        </w:rPr>
        <w:t>Kampaņa “ES fondi – augam kopā” par kopējo Eiropas Savienības fondu 2007.-2013.gada plānošanas perioda ieguldījumu Latvijā un jaunā plānošanas perioda 2014. – 2020. gadam sākšanos</w:t>
      </w:r>
    </w:p>
    <w:p w14:paraId="60090216" w14:textId="77777777" w:rsidR="00D42CE0" w:rsidRPr="003661FD" w:rsidRDefault="00D42CE0" w:rsidP="00D42CE0">
      <w:pPr>
        <w:rPr>
          <w:b/>
          <w:szCs w:val="24"/>
        </w:rPr>
      </w:pPr>
    </w:p>
    <w:p w14:paraId="6544EFCF" w14:textId="06CE81AA" w:rsidR="00D42CE0" w:rsidRPr="00050860" w:rsidRDefault="00D42CE0" w:rsidP="00050860">
      <w:pPr>
        <w:spacing w:before="120" w:after="120" w:line="276" w:lineRule="auto"/>
        <w:jc w:val="both"/>
        <w:rPr>
          <w:b/>
          <w:szCs w:val="24"/>
        </w:rPr>
      </w:pPr>
      <w:r w:rsidRPr="003661FD">
        <w:rPr>
          <w:b/>
          <w:szCs w:val="24"/>
        </w:rPr>
        <w:t>Kampaņa norisinājās 2014.gada novembrī. Tās rezultātā sasniegti izvirzītie mērķi:</w:t>
      </w:r>
    </w:p>
    <w:p w14:paraId="20B0D555" w14:textId="77777777" w:rsidR="00D42CE0" w:rsidRPr="003661FD" w:rsidRDefault="00D42CE0" w:rsidP="00050860">
      <w:pPr>
        <w:pStyle w:val="Sarakstarindkopa1"/>
        <w:numPr>
          <w:ilvl w:val="0"/>
          <w:numId w:val="45"/>
        </w:numPr>
        <w:spacing w:before="120" w:after="120" w:line="276" w:lineRule="auto"/>
        <w:contextualSpacing w:val="0"/>
        <w:jc w:val="both"/>
        <w:rPr>
          <w:sz w:val="24"/>
          <w:szCs w:val="24"/>
        </w:rPr>
      </w:pPr>
      <w:r w:rsidRPr="003661FD">
        <w:rPr>
          <w:b/>
          <w:sz w:val="24"/>
          <w:szCs w:val="24"/>
        </w:rPr>
        <w:t xml:space="preserve">Kampaņas laikā palielinājies mājas lapas </w:t>
      </w:r>
      <w:hyperlink r:id="rId49" w:history="1">
        <w:r w:rsidRPr="003661FD">
          <w:rPr>
            <w:rStyle w:val="Hyperlink"/>
            <w:b/>
            <w:sz w:val="24"/>
            <w:szCs w:val="24"/>
          </w:rPr>
          <w:t>www.esfondi.lv</w:t>
        </w:r>
      </w:hyperlink>
      <w:r w:rsidRPr="003661FD">
        <w:rPr>
          <w:sz w:val="24"/>
          <w:szCs w:val="24"/>
        </w:rPr>
        <w:t xml:space="preserve"> </w:t>
      </w:r>
      <w:r w:rsidRPr="003661FD">
        <w:rPr>
          <w:b/>
          <w:sz w:val="24"/>
          <w:szCs w:val="24"/>
        </w:rPr>
        <w:t>apmeklētāju skaits</w:t>
      </w:r>
      <w:r w:rsidRPr="003661FD">
        <w:rPr>
          <w:sz w:val="24"/>
          <w:szCs w:val="24"/>
        </w:rPr>
        <w:t xml:space="preserve"> – kā liecina mājaslapas </w:t>
      </w:r>
      <w:hyperlink r:id="rId50" w:history="1">
        <w:r w:rsidRPr="003661FD">
          <w:rPr>
            <w:rStyle w:val="Hyperlink"/>
            <w:sz w:val="24"/>
            <w:szCs w:val="24"/>
          </w:rPr>
          <w:t>www.esfondi.lv</w:t>
        </w:r>
      </w:hyperlink>
      <w:r w:rsidRPr="003661FD">
        <w:rPr>
          <w:sz w:val="24"/>
          <w:szCs w:val="24"/>
        </w:rPr>
        <w:t xml:space="preserve"> statistika, novembrī to apmeklējuši 8 014 unikālie lapas lietotāji (mājaslapa apmeklēta 13 137 reizes).   Tikmēr oktobrī to apmeklējuši 7 854 unikālie lietotāji (mājas lapa apmeklēta 12 930 reizes), kas ir par 160 unikāliem mājaslapas lietotājiem mazāk nekā novembrī.</w:t>
      </w:r>
    </w:p>
    <w:p w14:paraId="3AF4DE65" w14:textId="08B38A67" w:rsidR="00D42CE0" w:rsidRPr="003661FD" w:rsidRDefault="00D42CE0" w:rsidP="00050860">
      <w:pPr>
        <w:pStyle w:val="Sarakstarindkopa1"/>
        <w:numPr>
          <w:ilvl w:val="0"/>
          <w:numId w:val="45"/>
        </w:numPr>
        <w:spacing w:before="120" w:after="120" w:line="276" w:lineRule="auto"/>
        <w:ind w:left="714" w:hanging="357"/>
        <w:contextualSpacing w:val="0"/>
        <w:jc w:val="both"/>
        <w:rPr>
          <w:sz w:val="24"/>
          <w:szCs w:val="24"/>
        </w:rPr>
      </w:pPr>
      <w:r w:rsidRPr="003661FD">
        <w:rPr>
          <w:b/>
          <w:sz w:val="24"/>
          <w:szCs w:val="24"/>
        </w:rPr>
        <w:t xml:space="preserve">Palielinājies sabiedrības kopējais informētības rādītājs par ES fondu līdzekļu apguvi Latvijā </w:t>
      </w:r>
      <w:r w:rsidRPr="003661FD">
        <w:rPr>
          <w:sz w:val="24"/>
          <w:szCs w:val="24"/>
        </w:rPr>
        <w:t xml:space="preserve">– klātienē </w:t>
      </w:r>
      <w:r w:rsidR="00050860">
        <w:rPr>
          <w:sz w:val="24"/>
          <w:szCs w:val="24"/>
        </w:rPr>
        <w:t>FM</w:t>
      </w:r>
      <w:r w:rsidRPr="003661FD">
        <w:rPr>
          <w:sz w:val="24"/>
          <w:szCs w:val="24"/>
        </w:rPr>
        <w:t xml:space="preserve"> rīkotos seminārus Rīgā un reģionos apmeklēja vairāk nekā 300 iedzīvotāju, savukārt tiešraidi no semināra, kurš norisinājās Rīgā, vēroja aptuveni 700 iedzīvotāju. Tikmēr netiešā veidā tika sasniegti 200 000 cilvēku (publikāciju un sociālo tīklu aktivitāšu rezultātā). </w:t>
      </w:r>
    </w:p>
    <w:p w14:paraId="37A63713" w14:textId="2CE72604" w:rsidR="00296430" w:rsidRPr="000A03C6" w:rsidRDefault="00D42CE0" w:rsidP="000A03C6">
      <w:pPr>
        <w:pStyle w:val="Sarakstarindkopa1"/>
        <w:numPr>
          <w:ilvl w:val="0"/>
          <w:numId w:val="45"/>
        </w:numPr>
        <w:spacing w:before="120" w:after="120" w:line="276" w:lineRule="auto"/>
        <w:ind w:left="714" w:hanging="357"/>
        <w:contextualSpacing w:val="0"/>
        <w:jc w:val="both"/>
        <w:rPr>
          <w:sz w:val="24"/>
          <w:szCs w:val="24"/>
        </w:rPr>
      </w:pPr>
      <w:r w:rsidRPr="003661FD">
        <w:rPr>
          <w:b/>
          <w:sz w:val="24"/>
          <w:szCs w:val="24"/>
        </w:rPr>
        <w:t xml:space="preserve">Pieaudzis </w:t>
      </w:r>
      <w:r w:rsidR="00050860">
        <w:rPr>
          <w:b/>
          <w:sz w:val="24"/>
          <w:szCs w:val="24"/>
        </w:rPr>
        <w:t>FM</w:t>
      </w:r>
      <w:r w:rsidRPr="003661FD">
        <w:rPr>
          <w:b/>
          <w:sz w:val="24"/>
          <w:szCs w:val="24"/>
        </w:rPr>
        <w:t xml:space="preserve"> sociālo tīklu apmeklējums – </w:t>
      </w:r>
      <w:r w:rsidRPr="003661FD">
        <w:rPr>
          <w:sz w:val="24"/>
          <w:szCs w:val="24"/>
        </w:rPr>
        <w:t xml:space="preserve">kā liecina sociālo tīklu monitorings, sociālo tīklu lietotāji aktīvi atzīmējuši „patīk” pie kampaņas ietvaros radītajiem ierakstiem un arī dalījušies ar tiem. Turklāt sociālo tīklu kontiem pieaudzis sekotāju skaits: </w:t>
      </w:r>
      <w:r w:rsidR="00050860">
        <w:rPr>
          <w:sz w:val="24"/>
          <w:szCs w:val="24"/>
        </w:rPr>
        <w:t>FM</w:t>
      </w:r>
      <w:r w:rsidRPr="003661FD">
        <w:rPr>
          <w:sz w:val="24"/>
          <w:szCs w:val="24"/>
        </w:rPr>
        <w:t xml:space="preserve"> Facebook lapai, no 2014.gada 1.novembra līdz 28.novembrim sekotāju skaits palielinājies par 199 cilvēkiem; </w:t>
      </w:r>
      <w:r w:rsidR="00050860">
        <w:rPr>
          <w:sz w:val="24"/>
          <w:szCs w:val="24"/>
        </w:rPr>
        <w:t>VI</w:t>
      </w:r>
      <w:r w:rsidRPr="003661FD">
        <w:rPr>
          <w:sz w:val="24"/>
          <w:szCs w:val="24"/>
        </w:rPr>
        <w:t xml:space="preserve"> Twitter kontam no 2014.gada 1.novembra līdz 2.decembrim sekotāju skaits palielinājies par 62 cilvēkiem; </w:t>
      </w:r>
      <w:r w:rsidR="00050860">
        <w:rPr>
          <w:sz w:val="24"/>
          <w:szCs w:val="24"/>
        </w:rPr>
        <w:t>FM</w:t>
      </w:r>
      <w:r w:rsidRPr="003661FD">
        <w:rPr>
          <w:sz w:val="24"/>
          <w:szCs w:val="24"/>
        </w:rPr>
        <w:t xml:space="preserve"> Twitter kontam no 2014.gada 10.novembra līdz 2.decembrim sekotāju skaits palielinājies par 160 cilvēkiem.</w:t>
      </w:r>
    </w:p>
    <w:p w14:paraId="24A13933" w14:textId="66F066C1" w:rsidR="00D42CE0" w:rsidRPr="00727D81" w:rsidRDefault="00D42CE0" w:rsidP="00727D81">
      <w:pPr>
        <w:spacing w:before="120" w:after="120" w:line="276" w:lineRule="auto"/>
        <w:jc w:val="both"/>
        <w:rPr>
          <w:b/>
          <w:szCs w:val="24"/>
        </w:rPr>
      </w:pPr>
      <w:r w:rsidRPr="003661FD">
        <w:rPr>
          <w:b/>
          <w:szCs w:val="24"/>
        </w:rPr>
        <w:t>Kampaņas ietvaros tika realizētas šādas aktivitātes:</w:t>
      </w:r>
    </w:p>
    <w:p w14:paraId="581C13F8" w14:textId="52025218" w:rsidR="00D42CE0" w:rsidRPr="003661FD" w:rsidRDefault="00D42CE0" w:rsidP="00727D81">
      <w:pPr>
        <w:pStyle w:val="ListParagraph"/>
        <w:numPr>
          <w:ilvl w:val="0"/>
          <w:numId w:val="44"/>
        </w:numPr>
        <w:spacing w:before="120" w:after="120" w:line="276" w:lineRule="auto"/>
        <w:ind w:left="284" w:hanging="284"/>
        <w:contextualSpacing w:val="0"/>
        <w:jc w:val="both"/>
        <w:rPr>
          <w:szCs w:val="24"/>
        </w:rPr>
      </w:pPr>
      <w:r w:rsidRPr="003661FD">
        <w:rPr>
          <w:szCs w:val="24"/>
        </w:rPr>
        <w:t>Izveidots 2 minūšu garš video klips 3D tehnikā „ES fondi – augam kopā!”. Video īsumā vēsta par ES fondu ieguldījumu Latvijas a</w:t>
      </w:r>
      <w:r w:rsidR="00050860">
        <w:rPr>
          <w:szCs w:val="24"/>
        </w:rPr>
        <w:t>ttīstībā pagājušajā 2007.-2013.</w:t>
      </w:r>
      <w:r w:rsidRPr="003661FD">
        <w:rPr>
          <w:szCs w:val="24"/>
        </w:rPr>
        <w:t xml:space="preserve">gada plānošanas periodā ar skatu uz </w:t>
      </w:r>
      <w:r w:rsidR="00050860">
        <w:rPr>
          <w:szCs w:val="24"/>
        </w:rPr>
        <w:t>nākotni par plānoto 2014.-2020.</w:t>
      </w:r>
      <w:r w:rsidRPr="003661FD">
        <w:rPr>
          <w:szCs w:val="24"/>
        </w:rPr>
        <w:t xml:space="preserve">gadā. Video klips plašākai sabiedrībai tika parādīts </w:t>
      </w:r>
      <w:r w:rsidRPr="003661FD">
        <w:rPr>
          <w:rStyle w:val="Strong"/>
          <w:b w:val="0"/>
          <w:szCs w:val="24"/>
        </w:rPr>
        <w:t xml:space="preserve">22.novembrī </w:t>
      </w:r>
      <w:r w:rsidR="00050860">
        <w:rPr>
          <w:rStyle w:val="Strong"/>
          <w:b w:val="0"/>
          <w:szCs w:val="24"/>
        </w:rPr>
        <w:t>MK</w:t>
      </w:r>
      <w:r w:rsidRPr="003661FD">
        <w:rPr>
          <w:rStyle w:val="Strong"/>
          <w:b w:val="0"/>
          <w:szCs w:val="24"/>
        </w:rPr>
        <w:t xml:space="preserve">, kad notika </w:t>
      </w:r>
      <w:r w:rsidR="00050860">
        <w:rPr>
          <w:rStyle w:val="Strong"/>
          <w:b w:val="0"/>
          <w:szCs w:val="24"/>
        </w:rPr>
        <w:t>oficiālais ES fondu 2014.-2020.</w:t>
      </w:r>
      <w:r w:rsidRPr="003661FD">
        <w:rPr>
          <w:rStyle w:val="Strong"/>
          <w:b w:val="0"/>
          <w:szCs w:val="24"/>
        </w:rPr>
        <w:t xml:space="preserve">gada plānošanas perioda </w:t>
      </w:r>
      <w:r w:rsidR="00050860">
        <w:rPr>
          <w:rStyle w:val="Strong"/>
          <w:b w:val="0"/>
          <w:szCs w:val="24"/>
        </w:rPr>
        <w:t>DP</w:t>
      </w:r>
      <w:r w:rsidRPr="003661FD">
        <w:rPr>
          <w:rStyle w:val="Strong"/>
          <w:b w:val="0"/>
          <w:szCs w:val="24"/>
        </w:rPr>
        <w:t xml:space="preserve"> „Izaugsme un nodarbinātība” atklāšanas pasākums.</w:t>
      </w:r>
      <w:r w:rsidRPr="003661FD">
        <w:rPr>
          <w:szCs w:val="24"/>
        </w:rPr>
        <w:t xml:space="preserve"> Video tika izvietots </w:t>
      </w:r>
      <w:r w:rsidR="00050860">
        <w:rPr>
          <w:szCs w:val="24"/>
        </w:rPr>
        <w:t>FM</w:t>
      </w:r>
      <w:r w:rsidRPr="003661FD">
        <w:rPr>
          <w:szCs w:val="24"/>
        </w:rPr>
        <w:t xml:space="preserve"> Youtube kanālā un sociālajos tīklos –Twitter un Facebook. To publicēja tādi nacionālie ziņu portāli kā Lvportals.lv un Delfi.lv. Turklāt daļa video tika publicēta TV3 Ziņās.</w:t>
      </w:r>
    </w:p>
    <w:p w14:paraId="48370502" w14:textId="77777777" w:rsidR="00D42CE0" w:rsidRPr="003661FD" w:rsidRDefault="00D42CE0" w:rsidP="00727D81">
      <w:pPr>
        <w:pStyle w:val="ListParagraph"/>
        <w:numPr>
          <w:ilvl w:val="0"/>
          <w:numId w:val="44"/>
        </w:numPr>
        <w:spacing w:before="120" w:after="120" w:line="276" w:lineRule="auto"/>
        <w:ind w:left="284" w:hanging="284"/>
        <w:contextualSpacing w:val="0"/>
        <w:jc w:val="both"/>
        <w:rPr>
          <w:szCs w:val="24"/>
        </w:rPr>
      </w:pPr>
      <w:r w:rsidRPr="003661FD">
        <w:rPr>
          <w:szCs w:val="24"/>
        </w:rPr>
        <w:t xml:space="preserve">Organizēti pieci vienas dienas semināri Rīgā un reģionu centros - Latgalē, Zemgalē, Vidzemē, Kurzemē. Semināru rīkošanai pēc iespējas tika izmantotas par ES fondiem </w:t>
      </w:r>
      <w:r w:rsidRPr="003661FD">
        <w:rPr>
          <w:szCs w:val="24"/>
        </w:rPr>
        <w:lastRenderedPageBreak/>
        <w:t xml:space="preserve">radītās, atjaunotās telpas. Semināru cikla laikā veiktās aptaujas rezultāti liecina, ka lielākā daļa jeb 93% semināra apmeklētāji tā laikā ieguva sev noderīgu informāciju par ES fondu darbību Latvijā. </w:t>
      </w:r>
    </w:p>
    <w:p w14:paraId="01C7F77F" w14:textId="284A584C" w:rsidR="00D42CE0" w:rsidRPr="00D42CE0" w:rsidRDefault="00D42CE0" w:rsidP="00727D81">
      <w:pPr>
        <w:pStyle w:val="BodyText"/>
        <w:numPr>
          <w:ilvl w:val="0"/>
          <w:numId w:val="44"/>
        </w:numPr>
        <w:ind w:left="284" w:hanging="284"/>
        <w:jc w:val="both"/>
        <w:rPr>
          <w:b w:val="0"/>
          <w:lang w:val="lv-LV"/>
        </w:rPr>
      </w:pPr>
      <w:r w:rsidRPr="00D42CE0">
        <w:rPr>
          <w:b w:val="0"/>
          <w:lang w:val="lv-LV"/>
        </w:rPr>
        <w:t xml:space="preserve">Videoprojekcija „ES fondu projektu iedvesma un veiksmes stāsts” nodibinājuma Rīga 2014 festivālā „Staro Rīga 2014” ietvaros. Ar interaktīvā objekta starpniecību, kas atradās uz </w:t>
      </w:r>
      <w:r w:rsidR="00050860">
        <w:rPr>
          <w:b w:val="0"/>
          <w:lang w:val="lv-LV"/>
        </w:rPr>
        <w:t>FM</w:t>
      </w:r>
      <w:r w:rsidRPr="00D42CE0">
        <w:rPr>
          <w:b w:val="0"/>
          <w:lang w:val="lv-LV"/>
        </w:rPr>
        <w:t xml:space="preserve"> ēkas fasādes, festivāla "Staro Rīga 2014" ietvaros ikvienam interesentam pašam bija iespēja atdzīvināt ministrijas māju. Skatītājiem aktīvi iesaistoties un izmantojot interaktīvo 3D video projekciju, uz ēkas fasādes tika ilustrēti ES fondu sasniegtie rezultāti.</w:t>
      </w:r>
    </w:p>
    <w:p w14:paraId="6F6E6779" w14:textId="739D6C8F" w:rsidR="00D42CE0" w:rsidRPr="00D42CE0" w:rsidRDefault="00050860" w:rsidP="00727D81">
      <w:pPr>
        <w:pStyle w:val="BodyText"/>
        <w:numPr>
          <w:ilvl w:val="0"/>
          <w:numId w:val="44"/>
        </w:numPr>
        <w:ind w:left="284" w:hanging="284"/>
        <w:jc w:val="both"/>
        <w:rPr>
          <w:b w:val="0"/>
          <w:lang w:val="lv-LV"/>
        </w:rPr>
      </w:pPr>
      <w:r>
        <w:rPr>
          <w:b w:val="0"/>
          <w:lang w:val="lv-LV"/>
        </w:rPr>
        <w:t>DP</w:t>
      </w:r>
      <w:r w:rsidR="00D42CE0" w:rsidRPr="00D42CE0">
        <w:rPr>
          <w:b w:val="0"/>
          <w:lang w:val="lv-LV"/>
        </w:rPr>
        <w:t xml:space="preserve"> “Izaugsme un nodarbinātība” atklāšanas pasākums 22. novembrī tika organizēts kā preses konference, kurā piedalījās Ministru prezidente Laimdota Straujuma, finanšu ministrs Jānis Reirs, Eiropas Komisijas pārstāvniecības Latvijā vadītāja Inna Šteinbuka un </w:t>
      </w:r>
      <w:r>
        <w:rPr>
          <w:b w:val="0"/>
          <w:lang w:val="lv-LV"/>
        </w:rPr>
        <w:t>FM</w:t>
      </w:r>
      <w:r w:rsidR="00D42CE0" w:rsidRPr="00D42CE0">
        <w:rPr>
          <w:b w:val="0"/>
          <w:lang w:val="lv-LV"/>
        </w:rPr>
        <w:t xml:space="preserve"> valsts sekretāres vietnieks ES fondu jautājumos Armands Eberhards.</w:t>
      </w:r>
    </w:p>
    <w:p w14:paraId="798490D4" w14:textId="77777777" w:rsidR="00D42CE0" w:rsidRPr="00D42CE0" w:rsidRDefault="00D42CE0" w:rsidP="00727D81">
      <w:pPr>
        <w:pStyle w:val="BodyText"/>
        <w:numPr>
          <w:ilvl w:val="0"/>
          <w:numId w:val="44"/>
        </w:numPr>
        <w:ind w:left="284" w:hanging="284"/>
        <w:jc w:val="both"/>
        <w:rPr>
          <w:b w:val="0"/>
          <w:lang w:val="lv-LV"/>
        </w:rPr>
      </w:pPr>
      <w:r w:rsidRPr="00D42CE0">
        <w:rPr>
          <w:b w:val="0"/>
          <w:lang w:val="lv-LV"/>
        </w:rPr>
        <w:t>Lai atraktīvā un inovatīvā veidā popularizētu un informētu par ES fondu jaunā plānošanas perioda ieguldījumu Latvijā, tika organizētas informatīvas akcijas Daugavpils un Ventspils tirdzniecības centros, kuru laikā iedzīvotāji tika aicināti iepazīties ar Latvijas karti, uz kuras radošā veidā tika attēlots ES fondu ieguldījums tādās jomās kā darbs un sociālais atbalsts, izglītība, sadzīve un ērtības, bizness un inovācijas, transports, kā arī atpūta un kultūra.</w:t>
      </w:r>
    </w:p>
    <w:p w14:paraId="73BEEAE4" w14:textId="1D81E550" w:rsidR="00E965C5" w:rsidRPr="00D42CE0" w:rsidRDefault="00D42CE0" w:rsidP="00727D81">
      <w:pPr>
        <w:pStyle w:val="BodyText"/>
        <w:numPr>
          <w:ilvl w:val="0"/>
          <w:numId w:val="44"/>
        </w:numPr>
        <w:ind w:left="284" w:hanging="284"/>
        <w:jc w:val="both"/>
        <w:rPr>
          <w:b w:val="0"/>
          <w:lang w:val="lv-LV"/>
        </w:rPr>
      </w:pPr>
      <w:r w:rsidRPr="00D42CE0">
        <w:rPr>
          <w:b w:val="0"/>
          <w:lang w:val="lv-LV"/>
        </w:rPr>
        <w:t>Kampaņas ietvaros izplatīti komunikācijas materiāli – ielūgumi, 14 preses relīzes, 5 informatīvie ziņojumi (pateicības), 3 ekspertu komentāri/viedokļa raksti, 3 iniciētie materiāli, 76 ziņas sociālajos tīklos Facebook un Twitter, videorullītis.</w:t>
      </w:r>
    </w:p>
    <w:p w14:paraId="04BC634B" w14:textId="2E3AAE2B" w:rsidR="00E12DFB" w:rsidRPr="00296430" w:rsidRDefault="00E12DFB" w:rsidP="003721EE">
      <w:pPr>
        <w:pStyle w:val="ListParagraph"/>
        <w:keepNext/>
        <w:keepLines/>
        <w:numPr>
          <w:ilvl w:val="0"/>
          <w:numId w:val="41"/>
        </w:numPr>
        <w:spacing w:before="120" w:after="120"/>
        <w:ind w:left="851"/>
        <w:jc w:val="center"/>
        <w:outlineLvl w:val="0"/>
        <w:rPr>
          <w:rFonts w:eastAsiaTheme="majorEastAsia" w:cs="Times New Roman"/>
          <w:b/>
          <w:szCs w:val="32"/>
        </w:rPr>
      </w:pPr>
      <w:bookmarkStart w:id="42" w:name="_Toc412729451"/>
      <w:r w:rsidRPr="00296430">
        <w:rPr>
          <w:rFonts w:eastAsiaTheme="majorEastAsia" w:cs="Times New Roman"/>
          <w:b/>
          <w:szCs w:val="32"/>
        </w:rPr>
        <w:t>2014.–2020.gada plānošanas perioda ES fondu ieviešana</w:t>
      </w:r>
      <w:bookmarkEnd w:id="42"/>
    </w:p>
    <w:p w14:paraId="4A39FA27" w14:textId="77777777" w:rsidR="00E12DFB" w:rsidRPr="00E12DFB" w:rsidRDefault="00E12DFB" w:rsidP="003F45DC">
      <w:pPr>
        <w:spacing w:before="120" w:after="120" w:line="276" w:lineRule="auto"/>
        <w:jc w:val="both"/>
        <w:rPr>
          <w:rFonts w:cs="Times New Roman"/>
        </w:rPr>
      </w:pPr>
      <w:r w:rsidRPr="00E12DFB">
        <w:rPr>
          <w:rFonts w:eastAsia="Times New Roman" w:cs="Times New Roman"/>
          <w:szCs w:val="24"/>
        </w:rPr>
        <w:t>Pārskata periodā ir veikti nozīmīgi soļi ES fondu 2014.–2020.gada plānošanas perioda plānošanas procesā:</w:t>
      </w:r>
    </w:p>
    <w:p w14:paraId="2D3E9611" w14:textId="77777777" w:rsidR="00E12DFB" w:rsidRPr="00E12DFB" w:rsidRDefault="00E12DFB" w:rsidP="003F45DC">
      <w:pPr>
        <w:numPr>
          <w:ilvl w:val="0"/>
          <w:numId w:val="25"/>
        </w:numPr>
        <w:spacing w:before="120" w:after="120" w:line="276" w:lineRule="auto"/>
        <w:ind w:left="714" w:hanging="357"/>
        <w:contextualSpacing/>
        <w:jc w:val="both"/>
        <w:rPr>
          <w:rFonts w:eastAsia="Times New Roman" w:cs="Times New Roman"/>
          <w:szCs w:val="24"/>
        </w:rPr>
      </w:pPr>
      <w:r w:rsidRPr="00E12DFB">
        <w:rPr>
          <w:rFonts w:eastAsia="Times New Roman" w:cs="Times New Roman"/>
          <w:szCs w:val="24"/>
        </w:rPr>
        <w:t>2014.gada 11.novembrī ar EK lēmumu</w:t>
      </w:r>
      <w:r w:rsidRPr="00E12DFB">
        <w:rPr>
          <w:rFonts w:eastAsia="Times New Roman" w:cs="Times New Roman"/>
          <w:szCs w:val="24"/>
          <w:vertAlign w:val="superscript"/>
        </w:rPr>
        <w:footnoteReference w:id="48"/>
      </w:r>
      <w:r w:rsidRPr="00E12DFB">
        <w:rPr>
          <w:rFonts w:eastAsia="Times New Roman" w:cs="Times New Roman"/>
          <w:szCs w:val="24"/>
        </w:rPr>
        <w:t xml:space="preserve"> ir apstiprināta ES fondu </w:t>
      </w:r>
      <w:r w:rsidRPr="00E12DFB">
        <w:rPr>
          <w:rFonts w:eastAsia="Times New Roman" w:cs="Times New Roman"/>
          <w:szCs w:val="24"/>
        </w:rPr>
        <w:br/>
        <w:t>2014.–2020.gada plānošanas perioda darbības programma “Izaugsme un nodarbinātība”;</w:t>
      </w:r>
    </w:p>
    <w:p w14:paraId="550FD33B" w14:textId="77777777" w:rsidR="00E12DFB" w:rsidRPr="00E12DFB" w:rsidRDefault="00E12DFB" w:rsidP="003F45DC">
      <w:pPr>
        <w:numPr>
          <w:ilvl w:val="0"/>
          <w:numId w:val="25"/>
        </w:numPr>
        <w:spacing w:before="120" w:after="120" w:line="276" w:lineRule="auto"/>
        <w:ind w:left="714" w:hanging="357"/>
        <w:contextualSpacing/>
        <w:jc w:val="both"/>
        <w:rPr>
          <w:rFonts w:eastAsia="Times New Roman" w:cs="Times New Roman"/>
          <w:szCs w:val="24"/>
        </w:rPr>
      </w:pPr>
      <w:r w:rsidRPr="00E12DFB">
        <w:rPr>
          <w:rFonts w:eastAsia="Times New Roman" w:cs="Times New Roman"/>
          <w:szCs w:val="24"/>
        </w:rPr>
        <w:t xml:space="preserve">2014.gada 17.decembrī EK apstiprināja grozījumus Partnerības līgumā Eiropas Savienības investīciju fondu 2014.-2020.gada plānošanas periodam (turpmāk – Partnerības līgums). Partnerības līgums papildināts ar plānoto finansējumu Eiropas Jūrlietu un zivsaimniecības fondam, norādot indikatīvo finansējuma sadalījumu pa tematiskajiem mērķiem, finansējumu tehniskajai palīdzībai dalījumā pa reģionu kategorijām, klimata pārmaiņu mērķiem sadalījumā pa tematiskajiem mērķiem, kā arī izpildes rezervei plānoto finansējumu. </w:t>
      </w:r>
      <w:r w:rsidRPr="00E12DFB">
        <w:rPr>
          <w:rFonts w:cs="Times New Roman"/>
        </w:rPr>
        <w:t>Papildus veikti precizējumi Eiropas Lauksaimniecības fonda lauku attīstībai finansējuma sadalījumā pa tematiskajiem mērķiem.</w:t>
      </w:r>
    </w:p>
    <w:p w14:paraId="5B275C18" w14:textId="7DB31A1D" w:rsidR="00E12DFB" w:rsidRPr="00E12DFB" w:rsidRDefault="00E12DFB" w:rsidP="003F45DC">
      <w:pPr>
        <w:spacing w:before="120" w:after="120" w:line="276" w:lineRule="auto"/>
        <w:jc w:val="both"/>
        <w:rPr>
          <w:rFonts w:cs="Times New Roman"/>
        </w:rPr>
      </w:pPr>
      <w:r w:rsidRPr="00E12DFB">
        <w:rPr>
          <w:rFonts w:eastAsia="Times New Roman" w:cs="Times New Roman"/>
          <w:szCs w:val="24"/>
        </w:rPr>
        <w:lastRenderedPageBreak/>
        <w:t xml:space="preserve">Pārskata periodā turpinājās darbs pie </w:t>
      </w:r>
      <w:r w:rsidR="00C71796">
        <w:rPr>
          <w:rFonts w:eastAsia="Times New Roman" w:cs="Times New Roman"/>
          <w:szCs w:val="24"/>
        </w:rPr>
        <w:t xml:space="preserve">SAM </w:t>
      </w:r>
      <w:r w:rsidRPr="00E12DFB">
        <w:rPr>
          <w:rFonts w:eastAsia="Times New Roman" w:cs="Times New Roman"/>
          <w:szCs w:val="24"/>
        </w:rPr>
        <w:t>īstenošanas nosacījumu izstrādes.</w:t>
      </w:r>
    </w:p>
    <w:p w14:paraId="1004E082" w14:textId="77777777" w:rsidR="00E12DFB" w:rsidRPr="00E12DFB" w:rsidRDefault="00E12DFB" w:rsidP="003F45DC">
      <w:pPr>
        <w:spacing w:before="120" w:after="120" w:line="276" w:lineRule="auto"/>
        <w:jc w:val="both"/>
        <w:rPr>
          <w:rFonts w:cs="Times New Roman"/>
        </w:rPr>
      </w:pPr>
      <w:r w:rsidRPr="00E12DFB">
        <w:rPr>
          <w:rFonts w:cs="Times New Roman"/>
          <w:b/>
        </w:rPr>
        <w:t>SM progress ES fondu 2014.–2020.gada plānošanas perioda SAM īstenošanas uzsākšanā</w:t>
      </w:r>
      <w:r w:rsidRPr="00E12DFB">
        <w:rPr>
          <w:rFonts w:cs="Times New Roman"/>
        </w:rPr>
        <w:t>:</w:t>
      </w:r>
    </w:p>
    <w:p w14:paraId="2625A243" w14:textId="77777777" w:rsidR="00E12DFB" w:rsidRPr="00E12DFB" w:rsidRDefault="00E12DFB" w:rsidP="003F45DC">
      <w:pPr>
        <w:numPr>
          <w:ilvl w:val="0"/>
          <w:numId w:val="26"/>
        </w:numPr>
        <w:spacing w:before="120" w:after="120" w:line="276" w:lineRule="auto"/>
        <w:ind w:hanging="357"/>
        <w:jc w:val="both"/>
        <w:rPr>
          <w:rFonts w:cs="Times New Roman"/>
          <w:szCs w:val="24"/>
        </w:rPr>
      </w:pPr>
      <w:r w:rsidRPr="00E12DFB">
        <w:rPr>
          <w:rFonts w:cs="Times New Roman"/>
          <w:szCs w:val="24"/>
        </w:rPr>
        <w:t>MK 2014.gada 22.aprīļa sēdē apstiprināts informatīvais ziņojums par 6.1.5.SAM “Valsts galveno autoceļu segu pārbūve, nestspējas palielināšana” ieviešanu (MK prot.Nr.24, 36.§.);</w:t>
      </w:r>
    </w:p>
    <w:p w14:paraId="0CCE9F50" w14:textId="77777777" w:rsidR="00E12DFB" w:rsidRPr="00E12DFB" w:rsidRDefault="00E12DFB" w:rsidP="003F45DC">
      <w:pPr>
        <w:numPr>
          <w:ilvl w:val="0"/>
          <w:numId w:val="26"/>
        </w:numPr>
        <w:spacing w:before="120" w:after="120" w:line="276" w:lineRule="auto"/>
        <w:ind w:hanging="357"/>
        <w:jc w:val="both"/>
        <w:rPr>
          <w:rFonts w:cs="Times New Roman"/>
          <w:szCs w:val="24"/>
        </w:rPr>
      </w:pPr>
      <w:r w:rsidRPr="00E12DFB">
        <w:rPr>
          <w:rFonts w:cs="Times New Roman"/>
          <w:szCs w:val="24"/>
        </w:rPr>
        <w:t>Ar MK 2014.gada 13.oktobra rīkojumu Nr.574 apstiprināti nosacījumi 6.1.3.SAM “Nodrošināt nepieciešamo infrastruktūru uz Rīgas maģistrālajiem pārvadiem un novērst maģistrālo ielu fragmentāro raksturu” 1.kārtas projekta priekšlikuma “Salu tilta kompleksa rekonstrukcija” īstenošanai;</w:t>
      </w:r>
    </w:p>
    <w:p w14:paraId="6DC271AA" w14:textId="77777777" w:rsidR="00E12DFB" w:rsidRPr="00E12DFB" w:rsidRDefault="00E12DFB" w:rsidP="003F45DC">
      <w:pPr>
        <w:numPr>
          <w:ilvl w:val="0"/>
          <w:numId w:val="26"/>
        </w:numPr>
        <w:spacing w:before="120" w:after="120" w:line="276" w:lineRule="auto"/>
        <w:ind w:hanging="357"/>
        <w:jc w:val="both"/>
        <w:rPr>
          <w:rFonts w:cs="Times New Roman"/>
          <w:szCs w:val="24"/>
        </w:rPr>
      </w:pPr>
      <w:r w:rsidRPr="00E12DFB">
        <w:rPr>
          <w:rFonts w:cs="Times New Roman"/>
          <w:szCs w:val="24"/>
        </w:rPr>
        <w:t>Ar MK 2014.gada 13.oktobra rīkojumu Nr.573 apstiprināti nosacījumi 6.3.1.SAM “Palielināt reģionālo mobilitāti, uzlabojot valsts reģionālo autoceļu kvalitāti” īstenošanai;</w:t>
      </w:r>
    </w:p>
    <w:p w14:paraId="578F6A09" w14:textId="77777777" w:rsidR="00E12DFB" w:rsidRPr="00E12DFB" w:rsidRDefault="00E12DFB" w:rsidP="003F45DC">
      <w:pPr>
        <w:numPr>
          <w:ilvl w:val="0"/>
          <w:numId w:val="26"/>
        </w:numPr>
        <w:spacing w:before="120" w:after="120" w:line="276" w:lineRule="auto"/>
        <w:ind w:hanging="357"/>
        <w:jc w:val="both"/>
        <w:rPr>
          <w:rFonts w:cs="Times New Roman"/>
          <w:szCs w:val="24"/>
        </w:rPr>
      </w:pPr>
      <w:r w:rsidRPr="00E12DFB">
        <w:rPr>
          <w:rFonts w:cs="Times New Roman"/>
        </w:rPr>
        <w:t xml:space="preserve">2014.gada 23.decembrī </w:t>
      </w:r>
      <w:r w:rsidRPr="00E12DFB">
        <w:t xml:space="preserve">UK rakstiskās procedūras ietvaros </w:t>
      </w:r>
      <w:r w:rsidRPr="00E12DFB">
        <w:rPr>
          <w:rFonts w:cs="Times New Roman"/>
        </w:rPr>
        <w:t>apstiprināti SM izstrādātie projektu iesniegumu vērtēšanas kritēriji:</w:t>
      </w:r>
    </w:p>
    <w:p w14:paraId="33E3CF09" w14:textId="77777777" w:rsidR="00E12DFB" w:rsidRPr="00E12DFB" w:rsidRDefault="00E12DFB" w:rsidP="003F45DC">
      <w:pPr>
        <w:numPr>
          <w:ilvl w:val="0"/>
          <w:numId w:val="27"/>
        </w:numPr>
        <w:spacing w:before="120" w:after="120" w:line="276" w:lineRule="auto"/>
        <w:ind w:hanging="357"/>
        <w:jc w:val="both"/>
        <w:rPr>
          <w:rFonts w:cs="Times New Roman"/>
          <w:szCs w:val="24"/>
        </w:rPr>
      </w:pPr>
      <w:r w:rsidRPr="00E12DFB">
        <w:rPr>
          <w:rFonts w:cs="Times New Roman"/>
        </w:rPr>
        <w:t>6.1.3.SAM “Nodrošināt nepieciešamo infrastruktūru uz Rīgas maģistrālajiem pārvadiem un novērst maģistrālo ielu fragmentāro raksturu” 6.1.3.1.pasākuma “Salu tilta kompleksa rekonstrukcija un Raņķa dambja un Vienības gatves, Mūkusalas ielas savienojuma izbūve” īstenošanai;</w:t>
      </w:r>
    </w:p>
    <w:p w14:paraId="458A5819" w14:textId="77777777" w:rsidR="00E12DFB" w:rsidRPr="00E12DFB" w:rsidRDefault="00E12DFB" w:rsidP="003F45DC">
      <w:pPr>
        <w:numPr>
          <w:ilvl w:val="0"/>
          <w:numId w:val="27"/>
        </w:numPr>
        <w:spacing w:before="120" w:after="120" w:line="276" w:lineRule="auto"/>
        <w:ind w:hanging="357"/>
        <w:jc w:val="both"/>
        <w:rPr>
          <w:rFonts w:cs="Times New Roman"/>
          <w:szCs w:val="24"/>
        </w:rPr>
      </w:pPr>
      <w:r w:rsidRPr="00E12DFB">
        <w:rPr>
          <w:rFonts w:cs="Times New Roman"/>
        </w:rPr>
        <w:t>6.1.5.SAM “Valsts galveno autoceļu segu pārbūve, nestspējas palielināšana” īstenošanai;</w:t>
      </w:r>
    </w:p>
    <w:p w14:paraId="5FF25400" w14:textId="5CF98199" w:rsidR="00901C7A" w:rsidRPr="00E12DFB" w:rsidRDefault="00E12DFB" w:rsidP="000A03C6">
      <w:pPr>
        <w:numPr>
          <w:ilvl w:val="0"/>
          <w:numId w:val="27"/>
        </w:numPr>
        <w:spacing w:before="120" w:after="120" w:line="276" w:lineRule="auto"/>
        <w:ind w:hanging="357"/>
        <w:jc w:val="both"/>
      </w:pPr>
      <w:r w:rsidRPr="00E12DFB">
        <w:rPr>
          <w:rFonts w:cs="Times New Roman"/>
          <w:szCs w:val="24"/>
        </w:rPr>
        <w:t>6.3.1.SAM “Palielināt reģionālo mobilitāti, uzlabojot valsts reģionālo autoceļu kvalitāti” īstenošanai.</w:t>
      </w:r>
    </w:p>
    <w:p w14:paraId="4A560B4E" w14:textId="77777777" w:rsidR="00E12DFB" w:rsidRPr="00E12DFB" w:rsidRDefault="00E12DFB" w:rsidP="003F45DC">
      <w:pPr>
        <w:spacing w:before="120" w:after="120" w:line="276" w:lineRule="auto"/>
        <w:jc w:val="both"/>
        <w:rPr>
          <w:rFonts w:cs="Times New Roman"/>
        </w:rPr>
      </w:pPr>
      <w:r w:rsidRPr="00E12DFB">
        <w:rPr>
          <w:rFonts w:cs="Times New Roman"/>
          <w:b/>
          <w:szCs w:val="24"/>
        </w:rPr>
        <w:t xml:space="preserve">LM progress ES fondu </w:t>
      </w:r>
      <w:r w:rsidRPr="00E12DFB">
        <w:rPr>
          <w:rFonts w:cs="Times New Roman"/>
          <w:b/>
        </w:rPr>
        <w:t>2014.-2020.gada plānošanas perioda SAM īstenošanas uzsākšanā</w:t>
      </w:r>
      <w:r w:rsidRPr="00E12DFB">
        <w:rPr>
          <w:rFonts w:cs="Times New Roman"/>
        </w:rPr>
        <w:t>:</w:t>
      </w:r>
    </w:p>
    <w:p w14:paraId="16CF3802" w14:textId="19F59CBC" w:rsidR="00FC65C6" w:rsidRPr="00FC65C6" w:rsidRDefault="00FC65C6" w:rsidP="00FC65C6">
      <w:pPr>
        <w:numPr>
          <w:ilvl w:val="0"/>
          <w:numId w:val="29"/>
        </w:numPr>
        <w:spacing w:before="120" w:after="120" w:line="276" w:lineRule="auto"/>
        <w:ind w:hanging="436"/>
        <w:jc w:val="both"/>
        <w:rPr>
          <w:rFonts w:cs="Times New Roman"/>
          <w:szCs w:val="24"/>
        </w:rPr>
      </w:pPr>
      <w:r w:rsidRPr="00E12DFB">
        <w:rPr>
          <w:rFonts w:cs="Times New Roman"/>
          <w:szCs w:val="24"/>
        </w:rPr>
        <w:t>VSS 2014.gada 30.</w:t>
      </w:r>
      <w:r>
        <w:rPr>
          <w:rFonts w:cs="Times New Roman"/>
          <w:szCs w:val="24"/>
        </w:rPr>
        <w:t>oktobrī</w:t>
      </w:r>
      <w:r w:rsidRPr="00E12DFB">
        <w:rPr>
          <w:rFonts w:cs="Times New Roman"/>
          <w:szCs w:val="24"/>
        </w:rPr>
        <w:t xml:space="preserve"> izsludināts MK noteikumu projekts par 9.2.2.SAM “Palielināt kvalitatīvu institucionālai aprūpei alternatīvu sociālo pakalpojumu dzīvesvietā un ģimeniskai videi pietuvinātu pakalpojumu pieejamību personām ar invaliditāti un bērniem” pasākuma “Deinstitucionalizācija” īstenošanu;</w:t>
      </w:r>
    </w:p>
    <w:p w14:paraId="61FC843A" w14:textId="77777777" w:rsidR="00E12DFB" w:rsidRPr="00E12DFB" w:rsidRDefault="00E12DFB" w:rsidP="003F45DC">
      <w:pPr>
        <w:numPr>
          <w:ilvl w:val="0"/>
          <w:numId w:val="29"/>
        </w:numPr>
        <w:spacing w:before="120" w:after="120" w:line="276" w:lineRule="auto"/>
        <w:ind w:hanging="436"/>
        <w:jc w:val="both"/>
        <w:rPr>
          <w:rFonts w:cs="Times New Roman"/>
          <w:szCs w:val="24"/>
        </w:rPr>
      </w:pPr>
      <w:r w:rsidRPr="00E12DFB">
        <w:rPr>
          <w:rFonts w:cs="Times New Roman"/>
          <w:szCs w:val="24"/>
        </w:rPr>
        <w:t>VSS 2014.gada 27.novembrī izsludināts MK noteikumu projekts par 9.2.1.SAM “Paaugstināt sociālo dienestu darba efektivitāti un darbinieku profesionalitāti darbam ar riska situācijā esošām personām” pasākuma “Profesionāla sociālā darba attīstība pašvaldībās” īstenošanu;</w:t>
      </w:r>
    </w:p>
    <w:p w14:paraId="43CCB247" w14:textId="77777777" w:rsidR="00E12DFB" w:rsidRPr="00E12DFB" w:rsidRDefault="00E12DFB" w:rsidP="003F45DC">
      <w:pPr>
        <w:numPr>
          <w:ilvl w:val="0"/>
          <w:numId w:val="29"/>
        </w:numPr>
        <w:spacing w:before="120" w:after="120" w:line="276" w:lineRule="auto"/>
        <w:ind w:hanging="436"/>
        <w:jc w:val="both"/>
        <w:rPr>
          <w:rFonts w:cs="Times New Roman"/>
          <w:szCs w:val="24"/>
        </w:rPr>
      </w:pPr>
      <w:r w:rsidRPr="00E12DFB">
        <w:rPr>
          <w:rFonts w:cs="Times New Roman"/>
          <w:szCs w:val="24"/>
        </w:rPr>
        <w:t>MK 2014.gada 23.decembrī apstiprināti:</w:t>
      </w:r>
    </w:p>
    <w:p w14:paraId="5DB16418" w14:textId="77777777" w:rsidR="00E12DFB" w:rsidRPr="00E12DFB" w:rsidRDefault="00E12DFB" w:rsidP="003F45DC">
      <w:pPr>
        <w:numPr>
          <w:ilvl w:val="0"/>
          <w:numId w:val="27"/>
        </w:numPr>
        <w:spacing w:before="120" w:after="120" w:line="276" w:lineRule="auto"/>
        <w:jc w:val="both"/>
        <w:rPr>
          <w:rFonts w:cs="Times New Roman"/>
          <w:szCs w:val="24"/>
        </w:rPr>
      </w:pPr>
      <w:r w:rsidRPr="00E12DFB">
        <w:rPr>
          <w:rFonts w:cs="Times New Roman"/>
          <w:szCs w:val="24"/>
        </w:rPr>
        <w:t>7.1.1.SAM “Paaugstināt bezdarbnieku kvalifikāciju un prasmes atbilstoši darba tirgus pieprasījumam” īstenošanas nosacījumi, paredzot SAM īstenošanas uzsākšanu 2015.gada 2.janvārī;</w:t>
      </w:r>
    </w:p>
    <w:p w14:paraId="7959E115" w14:textId="77777777" w:rsidR="00E12DFB" w:rsidRPr="00E12DFB" w:rsidRDefault="00E12DFB" w:rsidP="003F45DC">
      <w:pPr>
        <w:numPr>
          <w:ilvl w:val="0"/>
          <w:numId w:val="27"/>
        </w:numPr>
        <w:spacing w:before="120" w:after="120" w:line="276" w:lineRule="auto"/>
        <w:jc w:val="both"/>
        <w:rPr>
          <w:rFonts w:cs="Times New Roman"/>
          <w:szCs w:val="24"/>
        </w:rPr>
      </w:pPr>
      <w:r w:rsidRPr="00E12DFB">
        <w:rPr>
          <w:rFonts w:cs="Times New Roman"/>
          <w:szCs w:val="24"/>
        </w:rPr>
        <w:lastRenderedPageBreak/>
        <w:t>9.1.1.SAM “Palielināt nelabvēlīgākā situācijā esošu bezdarbnieku iekļaušanos darba tirgū” pasākuma “Subsidētās darbavietas nelabvēlīgākā situācijā esošiem bezdarbniekiem” īstenošanas noteikumi, paredzot SAM īstenošanas uzsākšanu 2015.gada 2.februārī;</w:t>
      </w:r>
    </w:p>
    <w:p w14:paraId="081CD6D9" w14:textId="77777777" w:rsidR="00E12DFB" w:rsidRPr="00E12DFB" w:rsidRDefault="00E12DFB" w:rsidP="003F45DC">
      <w:pPr>
        <w:numPr>
          <w:ilvl w:val="0"/>
          <w:numId w:val="29"/>
        </w:numPr>
        <w:spacing w:before="120" w:after="120" w:line="276" w:lineRule="auto"/>
        <w:ind w:hanging="436"/>
        <w:jc w:val="both"/>
        <w:rPr>
          <w:rFonts w:cs="Times New Roman"/>
          <w:szCs w:val="24"/>
        </w:rPr>
      </w:pPr>
      <w:r w:rsidRPr="00E12DFB">
        <w:rPr>
          <w:rFonts w:cs="Times New Roman"/>
          <w:szCs w:val="24"/>
        </w:rPr>
        <w:t xml:space="preserve">2014.gada 23.decembrī iesniegts saskaņošanai MK noteikumu projekts </w:t>
      </w:r>
      <w:r w:rsidRPr="00E12DFB">
        <w:rPr>
          <w:rFonts w:cs="Times New Roman"/>
          <w:bCs/>
          <w:szCs w:val="24"/>
        </w:rPr>
        <w:t>7.2.1.SAM “Palielināt nodarbinātībā, izglītībā vai apmācībās neiesaistītu jauniešu nodarbinātību un izglītības ieguvi Jauniešu garantijas ietvaros” pasākumu “Aktīvās darba tirgus politikas pasākumu īstenošana jauniešu bezdarbnieku nodarbinātības veicināšanai” un “Sākotnējās profesionālās izglītības programmu īstenošana Jauniešu garantijas ietvaros” īstenošanas noteikumi</w:t>
      </w:r>
      <w:r w:rsidRPr="00E12DFB">
        <w:rPr>
          <w:rFonts w:cs="Times New Roman"/>
          <w:szCs w:val="24"/>
        </w:rPr>
        <w:t>” īstenošanai, kas balstās uz 2013.gada 17.decembra un 2014.gada MK apstiprinātajiem informatīvajiem ziņojumiem</w:t>
      </w:r>
      <w:r w:rsidRPr="00E12DFB">
        <w:rPr>
          <w:rFonts w:cs="Times New Roman"/>
          <w:szCs w:val="24"/>
          <w:vertAlign w:val="superscript"/>
        </w:rPr>
        <w:footnoteReference w:id="49"/>
      </w:r>
      <w:r w:rsidRPr="00E12DFB">
        <w:rPr>
          <w:rFonts w:cs="Times New Roman"/>
          <w:szCs w:val="24"/>
        </w:rPr>
        <w:t>.</w:t>
      </w:r>
    </w:p>
    <w:p w14:paraId="556AEBD1" w14:textId="77777777" w:rsidR="00E12DFB" w:rsidRPr="00E12DFB" w:rsidRDefault="00E12DFB" w:rsidP="003F45DC">
      <w:pPr>
        <w:numPr>
          <w:ilvl w:val="0"/>
          <w:numId w:val="29"/>
        </w:numPr>
        <w:spacing w:before="120" w:after="120" w:line="276" w:lineRule="auto"/>
        <w:ind w:hanging="436"/>
        <w:jc w:val="both"/>
        <w:rPr>
          <w:rFonts w:cs="Times New Roman"/>
          <w:szCs w:val="24"/>
        </w:rPr>
      </w:pPr>
      <w:r w:rsidRPr="00E12DFB">
        <w:rPr>
          <w:rFonts w:cs="Times New Roman"/>
        </w:rPr>
        <w:t xml:space="preserve">2014.gada 23.decembrī UK </w:t>
      </w:r>
      <w:r w:rsidRPr="00E12DFB">
        <w:t>rakstiskās procedūras ietvaros</w:t>
      </w:r>
      <w:r w:rsidRPr="00E12DFB">
        <w:rPr>
          <w:rFonts w:cs="Times New Roman"/>
        </w:rPr>
        <w:t xml:space="preserve"> apstiprināti LM izstrādātie projektu iesniegumu vērtēšanas kritēriji:</w:t>
      </w:r>
    </w:p>
    <w:p w14:paraId="01E5987B" w14:textId="77777777" w:rsidR="00E12DFB" w:rsidRPr="00E12DFB" w:rsidRDefault="00E12DFB" w:rsidP="003F45DC">
      <w:pPr>
        <w:numPr>
          <w:ilvl w:val="0"/>
          <w:numId w:val="28"/>
        </w:numPr>
        <w:spacing w:before="120" w:after="120" w:line="276" w:lineRule="auto"/>
        <w:ind w:left="1134" w:hanging="425"/>
        <w:jc w:val="both"/>
        <w:rPr>
          <w:rFonts w:cs="Times New Roman"/>
          <w:szCs w:val="24"/>
        </w:rPr>
      </w:pPr>
      <w:r w:rsidRPr="00E12DFB">
        <w:rPr>
          <w:rFonts w:cs="Times New Roman"/>
          <w:szCs w:val="24"/>
        </w:rPr>
        <w:t xml:space="preserve">7.1.1.SAM “Paaugstināt bezdarbnieku kvalifikāciju un prasmes atbilstoši darba tirgus pieprasījumam” </w:t>
      </w:r>
      <w:r w:rsidRPr="00E12DFB">
        <w:rPr>
          <w:rFonts w:cs="Times New Roman"/>
        </w:rPr>
        <w:t>īstenošanai</w:t>
      </w:r>
      <w:r w:rsidRPr="00E12DFB">
        <w:rPr>
          <w:rFonts w:cs="Times New Roman"/>
          <w:szCs w:val="24"/>
        </w:rPr>
        <w:t>;</w:t>
      </w:r>
    </w:p>
    <w:p w14:paraId="60175B35" w14:textId="77777777" w:rsidR="00E12DFB" w:rsidRPr="00E12DFB" w:rsidRDefault="00E12DFB" w:rsidP="003F45DC">
      <w:pPr>
        <w:numPr>
          <w:ilvl w:val="0"/>
          <w:numId w:val="28"/>
        </w:numPr>
        <w:spacing w:before="120" w:after="120" w:line="276" w:lineRule="auto"/>
        <w:ind w:left="1134" w:hanging="425"/>
        <w:jc w:val="both"/>
        <w:rPr>
          <w:rFonts w:cs="Times New Roman"/>
          <w:szCs w:val="24"/>
        </w:rPr>
      </w:pPr>
      <w:r w:rsidRPr="00E12DFB">
        <w:rPr>
          <w:rFonts w:cs="Times New Roman"/>
          <w:szCs w:val="24"/>
        </w:rPr>
        <w:t>7.1.2.SAM “Izveidot darba tirgus apsteidzošo pārkārtojumu sistēmu, nodrošināt tās sasaisti ar nodarbinātības barometru” 7.1.2.1.pasākuma “EURES tīkla darbības nodrošināšana” īstenošanai;</w:t>
      </w:r>
    </w:p>
    <w:p w14:paraId="7B12E6C1" w14:textId="77777777" w:rsidR="00E12DFB" w:rsidRPr="00E12DFB" w:rsidRDefault="00E12DFB" w:rsidP="003F45DC">
      <w:pPr>
        <w:numPr>
          <w:ilvl w:val="0"/>
          <w:numId w:val="28"/>
        </w:numPr>
        <w:spacing w:before="120" w:after="120" w:line="276" w:lineRule="auto"/>
        <w:ind w:left="1134" w:hanging="425"/>
        <w:jc w:val="both"/>
        <w:rPr>
          <w:rFonts w:cs="Times New Roman"/>
          <w:szCs w:val="24"/>
        </w:rPr>
      </w:pPr>
      <w:r w:rsidRPr="00E12DFB">
        <w:rPr>
          <w:rFonts w:cs="Times New Roman"/>
          <w:szCs w:val="24"/>
        </w:rPr>
        <w:t xml:space="preserve">7.2.1.SAM “Palielināt nodarbinātībā, izglītībā vai apmācībās neiesaistītu jauniešu nodarbinātību un izglītības ieguvi Jauniešu garantijas ietvaros” 7.2.1.1.pasākuma “Aktīvās darba tirgus politikas pasākumu īstenošana jauniešu bezdarbnieku nodarbinātības veicināšanai” </w:t>
      </w:r>
      <w:r w:rsidRPr="00E12DFB">
        <w:rPr>
          <w:rFonts w:cs="Times New Roman"/>
        </w:rPr>
        <w:t>īstenošanai</w:t>
      </w:r>
      <w:r w:rsidRPr="00E12DFB">
        <w:rPr>
          <w:rFonts w:cs="Times New Roman"/>
          <w:szCs w:val="24"/>
        </w:rPr>
        <w:t>;</w:t>
      </w:r>
    </w:p>
    <w:p w14:paraId="1F2B7D8A" w14:textId="77777777" w:rsidR="00E12DFB" w:rsidRPr="00E12DFB" w:rsidRDefault="00E12DFB" w:rsidP="003F45DC">
      <w:pPr>
        <w:numPr>
          <w:ilvl w:val="0"/>
          <w:numId w:val="28"/>
        </w:numPr>
        <w:spacing w:before="120" w:after="120" w:line="276" w:lineRule="auto"/>
        <w:ind w:left="1134" w:hanging="425"/>
        <w:jc w:val="both"/>
        <w:rPr>
          <w:rFonts w:cs="Times New Roman"/>
          <w:szCs w:val="24"/>
        </w:rPr>
      </w:pPr>
      <w:r w:rsidRPr="00E12DFB">
        <w:rPr>
          <w:rFonts w:cs="Times New Roman"/>
          <w:szCs w:val="24"/>
        </w:rPr>
        <w:t xml:space="preserve">7.2.1.SAM “Palielināt nodarbinātībā, izglītībā vai apmācībās neiesaistītu jauniešu nodarbinātību un izglītības ieguvi Jauniešu garantijas ietvaros” 7.2.1.2.pasākuma “Sākotnējās profesionālās izglītības programmu īstenošana Jauniešu garantijas ietvaros” </w:t>
      </w:r>
      <w:r w:rsidRPr="00E12DFB">
        <w:rPr>
          <w:rFonts w:cs="Times New Roman"/>
        </w:rPr>
        <w:t>īstenošanai</w:t>
      </w:r>
      <w:r w:rsidRPr="00E12DFB">
        <w:rPr>
          <w:rFonts w:cs="Times New Roman"/>
          <w:szCs w:val="24"/>
        </w:rPr>
        <w:t>;</w:t>
      </w:r>
    </w:p>
    <w:p w14:paraId="627BE1AF" w14:textId="79C2D00B" w:rsidR="00E12DFB" w:rsidRPr="00E12DFB" w:rsidRDefault="00E12DFB" w:rsidP="003F45DC">
      <w:pPr>
        <w:numPr>
          <w:ilvl w:val="0"/>
          <w:numId w:val="28"/>
        </w:numPr>
        <w:spacing w:before="120" w:after="120" w:line="276" w:lineRule="auto"/>
        <w:ind w:left="1134" w:hanging="425"/>
        <w:jc w:val="both"/>
      </w:pPr>
      <w:r w:rsidRPr="00E12DFB">
        <w:rPr>
          <w:rFonts w:cs="Times New Roman"/>
        </w:rPr>
        <w:t>9.1.1.SAM “Palielināt nelabvēlīgā situācijā esošu bezdarbnieku iekļaušanos darba tirgū” 9.1.1.1.pasākuma “Subsidētās darbavietas nelabvēlīgā situācijā esošiem bezdarbniekiem” īstenošanai.</w:t>
      </w:r>
    </w:p>
    <w:p w14:paraId="458DEC83" w14:textId="77777777" w:rsidR="00E12DFB" w:rsidRPr="00E12DFB" w:rsidRDefault="00E12DFB" w:rsidP="003F45DC">
      <w:pPr>
        <w:spacing w:before="120" w:after="120" w:line="276" w:lineRule="auto"/>
        <w:jc w:val="both"/>
      </w:pPr>
      <w:r w:rsidRPr="00E12DFB">
        <w:rPr>
          <w:b/>
        </w:rPr>
        <w:t xml:space="preserve">VM progress </w:t>
      </w:r>
      <w:r w:rsidRPr="00E12DFB">
        <w:rPr>
          <w:rFonts w:cs="Times New Roman"/>
          <w:b/>
          <w:szCs w:val="24"/>
        </w:rPr>
        <w:t>ES fondu</w:t>
      </w:r>
      <w:r w:rsidRPr="00E12DFB">
        <w:rPr>
          <w:b/>
        </w:rPr>
        <w:t xml:space="preserve"> 2014.-2020.gada plānošanas perioda SAM īstenošanas uzsākšanā</w:t>
      </w:r>
      <w:r w:rsidRPr="00E12DFB">
        <w:t>:</w:t>
      </w:r>
    </w:p>
    <w:p w14:paraId="70B733AE" w14:textId="77777777" w:rsidR="00E12DFB" w:rsidRPr="00E12DFB" w:rsidRDefault="00E12DFB" w:rsidP="003F45DC">
      <w:pPr>
        <w:numPr>
          <w:ilvl w:val="0"/>
          <w:numId w:val="30"/>
        </w:numPr>
        <w:spacing w:before="120" w:after="120" w:line="276" w:lineRule="auto"/>
        <w:ind w:hanging="436"/>
        <w:contextualSpacing/>
        <w:jc w:val="both"/>
        <w:rPr>
          <w:rFonts w:cs="Times New Roman"/>
        </w:rPr>
      </w:pPr>
      <w:r w:rsidRPr="00E12DFB">
        <w:rPr>
          <w:rFonts w:cs="Times New Roman"/>
        </w:rPr>
        <w:t xml:space="preserve">Apstiprināti MK 2014.gada 28.oktobra noteikumi Nr.666 par 9.2.3.SAM “Atbalstīt prioritāro (sirds un asinsvadu, onkoloģijas, perinatālā un neonatālā perioda aprūpes un garīgās veselības) veselības jomu veselības tīklu attīstības vadlīniju un kvalitātes </w:t>
      </w:r>
      <w:r w:rsidRPr="00E12DFB">
        <w:rPr>
          <w:rFonts w:cs="Times New Roman"/>
        </w:rPr>
        <w:lastRenderedPageBreak/>
        <w:t>nodrošināšanas sistēmas izstrādi un ieviešanu, jo īpaši sociālās atstumtības un nabadzības riskam pakļauto iedzīvotāju veselības uzlabošanai” īstenošanu. Ir uzsākta SAM īstenošana, paredzot veselības tīklu attīstības vadlīniju, kas nosaka pacientu plūsmas kārtību prioritāro veselības jomu ietvaros, izstrāde un ieviešana, kā arī ar tām saistītās kvalitātes nodrošināšanas sistēmas, kas ir atbildīga par vienotiem kvalitātes kritērijiem dažādos ārstniecības profilos, izstrāde un ieviešana.</w:t>
      </w:r>
    </w:p>
    <w:p w14:paraId="3F468F19" w14:textId="77777777" w:rsidR="00E12DFB" w:rsidRPr="00E12DFB" w:rsidRDefault="00E12DFB" w:rsidP="003F45DC">
      <w:pPr>
        <w:numPr>
          <w:ilvl w:val="0"/>
          <w:numId w:val="30"/>
        </w:numPr>
        <w:spacing w:before="120" w:after="120" w:line="276" w:lineRule="auto"/>
        <w:ind w:hanging="436"/>
        <w:jc w:val="both"/>
        <w:rPr>
          <w:rFonts w:cs="Times New Roman"/>
        </w:rPr>
      </w:pPr>
      <w:r w:rsidRPr="00E12DFB">
        <w:rPr>
          <w:rFonts w:cs="Times New Roman"/>
        </w:rPr>
        <w:t xml:space="preserve">2014.gada 23.decembrī UK </w:t>
      </w:r>
      <w:r w:rsidRPr="00E12DFB">
        <w:t>rakstiskās procedūras ietvaros</w:t>
      </w:r>
      <w:r w:rsidRPr="00E12DFB">
        <w:rPr>
          <w:rFonts w:cs="Times New Roman"/>
        </w:rPr>
        <w:t xml:space="preserve"> apstiprināti VM izstrādātie projektu iesniegumu vērtēšanas kritēriji 9.2.3.SAM “Atbalstīt prioritāro (sirds un asinsvadu, onkoloģijas, perinatālā un neonatālā perioda aprūpes un garīgās veselības) veselības jomu veselības tīklu attīstības vadlīniju un kvalitātes nodrošināšanas sistēmas izstrādi un ieviešanu, jo īpaši sociālās atstumtības un nabadzības riskam pakļauto iedzīvotāju veselības uzlabošanai” īstenošanai.</w:t>
      </w:r>
    </w:p>
    <w:p w14:paraId="10EC99B6" w14:textId="77777777" w:rsidR="00E12DFB" w:rsidRDefault="00E12DFB" w:rsidP="003F45DC">
      <w:pPr>
        <w:spacing w:before="120" w:after="120" w:line="276" w:lineRule="auto"/>
        <w:jc w:val="both"/>
        <w:rPr>
          <w:rFonts w:cs="Times New Roman"/>
        </w:rPr>
      </w:pPr>
      <w:r w:rsidRPr="00E12DFB">
        <w:rPr>
          <w:b/>
        </w:rPr>
        <w:t>VARAM progress</w:t>
      </w:r>
      <w:r w:rsidRPr="00E12DFB">
        <w:t xml:space="preserve"> </w:t>
      </w:r>
      <w:r w:rsidRPr="00E12DFB">
        <w:rPr>
          <w:b/>
        </w:rPr>
        <w:t>ES fondu 2014.-2020.gada plānošanas perioda SAM īstenošanas uzsākšanā</w:t>
      </w:r>
      <w:r w:rsidRPr="00E12DFB">
        <w:t xml:space="preserve"> – 2015.gada 14.janvārī </w:t>
      </w:r>
      <w:r w:rsidRPr="00E12DFB">
        <w:rPr>
          <w:rFonts w:cs="Times New Roman"/>
        </w:rPr>
        <w:t xml:space="preserve">UK </w:t>
      </w:r>
      <w:r w:rsidRPr="00E12DFB">
        <w:t>rakstiskās procedūras ietvaros</w:t>
      </w:r>
      <w:r w:rsidRPr="00E12DFB">
        <w:rPr>
          <w:rFonts w:cs="Times New Roman"/>
        </w:rPr>
        <w:t xml:space="preserve"> apstiprināti VARAM izstrādātie projektu iesniegumu vērtēšanas kritēriji 5.1.1.SAM “Novērst plūdu un krasta erozijas risku apdraudējumu pilsētu teritorijās” pirmās projektu iesniegumu atlases kārtas „Pasākumi augsta plūdu riska novēršanai” īstenošanai.</w:t>
      </w:r>
    </w:p>
    <w:p w14:paraId="5FD1969C" w14:textId="41B425CA" w:rsidR="00E12DFB" w:rsidRPr="00E12DFB" w:rsidRDefault="00E12DFB" w:rsidP="003F45DC">
      <w:pPr>
        <w:spacing w:before="120" w:after="120" w:line="276" w:lineRule="auto"/>
        <w:jc w:val="both"/>
        <w:rPr>
          <w:rFonts w:cs="Times New Roman"/>
          <w:szCs w:val="24"/>
        </w:rPr>
      </w:pPr>
      <w:r w:rsidRPr="00E12DFB">
        <w:t xml:space="preserve">Attiecībā uz </w:t>
      </w:r>
      <w:r w:rsidRPr="00E12DFB">
        <w:rPr>
          <w:b/>
        </w:rPr>
        <w:t>IZM progresu ES fondu 2014.-2020.gada plānošanas perioda SAM īstenošanas uzsākšanā</w:t>
      </w:r>
      <w:r w:rsidRPr="00E12DFB">
        <w:t xml:space="preserve">, informējam, ka </w:t>
      </w:r>
      <w:r w:rsidRPr="00E12DFB">
        <w:rPr>
          <w:rFonts w:cs="Times New Roman"/>
        </w:rPr>
        <w:t xml:space="preserve">2014.gada 23.decembrī UK </w:t>
      </w:r>
      <w:r w:rsidRPr="00E12DFB">
        <w:t>rakstiskās procedūras ietvaros</w:t>
      </w:r>
      <w:r w:rsidRPr="00E12DFB">
        <w:rPr>
          <w:rFonts w:cs="Times New Roman"/>
        </w:rPr>
        <w:t xml:space="preserve"> apstiprināti IZM izstrādātie</w:t>
      </w:r>
      <w:r w:rsidRPr="00E12DFB">
        <w:rPr>
          <w:rFonts w:cs="Times New Roman"/>
          <w:bCs/>
        </w:rPr>
        <w:t xml:space="preserve"> </w:t>
      </w:r>
      <w:r w:rsidRPr="00E12DFB">
        <w:rPr>
          <w:rFonts w:cs="Times New Roman"/>
        </w:rPr>
        <w:t>projektu iesniegumu vērtēšanas kritēriji</w:t>
      </w:r>
      <w:r w:rsidRPr="00E12DFB">
        <w:rPr>
          <w:rFonts w:cs="Times New Roman"/>
          <w:bCs/>
        </w:rPr>
        <w:t xml:space="preserve"> 8.3.3.SAM </w:t>
      </w:r>
      <w:r w:rsidRPr="00E12DFB">
        <w:rPr>
          <w:rFonts w:cs="Times New Roman"/>
        </w:rPr>
        <w:t>“</w:t>
      </w:r>
      <w:r w:rsidRPr="00E12DFB">
        <w:rPr>
          <w:rFonts w:cs="Times New Roman"/>
          <w:spacing w:val="5"/>
        </w:rPr>
        <w:t>Attīstīt NVA nereģistrēto NEET jauniešu prasmes un veicināt to iesaisti izglītībā, NVA īstenotajos pasākumos jauniešu garantijas ietvaros un nevalstisko organizāciju vai jauniešu centru darbībā</w:t>
      </w:r>
      <w:r w:rsidRPr="00E12DFB">
        <w:rPr>
          <w:rFonts w:cs="Times New Roman"/>
        </w:rPr>
        <w:t>” īstenošanai.</w:t>
      </w:r>
      <w:r w:rsidR="001E6F4D">
        <w:rPr>
          <w:rFonts w:cs="Times New Roman"/>
        </w:rPr>
        <w:t xml:space="preserve"> </w:t>
      </w:r>
      <w:r w:rsidR="001E6F4D" w:rsidRPr="001E6F4D">
        <w:rPr>
          <w:rFonts w:cs="Times New Roman"/>
        </w:rPr>
        <w:t xml:space="preserve">2014.gada 13.novembrī </w:t>
      </w:r>
      <w:r w:rsidR="001E6F4D">
        <w:rPr>
          <w:rFonts w:cs="Times New Roman"/>
        </w:rPr>
        <w:t>EK</w:t>
      </w:r>
      <w:r w:rsidR="001E6F4D" w:rsidRPr="001E6F4D">
        <w:rPr>
          <w:rFonts w:cs="Times New Roman"/>
        </w:rPr>
        <w:t xml:space="preserve"> tika nosūtīts vienas vienības izmaksu standarta likmju aprēķina un piemērošanas metodikas projekts 8.3.3.</w:t>
      </w:r>
      <w:r w:rsidR="00DD0C4B">
        <w:rPr>
          <w:rFonts w:cs="Times New Roman"/>
        </w:rPr>
        <w:t>SAM</w:t>
      </w:r>
      <w:r w:rsidR="001E6F4D" w:rsidRPr="001E6F4D">
        <w:rPr>
          <w:rFonts w:cs="Times New Roman"/>
        </w:rPr>
        <w:t xml:space="preserve"> „Attīstīt NVA nereģistrēto NEET jauniešu prasmes un veicināt to iesaisti izglītībā, NVA īstenotajos pasākumos jauniešu garantijas ietvaros un nevalstisko organizāciju vai jauniešu centru darbībā</w:t>
      </w:r>
      <w:r w:rsidR="001E6F4D">
        <w:rPr>
          <w:rFonts w:cs="Times New Roman"/>
        </w:rPr>
        <w:t>”</w:t>
      </w:r>
      <w:r w:rsidR="001E6F4D" w:rsidRPr="001E6F4D">
        <w:rPr>
          <w:rFonts w:cs="Times New Roman"/>
        </w:rPr>
        <w:t xml:space="preserve"> īstenošanai.</w:t>
      </w:r>
    </w:p>
    <w:p w14:paraId="068BC10E" w14:textId="22B1C21F" w:rsidR="00E12DFB" w:rsidRPr="00E12DFB" w:rsidRDefault="00E12DFB" w:rsidP="003F45DC">
      <w:pPr>
        <w:spacing w:before="120" w:after="120" w:line="276" w:lineRule="auto"/>
        <w:jc w:val="both"/>
        <w:rPr>
          <w:rFonts w:eastAsia="Times New Roman" w:cs="Times New Roman"/>
          <w:szCs w:val="24"/>
        </w:rPr>
      </w:pPr>
      <w:r w:rsidRPr="00E12DFB">
        <w:rPr>
          <w:rFonts w:eastAsia="Times New Roman" w:cs="Times New Roman"/>
          <w:szCs w:val="24"/>
        </w:rPr>
        <w:t xml:space="preserve">Vienlaikus turpinās darbs pie vairāku citu SAM un to pasākumu nosacījumu, kā arī sākotnējās ietekmes novērtējuma ziņojumu izstrādes un saskaņošanas apakškomitejās, lai nodrošinātu savlaicīgu ES fondu 2014.–2020.gada plānošanas perioda investīciju uzsākšanu. </w:t>
      </w:r>
    </w:p>
    <w:p w14:paraId="3D228EDD" w14:textId="100848C9" w:rsidR="00E12DFB" w:rsidRPr="00E12DFB" w:rsidRDefault="00E12DFB" w:rsidP="003F45DC">
      <w:pPr>
        <w:spacing w:before="120" w:after="120" w:line="276" w:lineRule="auto"/>
        <w:jc w:val="both"/>
        <w:rPr>
          <w:rFonts w:eastAsia="Times New Roman" w:cs="Times New Roman"/>
          <w:szCs w:val="24"/>
        </w:rPr>
      </w:pPr>
      <w:r w:rsidRPr="00E12DFB">
        <w:rPr>
          <w:rFonts w:eastAsia="Times New Roman" w:cs="Times New Roman"/>
          <w:szCs w:val="24"/>
        </w:rPr>
        <w:t>Detalizētāka informācija par SAM statusu un plānoto laika grafiku SAM īstenošanas uzsākšanai tiks iekļauta DP “Izaugsme un nodarbinātība” papildinājumā.</w:t>
      </w:r>
    </w:p>
    <w:p w14:paraId="3EFE125C" w14:textId="77777777" w:rsidR="004F5EB2" w:rsidRPr="00B57653" w:rsidRDefault="004F5EB2" w:rsidP="004F5EB2">
      <w:pPr>
        <w:spacing w:before="120" w:after="120" w:line="276" w:lineRule="auto"/>
        <w:jc w:val="both"/>
        <w:rPr>
          <w:rFonts w:eastAsia="Times New Roman" w:cs="Times New Roman"/>
          <w:szCs w:val="24"/>
        </w:rPr>
      </w:pPr>
      <w:r w:rsidRPr="00B57653">
        <w:rPr>
          <w:rFonts w:eastAsia="Times New Roman" w:cs="Times New Roman"/>
          <w:szCs w:val="24"/>
        </w:rPr>
        <w:t xml:space="preserve">Pārskata periodā turpinājās darbs pie ES fondu 2014.-2020.gada plānošanas perioda </w:t>
      </w:r>
      <w:r w:rsidRPr="006F4ABB">
        <w:rPr>
          <w:rFonts w:eastAsia="Times New Roman" w:cs="Times New Roman"/>
          <w:b/>
          <w:szCs w:val="24"/>
        </w:rPr>
        <w:t>vadības un kontroles sistēmas jautājumiem</w:t>
      </w:r>
      <w:r w:rsidRPr="00B57653">
        <w:rPr>
          <w:rFonts w:eastAsia="Times New Roman" w:cs="Times New Roman"/>
          <w:szCs w:val="24"/>
        </w:rPr>
        <w:t xml:space="preserve">: </w:t>
      </w:r>
    </w:p>
    <w:p w14:paraId="34131D9A" w14:textId="77777777" w:rsidR="004F5EB2" w:rsidRPr="00B57653" w:rsidRDefault="004F5EB2" w:rsidP="00E12DFB">
      <w:pPr>
        <w:numPr>
          <w:ilvl w:val="0"/>
          <w:numId w:val="7"/>
        </w:numPr>
        <w:spacing w:before="120" w:after="120" w:line="276" w:lineRule="auto"/>
        <w:jc w:val="both"/>
        <w:rPr>
          <w:rFonts w:eastAsia="Times New Roman" w:cs="Times New Roman"/>
          <w:szCs w:val="24"/>
        </w:rPr>
      </w:pPr>
      <w:r w:rsidRPr="00B57653">
        <w:rPr>
          <w:rFonts w:eastAsia="Times New Roman" w:cs="Times New Roman"/>
          <w:szCs w:val="24"/>
        </w:rPr>
        <w:t xml:space="preserve">Pārskata periodā ir izstrādāts vadības un kontroles sistēmas apraksta projekts, kuru 2015.gada janvārī plānots nosūtīt priekšlikumu sniegšanai un komentēšanai ES fondu vadībā iesaistītajām iestādēm. </w:t>
      </w:r>
    </w:p>
    <w:p w14:paraId="5C63700A" w14:textId="77777777" w:rsidR="004F5EB2" w:rsidRPr="00B57653" w:rsidRDefault="004F5EB2" w:rsidP="00E12DFB">
      <w:pPr>
        <w:numPr>
          <w:ilvl w:val="0"/>
          <w:numId w:val="7"/>
        </w:numPr>
        <w:spacing w:before="120" w:after="120" w:line="276" w:lineRule="auto"/>
        <w:jc w:val="both"/>
        <w:rPr>
          <w:rFonts w:eastAsia="Times New Roman" w:cs="Times New Roman"/>
          <w:szCs w:val="24"/>
        </w:rPr>
      </w:pPr>
      <w:r w:rsidRPr="00B57653">
        <w:rPr>
          <w:rFonts w:eastAsia="Times New Roman" w:cs="Times New Roman"/>
          <w:szCs w:val="24"/>
        </w:rPr>
        <w:t>Turpinās darbs pie jaunā metodoloģiskā atbalsta izstrādes:</w:t>
      </w:r>
    </w:p>
    <w:p w14:paraId="6DCE1A54" w14:textId="77777777" w:rsidR="004F5EB2" w:rsidRPr="00B57653" w:rsidRDefault="004F5EB2" w:rsidP="00E12DFB">
      <w:pPr>
        <w:numPr>
          <w:ilvl w:val="1"/>
          <w:numId w:val="9"/>
        </w:numPr>
        <w:spacing w:before="120" w:after="120" w:line="276" w:lineRule="auto"/>
        <w:ind w:left="851" w:firstLine="0"/>
        <w:jc w:val="both"/>
      </w:pPr>
      <w:r w:rsidRPr="00B57653">
        <w:rPr>
          <w:rFonts w:eastAsia="Times New Roman" w:cs="Times New Roman"/>
          <w:szCs w:val="24"/>
        </w:rPr>
        <w:t xml:space="preserve">2014.gada </w:t>
      </w:r>
      <w:r w:rsidRPr="00B57653">
        <w:t xml:space="preserve">18.jūlijā ir apstiprinātas Vadlīnijas </w:t>
      </w:r>
      <w:r w:rsidRPr="00B57653">
        <w:rPr>
          <w:b/>
          <w:bCs/>
        </w:rPr>
        <w:t>Nr.2.1. Vadlīnijas attiecināmo un neattiecināmo izmaksu noteikšanai 2014.-2020.gada plānošanas periodā</w:t>
      </w:r>
      <w:r w:rsidRPr="00B57653">
        <w:t xml:space="preserve"> (turpmāk – Vadlīnijas), pieejamas ES fondu mājas lapas </w:t>
      </w:r>
      <w:r w:rsidRPr="00B57653">
        <w:lastRenderedPageBreak/>
        <w:t xml:space="preserve">sadaļā 2014.-2020.gads </w:t>
      </w:r>
      <w:r w:rsidRPr="00B57653">
        <w:rPr>
          <w:rFonts w:ascii="Wingdings" w:hAnsi="Wingdings"/>
        </w:rPr>
        <w:t></w:t>
      </w:r>
      <w:r w:rsidRPr="00B57653">
        <w:t xml:space="preserve"> Juridiskais ietvars </w:t>
      </w:r>
      <w:r w:rsidRPr="00B57653">
        <w:rPr>
          <w:rFonts w:ascii="Wingdings" w:hAnsi="Wingdings"/>
        </w:rPr>
        <w:t></w:t>
      </w:r>
      <w:r w:rsidRPr="00B57653">
        <w:t xml:space="preserve"> Vadošās iestādes vadlīnijas/skaidrojumi</w:t>
      </w:r>
      <w:r w:rsidRPr="00B57653">
        <w:rPr>
          <w:b/>
          <w:bCs/>
        </w:rPr>
        <w:t xml:space="preserve"> </w:t>
      </w:r>
      <w:r w:rsidRPr="00B57653">
        <w:t>(</w:t>
      </w:r>
      <w:hyperlink r:id="rId51" w:history="1">
        <w:r w:rsidRPr="00B57653">
          <w:rPr>
            <w:color w:val="0563C1" w:themeColor="hyperlink"/>
            <w:u w:val="single"/>
          </w:rPr>
          <w:t>http://www.esfondi.lv/page.php?id=1196</w:t>
        </w:r>
      </w:hyperlink>
      <w:r w:rsidRPr="00B57653">
        <w:t>);</w:t>
      </w:r>
    </w:p>
    <w:p w14:paraId="16D4FB89" w14:textId="3BA7C493" w:rsidR="004F5EB2" w:rsidRPr="00B57653" w:rsidRDefault="00F4487E" w:rsidP="00E12DFB">
      <w:pPr>
        <w:numPr>
          <w:ilvl w:val="1"/>
          <w:numId w:val="9"/>
        </w:numPr>
        <w:spacing w:before="120" w:after="120" w:line="276" w:lineRule="auto"/>
        <w:ind w:left="851" w:firstLine="0"/>
        <w:jc w:val="both"/>
      </w:pPr>
      <w:r w:rsidRPr="00D04AFC">
        <w:t>2014.-2020.gada plānošanas periodā</w:t>
      </w:r>
      <w:r w:rsidRPr="00B57653">
        <w:rPr>
          <w:rFonts w:eastAsia="Times New Roman" w:cs="Times New Roman"/>
          <w:szCs w:val="24"/>
        </w:rPr>
        <w:t xml:space="preserve"> </w:t>
      </w:r>
      <w:r>
        <w:rPr>
          <w:rFonts w:eastAsia="Times New Roman" w:cs="Times New Roman"/>
          <w:szCs w:val="24"/>
        </w:rPr>
        <w:t>plānots izmantot EK 2014.gada decembrī apstiprinātās vadlīnijas</w:t>
      </w:r>
      <w:r w:rsidR="00EF3D00">
        <w:rPr>
          <w:rFonts w:eastAsia="Times New Roman" w:cs="Times New Roman"/>
          <w:szCs w:val="24"/>
        </w:rPr>
        <w:t xml:space="preserve"> </w:t>
      </w:r>
      <w:r w:rsidR="00EF3D00" w:rsidRPr="00B57653">
        <w:rPr>
          <w:rFonts w:eastAsia="Times New Roman" w:cs="Times New Roman"/>
          <w:szCs w:val="24"/>
        </w:rPr>
        <w:t xml:space="preserve">izmaksu un ieguvumu analīzes </w:t>
      </w:r>
      <w:r w:rsidR="00EF3D00">
        <w:rPr>
          <w:rFonts w:eastAsia="Times New Roman" w:cs="Times New Roman"/>
          <w:szCs w:val="24"/>
        </w:rPr>
        <w:t xml:space="preserve">veikšanai investīciju projektos. Vadlīnijas pieejamas </w:t>
      </w:r>
      <w:r w:rsidR="00EF3D00" w:rsidRPr="00B57653">
        <w:rPr>
          <w:rFonts w:eastAsia="Times New Roman"/>
        </w:rPr>
        <w:t>tīmekļa vietnē</w:t>
      </w:r>
      <w:r w:rsidR="00EF3D00" w:rsidRPr="00B57653">
        <w:t xml:space="preserve"> </w:t>
      </w:r>
      <w:hyperlink r:id="rId52" w:history="1">
        <w:r w:rsidR="00EF3D00">
          <w:rPr>
            <w:rStyle w:val="Hyperlink"/>
          </w:rPr>
          <w:t>http://www.esfondi.lv/page.php?id=1154</w:t>
        </w:r>
      </w:hyperlink>
      <w:r w:rsidR="00EF3D00">
        <w:rPr>
          <w:color w:val="1F497D"/>
        </w:rPr>
        <w:t xml:space="preserve">. </w:t>
      </w:r>
      <w:r w:rsidR="00EF3D00" w:rsidRPr="00173002">
        <w:t xml:space="preserve">Papildus tam </w:t>
      </w:r>
      <w:r w:rsidR="00AF2296" w:rsidRPr="00173002">
        <w:t xml:space="preserve">janvārī </w:t>
      </w:r>
      <w:r w:rsidR="00EF3D00" w:rsidRPr="00173002">
        <w:t xml:space="preserve">plānots sagatavot un nosūtīt </w:t>
      </w:r>
      <w:r w:rsidR="00EF3D00" w:rsidRPr="00173002">
        <w:rPr>
          <w:rFonts w:eastAsia="Times New Roman" w:cs="Times New Roman"/>
          <w:szCs w:val="24"/>
        </w:rPr>
        <w:t xml:space="preserve">ES fondu vadībā iesaistītajām iestādēm </w:t>
      </w:r>
      <w:r w:rsidR="00AF2296" w:rsidRPr="00173002">
        <w:rPr>
          <w:rFonts w:eastAsia="Times New Roman" w:cs="Times New Roman"/>
          <w:szCs w:val="24"/>
        </w:rPr>
        <w:t xml:space="preserve">horizontālu </w:t>
      </w:r>
      <w:r w:rsidR="00EF3D00">
        <w:rPr>
          <w:rFonts w:eastAsia="Times New Roman" w:cs="Times New Roman"/>
          <w:szCs w:val="24"/>
        </w:rPr>
        <w:t>skaidrojumu par makroekonomisko pieņēmumu izmanto</w:t>
      </w:r>
      <w:r w:rsidR="00AF2296">
        <w:rPr>
          <w:rFonts w:eastAsia="Times New Roman" w:cs="Times New Roman"/>
          <w:szCs w:val="24"/>
        </w:rPr>
        <w:t>šanu u.c. saistošiem aspektiem</w:t>
      </w:r>
      <w:r w:rsidR="004F5EB2" w:rsidRPr="00B57653">
        <w:rPr>
          <w:rFonts w:eastAsia="Times New Roman" w:cs="Times New Roman"/>
          <w:szCs w:val="24"/>
        </w:rPr>
        <w:t>;</w:t>
      </w:r>
    </w:p>
    <w:p w14:paraId="03C2635B" w14:textId="77777777" w:rsidR="004F5EB2" w:rsidRPr="00B57653" w:rsidRDefault="004F5EB2" w:rsidP="00E12DFB">
      <w:pPr>
        <w:numPr>
          <w:ilvl w:val="1"/>
          <w:numId w:val="9"/>
        </w:numPr>
        <w:spacing w:before="120" w:after="120" w:line="276" w:lineRule="auto"/>
        <w:ind w:left="851" w:firstLine="0"/>
        <w:jc w:val="both"/>
      </w:pPr>
      <w:r w:rsidRPr="00B57653">
        <w:rPr>
          <w:rFonts w:eastAsia="Times New Roman" w:cs="Times New Roman"/>
          <w:szCs w:val="24"/>
        </w:rPr>
        <w:t>notika darbs pie MK noteikumu projektu izstrādes, t.i.,</w:t>
      </w:r>
    </w:p>
    <w:p w14:paraId="227AB42E" w14:textId="0106AF44" w:rsidR="004F5EB2" w:rsidRPr="00B57653" w:rsidRDefault="004F5EB2" w:rsidP="00E12DFB">
      <w:pPr>
        <w:numPr>
          <w:ilvl w:val="2"/>
          <w:numId w:val="9"/>
        </w:numPr>
        <w:spacing w:before="120" w:after="120" w:line="276" w:lineRule="auto"/>
        <w:ind w:left="1560" w:hanging="284"/>
        <w:jc w:val="both"/>
      </w:pPr>
      <w:r w:rsidRPr="00B57653">
        <w:t>2014.gada 16.dece</w:t>
      </w:r>
      <w:r w:rsidR="00E965C5" w:rsidRPr="00B57653">
        <w:t>mbrī MK apstiprināja noteikumus</w:t>
      </w:r>
      <w:r w:rsidRPr="00B57653">
        <w:t xml:space="preserve"> Nr. 784 “Kārtība, kādā Eiropas Savienības struktūrfondu un Kohēzijas fonda vadībā iesaistītās institūcijas nodrošina plānošanas dokumentu sagatavošanu un šo fondu ieviešanu 2014</w:t>
      </w:r>
      <w:r w:rsidR="00E965C5" w:rsidRPr="00B57653">
        <w:t>.–2020.gada plānošanas periodā”</w:t>
      </w:r>
      <w:r w:rsidRPr="00B57653">
        <w:t xml:space="preserve"> (jaunie vadības noteiku</w:t>
      </w:r>
      <w:r w:rsidR="00E965C5" w:rsidRPr="00B57653">
        <w:t>mi), kas stājas spēkā 2015.gada</w:t>
      </w:r>
      <w:r w:rsidRPr="00B57653">
        <w:t xml:space="preserve"> 8.janvārī </w:t>
      </w:r>
      <w:hyperlink r:id="rId53" w:history="1">
        <w:r w:rsidRPr="00B57653">
          <w:rPr>
            <w:color w:val="0563C1" w:themeColor="hyperlink"/>
            <w:u w:val="single"/>
          </w:rPr>
          <w:t>https://www.vestnesis.lv/op/2015/3.3</w:t>
        </w:r>
      </w:hyperlink>
      <w:r w:rsidRPr="00B57653">
        <w:t xml:space="preserve">. </w:t>
      </w:r>
    </w:p>
    <w:p w14:paraId="6777D00C" w14:textId="77777777" w:rsidR="00EE0223" w:rsidRPr="00D04AFC" w:rsidRDefault="000E0A85" w:rsidP="00E12DFB">
      <w:pPr>
        <w:pStyle w:val="ListParagraph"/>
        <w:numPr>
          <w:ilvl w:val="2"/>
          <w:numId w:val="9"/>
        </w:numPr>
        <w:spacing w:before="120" w:after="120" w:line="276" w:lineRule="auto"/>
        <w:ind w:left="1560"/>
        <w:contextualSpacing w:val="0"/>
        <w:jc w:val="both"/>
      </w:pPr>
      <w:r w:rsidRPr="00D04AFC">
        <w:t>i</w:t>
      </w:r>
      <w:r w:rsidR="006F4DCB" w:rsidRPr="00D04AFC">
        <w:t>r izstrādāts un izsludināts VSS</w:t>
      </w:r>
      <w:r w:rsidR="00CA135E" w:rsidRPr="00D04AFC">
        <w:t xml:space="preserve"> (2014.</w:t>
      </w:r>
      <w:r w:rsidR="00760C47" w:rsidRPr="00D04AFC">
        <w:rPr>
          <w:rFonts w:eastAsia="Times New Roman" w:cs="Times New Roman"/>
          <w:szCs w:val="24"/>
        </w:rPr>
        <w:t>gada 25.septembrī</w:t>
      </w:r>
      <w:r w:rsidR="00E60D37" w:rsidRPr="00D04AFC">
        <w:rPr>
          <w:rFonts w:eastAsia="Times New Roman" w:cs="Times New Roman"/>
          <w:szCs w:val="24"/>
        </w:rPr>
        <w:t>, VSS-884, Nr.37 9.§</w:t>
      </w:r>
      <w:r w:rsidR="00CA135E" w:rsidRPr="00D04AFC">
        <w:t>)</w:t>
      </w:r>
      <w:r w:rsidR="006F4DCB" w:rsidRPr="00D04AFC">
        <w:t xml:space="preserve"> </w:t>
      </w:r>
      <w:r w:rsidR="006E4269" w:rsidRPr="00D04AFC">
        <w:t>MK</w:t>
      </w:r>
      <w:r w:rsidR="006F4DCB" w:rsidRPr="00D04AFC">
        <w:t xml:space="preserve"> noteikumu projekts „Kārtība, kādā veic Eiropas Savienības struktūrfondu un Kohēzijas fonda projektu pārbaudes 2014.-2020.gada plānošanas periodā”.</w:t>
      </w:r>
    </w:p>
    <w:p w14:paraId="155BF580" w14:textId="77777777" w:rsidR="00EE0223" w:rsidRPr="00D04AFC" w:rsidRDefault="004B0BF0" w:rsidP="00E12DFB">
      <w:pPr>
        <w:pStyle w:val="ListParagraph"/>
        <w:numPr>
          <w:ilvl w:val="2"/>
          <w:numId w:val="9"/>
        </w:numPr>
        <w:spacing w:before="120" w:after="120" w:line="276" w:lineRule="auto"/>
        <w:ind w:left="1560"/>
        <w:contextualSpacing w:val="0"/>
        <w:jc w:val="both"/>
      </w:pPr>
      <w:r w:rsidRPr="00D04AFC">
        <w:rPr>
          <w:rFonts w:eastAsia="Times New Roman" w:cs="Times New Roman"/>
          <w:szCs w:val="24"/>
        </w:rPr>
        <w:t xml:space="preserve">2014.gada 1.oktobrī kā MK lieta tika nosūtīts saskaņošanai MK noteikumu projekts </w:t>
      </w:r>
      <w:r w:rsidR="002C5FB5" w:rsidRPr="00D04AFC">
        <w:rPr>
          <w:rFonts w:eastAsia="Times New Roman" w:cs="Times New Roman"/>
          <w:szCs w:val="24"/>
        </w:rPr>
        <w:t>par kārtību, kādā ES fondu 2014.–2020.gada plānošanas perioda ietvaros plāno valsts budžeta līdzekļus un veic maksājumus ES fondu projektu īstenošanai, kā arī sagatavo EK iesniedzamo maksāju</w:t>
      </w:r>
      <w:r w:rsidR="008A4691" w:rsidRPr="00D04AFC">
        <w:rPr>
          <w:rFonts w:eastAsia="Times New Roman" w:cs="Times New Roman"/>
          <w:szCs w:val="24"/>
        </w:rPr>
        <w:t>ma pieteikumu un kontu slēgumu,</w:t>
      </w:r>
    </w:p>
    <w:p w14:paraId="05B7FD00" w14:textId="77777777" w:rsidR="00EE0223" w:rsidRPr="00D04AFC" w:rsidRDefault="004B0BF0" w:rsidP="00E12DFB">
      <w:pPr>
        <w:pStyle w:val="ListParagraph"/>
        <w:numPr>
          <w:ilvl w:val="2"/>
          <w:numId w:val="9"/>
        </w:numPr>
        <w:spacing w:before="120" w:after="120" w:line="276" w:lineRule="auto"/>
        <w:ind w:left="1560"/>
        <w:contextualSpacing w:val="0"/>
        <w:jc w:val="both"/>
      </w:pPr>
      <w:r w:rsidRPr="00D04AFC">
        <w:rPr>
          <w:rFonts w:eastAsia="Times New Roman" w:cs="Times New Roman"/>
          <w:szCs w:val="24"/>
        </w:rPr>
        <w:t>2014.gada 9.oktobrī VSS tika izsludināts MK noteikumu projekts par kārtību, kādā Eiropas Savienības struktūrfondu un Kohēzijas fonda vadībā iesaistītās institūcijas uzrauga un izvērtē Eiropas Savienības fondu ieviešanu, izveido un izmanto Eiropas Savienības fondu vadības informācijas sistēmu,</w:t>
      </w:r>
    </w:p>
    <w:p w14:paraId="056E6A06" w14:textId="3B594730" w:rsidR="00EA0FC8" w:rsidRPr="00D04AFC" w:rsidRDefault="0039712A" w:rsidP="00E12DFB">
      <w:pPr>
        <w:pStyle w:val="ListParagraph"/>
        <w:numPr>
          <w:ilvl w:val="2"/>
          <w:numId w:val="9"/>
        </w:numPr>
        <w:spacing w:before="120" w:after="120" w:line="276" w:lineRule="auto"/>
        <w:ind w:left="1560" w:hanging="142"/>
        <w:contextualSpacing w:val="0"/>
        <w:jc w:val="both"/>
      </w:pPr>
      <w:r w:rsidRPr="00D04AFC">
        <w:rPr>
          <w:rFonts w:eastAsia="Times New Roman" w:cs="Times New Roman"/>
          <w:szCs w:val="24"/>
        </w:rPr>
        <w:t xml:space="preserve">2014.gada 17.oktobrī kā MK lieta tika nosūtīts saskaņošanai </w:t>
      </w:r>
      <w:r w:rsidR="004B0BF0" w:rsidRPr="00D04AFC">
        <w:rPr>
          <w:rFonts w:eastAsia="Times New Roman" w:cs="Times New Roman"/>
          <w:szCs w:val="24"/>
        </w:rPr>
        <w:t xml:space="preserve">MK noteikumu projekts </w:t>
      </w:r>
      <w:r w:rsidR="002C5FB5" w:rsidRPr="00D04AFC">
        <w:rPr>
          <w:rFonts w:eastAsia="Times New Roman" w:cs="Times New Roman"/>
          <w:szCs w:val="24"/>
        </w:rPr>
        <w:t>par kārtību, kādā nodrošina informāciju, komunikāciju un vizuālās identitātes prasības Eiropas Savienības struktūrfondu un Kohēzijas fonda ieviešanā</w:t>
      </w:r>
      <w:r w:rsidR="00051461" w:rsidRPr="00D04AFC">
        <w:rPr>
          <w:rFonts w:eastAsia="Times New Roman" w:cs="Times New Roman"/>
          <w:szCs w:val="24"/>
        </w:rPr>
        <w:t>.</w:t>
      </w:r>
    </w:p>
    <w:p w14:paraId="6C42DC3E" w14:textId="238455DB" w:rsidR="004F5EB2" w:rsidRPr="00B57653" w:rsidRDefault="004F5EB2" w:rsidP="00E12DFB">
      <w:pPr>
        <w:pStyle w:val="ListParagraph"/>
        <w:numPr>
          <w:ilvl w:val="0"/>
          <w:numId w:val="7"/>
        </w:numPr>
        <w:spacing w:before="120" w:after="120" w:line="276" w:lineRule="auto"/>
        <w:ind w:left="714" w:hanging="357"/>
        <w:contextualSpacing w:val="0"/>
        <w:jc w:val="both"/>
        <w:rPr>
          <w:rFonts w:eastAsia="Calibri" w:cs="Times New Roman"/>
          <w:szCs w:val="24"/>
        </w:rPr>
      </w:pPr>
      <w:r w:rsidRPr="00B57653">
        <w:t xml:space="preserve">2014.gada </w:t>
      </w:r>
      <w:r w:rsidRPr="00B57653">
        <w:rPr>
          <w:rFonts w:eastAsia="Calibri" w:cs="Times New Roman"/>
          <w:szCs w:val="24"/>
        </w:rPr>
        <w:t>29.jūlijā tika noslēgts līgums ar SIA “Corporate Consulting”</w:t>
      </w:r>
      <w:r w:rsidRPr="00B57653">
        <w:t xml:space="preserve"> </w:t>
      </w:r>
      <w:r w:rsidRPr="00B57653">
        <w:rPr>
          <w:rFonts w:eastAsia="Calibri" w:cs="Times New Roman"/>
          <w:szCs w:val="24"/>
        </w:rPr>
        <w:t>par vienkāršoto izmaksu piemērošanu jaunajā plānošanas periodā, lai veiktu metodiku izstrādi noteiktajām izmaksu kategorijām/projektu darbībām, balstoties uz DP „Izaugsme un nodarbinātība” ietvaros norādītajiem SAM un to ietvaros atbalstāmajām darbībām. Pārskata periodā 2014.gada 28.novembrī notika prezentācija par pētījuma rezultātie</w:t>
      </w:r>
      <w:r w:rsidR="00E965C5" w:rsidRPr="00B57653">
        <w:rPr>
          <w:rFonts w:eastAsia="Calibri" w:cs="Times New Roman"/>
          <w:szCs w:val="24"/>
        </w:rPr>
        <w:t xml:space="preserve">m. Ir uzsākts aktīvs darbs pie </w:t>
      </w:r>
      <w:r w:rsidRPr="00B57653">
        <w:rPr>
          <w:rFonts w:eastAsia="Calibri" w:cs="Times New Roman"/>
          <w:szCs w:val="24"/>
        </w:rPr>
        <w:t>metodiku izstrādes netiešajām projekta izmaksām un standarta likmes vienības izmaksu definēšanas atsevišķajām izmaksu kategorijām konkrēto specifisko atbalsta mērķu ietvaros.</w:t>
      </w:r>
    </w:p>
    <w:p w14:paraId="5C082617" w14:textId="5715126F" w:rsidR="004F5EB2" w:rsidRPr="00B57653" w:rsidRDefault="005438D6" w:rsidP="00E12DFB">
      <w:pPr>
        <w:pStyle w:val="Default"/>
        <w:numPr>
          <w:ilvl w:val="0"/>
          <w:numId w:val="7"/>
        </w:numPr>
        <w:spacing w:line="276" w:lineRule="auto"/>
      </w:pPr>
      <w:r>
        <w:rPr>
          <w:rFonts w:eastAsia="Times New Roman"/>
          <w:i/>
        </w:rPr>
        <w:lastRenderedPageBreak/>
        <w:t>I</w:t>
      </w:r>
      <w:r w:rsidRPr="00B57653">
        <w:rPr>
          <w:rFonts w:eastAsia="Times New Roman"/>
          <w:i/>
        </w:rPr>
        <w:t>epirkuma par risku vadības a</w:t>
      </w:r>
      <w:r w:rsidRPr="00B57653">
        <w:rPr>
          <w:i/>
        </w:rPr>
        <w:t>pmācību organizēšanu</w:t>
      </w:r>
      <w:r w:rsidRPr="00B57653">
        <w:rPr>
          <w:rStyle w:val="FootnoteReference"/>
        </w:rPr>
        <w:footnoteReference w:id="50"/>
      </w:r>
      <w:r w:rsidRPr="00B57653">
        <w:t xml:space="preserve"> ietvaros </w:t>
      </w:r>
      <w:r w:rsidR="004F5EB2" w:rsidRPr="00B57653">
        <w:t>2014.gada 19.augustā tika noslēgts līgums ar</w:t>
      </w:r>
      <w:r w:rsidR="004F5EB2" w:rsidRPr="00B57653">
        <w:rPr>
          <w:color w:val="000000" w:themeColor="text1"/>
        </w:rPr>
        <w:t xml:space="preserve"> SIA “KPMG Baltics SIA”</w:t>
      </w:r>
      <w:r w:rsidR="004F5EB2" w:rsidRPr="00B57653">
        <w:t xml:space="preserve">, kas pakalpojuma ietvaros </w:t>
      </w:r>
      <w:r w:rsidR="004F5EB2" w:rsidRPr="00B57653">
        <w:rPr>
          <w:rFonts w:eastAsia="Times New Roman"/>
        </w:rPr>
        <w:t xml:space="preserve">septembra mēnesī </w:t>
      </w:r>
      <w:r w:rsidR="004F5EB2" w:rsidRPr="00B57653">
        <w:t xml:space="preserve">ES fondu vadošās iestādes darbiniekiem </w:t>
      </w:r>
      <w:r w:rsidR="004F5EB2" w:rsidRPr="00B57653">
        <w:rPr>
          <w:rFonts w:eastAsia="Times New Roman"/>
        </w:rPr>
        <w:t xml:space="preserve">nodrošināja </w:t>
      </w:r>
      <w:r w:rsidR="004F5EB2" w:rsidRPr="00B57653">
        <w:t>teorijas apmācību kursu par risku vadību</w:t>
      </w:r>
      <w:r>
        <w:t>, savukārt</w:t>
      </w:r>
      <w:r w:rsidR="004F5EB2" w:rsidRPr="00B57653">
        <w:t xml:space="preserve"> </w:t>
      </w:r>
      <w:r w:rsidR="00B03D2C">
        <w:t>p</w:t>
      </w:r>
      <w:r w:rsidR="00B03D2C" w:rsidRPr="00B57653">
        <w:t>ārskata period</w:t>
      </w:r>
      <w:r w:rsidR="00B03D2C">
        <w:t>a</w:t>
      </w:r>
      <w:r w:rsidR="00B03D2C" w:rsidRPr="00B57653" w:rsidDel="005438D6">
        <w:t xml:space="preserve"> </w:t>
      </w:r>
      <w:r w:rsidR="004F5EB2" w:rsidRPr="00B57653">
        <w:t>novembrī</w:t>
      </w:r>
      <w:r w:rsidR="00C71796">
        <w:t>,</w:t>
      </w:r>
      <w:r w:rsidRPr="00B57653">
        <w:t xml:space="preserve"> </w:t>
      </w:r>
      <w:r w:rsidR="004F5EB2" w:rsidRPr="00B57653">
        <w:t xml:space="preserve">sniedza praktiskās nodarbības. Atskaite par </w:t>
      </w:r>
      <w:r w:rsidR="00C70805">
        <w:t xml:space="preserve">augstākminētajām </w:t>
      </w:r>
      <w:r w:rsidR="004F5EB2" w:rsidRPr="00B57653">
        <w:t xml:space="preserve">apmācībām risku vadībā </w:t>
      </w:r>
      <w:r w:rsidR="00AE1A1F">
        <w:rPr>
          <w:rFonts w:eastAsia="Times New Roman"/>
        </w:rPr>
        <w:t>tika</w:t>
      </w:r>
      <w:r w:rsidR="00AE1A1F" w:rsidRPr="00B57653">
        <w:rPr>
          <w:rFonts w:eastAsia="Times New Roman"/>
        </w:rPr>
        <w:t xml:space="preserve"> </w:t>
      </w:r>
      <w:r w:rsidR="004F5EB2" w:rsidRPr="00B57653">
        <w:rPr>
          <w:rFonts w:eastAsia="Times New Roman"/>
        </w:rPr>
        <w:t xml:space="preserve">ievietota </w:t>
      </w:r>
      <w:r w:rsidR="00467E26" w:rsidRPr="00B57653">
        <w:rPr>
          <w:rFonts w:eastAsia="Times New Roman"/>
        </w:rPr>
        <w:t>tīmekļa</w:t>
      </w:r>
      <w:r w:rsidR="004F5EB2" w:rsidRPr="00B57653">
        <w:rPr>
          <w:rFonts w:eastAsia="Times New Roman"/>
        </w:rPr>
        <w:t xml:space="preserve"> vietnē</w:t>
      </w:r>
      <w:r w:rsidR="004F5EB2" w:rsidRPr="00B57653">
        <w:t xml:space="preserve"> </w:t>
      </w:r>
      <w:hyperlink r:id="rId54" w:history="1">
        <w:r w:rsidR="0034787E" w:rsidRPr="00B57653">
          <w:rPr>
            <w:rStyle w:val="Hyperlink"/>
          </w:rPr>
          <w:t>http://www.esfondi.lv/upload/01-strukturfondi/petijumi/Atskaite_par_risku_vadibas_seminariem_27.11.2014.pdf</w:t>
        </w:r>
      </w:hyperlink>
      <w:r w:rsidR="004F5EB2" w:rsidRPr="00B57653">
        <w:t xml:space="preserve"> </w:t>
      </w:r>
    </w:p>
    <w:p w14:paraId="2CFD7D65" w14:textId="1C299B1F" w:rsidR="00123C9A" w:rsidRPr="00B57653" w:rsidRDefault="005438D6" w:rsidP="00E12DFB">
      <w:pPr>
        <w:pStyle w:val="Default"/>
        <w:numPr>
          <w:ilvl w:val="0"/>
          <w:numId w:val="7"/>
        </w:numPr>
        <w:spacing w:line="276" w:lineRule="auto"/>
      </w:pPr>
      <w:r>
        <w:t>Pārskata periodā tika izstrādāta “</w:t>
      </w:r>
      <w:r w:rsidR="00123C9A" w:rsidRPr="00B57653">
        <w:t>Eiropas Sociālā fonda, Eiropas Reģionālā attīstības fonda un Kohēzijas fonda vadībā iesaistīto iestāžu Risku pārvaldības stratēģija 2014.-2020.gada plānošanas periodā</w:t>
      </w:r>
      <w:r>
        <w:t xml:space="preserve">”, kuru </w:t>
      </w:r>
      <w:r w:rsidRPr="00B57653">
        <w:t>2014.gada 19.decembrī izskatīja un apstirprināja</w:t>
      </w:r>
      <w:r>
        <w:t xml:space="preserve"> </w:t>
      </w:r>
      <w:r w:rsidRPr="00B57653">
        <w:t xml:space="preserve">risku </w:t>
      </w:r>
      <w:r>
        <w:t xml:space="preserve">pārvaldības </w:t>
      </w:r>
      <w:r w:rsidRPr="00B57653">
        <w:t>darba grupa</w:t>
      </w:r>
      <w:r w:rsidR="00C70805">
        <w:rPr>
          <w:rStyle w:val="FootnoteReference"/>
        </w:rPr>
        <w:footnoteReference w:id="51"/>
      </w:r>
      <w:r w:rsidR="00123C9A" w:rsidRPr="00B57653">
        <w:t xml:space="preserve">. </w:t>
      </w:r>
    </w:p>
    <w:p w14:paraId="3FAA2C07" w14:textId="77777777" w:rsidR="004F5EB2" w:rsidRPr="00B57653" w:rsidRDefault="004F5EB2" w:rsidP="00E12DFB">
      <w:pPr>
        <w:numPr>
          <w:ilvl w:val="0"/>
          <w:numId w:val="7"/>
        </w:numPr>
        <w:spacing w:before="120" w:after="120" w:line="276" w:lineRule="auto"/>
        <w:ind w:left="714" w:hanging="357"/>
        <w:jc w:val="both"/>
        <w:rPr>
          <w:rFonts w:eastAsia="Calibri" w:cs="Times New Roman"/>
          <w:szCs w:val="24"/>
        </w:rPr>
      </w:pPr>
      <w:r w:rsidRPr="00B57653">
        <w:rPr>
          <w:rFonts w:eastAsia="Times New Roman" w:cs="Times New Roman"/>
          <w:szCs w:val="24"/>
        </w:rPr>
        <w:t xml:space="preserve">Turpinās darbs pie informatīvā ziņojuma sagatavošanas par nepieciešamajiem cilvēkresursiem ES fondu 2014.-2020.gada plānošanas periodā noteikto funkciju nodrošināšanai un atbildīgo iestāžu SAM uzraudzības mehānismiem, kurš saskaņā ar MK pieņemto lēmumu ir jāsniedz MK trīs mēnešu laikā pēc DP „Izaugsme un nodarbinātība” apstiprināšanas EK. </w:t>
      </w:r>
    </w:p>
    <w:p w14:paraId="08DC61CB" w14:textId="6B7D6F7E" w:rsidR="00FF7462" w:rsidRPr="00B13AFC" w:rsidRDefault="006F5FFD" w:rsidP="003F45DC">
      <w:pPr>
        <w:numPr>
          <w:ilvl w:val="0"/>
          <w:numId w:val="7"/>
        </w:numPr>
        <w:spacing w:before="120" w:after="120" w:line="276" w:lineRule="auto"/>
        <w:jc w:val="both"/>
      </w:pPr>
      <w:r w:rsidRPr="00FE72BC">
        <w:rPr>
          <w:rFonts w:cs="Times New Roman"/>
          <w:szCs w:val="24"/>
        </w:rPr>
        <w:t xml:space="preserve">2014.gada 6.novembrī </w:t>
      </w:r>
      <w:r w:rsidR="00FE72BC" w:rsidRPr="00FE72BC">
        <w:rPr>
          <w:rFonts w:cs="Times New Roman"/>
          <w:szCs w:val="24"/>
        </w:rPr>
        <w:t>MK</w:t>
      </w:r>
      <w:r w:rsidRPr="00FE72BC">
        <w:rPr>
          <w:rFonts w:cs="Times New Roman"/>
          <w:szCs w:val="24"/>
        </w:rPr>
        <w:t xml:space="preserve"> tika iesniegts rīkojuma projekts par ES fondu 2014.-2020.gada plānošanas perioda </w:t>
      </w:r>
      <w:r w:rsidR="00FE72BC" w:rsidRPr="00FE72BC">
        <w:rPr>
          <w:rFonts w:cs="Times New Roman"/>
          <w:szCs w:val="24"/>
        </w:rPr>
        <w:t>UK</w:t>
      </w:r>
      <w:r w:rsidR="008E4D98" w:rsidRPr="00FE72BC">
        <w:rPr>
          <w:rStyle w:val="FootnoteReference"/>
        </w:rPr>
        <w:footnoteReference w:id="52"/>
      </w:r>
      <w:r w:rsidRPr="00FE72BC">
        <w:rPr>
          <w:rFonts w:cs="Times New Roman"/>
          <w:szCs w:val="24"/>
        </w:rPr>
        <w:t xml:space="preserve"> sastāvu, kas stājās spēkā 2014.gada 21.novembrī, līdz ar to ES fondu 2014.-2020.gada plānošanas perioda </w:t>
      </w:r>
      <w:r w:rsidR="00FE72BC" w:rsidRPr="00FE72BC">
        <w:rPr>
          <w:rFonts w:cs="Times New Roman"/>
          <w:szCs w:val="24"/>
        </w:rPr>
        <w:t>UK</w:t>
      </w:r>
      <w:r w:rsidRPr="00FE72BC">
        <w:rPr>
          <w:rFonts w:cs="Times New Roman"/>
          <w:szCs w:val="24"/>
        </w:rPr>
        <w:t xml:space="preserve"> ir oficiāli uzsākusi pildīt savus darbu pienākumus, tai skaitā, uzraudzīt ES fondu finansējuma izlietošanas efektivitāti, projektu ieviešanas gaitu un atbilstību apstiprinātajiem plānošanas dokumentiem, kā arī pieņemt lēmumus, kas saistīti ar ES fondu ieviešanu un uzraudzību.</w:t>
      </w:r>
    </w:p>
    <w:p w14:paraId="094FE8BE" w14:textId="68896E6D" w:rsidR="00B13AFC" w:rsidRDefault="00B13AFC" w:rsidP="00B13AFC">
      <w:pPr>
        <w:numPr>
          <w:ilvl w:val="0"/>
          <w:numId w:val="7"/>
        </w:numPr>
        <w:spacing w:before="120" w:after="120" w:line="276" w:lineRule="auto"/>
        <w:jc w:val="both"/>
      </w:pPr>
      <w:r>
        <w:t>2014.gada 23</w:t>
      </w:r>
      <w:r w:rsidR="003D43A3">
        <w:t>.</w:t>
      </w:r>
      <w:r>
        <w:t>decembrī</w:t>
      </w:r>
      <w:r w:rsidRPr="007170D2">
        <w:t xml:space="preserve"> MK apstiprināja grozījumus MK 2010.gada 18.maija noteikumos Nr.464 “Noteikumi par 74.resora "Gadskārtējā valsts budžeta izpildes procesā pārdalāmais finansējums" 80.00.00 programmā plānoto līdzekļu pārdales kārtību Eiropas Savienības politiku instrumentu un pārējās ārvalstu finanšu palīdzības līdzfinansēto projektu un pasākumu īstenošanai”, paredzot īpašo finansējuma saņemšanas kārtību 7.1.1.</w:t>
      </w:r>
      <w:r w:rsidR="00DD0C4B">
        <w:t>SAM</w:t>
      </w:r>
      <w:r w:rsidRPr="007170D2">
        <w:t xml:space="preserve"> "Paaugstināt bezdarbnieku kvalifikāciju un prasmes atbilstoši darba tirgus pieprasījumam" atbalstāmo darbību īstenošanai, 9.1.1.</w:t>
      </w:r>
      <w:r w:rsidR="00DD0C4B">
        <w:t>SAM</w:t>
      </w:r>
      <w:r w:rsidRPr="007170D2">
        <w:t xml:space="preserve"> "Palielināt nelabvēlīgākā situācijā esošu bezdarbnieku iekļaušanos darba tirgū" pasākumam </w:t>
      </w:r>
      <w:r w:rsidRPr="009C497F">
        <w:t xml:space="preserve">"Subsidētās </w:t>
      </w:r>
      <w:r w:rsidR="009C497F" w:rsidRPr="009C497F">
        <w:t>darbavietas</w:t>
      </w:r>
      <w:r w:rsidRPr="009C497F">
        <w:t xml:space="preserve"> nelabvēlīgā situācijā esošiem bezdarbniekiem"</w:t>
      </w:r>
      <w:r w:rsidRPr="007170D2">
        <w:t xml:space="preserve"> un 9.2.3.</w:t>
      </w:r>
      <w:r w:rsidR="00DD0C4B">
        <w:t>SAM</w:t>
      </w:r>
      <w:r w:rsidRPr="007170D2">
        <w:t xml:space="preserve"> "Atbalstīt prioritāro (sirds un asinsvadu, </w:t>
      </w:r>
      <w:r w:rsidRPr="007170D2">
        <w:lastRenderedPageBreak/>
        <w:t>onkoloģijas, perinatālā un neonatālā perioda aprūpes un garīgās veselības) veselības jomu veselības tīklu attīstības vadlīniju un kvalitātes nodrošināšanas sistēmas izstrādi un ieviešanu, jo īpaši sociālās atstumtības un nabadzības riskam pakļauto iedzīvotāju veselības uzlabošanai" gadījumos - lai nodrošinātu finansējumu Eiropas Savienības struktūrfondu un Kohēzijas fonda 2014.–2020.gada plānošanas perioda ātrāk uzsākamo SAM atbalstāmo darbību īstenošanai 2015.gadā pirms vēl formāliem MK noteikumiem un projektu apstiprināšanas.</w:t>
      </w:r>
    </w:p>
    <w:p w14:paraId="0C269EA4" w14:textId="77777777" w:rsidR="0013549A" w:rsidRDefault="0013549A" w:rsidP="0013549A">
      <w:pPr>
        <w:spacing w:before="120" w:after="120" w:line="276" w:lineRule="auto"/>
        <w:jc w:val="both"/>
      </w:pPr>
      <w:r>
        <w:t xml:space="preserve">Pārskata periodā ES fondu 2014.–2020.gada plānošanas perioda sadarbības iestāde – CFLA – aktīvi līdzdarbojās iepriekš minēto plānošaanas dokumentu un normatīvo aktu izstrādē. Aktīvs darbs sadarbības iestādē noritēja, pielāgojot CFLA iekšējo kontroles sistēmu pārskata periodā apstiprinātajos normatīvajos aktos noteiktajām prasībām. </w:t>
      </w:r>
    </w:p>
    <w:p w14:paraId="40A0ABB5" w14:textId="77777777" w:rsidR="0013549A" w:rsidRDefault="0013549A" w:rsidP="0013549A">
      <w:pPr>
        <w:spacing w:before="120" w:after="120" w:line="276" w:lineRule="auto"/>
        <w:jc w:val="both"/>
      </w:pPr>
      <w:r>
        <w:t>Lai nodrošinātu sekmīgu sadarbību un informācijas apmaiņu starp sadarbības iestādi un atbildīgajām iestādēm, sadarbības iestāde izstrādāja starpresoru vienošanās ar atbildīgajām iestādēm par sadarbību ES fondu 2014. – 2020.gada plānošanas periodā projektu. Pārskata periodā atbildīgās iestādes iesniedza priekšlikumu starpresoru vienošanās projekta precizēšanai, būtiskākie nosacījumi pārrunāti arī vadošās iestādes rīkotajā atbildīgo un sadarbības iestāžu sanāksmē. Nākamajā pārskata periodā ir paredzētas tikšanās ar katru atbildīgo iestādi par konkrētu starpresoru vienošanās redakciju.</w:t>
      </w:r>
    </w:p>
    <w:p w14:paraId="563E50D5" w14:textId="6BB42776" w:rsidR="0013549A" w:rsidRDefault="0013549A" w:rsidP="0013549A">
      <w:pPr>
        <w:spacing w:before="120" w:after="120" w:line="276" w:lineRule="auto"/>
        <w:jc w:val="both"/>
      </w:pPr>
      <w:r>
        <w:t xml:space="preserve">Būtiska uzmanība sadarbības iestādē tika pievērsta cilvēkresursu un cilvēkresursu kapacitātes jautājumiem. Rīkotas tikšanās ar atbildīgajām iestādēm, apzinot iespējamo cilvēkresursu rotāju. Pārskata periodā atbilstoši CFLA rīcībā esošai aktuālākai informācijai par SAM, izstrādāti un regulāri aktualizēti CFLA funkcijām nepieciešamo noslodžu aprēķini, izstrādāts un regulāri aktualizēts darbību un pasākumu plāns CFLA reorganizācijai un nepieciešamo cilvēkresursu piesaistei, izstrādāts CFLA reorganizācijas plāns. Saskaņā ar reorganizācijas plānu pārskata periodā veiktas izmaiņas CFLA organizatoriskajā struktūrā, t.sk. izveidojot Projektu atlases nodaļu un Vadības informācijas sistēmas nodaļu. </w:t>
      </w:r>
      <w:r w:rsidR="009C497F">
        <w:t>2015.gada 1.aprīlī</w:t>
      </w:r>
      <w:r>
        <w:t xml:space="preserve">tiks veikta arī operacionālo departamentu pārstrukturēšana. Paralēli </w:t>
      </w:r>
      <w:r w:rsidR="009C497F">
        <w:t xml:space="preserve">tiek </w:t>
      </w:r>
      <w:r>
        <w:t>strād</w:t>
      </w:r>
      <w:r w:rsidR="009C497F">
        <w:t>āts</w:t>
      </w:r>
      <w:r>
        <w:t xml:space="preserve"> arī pie Klientu apkalpošanas centra (Rīgā, Meistaru ielā 10) izveides un atvēršanas. </w:t>
      </w:r>
    </w:p>
    <w:p w14:paraId="0A95F45C" w14:textId="2563E5B2" w:rsidR="0013549A" w:rsidRDefault="0013549A" w:rsidP="0013549A">
      <w:pPr>
        <w:spacing w:before="120" w:after="120" w:line="276" w:lineRule="auto"/>
        <w:jc w:val="both"/>
      </w:pPr>
      <w:r>
        <w:t>Pārskata periodā turpināts darbs KP VIS izveidē, t.sk. izveidota KP VIS ekspertu darba grupa, uzsākta projektu iesnieguma veidlapas testēšana e–vidē, organizētas tikšanās ar valsts reģistru turētājiem (Uzņēmumu reģistrs, Valsts zemes dienests, Valsts reģionālās attīstības aģentūra) par sadarbību informācijas apmaiņā ar šo iestāžu reģistros pieejamo informāciju.</w:t>
      </w:r>
    </w:p>
    <w:p w14:paraId="743C1C08" w14:textId="2432185E" w:rsidR="0013549A" w:rsidRDefault="0013549A" w:rsidP="0013549A">
      <w:pPr>
        <w:spacing w:before="120" w:after="120" w:line="276" w:lineRule="auto"/>
        <w:jc w:val="both"/>
      </w:pPr>
      <w:r>
        <w:t>Sadarbības iestāde pārskata periodā aktīvi piedalījās citu iestāžu (EM, FM, Banku augstskola, Zemgales plānošanas reģiona Attīstības padome) organizētajos semināros, lai informētu potenciālos projektu iesniedzējus un interese</w:t>
      </w:r>
      <w:r w:rsidR="009C497F">
        <w:t>ntus par ES fondu 2014. – 2020.</w:t>
      </w:r>
      <w:r>
        <w:t>gada plānošanas perioda atbalsta saņemšanas iespējām, sadarbību ar CFLA.</w:t>
      </w:r>
    </w:p>
    <w:p w14:paraId="1CA9F0E4" w14:textId="4E75A33B" w:rsidR="0013549A" w:rsidRDefault="0013549A" w:rsidP="0013549A">
      <w:pPr>
        <w:spacing w:before="120" w:after="120" w:line="276" w:lineRule="auto"/>
        <w:jc w:val="both"/>
      </w:pPr>
      <w:r>
        <w:t>Pārskata periodā sadarbības iestāde turpināja darbu ar ātrāk uzsākamiem SAM. Ir noslēgtas starpresoru vienošanās ar SM par s</w:t>
      </w:r>
      <w:r w:rsidR="009C497F">
        <w:t>adarbību ES fondu 2014. – 2020.</w:t>
      </w:r>
      <w:r>
        <w:t>gada plānošanas perioda 6.1.5</w:t>
      </w:r>
      <w:r w:rsidR="009C497F">
        <w:t>.</w:t>
      </w:r>
      <w:r>
        <w:t>SAM „Valsts galveno autoceļu segu pārbūve, ne</w:t>
      </w:r>
      <w:r w:rsidR="009C497F">
        <w:t>stspējas palielināšana”, 6.1.3.</w:t>
      </w:r>
      <w:r>
        <w:t>SAM „Nodrošināt nepieciešamo infrastruktūru uz Rīgas maģistrālajiem pārvadiem un novērst maģistrālo ielu f</w:t>
      </w:r>
      <w:r w:rsidR="009C497F">
        <w:t>ragmentāro raksturu ” un 6.3.1.</w:t>
      </w:r>
      <w:r>
        <w:t xml:space="preserve">SAM „Palielināt reģionālo mobilitāti, </w:t>
      </w:r>
      <w:r>
        <w:lastRenderedPageBreak/>
        <w:t>uzlabojot valsts reģionālo autoceļu kvalitāti” ietvaros. Uzsākta minēto SAM projektu uzraudzība (izvērtēti iepirkumu plāni, veiktas iepirkumu pirmspārbaudes, veiktas pirmās pārbaudes projektu īstenošanas vietās, notikusi komunikācija ar atbildīgo iestādi un projektu īstenotāju par konstatētajiem trūkumiem un riskiem izmaksu attiecināmībai).</w:t>
      </w:r>
    </w:p>
    <w:p w14:paraId="5EE09A8E" w14:textId="0E77EC75" w:rsidR="00642035" w:rsidRDefault="00707DB4" w:rsidP="00642035">
      <w:pPr>
        <w:pStyle w:val="2lmenis"/>
      </w:pPr>
      <w:bookmarkStart w:id="43" w:name="_Toc412729452"/>
      <w:r>
        <w:t>Ex-ante nosacījumu izpildes progress</w:t>
      </w:r>
      <w:bookmarkEnd w:id="43"/>
    </w:p>
    <w:p w14:paraId="627B829B" w14:textId="77777777" w:rsidR="00642035" w:rsidRDefault="00642035" w:rsidP="00642035">
      <w:pPr>
        <w:spacing w:before="120" w:after="120" w:line="276" w:lineRule="auto"/>
        <w:jc w:val="both"/>
        <w:rPr>
          <w:rFonts w:eastAsia="Times New Roman" w:cs="Times New Roman"/>
          <w:szCs w:val="24"/>
        </w:rPr>
      </w:pPr>
      <w:r>
        <w:rPr>
          <w:rFonts w:cs="Times New Roman"/>
        </w:rPr>
        <w:t xml:space="preserve">Ņemot vērā, ka Partnerības līgumā </w:t>
      </w:r>
      <w:r>
        <w:rPr>
          <w:rFonts w:eastAsia="Times New Roman" w:cs="Times New Roman"/>
          <w:szCs w:val="24"/>
        </w:rPr>
        <w:t xml:space="preserve">ir noteikti </w:t>
      </w:r>
      <w:r w:rsidRPr="00231E30">
        <w:rPr>
          <w:rFonts w:eastAsia="Times New Roman" w:cs="Times New Roman"/>
          <w:i/>
          <w:szCs w:val="24"/>
        </w:rPr>
        <w:t>ex-ante</w:t>
      </w:r>
      <w:r>
        <w:rPr>
          <w:rFonts w:eastAsia="Times New Roman" w:cs="Times New Roman"/>
          <w:szCs w:val="24"/>
        </w:rPr>
        <w:t xml:space="preserve"> nosacījumi, kas ir EK izvirzītie priekšnosacījumi</w:t>
      </w:r>
      <w:r>
        <w:rPr>
          <w:rFonts w:cs="Times New Roman"/>
        </w:rPr>
        <w:t xml:space="preserve"> investīciju uzsākšanai </w:t>
      </w:r>
      <w:r w:rsidRPr="00142C74">
        <w:rPr>
          <w:rFonts w:cs="Times New Roman"/>
        </w:rPr>
        <w:t>(nozares sākotnējā izpēte, nepieciešamo investīciju pamatojums, u.c.)</w:t>
      </w:r>
      <w:r>
        <w:rPr>
          <w:rFonts w:cs="Times New Roman"/>
        </w:rPr>
        <w:t xml:space="preserve"> ES fondu 2014.–2020.gada plānošanas periodā attiecīgajās nozarēs, un plānotie</w:t>
      </w:r>
      <w:r>
        <w:rPr>
          <w:rFonts w:eastAsia="Times New Roman" w:cs="Times New Roman"/>
          <w:szCs w:val="24"/>
        </w:rPr>
        <w:t xml:space="preserve"> </w:t>
      </w:r>
      <w:r w:rsidRPr="00231E30">
        <w:rPr>
          <w:rFonts w:eastAsia="Times New Roman" w:cs="Times New Roman"/>
          <w:i/>
          <w:szCs w:val="24"/>
        </w:rPr>
        <w:t>ex-ante</w:t>
      </w:r>
      <w:r>
        <w:rPr>
          <w:rFonts w:eastAsia="Times New Roman" w:cs="Times New Roman"/>
          <w:szCs w:val="24"/>
        </w:rPr>
        <w:t xml:space="preserve"> nosacījumu izpildes termiņi, nepieciešams pārskatīt atsevišķu </w:t>
      </w:r>
      <w:r w:rsidRPr="00231E30">
        <w:rPr>
          <w:rFonts w:eastAsia="Times New Roman" w:cs="Times New Roman"/>
          <w:i/>
          <w:szCs w:val="24"/>
        </w:rPr>
        <w:t>ex-ante</w:t>
      </w:r>
      <w:r>
        <w:rPr>
          <w:rFonts w:eastAsia="Times New Roman" w:cs="Times New Roman"/>
          <w:szCs w:val="24"/>
        </w:rPr>
        <w:t xml:space="preserve"> nosacījumu izpildes termiņus. Lai nodrošinātu atbildīgu un stratēģisku plānošanu, investīciju uzsākšanu, kā arī snieguma ietvara finanšu mērķu sasniegšanu līdz 2018.gadam, </w:t>
      </w:r>
      <w:r w:rsidRPr="00C2492B">
        <w:rPr>
          <w:rFonts w:eastAsia="Times New Roman" w:cs="Times New Roman"/>
          <w:szCs w:val="24"/>
        </w:rPr>
        <w:t>2015.gada 7.janvārī KDG vienojās, ka</w:t>
      </w:r>
      <w:r>
        <w:rPr>
          <w:rFonts w:eastAsia="Times New Roman" w:cs="Times New Roman"/>
          <w:szCs w:val="24"/>
        </w:rPr>
        <w:t>:</w:t>
      </w:r>
    </w:p>
    <w:p w14:paraId="374E6F0B" w14:textId="77777777" w:rsidR="00642035" w:rsidRPr="0098073F" w:rsidRDefault="00642035" w:rsidP="00642035">
      <w:pPr>
        <w:pStyle w:val="naiskr"/>
        <w:numPr>
          <w:ilvl w:val="0"/>
          <w:numId w:val="32"/>
        </w:numPr>
        <w:spacing w:before="120" w:after="120" w:line="276" w:lineRule="auto"/>
        <w:jc w:val="both"/>
        <w:rPr>
          <w:color w:val="000000" w:themeColor="text1"/>
        </w:rPr>
      </w:pPr>
      <w:r w:rsidRPr="0098073F">
        <w:rPr>
          <w:color w:val="000000" w:themeColor="text1"/>
        </w:rPr>
        <w:t>SM izstrādā</w:t>
      </w:r>
      <w:r>
        <w:rPr>
          <w:color w:val="000000" w:themeColor="text1"/>
        </w:rPr>
        <w:t>, saskaņo ar FM</w:t>
      </w:r>
      <w:r w:rsidRPr="0098073F">
        <w:rPr>
          <w:color w:val="000000" w:themeColor="text1"/>
        </w:rPr>
        <w:t xml:space="preserve"> un līdz </w:t>
      </w:r>
      <w:r>
        <w:rPr>
          <w:color w:val="000000" w:themeColor="text1"/>
        </w:rPr>
        <w:t xml:space="preserve">2015.gada </w:t>
      </w:r>
      <w:r w:rsidRPr="0098073F">
        <w:rPr>
          <w:color w:val="000000" w:themeColor="text1"/>
        </w:rPr>
        <w:t>20.</w:t>
      </w:r>
      <w:r>
        <w:rPr>
          <w:color w:val="000000" w:themeColor="text1"/>
        </w:rPr>
        <w:t>februārim</w:t>
      </w:r>
      <w:r w:rsidRPr="0098073F">
        <w:rPr>
          <w:color w:val="000000" w:themeColor="text1"/>
        </w:rPr>
        <w:t xml:space="preserve"> </w:t>
      </w:r>
      <w:r>
        <w:rPr>
          <w:color w:val="000000" w:themeColor="text1"/>
        </w:rPr>
        <w:t>apstiprina</w:t>
      </w:r>
      <w:r w:rsidRPr="0098073F">
        <w:rPr>
          <w:color w:val="000000" w:themeColor="text1"/>
        </w:rPr>
        <w:t xml:space="preserve"> metodiku, kurā </w:t>
      </w:r>
      <w:r>
        <w:rPr>
          <w:color w:val="000000" w:themeColor="text1"/>
        </w:rPr>
        <w:t>tiek jānosaka</w:t>
      </w:r>
      <w:r w:rsidRPr="0098073F">
        <w:rPr>
          <w:color w:val="000000" w:themeColor="text1"/>
        </w:rPr>
        <w:t xml:space="preserve"> pasākumi, </w:t>
      </w:r>
      <w:r>
        <w:rPr>
          <w:color w:val="000000" w:themeColor="text1"/>
        </w:rPr>
        <w:t>lai</w:t>
      </w:r>
      <w:r w:rsidRPr="0098073F">
        <w:rPr>
          <w:color w:val="000000" w:themeColor="text1"/>
        </w:rPr>
        <w:t xml:space="preserve"> stiprinātu starpinstitūciju un atbalsta saņēmēju spēju sasniegt projekta mērķus</w:t>
      </w:r>
      <w:r>
        <w:rPr>
          <w:color w:val="000000" w:themeColor="text1"/>
        </w:rPr>
        <w:t>;</w:t>
      </w:r>
    </w:p>
    <w:p w14:paraId="5706C0B4" w14:textId="046FAD8B" w:rsidR="00642035" w:rsidRDefault="00642035" w:rsidP="006D534D">
      <w:pPr>
        <w:pStyle w:val="naiskr"/>
        <w:numPr>
          <w:ilvl w:val="0"/>
          <w:numId w:val="32"/>
        </w:numPr>
        <w:suppressAutoHyphens/>
        <w:autoSpaceDN w:val="0"/>
        <w:spacing w:before="120" w:after="120" w:line="276" w:lineRule="auto"/>
        <w:jc w:val="both"/>
        <w:textAlignment w:val="baseline"/>
        <w:rPr>
          <w:color w:val="000000" w:themeColor="text1"/>
        </w:rPr>
      </w:pPr>
      <w:r w:rsidRPr="0098073F">
        <w:rPr>
          <w:color w:val="000000" w:themeColor="text1"/>
        </w:rPr>
        <w:t xml:space="preserve">IZM izstrādā un līdz </w:t>
      </w:r>
      <w:r>
        <w:rPr>
          <w:color w:val="000000" w:themeColor="text1"/>
        </w:rPr>
        <w:t>2015.gada 27.februārim</w:t>
      </w:r>
      <w:r w:rsidRPr="0098073F">
        <w:rPr>
          <w:color w:val="000000" w:themeColor="text1"/>
        </w:rPr>
        <w:t xml:space="preserve"> iesnie</w:t>
      </w:r>
      <w:r>
        <w:rPr>
          <w:color w:val="000000" w:themeColor="text1"/>
        </w:rPr>
        <w:t>dz</w:t>
      </w:r>
      <w:r w:rsidRPr="0098073F">
        <w:rPr>
          <w:color w:val="000000" w:themeColor="text1"/>
        </w:rPr>
        <w:t xml:space="preserve"> MK izskatīšanai rīcības plānu Izglītības attīstības pamatnostādņu 2014.–2020.gadam ieviešanai, iekļaujot tajā analīzi par optimālāko un efektīvāko mūžizglītības atbalsta ieviešanas mehānismu</w:t>
      </w:r>
      <w:r>
        <w:rPr>
          <w:color w:val="000000" w:themeColor="text1"/>
        </w:rPr>
        <w:t>, kā arī karjeras pasākumu ieviešanas aprakstu, jautājumu iepriekš saskaņojot ar Labklājības ministriju</w:t>
      </w:r>
      <w:r w:rsidRPr="007A1033">
        <w:rPr>
          <w:color w:val="000000" w:themeColor="text1"/>
        </w:rPr>
        <w:t>,</w:t>
      </w:r>
      <w:r w:rsidRPr="007A1033">
        <w:rPr>
          <w:rStyle w:val="CommentReference"/>
          <w:rFonts w:eastAsiaTheme="minorHAnsi" w:cstheme="minorBidi"/>
          <w:sz w:val="24"/>
          <w:szCs w:val="24"/>
          <w:lang w:eastAsia="en-US"/>
        </w:rPr>
        <w:t xml:space="preserve"> kā arī izglītības infrastruktūras investīciju ieviešanas aprakstu (ceļa karte)</w:t>
      </w:r>
      <w:r w:rsidR="006D534D">
        <w:rPr>
          <w:color w:val="000000" w:themeColor="text1"/>
        </w:rPr>
        <w:t xml:space="preserve">. IZM ir informējusi, ka tās </w:t>
      </w:r>
      <w:r w:rsidR="006D534D" w:rsidRPr="006D534D">
        <w:rPr>
          <w:color w:val="000000" w:themeColor="text1"/>
        </w:rPr>
        <w:t xml:space="preserve">izstrādātajā </w:t>
      </w:r>
      <w:r w:rsidR="006D534D">
        <w:rPr>
          <w:color w:val="000000" w:themeColor="text1"/>
        </w:rPr>
        <w:t>r</w:t>
      </w:r>
      <w:r w:rsidR="006D534D" w:rsidRPr="006D534D">
        <w:rPr>
          <w:color w:val="000000" w:themeColor="text1"/>
        </w:rPr>
        <w:t xml:space="preserve">īcības plānā „Izglītības attīstības pamatnostādņu 2014.-2020.gadam īstenošanas plāns 2015.-2017.gadam” ir  iekļauts, ka </w:t>
      </w:r>
      <w:r w:rsidR="006D534D">
        <w:rPr>
          <w:color w:val="000000" w:themeColor="text1"/>
        </w:rPr>
        <w:t xml:space="preserve">IZM </w:t>
      </w:r>
      <w:r w:rsidR="006D534D" w:rsidRPr="006D534D">
        <w:rPr>
          <w:color w:val="000000" w:themeColor="text1"/>
        </w:rPr>
        <w:t>līdz 2015.gada 1.martam izstrādās informatīvo ziņojumu par pieaugušo izglītības ieviešanas mehānisma analīzi, atbildīgo institūciju pienākumu un lomu aprakstu, mērķa grupas sadalījumu un uzraudzības mehānisma aprakstu</w:t>
      </w:r>
    </w:p>
    <w:p w14:paraId="391B8CB6" w14:textId="77777777" w:rsidR="00642035" w:rsidRPr="0098073F" w:rsidRDefault="00642035" w:rsidP="00642035">
      <w:pPr>
        <w:pStyle w:val="naiskr"/>
        <w:numPr>
          <w:ilvl w:val="0"/>
          <w:numId w:val="32"/>
        </w:numPr>
        <w:spacing w:before="120" w:after="120" w:line="276" w:lineRule="auto"/>
        <w:jc w:val="both"/>
        <w:rPr>
          <w:color w:val="000000" w:themeColor="text1"/>
          <w:lang w:eastAsia="en-US"/>
        </w:rPr>
      </w:pPr>
      <w:r w:rsidRPr="0098073F">
        <w:rPr>
          <w:color w:val="000000" w:themeColor="text1"/>
          <w:lang w:eastAsia="en-US"/>
        </w:rPr>
        <w:t xml:space="preserve">IZM sadarbībā ar EM līdz </w:t>
      </w:r>
      <w:r>
        <w:rPr>
          <w:color w:val="000000" w:themeColor="text1"/>
          <w:lang w:eastAsia="en-US"/>
        </w:rPr>
        <w:t>2015.gada 13.februārim</w:t>
      </w:r>
      <w:r w:rsidRPr="0098073F">
        <w:rPr>
          <w:color w:val="000000" w:themeColor="text1"/>
          <w:lang w:eastAsia="en-US"/>
        </w:rPr>
        <w:t xml:space="preserve"> iesnie</w:t>
      </w:r>
      <w:r>
        <w:rPr>
          <w:color w:val="000000" w:themeColor="text1"/>
          <w:lang w:eastAsia="en-US"/>
        </w:rPr>
        <w:t>dz</w:t>
      </w:r>
      <w:r w:rsidRPr="0098073F">
        <w:rPr>
          <w:color w:val="000000" w:themeColor="text1"/>
          <w:lang w:eastAsia="en-US"/>
        </w:rPr>
        <w:t xml:space="preserve"> MK informācijai grafiku un skaidrojumu (ceļa karte), kā ir plānots izpildīt </w:t>
      </w:r>
      <w:r w:rsidRPr="0098073F">
        <w:rPr>
          <w:i/>
          <w:color w:val="000000" w:themeColor="text1"/>
          <w:lang w:eastAsia="en-US"/>
        </w:rPr>
        <w:t xml:space="preserve">ex-ante </w:t>
      </w:r>
      <w:r w:rsidRPr="0098073F">
        <w:rPr>
          <w:color w:val="000000" w:themeColor="text1"/>
          <w:lang w:eastAsia="en-US"/>
        </w:rPr>
        <w:t>nosacījumu 1.1</w:t>
      </w:r>
      <w:r>
        <w:rPr>
          <w:color w:val="000000" w:themeColor="text1"/>
          <w:lang w:eastAsia="en-US"/>
        </w:rPr>
        <w:t>.</w:t>
      </w:r>
      <w:r w:rsidRPr="0098073F">
        <w:rPr>
          <w:color w:val="000000" w:themeColor="text1"/>
          <w:lang w:eastAsia="en-US"/>
        </w:rPr>
        <w:t xml:space="preserve">, aprakstot sasniedzamo rezultātu, jautājumu iepriekš saskaņojot ar </w:t>
      </w:r>
      <w:r>
        <w:rPr>
          <w:color w:val="000000" w:themeColor="text1"/>
          <w:lang w:eastAsia="en-US"/>
        </w:rPr>
        <w:t>VI;</w:t>
      </w:r>
    </w:p>
    <w:p w14:paraId="70F1FB5B" w14:textId="6FAFDAB3" w:rsidR="00642035" w:rsidRPr="0098073F" w:rsidRDefault="00642035" w:rsidP="00642035">
      <w:pPr>
        <w:pStyle w:val="naiskr"/>
        <w:numPr>
          <w:ilvl w:val="0"/>
          <w:numId w:val="32"/>
        </w:numPr>
        <w:spacing w:before="120" w:after="120" w:line="276" w:lineRule="auto"/>
        <w:jc w:val="both"/>
        <w:rPr>
          <w:color w:val="000000" w:themeColor="text1"/>
        </w:rPr>
      </w:pPr>
      <w:r w:rsidRPr="0098073F">
        <w:rPr>
          <w:color w:val="000000" w:themeColor="text1"/>
        </w:rPr>
        <w:t xml:space="preserve">TM izstrādā un līdz </w:t>
      </w:r>
      <w:r>
        <w:rPr>
          <w:color w:val="000000" w:themeColor="text1"/>
        </w:rPr>
        <w:t xml:space="preserve">2015.gada 1.februārim </w:t>
      </w:r>
      <w:r w:rsidRPr="0098073F">
        <w:rPr>
          <w:color w:val="000000" w:themeColor="text1"/>
        </w:rPr>
        <w:t>iesnie</w:t>
      </w:r>
      <w:r>
        <w:rPr>
          <w:color w:val="000000" w:themeColor="text1"/>
        </w:rPr>
        <w:t>dz</w:t>
      </w:r>
      <w:r w:rsidRPr="0098073F">
        <w:rPr>
          <w:color w:val="000000" w:themeColor="text1"/>
        </w:rPr>
        <w:t xml:space="preserve"> MK izskatīšanai informatīvo ziņojumu par pasākumu plānu notiesāto resocializācijas pilnveidošanai ieslodzījuma laikā un pēc atbrīvošanas laika periodam no 2014.–2020.gadam</w:t>
      </w:r>
      <w:r w:rsidR="009B54F7">
        <w:rPr>
          <w:color w:val="000000" w:themeColor="text1"/>
        </w:rPr>
        <w:t xml:space="preserve">. Pēc KDG </w:t>
      </w:r>
      <w:r w:rsidR="002027F4">
        <w:rPr>
          <w:color w:val="000000" w:themeColor="text1"/>
        </w:rPr>
        <w:t xml:space="preserve">lemtā TM </w:t>
      </w:r>
      <w:r w:rsidR="001C6EC1">
        <w:rPr>
          <w:color w:val="000000" w:themeColor="text1"/>
        </w:rPr>
        <w:t>ir informējusi</w:t>
      </w:r>
      <w:r w:rsidR="009B54F7">
        <w:rPr>
          <w:color w:val="000000" w:themeColor="text1"/>
        </w:rPr>
        <w:t xml:space="preserve">, ka informatīvā ziņojuma vietā tiks izstrādāts pamatnostādnes un </w:t>
      </w:r>
      <w:r w:rsidR="00FE0ACD">
        <w:rPr>
          <w:color w:val="000000" w:themeColor="text1"/>
        </w:rPr>
        <w:t>pasākumu plāns</w:t>
      </w:r>
      <w:r w:rsidR="00FE0ACD">
        <w:t xml:space="preserve"> ar brīvības atņemšanu notiesāto resocializācijas pilnveidošanai soda izciešanas laikā un pēc atbrīvošanas laika periodam no 2014. līdz 2020.gadam</w:t>
      </w:r>
      <w:r w:rsidR="009B54F7">
        <w:rPr>
          <w:color w:val="000000" w:themeColor="text1"/>
        </w:rPr>
        <w:t xml:space="preserve">, </w:t>
      </w:r>
      <w:r w:rsidR="00FE0ACD">
        <w:rPr>
          <w:color w:val="000000" w:themeColor="text1"/>
        </w:rPr>
        <w:t xml:space="preserve">tādējādi </w:t>
      </w:r>
      <w:r w:rsidR="009B54F7">
        <w:rPr>
          <w:color w:val="000000" w:themeColor="text1"/>
        </w:rPr>
        <w:t>nodrošinot ex-ante nosacījuma izpildi Partnerības līgumā noteiktajā termiņā – līdz 2015.gada 1.jūnijam;</w:t>
      </w:r>
    </w:p>
    <w:p w14:paraId="0E44B8B7" w14:textId="4B6152BC" w:rsidR="00642035" w:rsidRPr="006D534D" w:rsidRDefault="00642035" w:rsidP="00642035">
      <w:pPr>
        <w:pStyle w:val="naiskr"/>
        <w:numPr>
          <w:ilvl w:val="0"/>
          <w:numId w:val="32"/>
        </w:numPr>
        <w:spacing w:before="120" w:after="120" w:line="276" w:lineRule="auto"/>
        <w:jc w:val="both"/>
        <w:rPr>
          <w:color w:val="000000" w:themeColor="text1"/>
        </w:rPr>
      </w:pPr>
      <w:r w:rsidRPr="0098073F">
        <w:rPr>
          <w:color w:val="000000" w:themeColor="text1"/>
        </w:rPr>
        <w:t>VK</w:t>
      </w:r>
      <w:r w:rsidR="009C497F">
        <w:rPr>
          <w:color w:val="000000" w:themeColor="text1"/>
        </w:rPr>
        <w:t>anc</w:t>
      </w:r>
      <w:r w:rsidRPr="0098073F">
        <w:rPr>
          <w:color w:val="000000" w:themeColor="text1"/>
        </w:rPr>
        <w:t xml:space="preserve"> izstrādā un līdz </w:t>
      </w:r>
      <w:r>
        <w:rPr>
          <w:color w:val="000000" w:themeColor="text1"/>
        </w:rPr>
        <w:t xml:space="preserve">2015.gada </w:t>
      </w:r>
      <w:r w:rsidRPr="0098073F">
        <w:rPr>
          <w:color w:val="000000" w:themeColor="text1"/>
        </w:rPr>
        <w:t>30</w:t>
      </w:r>
      <w:r>
        <w:rPr>
          <w:color w:val="000000" w:themeColor="text1"/>
        </w:rPr>
        <w:t>.janvārim</w:t>
      </w:r>
      <w:r w:rsidRPr="0098073F">
        <w:rPr>
          <w:color w:val="000000" w:themeColor="text1"/>
        </w:rPr>
        <w:t xml:space="preserve"> iesnie</w:t>
      </w:r>
      <w:r>
        <w:rPr>
          <w:color w:val="000000" w:themeColor="text1"/>
        </w:rPr>
        <w:t>dz</w:t>
      </w:r>
      <w:r w:rsidRPr="0098073F">
        <w:rPr>
          <w:color w:val="000000" w:themeColor="text1"/>
        </w:rPr>
        <w:t xml:space="preserve"> MK izskatīšanai informatīvo ziņojumu Valsts pārvaldes cilvēkresursu kapacitātes stiprināšana</w:t>
      </w:r>
      <w:r>
        <w:rPr>
          <w:color w:val="000000" w:themeColor="text1"/>
        </w:rPr>
        <w:t>i,</w:t>
      </w:r>
      <w:r w:rsidRPr="0098073F">
        <w:rPr>
          <w:color w:val="000000" w:themeColor="text1"/>
        </w:rPr>
        <w:t xml:space="preserve"> nolūkā mazināt administratīvo slogu uzņēmējdarbības videi, kā arī veicināt korupcijas un ēnu ekonomikas apkarošanu laika periodā no 2014.–2020.gadam</w:t>
      </w:r>
      <w:r w:rsidR="006D534D">
        <w:rPr>
          <w:color w:val="000000" w:themeColor="text1"/>
        </w:rPr>
        <w:t>;</w:t>
      </w:r>
    </w:p>
    <w:p w14:paraId="7D6EF242" w14:textId="3DCE900C" w:rsidR="00642035" w:rsidRPr="0098073F" w:rsidRDefault="00433E69" w:rsidP="00642035">
      <w:pPr>
        <w:pStyle w:val="naiskr"/>
        <w:numPr>
          <w:ilvl w:val="0"/>
          <w:numId w:val="32"/>
        </w:numPr>
        <w:spacing w:before="120" w:after="120" w:line="276" w:lineRule="auto"/>
        <w:jc w:val="both"/>
        <w:rPr>
          <w:color w:val="000000" w:themeColor="text1"/>
        </w:rPr>
      </w:pPr>
      <w:r w:rsidRPr="0098073F">
        <w:rPr>
          <w:color w:val="000000" w:themeColor="text1"/>
        </w:rPr>
        <w:lastRenderedPageBreak/>
        <w:t>K</w:t>
      </w:r>
      <w:r>
        <w:rPr>
          <w:color w:val="000000" w:themeColor="text1"/>
        </w:rPr>
        <w:t>orupcijas novēršanas un apkarošanas birojs</w:t>
      </w:r>
      <w:r w:rsidR="00642035" w:rsidRPr="0098073F">
        <w:rPr>
          <w:color w:val="000000" w:themeColor="text1"/>
        </w:rPr>
        <w:t xml:space="preserve"> sadarbībā ar </w:t>
      </w:r>
      <w:r w:rsidRPr="0098073F">
        <w:rPr>
          <w:color w:val="000000" w:themeColor="text1"/>
        </w:rPr>
        <w:t>VK</w:t>
      </w:r>
      <w:r>
        <w:rPr>
          <w:color w:val="000000" w:themeColor="text1"/>
        </w:rPr>
        <w:t>anc</w:t>
      </w:r>
      <w:r w:rsidRPr="0098073F" w:rsidDel="00433E69">
        <w:rPr>
          <w:color w:val="000000" w:themeColor="text1"/>
        </w:rPr>
        <w:t xml:space="preserve"> </w:t>
      </w:r>
      <w:r w:rsidR="00642035" w:rsidRPr="0098073F">
        <w:rPr>
          <w:color w:val="000000" w:themeColor="text1"/>
        </w:rPr>
        <w:t xml:space="preserve">izstrādā un līdz </w:t>
      </w:r>
      <w:r w:rsidR="00642035">
        <w:rPr>
          <w:color w:val="000000" w:themeColor="text1"/>
        </w:rPr>
        <w:t xml:space="preserve">2015.gada </w:t>
      </w:r>
      <w:r w:rsidR="00642035" w:rsidRPr="0098073F">
        <w:rPr>
          <w:color w:val="000000" w:themeColor="text1"/>
        </w:rPr>
        <w:t>30.</w:t>
      </w:r>
      <w:r w:rsidR="00642035">
        <w:rPr>
          <w:color w:val="000000" w:themeColor="text1"/>
        </w:rPr>
        <w:t>janvārim</w:t>
      </w:r>
      <w:r w:rsidR="00642035" w:rsidRPr="0098073F">
        <w:rPr>
          <w:color w:val="000000" w:themeColor="text1"/>
        </w:rPr>
        <w:t xml:space="preserve"> iesnie</w:t>
      </w:r>
      <w:r w:rsidR="00642035">
        <w:rPr>
          <w:color w:val="000000" w:themeColor="text1"/>
        </w:rPr>
        <w:t>dz</w:t>
      </w:r>
      <w:r w:rsidR="00642035" w:rsidRPr="0098073F">
        <w:rPr>
          <w:color w:val="000000" w:themeColor="text1"/>
        </w:rPr>
        <w:t xml:space="preserve"> MK izskatīšanai Korupcijas novēršanas un apkarošanas pamatnostādnes 2014.–2020.gadam</w:t>
      </w:r>
      <w:r w:rsidR="006D534D">
        <w:rPr>
          <w:color w:val="000000" w:themeColor="text1"/>
        </w:rPr>
        <w:t xml:space="preserve">. VKanc ir informējusi, ka minētās pamatnostādnes tiks </w:t>
      </w:r>
      <w:r w:rsidR="00FC0857">
        <w:rPr>
          <w:color w:val="000000" w:themeColor="text1"/>
        </w:rPr>
        <w:t>iesniegtas izsaktīšanai MK</w:t>
      </w:r>
      <w:r w:rsidR="006D534D">
        <w:rPr>
          <w:color w:val="000000" w:themeColor="text1"/>
        </w:rPr>
        <w:t xml:space="preserve"> </w:t>
      </w:r>
      <w:r w:rsidR="006D534D" w:rsidRPr="006D534D">
        <w:rPr>
          <w:color w:val="000000" w:themeColor="text1"/>
        </w:rPr>
        <w:t xml:space="preserve">līdz </w:t>
      </w:r>
      <w:r w:rsidR="006D534D" w:rsidRPr="006D534D">
        <w:t>2015.gada 28.februārim</w:t>
      </w:r>
      <w:r w:rsidR="00495425">
        <w:t>;</w:t>
      </w:r>
    </w:p>
    <w:p w14:paraId="2450CD82" w14:textId="77777777" w:rsidR="00642035" w:rsidRDefault="00642035" w:rsidP="00642035">
      <w:pPr>
        <w:pStyle w:val="naiskr"/>
        <w:numPr>
          <w:ilvl w:val="0"/>
          <w:numId w:val="32"/>
        </w:numPr>
        <w:spacing w:before="120" w:after="120" w:line="276" w:lineRule="auto"/>
        <w:jc w:val="both"/>
        <w:rPr>
          <w:color w:val="000000" w:themeColor="text1"/>
        </w:rPr>
      </w:pPr>
      <w:r w:rsidRPr="0098073F">
        <w:rPr>
          <w:color w:val="000000" w:themeColor="text1"/>
        </w:rPr>
        <w:t xml:space="preserve">TM izstrādā un līdz </w:t>
      </w:r>
      <w:r>
        <w:rPr>
          <w:color w:val="000000" w:themeColor="text1"/>
        </w:rPr>
        <w:t xml:space="preserve">2015.gada </w:t>
      </w:r>
      <w:r w:rsidRPr="0098073F">
        <w:rPr>
          <w:color w:val="000000" w:themeColor="text1"/>
        </w:rPr>
        <w:t>30.</w:t>
      </w:r>
      <w:r>
        <w:rPr>
          <w:color w:val="000000" w:themeColor="text1"/>
        </w:rPr>
        <w:t>janvārim</w:t>
      </w:r>
      <w:r w:rsidRPr="0098073F">
        <w:rPr>
          <w:color w:val="000000" w:themeColor="text1"/>
        </w:rPr>
        <w:t xml:space="preserve"> iesnie</w:t>
      </w:r>
      <w:r>
        <w:rPr>
          <w:color w:val="000000" w:themeColor="text1"/>
        </w:rPr>
        <w:t>dz</w:t>
      </w:r>
      <w:r w:rsidRPr="0098073F">
        <w:rPr>
          <w:color w:val="000000" w:themeColor="text1"/>
        </w:rPr>
        <w:t xml:space="preserve"> MK izskatīšanai </w:t>
      </w:r>
      <w:r w:rsidRPr="0098073F">
        <w:rPr>
          <w:bCs/>
          <w:color w:val="000000" w:themeColor="text1"/>
        </w:rPr>
        <w:t xml:space="preserve">Tiesu varas un tiesībaizsardzības iestāžu darbinieku cilvēkresursu kapacitātes stiprināšanas un kompetenču attīstības </w:t>
      </w:r>
      <w:r>
        <w:rPr>
          <w:bCs/>
          <w:color w:val="000000" w:themeColor="text1"/>
        </w:rPr>
        <w:t>plānu</w:t>
      </w:r>
      <w:r w:rsidRPr="0098073F">
        <w:rPr>
          <w:bCs/>
          <w:color w:val="000000" w:themeColor="text1"/>
        </w:rPr>
        <w:t xml:space="preserve"> 2014.</w:t>
      </w:r>
      <w:r w:rsidRPr="0098073F">
        <w:rPr>
          <w:color w:val="000000" w:themeColor="text1"/>
        </w:rPr>
        <w:t>–</w:t>
      </w:r>
      <w:r w:rsidRPr="0098073F">
        <w:rPr>
          <w:bCs/>
          <w:color w:val="000000" w:themeColor="text1"/>
        </w:rPr>
        <w:t>2020.gadam</w:t>
      </w:r>
      <w:r>
        <w:rPr>
          <w:color w:val="000000" w:themeColor="text1"/>
        </w:rPr>
        <w:t>;</w:t>
      </w:r>
    </w:p>
    <w:p w14:paraId="1A872A4F" w14:textId="0E182329" w:rsidR="00642035" w:rsidRDefault="00642035" w:rsidP="00642035">
      <w:pPr>
        <w:pStyle w:val="naiskr"/>
        <w:numPr>
          <w:ilvl w:val="0"/>
          <w:numId w:val="32"/>
        </w:numPr>
        <w:spacing w:before="120" w:after="120" w:line="276" w:lineRule="auto"/>
        <w:jc w:val="both"/>
      </w:pPr>
      <w:r w:rsidRPr="00E8719E">
        <w:rPr>
          <w:color w:val="000000" w:themeColor="text1"/>
        </w:rPr>
        <w:t xml:space="preserve">FM izstrādā un līdz 2015.gada </w:t>
      </w:r>
      <w:r>
        <w:rPr>
          <w:color w:val="000000" w:themeColor="text1"/>
        </w:rPr>
        <w:t>otrajam</w:t>
      </w:r>
      <w:r w:rsidRPr="00E8719E">
        <w:rPr>
          <w:color w:val="000000" w:themeColor="text1"/>
        </w:rPr>
        <w:t xml:space="preserve"> ceturksnim iesniedz MK izskatīšanai Vadības un kontroles sistēmas aprakstu, pielikumā pievienojot ES fondu </w:t>
      </w:r>
      <w:r>
        <w:rPr>
          <w:color w:val="000000" w:themeColor="text1"/>
        </w:rPr>
        <w:t>cilvēkresursu attīstības plānu,</w:t>
      </w:r>
      <w:r w:rsidRPr="00E8719E">
        <w:rPr>
          <w:color w:val="000000" w:themeColor="text1"/>
        </w:rPr>
        <w:t xml:space="preserve"> iekļaujot informāciju par ES fondu īstenošanā iesaistītā personāla apmācību vienlīdzīgu iespēju, nediskriminācijas un dzimumu līdztiesības jomās, paredzot apmācībām visu ES fondu TP līdzekļus.</w:t>
      </w:r>
    </w:p>
    <w:p w14:paraId="63E2FD29" w14:textId="3F48D72B" w:rsidR="00642035" w:rsidRDefault="00642035" w:rsidP="00707DB4">
      <w:pPr>
        <w:pStyle w:val="2lmenis"/>
      </w:pPr>
      <w:bookmarkStart w:id="44" w:name="_Toc412729453"/>
      <w:r>
        <w:t xml:space="preserve">Valsts budžeta </w:t>
      </w:r>
      <w:r w:rsidR="00EB6F06">
        <w:t>izdevumi</w:t>
      </w:r>
      <w:r>
        <w:t xml:space="preserve"> </w:t>
      </w:r>
      <w:r w:rsidR="00EB6F06">
        <w:t>2014.-2020.gada plānošanas periodam</w:t>
      </w:r>
      <w:bookmarkEnd w:id="44"/>
    </w:p>
    <w:p w14:paraId="4F098BB3" w14:textId="7D7634B0" w:rsidR="00642035" w:rsidRPr="00210907" w:rsidRDefault="00D97918" w:rsidP="00581642">
      <w:pPr>
        <w:spacing w:line="276" w:lineRule="auto"/>
        <w:jc w:val="both"/>
      </w:pPr>
      <w:r>
        <w:t xml:space="preserve">2014.gada augustā sniegtajās prognozēs atbildīgās iestādes bija </w:t>
      </w:r>
      <w:r w:rsidR="00581642">
        <w:t>plānojušas izdevumus kopumā 53,</w:t>
      </w:r>
      <w:r>
        <w:t xml:space="preserve">2 milj. </w:t>
      </w:r>
      <w:r>
        <w:rPr>
          <w:i/>
        </w:rPr>
        <w:t>euro</w:t>
      </w:r>
      <w:r>
        <w:t xml:space="preserve"> apjomā. </w:t>
      </w:r>
      <w:r w:rsidR="00210907">
        <w:t>Lielāko daļu no plānotā finansējuma bija paredzēts izmantot</w:t>
      </w:r>
      <w:r>
        <w:t xml:space="preserve"> SM pārziņā esošajiem </w:t>
      </w:r>
      <w:r w:rsidR="00C60C23">
        <w:t>SAM</w:t>
      </w:r>
      <w:r>
        <w:t>, kas vērsti uz valsts un reģionālo autoceļu uzlabošanas pasākumiem – 47,1 mil</w:t>
      </w:r>
      <w:r w:rsidR="00581642">
        <w:t>j</w:t>
      </w:r>
      <w:r>
        <w:t xml:space="preserve">. </w:t>
      </w:r>
      <w:r>
        <w:rPr>
          <w:i/>
        </w:rPr>
        <w:t xml:space="preserve">euro. </w:t>
      </w:r>
      <w:r>
        <w:t xml:space="preserve">No šī apjoma kopumā līdz gada beigām izlietoti 8,5 milj. </w:t>
      </w:r>
      <w:r>
        <w:rPr>
          <w:i/>
        </w:rPr>
        <w:t>euro</w:t>
      </w:r>
      <w:r>
        <w:t xml:space="preserve"> jeb 18,1%. </w:t>
      </w:r>
      <w:r w:rsidR="008B0B4A" w:rsidRPr="008B0B4A">
        <w:rPr>
          <w:iCs/>
        </w:rPr>
        <w:t>Lai gan jau 2014.gada janvārī tika uzsākta ātrāk uzsākamā 6.1.5.</w:t>
      </w:r>
      <w:r w:rsidR="00DD0C4B">
        <w:rPr>
          <w:iCs/>
        </w:rPr>
        <w:t>SAM</w:t>
      </w:r>
      <w:r w:rsidR="008B0B4A" w:rsidRPr="008B0B4A">
        <w:rPr>
          <w:iCs/>
        </w:rPr>
        <w:t xml:space="preserve"> „Valsts galveno autoceļu segu pārbūve, nestspējas palielināšana” un 6.3.1.</w:t>
      </w:r>
      <w:r w:rsidR="00DD0C4B">
        <w:rPr>
          <w:iCs/>
        </w:rPr>
        <w:t>SAM</w:t>
      </w:r>
      <w:r w:rsidR="008B0B4A" w:rsidRPr="008B0B4A">
        <w:rPr>
          <w:iCs/>
        </w:rPr>
        <w:t xml:space="preserve"> „Palielināt reģionālo mobilitāti uzlabojot valsts reģionālo autoceļu kvalitāti” ieviešanas regulējuma saskaņošana, budžeta neizpilde skaidrojama ar ilgstošu minēto regulējumu saskaņošanu, ņemot vērā, ka paralēli turpinājās </w:t>
      </w:r>
      <w:r w:rsidR="00DD0C4B">
        <w:rPr>
          <w:iCs/>
        </w:rPr>
        <w:t>DP</w:t>
      </w:r>
      <w:r w:rsidR="008B0B4A" w:rsidRPr="008B0B4A">
        <w:rPr>
          <w:iCs/>
        </w:rPr>
        <w:t xml:space="preserve"> “Izaugsme un nodarbinātība” saskaņošana ar </w:t>
      </w:r>
      <w:r w:rsidR="00DD0C4B">
        <w:rPr>
          <w:iCs/>
        </w:rPr>
        <w:t>EK</w:t>
      </w:r>
      <w:r w:rsidR="008B0B4A" w:rsidRPr="008B0B4A">
        <w:rPr>
          <w:iCs/>
        </w:rPr>
        <w:t xml:space="preserve"> un ka starp valsts pārvaldes institūcijām noritēja diskusijas par formu, kādā reglamentējama ātrāk uzsākamo </w:t>
      </w:r>
      <w:r w:rsidR="00DD0C4B">
        <w:rPr>
          <w:iCs/>
        </w:rPr>
        <w:t>SAM</w:t>
      </w:r>
      <w:r w:rsidR="008B0B4A" w:rsidRPr="008B0B4A">
        <w:rPr>
          <w:iCs/>
        </w:rPr>
        <w:t xml:space="preserve"> ieviešana.</w:t>
      </w:r>
      <w:r w:rsidR="008B0B4A">
        <w:t xml:space="preserve"> Tāpat </w:t>
      </w:r>
      <w:r w:rsidR="00210907">
        <w:t xml:space="preserve">5,5 milj. </w:t>
      </w:r>
      <w:r w:rsidR="00210907">
        <w:rPr>
          <w:i/>
        </w:rPr>
        <w:t>euro</w:t>
      </w:r>
      <w:r w:rsidR="00210907">
        <w:t xml:space="preserve"> jauniešu garantijām un 0,5 milj. </w:t>
      </w:r>
      <w:r w:rsidR="00210907" w:rsidRPr="00581642">
        <w:rPr>
          <w:i/>
        </w:rPr>
        <w:t>euro</w:t>
      </w:r>
      <w:r w:rsidR="00210907">
        <w:t xml:space="preserve"> veselības vadlīniju izstrādei bija plānojušas izlietot attiecīgi LM un VM. No šīm divām ministrijām LM izmantoja 4,7 milj. </w:t>
      </w:r>
      <w:r w:rsidR="00210907">
        <w:rPr>
          <w:i/>
        </w:rPr>
        <w:t>euro</w:t>
      </w:r>
      <w:r w:rsidR="00210907">
        <w:t xml:space="preserve"> jeb 85,5%, bet VM 0,2 milj. </w:t>
      </w:r>
      <w:r w:rsidR="00210907">
        <w:rPr>
          <w:i/>
        </w:rPr>
        <w:t>euro</w:t>
      </w:r>
      <w:r w:rsidR="00581642">
        <w:t xml:space="preserve"> jeb 40,0%. Ņemot vērā 2014.</w:t>
      </w:r>
      <w:r w:rsidR="00210907">
        <w:t>gada budžeta izpildi pret 2014.gada augustā plānoto, VI ir precizēj</w:t>
      </w:r>
      <w:r w:rsidR="00581642">
        <w:t>usi izdevumu plānus 2015.-2016.</w:t>
      </w:r>
      <w:r w:rsidR="00210907">
        <w:t xml:space="preserve">gadiem, tos samazinot, ievērojot arī aktuālo </w:t>
      </w:r>
      <w:r w:rsidR="00C60C23">
        <w:t>SAM ieviešana</w:t>
      </w:r>
      <w:r w:rsidR="00581642">
        <w:t>s progresu. Skatīt grafiku Nr.3.</w:t>
      </w:r>
    </w:p>
    <w:p w14:paraId="1FF033A9" w14:textId="54278D11" w:rsidR="00347F46" w:rsidRPr="00CC0CE4" w:rsidRDefault="00707DB4" w:rsidP="00C04510">
      <w:pPr>
        <w:pStyle w:val="1lmenis"/>
        <w:rPr>
          <w:rFonts w:eastAsia="Times New Roman"/>
        </w:rPr>
      </w:pPr>
      <w:bookmarkStart w:id="45" w:name="_Toc412729454"/>
      <w:r>
        <w:rPr>
          <w:rFonts w:eastAsia="Times New Roman"/>
        </w:rPr>
        <w:t>Turpmākā rīcība un n</w:t>
      </w:r>
      <w:r w:rsidR="00EF3A0A" w:rsidRPr="00B57653">
        <w:rPr>
          <w:rFonts w:eastAsia="Times New Roman"/>
        </w:rPr>
        <w:t>ākam</w:t>
      </w:r>
      <w:r>
        <w:rPr>
          <w:rFonts w:eastAsia="Times New Roman"/>
        </w:rPr>
        <w:t>ā</w:t>
      </w:r>
      <w:r w:rsidR="00EF3A0A" w:rsidRPr="00B57653">
        <w:rPr>
          <w:rFonts w:eastAsia="Times New Roman"/>
        </w:rPr>
        <w:t xml:space="preserve"> pārskata period</w:t>
      </w:r>
      <w:r>
        <w:rPr>
          <w:rFonts w:eastAsia="Times New Roman"/>
        </w:rPr>
        <w:t>a aktualitātes</w:t>
      </w:r>
      <w:bookmarkEnd w:id="45"/>
      <w:r w:rsidR="00EF3A0A" w:rsidRPr="00B57653">
        <w:rPr>
          <w:rFonts w:eastAsia="Times New Roman"/>
        </w:rPr>
        <w:t xml:space="preserve"> </w:t>
      </w:r>
      <w:bookmarkStart w:id="46" w:name="_Toc346541587"/>
      <w:bookmarkStart w:id="47" w:name="_Toc348033089"/>
    </w:p>
    <w:p w14:paraId="1A33A7DC" w14:textId="15083052" w:rsidR="00347F46" w:rsidRDefault="00FB03D2" w:rsidP="007E6A57">
      <w:pPr>
        <w:spacing w:line="276" w:lineRule="auto"/>
        <w:jc w:val="both"/>
        <w:rPr>
          <w:rFonts w:eastAsia="Times New Roman" w:cs="Times New Roman"/>
          <w:szCs w:val="24"/>
        </w:rPr>
      </w:pPr>
      <w:r w:rsidRPr="00A16F30">
        <w:rPr>
          <w:rFonts w:eastAsia="Times New Roman" w:cs="Times New Roman"/>
          <w:szCs w:val="24"/>
        </w:rPr>
        <w:t>Līdz 2015.gada otrā ceturkšņa beigām FM izstrādās metodiku par virssaistību finansējuma sadales principiem un uzraudzības mehānismu ES fondu 2014.– 2020.gada plānošanas periodam, paredzot saskaņošanu arī ar AI, SI, kā arī ar  sociālajiem un sadarbības partneriem par virssaistību finansējuma plānošanas jautājumiem. 2016.gada sākumā, pamatojoties uz SI un AI sagatavotajiem secinājumiem par ES fondu ieviešanas progresu, snieguma ietvara izpildi, FM izstrādās</w:t>
      </w:r>
      <w:r>
        <w:rPr>
          <w:rFonts w:eastAsia="Times New Roman" w:cs="Times New Roman"/>
          <w:szCs w:val="24"/>
        </w:rPr>
        <w:t xml:space="preserve"> </w:t>
      </w:r>
      <w:r w:rsidRPr="00A16F30">
        <w:rPr>
          <w:rFonts w:eastAsia="Times New Roman" w:cs="Times New Roman"/>
          <w:szCs w:val="24"/>
        </w:rPr>
        <w:t>ziņojumu par ES fondu apguvi</w:t>
      </w:r>
      <w:r w:rsidR="00A33F02">
        <w:rPr>
          <w:rFonts w:eastAsia="Times New Roman" w:cs="Times New Roman"/>
          <w:szCs w:val="24"/>
        </w:rPr>
        <w:t xml:space="preserve"> 2015.gada otrajā</w:t>
      </w:r>
      <w:r w:rsidR="00A33F02" w:rsidRPr="00A16F30">
        <w:rPr>
          <w:rFonts w:eastAsia="Times New Roman" w:cs="Times New Roman"/>
          <w:szCs w:val="24"/>
        </w:rPr>
        <w:t xml:space="preserve"> pusgad</w:t>
      </w:r>
      <w:r w:rsidR="00A33F02">
        <w:rPr>
          <w:rFonts w:eastAsia="Times New Roman" w:cs="Times New Roman"/>
          <w:szCs w:val="24"/>
        </w:rPr>
        <w:t>ā</w:t>
      </w:r>
      <w:r w:rsidRPr="00A16F30">
        <w:rPr>
          <w:rFonts w:eastAsia="Times New Roman" w:cs="Times New Roman"/>
          <w:szCs w:val="24"/>
        </w:rPr>
        <w:t>, iekļaujot informāciju par plānoto virssaistību finansējuma sadali,  jautājumu izskatīšanai iesniedzot arī UK un MK.</w:t>
      </w:r>
    </w:p>
    <w:p w14:paraId="3D8928DF" w14:textId="77777777" w:rsidR="00F11836" w:rsidRPr="00F11836" w:rsidRDefault="00F11836" w:rsidP="00F11836">
      <w:pPr>
        <w:spacing w:before="120" w:after="120" w:line="276" w:lineRule="auto"/>
        <w:jc w:val="both"/>
        <w:rPr>
          <w:rFonts w:eastAsia="Times New Roman" w:cs="Times New Roman"/>
          <w:szCs w:val="24"/>
        </w:rPr>
      </w:pPr>
      <w:r w:rsidRPr="00F11836">
        <w:rPr>
          <w:rFonts w:eastAsia="Times New Roman" w:cs="Times New Roman"/>
          <w:szCs w:val="24"/>
        </w:rPr>
        <w:t xml:space="preserve">Vienlaikus turpinās darbs arī pie DP “Izaugsme un nodarbinātība” papildinājuma izstrādes, lai nodrošinātu ES fondu 2014 –2020. gada plānošanas perioda pilnvērtīgu ieviešanas uzsākšanu. DP “Izaugsme un nodarbinātība” papildinājumu plānots saskaņot UK līdz </w:t>
      </w:r>
      <w:r w:rsidRPr="00F11836">
        <w:rPr>
          <w:rFonts w:eastAsia="Times New Roman" w:cs="Times New Roman"/>
          <w:szCs w:val="24"/>
        </w:rPr>
        <w:lastRenderedPageBreak/>
        <w:t xml:space="preserve">2015.gada 30.jūnijam un to plānots pārskatīt reizi gadā, analizējot iepriekšējā gada rezultātus un situāciju tautsaimniecībā. </w:t>
      </w:r>
    </w:p>
    <w:p w14:paraId="6B1453BC" w14:textId="51F1C402" w:rsidR="00F11836" w:rsidRPr="00CC0CE4" w:rsidRDefault="00F11836" w:rsidP="00F11836">
      <w:pPr>
        <w:spacing w:before="120" w:after="120" w:line="276" w:lineRule="auto"/>
        <w:jc w:val="both"/>
        <w:rPr>
          <w:rFonts w:eastAsia="Times New Roman" w:cs="Times New Roman"/>
          <w:szCs w:val="24"/>
        </w:rPr>
      </w:pPr>
      <w:r w:rsidRPr="00F11836">
        <w:rPr>
          <w:rFonts w:eastAsia="Times New Roman" w:cs="Times New Roman"/>
          <w:szCs w:val="24"/>
        </w:rPr>
        <w:t>Vienlaikus jānorāda, ka grozījumi DP “Izaugsme un nodarbinātība” tiks ierosināti, ja to nepieciešamība izrietēs no ikgadējām EK rekomendācijām un FM izstrādātajiem stratēģiskajiem progresa ziņojumiem par Partnerības līguma ieviešanu. Attiecīgi DP “Izaugsme un nodarbinātība” pārskatīšana nav plānota ātrāk kā 2017.gadā.</w:t>
      </w:r>
    </w:p>
    <w:bookmarkEnd w:id="46"/>
    <w:bookmarkEnd w:id="47"/>
    <w:p w14:paraId="1F572C00" w14:textId="535495AC" w:rsidR="001E0775" w:rsidRPr="00B57653" w:rsidRDefault="001E0775" w:rsidP="004601FC">
      <w:pPr>
        <w:spacing w:before="120" w:after="120" w:line="276" w:lineRule="auto"/>
        <w:jc w:val="both"/>
        <w:rPr>
          <w:rFonts w:eastAsia="Times New Roman" w:cs="Times New Roman"/>
          <w:szCs w:val="24"/>
        </w:rPr>
      </w:pPr>
      <w:r w:rsidRPr="00B57653">
        <w:rPr>
          <w:rFonts w:eastAsia="Times New Roman" w:cs="Times New Roman"/>
          <w:szCs w:val="24"/>
        </w:rPr>
        <w:t>Plānots turpināt darbu pie vadības un kontroles sistēmas apraksta izstrādes. Pēc komentāru saņemšanas no ES fondu vadībā iesaistītājām iestādēm un apraksta projekta precizēšanas, februāra vidū plānots iesniegt vadības un kontroles sistēmas aprakstu Revīzijas iestādei akreditēšanas uzsākšanai. Akreditēšana notiks pakāpeniski līdz 2015.gada jūnijam, ņemot vērā, ka vairāki normatīvie akti atrodas aktīvajā sas</w:t>
      </w:r>
      <w:r w:rsidR="00C71796">
        <w:rPr>
          <w:rFonts w:eastAsia="Times New Roman" w:cs="Times New Roman"/>
          <w:szCs w:val="24"/>
        </w:rPr>
        <w:t>kaņošanas stadijā ar iestādēm.</w:t>
      </w:r>
    </w:p>
    <w:p w14:paraId="71797817" w14:textId="4055D267" w:rsidR="00992BA9" w:rsidRPr="00B57653" w:rsidRDefault="00E965C5" w:rsidP="00A16F30">
      <w:pPr>
        <w:spacing w:before="120" w:after="120" w:line="276" w:lineRule="auto"/>
        <w:jc w:val="both"/>
        <w:rPr>
          <w:rFonts w:eastAsia="Times New Roman" w:cs="Times New Roman"/>
          <w:szCs w:val="24"/>
        </w:rPr>
      </w:pPr>
      <w:r w:rsidRPr="00B57653">
        <w:rPr>
          <w:rFonts w:eastAsia="Times New Roman" w:cs="Times New Roman"/>
          <w:szCs w:val="24"/>
        </w:rPr>
        <w:t>Plānots</w:t>
      </w:r>
      <w:r w:rsidR="009546C5" w:rsidRPr="00B57653">
        <w:rPr>
          <w:rFonts w:eastAsia="Times New Roman" w:cs="Times New Roman"/>
          <w:szCs w:val="24"/>
        </w:rPr>
        <w:t xml:space="preserve"> līdz 2015.gada februāra beigām </w:t>
      </w:r>
      <w:r w:rsidR="00992BA9" w:rsidRPr="00B57653">
        <w:rPr>
          <w:rFonts w:eastAsia="Times New Roman" w:cs="Times New Roman"/>
          <w:szCs w:val="24"/>
        </w:rPr>
        <w:t>aktualizēt 2014.gada 18.jūlijā apstiprinātas Vadlīnijas Nr.2.1. Vadlīnijas attiecināmo un neattiecināmo izmaksu noteikšanai 2014.-2020.gada plānošanas periodā, ņemot vērā, ka normatīvais regulējums atrodas aktīvajā saskaņošanas/precizēšanas stadijā, kā arī ņemot vērā pētījuma rezultātus par vienāršotajām izmaksām.</w:t>
      </w:r>
    </w:p>
    <w:p w14:paraId="5F0CB214" w14:textId="0E228BBE" w:rsidR="007838C4" w:rsidRPr="00A16F30" w:rsidRDefault="00A80E34" w:rsidP="00A16F30">
      <w:pPr>
        <w:spacing w:before="120" w:after="120" w:line="276" w:lineRule="auto"/>
        <w:jc w:val="both"/>
        <w:rPr>
          <w:rFonts w:eastAsia="Times New Roman" w:cs="Times New Roman"/>
          <w:szCs w:val="24"/>
        </w:rPr>
      </w:pPr>
      <w:r w:rsidRPr="00A16F30">
        <w:rPr>
          <w:rFonts w:eastAsia="Times New Roman" w:cs="Times New Roman"/>
          <w:szCs w:val="24"/>
        </w:rPr>
        <w:t>MK</w:t>
      </w:r>
      <w:r w:rsidR="007838C4" w:rsidRPr="00A16F30">
        <w:rPr>
          <w:rFonts w:eastAsia="Times New Roman" w:cs="Times New Roman"/>
          <w:szCs w:val="24"/>
        </w:rPr>
        <w:t xml:space="preserve"> noteikumu projektu “</w:t>
      </w:r>
      <w:r w:rsidR="00D04AFC" w:rsidRPr="00A16F30">
        <w:rPr>
          <w:rFonts w:eastAsia="Times New Roman" w:cs="Times New Roman"/>
          <w:szCs w:val="24"/>
        </w:rPr>
        <w:t>Eiropas Savienības struktūrfondu un Kohēzijas fonda projektu pārbaužu veikšanas kārtība 2014.-2020.gada plānošanas periodā</w:t>
      </w:r>
      <w:r w:rsidR="007838C4" w:rsidRPr="00A16F30">
        <w:rPr>
          <w:rFonts w:eastAsia="Times New Roman" w:cs="Times New Roman"/>
          <w:szCs w:val="24"/>
        </w:rPr>
        <w:t xml:space="preserve">” plānots līdz </w:t>
      </w:r>
      <w:r w:rsidR="00D04AFC" w:rsidRPr="00A16F30">
        <w:rPr>
          <w:rFonts w:eastAsia="Times New Roman" w:cs="Times New Roman"/>
          <w:szCs w:val="24"/>
        </w:rPr>
        <w:t>2015</w:t>
      </w:r>
      <w:r w:rsidR="007838C4" w:rsidRPr="00A16F30">
        <w:rPr>
          <w:rFonts w:eastAsia="Times New Roman" w:cs="Times New Roman"/>
          <w:szCs w:val="24"/>
        </w:rPr>
        <w:t xml:space="preserve">.gada </w:t>
      </w:r>
      <w:r w:rsidR="00D04AFC" w:rsidRPr="00A16F30">
        <w:rPr>
          <w:rFonts w:eastAsia="Times New Roman" w:cs="Times New Roman"/>
          <w:szCs w:val="24"/>
        </w:rPr>
        <w:t>30</w:t>
      </w:r>
      <w:r w:rsidR="007838C4" w:rsidRPr="00A16F30">
        <w:rPr>
          <w:rFonts w:eastAsia="Times New Roman" w:cs="Times New Roman"/>
          <w:szCs w:val="24"/>
        </w:rPr>
        <w:t>.</w:t>
      </w:r>
      <w:r w:rsidR="00D04AFC" w:rsidRPr="00A16F30">
        <w:rPr>
          <w:rFonts w:eastAsia="Times New Roman" w:cs="Times New Roman"/>
          <w:szCs w:val="24"/>
        </w:rPr>
        <w:t xml:space="preserve">janvārim </w:t>
      </w:r>
      <w:r w:rsidR="007838C4" w:rsidRPr="00A16F30">
        <w:rPr>
          <w:rFonts w:eastAsia="Times New Roman" w:cs="Times New Roman"/>
          <w:szCs w:val="24"/>
        </w:rPr>
        <w:t xml:space="preserve">iesniegt izskatīšanai un apstiprināšanai </w:t>
      </w:r>
      <w:r w:rsidR="007E6A57">
        <w:rPr>
          <w:rFonts w:eastAsia="Times New Roman" w:cs="Times New Roman"/>
          <w:szCs w:val="24"/>
        </w:rPr>
        <w:t>MK</w:t>
      </w:r>
      <w:r w:rsidR="007838C4" w:rsidRPr="00A16F30">
        <w:rPr>
          <w:rFonts w:eastAsia="Times New Roman" w:cs="Times New Roman"/>
          <w:szCs w:val="24"/>
        </w:rPr>
        <w:t>.</w:t>
      </w:r>
    </w:p>
    <w:p w14:paraId="7C2D47EE" w14:textId="679F9989" w:rsidR="007838C4" w:rsidRPr="00A16F30" w:rsidRDefault="00A80E34" w:rsidP="00A16F30">
      <w:pPr>
        <w:spacing w:before="120" w:after="120" w:line="276" w:lineRule="auto"/>
        <w:jc w:val="both"/>
        <w:rPr>
          <w:rFonts w:eastAsia="Times New Roman" w:cs="Times New Roman"/>
          <w:szCs w:val="24"/>
        </w:rPr>
      </w:pPr>
      <w:r w:rsidRPr="00A16F30">
        <w:rPr>
          <w:rFonts w:eastAsia="Times New Roman" w:cs="Times New Roman"/>
          <w:szCs w:val="24"/>
        </w:rPr>
        <w:t>MK</w:t>
      </w:r>
      <w:r w:rsidR="007838C4" w:rsidRPr="00A16F30">
        <w:rPr>
          <w:rFonts w:eastAsia="Times New Roman" w:cs="Times New Roman"/>
          <w:szCs w:val="24"/>
        </w:rPr>
        <w:t xml:space="preserve"> noteikumu projektu “Kārtība, kādā valsts budžetā plāno līdzekļus Eiropas Savienības struktūrfondu un Kohēzijas fonda projektu īstenošanai un veic maksājumus 2014. -2020.gada plānošanas periodā” plānots </w:t>
      </w:r>
      <w:r w:rsidR="00D04AFC" w:rsidRPr="00A16F30">
        <w:rPr>
          <w:rFonts w:eastAsia="Times New Roman" w:cs="Times New Roman"/>
          <w:szCs w:val="24"/>
        </w:rPr>
        <w:t>2015</w:t>
      </w:r>
      <w:r w:rsidR="007838C4" w:rsidRPr="00A16F30">
        <w:rPr>
          <w:rFonts w:eastAsia="Times New Roman" w:cs="Times New Roman"/>
          <w:szCs w:val="24"/>
        </w:rPr>
        <w:t xml:space="preserve">.gada </w:t>
      </w:r>
      <w:r w:rsidR="00D04AFC" w:rsidRPr="00A16F30">
        <w:rPr>
          <w:rFonts w:eastAsia="Times New Roman" w:cs="Times New Roman"/>
          <w:szCs w:val="24"/>
        </w:rPr>
        <w:t xml:space="preserve">februārī </w:t>
      </w:r>
      <w:r w:rsidR="007838C4" w:rsidRPr="00A16F30">
        <w:rPr>
          <w:rFonts w:eastAsia="Times New Roman" w:cs="Times New Roman"/>
          <w:szCs w:val="24"/>
        </w:rPr>
        <w:t xml:space="preserve">iesniegt izskatīšanai un apstiprināšanai </w:t>
      </w:r>
      <w:r w:rsidR="007E6A57">
        <w:rPr>
          <w:rFonts w:eastAsia="Times New Roman" w:cs="Times New Roman"/>
          <w:szCs w:val="24"/>
        </w:rPr>
        <w:t>MK</w:t>
      </w:r>
      <w:r w:rsidR="007838C4" w:rsidRPr="00A16F30">
        <w:rPr>
          <w:rFonts w:eastAsia="Times New Roman" w:cs="Times New Roman"/>
          <w:szCs w:val="24"/>
        </w:rPr>
        <w:t>.</w:t>
      </w:r>
    </w:p>
    <w:p w14:paraId="27DBE9C7" w14:textId="70D2128E" w:rsidR="007838C4" w:rsidRPr="00A16F30" w:rsidRDefault="00A80E34" w:rsidP="00A16F30">
      <w:pPr>
        <w:spacing w:before="120" w:after="120" w:line="276" w:lineRule="auto"/>
        <w:jc w:val="both"/>
        <w:rPr>
          <w:rFonts w:eastAsia="Times New Roman" w:cs="Times New Roman"/>
          <w:szCs w:val="24"/>
        </w:rPr>
      </w:pPr>
      <w:r w:rsidRPr="00A16F30">
        <w:rPr>
          <w:rFonts w:eastAsia="Times New Roman" w:cs="Times New Roman"/>
          <w:szCs w:val="24"/>
        </w:rPr>
        <w:t>MK</w:t>
      </w:r>
      <w:r w:rsidR="00437942" w:rsidRPr="00A16F30">
        <w:rPr>
          <w:rFonts w:eastAsia="Times New Roman" w:cs="Times New Roman"/>
          <w:szCs w:val="24"/>
        </w:rPr>
        <w:t xml:space="preserve"> noteikumu projektu “Kārtība, kādā nodrošina komunikāciju un vizuālās identitātes prasības Eiropas Savienības struktūrfondu un Kohēzijas fonda ieviešanā 2014. – 2020. gada plānošanas periodā” plānots </w:t>
      </w:r>
      <w:r w:rsidR="00D04AFC" w:rsidRPr="00A16F30">
        <w:rPr>
          <w:rFonts w:eastAsia="Times New Roman" w:cs="Times New Roman"/>
          <w:szCs w:val="24"/>
        </w:rPr>
        <w:t>2015</w:t>
      </w:r>
      <w:r w:rsidR="00EA0FC8" w:rsidRPr="00A16F30">
        <w:rPr>
          <w:rFonts w:eastAsia="Times New Roman" w:cs="Times New Roman"/>
          <w:szCs w:val="24"/>
        </w:rPr>
        <w:t xml:space="preserve">.gada </w:t>
      </w:r>
      <w:r w:rsidR="00D04AFC" w:rsidRPr="00A16F30">
        <w:rPr>
          <w:rFonts w:eastAsia="Times New Roman" w:cs="Times New Roman"/>
          <w:szCs w:val="24"/>
        </w:rPr>
        <w:t xml:space="preserve">30.janvārī </w:t>
      </w:r>
      <w:r w:rsidR="00EA0FC8" w:rsidRPr="00A16F30">
        <w:rPr>
          <w:rFonts w:eastAsia="Times New Roman" w:cs="Times New Roman"/>
          <w:szCs w:val="24"/>
        </w:rPr>
        <w:t xml:space="preserve">iesniegt izskatīšanai un apstiprināšanai </w:t>
      </w:r>
      <w:r w:rsidR="007E6A57">
        <w:rPr>
          <w:rFonts w:eastAsia="Times New Roman" w:cs="Times New Roman"/>
          <w:szCs w:val="24"/>
        </w:rPr>
        <w:t>MK</w:t>
      </w:r>
      <w:r w:rsidR="00EA0FC8" w:rsidRPr="00A16F30">
        <w:rPr>
          <w:rFonts w:eastAsia="Times New Roman" w:cs="Times New Roman"/>
          <w:szCs w:val="24"/>
        </w:rPr>
        <w:t>.</w:t>
      </w:r>
    </w:p>
    <w:p w14:paraId="330500FC" w14:textId="2A4A000D" w:rsidR="00D04AFC" w:rsidRPr="00A16F30" w:rsidRDefault="00D04AFC" w:rsidP="00A16F30">
      <w:pPr>
        <w:jc w:val="both"/>
        <w:rPr>
          <w:rFonts w:eastAsia="Times New Roman" w:cs="Times New Roman"/>
          <w:szCs w:val="24"/>
        </w:rPr>
      </w:pPr>
      <w:r w:rsidRPr="00A16F30">
        <w:rPr>
          <w:rFonts w:eastAsia="Times New Roman" w:cs="Times New Roman"/>
          <w:szCs w:val="24"/>
        </w:rPr>
        <w:t xml:space="preserve">MK noteikumu projektu “Eiropas Savienības struktūrfondu un Kohēzijas fonda ieviešanas uzraudzības, izvērtēšanas un Kohēzijas politikas fondu vadības informācijas sistēmas 2014.-2020.gadam izveides un izmantošanas kārtība” plānots 2015.gada </w:t>
      </w:r>
      <w:r w:rsidR="00FB7C32">
        <w:rPr>
          <w:rFonts w:eastAsia="Times New Roman" w:cs="Times New Roman"/>
          <w:szCs w:val="24"/>
        </w:rPr>
        <w:t>17</w:t>
      </w:r>
      <w:r w:rsidRPr="00A16F30">
        <w:rPr>
          <w:rFonts w:eastAsia="Times New Roman" w:cs="Times New Roman"/>
          <w:szCs w:val="24"/>
        </w:rPr>
        <w:t>.</w:t>
      </w:r>
      <w:r w:rsidR="00FB7C32">
        <w:rPr>
          <w:rFonts w:eastAsia="Times New Roman" w:cs="Times New Roman"/>
          <w:szCs w:val="24"/>
        </w:rPr>
        <w:t>februārī</w:t>
      </w:r>
      <w:r w:rsidR="00FB7C32" w:rsidRPr="00A16F30">
        <w:rPr>
          <w:rFonts w:eastAsia="Times New Roman" w:cs="Times New Roman"/>
          <w:szCs w:val="24"/>
        </w:rPr>
        <w:t xml:space="preserve"> </w:t>
      </w:r>
      <w:r w:rsidRPr="00A16F30">
        <w:rPr>
          <w:rFonts w:eastAsia="Times New Roman" w:cs="Times New Roman"/>
          <w:szCs w:val="24"/>
        </w:rPr>
        <w:t xml:space="preserve">iesniegt izskatīšanai </w:t>
      </w:r>
      <w:r w:rsidR="00FB7C32">
        <w:rPr>
          <w:rFonts w:eastAsia="Times New Roman" w:cs="Times New Roman"/>
          <w:szCs w:val="24"/>
        </w:rPr>
        <w:t>VSS</w:t>
      </w:r>
      <w:r w:rsidRPr="00A16F30">
        <w:rPr>
          <w:rFonts w:eastAsia="Times New Roman" w:cs="Times New Roman"/>
          <w:szCs w:val="24"/>
        </w:rPr>
        <w:t>.</w:t>
      </w:r>
    </w:p>
    <w:p w14:paraId="79F8118D" w14:textId="73F0AF43" w:rsidR="00EA0FC8" w:rsidRDefault="00A80E34" w:rsidP="00A16F30">
      <w:pPr>
        <w:spacing w:before="120" w:after="120" w:line="276" w:lineRule="auto"/>
        <w:jc w:val="both"/>
        <w:rPr>
          <w:rFonts w:eastAsia="Times New Roman" w:cs="Times New Roman"/>
          <w:szCs w:val="24"/>
        </w:rPr>
      </w:pPr>
      <w:r w:rsidRPr="00A16F30">
        <w:rPr>
          <w:rFonts w:eastAsia="Times New Roman" w:cs="Times New Roman"/>
          <w:szCs w:val="24"/>
        </w:rPr>
        <w:t>MK</w:t>
      </w:r>
      <w:r w:rsidR="00EA0FC8" w:rsidRPr="00A16F30">
        <w:rPr>
          <w:rFonts w:eastAsia="Times New Roman" w:cs="Times New Roman"/>
          <w:szCs w:val="24"/>
        </w:rPr>
        <w:t xml:space="preserve"> noteikumu projekt</w:t>
      </w:r>
      <w:r w:rsidR="00D04AFC" w:rsidRPr="00A16F30">
        <w:rPr>
          <w:rFonts w:eastAsia="Times New Roman" w:cs="Times New Roman"/>
          <w:szCs w:val="24"/>
        </w:rPr>
        <w:t>u</w:t>
      </w:r>
      <w:r w:rsidR="00EA0FC8" w:rsidRPr="00A16F30">
        <w:rPr>
          <w:rFonts w:eastAsia="Times New Roman" w:cs="Times New Roman"/>
          <w:szCs w:val="24"/>
        </w:rPr>
        <w:t xml:space="preserve"> „Kārtība, kādā ziņo par Eiropas Savienības struktūrfondu un Kohēzijas fonda ieviešanā konstatētajām neatbilstībām, ietur, noraksta vai atgūst neatbilstoši veiktos izdevumus un piemēro proporcionālo finanšu korekciju 2014.-2020.gada plānošanas periodā” </w:t>
      </w:r>
      <w:r w:rsidR="00D04AFC" w:rsidRPr="00A16F30">
        <w:rPr>
          <w:rFonts w:eastAsia="Times New Roman" w:cs="Times New Roman"/>
          <w:szCs w:val="24"/>
        </w:rPr>
        <w:t xml:space="preserve">2015.gada februārī </w:t>
      </w:r>
      <w:r w:rsidR="00FB7C32">
        <w:rPr>
          <w:rFonts w:eastAsia="Times New Roman" w:cs="Times New Roman"/>
          <w:szCs w:val="24"/>
        </w:rPr>
        <w:t>plān</w:t>
      </w:r>
      <w:r w:rsidR="00FB7C32" w:rsidRPr="00A16F30">
        <w:rPr>
          <w:rFonts w:eastAsia="Times New Roman" w:cs="Times New Roman"/>
          <w:szCs w:val="24"/>
        </w:rPr>
        <w:t xml:space="preserve">ots </w:t>
      </w:r>
      <w:r w:rsidR="00D04AFC" w:rsidRPr="00A16F30">
        <w:rPr>
          <w:rFonts w:eastAsia="Times New Roman" w:cs="Times New Roman"/>
          <w:szCs w:val="24"/>
        </w:rPr>
        <w:t xml:space="preserve">izsludināt </w:t>
      </w:r>
      <w:r w:rsidR="007E6A57">
        <w:rPr>
          <w:rFonts w:eastAsia="Times New Roman" w:cs="Times New Roman"/>
          <w:szCs w:val="24"/>
        </w:rPr>
        <w:t>VSS</w:t>
      </w:r>
      <w:r w:rsidR="00D04AFC" w:rsidRPr="00A16F30">
        <w:rPr>
          <w:rFonts w:eastAsia="Times New Roman" w:cs="Times New Roman"/>
          <w:szCs w:val="24"/>
        </w:rPr>
        <w:t>.</w:t>
      </w:r>
    </w:p>
    <w:p w14:paraId="73B8A826" w14:textId="7C8F5A7A" w:rsidR="007E6A57" w:rsidRDefault="007E6A57" w:rsidP="00A16F30">
      <w:pPr>
        <w:spacing w:before="120" w:after="120" w:line="276" w:lineRule="auto"/>
        <w:jc w:val="both"/>
        <w:rPr>
          <w:rFonts w:eastAsia="Times New Roman" w:cs="Times New Roman"/>
          <w:szCs w:val="24"/>
        </w:rPr>
      </w:pPr>
      <w:r>
        <w:rPr>
          <w:rFonts w:eastAsia="Times New Roman" w:cs="Times New Roman"/>
          <w:szCs w:val="24"/>
        </w:rPr>
        <w:t>2015.gada 30.aprīlī plānota 2014.-2020.gada plānošanas perioda UK, kurā paredzēts skatīt perioda aktualitātes.</w:t>
      </w:r>
    </w:p>
    <w:p w14:paraId="6FE8E285" w14:textId="42F658D3" w:rsidR="0003218D" w:rsidRDefault="0003218D" w:rsidP="0003218D">
      <w:pPr>
        <w:shd w:val="clear" w:color="auto" w:fill="FFFFFF"/>
        <w:spacing w:line="276" w:lineRule="auto"/>
        <w:jc w:val="both"/>
        <w:rPr>
          <w:rFonts w:eastAsia="Times New Roman" w:cs="Times New Roman"/>
          <w:szCs w:val="24"/>
        </w:rPr>
      </w:pPr>
      <w:r>
        <w:rPr>
          <w:rFonts w:eastAsia="Times New Roman" w:cs="Times New Roman"/>
          <w:bCs/>
          <w:szCs w:val="24"/>
        </w:rPr>
        <w:t>2015.gada 4.-6.</w:t>
      </w:r>
      <w:r w:rsidRPr="0003218D">
        <w:rPr>
          <w:rFonts w:eastAsia="Times New Roman" w:cs="Times New Roman"/>
          <w:bCs/>
          <w:szCs w:val="24"/>
        </w:rPr>
        <w:t xml:space="preserve">februārī </w:t>
      </w:r>
      <w:r w:rsidRPr="0003218D">
        <w:rPr>
          <w:rFonts w:eastAsia="Times New Roman" w:cs="Times New Roman"/>
          <w:szCs w:val="24"/>
        </w:rPr>
        <w:t>Rīgā norisināsies konference par ES Kohēzijas politikas izaicinājumiem 2014-2020 (</w:t>
      </w:r>
      <w:r w:rsidRPr="0003218D">
        <w:rPr>
          <w:rFonts w:eastAsia="Times New Roman" w:cs="Times New Roman"/>
          <w:bCs/>
          <w:szCs w:val="24"/>
        </w:rPr>
        <w:t>„CHALLENGES FOR THE NEW COHESION POLICY IN 2014-2020: AN ACADEMIC AND POLICY DEBATE”</w:t>
      </w:r>
      <w:r w:rsidRPr="0003218D">
        <w:rPr>
          <w:rFonts w:eastAsia="Times New Roman" w:cs="Times New Roman"/>
          <w:szCs w:val="24"/>
        </w:rPr>
        <w:t xml:space="preserve">). Konference ir Latvijas </w:t>
      </w:r>
      <w:r w:rsidRPr="0003218D">
        <w:rPr>
          <w:rFonts w:eastAsia="Times New Roman" w:cs="Times New Roman"/>
          <w:szCs w:val="24"/>
        </w:rPr>
        <w:lastRenderedPageBreak/>
        <w:t>prezidentūras asociētais pasākums, ko organizē Eiropas Komisijas Reģionālās politikas ģenerāldirektorāts, Reģionālo studiju asociācija, </w:t>
      </w:r>
      <w:r>
        <w:rPr>
          <w:rFonts w:eastAsia="Times New Roman" w:cs="Times New Roman"/>
          <w:szCs w:val="24"/>
        </w:rPr>
        <w:t>FM</w:t>
      </w:r>
      <w:r w:rsidRPr="0003218D">
        <w:rPr>
          <w:rFonts w:eastAsia="Times New Roman" w:cs="Times New Roman"/>
          <w:szCs w:val="24"/>
        </w:rPr>
        <w:t xml:space="preserve"> un Latvijas Universitāte. Šī konference būs viens no centrālajiem Latvijas prezidentūras pasākumiem kohēzijas politikas jomā. Tās gaitā pētniekiem, politiķiem un praktiķiem būs iespēja diskutēt par kohēzijas politiku, analizējot kohēzijas politikas reformas būtību, iespējamos riskus un risinājumus. </w:t>
      </w:r>
    </w:p>
    <w:p w14:paraId="2A4218FE" w14:textId="35EAD45E" w:rsidR="00707DB4" w:rsidRPr="00F730FE" w:rsidRDefault="004515AB" w:rsidP="00A16F30">
      <w:pPr>
        <w:spacing w:before="120" w:after="120" w:line="276" w:lineRule="auto"/>
        <w:jc w:val="both"/>
        <w:rPr>
          <w:rFonts w:eastAsia="Times New Roman" w:cs="Times New Roman"/>
          <w:szCs w:val="24"/>
        </w:rPr>
      </w:pPr>
      <w:r>
        <w:rPr>
          <w:rFonts w:eastAsia="Times New Roman" w:cs="Times New Roman"/>
          <w:szCs w:val="24"/>
        </w:rPr>
        <w:t>Atbilstoši 2014.gada 16.septembra MK sēdē lemtajam (protokols Nr. 49, 57 § 4.punkts), ka sākot ar 2015.gadu informatīvais ziņojums iesniedzams divas reizes gadā, līdz ar to nākamais informatīvais ziņojums būs par laika periodu no 2015.gada 1.janvāra līdz 2015.gada 30.jūnijam un MK tas iesniedzams līdz 2015.gada 1.septembrim.</w:t>
      </w:r>
    </w:p>
    <w:p w14:paraId="1AFD378E" w14:textId="77777777" w:rsidR="00A30B73" w:rsidRPr="00B57653" w:rsidRDefault="00A30B73" w:rsidP="00280BAC">
      <w:pPr>
        <w:pStyle w:val="Default"/>
        <w:spacing w:line="276" w:lineRule="auto"/>
        <w:rPr>
          <w:bCs/>
          <w:color w:val="000000" w:themeColor="text1"/>
        </w:rPr>
      </w:pPr>
    </w:p>
    <w:p w14:paraId="587B11A7" w14:textId="6B729040" w:rsidR="00FA27BA" w:rsidRPr="00FA27BA" w:rsidRDefault="00280BAC" w:rsidP="00FA27BA">
      <w:pPr>
        <w:tabs>
          <w:tab w:val="right" w:pos="8647"/>
        </w:tabs>
        <w:rPr>
          <w:color w:val="000000" w:themeColor="text1"/>
          <w:spacing w:val="6"/>
          <w:sz w:val="28"/>
          <w:szCs w:val="24"/>
        </w:rPr>
      </w:pPr>
      <w:r w:rsidRPr="00B57653">
        <w:rPr>
          <w:color w:val="000000" w:themeColor="text1"/>
          <w:spacing w:val="6"/>
          <w:sz w:val="28"/>
          <w:szCs w:val="24"/>
        </w:rPr>
        <w:t xml:space="preserve">Finanšu ministrs </w:t>
      </w:r>
      <w:r w:rsidRPr="00B57653">
        <w:rPr>
          <w:color w:val="000000" w:themeColor="text1"/>
          <w:spacing w:val="6"/>
          <w:sz w:val="28"/>
          <w:szCs w:val="24"/>
        </w:rPr>
        <w:tab/>
      </w:r>
      <w:r w:rsidR="00407D97" w:rsidRPr="00B57653">
        <w:rPr>
          <w:color w:val="000000" w:themeColor="text1"/>
          <w:spacing w:val="6"/>
          <w:sz w:val="28"/>
          <w:szCs w:val="24"/>
        </w:rPr>
        <w:t>J.Reirs</w:t>
      </w:r>
    </w:p>
    <w:p w14:paraId="046128A3" w14:textId="77777777" w:rsidR="00FA27BA" w:rsidRPr="00B57653" w:rsidRDefault="00FA27BA" w:rsidP="00280BAC">
      <w:pPr>
        <w:tabs>
          <w:tab w:val="center" w:pos="4153"/>
          <w:tab w:val="right" w:pos="8306"/>
        </w:tabs>
        <w:rPr>
          <w:color w:val="000000" w:themeColor="text1"/>
          <w:sz w:val="20"/>
          <w:highlight w:val="yellow"/>
        </w:rPr>
      </w:pPr>
    </w:p>
    <w:p w14:paraId="6F3E983C" w14:textId="77777777" w:rsidR="00D644F4" w:rsidRDefault="00D644F4" w:rsidP="00280BAC">
      <w:pPr>
        <w:tabs>
          <w:tab w:val="center" w:pos="4153"/>
          <w:tab w:val="right" w:pos="8306"/>
        </w:tabs>
        <w:rPr>
          <w:color w:val="000000" w:themeColor="text1"/>
          <w:sz w:val="20"/>
          <w:highlight w:val="yellow"/>
        </w:rPr>
      </w:pPr>
    </w:p>
    <w:p w14:paraId="337E9886" w14:textId="77777777" w:rsidR="003721EE" w:rsidRDefault="003721EE" w:rsidP="00280BAC">
      <w:pPr>
        <w:tabs>
          <w:tab w:val="center" w:pos="4153"/>
          <w:tab w:val="right" w:pos="8306"/>
        </w:tabs>
        <w:rPr>
          <w:color w:val="000000" w:themeColor="text1"/>
          <w:sz w:val="20"/>
          <w:highlight w:val="yellow"/>
        </w:rPr>
      </w:pPr>
    </w:p>
    <w:p w14:paraId="1AAE15D0" w14:textId="77777777" w:rsidR="003721EE" w:rsidRDefault="003721EE" w:rsidP="00280BAC">
      <w:pPr>
        <w:tabs>
          <w:tab w:val="center" w:pos="4153"/>
          <w:tab w:val="right" w:pos="8306"/>
        </w:tabs>
        <w:rPr>
          <w:color w:val="000000" w:themeColor="text1"/>
          <w:sz w:val="20"/>
          <w:highlight w:val="yellow"/>
        </w:rPr>
      </w:pPr>
    </w:p>
    <w:p w14:paraId="23878AD4" w14:textId="77777777" w:rsidR="003721EE" w:rsidRDefault="003721EE" w:rsidP="00280BAC">
      <w:pPr>
        <w:tabs>
          <w:tab w:val="center" w:pos="4153"/>
          <w:tab w:val="right" w:pos="8306"/>
        </w:tabs>
        <w:rPr>
          <w:color w:val="000000" w:themeColor="text1"/>
          <w:sz w:val="20"/>
          <w:highlight w:val="yellow"/>
        </w:rPr>
      </w:pPr>
    </w:p>
    <w:p w14:paraId="21E5BEAF" w14:textId="77777777" w:rsidR="003721EE" w:rsidRPr="00B57653" w:rsidRDefault="003721EE" w:rsidP="00280BAC">
      <w:pPr>
        <w:tabs>
          <w:tab w:val="center" w:pos="4153"/>
          <w:tab w:val="right" w:pos="8306"/>
        </w:tabs>
        <w:rPr>
          <w:color w:val="000000" w:themeColor="text1"/>
          <w:sz w:val="20"/>
          <w:highlight w:val="yellow"/>
        </w:rPr>
      </w:pPr>
    </w:p>
    <w:p w14:paraId="4B164D53" w14:textId="339D69AB" w:rsidR="00280BAC" w:rsidRPr="000A03C6" w:rsidRDefault="002F22FA" w:rsidP="00280BAC">
      <w:pPr>
        <w:tabs>
          <w:tab w:val="left" w:pos="1725"/>
        </w:tabs>
        <w:rPr>
          <w:color w:val="000000" w:themeColor="text1"/>
          <w:sz w:val="18"/>
        </w:rPr>
      </w:pPr>
      <w:r>
        <w:rPr>
          <w:color w:val="000000" w:themeColor="text1"/>
          <w:sz w:val="18"/>
        </w:rPr>
        <w:t>26</w:t>
      </w:r>
      <w:r w:rsidR="00CB497A">
        <w:rPr>
          <w:color w:val="000000" w:themeColor="text1"/>
          <w:sz w:val="18"/>
        </w:rPr>
        <w:t>.02</w:t>
      </w:r>
      <w:r w:rsidR="001263C3" w:rsidRPr="000A03C6">
        <w:rPr>
          <w:color w:val="000000" w:themeColor="text1"/>
          <w:sz w:val="18"/>
        </w:rPr>
        <w:t>.</w:t>
      </w:r>
      <w:r w:rsidR="00023781" w:rsidRPr="000A03C6">
        <w:rPr>
          <w:color w:val="000000" w:themeColor="text1"/>
          <w:sz w:val="18"/>
        </w:rPr>
        <w:t>2015 1</w:t>
      </w:r>
      <w:r w:rsidR="00CB497A">
        <w:rPr>
          <w:color w:val="000000" w:themeColor="text1"/>
          <w:sz w:val="18"/>
        </w:rPr>
        <w:t>4</w:t>
      </w:r>
      <w:r w:rsidR="00023781" w:rsidRPr="000A03C6">
        <w:rPr>
          <w:color w:val="000000" w:themeColor="text1"/>
          <w:sz w:val="18"/>
        </w:rPr>
        <w:t>:</w:t>
      </w:r>
      <w:r w:rsidR="00CB497A">
        <w:rPr>
          <w:color w:val="000000" w:themeColor="text1"/>
          <w:sz w:val="18"/>
        </w:rPr>
        <w:t>56</w:t>
      </w:r>
    </w:p>
    <w:p w14:paraId="31A14D1C" w14:textId="1E481B0B" w:rsidR="00280BAC" w:rsidRPr="000A03C6" w:rsidRDefault="00426563" w:rsidP="00280BAC">
      <w:pPr>
        <w:tabs>
          <w:tab w:val="left" w:pos="1725"/>
        </w:tabs>
        <w:rPr>
          <w:color w:val="000000" w:themeColor="text1"/>
          <w:sz w:val="18"/>
        </w:rPr>
      </w:pPr>
      <w:r>
        <w:rPr>
          <w:color w:val="000000" w:themeColor="text1"/>
          <w:sz w:val="18"/>
        </w:rPr>
        <w:t>20</w:t>
      </w:r>
      <w:r w:rsidR="001E060B" w:rsidRPr="000A03C6">
        <w:rPr>
          <w:color w:val="000000" w:themeColor="text1"/>
          <w:sz w:val="18"/>
        </w:rPr>
        <w:t xml:space="preserve"> </w:t>
      </w:r>
      <w:r w:rsidR="00A72844">
        <w:rPr>
          <w:color w:val="000000" w:themeColor="text1"/>
          <w:sz w:val="18"/>
        </w:rPr>
        <w:t>385</w:t>
      </w:r>
    </w:p>
    <w:p w14:paraId="0BEE160C" w14:textId="77777777" w:rsidR="00426563" w:rsidRPr="00BB47B5" w:rsidRDefault="00426563" w:rsidP="00426563">
      <w:pPr>
        <w:tabs>
          <w:tab w:val="center" w:pos="4153"/>
          <w:tab w:val="right" w:pos="8306"/>
        </w:tabs>
        <w:rPr>
          <w:color w:val="000000"/>
          <w:sz w:val="20"/>
        </w:rPr>
      </w:pPr>
      <w:r>
        <w:rPr>
          <w:color w:val="000000"/>
          <w:sz w:val="20"/>
        </w:rPr>
        <w:t>Ieva Puriņa</w:t>
      </w:r>
    </w:p>
    <w:p w14:paraId="47D07F7C" w14:textId="77777777" w:rsidR="00426563" w:rsidRPr="00BB47B5" w:rsidRDefault="00426563" w:rsidP="00426563">
      <w:pPr>
        <w:tabs>
          <w:tab w:val="center" w:pos="4153"/>
          <w:tab w:val="right" w:pos="8306"/>
        </w:tabs>
        <w:rPr>
          <w:color w:val="000000"/>
          <w:sz w:val="20"/>
        </w:rPr>
      </w:pPr>
      <w:r w:rsidRPr="00BB47B5">
        <w:rPr>
          <w:color w:val="000000"/>
          <w:sz w:val="20"/>
        </w:rPr>
        <w:t>Finanšu ministrijas Eiropas Savienības fondu uzraudzības departamenta</w:t>
      </w:r>
    </w:p>
    <w:p w14:paraId="24B78992" w14:textId="77777777" w:rsidR="00426563" w:rsidRPr="00BB47B5" w:rsidRDefault="00426563" w:rsidP="00426563">
      <w:pPr>
        <w:tabs>
          <w:tab w:val="center" w:pos="4153"/>
          <w:tab w:val="right" w:pos="8306"/>
        </w:tabs>
        <w:rPr>
          <w:color w:val="000000"/>
          <w:sz w:val="20"/>
        </w:rPr>
      </w:pPr>
      <w:r w:rsidRPr="00BB47B5">
        <w:rPr>
          <w:color w:val="000000"/>
          <w:sz w:val="20"/>
        </w:rPr>
        <w:t xml:space="preserve">Uzņēmējdarbības un inovāciju uzraudzības nodaļas </w:t>
      </w:r>
      <w:r>
        <w:rPr>
          <w:color w:val="000000"/>
          <w:sz w:val="20"/>
        </w:rPr>
        <w:t>eksperte</w:t>
      </w:r>
    </w:p>
    <w:p w14:paraId="3025717E" w14:textId="77777777" w:rsidR="00426563" w:rsidRPr="00BB47B5" w:rsidRDefault="00426563" w:rsidP="00426563">
      <w:pPr>
        <w:tabs>
          <w:tab w:val="center" w:pos="4153"/>
          <w:tab w:val="right" w:pos="8306"/>
        </w:tabs>
        <w:rPr>
          <w:color w:val="000000"/>
          <w:sz w:val="20"/>
        </w:rPr>
      </w:pPr>
      <w:r>
        <w:rPr>
          <w:color w:val="000000"/>
          <w:sz w:val="20"/>
        </w:rPr>
        <w:t>Tālr. 67095614</w:t>
      </w:r>
      <w:r w:rsidRPr="00BB47B5">
        <w:rPr>
          <w:color w:val="000000"/>
          <w:sz w:val="20"/>
        </w:rPr>
        <w:t>, fakss 67095697</w:t>
      </w:r>
    </w:p>
    <w:p w14:paraId="277FC53E" w14:textId="77777777" w:rsidR="00426563" w:rsidRPr="008A3553" w:rsidRDefault="004F7C0F" w:rsidP="00426563">
      <w:pPr>
        <w:pStyle w:val="Header"/>
        <w:rPr>
          <w:sz w:val="20"/>
          <w:highlight w:val="yellow"/>
        </w:rPr>
      </w:pPr>
      <w:hyperlink r:id="rId55" w:history="1">
        <w:r w:rsidR="00426563" w:rsidRPr="00800D57">
          <w:rPr>
            <w:rStyle w:val="Hyperlink"/>
            <w:sz w:val="20"/>
          </w:rPr>
          <w:t>Ieva.Purina@fm.gov.lv</w:t>
        </w:r>
      </w:hyperlink>
    </w:p>
    <w:p w14:paraId="36209514" w14:textId="3CB1CC0E" w:rsidR="00280BAC" w:rsidRPr="000A03C6" w:rsidRDefault="00280BAC" w:rsidP="00426563">
      <w:pPr>
        <w:tabs>
          <w:tab w:val="center" w:pos="4153"/>
          <w:tab w:val="right" w:pos="8306"/>
        </w:tabs>
        <w:rPr>
          <w:color w:val="000000" w:themeColor="text1"/>
          <w:sz w:val="16"/>
        </w:rPr>
      </w:pPr>
    </w:p>
    <w:sectPr w:rsidR="00280BAC" w:rsidRPr="000A03C6" w:rsidSect="00992391">
      <w:headerReference w:type="default" r:id="rId56"/>
      <w:footerReference w:type="default" r:id="rId57"/>
      <w:headerReference w:type="first" r:id="rId58"/>
      <w:pgSz w:w="11906" w:h="16838" w:code="9"/>
      <w:pgMar w:top="1418" w:right="1418" w:bottom="1418" w:left="158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F9C4D7" w14:textId="77777777" w:rsidR="00411850" w:rsidRDefault="00411850" w:rsidP="00C147F0">
      <w:r>
        <w:separator/>
      </w:r>
    </w:p>
  </w:endnote>
  <w:endnote w:type="continuationSeparator" w:id="0">
    <w:p w14:paraId="3CC2FF29" w14:textId="77777777" w:rsidR="00411850" w:rsidRDefault="00411850" w:rsidP="00C147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Calibri Light">
    <w:panose1 w:val="020F0302020204030204"/>
    <w:charset w:val="BA"/>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BA"/>
    <w:family w:val="modern"/>
    <w:pitch w:val="fixed"/>
    <w:sig w:usb0="E10002FF" w:usb1="4000FCFF" w:usb2="00000009" w:usb3="00000000" w:csb0="0000019F" w:csb1="00000000"/>
  </w:font>
  <w:font w:name="EUAlbertina-Bold-Identity-H">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C03C4F" w14:textId="5B10CC73" w:rsidR="00411850" w:rsidRPr="00C147F0" w:rsidRDefault="00411850" w:rsidP="003C04BD">
    <w:pPr>
      <w:pStyle w:val="Footer"/>
      <w:jc w:val="both"/>
      <w:rPr>
        <w:sz w:val="20"/>
      </w:rPr>
    </w:pPr>
    <w:r w:rsidRPr="003A479C">
      <w:rPr>
        <w:sz w:val="20"/>
      </w:rPr>
      <w:t>FMzino_</w:t>
    </w:r>
    <w:r w:rsidR="00E31294">
      <w:rPr>
        <w:sz w:val="20"/>
      </w:rPr>
      <w:t>26</w:t>
    </w:r>
    <w:r>
      <w:rPr>
        <w:sz w:val="20"/>
      </w:rPr>
      <w:t>0215</w:t>
    </w:r>
    <w:r w:rsidRPr="003A479C">
      <w:rPr>
        <w:sz w:val="20"/>
      </w:rPr>
      <w:t xml:space="preserve">_ES_fondi; Informatīvais ziņojums par ES struktūrfondu un Kohēzijas fonda, Eiropas Ekonomikas zonas </w:t>
    </w:r>
    <w:r>
      <w:rPr>
        <w:sz w:val="20"/>
      </w:rPr>
      <w:t xml:space="preserve">finanšu instrumenta, Norvēģijas </w:t>
    </w:r>
    <w:r w:rsidRPr="003A479C">
      <w:rPr>
        <w:sz w:val="20"/>
      </w:rPr>
      <w:t>finanšu instrumenta un Latvijas</w:t>
    </w:r>
    <w:r>
      <w:rPr>
        <w:sz w:val="20"/>
      </w:rPr>
      <w:t>–Šveices sadarbības programmas investīciju progresu</w:t>
    </w:r>
    <w:r w:rsidRPr="003A479C">
      <w:rPr>
        <w:sz w:val="20"/>
      </w:rPr>
      <w:t xml:space="preserve"> līdz </w:t>
    </w:r>
    <w:r>
      <w:rPr>
        <w:sz w:val="20"/>
      </w:rPr>
      <w:t>2014.gada 31.decembrim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053E28" w14:textId="77777777" w:rsidR="00411850" w:rsidRDefault="00411850" w:rsidP="00C147F0">
      <w:r>
        <w:separator/>
      </w:r>
    </w:p>
  </w:footnote>
  <w:footnote w:type="continuationSeparator" w:id="0">
    <w:p w14:paraId="5CA8D094" w14:textId="77777777" w:rsidR="00411850" w:rsidRDefault="00411850" w:rsidP="00C147F0">
      <w:r>
        <w:continuationSeparator/>
      </w:r>
    </w:p>
  </w:footnote>
  <w:footnote w:id="1">
    <w:p w14:paraId="163351E1" w14:textId="77777777" w:rsidR="00411850" w:rsidRPr="00B77A71" w:rsidRDefault="00411850" w:rsidP="005274AE">
      <w:pPr>
        <w:pStyle w:val="FootnoteText"/>
        <w:rPr>
          <w:color w:val="000000" w:themeColor="text1"/>
        </w:rPr>
      </w:pPr>
      <w:r w:rsidRPr="00B77A71">
        <w:rPr>
          <w:rStyle w:val="FootnoteReference"/>
          <w:color w:val="000000" w:themeColor="text1"/>
        </w:rPr>
        <w:footnoteRef/>
      </w:r>
      <w:r w:rsidRPr="00B77A71">
        <w:rPr>
          <w:color w:val="000000" w:themeColor="text1"/>
        </w:rPr>
        <w:t xml:space="preserve"> Ar EK regulu (EK) Nr. 1080/2006, kas stājās spēkā 2006.gada 1.augustā, tiek noteikti trīs mērķi fondu pasākumu īstenošanai. 1.mērķis ir konverģence, kas paredzēts vismazāk attīstīto dalībvalstu un reģionu konverģences paātrināšanai, uzlabojot pieauguma un nodarbinātības nosacījumus un tiek finansēs no ERAF, ESF un KF līdzekļiem. Latvija ir tiesīga saņemt finansējumu šī mērķa ietvaros.</w:t>
      </w:r>
    </w:p>
  </w:footnote>
  <w:footnote w:id="2">
    <w:p w14:paraId="31327EBD" w14:textId="747D5367" w:rsidR="00411850" w:rsidRDefault="00411850" w:rsidP="009537A9">
      <w:pPr>
        <w:pStyle w:val="FootnoteText"/>
        <w:jc w:val="both"/>
      </w:pPr>
      <w:r>
        <w:rPr>
          <w:rStyle w:val="FootnoteReference"/>
        </w:rPr>
        <w:footnoteRef/>
      </w:r>
      <w:r>
        <w:t xml:space="preserve"> Komisijas īstenošanas lēmums C(2014)8508 final (2014.gada 11.novembris) ar ko apstiprina konkrētus elementus darbības programmā ,,Izaugsme un nodarbinātība” atbalstam no Eiropas Reģionālas attīstības fonda, Kohēzijas fonda,</w:t>
      </w:r>
      <w:r w:rsidRPr="00710B25">
        <w:t xml:space="preserve"> </w:t>
      </w:r>
      <w:r>
        <w:t>Eiropas Sociālā Fonda un īpašā piešķīruma .Jaunatnes nodarbinātības iniciatīvai saskaņā ar mērķi “Investīcijas izaugsmei un nodarbinātībai” Latvijā</w:t>
      </w:r>
    </w:p>
  </w:footnote>
  <w:footnote w:id="3">
    <w:p w14:paraId="2D1169FA" w14:textId="339C6CDE" w:rsidR="00411850" w:rsidRDefault="00411850" w:rsidP="00D52414">
      <w:pPr>
        <w:pStyle w:val="FootnoteText"/>
        <w:jc w:val="both"/>
      </w:pPr>
      <w:r>
        <w:rPr>
          <w:rStyle w:val="FootnoteReference"/>
        </w:rPr>
        <w:footnoteRef/>
      </w:r>
      <w:r>
        <w:t xml:space="preserve"> Ņemot vērā pastāvošos rosinājumus uz elastības ierobežošanu, kas noteikta </w:t>
      </w:r>
      <w:r w:rsidRPr="00D52414">
        <w:t>Ministru kabineta 2014.gada 25.novembra sēdes protokollēmuma (prot. Nr.65 83.§) Informatīvais ziņojums "Par Eiropas Savienības struktūrfondu un Kohēzijas fonda, Eiropas Ekonomikas zonas finanšu instrumenta, Norvēģijas finanšu instrumenta un Latvijas un Šveices sadarbības programmas apguvi līdz 2</w:t>
      </w:r>
      <w:r>
        <w:t>014.gada 30.septembrim" 7.punktā, kā arī ņemot vērā Eiropas Reģionālās attīstības fonda 3.2.1.5.aktivitātes “Publiskais transports ārpus Rīgas” pārcelšanu uz Kohēzijas fondu, tiek rosināta turpmāka elastība, lai atlikumus no citām aktivitātēm varētu novirzīt 3.2.1.5.aktivitātes “Publiskais transports ārpus Rīgas” projektu finansēšanai.</w:t>
      </w:r>
    </w:p>
  </w:footnote>
  <w:footnote w:id="4">
    <w:p w14:paraId="036347A8" w14:textId="321C7E89" w:rsidR="00411850" w:rsidRDefault="00411850" w:rsidP="000D50B2">
      <w:pPr>
        <w:pStyle w:val="FootnoteText"/>
        <w:jc w:val="both"/>
      </w:pPr>
      <w:r>
        <w:rPr>
          <w:rStyle w:val="FootnoteReference"/>
        </w:rPr>
        <w:footnoteRef/>
      </w:r>
      <w:r>
        <w:t xml:space="preserve"> </w:t>
      </w:r>
      <w:r w:rsidRPr="00C86F26">
        <w:t>Šajā Ziņojumā ES fondu ietekmes analīze balstās uz SIA „Projektu un kvalitātes vadība” pētījuma par izspiešanas efektu un publiskā kapitāla elastību Latvijā ES fondu ietekmes izvērtēšanas metodoloģijas attīstībai (http://www.esfondi.lv/page.php?id=1104) rezultātiem. ES fondu ietekme uz makroekonomiskajiem rādītājiem sniegta balstoties uz 2010.gada salīdzināmajām cenām.</w:t>
      </w:r>
    </w:p>
  </w:footnote>
  <w:footnote w:id="5">
    <w:p w14:paraId="108DDC6D" w14:textId="77777777" w:rsidR="00411850" w:rsidRDefault="00411850" w:rsidP="009A2007">
      <w:pPr>
        <w:pStyle w:val="FootnoteText"/>
        <w:jc w:val="both"/>
      </w:pPr>
      <w:r>
        <w:rPr>
          <w:rStyle w:val="FootnoteReference"/>
        </w:rPr>
        <w:footnoteRef/>
      </w:r>
      <w:r>
        <w:t xml:space="preserve"> </w:t>
      </w:r>
      <w:r w:rsidRPr="009A2007">
        <w:t>Saskaņā ar Latvijas Modeļa metodoloģiju novērtēta ESF, ERAF, KF/ISPA, ES pirmsiestāšanās finanšu instrumentu Phare un SAPARD, INTERREG, ES Kohēzijas politikas 3.mērķa „Eiropas teritoriālā sadarbība” programmas (ERAF), EEZ/Norvēģijas finanšu instrumentu, kā arī Latvijas un Šveices sadarbības programmas ietekme.</w:t>
      </w:r>
    </w:p>
  </w:footnote>
  <w:footnote w:id="6">
    <w:p w14:paraId="35303462" w14:textId="77777777" w:rsidR="008A56BB" w:rsidRDefault="008A56BB" w:rsidP="008A56BB">
      <w:pPr>
        <w:pStyle w:val="FootnoteText"/>
      </w:pPr>
      <w:r>
        <w:rPr>
          <w:rStyle w:val="FootnoteReference"/>
        </w:rPr>
        <w:footnoteRef/>
      </w:r>
      <w:r>
        <w:t xml:space="preserve"> </w:t>
      </w:r>
      <w:r w:rsidRPr="009F1DC7">
        <w:t xml:space="preserve">04.06.2010. noslēgts </w:t>
      </w:r>
      <w:r>
        <w:t xml:space="preserve">četrpusējais </w:t>
      </w:r>
      <w:r w:rsidRPr="009F1DC7">
        <w:t>līgums starp Satiksmes ministriju kā Pasūtītāju, AS “SYSTRA” kā Izpildītāju, Finanšu ministriju kā finansētāju un VAS “Latvijas dzelzceļš” kā projekta ieviesēju</w:t>
      </w:r>
    </w:p>
  </w:footnote>
  <w:footnote w:id="7">
    <w:p w14:paraId="1556650D" w14:textId="77777777" w:rsidR="008A56BB" w:rsidRPr="005B37EC" w:rsidRDefault="008A56BB" w:rsidP="008A56BB">
      <w:pPr>
        <w:spacing w:before="120" w:after="120" w:line="276" w:lineRule="auto"/>
        <w:jc w:val="both"/>
        <w:rPr>
          <w:rFonts w:eastAsia="Times New Roman" w:cs="Times New Roman"/>
          <w:sz w:val="20"/>
          <w:szCs w:val="20"/>
        </w:rPr>
      </w:pPr>
      <w:r>
        <w:rPr>
          <w:rStyle w:val="FootnoteReference"/>
        </w:rPr>
        <w:footnoteRef/>
      </w:r>
      <w:r>
        <w:t xml:space="preserve"> </w:t>
      </w:r>
      <w:r w:rsidRPr="005B37EC">
        <w:rPr>
          <w:rFonts w:eastAsia="Times New Roman" w:cs="Times New Roman"/>
          <w:sz w:val="20"/>
          <w:szCs w:val="20"/>
        </w:rPr>
        <w:t xml:space="preserve">Izvērsta informācija par EK pamatojumu finanšu korekciju ierosināšanai un par Latvijas atbildīgo iestāžu nostāju un argumentiem saistībā ar ierosināto finanšu korekciju tika sniegta informatīvā ziņojuma par ES fondu, </w:t>
      </w:r>
      <w:r w:rsidRPr="005B37EC">
        <w:rPr>
          <w:rFonts w:eastAsia="EUAlbertina-Bold-Identity-H"/>
          <w:color w:val="000000" w:themeColor="text1"/>
          <w:sz w:val="20"/>
          <w:szCs w:val="20"/>
          <w:lang w:eastAsia="lv-LV"/>
        </w:rPr>
        <w:t>EEZ/Norvēģijas finanšu instrumentu un Šveices programmas</w:t>
      </w:r>
      <w:r w:rsidRPr="005B37EC">
        <w:rPr>
          <w:rFonts w:eastAsia="Times New Roman" w:cs="Times New Roman"/>
          <w:sz w:val="20"/>
          <w:szCs w:val="20"/>
        </w:rPr>
        <w:t xml:space="preserve"> investīciju progresu līdz 2014.gada 30.septembrim 2.sadaļā (skat. </w:t>
      </w:r>
      <w:hyperlink r:id="rId1" w:history="1">
        <w:r w:rsidRPr="005B37EC">
          <w:rPr>
            <w:rStyle w:val="Hyperlink"/>
            <w:sz w:val="20"/>
            <w:szCs w:val="20"/>
          </w:rPr>
          <w:t>http://www.esfondi.lv/page.php?id=667</w:t>
        </w:r>
      </w:hyperlink>
      <w:r w:rsidRPr="005B37EC">
        <w:rPr>
          <w:rFonts w:eastAsia="Times New Roman" w:cs="Times New Roman"/>
          <w:sz w:val="20"/>
          <w:szCs w:val="20"/>
        </w:rPr>
        <w:t xml:space="preserve">).    </w:t>
      </w:r>
    </w:p>
    <w:p w14:paraId="2E6F6835" w14:textId="77777777" w:rsidR="008A56BB" w:rsidRDefault="008A56BB" w:rsidP="008A56BB">
      <w:pPr>
        <w:pStyle w:val="FootnoteText"/>
      </w:pPr>
    </w:p>
  </w:footnote>
  <w:footnote w:id="8">
    <w:p w14:paraId="54A7B491" w14:textId="3BB53F22" w:rsidR="00411850" w:rsidRPr="00822986" w:rsidRDefault="00411850" w:rsidP="00D359FD">
      <w:pPr>
        <w:pStyle w:val="FootnoteText"/>
        <w:jc w:val="both"/>
        <w:rPr>
          <w:color w:val="000000" w:themeColor="text1"/>
        </w:rPr>
      </w:pPr>
      <w:r w:rsidRPr="00822986">
        <w:rPr>
          <w:rStyle w:val="FootnoteReference"/>
          <w:color w:val="000000" w:themeColor="text1"/>
        </w:rPr>
        <w:footnoteRef/>
      </w:r>
      <w:r w:rsidRPr="00822986">
        <w:rPr>
          <w:color w:val="000000" w:themeColor="text1"/>
        </w:rPr>
        <w:t xml:space="preserve"> ES fondu </w:t>
      </w:r>
      <w:r>
        <w:rPr>
          <w:color w:val="000000" w:themeColor="text1"/>
        </w:rPr>
        <w:t>tīmekļa</w:t>
      </w:r>
      <w:r w:rsidRPr="00822986">
        <w:rPr>
          <w:color w:val="000000" w:themeColor="text1"/>
        </w:rPr>
        <w:t xml:space="preserve"> vietnē pieejami </w:t>
      </w:r>
      <w:r w:rsidRPr="00822986">
        <w:rPr>
          <w:bCs/>
          <w:color w:val="000000" w:themeColor="text1"/>
        </w:rPr>
        <w:t xml:space="preserve">Latvijas plānošanas dokumenti: </w:t>
      </w:r>
      <w:hyperlink r:id="rId2" w:history="1">
        <w:r w:rsidRPr="00822986">
          <w:rPr>
            <w:rStyle w:val="Hyperlink"/>
            <w:rFonts w:cs="Times New Roman"/>
          </w:rPr>
          <w:t>http://www.esfondi.lv/page.php?id=470</w:t>
        </w:r>
      </w:hyperlink>
    </w:p>
  </w:footnote>
  <w:footnote w:id="9">
    <w:p w14:paraId="4B73BF72" w14:textId="77777777" w:rsidR="00411850" w:rsidRDefault="00411850" w:rsidP="00D21B30">
      <w:pPr>
        <w:pStyle w:val="FootnoteText"/>
        <w:jc w:val="both"/>
      </w:pPr>
      <w:r>
        <w:rPr>
          <w:rStyle w:val="FootnoteReference"/>
        </w:rPr>
        <w:footnoteRef/>
      </w:r>
      <w:r>
        <w:t xml:space="preserve"> MK 2014.gada 22.oktobra rīkojums Nr.606 “Grozījumi darbības programmas “Uzņēmējdarbība un inovācijas”</w:t>
      </w:r>
      <w:r w:rsidRPr="00023408">
        <w:t xml:space="preserve"> papildinājumā</w:t>
      </w:r>
      <w:r>
        <w:t xml:space="preserve">” (“LV”, </w:t>
      </w:r>
      <w:r w:rsidRPr="007E6458">
        <w:t>211 (5271)</w:t>
      </w:r>
      <w:r>
        <w:t xml:space="preserve"> 24.10.2014.) [stājās spēkā 22.10.2014.]</w:t>
      </w:r>
    </w:p>
  </w:footnote>
  <w:footnote w:id="10">
    <w:p w14:paraId="1DEBD8AB" w14:textId="77777777" w:rsidR="00411850" w:rsidRDefault="00411850" w:rsidP="00874999">
      <w:pPr>
        <w:pStyle w:val="FootnoteText"/>
      </w:pPr>
      <w:r>
        <w:rPr>
          <w:rStyle w:val="FootnoteReference"/>
        </w:rPr>
        <w:footnoteRef/>
      </w:r>
      <w:r>
        <w:t xml:space="preserve"> MK 2014.gada 12.augusta sēde protokols Nr.43 59.§, 4.2. un 4.3.apakšpunkts</w:t>
      </w:r>
    </w:p>
  </w:footnote>
  <w:footnote w:id="11">
    <w:p w14:paraId="07392363" w14:textId="77777777" w:rsidR="00411850" w:rsidRDefault="00411850" w:rsidP="0030346D">
      <w:pPr>
        <w:pStyle w:val="FootnoteText"/>
        <w:jc w:val="both"/>
      </w:pPr>
      <w:r>
        <w:rPr>
          <w:rStyle w:val="FootnoteReference"/>
        </w:rPr>
        <w:footnoteRef/>
      </w:r>
      <w:r>
        <w:t xml:space="preserve"> MK </w:t>
      </w:r>
      <w:r w:rsidRPr="00327883">
        <w:t>2014.gada 28.novembra</w:t>
      </w:r>
      <w:r>
        <w:t xml:space="preserve"> rīkojums Nr.692 “Grozījumi darbības programmas “Uzņēmējdarbība un inovācijas”</w:t>
      </w:r>
      <w:r w:rsidRPr="00023408">
        <w:t xml:space="preserve"> papildinājumā</w:t>
      </w:r>
      <w:r>
        <w:t xml:space="preserve">” (“LV”, </w:t>
      </w:r>
      <w:r w:rsidRPr="00EF6377">
        <w:t>238 (5298)</w:t>
      </w:r>
      <w:r>
        <w:t>, 01.12.2014.) [stājās spēkā 28.11.2014.]</w:t>
      </w:r>
    </w:p>
  </w:footnote>
  <w:footnote w:id="12">
    <w:p w14:paraId="7044D0CB" w14:textId="77777777" w:rsidR="00411850" w:rsidRDefault="00411850" w:rsidP="00871BC8">
      <w:pPr>
        <w:pStyle w:val="FootnoteText"/>
        <w:jc w:val="both"/>
      </w:pPr>
      <w:r>
        <w:rPr>
          <w:rStyle w:val="FootnoteReference"/>
        </w:rPr>
        <w:footnoteRef/>
      </w:r>
      <w:r>
        <w:t xml:space="preserve"> 2014.gada 5.decembra Eiropas Komisijas vēstule </w:t>
      </w:r>
      <w:r w:rsidRPr="00B57653">
        <w:t>Nr.H3/LS/ib D(2014) 4451597</w:t>
      </w:r>
    </w:p>
  </w:footnote>
  <w:footnote w:id="13">
    <w:p w14:paraId="1B0AE626" w14:textId="77777777" w:rsidR="00411850" w:rsidRDefault="00411850" w:rsidP="00581D07">
      <w:pPr>
        <w:pStyle w:val="FootnoteText"/>
        <w:jc w:val="both"/>
      </w:pPr>
      <w:r>
        <w:rPr>
          <w:rStyle w:val="FootnoteReference"/>
        </w:rPr>
        <w:footnoteRef/>
      </w:r>
      <w:r>
        <w:t xml:space="preserve"> </w:t>
      </w:r>
      <w:r w:rsidRPr="009E5868">
        <w:t>MK</w:t>
      </w:r>
      <w:r>
        <w:t xml:space="preserve"> 2010.gada 26.janvāra noteikumi</w:t>
      </w:r>
      <w:r w:rsidRPr="009E5868">
        <w:t xml:space="preserve"> Nr.91 </w:t>
      </w:r>
      <w:r w:rsidRPr="00D03DD0">
        <w:rPr>
          <w:szCs w:val="24"/>
        </w:rPr>
        <w:t>„</w:t>
      </w:r>
      <w:r w:rsidRPr="009E5868">
        <w:t xml:space="preserve">Noteikumi par darbības programmas </w:t>
      </w:r>
      <w:r w:rsidRPr="00D03DD0">
        <w:rPr>
          <w:szCs w:val="24"/>
        </w:rPr>
        <w:t>„</w:t>
      </w:r>
      <w:r w:rsidRPr="009E5868">
        <w:t xml:space="preserve">Infrastruktūra un pakalpojumi” papildinājuma 3.6.1.1.aktivitāti </w:t>
      </w:r>
      <w:r w:rsidRPr="00D03DD0">
        <w:rPr>
          <w:szCs w:val="24"/>
        </w:rPr>
        <w:t>„</w:t>
      </w:r>
      <w:r w:rsidRPr="009E5868">
        <w:t>Nacionālas un reģionālas nozīmes attīstības centru izaugsmes veicināšana līdzsvarotai valsts attīstībai””</w:t>
      </w:r>
    </w:p>
  </w:footnote>
  <w:footnote w:id="14">
    <w:p w14:paraId="0C2BF096" w14:textId="77777777" w:rsidR="00411850" w:rsidRDefault="00411850" w:rsidP="00581D07">
      <w:pPr>
        <w:pStyle w:val="FootnoteText"/>
        <w:jc w:val="both"/>
      </w:pPr>
      <w:r>
        <w:rPr>
          <w:rStyle w:val="FootnoteReference"/>
        </w:rPr>
        <w:footnoteRef/>
      </w:r>
      <w:r>
        <w:t xml:space="preserve"> </w:t>
      </w:r>
      <w:r w:rsidRPr="009E5868">
        <w:t>MK 2</w:t>
      </w:r>
      <w:r>
        <w:t>010.gada 14.septembra noteikumi</w:t>
      </w:r>
      <w:r w:rsidRPr="009E5868">
        <w:t xml:space="preserve"> Nr.843 </w:t>
      </w:r>
      <w:r w:rsidRPr="00D03DD0">
        <w:rPr>
          <w:szCs w:val="24"/>
        </w:rPr>
        <w:t>„</w:t>
      </w:r>
      <w:r w:rsidRPr="009E5868">
        <w:t xml:space="preserve">Noteikumi par darbības programmas </w:t>
      </w:r>
      <w:r w:rsidRPr="00D03DD0">
        <w:rPr>
          <w:szCs w:val="24"/>
        </w:rPr>
        <w:t>„</w:t>
      </w:r>
      <w:r w:rsidRPr="009E5868">
        <w:t xml:space="preserve">Infrastruktūra un pakalpojumi” papildinājuma 3.6.2.1.aktivitāti </w:t>
      </w:r>
      <w:r w:rsidRPr="00D03DD0">
        <w:rPr>
          <w:szCs w:val="24"/>
        </w:rPr>
        <w:t>„</w:t>
      </w:r>
      <w:r w:rsidRPr="009E5868">
        <w:t>Atbalsts novadu pašvaldību kompleksai attīstībai””</w:t>
      </w:r>
    </w:p>
  </w:footnote>
  <w:footnote w:id="15">
    <w:p w14:paraId="0CB9677D" w14:textId="77777777" w:rsidR="00411850" w:rsidRDefault="00411850" w:rsidP="00581D07">
      <w:pPr>
        <w:pStyle w:val="FootnoteText"/>
        <w:jc w:val="both"/>
      </w:pPr>
      <w:r>
        <w:rPr>
          <w:rStyle w:val="FootnoteReference"/>
        </w:rPr>
        <w:footnoteRef/>
      </w:r>
      <w:r>
        <w:t xml:space="preserve"> </w:t>
      </w:r>
      <w:r w:rsidRPr="009E5868">
        <w:t xml:space="preserve">MK </w:t>
      </w:r>
      <w:r>
        <w:t>2014.gada 10.novembra noteikumi</w:t>
      </w:r>
      <w:r w:rsidRPr="009E5868">
        <w:t xml:space="preserve"> Nr.700 </w:t>
      </w:r>
      <w:r w:rsidRPr="00D03DD0">
        <w:rPr>
          <w:szCs w:val="24"/>
        </w:rPr>
        <w:t>„</w:t>
      </w:r>
      <w:r w:rsidRPr="009E5868">
        <w:t xml:space="preserve">Noteikumi par darbības programmas </w:t>
      </w:r>
      <w:r w:rsidRPr="00D03DD0">
        <w:rPr>
          <w:szCs w:val="24"/>
        </w:rPr>
        <w:t>„</w:t>
      </w:r>
      <w:r w:rsidRPr="009E5868">
        <w:t>Uzņēmējd</w:t>
      </w:r>
      <w:r>
        <w:t xml:space="preserve">arbība un inovācijas” </w:t>
      </w:r>
      <w:r w:rsidRPr="009E5868">
        <w:t xml:space="preserve">papildinājuma 2.3.2.2.aktivitātes </w:t>
      </w:r>
      <w:r w:rsidRPr="00D03DD0">
        <w:rPr>
          <w:szCs w:val="24"/>
        </w:rPr>
        <w:t>„</w:t>
      </w:r>
      <w:r w:rsidRPr="009E5868">
        <w:t xml:space="preserve">Atbalsts ieguldījumiem mikro, maziem un vidējiem komersantiem” 2.3.2.2.3.apakšaktivitāti </w:t>
      </w:r>
      <w:r w:rsidRPr="00D03DD0">
        <w:rPr>
          <w:szCs w:val="24"/>
        </w:rPr>
        <w:t>„</w:t>
      </w:r>
      <w:r w:rsidRPr="009E5868">
        <w:t>Atbalsts ieguldījumiem infrastruktūrā uzņēmējdarbības attīstībai””</w:t>
      </w:r>
    </w:p>
  </w:footnote>
  <w:footnote w:id="16">
    <w:p w14:paraId="36723679" w14:textId="2F87B3E9" w:rsidR="00411850" w:rsidRDefault="00411850" w:rsidP="004E27F9">
      <w:pPr>
        <w:pStyle w:val="FootnoteText"/>
        <w:jc w:val="both"/>
      </w:pPr>
      <w:r>
        <w:rPr>
          <w:rStyle w:val="FootnoteReference"/>
        </w:rPr>
        <w:footnoteRef/>
      </w:r>
      <w:r>
        <w:t xml:space="preserve"> MK 2014.gada 4.decembra rīkojums Nr.730 “Grozījumi darbības programmas “Uzņēmējdarbība un inovācijas”</w:t>
      </w:r>
      <w:r w:rsidRPr="00023408">
        <w:t xml:space="preserve"> papildinājumā</w:t>
      </w:r>
      <w:r>
        <w:t>” (“LV”, 243 (5303), 05.12.2014.) [stājās spēkā 04.12.2014.]</w:t>
      </w:r>
    </w:p>
  </w:footnote>
  <w:footnote w:id="17">
    <w:p w14:paraId="30ECFE4B" w14:textId="0FAF58B5" w:rsidR="00411850" w:rsidRDefault="00411850">
      <w:pPr>
        <w:pStyle w:val="FootnoteText"/>
      </w:pPr>
      <w:r>
        <w:rPr>
          <w:rStyle w:val="FootnoteReference"/>
        </w:rPr>
        <w:footnoteRef/>
      </w:r>
      <w:r>
        <w:t xml:space="preserve"> </w:t>
      </w:r>
      <w:hyperlink r:id="rId3" w:history="1">
        <w:r w:rsidRPr="00A7105B">
          <w:rPr>
            <w:rStyle w:val="Hyperlink"/>
          </w:rPr>
          <w:t>http://www.esfondi.lv/page.php?id=939</w:t>
        </w:r>
      </w:hyperlink>
    </w:p>
  </w:footnote>
  <w:footnote w:id="18">
    <w:p w14:paraId="1D7F21E4" w14:textId="206F46A8" w:rsidR="00411850" w:rsidRDefault="00411850">
      <w:pPr>
        <w:pStyle w:val="FootnoteText"/>
      </w:pPr>
      <w:r>
        <w:rPr>
          <w:rStyle w:val="FootnoteReference"/>
        </w:rPr>
        <w:footnoteRef/>
      </w:r>
      <w:r>
        <w:t xml:space="preserve"> ES fondu tīmekļa vietne </w:t>
      </w:r>
      <w:r w:rsidRPr="00822986">
        <w:rPr>
          <w:color w:val="000000" w:themeColor="text1"/>
        </w:rPr>
        <w:t xml:space="preserve">sadaļā par </w:t>
      </w:r>
      <w:r w:rsidRPr="00822986">
        <w:t>ES fondu</w:t>
      </w:r>
      <w:r>
        <w:t xml:space="preserve"> ieviešanu - </w:t>
      </w:r>
      <w:hyperlink r:id="rId4" w:history="1">
        <w:r w:rsidRPr="009444A8">
          <w:rPr>
            <w:rStyle w:val="Hyperlink"/>
          </w:rPr>
          <w:t>http://www.esfondi.lv/page.php?id=338</w:t>
        </w:r>
      </w:hyperlink>
      <w:r>
        <w:t xml:space="preserve"> </w:t>
      </w:r>
    </w:p>
  </w:footnote>
  <w:footnote w:id="19">
    <w:p w14:paraId="5D0E244F" w14:textId="761EDCF6" w:rsidR="00411850" w:rsidRDefault="00411850">
      <w:pPr>
        <w:pStyle w:val="FootnoteText"/>
      </w:pPr>
      <w:r>
        <w:rPr>
          <w:rStyle w:val="FootnoteReference"/>
        </w:rPr>
        <w:footnoteRef/>
      </w:r>
      <w:r>
        <w:t xml:space="preserve"> </w:t>
      </w:r>
      <w:r w:rsidRPr="00822986">
        <w:rPr>
          <w:color w:val="000000" w:themeColor="text1"/>
        </w:rPr>
        <w:t xml:space="preserve">ES fondu </w:t>
      </w:r>
      <w:r>
        <w:rPr>
          <w:color w:val="000000" w:themeColor="text1"/>
        </w:rPr>
        <w:t>tīmekļa</w:t>
      </w:r>
      <w:r w:rsidRPr="00822986">
        <w:rPr>
          <w:color w:val="000000" w:themeColor="text1"/>
        </w:rPr>
        <w:t xml:space="preserve"> vietnes sadaļā par </w:t>
      </w:r>
      <w:r w:rsidRPr="00822986">
        <w:t>ES fondu</w:t>
      </w:r>
      <w:r>
        <w:t xml:space="preserve"> aktivitāšu kalendāru: </w:t>
      </w:r>
      <w:hyperlink r:id="rId5" w:history="1">
        <w:r w:rsidRPr="009444A8">
          <w:rPr>
            <w:rStyle w:val="Hyperlink"/>
          </w:rPr>
          <w:t>http://www.esfondi.lv/page.php?id=939</w:t>
        </w:r>
      </w:hyperlink>
      <w:r>
        <w:t xml:space="preserve"> </w:t>
      </w:r>
    </w:p>
  </w:footnote>
  <w:footnote w:id="20">
    <w:p w14:paraId="346C29D7" w14:textId="5F19DCC7" w:rsidR="00411850" w:rsidRPr="00822986" w:rsidRDefault="00411850" w:rsidP="009A0CC9">
      <w:pPr>
        <w:pStyle w:val="FootnoteText"/>
        <w:jc w:val="both"/>
        <w:rPr>
          <w:color w:val="000000" w:themeColor="text1"/>
        </w:rPr>
      </w:pPr>
      <w:r w:rsidRPr="00822986">
        <w:rPr>
          <w:rStyle w:val="FootnoteReference"/>
          <w:color w:val="000000" w:themeColor="text1"/>
        </w:rPr>
        <w:footnoteRef/>
      </w:r>
      <w:r w:rsidRPr="00822986">
        <w:rPr>
          <w:color w:val="000000" w:themeColor="text1"/>
        </w:rPr>
        <w:t xml:space="preserve"> ES fondu </w:t>
      </w:r>
      <w:r>
        <w:rPr>
          <w:color w:val="000000" w:themeColor="text1"/>
        </w:rPr>
        <w:t>tīmekļa</w:t>
      </w:r>
      <w:r w:rsidRPr="00822986">
        <w:rPr>
          <w:color w:val="000000" w:themeColor="text1"/>
        </w:rPr>
        <w:t xml:space="preserve"> vietnes sadaļā par </w:t>
      </w:r>
      <w:r w:rsidRPr="00822986">
        <w:t xml:space="preserve">ES fondu finanšu progresu: </w:t>
      </w:r>
      <w:hyperlink r:id="rId6" w:history="1">
        <w:r w:rsidRPr="00822986">
          <w:rPr>
            <w:rStyle w:val="Hyperlink"/>
            <w:rFonts w:cs="Times New Roman"/>
            <w:color w:val="000000" w:themeColor="text1"/>
          </w:rPr>
          <w:t>http://www.esfondi.lv/page.php?id=909</w:t>
        </w:r>
      </w:hyperlink>
      <w:r>
        <w:rPr>
          <w:color w:val="000000" w:themeColor="text1"/>
        </w:rPr>
        <w:t xml:space="preserve"> </w:t>
      </w:r>
    </w:p>
  </w:footnote>
  <w:footnote w:id="21">
    <w:p w14:paraId="733C087F" w14:textId="6C857DB6" w:rsidR="00411850" w:rsidRPr="00822986" w:rsidRDefault="00411850" w:rsidP="009A0CC9">
      <w:pPr>
        <w:pStyle w:val="FootnoteText"/>
        <w:jc w:val="both"/>
        <w:rPr>
          <w:color w:val="000000" w:themeColor="text1"/>
        </w:rPr>
      </w:pPr>
      <w:r w:rsidRPr="00822986">
        <w:rPr>
          <w:rStyle w:val="FootnoteReference"/>
          <w:color w:val="000000" w:themeColor="text1"/>
        </w:rPr>
        <w:footnoteRef/>
      </w:r>
      <w:r w:rsidRPr="00822986">
        <w:rPr>
          <w:color w:val="000000" w:themeColor="text1"/>
        </w:rPr>
        <w:t xml:space="preserve"> ES fondu </w:t>
      </w:r>
      <w:r>
        <w:rPr>
          <w:color w:val="000000" w:themeColor="text1"/>
        </w:rPr>
        <w:t>tīmekļa</w:t>
      </w:r>
      <w:r w:rsidRPr="00822986">
        <w:rPr>
          <w:color w:val="000000" w:themeColor="text1"/>
        </w:rPr>
        <w:t xml:space="preserve"> vietnes sadaļā par </w:t>
      </w:r>
      <w:r w:rsidRPr="00822986">
        <w:t>ES fondu un Kohēzijas fonda kopējiem EK veiktiem maksājumiem dalībvalstīm:</w:t>
      </w:r>
      <w:r w:rsidRPr="00822986">
        <w:rPr>
          <w:color w:val="000000" w:themeColor="text1"/>
        </w:rPr>
        <w:t xml:space="preserve"> </w:t>
      </w:r>
      <w:hyperlink r:id="rId7" w:history="1">
        <w:r w:rsidRPr="00822986">
          <w:rPr>
            <w:rStyle w:val="Hyperlink"/>
            <w:rFonts w:cs="Times New Roman"/>
          </w:rPr>
          <w:t>http://www.esfondi.lv/page.php?id=1065</w:t>
        </w:r>
      </w:hyperlink>
    </w:p>
  </w:footnote>
  <w:footnote w:id="22">
    <w:p w14:paraId="611EE732" w14:textId="5834911F" w:rsidR="00411850" w:rsidRPr="00822986" w:rsidRDefault="00411850" w:rsidP="009A0CC9">
      <w:pPr>
        <w:pStyle w:val="FootnoteText"/>
        <w:jc w:val="both"/>
        <w:rPr>
          <w:color w:val="000000" w:themeColor="text1"/>
        </w:rPr>
      </w:pPr>
      <w:r w:rsidRPr="00822986">
        <w:rPr>
          <w:rStyle w:val="FootnoteReference"/>
          <w:color w:val="000000" w:themeColor="text1"/>
        </w:rPr>
        <w:footnoteRef/>
      </w:r>
      <w:r w:rsidRPr="00822986">
        <w:rPr>
          <w:color w:val="000000" w:themeColor="text1"/>
        </w:rPr>
        <w:t xml:space="preserve"> ES fondu </w:t>
      </w:r>
      <w:r>
        <w:rPr>
          <w:color w:val="000000" w:themeColor="text1"/>
        </w:rPr>
        <w:t>tīmekļa</w:t>
      </w:r>
      <w:r w:rsidRPr="00822986">
        <w:rPr>
          <w:color w:val="000000" w:themeColor="text1"/>
        </w:rPr>
        <w:t xml:space="preserve"> vietnes sadaļā par </w:t>
      </w:r>
      <w:r w:rsidRPr="00822986">
        <w:t xml:space="preserve">ES fondu apguves salīdzinājumu starp Baltijas valstīm 2007-2013.g.: </w:t>
      </w:r>
      <w:hyperlink r:id="rId8" w:history="1">
        <w:r w:rsidRPr="00822986">
          <w:rPr>
            <w:rStyle w:val="Hyperlink"/>
            <w:rFonts w:cs="Times New Roman"/>
            <w:color w:val="000000" w:themeColor="text1"/>
          </w:rPr>
          <w:t>http://www.esfondi.lv/page.php?id=1025</w:t>
        </w:r>
      </w:hyperlink>
    </w:p>
  </w:footnote>
  <w:footnote w:id="23">
    <w:p w14:paraId="574EB361" w14:textId="44A7CE31" w:rsidR="00411850" w:rsidRPr="00F81652" w:rsidRDefault="00411850" w:rsidP="00747912">
      <w:pPr>
        <w:pStyle w:val="FootnoteText"/>
      </w:pPr>
      <w:r w:rsidRPr="00822986">
        <w:rPr>
          <w:rStyle w:val="FootnoteReference"/>
          <w:color w:val="000000" w:themeColor="text1"/>
        </w:rPr>
        <w:footnoteRef/>
      </w:r>
      <w:r w:rsidRPr="00822986">
        <w:rPr>
          <w:rStyle w:val="FootnoteReference"/>
          <w:color w:val="000000" w:themeColor="text1"/>
        </w:rPr>
        <w:t xml:space="preserve"> </w:t>
      </w:r>
      <w:r>
        <w:rPr>
          <w:rStyle w:val="FootnoteReference"/>
          <w:color w:val="000000" w:themeColor="text1"/>
          <w:vertAlign w:val="baseline"/>
        </w:rPr>
        <w:t>2013.gada 19.novembra</w:t>
      </w:r>
      <w:bookmarkStart w:id="11" w:name="26"/>
      <w:r>
        <w:rPr>
          <w:rStyle w:val="FootnoteReference"/>
          <w:color w:val="000000" w:themeColor="text1"/>
          <w:vertAlign w:val="baseline"/>
        </w:rPr>
        <w:t xml:space="preserve"> MK sēdes protokols Nr.61</w:t>
      </w:r>
      <w:r w:rsidRPr="00F81652">
        <w:rPr>
          <w:color w:val="000000" w:themeColor="text1"/>
        </w:rPr>
        <w:t xml:space="preserve"> </w:t>
      </w:r>
      <w:r>
        <w:rPr>
          <w:rStyle w:val="FootnoteReference"/>
          <w:color w:val="000000" w:themeColor="text1"/>
          <w:vertAlign w:val="baseline"/>
        </w:rPr>
        <w:t>66</w:t>
      </w:r>
      <w:r w:rsidRPr="00F81652">
        <w:rPr>
          <w:rStyle w:val="FootnoteReference"/>
          <w:color w:val="000000" w:themeColor="text1"/>
          <w:vertAlign w:val="baseline"/>
        </w:rPr>
        <w:t>.§</w:t>
      </w:r>
      <w:bookmarkEnd w:id="11"/>
      <w:r w:rsidRPr="00F81652">
        <w:rPr>
          <w:color w:val="000000" w:themeColor="text1"/>
        </w:rPr>
        <w:t>.</w:t>
      </w:r>
      <w:r w:rsidRPr="00822986">
        <w:rPr>
          <w:color w:val="000000" w:themeColor="text1"/>
        </w:rPr>
        <w:t xml:space="preserve"> Pieejams MK </w:t>
      </w:r>
      <w:r>
        <w:rPr>
          <w:color w:val="000000" w:themeColor="text1"/>
        </w:rPr>
        <w:t>tīmekļa</w:t>
      </w:r>
      <w:r w:rsidRPr="00822986">
        <w:rPr>
          <w:color w:val="000000" w:themeColor="text1"/>
        </w:rPr>
        <w:t xml:space="preserve"> vietnē: </w:t>
      </w:r>
      <w:hyperlink r:id="rId9" w:history="1">
        <w:r w:rsidRPr="008F6E82">
          <w:rPr>
            <w:rStyle w:val="Hyperlink"/>
          </w:rPr>
          <w:t>http://www.mk.gov.lv/lv/mk/mksedes/saraksts/protokols/?protokols=2013-11-19</w:t>
        </w:r>
      </w:hyperlink>
    </w:p>
  </w:footnote>
  <w:footnote w:id="24">
    <w:p w14:paraId="589E3081" w14:textId="77777777" w:rsidR="00411850" w:rsidRPr="00927D7C" w:rsidRDefault="00411850" w:rsidP="003832EE">
      <w:pPr>
        <w:pStyle w:val="Heading2"/>
        <w:spacing w:before="0"/>
        <w:jc w:val="both"/>
        <w:rPr>
          <w:rFonts w:ascii="Times New Roman" w:hAnsi="Times New Roman"/>
          <w:b/>
          <w:i/>
          <w:color w:val="000000"/>
          <w:sz w:val="20"/>
          <w:szCs w:val="20"/>
        </w:rPr>
      </w:pPr>
      <w:r w:rsidRPr="00B35FDF">
        <w:rPr>
          <w:rStyle w:val="FootnoteReference"/>
          <w:rFonts w:ascii="Times New Roman" w:hAnsi="Times New Roman"/>
          <w:color w:val="000000"/>
          <w:sz w:val="20"/>
        </w:rPr>
        <w:footnoteRef/>
      </w:r>
      <w:r w:rsidRPr="00B35FDF">
        <w:rPr>
          <w:rFonts w:ascii="Times New Roman" w:hAnsi="Times New Roman"/>
          <w:color w:val="000000"/>
          <w:sz w:val="20"/>
          <w:szCs w:val="20"/>
        </w:rPr>
        <w:t xml:space="preserve"> </w:t>
      </w:r>
      <w:r w:rsidRPr="00C26B58">
        <w:rPr>
          <w:rStyle w:val="Hyperlink"/>
          <w:rFonts w:ascii="Times New Roman" w:eastAsia="Calibri" w:hAnsi="Times New Roman"/>
          <w:color w:val="000000"/>
          <w:sz w:val="20"/>
          <w:szCs w:val="20"/>
          <w:u w:val="none"/>
          <w:lang w:eastAsia="lv-LV" w:bidi="en-US"/>
        </w:rPr>
        <w:t>ES fondu interneta vietnes sadaļā par ES fondu valsts budžeta apguvi</w:t>
      </w:r>
      <w:r w:rsidRPr="00C26B58">
        <w:rPr>
          <w:rFonts w:ascii="Times New Roman" w:hAnsi="Times New Roman"/>
          <w:color w:val="000000"/>
          <w:sz w:val="20"/>
          <w:szCs w:val="20"/>
        </w:rPr>
        <w:t xml:space="preserve">: </w:t>
      </w:r>
      <w:hyperlink r:id="rId10" w:history="1">
        <w:r w:rsidRPr="00CA36C9">
          <w:rPr>
            <w:rStyle w:val="Hyperlink"/>
            <w:rFonts w:ascii="Times New Roman" w:hAnsi="Times New Roman"/>
            <w:color w:val="0070C0"/>
            <w:sz w:val="20"/>
            <w:szCs w:val="20"/>
          </w:rPr>
          <w:t>http://www.esfondi.lv/page.php?id=1141</w:t>
        </w:r>
      </w:hyperlink>
    </w:p>
  </w:footnote>
  <w:footnote w:id="25">
    <w:p w14:paraId="32A4E0DB" w14:textId="00602104" w:rsidR="00411850" w:rsidRPr="00822986" w:rsidRDefault="00411850" w:rsidP="00785BA7">
      <w:pPr>
        <w:pStyle w:val="FootnoteText"/>
        <w:jc w:val="both"/>
        <w:rPr>
          <w:color w:val="000000" w:themeColor="text1"/>
        </w:rPr>
      </w:pPr>
      <w:r w:rsidRPr="00822986">
        <w:rPr>
          <w:rStyle w:val="FootnoteReference"/>
          <w:color w:val="000000" w:themeColor="text1"/>
        </w:rPr>
        <w:footnoteRef/>
      </w:r>
      <w:r w:rsidRPr="00822986">
        <w:rPr>
          <w:color w:val="000000" w:themeColor="text1"/>
        </w:rPr>
        <w:t xml:space="preserve"> ES fondu </w:t>
      </w:r>
      <w:r>
        <w:rPr>
          <w:color w:val="000000" w:themeColor="text1"/>
        </w:rPr>
        <w:t>tīmekļa</w:t>
      </w:r>
      <w:r w:rsidRPr="00822986">
        <w:rPr>
          <w:color w:val="000000" w:themeColor="text1"/>
        </w:rPr>
        <w:t xml:space="preserve"> vietnes sadaļā par </w:t>
      </w:r>
      <w:r w:rsidRPr="00822986">
        <w:t xml:space="preserve">Finanšu instrumentu ieviešanas statusu: </w:t>
      </w:r>
      <w:hyperlink r:id="rId11" w:history="1">
        <w:r w:rsidRPr="00822986">
          <w:rPr>
            <w:rStyle w:val="Hyperlink"/>
            <w:rFonts w:cs="Times New Roman"/>
          </w:rPr>
          <w:t>http://www.esfondi.lv/page.php?id=1064</w:t>
        </w:r>
      </w:hyperlink>
    </w:p>
  </w:footnote>
  <w:footnote w:id="26">
    <w:p w14:paraId="7A76C67F" w14:textId="77777777" w:rsidR="00411850" w:rsidRDefault="00411850" w:rsidP="00EE5CFA">
      <w:pPr>
        <w:pStyle w:val="FootnoteText"/>
      </w:pPr>
      <w:r>
        <w:rPr>
          <w:rStyle w:val="FootnoteReference"/>
        </w:rPr>
        <w:footnoteRef/>
      </w:r>
      <w:r>
        <w:t xml:space="preserve"> No DP “Infrastruktūra un pakalpojumi” uz DP “Uzņēmējdarbība un inovācijas”</w:t>
      </w:r>
    </w:p>
  </w:footnote>
  <w:footnote w:id="27">
    <w:p w14:paraId="39A9FEF5" w14:textId="77777777" w:rsidR="00411850" w:rsidRDefault="00411850" w:rsidP="00EE5CFA">
      <w:pPr>
        <w:pStyle w:val="FootnoteText"/>
      </w:pPr>
      <w:r>
        <w:rPr>
          <w:rStyle w:val="FootnoteReference"/>
        </w:rPr>
        <w:footnoteRef/>
      </w:r>
      <w:r>
        <w:t xml:space="preserve"> </w:t>
      </w:r>
      <w:r w:rsidRPr="006B7638">
        <w:t>KOMISIJAS REGULA (EK) Nr.1828/2006 kas paredz noteikumus par to, kā īstenot Padomes Regulu (EK) Nr. 1083/2006, ar ko paredz vispārīgus noteikumus par Eiropas Reģionālās attīstības fondu, Eiropas Sociālo fondu un Kohēzijas fondu, un Eiropas Parlamenta un Padomes Regulu (EK) Nr. 1080/2006 par Eiropas Reģionālās attīstības fondu</w:t>
      </w:r>
    </w:p>
  </w:footnote>
  <w:footnote w:id="28">
    <w:p w14:paraId="49A6CA8E" w14:textId="77777777" w:rsidR="00411850" w:rsidRDefault="00411850" w:rsidP="009A2007">
      <w:pPr>
        <w:pStyle w:val="FootnoteText"/>
        <w:jc w:val="both"/>
      </w:pPr>
      <w:r>
        <w:rPr>
          <w:rStyle w:val="FootnoteReference"/>
        </w:rPr>
        <w:footnoteRef/>
      </w:r>
      <w:r>
        <w:t xml:space="preserve"> </w:t>
      </w:r>
      <w:r w:rsidRPr="00827BF4">
        <w:t xml:space="preserve">Eiropas Komisijas š.g. 5.decembra </w:t>
      </w:r>
      <w:r>
        <w:t xml:space="preserve">vēstule </w:t>
      </w:r>
      <w:r w:rsidRPr="00827BF4">
        <w:t xml:space="preserve">Ref. Ares(2014)4079662 - 05/12/2014 </w:t>
      </w:r>
      <w:r>
        <w:t>“</w:t>
      </w:r>
      <w:r w:rsidRPr="00827BF4">
        <w:t>Transfer of projects between different operational programmes</w:t>
      </w:r>
      <w:r>
        <w:t>”</w:t>
      </w:r>
    </w:p>
  </w:footnote>
  <w:footnote w:id="29">
    <w:p w14:paraId="7F82DF16" w14:textId="77777777" w:rsidR="00411850" w:rsidRDefault="00411850" w:rsidP="00434E84">
      <w:pPr>
        <w:pStyle w:val="FootnoteText"/>
      </w:pPr>
      <w:r>
        <w:rPr>
          <w:rStyle w:val="FootnoteReference"/>
        </w:rPr>
        <w:footnoteRef/>
      </w:r>
      <w:r>
        <w:t xml:space="preserve"> </w:t>
      </w:r>
      <w:hyperlink r:id="rId12" w:history="1">
        <w:r w:rsidRPr="000F3BAC">
          <w:rPr>
            <w:rStyle w:val="Hyperlink"/>
          </w:rPr>
          <w:t>http://komitejas.esfondi.lv/AI%20uzraudzbas%20ziojumi/Forms/AllItems.aspx</w:t>
        </w:r>
      </w:hyperlink>
    </w:p>
    <w:p w14:paraId="5AB54946" w14:textId="77777777" w:rsidR="00411850" w:rsidRDefault="00411850" w:rsidP="00434E84">
      <w:pPr>
        <w:pStyle w:val="FootnoteText"/>
      </w:pPr>
    </w:p>
  </w:footnote>
  <w:footnote w:id="30">
    <w:p w14:paraId="77C8ED0D" w14:textId="77777777" w:rsidR="00411850" w:rsidRDefault="00411850" w:rsidP="00434E84">
      <w:pPr>
        <w:pStyle w:val="FootnoteText"/>
      </w:pPr>
      <w:r>
        <w:rPr>
          <w:rStyle w:val="FootnoteReference"/>
        </w:rPr>
        <w:footnoteRef/>
      </w:r>
      <w:r>
        <w:t xml:space="preserve"> </w:t>
      </w:r>
      <w:hyperlink r:id="rId13" w:history="1">
        <w:r w:rsidRPr="000F3BAC">
          <w:rPr>
            <w:rStyle w:val="Hyperlink"/>
          </w:rPr>
          <w:t>http://www.esfondi.lv/page.php?id=338</w:t>
        </w:r>
      </w:hyperlink>
    </w:p>
    <w:p w14:paraId="723AF7C4" w14:textId="77777777" w:rsidR="00411850" w:rsidRDefault="00411850" w:rsidP="00434E84">
      <w:pPr>
        <w:pStyle w:val="FootnoteText"/>
      </w:pPr>
    </w:p>
  </w:footnote>
  <w:footnote w:id="31">
    <w:p w14:paraId="1B173E8A" w14:textId="03998F2C" w:rsidR="00411850" w:rsidRPr="00822986" w:rsidRDefault="00411850" w:rsidP="00D359FD">
      <w:pPr>
        <w:pStyle w:val="FootnoteText"/>
        <w:jc w:val="both"/>
        <w:rPr>
          <w:color w:val="000000" w:themeColor="text1"/>
        </w:rPr>
      </w:pPr>
      <w:r>
        <w:rPr>
          <w:rStyle w:val="FootnoteReference"/>
        </w:rPr>
        <w:footnoteRef/>
      </w:r>
      <w:r>
        <w:t xml:space="preserve"> </w:t>
      </w:r>
      <w:r w:rsidRPr="00353F65">
        <w:rPr>
          <w:color w:val="000000" w:themeColor="text1"/>
        </w:rPr>
        <w:t>EEZ/</w:t>
      </w:r>
      <w:r>
        <w:rPr>
          <w:color w:val="000000" w:themeColor="text1"/>
        </w:rPr>
        <w:t>Norvēģijas finanšu instrumentu tīmekļa</w:t>
      </w:r>
      <w:r w:rsidRPr="00353F65">
        <w:rPr>
          <w:color w:val="000000" w:themeColor="text1"/>
        </w:rPr>
        <w:t xml:space="preserve"> vietne: </w:t>
      </w:r>
      <w:hyperlink r:id="rId14" w:history="1">
        <w:r w:rsidRPr="002E2AE4">
          <w:rPr>
            <w:rStyle w:val="Hyperlink"/>
            <w:rFonts w:cs="Times New Roman"/>
          </w:rPr>
          <w:t>http://www.eeagrants.lv/?id=23</w:t>
        </w:r>
      </w:hyperlink>
      <w:r>
        <w:t xml:space="preserve"> </w:t>
      </w:r>
      <w:r>
        <w:rPr>
          <w:rStyle w:val="Hyperlink"/>
          <w:rFonts w:cs="Times New Roman"/>
          <w:color w:val="000000" w:themeColor="text1"/>
        </w:rPr>
        <w:t xml:space="preserve">un </w:t>
      </w:r>
      <w:hyperlink r:id="rId15" w:history="1">
        <w:r w:rsidRPr="00A1615D">
          <w:rPr>
            <w:rStyle w:val="Hyperlink"/>
            <w:rFonts w:cs="Times New Roman"/>
          </w:rPr>
          <w:t>http://www.norwaygrants.lv/?id=23</w:t>
        </w:r>
      </w:hyperlink>
    </w:p>
    <w:p w14:paraId="3C477EF3" w14:textId="679370F6" w:rsidR="00411850" w:rsidRDefault="00411850">
      <w:pPr>
        <w:pStyle w:val="FootnoteText"/>
      </w:pPr>
    </w:p>
  </w:footnote>
  <w:footnote w:id="32">
    <w:p w14:paraId="4C037028" w14:textId="7EFC6492" w:rsidR="00411850" w:rsidRDefault="00411850" w:rsidP="006470B8">
      <w:pPr>
        <w:pStyle w:val="FootnoteText"/>
        <w:jc w:val="both"/>
      </w:pPr>
      <w:r>
        <w:rPr>
          <w:rStyle w:val="FootnoteReference"/>
        </w:rPr>
        <w:footnoteRef/>
      </w:r>
      <w:r>
        <w:t xml:space="preserve"> Investīciju plānu 2015.gadam un turpmākajiem gadiem apstiprinātaja 2014.gada 25.novembra MK sēdē (skat. </w:t>
      </w:r>
      <w:hyperlink r:id="rId16" w:history="1">
        <w:r w:rsidRPr="005F14B8">
          <w:rPr>
            <w:rStyle w:val="Hyperlink"/>
          </w:rPr>
          <w:t>protokollēmuma Nr.65 83.§ 5.punktu</w:t>
        </w:r>
      </w:hyperlink>
      <w:r>
        <w:t>).</w:t>
      </w:r>
    </w:p>
  </w:footnote>
  <w:footnote w:id="33">
    <w:p w14:paraId="2D73C00D" w14:textId="780D1AAA" w:rsidR="00411850" w:rsidRPr="001A0A19" w:rsidRDefault="00411850" w:rsidP="009A2007">
      <w:pPr>
        <w:jc w:val="both"/>
        <w:rPr>
          <w:color w:val="000000" w:themeColor="text1"/>
        </w:rPr>
      </w:pPr>
      <w:r w:rsidRPr="001A0A19">
        <w:rPr>
          <w:rStyle w:val="FootnoteReference"/>
          <w:sz w:val="20"/>
          <w:szCs w:val="20"/>
        </w:rPr>
        <w:footnoteRef/>
      </w:r>
      <w:r w:rsidRPr="001A0A19">
        <w:rPr>
          <w:sz w:val="20"/>
          <w:szCs w:val="20"/>
        </w:rPr>
        <w:t xml:space="preserve"> </w:t>
      </w:r>
      <w:r w:rsidRPr="001A0A19">
        <w:rPr>
          <w:color w:val="000000" w:themeColor="text1"/>
          <w:sz w:val="20"/>
          <w:szCs w:val="20"/>
        </w:rPr>
        <w:t>Latvijas Pilsoniskās alianses tīmekļa vietnē:</w:t>
      </w:r>
      <w:r w:rsidRPr="001A0A19">
        <w:rPr>
          <w:rStyle w:val="Hyperlink"/>
        </w:rPr>
        <w:t xml:space="preserve"> </w:t>
      </w:r>
      <w:hyperlink r:id="rId17" w:history="1">
        <w:r w:rsidRPr="001A0A19">
          <w:rPr>
            <w:rStyle w:val="Hyperlink"/>
            <w:sz w:val="20"/>
            <w:szCs w:val="20"/>
          </w:rPr>
          <w:t>http://nvo.lv/lv/news/publication/parskats-par-nvo-sektoru-latvija-2013-5733/</w:t>
        </w:r>
      </w:hyperlink>
      <w:r w:rsidRPr="001A0A19">
        <w:rPr>
          <w:rStyle w:val="Hyperlink"/>
          <w:sz w:val="20"/>
          <w:szCs w:val="20"/>
        </w:rPr>
        <w:t xml:space="preserve">   </w:t>
      </w:r>
    </w:p>
  </w:footnote>
  <w:footnote w:id="34">
    <w:p w14:paraId="3FD748EB" w14:textId="05C27768" w:rsidR="00411850" w:rsidRDefault="00411850" w:rsidP="009A2007">
      <w:pPr>
        <w:pStyle w:val="FootnoteText"/>
        <w:jc w:val="both"/>
      </w:pPr>
      <w:r>
        <w:rPr>
          <w:rStyle w:val="FootnoteReference"/>
        </w:rPr>
        <w:footnoteRef/>
      </w:r>
      <w:r>
        <w:t xml:space="preserve"> </w:t>
      </w:r>
      <w:r>
        <w:rPr>
          <w:color w:val="000000" w:themeColor="text1"/>
        </w:rPr>
        <w:t xml:space="preserve">Latvijas Pilsoniskās alianses tīmekļa vietnē: </w:t>
      </w:r>
      <w:hyperlink r:id="rId18" w:history="1">
        <w:r>
          <w:rPr>
            <w:rStyle w:val="Hyperlink"/>
          </w:rPr>
          <w:t>http://nvo.lv/lv/news/publication/cilvekdrosibas-koncepcijas-attistiba-5735/</w:t>
        </w:r>
      </w:hyperlink>
    </w:p>
  </w:footnote>
  <w:footnote w:id="35">
    <w:p w14:paraId="2689773B" w14:textId="77777777" w:rsidR="00411850" w:rsidRDefault="00411850" w:rsidP="009A2007">
      <w:pPr>
        <w:pStyle w:val="FootnoteText"/>
        <w:jc w:val="both"/>
      </w:pPr>
      <w:r>
        <w:rPr>
          <w:rStyle w:val="FootnoteReference"/>
        </w:rPr>
        <w:footnoteRef/>
      </w:r>
      <w:r>
        <w:t xml:space="preserve"> līdzīgi  </w:t>
      </w:r>
      <w:r w:rsidRPr="009E43DF">
        <w:t>citu ārvalstu finanšu palīdzības līdzfinansētu projektu ietvaros</w:t>
      </w:r>
    </w:p>
  </w:footnote>
  <w:footnote w:id="36">
    <w:p w14:paraId="02AFCC22" w14:textId="77777777" w:rsidR="00411850" w:rsidRPr="00B9442C" w:rsidRDefault="00411850" w:rsidP="009A2007">
      <w:pPr>
        <w:pStyle w:val="FootnoteText"/>
        <w:jc w:val="both"/>
        <w:rPr>
          <w:color w:val="000000"/>
        </w:rPr>
      </w:pPr>
      <w:r w:rsidRPr="00B9442C">
        <w:rPr>
          <w:rStyle w:val="FootnoteReference"/>
          <w:color w:val="000000"/>
        </w:rPr>
        <w:footnoteRef/>
      </w:r>
      <w:r w:rsidRPr="00B9442C">
        <w:rPr>
          <w:color w:val="000000"/>
        </w:rPr>
        <w:t xml:space="preserve"> Jebkurš LR vai ES tiesību akta pārkāpums</w:t>
      </w:r>
      <w:r w:rsidRPr="00B9442C">
        <w:rPr>
          <w:bCs/>
          <w:color w:val="000000"/>
        </w:rPr>
        <w:t xml:space="preserve">, </w:t>
      </w:r>
      <w:r w:rsidRPr="00B9442C">
        <w:rPr>
          <w:color w:val="000000"/>
        </w:rPr>
        <w:t xml:space="preserve">kas atbilst </w:t>
      </w:r>
      <w:r w:rsidRPr="00B9442C">
        <w:rPr>
          <w:bCs/>
          <w:color w:val="000000"/>
        </w:rPr>
        <w:t>Padomes 2006.gada 11.jūlija Regulas (EK) Nr.1083/2006, ar ko paredz vispārīgus noteikumus par ES fondiem un atceļ Regulu (EK) Nr.1260/1999, 2.panta 7.punktā noteiktajam.</w:t>
      </w:r>
    </w:p>
  </w:footnote>
  <w:footnote w:id="37">
    <w:p w14:paraId="2D36E295" w14:textId="77777777" w:rsidR="00411850" w:rsidRDefault="00411850" w:rsidP="009A2007">
      <w:pPr>
        <w:pStyle w:val="FootnoteText"/>
        <w:jc w:val="both"/>
      </w:pPr>
      <w:r>
        <w:rPr>
          <w:rStyle w:val="FootnoteReference"/>
        </w:rPr>
        <w:footnoteRef/>
      </w:r>
      <w:r>
        <w:t xml:space="preserve"> </w:t>
      </w:r>
      <w:r w:rsidRPr="00B9442C">
        <w:rPr>
          <w:color w:val="000000"/>
        </w:rPr>
        <w:t xml:space="preserve">ES fondu tīmekļavietnes sadaļā, kur tiek apkopota informācija par ES fondu vadlīnijām, metodikām un skaidrojumiem: </w:t>
      </w:r>
      <w:r>
        <w:t>http://www.esfondi.lv/page.php?id=1099</w:t>
      </w:r>
    </w:p>
  </w:footnote>
  <w:footnote w:id="38">
    <w:p w14:paraId="2D9F4ABE" w14:textId="77777777" w:rsidR="00411850" w:rsidRPr="00B9442C" w:rsidRDefault="00411850" w:rsidP="009A2007">
      <w:pPr>
        <w:pStyle w:val="FootnoteText"/>
        <w:jc w:val="both"/>
        <w:rPr>
          <w:color w:val="000000"/>
        </w:rPr>
      </w:pPr>
      <w:r w:rsidRPr="00B9442C">
        <w:rPr>
          <w:rStyle w:val="FootnoteReference"/>
          <w:color w:val="000000"/>
        </w:rPr>
        <w:footnoteRef/>
      </w:r>
      <w:r w:rsidRPr="00B9442C">
        <w:rPr>
          <w:color w:val="000000"/>
        </w:rPr>
        <w:t xml:space="preserve"> ES fondu tīmekļa vietnes sadaļā, kur tiek apkopota informācija par ES fondos konstatētām neatbilstībām: </w:t>
      </w:r>
      <w:hyperlink r:id="rId19" w:history="1">
        <w:r w:rsidRPr="00B9442C">
          <w:rPr>
            <w:rStyle w:val="Hyperlink"/>
            <w:rFonts w:cs="Times New Roman"/>
            <w:color w:val="000000"/>
          </w:rPr>
          <w:t>http://www.esfondi.lv/page.php?id=1188</w:t>
        </w:r>
      </w:hyperlink>
    </w:p>
  </w:footnote>
  <w:footnote w:id="39">
    <w:p w14:paraId="530338FC" w14:textId="77777777" w:rsidR="00411850" w:rsidRPr="00E52F5C" w:rsidRDefault="00411850" w:rsidP="009A2007">
      <w:pPr>
        <w:pStyle w:val="FootnoteText"/>
        <w:jc w:val="both"/>
      </w:pPr>
      <w:r>
        <w:rPr>
          <w:rStyle w:val="FootnoteReference"/>
        </w:rPr>
        <w:footnoteRef/>
      </w:r>
      <w:r>
        <w:t xml:space="preserve"> VI</w:t>
      </w:r>
      <w:r w:rsidRPr="00E52F5C">
        <w:t xml:space="preserve"> ceturkšņa ziņojumi par ES fondu </w:t>
      </w:r>
      <w:r>
        <w:t xml:space="preserve">ieviešanu pieejami interneta vietnē: </w:t>
      </w:r>
      <w:r w:rsidRPr="00E52F5C">
        <w:t>http://www.esfondi.lv/page.php?id=667</w:t>
      </w:r>
    </w:p>
  </w:footnote>
  <w:footnote w:id="40">
    <w:p w14:paraId="3DADECD8" w14:textId="77777777" w:rsidR="00411850" w:rsidRPr="00726EF8" w:rsidRDefault="00411850" w:rsidP="009A2007">
      <w:pPr>
        <w:pStyle w:val="FootnoteText"/>
        <w:jc w:val="both"/>
      </w:pPr>
      <w:r>
        <w:rPr>
          <w:rStyle w:val="FootnoteReference"/>
        </w:rPr>
        <w:footnoteRef/>
      </w:r>
      <w:r>
        <w:t xml:space="preserve"> </w:t>
      </w:r>
      <w:r w:rsidRPr="00726EF8">
        <w:t>ES fondu interneta vietnes sadaļā, kur tiek apkopota informācija par ES fondos konstatētām neatbilstībām: http://www.esfondi.lv/page.php?id=1188</w:t>
      </w:r>
    </w:p>
  </w:footnote>
  <w:footnote w:id="41">
    <w:p w14:paraId="5463F761" w14:textId="77777777" w:rsidR="00411850" w:rsidRDefault="00411850" w:rsidP="00B9442C">
      <w:pPr>
        <w:pStyle w:val="FootnoteText"/>
      </w:pPr>
      <w:r>
        <w:rPr>
          <w:rStyle w:val="FootnoteReference"/>
        </w:rPr>
        <w:footnoteRef/>
      </w:r>
      <w:r>
        <w:t xml:space="preserve"> Vispārējās Regulas Nr.2013/1303 125.panta 4.punkta c) apakšpunkta nosacījumi.</w:t>
      </w:r>
    </w:p>
  </w:footnote>
  <w:footnote w:id="42">
    <w:p w14:paraId="1A162712" w14:textId="1669A7F9" w:rsidR="00411850" w:rsidRDefault="00411850" w:rsidP="00B9442C">
      <w:pPr>
        <w:pStyle w:val="FootnoteText"/>
      </w:pPr>
      <w:r>
        <w:rPr>
          <w:rStyle w:val="FootnoteReference"/>
        </w:rPr>
        <w:footnoteRef/>
      </w:r>
      <w:r>
        <w:t xml:space="preserve"> Pret atsevišķām dienesta izmeklēšanām nav norādīta neatbilstības summa, jo </w:t>
      </w:r>
      <w:r>
        <w:rPr>
          <w:bCs/>
        </w:rPr>
        <w:t>precīzi</w:t>
      </w:r>
      <w:r w:rsidRPr="007408EF">
        <w:rPr>
          <w:bCs/>
        </w:rPr>
        <w:t xml:space="preserve"> </w:t>
      </w:r>
      <w:r>
        <w:rPr>
          <w:bCs/>
        </w:rPr>
        <w:t xml:space="preserve">tā </w:t>
      </w:r>
      <w:r w:rsidRPr="007408EF">
        <w:rPr>
          <w:bCs/>
        </w:rPr>
        <w:t>būs zināma pēc projektu pabeigšanas.</w:t>
      </w:r>
    </w:p>
  </w:footnote>
  <w:footnote w:id="43">
    <w:p w14:paraId="30FDD134" w14:textId="77777777" w:rsidR="00411850" w:rsidRDefault="00411850" w:rsidP="00F453AE">
      <w:pPr>
        <w:pStyle w:val="FootnoteText"/>
      </w:pPr>
      <w:r>
        <w:rPr>
          <w:rStyle w:val="FootnoteReference"/>
        </w:rPr>
        <w:footnoteRef/>
      </w:r>
      <w:r>
        <w:t xml:space="preserve"> Finanšu ministrijas Eiropas Savienības fondu revīzijas departaments</w:t>
      </w:r>
    </w:p>
  </w:footnote>
  <w:footnote w:id="44">
    <w:p w14:paraId="144F8465" w14:textId="77777777" w:rsidR="00411850" w:rsidRDefault="00411850" w:rsidP="00F453AE">
      <w:pPr>
        <w:pStyle w:val="FootnoteText"/>
        <w:jc w:val="both"/>
      </w:pPr>
      <w:r>
        <w:rPr>
          <w:rStyle w:val="FootnoteReference"/>
        </w:rPr>
        <w:footnoteRef/>
      </w:r>
      <w:r>
        <w:t xml:space="preserve"> Prasība ir nodrošināt 7 sinhronās tulkošanas kabīnes (katrā trīs tulki). To izvietojums telpā strikti saskaņojams ar Eiropas Komisijas attiecīgo struktūrvienību.</w:t>
      </w:r>
    </w:p>
  </w:footnote>
  <w:footnote w:id="45">
    <w:p w14:paraId="4996DBA0" w14:textId="77777777" w:rsidR="00411850" w:rsidRDefault="00411850" w:rsidP="00F453AE">
      <w:pPr>
        <w:pStyle w:val="FootnoteText"/>
        <w:jc w:val="both"/>
      </w:pPr>
      <w:r>
        <w:rPr>
          <w:rStyle w:val="FootnoteReference"/>
        </w:rPr>
        <w:footnoteRef/>
      </w:r>
      <w:r>
        <w:t xml:space="preserve"> Saskaņā ar EK vispārējiem nosacījumiem “Dalībvalsts sedz PVN, neattiecināmos izdevumus un līdzfinansējumu 20% apmērā no attiecināmajām izmaksām”</w:t>
      </w:r>
    </w:p>
  </w:footnote>
  <w:footnote w:id="46">
    <w:p w14:paraId="223463D8" w14:textId="77777777" w:rsidR="00411850" w:rsidRDefault="00411850" w:rsidP="00DD277F">
      <w:pPr>
        <w:pStyle w:val="FootnoteText"/>
        <w:jc w:val="both"/>
      </w:pPr>
      <w:r>
        <w:rPr>
          <w:rStyle w:val="FootnoteReference"/>
        </w:rPr>
        <w:footnoteRef/>
      </w:r>
      <w:r>
        <w:t xml:space="preserve"> Eiropas Parlamenta un Padomes 2013.gada 17.decembra regula (ES) Nr. 1303/2013 ar ko paredz kopīgus noteikumus par Eiropas Reģionālās attīstības fondu, Eiropas Sociālo fondu, Kohēzijas fondu, Eiropas Lauksaimniecības fondu lauku attīstībai un Eiropas Jūrlietu un zivsaimniecības fondu un vispārīgus noteikumus par Eiropas Reģionālās attīstības fondu, Eiropas Sociālo fondu, Kohēzijas fondu un Eiropas Jūrlietu un zivsaimniecības fondu un atceļ Padomes Regulu (EK) Nr. 1083/2006.</w:t>
      </w:r>
    </w:p>
  </w:footnote>
  <w:footnote w:id="47">
    <w:p w14:paraId="4EE7117C" w14:textId="77777777" w:rsidR="00411850" w:rsidRDefault="00411850" w:rsidP="00DD277F">
      <w:pPr>
        <w:pStyle w:val="FootnoteText"/>
      </w:pPr>
      <w:r>
        <w:rPr>
          <w:rStyle w:val="FootnoteReference"/>
        </w:rPr>
        <w:footnoteRef/>
      </w:r>
      <w:r>
        <w:t xml:space="preserve"> Turpat </w:t>
      </w:r>
    </w:p>
  </w:footnote>
  <w:footnote w:id="48">
    <w:p w14:paraId="74D94A43" w14:textId="43A90185" w:rsidR="00411850" w:rsidRDefault="00411850" w:rsidP="00E12DFB">
      <w:pPr>
        <w:pStyle w:val="FootnoteText"/>
        <w:jc w:val="both"/>
      </w:pPr>
      <w:r>
        <w:rPr>
          <w:rStyle w:val="FootnoteReference"/>
        </w:rPr>
        <w:footnoteRef/>
      </w:r>
      <w:r>
        <w:t xml:space="preserve"> Komisijas īstenošanas lēmums C(2014)8508 final (2014.gada 11.novembris) ar ko apstiprina konkrētus elementus darbības programmā ,,Izaugsme un nodarbinātība” atbalstam no Eiropas Reģionālas attīstības fonda, Kohēzijas fonda,</w:t>
      </w:r>
      <w:r w:rsidRPr="00710B25">
        <w:t xml:space="preserve"> </w:t>
      </w:r>
      <w:r>
        <w:t>Eiropas Sociālā Fonda un īpašā piešķīruma .Jaunatnes nodarbinātības iniciatīvai saskaņā ar mērķi “Investīcijas izaugsmei un nodarbinātībai” Latvijā</w:t>
      </w:r>
    </w:p>
  </w:footnote>
  <w:footnote w:id="49">
    <w:p w14:paraId="4F02E546" w14:textId="77777777" w:rsidR="00411850" w:rsidRDefault="00411850" w:rsidP="00E12DFB">
      <w:pPr>
        <w:pStyle w:val="FootnoteText"/>
        <w:jc w:val="both"/>
      </w:pPr>
      <w:r>
        <w:rPr>
          <w:rStyle w:val="FootnoteReference"/>
        </w:rPr>
        <w:footnoteRef/>
      </w:r>
      <w:r w:rsidRPr="00BF7C36">
        <w:t>Informatīvais ziņojums “Par Eiropas Savienības fondu darbības programmas “Izaugsme un nodarbinātība” 7.2.1.specifiskā atbalsta mērķa “Veicināt nodarbinātībā, izglītībā vai apmācībās neiesaistītu jauniešu nodarbinātību Jauniešu garantijas ietvaros” 1. un 2.kārtas īstenošanu” (2013.gada 17.decembra MK sēdes protokols Nr.67, 93.§)</w:t>
      </w:r>
      <w:r>
        <w:t xml:space="preserve"> un </w:t>
      </w:r>
      <w:r w:rsidRPr="00BF7C36">
        <w:t>Informatīvais ziņojums “Informatīvais ziņojums “Par nepieciešamajām izmaiņām Eiropas Savienības fondu darbības programmas “Izaugsme un nodarbinātība” 7.2.1.specifiskā atbalsta mērķa “Veicināt nodarbinātībā, izglītībā vai apmācībās neiesaistītu jauniešu nodarbinātību Jauniešu garantijas ietvaros” 1.un 2.kārtas īstenošanas nosacījumos un Jauniešu garantijas īstenošanā Latvijā 2014.-2018.gadā”” (2014.gada 20.maija MK sēdes protokols Nr.29 24.§)</w:t>
      </w:r>
    </w:p>
  </w:footnote>
  <w:footnote w:id="50">
    <w:p w14:paraId="55DE7AE6" w14:textId="77777777" w:rsidR="00411850" w:rsidRPr="006C52FC" w:rsidRDefault="00411850" w:rsidP="005438D6">
      <w:pPr>
        <w:pStyle w:val="FootnoteText"/>
        <w:jc w:val="both"/>
      </w:pPr>
      <w:r w:rsidRPr="006C52FC">
        <w:rPr>
          <w:rStyle w:val="FootnoteReference"/>
        </w:rPr>
        <w:footnoteRef/>
      </w:r>
      <w:r w:rsidRPr="006C52FC">
        <w:t xml:space="preserve"> </w:t>
      </w:r>
      <w:r w:rsidRPr="00CD0FBE">
        <w:rPr>
          <w:rFonts w:eastAsia="Calibri" w:cs="Times New Roman"/>
        </w:rPr>
        <w:t>2014.gada 12.jūnijā izsludinātā iepirkuma</w:t>
      </w:r>
      <w:r w:rsidRPr="006C52FC">
        <w:t xml:space="preserve"> “Apmācības par risku vadību Eiropas Reģionālā attīstības fonda, Eiropas So</w:t>
      </w:r>
      <w:r>
        <w:t xml:space="preserve">ciālā fonda un Kohēzijas fonda </w:t>
      </w:r>
      <w:r w:rsidRPr="006C52FC">
        <w:t>2014.–2020.gada plānošanas perioda un Eiropas Ekonomikas zonas finanšu instrumenta un Norvēģijas finanšu instrumenta 2009.–2014.gada perioda ietvaros</w:t>
      </w:r>
      <w:r>
        <w:t>”</w:t>
      </w:r>
      <w:r w:rsidRPr="006C52FC">
        <w:t xml:space="preserve"> </w:t>
      </w:r>
    </w:p>
  </w:footnote>
  <w:footnote w:id="51">
    <w:p w14:paraId="05834175" w14:textId="574FCAE3" w:rsidR="00411850" w:rsidRDefault="00411850" w:rsidP="00C70805">
      <w:pPr>
        <w:contextualSpacing/>
        <w:jc w:val="both"/>
      </w:pPr>
      <w:r w:rsidRPr="00C70805">
        <w:rPr>
          <w:rStyle w:val="FootnoteReference"/>
          <w:sz w:val="20"/>
          <w:szCs w:val="20"/>
        </w:rPr>
        <w:footnoteRef/>
      </w:r>
      <w:r w:rsidRPr="00C70805">
        <w:rPr>
          <w:sz w:val="20"/>
          <w:szCs w:val="20"/>
        </w:rPr>
        <w:t xml:space="preserve"> </w:t>
      </w:r>
      <w:r>
        <w:rPr>
          <w:sz w:val="20"/>
          <w:szCs w:val="20"/>
        </w:rPr>
        <w:t xml:space="preserve">Izveidota saskaņā ar </w:t>
      </w:r>
      <w:r w:rsidRPr="00C70805">
        <w:rPr>
          <w:sz w:val="20"/>
          <w:szCs w:val="20"/>
        </w:rPr>
        <w:t>Finanšu ministrijas 09.12.2019. rīkojum</w:t>
      </w:r>
      <w:r>
        <w:rPr>
          <w:sz w:val="20"/>
          <w:szCs w:val="20"/>
        </w:rPr>
        <w:t>u</w:t>
      </w:r>
      <w:r w:rsidRPr="00C70805">
        <w:rPr>
          <w:sz w:val="20"/>
          <w:szCs w:val="20"/>
        </w:rPr>
        <w:t xml:space="preserve"> Nr.685 “</w:t>
      </w:r>
      <w:r w:rsidRPr="00C70805">
        <w:rPr>
          <w:rFonts w:eastAsia="Times New Roman"/>
          <w:sz w:val="20"/>
          <w:szCs w:val="20"/>
        </w:rPr>
        <w:t>Par Eiropas Savi</w:t>
      </w:r>
      <w:r>
        <w:rPr>
          <w:rFonts w:eastAsia="Times New Roman"/>
          <w:sz w:val="20"/>
          <w:szCs w:val="20"/>
        </w:rPr>
        <w:t>enības struktūrfondu, Kohēzijas</w:t>
      </w:r>
      <w:r w:rsidRPr="00C70805">
        <w:rPr>
          <w:rFonts w:eastAsia="Times New Roman"/>
          <w:sz w:val="20"/>
          <w:szCs w:val="20"/>
        </w:rPr>
        <w:t xml:space="preserve"> fonda, Eiropas Ekonomikas zonas finanšu instrumenta, N</w:t>
      </w:r>
      <w:r>
        <w:rPr>
          <w:rFonts w:eastAsia="Times New Roman"/>
          <w:sz w:val="20"/>
          <w:szCs w:val="20"/>
        </w:rPr>
        <w:t xml:space="preserve">orvēģijas finanšu instrumenta, </w:t>
      </w:r>
      <w:r w:rsidRPr="00C70805">
        <w:rPr>
          <w:rFonts w:eastAsia="Times New Roman"/>
          <w:sz w:val="20"/>
          <w:szCs w:val="20"/>
        </w:rPr>
        <w:t>Latvijas un Šveices sadarbības programmas risku pārvaldības darba grupu</w:t>
      </w:r>
      <w:r w:rsidRPr="00C70805">
        <w:rPr>
          <w:sz w:val="20"/>
          <w:szCs w:val="20"/>
        </w:rPr>
        <w:t>”</w:t>
      </w:r>
    </w:p>
  </w:footnote>
  <w:footnote w:id="52">
    <w:p w14:paraId="31E4A2E3" w14:textId="2307DEB2" w:rsidR="00411850" w:rsidRPr="003A59A6" w:rsidRDefault="00411850" w:rsidP="003A59A6">
      <w:pPr>
        <w:spacing w:before="120" w:after="120"/>
        <w:contextualSpacing/>
        <w:jc w:val="both"/>
        <w:rPr>
          <w:rFonts w:eastAsia="Times New Roman" w:cs="Times New Roman"/>
          <w:sz w:val="20"/>
          <w:szCs w:val="20"/>
        </w:rPr>
      </w:pPr>
      <w:r w:rsidRPr="003A59A6">
        <w:rPr>
          <w:rStyle w:val="FootnoteReference"/>
          <w:sz w:val="20"/>
          <w:szCs w:val="20"/>
        </w:rPr>
        <w:footnoteRef/>
      </w:r>
      <w:r w:rsidRPr="003A59A6">
        <w:rPr>
          <w:sz w:val="20"/>
          <w:szCs w:val="20"/>
        </w:rPr>
        <w:t xml:space="preserve"> Atbilstoši Regulas Nr.1303/2013 48.pantam, lai izvērtētu paveikto un virzību uz programmas mērķu sasniegšanu, dalībvalstij sadarbībā ar vadošo iestādi ir jāizveido uzraudzības komiteja, kuras sastāvs un funkcijas ir definētas Regulas Nr.1303/2013 V sadaļas I nodaļas I iedaļas 48. un 49.pantā. UK ir ES fondu vadībā iesaistīta institūcija, kuras tiesības un pienākumi ir noteikti Regulas Nr.1303/2013 49. un 110.pantā un vadības likuma 15. un 16.pantā.</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0176919"/>
      <w:docPartObj>
        <w:docPartGallery w:val="Page Numbers (Top of Page)"/>
        <w:docPartUnique/>
      </w:docPartObj>
    </w:sdtPr>
    <w:sdtEndPr>
      <w:rPr>
        <w:noProof/>
      </w:rPr>
    </w:sdtEndPr>
    <w:sdtContent>
      <w:p w14:paraId="34F43E91" w14:textId="278C199C" w:rsidR="00411850" w:rsidRDefault="00411850" w:rsidP="00B278B9">
        <w:pPr>
          <w:pStyle w:val="Header"/>
          <w:tabs>
            <w:tab w:val="left" w:pos="1407"/>
            <w:tab w:val="center" w:pos="4450"/>
          </w:tabs>
        </w:pPr>
        <w:r>
          <w:tab/>
        </w:r>
        <w:r>
          <w:tab/>
        </w:r>
        <w:r>
          <w:tab/>
        </w:r>
        <w:r>
          <w:fldChar w:fldCharType="begin"/>
        </w:r>
        <w:r>
          <w:instrText xml:space="preserve"> PAGE   \* MERGEFORMAT </w:instrText>
        </w:r>
        <w:r>
          <w:fldChar w:fldCharType="separate"/>
        </w:r>
        <w:r w:rsidR="004F7C0F">
          <w:rPr>
            <w:noProof/>
          </w:rPr>
          <w:t>34</w:t>
        </w:r>
        <w:r>
          <w:rPr>
            <w:noProof/>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282FF3" w14:textId="314B1CC8" w:rsidR="00411850" w:rsidRDefault="00411850">
    <w:pPr>
      <w:pStyle w:val="Header"/>
    </w:pPr>
    <w:r>
      <w:t>Projekts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C7334"/>
    <w:multiLevelType w:val="hybridMultilevel"/>
    <w:tmpl w:val="3FBECFAC"/>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nsid w:val="00771535"/>
    <w:multiLevelType w:val="hybridMultilevel"/>
    <w:tmpl w:val="89367122"/>
    <w:lvl w:ilvl="0" w:tplc="04090011">
      <w:start w:val="1"/>
      <w:numFmt w:val="decimal"/>
      <w:lvlText w:val="%1)"/>
      <w:lvlJc w:val="left"/>
      <w:pPr>
        <w:ind w:left="720" w:hanging="360"/>
      </w:pPr>
      <w:rPr>
        <w:rFont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
    <w:nsid w:val="07CC54D3"/>
    <w:multiLevelType w:val="hybridMultilevel"/>
    <w:tmpl w:val="96220118"/>
    <w:lvl w:ilvl="0" w:tplc="68FAACF8">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nsid w:val="0B223A65"/>
    <w:multiLevelType w:val="hybridMultilevel"/>
    <w:tmpl w:val="99362B48"/>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nsid w:val="0F48696A"/>
    <w:multiLevelType w:val="hybridMultilevel"/>
    <w:tmpl w:val="BCE63F62"/>
    <w:lvl w:ilvl="0" w:tplc="85EE783A">
      <w:start w:val="1"/>
      <w:numFmt w:val="decimal"/>
      <w:lvlText w:val="%1)"/>
      <w:lvlJc w:val="left"/>
      <w:pPr>
        <w:ind w:left="720" w:hanging="360"/>
      </w:pPr>
      <w:rPr>
        <w:rFont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5">
    <w:nsid w:val="12F91480"/>
    <w:multiLevelType w:val="multilevel"/>
    <w:tmpl w:val="7B747DA2"/>
    <w:lvl w:ilvl="0">
      <w:start w:val="1"/>
      <w:numFmt w:val="decimal"/>
      <w:lvlText w:val="%1."/>
      <w:lvlJc w:val="left"/>
      <w:pPr>
        <w:ind w:left="360" w:hanging="360"/>
      </w:pPr>
      <w:rPr>
        <w:rFonts w:ascii="Times New Roman" w:hAnsi="Times New Roman" w:hint="default"/>
        <w:sz w:val="24"/>
      </w:rPr>
    </w:lvl>
    <w:lvl w:ilvl="1">
      <w:start w:val="1"/>
      <w:numFmt w:val="decimal"/>
      <w:pStyle w:val="FDUKam"/>
      <w:isLgl/>
      <w:lvlText w:val="%1.%2."/>
      <w:lvlJc w:val="left"/>
      <w:pPr>
        <w:ind w:left="502" w:hanging="360"/>
      </w:pPr>
      <w:rPr>
        <w:rFonts w:ascii="Times New Roman" w:hAnsi="Times New Roman" w:cs="Times New Roman" w:hint="default"/>
        <w:b w:val="0"/>
        <w:sz w:val="22"/>
        <w:szCs w:val="22"/>
      </w:rPr>
    </w:lvl>
    <w:lvl w:ilvl="2">
      <w:start w:val="1"/>
      <w:numFmt w:val="decimal"/>
      <w:lvlText w:val="%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nsid w:val="13402644"/>
    <w:multiLevelType w:val="hybridMultilevel"/>
    <w:tmpl w:val="8C96F86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nsid w:val="1A4C0EBC"/>
    <w:multiLevelType w:val="hybridMultilevel"/>
    <w:tmpl w:val="8A6E0DB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nsid w:val="1C7450CB"/>
    <w:multiLevelType w:val="hybridMultilevel"/>
    <w:tmpl w:val="2B9A41AE"/>
    <w:lvl w:ilvl="0" w:tplc="1316B5C0">
      <w:start w:val="2014"/>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1D1B4F5E"/>
    <w:multiLevelType w:val="hybridMultilevel"/>
    <w:tmpl w:val="1534D30C"/>
    <w:lvl w:ilvl="0" w:tplc="684EDC04">
      <w:start w:val="1"/>
      <w:numFmt w:val="lowerLetter"/>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0">
    <w:nsid w:val="224B51A3"/>
    <w:multiLevelType w:val="multilevel"/>
    <w:tmpl w:val="403229A2"/>
    <w:lvl w:ilvl="0">
      <w:start w:val="1"/>
      <w:numFmt w:val="decimal"/>
      <w:pStyle w:val="1lmenis"/>
      <w:lvlText w:val="%1."/>
      <w:lvlJc w:val="left"/>
      <w:pPr>
        <w:ind w:left="5606" w:hanging="360"/>
      </w:pPr>
    </w:lvl>
    <w:lvl w:ilvl="1">
      <w:start w:val="1"/>
      <w:numFmt w:val="decimal"/>
      <w:pStyle w:val="2lmenis"/>
      <w:isLgl/>
      <w:lvlText w:val="%1.%2."/>
      <w:lvlJc w:val="left"/>
      <w:pPr>
        <w:ind w:left="1440" w:hanging="360"/>
      </w:pPr>
      <w:rPr>
        <w:rFonts w:hint="default"/>
        <w:b/>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1">
    <w:nsid w:val="280332FC"/>
    <w:multiLevelType w:val="multilevel"/>
    <w:tmpl w:val="46629074"/>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29706135"/>
    <w:multiLevelType w:val="hybridMultilevel"/>
    <w:tmpl w:val="90545B2C"/>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nsid w:val="2DF95AE6"/>
    <w:multiLevelType w:val="hybridMultilevel"/>
    <w:tmpl w:val="E1CE2F20"/>
    <w:lvl w:ilvl="0" w:tplc="1316B5C0">
      <w:start w:val="2014"/>
      <w:numFmt w:val="bullet"/>
      <w:lvlText w:val="-"/>
      <w:lvlJc w:val="left"/>
      <w:pPr>
        <w:ind w:left="1070" w:hanging="360"/>
      </w:pPr>
      <w:rPr>
        <w:rFonts w:ascii="Times New Roman" w:eastAsiaTheme="minorHAnsi" w:hAnsi="Times New Roman" w:cs="Times New Roman"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14">
    <w:nsid w:val="3037681A"/>
    <w:multiLevelType w:val="hybridMultilevel"/>
    <w:tmpl w:val="F73E880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nsid w:val="355E121C"/>
    <w:multiLevelType w:val="hybridMultilevel"/>
    <w:tmpl w:val="F5EC191A"/>
    <w:lvl w:ilvl="0" w:tplc="04090011">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nsid w:val="37987E53"/>
    <w:multiLevelType w:val="hybridMultilevel"/>
    <w:tmpl w:val="2D2696C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nsid w:val="392B550D"/>
    <w:multiLevelType w:val="hybridMultilevel"/>
    <w:tmpl w:val="EE222D98"/>
    <w:lvl w:ilvl="0" w:tplc="9D2A0326">
      <w:start w:val="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nsid w:val="3DC16837"/>
    <w:multiLevelType w:val="hybridMultilevel"/>
    <w:tmpl w:val="84E4B8DC"/>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
    <w:nsid w:val="3F0866DE"/>
    <w:multiLevelType w:val="multilevel"/>
    <w:tmpl w:val="91248FC8"/>
    <w:lvl w:ilvl="0">
      <w:start w:val="9"/>
      <w:numFmt w:val="decimal"/>
      <w:lvlText w:val="%1."/>
      <w:lvlJc w:val="left"/>
      <w:pPr>
        <w:ind w:left="720" w:hanging="360"/>
      </w:pPr>
      <w:rPr>
        <w:rFonts w:hint="default"/>
      </w:rPr>
    </w:lvl>
    <w:lvl w:ilvl="1">
      <w:start w:val="1"/>
      <w:numFmt w:val="decimal"/>
      <w:isLgl/>
      <w:lvlText w:val="%1.%2."/>
      <w:lvlJc w:val="left"/>
      <w:pPr>
        <w:ind w:left="720" w:hanging="360"/>
      </w:pPr>
      <w:rPr>
        <w:rFonts w:eastAsia="Times New Roman" w:hint="default"/>
      </w:rPr>
    </w:lvl>
    <w:lvl w:ilvl="2">
      <w:start w:val="1"/>
      <w:numFmt w:val="decimal"/>
      <w:isLgl/>
      <w:lvlText w:val="%1.%2.%3."/>
      <w:lvlJc w:val="left"/>
      <w:pPr>
        <w:ind w:left="1080" w:hanging="720"/>
      </w:pPr>
      <w:rPr>
        <w:rFonts w:eastAsia="Times New Roman" w:hint="default"/>
      </w:rPr>
    </w:lvl>
    <w:lvl w:ilvl="3">
      <w:start w:val="1"/>
      <w:numFmt w:val="decimal"/>
      <w:isLgl/>
      <w:lvlText w:val="%1.%2.%3.%4."/>
      <w:lvlJc w:val="left"/>
      <w:pPr>
        <w:ind w:left="1080" w:hanging="720"/>
      </w:pPr>
      <w:rPr>
        <w:rFonts w:eastAsia="Times New Roman" w:hint="default"/>
      </w:rPr>
    </w:lvl>
    <w:lvl w:ilvl="4">
      <w:start w:val="1"/>
      <w:numFmt w:val="decimal"/>
      <w:isLgl/>
      <w:lvlText w:val="%1.%2.%3.%4.%5."/>
      <w:lvlJc w:val="left"/>
      <w:pPr>
        <w:ind w:left="1440" w:hanging="1080"/>
      </w:pPr>
      <w:rPr>
        <w:rFonts w:eastAsia="Times New Roman" w:hint="default"/>
      </w:rPr>
    </w:lvl>
    <w:lvl w:ilvl="5">
      <w:start w:val="1"/>
      <w:numFmt w:val="decimal"/>
      <w:isLgl/>
      <w:lvlText w:val="%1.%2.%3.%4.%5.%6."/>
      <w:lvlJc w:val="left"/>
      <w:pPr>
        <w:ind w:left="1440" w:hanging="1080"/>
      </w:pPr>
      <w:rPr>
        <w:rFonts w:eastAsia="Times New Roman" w:hint="default"/>
      </w:rPr>
    </w:lvl>
    <w:lvl w:ilvl="6">
      <w:start w:val="1"/>
      <w:numFmt w:val="decimal"/>
      <w:isLgl/>
      <w:lvlText w:val="%1.%2.%3.%4.%5.%6.%7."/>
      <w:lvlJc w:val="left"/>
      <w:pPr>
        <w:ind w:left="1800" w:hanging="1440"/>
      </w:pPr>
      <w:rPr>
        <w:rFonts w:eastAsia="Times New Roman" w:hint="default"/>
      </w:rPr>
    </w:lvl>
    <w:lvl w:ilvl="7">
      <w:start w:val="1"/>
      <w:numFmt w:val="decimal"/>
      <w:isLgl/>
      <w:lvlText w:val="%1.%2.%3.%4.%5.%6.%7.%8."/>
      <w:lvlJc w:val="left"/>
      <w:pPr>
        <w:ind w:left="1800" w:hanging="1440"/>
      </w:pPr>
      <w:rPr>
        <w:rFonts w:eastAsia="Times New Roman" w:hint="default"/>
      </w:rPr>
    </w:lvl>
    <w:lvl w:ilvl="8">
      <w:start w:val="1"/>
      <w:numFmt w:val="decimal"/>
      <w:isLgl/>
      <w:lvlText w:val="%1.%2.%3.%4.%5.%6.%7.%8.%9."/>
      <w:lvlJc w:val="left"/>
      <w:pPr>
        <w:ind w:left="2160" w:hanging="1800"/>
      </w:pPr>
      <w:rPr>
        <w:rFonts w:eastAsia="Times New Roman" w:hint="default"/>
      </w:rPr>
    </w:lvl>
  </w:abstractNum>
  <w:abstractNum w:abstractNumId="20">
    <w:nsid w:val="460E3EF5"/>
    <w:multiLevelType w:val="hybridMultilevel"/>
    <w:tmpl w:val="707844B2"/>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nsid w:val="4B9A0E78"/>
    <w:multiLevelType w:val="hybridMultilevel"/>
    <w:tmpl w:val="884EA8F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nsid w:val="4F2F12AD"/>
    <w:multiLevelType w:val="hybridMultilevel"/>
    <w:tmpl w:val="470CE61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nsid w:val="51D4083E"/>
    <w:multiLevelType w:val="hybridMultilevel"/>
    <w:tmpl w:val="E3281FDA"/>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4">
    <w:nsid w:val="52B6569C"/>
    <w:multiLevelType w:val="hybridMultilevel"/>
    <w:tmpl w:val="2A3A6198"/>
    <w:lvl w:ilvl="0" w:tplc="756C0E3E">
      <w:start w:val="1"/>
      <w:numFmt w:val="decimal"/>
      <w:lvlText w:val="%1)"/>
      <w:lvlJc w:val="left"/>
      <w:pPr>
        <w:ind w:left="720" w:hanging="360"/>
      </w:pPr>
      <w:rPr>
        <w:rFonts w:hint="default"/>
        <w:i/>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
    <w:nsid w:val="597943E5"/>
    <w:multiLevelType w:val="multilevel"/>
    <w:tmpl w:val="8528DD10"/>
    <w:styleLink w:val="WWNum1"/>
    <w:lvl w:ilvl="0">
      <w:start w:val="1"/>
      <w:numFmt w:val="decimal"/>
      <w:lvlText w:val="%1."/>
      <w:lvlJc w:val="left"/>
      <w:pPr>
        <w:ind w:left="360" w:hanging="360"/>
      </w:pPr>
      <w:rPr>
        <w:b/>
        <w:i w:val="0"/>
      </w:r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6">
    <w:nsid w:val="59BF3B9A"/>
    <w:multiLevelType w:val="hybridMultilevel"/>
    <w:tmpl w:val="7FC4E71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BAE7CF6"/>
    <w:multiLevelType w:val="hybridMultilevel"/>
    <w:tmpl w:val="5D60A77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05E2E8A"/>
    <w:multiLevelType w:val="multilevel"/>
    <w:tmpl w:val="A7FCEA4C"/>
    <w:lvl w:ilvl="0">
      <w:start w:val="1"/>
      <w:numFmt w:val="decimal"/>
      <w:lvlText w:val="%1."/>
      <w:lvlJc w:val="left"/>
      <w:pPr>
        <w:ind w:left="928" w:hanging="360"/>
      </w:pPr>
    </w:lvl>
    <w:lvl w:ilvl="1">
      <w:start w:val="1"/>
      <w:numFmt w:val="decimal"/>
      <w:isLgl/>
      <w:lvlText w:val="%1.%2."/>
      <w:lvlJc w:val="left"/>
      <w:pPr>
        <w:ind w:left="1494" w:hanging="360"/>
      </w:pPr>
      <w:rPr>
        <w:rFonts w:hint="default"/>
      </w:rPr>
    </w:lvl>
    <w:lvl w:ilvl="2">
      <w:start w:val="1"/>
      <w:numFmt w:val="decimal"/>
      <w:isLgl/>
      <w:lvlText w:val="%1.%2.%3."/>
      <w:lvlJc w:val="left"/>
      <w:pPr>
        <w:ind w:left="2420" w:hanging="720"/>
      </w:pPr>
      <w:rPr>
        <w:rFonts w:hint="default"/>
      </w:rPr>
    </w:lvl>
    <w:lvl w:ilvl="3">
      <w:start w:val="1"/>
      <w:numFmt w:val="decimal"/>
      <w:isLgl/>
      <w:lvlText w:val="%1.%2.%3.%4."/>
      <w:lvlJc w:val="left"/>
      <w:pPr>
        <w:ind w:left="2986" w:hanging="720"/>
      </w:pPr>
      <w:rPr>
        <w:rFonts w:hint="default"/>
      </w:rPr>
    </w:lvl>
    <w:lvl w:ilvl="4">
      <w:start w:val="1"/>
      <w:numFmt w:val="decimal"/>
      <w:isLgl/>
      <w:lvlText w:val="%1.%2.%3.%4.%5."/>
      <w:lvlJc w:val="left"/>
      <w:pPr>
        <w:ind w:left="3912" w:hanging="1080"/>
      </w:pPr>
      <w:rPr>
        <w:rFonts w:hint="default"/>
      </w:rPr>
    </w:lvl>
    <w:lvl w:ilvl="5">
      <w:start w:val="1"/>
      <w:numFmt w:val="decimal"/>
      <w:isLgl/>
      <w:lvlText w:val="%1.%2.%3.%4.%5.%6."/>
      <w:lvlJc w:val="left"/>
      <w:pPr>
        <w:ind w:left="4478" w:hanging="1080"/>
      </w:pPr>
      <w:rPr>
        <w:rFonts w:hint="default"/>
      </w:rPr>
    </w:lvl>
    <w:lvl w:ilvl="6">
      <w:start w:val="1"/>
      <w:numFmt w:val="decimal"/>
      <w:isLgl/>
      <w:lvlText w:val="%1.%2.%3.%4.%5.%6.%7."/>
      <w:lvlJc w:val="left"/>
      <w:pPr>
        <w:ind w:left="5404" w:hanging="1440"/>
      </w:pPr>
      <w:rPr>
        <w:rFonts w:hint="default"/>
      </w:rPr>
    </w:lvl>
    <w:lvl w:ilvl="7">
      <w:start w:val="1"/>
      <w:numFmt w:val="decimal"/>
      <w:isLgl/>
      <w:lvlText w:val="%1.%2.%3.%4.%5.%6.%7.%8."/>
      <w:lvlJc w:val="left"/>
      <w:pPr>
        <w:ind w:left="5970" w:hanging="1440"/>
      </w:pPr>
      <w:rPr>
        <w:rFonts w:hint="default"/>
      </w:rPr>
    </w:lvl>
    <w:lvl w:ilvl="8">
      <w:start w:val="1"/>
      <w:numFmt w:val="decimal"/>
      <w:isLgl/>
      <w:lvlText w:val="%1.%2.%3.%4.%5.%6.%7.%8.%9."/>
      <w:lvlJc w:val="left"/>
      <w:pPr>
        <w:ind w:left="6896" w:hanging="1800"/>
      </w:pPr>
      <w:rPr>
        <w:rFonts w:hint="default"/>
      </w:rPr>
    </w:lvl>
  </w:abstractNum>
  <w:abstractNum w:abstractNumId="29">
    <w:nsid w:val="60823696"/>
    <w:multiLevelType w:val="hybridMultilevel"/>
    <w:tmpl w:val="BCD24510"/>
    <w:lvl w:ilvl="0" w:tplc="85EE783A">
      <w:start w:val="1"/>
      <w:numFmt w:val="decimal"/>
      <w:lvlText w:val="%1)"/>
      <w:lvlJc w:val="left"/>
      <w:pPr>
        <w:ind w:left="720" w:hanging="360"/>
      </w:pPr>
      <w:rPr>
        <w:rFont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0">
    <w:nsid w:val="62104867"/>
    <w:multiLevelType w:val="hybridMultilevel"/>
    <w:tmpl w:val="9E3CF3B0"/>
    <w:lvl w:ilvl="0" w:tplc="04260001">
      <w:start w:val="1"/>
      <w:numFmt w:val="bullet"/>
      <w:lvlText w:val=""/>
      <w:lvlJc w:val="left"/>
      <w:pPr>
        <w:ind w:left="1134" w:hanging="360"/>
      </w:pPr>
      <w:rPr>
        <w:rFonts w:ascii="Symbol" w:hAnsi="Symbol" w:hint="default"/>
      </w:rPr>
    </w:lvl>
    <w:lvl w:ilvl="1" w:tplc="04260003" w:tentative="1">
      <w:start w:val="1"/>
      <w:numFmt w:val="bullet"/>
      <w:lvlText w:val="o"/>
      <w:lvlJc w:val="left"/>
      <w:pPr>
        <w:ind w:left="1854" w:hanging="360"/>
      </w:pPr>
      <w:rPr>
        <w:rFonts w:ascii="Courier New" w:hAnsi="Courier New" w:cs="Courier New" w:hint="default"/>
      </w:rPr>
    </w:lvl>
    <w:lvl w:ilvl="2" w:tplc="04260005" w:tentative="1">
      <w:start w:val="1"/>
      <w:numFmt w:val="bullet"/>
      <w:lvlText w:val=""/>
      <w:lvlJc w:val="left"/>
      <w:pPr>
        <w:ind w:left="2574" w:hanging="360"/>
      </w:pPr>
      <w:rPr>
        <w:rFonts w:ascii="Wingdings" w:hAnsi="Wingdings" w:hint="default"/>
      </w:rPr>
    </w:lvl>
    <w:lvl w:ilvl="3" w:tplc="04260001" w:tentative="1">
      <w:start w:val="1"/>
      <w:numFmt w:val="bullet"/>
      <w:lvlText w:val=""/>
      <w:lvlJc w:val="left"/>
      <w:pPr>
        <w:ind w:left="3294" w:hanging="360"/>
      </w:pPr>
      <w:rPr>
        <w:rFonts w:ascii="Symbol" w:hAnsi="Symbol" w:hint="default"/>
      </w:rPr>
    </w:lvl>
    <w:lvl w:ilvl="4" w:tplc="04260003" w:tentative="1">
      <w:start w:val="1"/>
      <w:numFmt w:val="bullet"/>
      <w:lvlText w:val="o"/>
      <w:lvlJc w:val="left"/>
      <w:pPr>
        <w:ind w:left="4014" w:hanging="360"/>
      </w:pPr>
      <w:rPr>
        <w:rFonts w:ascii="Courier New" w:hAnsi="Courier New" w:cs="Courier New" w:hint="default"/>
      </w:rPr>
    </w:lvl>
    <w:lvl w:ilvl="5" w:tplc="04260005" w:tentative="1">
      <w:start w:val="1"/>
      <w:numFmt w:val="bullet"/>
      <w:lvlText w:val=""/>
      <w:lvlJc w:val="left"/>
      <w:pPr>
        <w:ind w:left="4734" w:hanging="360"/>
      </w:pPr>
      <w:rPr>
        <w:rFonts w:ascii="Wingdings" w:hAnsi="Wingdings" w:hint="default"/>
      </w:rPr>
    </w:lvl>
    <w:lvl w:ilvl="6" w:tplc="04260001" w:tentative="1">
      <w:start w:val="1"/>
      <w:numFmt w:val="bullet"/>
      <w:lvlText w:val=""/>
      <w:lvlJc w:val="left"/>
      <w:pPr>
        <w:ind w:left="5454" w:hanging="360"/>
      </w:pPr>
      <w:rPr>
        <w:rFonts w:ascii="Symbol" w:hAnsi="Symbol" w:hint="default"/>
      </w:rPr>
    </w:lvl>
    <w:lvl w:ilvl="7" w:tplc="04260003" w:tentative="1">
      <w:start w:val="1"/>
      <w:numFmt w:val="bullet"/>
      <w:lvlText w:val="o"/>
      <w:lvlJc w:val="left"/>
      <w:pPr>
        <w:ind w:left="6174" w:hanging="360"/>
      </w:pPr>
      <w:rPr>
        <w:rFonts w:ascii="Courier New" w:hAnsi="Courier New" w:cs="Courier New" w:hint="default"/>
      </w:rPr>
    </w:lvl>
    <w:lvl w:ilvl="8" w:tplc="04260005" w:tentative="1">
      <w:start w:val="1"/>
      <w:numFmt w:val="bullet"/>
      <w:lvlText w:val=""/>
      <w:lvlJc w:val="left"/>
      <w:pPr>
        <w:ind w:left="6894" w:hanging="360"/>
      </w:pPr>
      <w:rPr>
        <w:rFonts w:ascii="Wingdings" w:hAnsi="Wingdings" w:hint="default"/>
      </w:rPr>
    </w:lvl>
  </w:abstractNum>
  <w:abstractNum w:abstractNumId="31">
    <w:nsid w:val="67C37BD3"/>
    <w:multiLevelType w:val="hybridMultilevel"/>
    <w:tmpl w:val="FEC8FFB0"/>
    <w:lvl w:ilvl="0" w:tplc="96164336">
      <w:start w:val="1"/>
      <w:numFmt w:val="decimal"/>
      <w:lvlText w:val="%1."/>
      <w:lvlJc w:val="left"/>
      <w:pPr>
        <w:ind w:left="1287" w:hanging="360"/>
      </w:pPr>
      <w:rPr>
        <w:rFonts w:eastAsiaTheme="majorEastAsia" w:cstheme="majorBidi" w:hint="default"/>
      </w:r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32">
    <w:nsid w:val="683459C2"/>
    <w:multiLevelType w:val="hybridMultilevel"/>
    <w:tmpl w:val="A514805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
    <w:nsid w:val="6BE73B8A"/>
    <w:multiLevelType w:val="hybridMultilevel"/>
    <w:tmpl w:val="2A10F4AA"/>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
    <w:nsid w:val="6CF55008"/>
    <w:multiLevelType w:val="multilevel"/>
    <w:tmpl w:val="5D782934"/>
    <w:lvl w:ilvl="0">
      <w:start w:val="1"/>
      <w:numFmt w:val="decimal"/>
      <w:lvlText w:val="%1."/>
      <w:lvlJc w:val="left"/>
      <w:pPr>
        <w:ind w:left="644" w:hanging="360"/>
      </w:pPr>
      <w:rPr>
        <w:rFonts w:ascii="Times New Roman" w:hAnsi="Times New Roman" w:cs="Times New Roman" w:hint="default"/>
        <w:color w:val="auto"/>
      </w:rPr>
    </w:lvl>
    <w:lvl w:ilvl="1">
      <w:start w:val="1"/>
      <w:numFmt w:val="decimal"/>
      <w:isLgl/>
      <w:lvlText w:val="%1.%2."/>
      <w:lvlJc w:val="left"/>
      <w:pPr>
        <w:ind w:left="1288" w:hanging="720"/>
      </w:pPr>
      <w:rPr>
        <w:rFonts w:hint="default"/>
        <w:b/>
      </w:rPr>
    </w:lvl>
    <w:lvl w:ilvl="2">
      <w:start w:val="1"/>
      <w:numFmt w:val="decimal"/>
      <w:pStyle w:val="3lmenis"/>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35">
    <w:nsid w:val="6DAF2760"/>
    <w:multiLevelType w:val="hybridMultilevel"/>
    <w:tmpl w:val="3FBECFAC"/>
    <w:lvl w:ilvl="0" w:tplc="04260011">
      <w:start w:val="1"/>
      <w:numFmt w:val="decimal"/>
      <w:lvlText w:val="%1)"/>
      <w:lvlJc w:val="left"/>
      <w:pPr>
        <w:ind w:left="927"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
    <w:nsid w:val="6E60325F"/>
    <w:multiLevelType w:val="hybridMultilevel"/>
    <w:tmpl w:val="ADBC9788"/>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
    <w:nsid w:val="70DF5AF7"/>
    <w:multiLevelType w:val="hybridMultilevel"/>
    <w:tmpl w:val="10EA4C4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8">
    <w:nsid w:val="735D1015"/>
    <w:multiLevelType w:val="hybridMultilevel"/>
    <w:tmpl w:val="4C7A580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9">
    <w:nsid w:val="74936A5F"/>
    <w:multiLevelType w:val="hybridMultilevel"/>
    <w:tmpl w:val="7B1C70E2"/>
    <w:lvl w:ilvl="0" w:tplc="04260001">
      <w:start w:val="1"/>
      <w:numFmt w:val="bullet"/>
      <w:lvlText w:val=""/>
      <w:lvlJc w:val="left"/>
      <w:pPr>
        <w:ind w:left="1134" w:hanging="360"/>
      </w:pPr>
      <w:rPr>
        <w:rFonts w:ascii="Symbol" w:hAnsi="Symbol" w:hint="default"/>
      </w:rPr>
    </w:lvl>
    <w:lvl w:ilvl="1" w:tplc="04260003" w:tentative="1">
      <w:start w:val="1"/>
      <w:numFmt w:val="bullet"/>
      <w:lvlText w:val="o"/>
      <w:lvlJc w:val="left"/>
      <w:pPr>
        <w:ind w:left="1854" w:hanging="360"/>
      </w:pPr>
      <w:rPr>
        <w:rFonts w:ascii="Courier New" w:hAnsi="Courier New" w:cs="Courier New" w:hint="default"/>
      </w:rPr>
    </w:lvl>
    <w:lvl w:ilvl="2" w:tplc="04260005" w:tentative="1">
      <w:start w:val="1"/>
      <w:numFmt w:val="bullet"/>
      <w:lvlText w:val=""/>
      <w:lvlJc w:val="left"/>
      <w:pPr>
        <w:ind w:left="2574" w:hanging="360"/>
      </w:pPr>
      <w:rPr>
        <w:rFonts w:ascii="Wingdings" w:hAnsi="Wingdings" w:hint="default"/>
      </w:rPr>
    </w:lvl>
    <w:lvl w:ilvl="3" w:tplc="04260001" w:tentative="1">
      <w:start w:val="1"/>
      <w:numFmt w:val="bullet"/>
      <w:lvlText w:val=""/>
      <w:lvlJc w:val="left"/>
      <w:pPr>
        <w:ind w:left="3294" w:hanging="360"/>
      </w:pPr>
      <w:rPr>
        <w:rFonts w:ascii="Symbol" w:hAnsi="Symbol" w:hint="default"/>
      </w:rPr>
    </w:lvl>
    <w:lvl w:ilvl="4" w:tplc="04260003" w:tentative="1">
      <w:start w:val="1"/>
      <w:numFmt w:val="bullet"/>
      <w:lvlText w:val="o"/>
      <w:lvlJc w:val="left"/>
      <w:pPr>
        <w:ind w:left="4014" w:hanging="360"/>
      </w:pPr>
      <w:rPr>
        <w:rFonts w:ascii="Courier New" w:hAnsi="Courier New" w:cs="Courier New" w:hint="default"/>
      </w:rPr>
    </w:lvl>
    <w:lvl w:ilvl="5" w:tplc="04260005" w:tentative="1">
      <w:start w:val="1"/>
      <w:numFmt w:val="bullet"/>
      <w:lvlText w:val=""/>
      <w:lvlJc w:val="left"/>
      <w:pPr>
        <w:ind w:left="4734" w:hanging="360"/>
      </w:pPr>
      <w:rPr>
        <w:rFonts w:ascii="Wingdings" w:hAnsi="Wingdings" w:hint="default"/>
      </w:rPr>
    </w:lvl>
    <w:lvl w:ilvl="6" w:tplc="04260001" w:tentative="1">
      <w:start w:val="1"/>
      <w:numFmt w:val="bullet"/>
      <w:lvlText w:val=""/>
      <w:lvlJc w:val="left"/>
      <w:pPr>
        <w:ind w:left="5454" w:hanging="360"/>
      </w:pPr>
      <w:rPr>
        <w:rFonts w:ascii="Symbol" w:hAnsi="Symbol" w:hint="default"/>
      </w:rPr>
    </w:lvl>
    <w:lvl w:ilvl="7" w:tplc="04260003" w:tentative="1">
      <w:start w:val="1"/>
      <w:numFmt w:val="bullet"/>
      <w:lvlText w:val="o"/>
      <w:lvlJc w:val="left"/>
      <w:pPr>
        <w:ind w:left="6174" w:hanging="360"/>
      </w:pPr>
      <w:rPr>
        <w:rFonts w:ascii="Courier New" w:hAnsi="Courier New" w:cs="Courier New" w:hint="default"/>
      </w:rPr>
    </w:lvl>
    <w:lvl w:ilvl="8" w:tplc="04260005" w:tentative="1">
      <w:start w:val="1"/>
      <w:numFmt w:val="bullet"/>
      <w:lvlText w:val=""/>
      <w:lvlJc w:val="left"/>
      <w:pPr>
        <w:ind w:left="6894" w:hanging="360"/>
      </w:pPr>
      <w:rPr>
        <w:rFonts w:ascii="Wingdings" w:hAnsi="Wingdings" w:hint="default"/>
      </w:rPr>
    </w:lvl>
  </w:abstractNum>
  <w:abstractNum w:abstractNumId="40">
    <w:nsid w:val="787E559D"/>
    <w:multiLevelType w:val="hybridMultilevel"/>
    <w:tmpl w:val="464C5218"/>
    <w:lvl w:ilvl="0" w:tplc="04260001">
      <w:start w:val="1"/>
      <w:numFmt w:val="bullet"/>
      <w:lvlText w:val=""/>
      <w:lvlJc w:val="left"/>
      <w:pPr>
        <w:ind w:left="1134" w:hanging="360"/>
      </w:pPr>
      <w:rPr>
        <w:rFonts w:ascii="Symbol" w:hAnsi="Symbol" w:hint="default"/>
      </w:rPr>
    </w:lvl>
    <w:lvl w:ilvl="1" w:tplc="04260003" w:tentative="1">
      <w:start w:val="1"/>
      <w:numFmt w:val="bullet"/>
      <w:lvlText w:val="o"/>
      <w:lvlJc w:val="left"/>
      <w:pPr>
        <w:ind w:left="1854" w:hanging="360"/>
      </w:pPr>
      <w:rPr>
        <w:rFonts w:ascii="Courier New" w:hAnsi="Courier New" w:cs="Courier New" w:hint="default"/>
      </w:rPr>
    </w:lvl>
    <w:lvl w:ilvl="2" w:tplc="04260005" w:tentative="1">
      <w:start w:val="1"/>
      <w:numFmt w:val="bullet"/>
      <w:lvlText w:val=""/>
      <w:lvlJc w:val="left"/>
      <w:pPr>
        <w:ind w:left="2574" w:hanging="360"/>
      </w:pPr>
      <w:rPr>
        <w:rFonts w:ascii="Wingdings" w:hAnsi="Wingdings" w:hint="default"/>
      </w:rPr>
    </w:lvl>
    <w:lvl w:ilvl="3" w:tplc="04260001" w:tentative="1">
      <w:start w:val="1"/>
      <w:numFmt w:val="bullet"/>
      <w:lvlText w:val=""/>
      <w:lvlJc w:val="left"/>
      <w:pPr>
        <w:ind w:left="3294" w:hanging="360"/>
      </w:pPr>
      <w:rPr>
        <w:rFonts w:ascii="Symbol" w:hAnsi="Symbol" w:hint="default"/>
      </w:rPr>
    </w:lvl>
    <w:lvl w:ilvl="4" w:tplc="04260003" w:tentative="1">
      <w:start w:val="1"/>
      <w:numFmt w:val="bullet"/>
      <w:lvlText w:val="o"/>
      <w:lvlJc w:val="left"/>
      <w:pPr>
        <w:ind w:left="4014" w:hanging="360"/>
      </w:pPr>
      <w:rPr>
        <w:rFonts w:ascii="Courier New" w:hAnsi="Courier New" w:cs="Courier New" w:hint="default"/>
      </w:rPr>
    </w:lvl>
    <w:lvl w:ilvl="5" w:tplc="04260005" w:tentative="1">
      <w:start w:val="1"/>
      <w:numFmt w:val="bullet"/>
      <w:lvlText w:val=""/>
      <w:lvlJc w:val="left"/>
      <w:pPr>
        <w:ind w:left="4734" w:hanging="360"/>
      </w:pPr>
      <w:rPr>
        <w:rFonts w:ascii="Wingdings" w:hAnsi="Wingdings" w:hint="default"/>
      </w:rPr>
    </w:lvl>
    <w:lvl w:ilvl="6" w:tplc="04260001" w:tentative="1">
      <w:start w:val="1"/>
      <w:numFmt w:val="bullet"/>
      <w:lvlText w:val=""/>
      <w:lvlJc w:val="left"/>
      <w:pPr>
        <w:ind w:left="5454" w:hanging="360"/>
      </w:pPr>
      <w:rPr>
        <w:rFonts w:ascii="Symbol" w:hAnsi="Symbol" w:hint="default"/>
      </w:rPr>
    </w:lvl>
    <w:lvl w:ilvl="7" w:tplc="04260003" w:tentative="1">
      <w:start w:val="1"/>
      <w:numFmt w:val="bullet"/>
      <w:lvlText w:val="o"/>
      <w:lvlJc w:val="left"/>
      <w:pPr>
        <w:ind w:left="6174" w:hanging="360"/>
      </w:pPr>
      <w:rPr>
        <w:rFonts w:ascii="Courier New" w:hAnsi="Courier New" w:cs="Courier New" w:hint="default"/>
      </w:rPr>
    </w:lvl>
    <w:lvl w:ilvl="8" w:tplc="04260005" w:tentative="1">
      <w:start w:val="1"/>
      <w:numFmt w:val="bullet"/>
      <w:lvlText w:val=""/>
      <w:lvlJc w:val="left"/>
      <w:pPr>
        <w:ind w:left="6894" w:hanging="360"/>
      </w:pPr>
      <w:rPr>
        <w:rFonts w:ascii="Wingdings" w:hAnsi="Wingdings" w:hint="default"/>
      </w:rPr>
    </w:lvl>
  </w:abstractNum>
  <w:abstractNum w:abstractNumId="41">
    <w:nsid w:val="79EB06B8"/>
    <w:multiLevelType w:val="hybridMultilevel"/>
    <w:tmpl w:val="C226ACE0"/>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2">
    <w:nsid w:val="7A6717FF"/>
    <w:multiLevelType w:val="hybridMultilevel"/>
    <w:tmpl w:val="7A327422"/>
    <w:lvl w:ilvl="0" w:tplc="385A2A64">
      <w:start w:val="5"/>
      <w:numFmt w:val="bullet"/>
      <w:lvlText w:val=""/>
      <w:lvlJc w:val="left"/>
      <w:pPr>
        <w:ind w:left="720" w:hanging="360"/>
      </w:pPr>
      <w:rPr>
        <w:rFonts w:ascii="Symbol" w:eastAsia="Calibri" w:hAnsi="Symbol" w:cs="Times New Roman"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43">
    <w:nsid w:val="7B34461D"/>
    <w:multiLevelType w:val="hybridMultilevel"/>
    <w:tmpl w:val="F626B9E6"/>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4">
    <w:nsid w:val="7B4604C5"/>
    <w:multiLevelType w:val="hybridMultilevel"/>
    <w:tmpl w:val="92707EC0"/>
    <w:lvl w:ilvl="0" w:tplc="72DCF960">
      <w:start w:val="1"/>
      <w:numFmt w:val="decimal"/>
      <w:lvlText w:val="%1."/>
      <w:lvlJc w:val="left"/>
      <w:pPr>
        <w:ind w:left="720" w:hanging="360"/>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5">
    <w:nsid w:val="7CF504F1"/>
    <w:multiLevelType w:val="hybridMultilevel"/>
    <w:tmpl w:val="82964C4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6">
    <w:nsid w:val="7E7B1969"/>
    <w:multiLevelType w:val="hybridMultilevel"/>
    <w:tmpl w:val="C3B0EA16"/>
    <w:lvl w:ilvl="0" w:tplc="9CB447EE">
      <w:start w:val="1"/>
      <w:numFmt w:val="decimal"/>
      <w:lvlText w:val="%1."/>
      <w:lvlJc w:val="left"/>
      <w:pPr>
        <w:ind w:left="927" w:hanging="360"/>
      </w:pPr>
      <w:rPr>
        <w:rFonts w:eastAsiaTheme="majorEastAsia" w:cstheme="majorBidi" w:hint="default"/>
      </w:rPr>
    </w:lvl>
    <w:lvl w:ilvl="1" w:tplc="04260019">
      <w:start w:val="1"/>
      <w:numFmt w:val="lowerLetter"/>
      <w:lvlText w:val="%2."/>
      <w:lvlJc w:val="left"/>
      <w:pPr>
        <w:ind w:left="1647" w:hanging="360"/>
      </w:pPr>
    </w:lvl>
    <w:lvl w:ilvl="2" w:tplc="0426001B">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47">
    <w:nsid w:val="7F9C6674"/>
    <w:multiLevelType w:val="hybridMultilevel"/>
    <w:tmpl w:val="76CCCF9E"/>
    <w:lvl w:ilvl="0" w:tplc="9A64621C">
      <w:start w:val="1"/>
      <w:numFmt w:val="lowerLetter"/>
      <w:lvlText w:val="%1)"/>
      <w:lvlJc w:val="left"/>
      <w:pPr>
        <w:ind w:left="1800" w:hanging="360"/>
      </w:pPr>
      <w:rPr>
        <w:rFonts w:hint="default"/>
      </w:rPr>
    </w:lvl>
    <w:lvl w:ilvl="1" w:tplc="04260019">
      <w:start w:val="1"/>
      <w:numFmt w:val="lowerLetter"/>
      <w:lvlText w:val="%2."/>
      <w:lvlJc w:val="left"/>
      <w:pPr>
        <w:ind w:left="2520" w:hanging="360"/>
      </w:pPr>
    </w:lvl>
    <w:lvl w:ilvl="2" w:tplc="0426001B">
      <w:start w:val="1"/>
      <w:numFmt w:val="lowerRoman"/>
      <w:lvlText w:val="%3."/>
      <w:lvlJc w:val="right"/>
      <w:pPr>
        <w:ind w:left="3240" w:hanging="180"/>
      </w:pPr>
    </w:lvl>
    <w:lvl w:ilvl="3" w:tplc="65DAD974">
      <w:start w:val="12"/>
      <w:numFmt w:val="decimal"/>
      <w:lvlText w:val="%4."/>
      <w:lvlJc w:val="left"/>
      <w:pPr>
        <w:ind w:left="3960" w:hanging="360"/>
      </w:pPr>
      <w:rPr>
        <w:rFonts w:hint="default"/>
      </w:rPr>
    </w:lvl>
    <w:lvl w:ilvl="4" w:tplc="04260019" w:tentative="1">
      <w:start w:val="1"/>
      <w:numFmt w:val="lowerLetter"/>
      <w:lvlText w:val="%5."/>
      <w:lvlJc w:val="left"/>
      <w:pPr>
        <w:ind w:left="4680" w:hanging="360"/>
      </w:pPr>
    </w:lvl>
    <w:lvl w:ilvl="5" w:tplc="0426001B" w:tentative="1">
      <w:start w:val="1"/>
      <w:numFmt w:val="lowerRoman"/>
      <w:lvlText w:val="%6."/>
      <w:lvlJc w:val="right"/>
      <w:pPr>
        <w:ind w:left="5400" w:hanging="180"/>
      </w:pPr>
    </w:lvl>
    <w:lvl w:ilvl="6" w:tplc="0426000F" w:tentative="1">
      <w:start w:val="1"/>
      <w:numFmt w:val="decimal"/>
      <w:lvlText w:val="%7."/>
      <w:lvlJc w:val="left"/>
      <w:pPr>
        <w:ind w:left="6120" w:hanging="360"/>
      </w:pPr>
    </w:lvl>
    <w:lvl w:ilvl="7" w:tplc="04260019" w:tentative="1">
      <w:start w:val="1"/>
      <w:numFmt w:val="lowerLetter"/>
      <w:lvlText w:val="%8."/>
      <w:lvlJc w:val="left"/>
      <w:pPr>
        <w:ind w:left="6840" w:hanging="360"/>
      </w:pPr>
    </w:lvl>
    <w:lvl w:ilvl="8" w:tplc="0426001B" w:tentative="1">
      <w:start w:val="1"/>
      <w:numFmt w:val="lowerRoman"/>
      <w:lvlText w:val="%9."/>
      <w:lvlJc w:val="right"/>
      <w:pPr>
        <w:ind w:left="7560" w:hanging="180"/>
      </w:pPr>
    </w:lvl>
  </w:abstractNum>
  <w:num w:numId="1">
    <w:abstractNumId w:val="34"/>
  </w:num>
  <w:num w:numId="2">
    <w:abstractNumId w:val="44"/>
  </w:num>
  <w:num w:numId="3">
    <w:abstractNumId w:val="24"/>
  </w:num>
  <w:num w:numId="4">
    <w:abstractNumId w:val="32"/>
  </w:num>
  <w:num w:numId="5">
    <w:abstractNumId w:val="5"/>
  </w:num>
  <w:num w:numId="6">
    <w:abstractNumId w:val="20"/>
  </w:num>
  <w:num w:numId="7">
    <w:abstractNumId w:val="0"/>
  </w:num>
  <w:num w:numId="8">
    <w:abstractNumId w:val="12"/>
  </w:num>
  <w:num w:numId="9">
    <w:abstractNumId w:val="47"/>
  </w:num>
  <w:num w:numId="10">
    <w:abstractNumId w:val="22"/>
  </w:num>
  <w:num w:numId="11">
    <w:abstractNumId w:val="15"/>
  </w:num>
  <w:num w:numId="12">
    <w:abstractNumId w:val="3"/>
  </w:num>
  <w:num w:numId="13">
    <w:abstractNumId w:val="35"/>
  </w:num>
  <w:num w:numId="14">
    <w:abstractNumId w:val="11"/>
  </w:num>
  <w:num w:numId="15">
    <w:abstractNumId w:val="17"/>
  </w:num>
  <w:num w:numId="16">
    <w:abstractNumId w:val="6"/>
  </w:num>
  <w:num w:numId="17">
    <w:abstractNumId w:val="46"/>
  </w:num>
  <w:num w:numId="18">
    <w:abstractNumId w:val="9"/>
  </w:num>
  <w:num w:numId="19">
    <w:abstractNumId w:val="33"/>
  </w:num>
  <w:num w:numId="20">
    <w:abstractNumId w:val="14"/>
  </w:num>
  <w:num w:numId="21">
    <w:abstractNumId w:val="25"/>
  </w:num>
  <w:num w:numId="22">
    <w:abstractNumId w:val="16"/>
  </w:num>
  <w:num w:numId="23">
    <w:abstractNumId w:val="23"/>
  </w:num>
  <w:num w:numId="24">
    <w:abstractNumId w:val="37"/>
  </w:num>
  <w:num w:numId="25">
    <w:abstractNumId w:val="27"/>
  </w:num>
  <w:num w:numId="26">
    <w:abstractNumId w:val="1"/>
  </w:num>
  <w:num w:numId="27">
    <w:abstractNumId w:val="8"/>
  </w:num>
  <w:num w:numId="28">
    <w:abstractNumId w:val="13"/>
  </w:num>
  <w:num w:numId="29">
    <w:abstractNumId w:val="29"/>
  </w:num>
  <w:num w:numId="30">
    <w:abstractNumId w:val="4"/>
  </w:num>
  <w:num w:numId="31">
    <w:abstractNumId w:val="19"/>
  </w:num>
  <w:num w:numId="32">
    <w:abstractNumId w:val="26"/>
  </w:num>
  <w:num w:numId="33">
    <w:abstractNumId w:val="42"/>
  </w:num>
  <w:num w:numId="34">
    <w:abstractNumId w:val="39"/>
  </w:num>
  <w:num w:numId="35">
    <w:abstractNumId w:val="40"/>
  </w:num>
  <w:num w:numId="36">
    <w:abstractNumId w:val="30"/>
  </w:num>
  <w:num w:numId="37">
    <w:abstractNumId w:val="28"/>
  </w:num>
  <w:num w:numId="38">
    <w:abstractNumId w:val="43"/>
  </w:num>
  <w:num w:numId="39">
    <w:abstractNumId w:val="2"/>
  </w:num>
  <w:num w:numId="40">
    <w:abstractNumId w:val="31"/>
  </w:num>
  <w:num w:numId="41">
    <w:abstractNumId w:val="10"/>
  </w:num>
  <w:num w:numId="42">
    <w:abstractNumId w:val="36"/>
  </w:num>
  <w:num w:numId="43">
    <w:abstractNumId w:val="38"/>
  </w:num>
  <w:num w:numId="44">
    <w:abstractNumId w:val="7"/>
  </w:num>
  <w:num w:numId="45">
    <w:abstractNumId w:val="41"/>
  </w:num>
  <w:num w:numId="46">
    <w:abstractNumId w:val="21"/>
  </w:num>
  <w:num w:numId="47">
    <w:abstractNumId w:val="45"/>
  </w:num>
  <w:num w:numId="48">
    <w:abstractNumId w:val="18"/>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hdrShapeDefaults>
    <o:shapedefaults v:ext="edit" spidmax="55296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315A"/>
    <w:rsid w:val="00000F9D"/>
    <w:rsid w:val="00001037"/>
    <w:rsid w:val="00001DEF"/>
    <w:rsid w:val="000029BA"/>
    <w:rsid w:val="00003672"/>
    <w:rsid w:val="000038B7"/>
    <w:rsid w:val="00003B86"/>
    <w:rsid w:val="000048B4"/>
    <w:rsid w:val="000059A0"/>
    <w:rsid w:val="000061CC"/>
    <w:rsid w:val="000070CF"/>
    <w:rsid w:val="00007D18"/>
    <w:rsid w:val="0001035E"/>
    <w:rsid w:val="0001070B"/>
    <w:rsid w:val="000117E7"/>
    <w:rsid w:val="00011BE8"/>
    <w:rsid w:val="00011F4B"/>
    <w:rsid w:val="000125A0"/>
    <w:rsid w:val="00012F79"/>
    <w:rsid w:val="00013118"/>
    <w:rsid w:val="000140E5"/>
    <w:rsid w:val="000146C1"/>
    <w:rsid w:val="00014775"/>
    <w:rsid w:val="00014F89"/>
    <w:rsid w:val="000178A3"/>
    <w:rsid w:val="00020C1D"/>
    <w:rsid w:val="000215A8"/>
    <w:rsid w:val="000234A8"/>
    <w:rsid w:val="00023781"/>
    <w:rsid w:val="000238D3"/>
    <w:rsid w:val="00025AEE"/>
    <w:rsid w:val="000272F6"/>
    <w:rsid w:val="00027B66"/>
    <w:rsid w:val="00030621"/>
    <w:rsid w:val="00030CF4"/>
    <w:rsid w:val="00032031"/>
    <w:rsid w:val="0003218D"/>
    <w:rsid w:val="000330B5"/>
    <w:rsid w:val="000332DC"/>
    <w:rsid w:val="00033639"/>
    <w:rsid w:val="00033C25"/>
    <w:rsid w:val="000347F4"/>
    <w:rsid w:val="00034FAB"/>
    <w:rsid w:val="000352AD"/>
    <w:rsid w:val="00035D01"/>
    <w:rsid w:val="00036AA4"/>
    <w:rsid w:val="00037526"/>
    <w:rsid w:val="00037DFA"/>
    <w:rsid w:val="000400E0"/>
    <w:rsid w:val="00040810"/>
    <w:rsid w:val="0004136B"/>
    <w:rsid w:val="00041A46"/>
    <w:rsid w:val="0004206E"/>
    <w:rsid w:val="00042AC6"/>
    <w:rsid w:val="000449F3"/>
    <w:rsid w:val="000458B7"/>
    <w:rsid w:val="000502C0"/>
    <w:rsid w:val="000505DC"/>
    <w:rsid w:val="00050860"/>
    <w:rsid w:val="00051449"/>
    <w:rsid w:val="00051461"/>
    <w:rsid w:val="00051B2D"/>
    <w:rsid w:val="00052847"/>
    <w:rsid w:val="000529FF"/>
    <w:rsid w:val="00052A9B"/>
    <w:rsid w:val="0005397F"/>
    <w:rsid w:val="000547AD"/>
    <w:rsid w:val="000552AE"/>
    <w:rsid w:val="00056AF1"/>
    <w:rsid w:val="00056C84"/>
    <w:rsid w:val="0005779B"/>
    <w:rsid w:val="00057B53"/>
    <w:rsid w:val="00061A10"/>
    <w:rsid w:val="00062283"/>
    <w:rsid w:val="000622EE"/>
    <w:rsid w:val="00063A7E"/>
    <w:rsid w:val="000647D0"/>
    <w:rsid w:val="00064E31"/>
    <w:rsid w:val="0006598E"/>
    <w:rsid w:val="000667F4"/>
    <w:rsid w:val="000669E9"/>
    <w:rsid w:val="00066CEA"/>
    <w:rsid w:val="00067973"/>
    <w:rsid w:val="00067DFC"/>
    <w:rsid w:val="00072FB4"/>
    <w:rsid w:val="0007403D"/>
    <w:rsid w:val="00074D14"/>
    <w:rsid w:val="00075D54"/>
    <w:rsid w:val="00076485"/>
    <w:rsid w:val="00077123"/>
    <w:rsid w:val="00081E23"/>
    <w:rsid w:val="000831F2"/>
    <w:rsid w:val="00083268"/>
    <w:rsid w:val="00083CEA"/>
    <w:rsid w:val="0008479E"/>
    <w:rsid w:val="00084FE9"/>
    <w:rsid w:val="00085997"/>
    <w:rsid w:val="00085FDC"/>
    <w:rsid w:val="00086119"/>
    <w:rsid w:val="0008630E"/>
    <w:rsid w:val="0008694F"/>
    <w:rsid w:val="000869E6"/>
    <w:rsid w:val="00086C32"/>
    <w:rsid w:val="00086C92"/>
    <w:rsid w:val="00086E9F"/>
    <w:rsid w:val="000877D0"/>
    <w:rsid w:val="000910C3"/>
    <w:rsid w:val="00091551"/>
    <w:rsid w:val="00091EF1"/>
    <w:rsid w:val="00092BDF"/>
    <w:rsid w:val="00092C5F"/>
    <w:rsid w:val="000959C6"/>
    <w:rsid w:val="00096440"/>
    <w:rsid w:val="0009694E"/>
    <w:rsid w:val="000975CE"/>
    <w:rsid w:val="00097970"/>
    <w:rsid w:val="000A03C6"/>
    <w:rsid w:val="000A0A8B"/>
    <w:rsid w:val="000A1436"/>
    <w:rsid w:val="000A1526"/>
    <w:rsid w:val="000A1AC1"/>
    <w:rsid w:val="000A28D5"/>
    <w:rsid w:val="000A371F"/>
    <w:rsid w:val="000A39FF"/>
    <w:rsid w:val="000A57D8"/>
    <w:rsid w:val="000A5DEC"/>
    <w:rsid w:val="000A71FC"/>
    <w:rsid w:val="000A7D3B"/>
    <w:rsid w:val="000B02DF"/>
    <w:rsid w:val="000B0557"/>
    <w:rsid w:val="000B09EC"/>
    <w:rsid w:val="000B0AAB"/>
    <w:rsid w:val="000B1A52"/>
    <w:rsid w:val="000B26D7"/>
    <w:rsid w:val="000B2B6C"/>
    <w:rsid w:val="000B38FD"/>
    <w:rsid w:val="000B3D11"/>
    <w:rsid w:val="000B4AF8"/>
    <w:rsid w:val="000B4B31"/>
    <w:rsid w:val="000B647C"/>
    <w:rsid w:val="000B6709"/>
    <w:rsid w:val="000B6DCA"/>
    <w:rsid w:val="000C016E"/>
    <w:rsid w:val="000C1D23"/>
    <w:rsid w:val="000C27BF"/>
    <w:rsid w:val="000C40B3"/>
    <w:rsid w:val="000C4285"/>
    <w:rsid w:val="000C4676"/>
    <w:rsid w:val="000C5075"/>
    <w:rsid w:val="000C50C2"/>
    <w:rsid w:val="000C5575"/>
    <w:rsid w:val="000C56D6"/>
    <w:rsid w:val="000C5884"/>
    <w:rsid w:val="000C5D87"/>
    <w:rsid w:val="000C637B"/>
    <w:rsid w:val="000C6DDF"/>
    <w:rsid w:val="000C7002"/>
    <w:rsid w:val="000D0092"/>
    <w:rsid w:val="000D1A6A"/>
    <w:rsid w:val="000D268E"/>
    <w:rsid w:val="000D288F"/>
    <w:rsid w:val="000D320D"/>
    <w:rsid w:val="000D3AA3"/>
    <w:rsid w:val="000D50B2"/>
    <w:rsid w:val="000D5791"/>
    <w:rsid w:val="000D5920"/>
    <w:rsid w:val="000D6B90"/>
    <w:rsid w:val="000D6EED"/>
    <w:rsid w:val="000D75AD"/>
    <w:rsid w:val="000E0419"/>
    <w:rsid w:val="000E06AA"/>
    <w:rsid w:val="000E0A85"/>
    <w:rsid w:val="000E0BAF"/>
    <w:rsid w:val="000E1963"/>
    <w:rsid w:val="000E1F3D"/>
    <w:rsid w:val="000E39E9"/>
    <w:rsid w:val="000E4334"/>
    <w:rsid w:val="000E4C07"/>
    <w:rsid w:val="000E56B1"/>
    <w:rsid w:val="000E63FB"/>
    <w:rsid w:val="000F0751"/>
    <w:rsid w:val="000F1DCA"/>
    <w:rsid w:val="000F1F78"/>
    <w:rsid w:val="000F3A87"/>
    <w:rsid w:val="000F3AA4"/>
    <w:rsid w:val="000F3E22"/>
    <w:rsid w:val="000F45C1"/>
    <w:rsid w:val="000F4B47"/>
    <w:rsid w:val="000F53A0"/>
    <w:rsid w:val="000F5899"/>
    <w:rsid w:val="000F66B3"/>
    <w:rsid w:val="000F6AB4"/>
    <w:rsid w:val="001005C6"/>
    <w:rsid w:val="00100607"/>
    <w:rsid w:val="00100F09"/>
    <w:rsid w:val="00101A76"/>
    <w:rsid w:val="00102707"/>
    <w:rsid w:val="00102CE8"/>
    <w:rsid w:val="00103009"/>
    <w:rsid w:val="001032BF"/>
    <w:rsid w:val="001043C7"/>
    <w:rsid w:val="0010656C"/>
    <w:rsid w:val="0010768A"/>
    <w:rsid w:val="00107C6A"/>
    <w:rsid w:val="00107EF2"/>
    <w:rsid w:val="00107FCC"/>
    <w:rsid w:val="001100A9"/>
    <w:rsid w:val="001103E1"/>
    <w:rsid w:val="001121DB"/>
    <w:rsid w:val="0011325F"/>
    <w:rsid w:val="001132BA"/>
    <w:rsid w:val="00113A6B"/>
    <w:rsid w:val="00116B75"/>
    <w:rsid w:val="00117AD0"/>
    <w:rsid w:val="001206C4"/>
    <w:rsid w:val="001210C4"/>
    <w:rsid w:val="001213A1"/>
    <w:rsid w:val="001216C1"/>
    <w:rsid w:val="00121866"/>
    <w:rsid w:val="00121CF9"/>
    <w:rsid w:val="0012263E"/>
    <w:rsid w:val="00123683"/>
    <w:rsid w:val="00123C9A"/>
    <w:rsid w:val="00124562"/>
    <w:rsid w:val="00124578"/>
    <w:rsid w:val="00124A26"/>
    <w:rsid w:val="00124E69"/>
    <w:rsid w:val="00125A79"/>
    <w:rsid w:val="00125E99"/>
    <w:rsid w:val="001263C3"/>
    <w:rsid w:val="001266D4"/>
    <w:rsid w:val="00130009"/>
    <w:rsid w:val="00130657"/>
    <w:rsid w:val="00130717"/>
    <w:rsid w:val="00130A45"/>
    <w:rsid w:val="00130D32"/>
    <w:rsid w:val="001310D6"/>
    <w:rsid w:val="00131504"/>
    <w:rsid w:val="00131A4E"/>
    <w:rsid w:val="00132EBC"/>
    <w:rsid w:val="001335F3"/>
    <w:rsid w:val="00133DD3"/>
    <w:rsid w:val="00133FFB"/>
    <w:rsid w:val="00134048"/>
    <w:rsid w:val="00134156"/>
    <w:rsid w:val="00134FD2"/>
    <w:rsid w:val="0013549A"/>
    <w:rsid w:val="00135A7C"/>
    <w:rsid w:val="001373A8"/>
    <w:rsid w:val="001374FF"/>
    <w:rsid w:val="0013761F"/>
    <w:rsid w:val="00137DB3"/>
    <w:rsid w:val="0014080E"/>
    <w:rsid w:val="00140B57"/>
    <w:rsid w:val="00143A05"/>
    <w:rsid w:val="00144FEF"/>
    <w:rsid w:val="001458CC"/>
    <w:rsid w:val="001465B9"/>
    <w:rsid w:val="00146C82"/>
    <w:rsid w:val="00146F43"/>
    <w:rsid w:val="00147A7B"/>
    <w:rsid w:val="00147BE5"/>
    <w:rsid w:val="00147DFA"/>
    <w:rsid w:val="00150E58"/>
    <w:rsid w:val="0015103F"/>
    <w:rsid w:val="00151BFB"/>
    <w:rsid w:val="001532EF"/>
    <w:rsid w:val="0015435D"/>
    <w:rsid w:val="00154427"/>
    <w:rsid w:val="0015519E"/>
    <w:rsid w:val="0015519F"/>
    <w:rsid w:val="001553AF"/>
    <w:rsid w:val="00157C97"/>
    <w:rsid w:val="0016253D"/>
    <w:rsid w:val="00164EA6"/>
    <w:rsid w:val="00165028"/>
    <w:rsid w:val="001653BB"/>
    <w:rsid w:val="00165623"/>
    <w:rsid w:val="00166146"/>
    <w:rsid w:val="00166A25"/>
    <w:rsid w:val="00166F97"/>
    <w:rsid w:val="00167578"/>
    <w:rsid w:val="00167EA5"/>
    <w:rsid w:val="001701EE"/>
    <w:rsid w:val="00170269"/>
    <w:rsid w:val="00170549"/>
    <w:rsid w:val="0017150F"/>
    <w:rsid w:val="00171605"/>
    <w:rsid w:val="00171BD8"/>
    <w:rsid w:val="00172295"/>
    <w:rsid w:val="00172B8A"/>
    <w:rsid w:val="00173002"/>
    <w:rsid w:val="00173E32"/>
    <w:rsid w:val="00173ECD"/>
    <w:rsid w:val="00173F21"/>
    <w:rsid w:val="001746D1"/>
    <w:rsid w:val="00174F43"/>
    <w:rsid w:val="0017590A"/>
    <w:rsid w:val="00175A91"/>
    <w:rsid w:val="00175FD3"/>
    <w:rsid w:val="0017612E"/>
    <w:rsid w:val="00176673"/>
    <w:rsid w:val="00180860"/>
    <w:rsid w:val="0018104A"/>
    <w:rsid w:val="00181227"/>
    <w:rsid w:val="0018126C"/>
    <w:rsid w:val="00181A78"/>
    <w:rsid w:val="00182036"/>
    <w:rsid w:val="00183C65"/>
    <w:rsid w:val="00184527"/>
    <w:rsid w:val="00185B13"/>
    <w:rsid w:val="001866CB"/>
    <w:rsid w:val="00186B13"/>
    <w:rsid w:val="00186C55"/>
    <w:rsid w:val="00186EE2"/>
    <w:rsid w:val="00187AB0"/>
    <w:rsid w:val="001916EB"/>
    <w:rsid w:val="00191C14"/>
    <w:rsid w:val="00191F97"/>
    <w:rsid w:val="0019428D"/>
    <w:rsid w:val="00194A88"/>
    <w:rsid w:val="001959E6"/>
    <w:rsid w:val="00195C21"/>
    <w:rsid w:val="00196D6D"/>
    <w:rsid w:val="0019795B"/>
    <w:rsid w:val="00197F29"/>
    <w:rsid w:val="001A0A19"/>
    <w:rsid w:val="001A1168"/>
    <w:rsid w:val="001A1C0C"/>
    <w:rsid w:val="001A2443"/>
    <w:rsid w:val="001A3E25"/>
    <w:rsid w:val="001A434C"/>
    <w:rsid w:val="001A48BC"/>
    <w:rsid w:val="001A525B"/>
    <w:rsid w:val="001A547E"/>
    <w:rsid w:val="001A54AC"/>
    <w:rsid w:val="001A5667"/>
    <w:rsid w:val="001A60FD"/>
    <w:rsid w:val="001A65EC"/>
    <w:rsid w:val="001A66A1"/>
    <w:rsid w:val="001A6B08"/>
    <w:rsid w:val="001A6B5E"/>
    <w:rsid w:val="001A7760"/>
    <w:rsid w:val="001A7FE9"/>
    <w:rsid w:val="001B1F38"/>
    <w:rsid w:val="001B243C"/>
    <w:rsid w:val="001B28A1"/>
    <w:rsid w:val="001B2E0C"/>
    <w:rsid w:val="001B3866"/>
    <w:rsid w:val="001B3D12"/>
    <w:rsid w:val="001B4422"/>
    <w:rsid w:val="001B5184"/>
    <w:rsid w:val="001B558D"/>
    <w:rsid w:val="001B66EA"/>
    <w:rsid w:val="001B7130"/>
    <w:rsid w:val="001B7EFF"/>
    <w:rsid w:val="001C279F"/>
    <w:rsid w:val="001C4062"/>
    <w:rsid w:val="001C57AE"/>
    <w:rsid w:val="001C5FF1"/>
    <w:rsid w:val="001C6855"/>
    <w:rsid w:val="001C6EC1"/>
    <w:rsid w:val="001C76AB"/>
    <w:rsid w:val="001D16A0"/>
    <w:rsid w:val="001D1762"/>
    <w:rsid w:val="001D19CA"/>
    <w:rsid w:val="001D210D"/>
    <w:rsid w:val="001D293A"/>
    <w:rsid w:val="001D348F"/>
    <w:rsid w:val="001D41E5"/>
    <w:rsid w:val="001D6924"/>
    <w:rsid w:val="001E0186"/>
    <w:rsid w:val="001E0584"/>
    <w:rsid w:val="001E060B"/>
    <w:rsid w:val="001E0775"/>
    <w:rsid w:val="001E0A58"/>
    <w:rsid w:val="001E13A6"/>
    <w:rsid w:val="001E1B2C"/>
    <w:rsid w:val="001E1D50"/>
    <w:rsid w:val="001E3BFF"/>
    <w:rsid w:val="001E4576"/>
    <w:rsid w:val="001E4A23"/>
    <w:rsid w:val="001E5447"/>
    <w:rsid w:val="001E6C0A"/>
    <w:rsid w:val="001E6F4D"/>
    <w:rsid w:val="001E7342"/>
    <w:rsid w:val="001E7468"/>
    <w:rsid w:val="001F0B74"/>
    <w:rsid w:val="001F0C5C"/>
    <w:rsid w:val="001F0F5F"/>
    <w:rsid w:val="001F136F"/>
    <w:rsid w:val="001F156C"/>
    <w:rsid w:val="001F20DE"/>
    <w:rsid w:val="001F3D5F"/>
    <w:rsid w:val="001F43BF"/>
    <w:rsid w:val="001F484C"/>
    <w:rsid w:val="001F61EE"/>
    <w:rsid w:val="001F74A3"/>
    <w:rsid w:val="001F7A43"/>
    <w:rsid w:val="001F7E66"/>
    <w:rsid w:val="002009D7"/>
    <w:rsid w:val="00200A07"/>
    <w:rsid w:val="00200C29"/>
    <w:rsid w:val="002027F4"/>
    <w:rsid w:val="00204770"/>
    <w:rsid w:val="00205BA1"/>
    <w:rsid w:val="002066A0"/>
    <w:rsid w:val="00206A16"/>
    <w:rsid w:val="00206A63"/>
    <w:rsid w:val="002079A1"/>
    <w:rsid w:val="00207B7F"/>
    <w:rsid w:val="00210907"/>
    <w:rsid w:val="002115FF"/>
    <w:rsid w:val="0021198A"/>
    <w:rsid w:val="002120F2"/>
    <w:rsid w:val="00212C0C"/>
    <w:rsid w:val="0021664D"/>
    <w:rsid w:val="0021707C"/>
    <w:rsid w:val="002170A1"/>
    <w:rsid w:val="00217401"/>
    <w:rsid w:val="00217567"/>
    <w:rsid w:val="002201B9"/>
    <w:rsid w:val="00220243"/>
    <w:rsid w:val="00221058"/>
    <w:rsid w:val="00221B91"/>
    <w:rsid w:val="00222416"/>
    <w:rsid w:val="00223B87"/>
    <w:rsid w:val="00224890"/>
    <w:rsid w:val="002255BF"/>
    <w:rsid w:val="002265C5"/>
    <w:rsid w:val="0022669C"/>
    <w:rsid w:val="0022684D"/>
    <w:rsid w:val="00230217"/>
    <w:rsid w:val="002308E2"/>
    <w:rsid w:val="0023102C"/>
    <w:rsid w:val="00231B88"/>
    <w:rsid w:val="00232D50"/>
    <w:rsid w:val="00232E79"/>
    <w:rsid w:val="002331A9"/>
    <w:rsid w:val="002331B1"/>
    <w:rsid w:val="002339D1"/>
    <w:rsid w:val="00234C21"/>
    <w:rsid w:val="00235EC7"/>
    <w:rsid w:val="00236A56"/>
    <w:rsid w:val="00236A8C"/>
    <w:rsid w:val="00237B63"/>
    <w:rsid w:val="00240620"/>
    <w:rsid w:val="0024063A"/>
    <w:rsid w:val="0024142E"/>
    <w:rsid w:val="00243F27"/>
    <w:rsid w:val="00243F71"/>
    <w:rsid w:val="00244967"/>
    <w:rsid w:val="00245E75"/>
    <w:rsid w:val="0024793E"/>
    <w:rsid w:val="00250E8B"/>
    <w:rsid w:val="00251682"/>
    <w:rsid w:val="00251CF6"/>
    <w:rsid w:val="00252E45"/>
    <w:rsid w:val="00252EB5"/>
    <w:rsid w:val="002537C7"/>
    <w:rsid w:val="00253EC2"/>
    <w:rsid w:val="00253ED5"/>
    <w:rsid w:val="00254D4D"/>
    <w:rsid w:val="002551A7"/>
    <w:rsid w:val="00255286"/>
    <w:rsid w:val="002557A4"/>
    <w:rsid w:val="0025591D"/>
    <w:rsid w:val="00261AF2"/>
    <w:rsid w:val="00262564"/>
    <w:rsid w:val="00262B6B"/>
    <w:rsid w:val="00264690"/>
    <w:rsid w:val="00266756"/>
    <w:rsid w:val="002669F6"/>
    <w:rsid w:val="00266F85"/>
    <w:rsid w:val="00270CB2"/>
    <w:rsid w:val="002722AF"/>
    <w:rsid w:val="002733BE"/>
    <w:rsid w:val="00273449"/>
    <w:rsid w:val="002751EB"/>
    <w:rsid w:val="00275862"/>
    <w:rsid w:val="00275A36"/>
    <w:rsid w:val="002764BB"/>
    <w:rsid w:val="002772F1"/>
    <w:rsid w:val="00280494"/>
    <w:rsid w:val="00280669"/>
    <w:rsid w:val="00280BAC"/>
    <w:rsid w:val="002811E1"/>
    <w:rsid w:val="00283075"/>
    <w:rsid w:val="00283603"/>
    <w:rsid w:val="00283E21"/>
    <w:rsid w:val="00283E77"/>
    <w:rsid w:val="002848D1"/>
    <w:rsid w:val="00284DB1"/>
    <w:rsid w:val="002860E8"/>
    <w:rsid w:val="00290F22"/>
    <w:rsid w:val="00293F19"/>
    <w:rsid w:val="00295077"/>
    <w:rsid w:val="002960FA"/>
    <w:rsid w:val="00296430"/>
    <w:rsid w:val="002968ED"/>
    <w:rsid w:val="00296A82"/>
    <w:rsid w:val="002972BC"/>
    <w:rsid w:val="002973B8"/>
    <w:rsid w:val="00297608"/>
    <w:rsid w:val="00297BD3"/>
    <w:rsid w:val="002A07B8"/>
    <w:rsid w:val="002A1998"/>
    <w:rsid w:val="002A2539"/>
    <w:rsid w:val="002A2ED9"/>
    <w:rsid w:val="002A304E"/>
    <w:rsid w:val="002A320A"/>
    <w:rsid w:val="002A3610"/>
    <w:rsid w:val="002A4176"/>
    <w:rsid w:val="002A45A1"/>
    <w:rsid w:val="002A4761"/>
    <w:rsid w:val="002A5D9A"/>
    <w:rsid w:val="002A5FE9"/>
    <w:rsid w:val="002A6F85"/>
    <w:rsid w:val="002A70C1"/>
    <w:rsid w:val="002A7EB8"/>
    <w:rsid w:val="002B1AA7"/>
    <w:rsid w:val="002B1C70"/>
    <w:rsid w:val="002B2047"/>
    <w:rsid w:val="002B2308"/>
    <w:rsid w:val="002B4F46"/>
    <w:rsid w:val="002B52DE"/>
    <w:rsid w:val="002B69E1"/>
    <w:rsid w:val="002B6DDF"/>
    <w:rsid w:val="002B7011"/>
    <w:rsid w:val="002C03DA"/>
    <w:rsid w:val="002C08D8"/>
    <w:rsid w:val="002C20AE"/>
    <w:rsid w:val="002C23BB"/>
    <w:rsid w:val="002C2C06"/>
    <w:rsid w:val="002C31FA"/>
    <w:rsid w:val="002C3E3B"/>
    <w:rsid w:val="002C4DCA"/>
    <w:rsid w:val="002C5150"/>
    <w:rsid w:val="002C5FB5"/>
    <w:rsid w:val="002C6AF3"/>
    <w:rsid w:val="002C754E"/>
    <w:rsid w:val="002C7B17"/>
    <w:rsid w:val="002D0686"/>
    <w:rsid w:val="002D06F3"/>
    <w:rsid w:val="002D18EE"/>
    <w:rsid w:val="002D239D"/>
    <w:rsid w:val="002D33CE"/>
    <w:rsid w:val="002D44DF"/>
    <w:rsid w:val="002D62AC"/>
    <w:rsid w:val="002D653C"/>
    <w:rsid w:val="002D6E49"/>
    <w:rsid w:val="002E124B"/>
    <w:rsid w:val="002E2E82"/>
    <w:rsid w:val="002E3AE4"/>
    <w:rsid w:val="002E4503"/>
    <w:rsid w:val="002E4B0C"/>
    <w:rsid w:val="002E4F3D"/>
    <w:rsid w:val="002E5211"/>
    <w:rsid w:val="002E53CA"/>
    <w:rsid w:val="002E5DFA"/>
    <w:rsid w:val="002E639E"/>
    <w:rsid w:val="002E6419"/>
    <w:rsid w:val="002E7A39"/>
    <w:rsid w:val="002E7E43"/>
    <w:rsid w:val="002E7EA0"/>
    <w:rsid w:val="002F06CF"/>
    <w:rsid w:val="002F190C"/>
    <w:rsid w:val="002F22FA"/>
    <w:rsid w:val="002F32A3"/>
    <w:rsid w:val="002F5061"/>
    <w:rsid w:val="002F686E"/>
    <w:rsid w:val="002F696F"/>
    <w:rsid w:val="00300B94"/>
    <w:rsid w:val="00300F23"/>
    <w:rsid w:val="0030188F"/>
    <w:rsid w:val="003028B3"/>
    <w:rsid w:val="0030346D"/>
    <w:rsid w:val="003039E3"/>
    <w:rsid w:val="00304DBB"/>
    <w:rsid w:val="00305339"/>
    <w:rsid w:val="00305467"/>
    <w:rsid w:val="00305751"/>
    <w:rsid w:val="003057D4"/>
    <w:rsid w:val="00305EB9"/>
    <w:rsid w:val="00305F75"/>
    <w:rsid w:val="00306641"/>
    <w:rsid w:val="00306DA5"/>
    <w:rsid w:val="00307079"/>
    <w:rsid w:val="003070BC"/>
    <w:rsid w:val="003079E3"/>
    <w:rsid w:val="003106BA"/>
    <w:rsid w:val="00310D0E"/>
    <w:rsid w:val="0031162C"/>
    <w:rsid w:val="00311D21"/>
    <w:rsid w:val="003125C3"/>
    <w:rsid w:val="0031286F"/>
    <w:rsid w:val="003134B0"/>
    <w:rsid w:val="00313B8C"/>
    <w:rsid w:val="00314070"/>
    <w:rsid w:val="0031533B"/>
    <w:rsid w:val="00315DFB"/>
    <w:rsid w:val="00315EEA"/>
    <w:rsid w:val="003169CB"/>
    <w:rsid w:val="0031726E"/>
    <w:rsid w:val="00317AD2"/>
    <w:rsid w:val="003207D9"/>
    <w:rsid w:val="00320AC9"/>
    <w:rsid w:val="00321470"/>
    <w:rsid w:val="0032153F"/>
    <w:rsid w:val="00321E54"/>
    <w:rsid w:val="00322502"/>
    <w:rsid w:val="00322C57"/>
    <w:rsid w:val="00323044"/>
    <w:rsid w:val="00323A68"/>
    <w:rsid w:val="00324A08"/>
    <w:rsid w:val="00324A13"/>
    <w:rsid w:val="003252FE"/>
    <w:rsid w:val="00325648"/>
    <w:rsid w:val="00325CEB"/>
    <w:rsid w:val="00327883"/>
    <w:rsid w:val="0033165E"/>
    <w:rsid w:val="00333C03"/>
    <w:rsid w:val="00333E00"/>
    <w:rsid w:val="00333FF9"/>
    <w:rsid w:val="0033520A"/>
    <w:rsid w:val="00335848"/>
    <w:rsid w:val="00335C74"/>
    <w:rsid w:val="003362FF"/>
    <w:rsid w:val="003366DB"/>
    <w:rsid w:val="00337181"/>
    <w:rsid w:val="00337217"/>
    <w:rsid w:val="003379FD"/>
    <w:rsid w:val="0034072C"/>
    <w:rsid w:val="00340F03"/>
    <w:rsid w:val="00341963"/>
    <w:rsid w:val="00341C52"/>
    <w:rsid w:val="00342057"/>
    <w:rsid w:val="00344309"/>
    <w:rsid w:val="00344670"/>
    <w:rsid w:val="003454DF"/>
    <w:rsid w:val="003457AC"/>
    <w:rsid w:val="0034595E"/>
    <w:rsid w:val="00345B99"/>
    <w:rsid w:val="00346379"/>
    <w:rsid w:val="00347193"/>
    <w:rsid w:val="00347416"/>
    <w:rsid w:val="0034787E"/>
    <w:rsid w:val="0034798D"/>
    <w:rsid w:val="00347F46"/>
    <w:rsid w:val="003517C7"/>
    <w:rsid w:val="00351CB9"/>
    <w:rsid w:val="00352884"/>
    <w:rsid w:val="00352C56"/>
    <w:rsid w:val="003533A8"/>
    <w:rsid w:val="003563CF"/>
    <w:rsid w:val="00356458"/>
    <w:rsid w:val="00360FB0"/>
    <w:rsid w:val="0036285B"/>
    <w:rsid w:val="00362C5F"/>
    <w:rsid w:val="00362E0E"/>
    <w:rsid w:val="00363F99"/>
    <w:rsid w:val="00364F81"/>
    <w:rsid w:val="003656FC"/>
    <w:rsid w:val="003658BD"/>
    <w:rsid w:val="003658EF"/>
    <w:rsid w:val="003658FE"/>
    <w:rsid w:val="0036656F"/>
    <w:rsid w:val="0036724A"/>
    <w:rsid w:val="00367B76"/>
    <w:rsid w:val="00367F14"/>
    <w:rsid w:val="00371098"/>
    <w:rsid w:val="003721EE"/>
    <w:rsid w:val="003722C7"/>
    <w:rsid w:val="0037280B"/>
    <w:rsid w:val="00372D89"/>
    <w:rsid w:val="00372F2E"/>
    <w:rsid w:val="003739AD"/>
    <w:rsid w:val="003740AC"/>
    <w:rsid w:val="00376029"/>
    <w:rsid w:val="00377768"/>
    <w:rsid w:val="00377F0C"/>
    <w:rsid w:val="00380853"/>
    <w:rsid w:val="00380FA9"/>
    <w:rsid w:val="0038117F"/>
    <w:rsid w:val="003811A3"/>
    <w:rsid w:val="00381262"/>
    <w:rsid w:val="00382FC4"/>
    <w:rsid w:val="003832EE"/>
    <w:rsid w:val="00384258"/>
    <w:rsid w:val="00385CF5"/>
    <w:rsid w:val="00385F3C"/>
    <w:rsid w:val="003860E6"/>
    <w:rsid w:val="00386269"/>
    <w:rsid w:val="00386305"/>
    <w:rsid w:val="00386494"/>
    <w:rsid w:val="00386BCF"/>
    <w:rsid w:val="00387FCD"/>
    <w:rsid w:val="003901B2"/>
    <w:rsid w:val="00390E75"/>
    <w:rsid w:val="00390F59"/>
    <w:rsid w:val="0039196C"/>
    <w:rsid w:val="00392918"/>
    <w:rsid w:val="00392990"/>
    <w:rsid w:val="00392BD5"/>
    <w:rsid w:val="00392D98"/>
    <w:rsid w:val="00392DE1"/>
    <w:rsid w:val="00392EEF"/>
    <w:rsid w:val="00394F0D"/>
    <w:rsid w:val="00396621"/>
    <w:rsid w:val="003966A2"/>
    <w:rsid w:val="00396F99"/>
    <w:rsid w:val="0039712A"/>
    <w:rsid w:val="00397A82"/>
    <w:rsid w:val="003A00B4"/>
    <w:rsid w:val="003A0609"/>
    <w:rsid w:val="003A14CD"/>
    <w:rsid w:val="003A36DD"/>
    <w:rsid w:val="003A44C7"/>
    <w:rsid w:val="003A57BB"/>
    <w:rsid w:val="003A59A6"/>
    <w:rsid w:val="003A696F"/>
    <w:rsid w:val="003A7456"/>
    <w:rsid w:val="003A761C"/>
    <w:rsid w:val="003A7F96"/>
    <w:rsid w:val="003B0E78"/>
    <w:rsid w:val="003B10E0"/>
    <w:rsid w:val="003B2E80"/>
    <w:rsid w:val="003B2E98"/>
    <w:rsid w:val="003B359E"/>
    <w:rsid w:val="003B4722"/>
    <w:rsid w:val="003B5CCB"/>
    <w:rsid w:val="003B665E"/>
    <w:rsid w:val="003B70CB"/>
    <w:rsid w:val="003C04BD"/>
    <w:rsid w:val="003C07DB"/>
    <w:rsid w:val="003C09D8"/>
    <w:rsid w:val="003C0ED4"/>
    <w:rsid w:val="003C129B"/>
    <w:rsid w:val="003C13CE"/>
    <w:rsid w:val="003C2C39"/>
    <w:rsid w:val="003C2F0B"/>
    <w:rsid w:val="003C3903"/>
    <w:rsid w:val="003C46E3"/>
    <w:rsid w:val="003C4DE6"/>
    <w:rsid w:val="003C4EB4"/>
    <w:rsid w:val="003C5AE7"/>
    <w:rsid w:val="003C60D5"/>
    <w:rsid w:val="003C6382"/>
    <w:rsid w:val="003C6438"/>
    <w:rsid w:val="003C6794"/>
    <w:rsid w:val="003C75EC"/>
    <w:rsid w:val="003D110D"/>
    <w:rsid w:val="003D2C47"/>
    <w:rsid w:val="003D43A3"/>
    <w:rsid w:val="003D43D9"/>
    <w:rsid w:val="003D5987"/>
    <w:rsid w:val="003D6502"/>
    <w:rsid w:val="003D65F6"/>
    <w:rsid w:val="003D6646"/>
    <w:rsid w:val="003D6993"/>
    <w:rsid w:val="003D6B84"/>
    <w:rsid w:val="003D6F81"/>
    <w:rsid w:val="003D7628"/>
    <w:rsid w:val="003E02CF"/>
    <w:rsid w:val="003E1CAF"/>
    <w:rsid w:val="003E21A9"/>
    <w:rsid w:val="003E21CA"/>
    <w:rsid w:val="003E448A"/>
    <w:rsid w:val="003E5742"/>
    <w:rsid w:val="003E6097"/>
    <w:rsid w:val="003E7072"/>
    <w:rsid w:val="003F08CA"/>
    <w:rsid w:val="003F1001"/>
    <w:rsid w:val="003F260F"/>
    <w:rsid w:val="003F2925"/>
    <w:rsid w:val="003F3642"/>
    <w:rsid w:val="003F455B"/>
    <w:rsid w:val="003F45DC"/>
    <w:rsid w:val="003F4636"/>
    <w:rsid w:val="003F5606"/>
    <w:rsid w:val="003F6AB3"/>
    <w:rsid w:val="003F7374"/>
    <w:rsid w:val="00400229"/>
    <w:rsid w:val="00401BDC"/>
    <w:rsid w:val="00402773"/>
    <w:rsid w:val="00402D33"/>
    <w:rsid w:val="004037FD"/>
    <w:rsid w:val="00404672"/>
    <w:rsid w:val="00404BE5"/>
    <w:rsid w:val="00405A77"/>
    <w:rsid w:val="00405D91"/>
    <w:rsid w:val="0040613D"/>
    <w:rsid w:val="004061DB"/>
    <w:rsid w:val="004068B6"/>
    <w:rsid w:val="00407080"/>
    <w:rsid w:val="00407A71"/>
    <w:rsid w:val="00407D1E"/>
    <w:rsid w:val="00407D78"/>
    <w:rsid w:val="00407D97"/>
    <w:rsid w:val="0041004B"/>
    <w:rsid w:val="00410100"/>
    <w:rsid w:val="0041058A"/>
    <w:rsid w:val="00411160"/>
    <w:rsid w:val="00411850"/>
    <w:rsid w:val="00411ACC"/>
    <w:rsid w:val="0041211B"/>
    <w:rsid w:val="00412FD2"/>
    <w:rsid w:val="004146E3"/>
    <w:rsid w:val="004156FB"/>
    <w:rsid w:val="00415AEA"/>
    <w:rsid w:val="0041608B"/>
    <w:rsid w:val="004162B6"/>
    <w:rsid w:val="00416782"/>
    <w:rsid w:val="00416A57"/>
    <w:rsid w:val="004175EC"/>
    <w:rsid w:val="004178CC"/>
    <w:rsid w:val="00417EED"/>
    <w:rsid w:val="00420655"/>
    <w:rsid w:val="00420CE4"/>
    <w:rsid w:val="0042217A"/>
    <w:rsid w:val="00423464"/>
    <w:rsid w:val="00423773"/>
    <w:rsid w:val="00423BB9"/>
    <w:rsid w:val="0042496B"/>
    <w:rsid w:val="004253FE"/>
    <w:rsid w:val="00425CB2"/>
    <w:rsid w:val="00426563"/>
    <w:rsid w:val="00426F6B"/>
    <w:rsid w:val="0042750F"/>
    <w:rsid w:val="004304DC"/>
    <w:rsid w:val="00430717"/>
    <w:rsid w:val="00430BFB"/>
    <w:rsid w:val="0043250B"/>
    <w:rsid w:val="00432C9F"/>
    <w:rsid w:val="00433E69"/>
    <w:rsid w:val="00434E84"/>
    <w:rsid w:val="00436398"/>
    <w:rsid w:val="004369FD"/>
    <w:rsid w:val="004375E3"/>
    <w:rsid w:val="00437942"/>
    <w:rsid w:val="00437A21"/>
    <w:rsid w:val="00437E39"/>
    <w:rsid w:val="00437E52"/>
    <w:rsid w:val="00441647"/>
    <w:rsid w:val="00445680"/>
    <w:rsid w:val="00445BC8"/>
    <w:rsid w:val="00446499"/>
    <w:rsid w:val="0044666B"/>
    <w:rsid w:val="004476BC"/>
    <w:rsid w:val="0045004C"/>
    <w:rsid w:val="0045027A"/>
    <w:rsid w:val="004515AB"/>
    <w:rsid w:val="00451853"/>
    <w:rsid w:val="00451ACE"/>
    <w:rsid w:val="004532AD"/>
    <w:rsid w:val="004537AC"/>
    <w:rsid w:val="004539C7"/>
    <w:rsid w:val="00454EA0"/>
    <w:rsid w:val="004552F5"/>
    <w:rsid w:val="00455622"/>
    <w:rsid w:val="004576C9"/>
    <w:rsid w:val="00457D45"/>
    <w:rsid w:val="004601FC"/>
    <w:rsid w:val="004607DC"/>
    <w:rsid w:val="00460D2A"/>
    <w:rsid w:val="0046190E"/>
    <w:rsid w:val="00462EDB"/>
    <w:rsid w:val="00463FDC"/>
    <w:rsid w:val="00463FFD"/>
    <w:rsid w:val="004643DA"/>
    <w:rsid w:val="004649DE"/>
    <w:rsid w:val="00465BF1"/>
    <w:rsid w:val="004666BD"/>
    <w:rsid w:val="00466D86"/>
    <w:rsid w:val="00466D90"/>
    <w:rsid w:val="00467E26"/>
    <w:rsid w:val="00467F62"/>
    <w:rsid w:val="00470D88"/>
    <w:rsid w:val="00472B07"/>
    <w:rsid w:val="00472D37"/>
    <w:rsid w:val="0047321D"/>
    <w:rsid w:val="0047382E"/>
    <w:rsid w:val="00473C89"/>
    <w:rsid w:val="00474A2F"/>
    <w:rsid w:val="00476269"/>
    <w:rsid w:val="0047630A"/>
    <w:rsid w:val="00476349"/>
    <w:rsid w:val="004764DC"/>
    <w:rsid w:val="004765E3"/>
    <w:rsid w:val="0047661F"/>
    <w:rsid w:val="00476953"/>
    <w:rsid w:val="00477365"/>
    <w:rsid w:val="004808B0"/>
    <w:rsid w:val="004815CB"/>
    <w:rsid w:val="004822FE"/>
    <w:rsid w:val="0048256A"/>
    <w:rsid w:val="004825C7"/>
    <w:rsid w:val="00482758"/>
    <w:rsid w:val="004846E1"/>
    <w:rsid w:val="004859AB"/>
    <w:rsid w:val="00485DA6"/>
    <w:rsid w:val="00486E54"/>
    <w:rsid w:val="00487455"/>
    <w:rsid w:val="00487ADF"/>
    <w:rsid w:val="00487E69"/>
    <w:rsid w:val="004901F6"/>
    <w:rsid w:val="004902AA"/>
    <w:rsid w:val="0049066D"/>
    <w:rsid w:val="00490791"/>
    <w:rsid w:val="00490B56"/>
    <w:rsid w:val="00490BD3"/>
    <w:rsid w:val="004915F7"/>
    <w:rsid w:val="004917DE"/>
    <w:rsid w:val="0049195E"/>
    <w:rsid w:val="0049261C"/>
    <w:rsid w:val="004928FF"/>
    <w:rsid w:val="00492EA4"/>
    <w:rsid w:val="0049382A"/>
    <w:rsid w:val="00493966"/>
    <w:rsid w:val="00493FC6"/>
    <w:rsid w:val="00495425"/>
    <w:rsid w:val="00495A86"/>
    <w:rsid w:val="004960F1"/>
    <w:rsid w:val="0049633F"/>
    <w:rsid w:val="00497BC7"/>
    <w:rsid w:val="004A057C"/>
    <w:rsid w:val="004A0A31"/>
    <w:rsid w:val="004A1C2A"/>
    <w:rsid w:val="004A2624"/>
    <w:rsid w:val="004A2CF0"/>
    <w:rsid w:val="004A488C"/>
    <w:rsid w:val="004A60DD"/>
    <w:rsid w:val="004A64D5"/>
    <w:rsid w:val="004A66F3"/>
    <w:rsid w:val="004A6E78"/>
    <w:rsid w:val="004A7631"/>
    <w:rsid w:val="004A7D34"/>
    <w:rsid w:val="004B0BF0"/>
    <w:rsid w:val="004B14F6"/>
    <w:rsid w:val="004B24D7"/>
    <w:rsid w:val="004B2B30"/>
    <w:rsid w:val="004B2B33"/>
    <w:rsid w:val="004B2C35"/>
    <w:rsid w:val="004B39CF"/>
    <w:rsid w:val="004B3F9E"/>
    <w:rsid w:val="004B5E1D"/>
    <w:rsid w:val="004B60B4"/>
    <w:rsid w:val="004B614F"/>
    <w:rsid w:val="004B6839"/>
    <w:rsid w:val="004B74C7"/>
    <w:rsid w:val="004C0061"/>
    <w:rsid w:val="004C00EE"/>
    <w:rsid w:val="004C013E"/>
    <w:rsid w:val="004C0422"/>
    <w:rsid w:val="004C1264"/>
    <w:rsid w:val="004C2F5B"/>
    <w:rsid w:val="004C38A1"/>
    <w:rsid w:val="004C3B7C"/>
    <w:rsid w:val="004C5524"/>
    <w:rsid w:val="004C59A1"/>
    <w:rsid w:val="004C5EFA"/>
    <w:rsid w:val="004C5FD4"/>
    <w:rsid w:val="004C607D"/>
    <w:rsid w:val="004C63C3"/>
    <w:rsid w:val="004C685E"/>
    <w:rsid w:val="004C7298"/>
    <w:rsid w:val="004D0CD8"/>
    <w:rsid w:val="004D2790"/>
    <w:rsid w:val="004D36FB"/>
    <w:rsid w:val="004D375F"/>
    <w:rsid w:val="004D641C"/>
    <w:rsid w:val="004D750C"/>
    <w:rsid w:val="004E073B"/>
    <w:rsid w:val="004E0DD4"/>
    <w:rsid w:val="004E0FDE"/>
    <w:rsid w:val="004E27F9"/>
    <w:rsid w:val="004E310B"/>
    <w:rsid w:val="004E392D"/>
    <w:rsid w:val="004E420A"/>
    <w:rsid w:val="004E43A3"/>
    <w:rsid w:val="004E4855"/>
    <w:rsid w:val="004E48E3"/>
    <w:rsid w:val="004E545D"/>
    <w:rsid w:val="004E5A17"/>
    <w:rsid w:val="004E5BE3"/>
    <w:rsid w:val="004E5C23"/>
    <w:rsid w:val="004E71C4"/>
    <w:rsid w:val="004E7F11"/>
    <w:rsid w:val="004F0651"/>
    <w:rsid w:val="004F1FEF"/>
    <w:rsid w:val="004F3B4E"/>
    <w:rsid w:val="004F429E"/>
    <w:rsid w:val="004F5EB2"/>
    <w:rsid w:val="004F6EB7"/>
    <w:rsid w:val="004F7057"/>
    <w:rsid w:val="004F748C"/>
    <w:rsid w:val="004F78B0"/>
    <w:rsid w:val="004F7C0F"/>
    <w:rsid w:val="00501878"/>
    <w:rsid w:val="005020BF"/>
    <w:rsid w:val="005020DE"/>
    <w:rsid w:val="005029CC"/>
    <w:rsid w:val="0050300A"/>
    <w:rsid w:val="00503070"/>
    <w:rsid w:val="005030F9"/>
    <w:rsid w:val="005044BD"/>
    <w:rsid w:val="005066C2"/>
    <w:rsid w:val="005077E1"/>
    <w:rsid w:val="00510B26"/>
    <w:rsid w:val="00510DF7"/>
    <w:rsid w:val="005111E2"/>
    <w:rsid w:val="00511AAA"/>
    <w:rsid w:val="005136D3"/>
    <w:rsid w:val="00513BCE"/>
    <w:rsid w:val="00513D23"/>
    <w:rsid w:val="00513E33"/>
    <w:rsid w:val="00514351"/>
    <w:rsid w:val="00514E04"/>
    <w:rsid w:val="00514F87"/>
    <w:rsid w:val="0051531F"/>
    <w:rsid w:val="00516F4E"/>
    <w:rsid w:val="0052020F"/>
    <w:rsid w:val="00521C3B"/>
    <w:rsid w:val="00521DAC"/>
    <w:rsid w:val="00522FF5"/>
    <w:rsid w:val="00524785"/>
    <w:rsid w:val="00524CE2"/>
    <w:rsid w:val="0052537A"/>
    <w:rsid w:val="00525444"/>
    <w:rsid w:val="005257B6"/>
    <w:rsid w:val="00526AC2"/>
    <w:rsid w:val="00526D38"/>
    <w:rsid w:val="005274AE"/>
    <w:rsid w:val="00530EE4"/>
    <w:rsid w:val="00532474"/>
    <w:rsid w:val="00532D3B"/>
    <w:rsid w:val="005330D6"/>
    <w:rsid w:val="00533B1F"/>
    <w:rsid w:val="005345F2"/>
    <w:rsid w:val="00535FBE"/>
    <w:rsid w:val="0053667D"/>
    <w:rsid w:val="00536732"/>
    <w:rsid w:val="0053709B"/>
    <w:rsid w:val="00537438"/>
    <w:rsid w:val="005376A4"/>
    <w:rsid w:val="00537753"/>
    <w:rsid w:val="00537875"/>
    <w:rsid w:val="0054029E"/>
    <w:rsid w:val="005407F0"/>
    <w:rsid w:val="0054080E"/>
    <w:rsid w:val="00541407"/>
    <w:rsid w:val="005421E2"/>
    <w:rsid w:val="00542286"/>
    <w:rsid w:val="00542AC2"/>
    <w:rsid w:val="00543111"/>
    <w:rsid w:val="005438D6"/>
    <w:rsid w:val="00543D95"/>
    <w:rsid w:val="00546316"/>
    <w:rsid w:val="005465A6"/>
    <w:rsid w:val="0054676B"/>
    <w:rsid w:val="00546860"/>
    <w:rsid w:val="00546BD7"/>
    <w:rsid w:val="00547DCB"/>
    <w:rsid w:val="00547E42"/>
    <w:rsid w:val="00550140"/>
    <w:rsid w:val="005504A1"/>
    <w:rsid w:val="00550756"/>
    <w:rsid w:val="005514F6"/>
    <w:rsid w:val="005521E6"/>
    <w:rsid w:val="00553061"/>
    <w:rsid w:val="0055461A"/>
    <w:rsid w:val="00557F7F"/>
    <w:rsid w:val="005600ED"/>
    <w:rsid w:val="005607B7"/>
    <w:rsid w:val="00560871"/>
    <w:rsid w:val="00561D48"/>
    <w:rsid w:val="0056280A"/>
    <w:rsid w:val="0056281C"/>
    <w:rsid w:val="00562E3E"/>
    <w:rsid w:val="00562F2F"/>
    <w:rsid w:val="005635B1"/>
    <w:rsid w:val="00564AE8"/>
    <w:rsid w:val="00564E3A"/>
    <w:rsid w:val="005660D4"/>
    <w:rsid w:val="00566108"/>
    <w:rsid w:val="0056670E"/>
    <w:rsid w:val="0056704F"/>
    <w:rsid w:val="0056742B"/>
    <w:rsid w:val="00567CB0"/>
    <w:rsid w:val="005710BF"/>
    <w:rsid w:val="00571653"/>
    <w:rsid w:val="005720D4"/>
    <w:rsid w:val="00572132"/>
    <w:rsid w:val="0057290A"/>
    <w:rsid w:val="00573F01"/>
    <w:rsid w:val="0057469D"/>
    <w:rsid w:val="00575256"/>
    <w:rsid w:val="00575688"/>
    <w:rsid w:val="00575B07"/>
    <w:rsid w:val="00576DBF"/>
    <w:rsid w:val="00577296"/>
    <w:rsid w:val="00577BE9"/>
    <w:rsid w:val="00581237"/>
    <w:rsid w:val="00581642"/>
    <w:rsid w:val="00581C3C"/>
    <w:rsid w:val="00581D07"/>
    <w:rsid w:val="00582473"/>
    <w:rsid w:val="00582AD3"/>
    <w:rsid w:val="005831A9"/>
    <w:rsid w:val="00583639"/>
    <w:rsid w:val="00585038"/>
    <w:rsid w:val="005853C5"/>
    <w:rsid w:val="005863B3"/>
    <w:rsid w:val="00586B48"/>
    <w:rsid w:val="00586C8D"/>
    <w:rsid w:val="0058716B"/>
    <w:rsid w:val="00587276"/>
    <w:rsid w:val="00587537"/>
    <w:rsid w:val="005906A5"/>
    <w:rsid w:val="00590C9B"/>
    <w:rsid w:val="005915C4"/>
    <w:rsid w:val="00594D64"/>
    <w:rsid w:val="00595916"/>
    <w:rsid w:val="00596EAB"/>
    <w:rsid w:val="005973B7"/>
    <w:rsid w:val="00597471"/>
    <w:rsid w:val="00597EF8"/>
    <w:rsid w:val="005A1107"/>
    <w:rsid w:val="005A16B9"/>
    <w:rsid w:val="005A26F0"/>
    <w:rsid w:val="005A2FED"/>
    <w:rsid w:val="005A36FA"/>
    <w:rsid w:val="005A4720"/>
    <w:rsid w:val="005A4A2F"/>
    <w:rsid w:val="005B032D"/>
    <w:rsid w:val="005B0395"/>
    <w:rsid w:val="005B0A91"/>
    <w:rsid w:val="005B0EB4"/>
    <w:rsid w:val="005B1255"/>
    <w:rsid w:val="005B1431"/>
    <w:rsid w:val="005B25E9"/>
    <w:rsid w:val="005B2EB6"/>
    <w:rsid w:val="005B303C"/>
    <w:rsid w:val="005B37D8"/>
    <w:rsid w:val="005B37EC"/>
    <w:rsid w:val="005B3867"/>
    <w:rsid w:val="005B3905"/>
    <w:rsid w:val="005B3ED6"/>
    <w:rsid w:val="005B40D4"/>
    <w:rsid w:val="005B4527"/>
    <w:rsid w:val="005B48A8"/>
    <w:rsid w:val="005B4E48"/>
    <w:rsid w:val="005B5402"/>
    <w:rsid w:val="005B5961"/>
    <w:rsid w:val="005B5BE3"/>
    <w:rsid w:val="005B5F39"/>
    <w:rsid w:val="005B6624"/>
    <w:rsid w:val="005B6ACC"/>
    <w:rsid w:val="005B77E5"/>
    <w:rsid w:val="005C027E"/>
    <w:rsid w:val="005C0F7D"/>
    <w:rsid w:val="005C1D9E"/>
    <w:rsid w:val="005C200E"/>
    <w:rsid w:val="005C24A6"/>
    <w:rsid w:val="005C3834"/>
    <w:rsid w:val="005C4E2A"/>
    <w:rsid w:val="005C4F30"/>
    <w:rsid w:val="005C508E"/>
    <w:rsid w:val="005C5752"/>
    <w:rsid w:val="005C57DD"/>
    <w:rsid w:val="005C6B8E"/>
    <w:rsid w:val="005C6E1E"/>
    <w:rsid w:val="005D0154"/>
    <w:rsid w:val="005D0178"/>
    <w:rsid w:val="005D0A60"/>
    <w:rsid w:val="005D11E8"/>
    <w:rsid w:val="005D1AF8"/>
    <w:rsid w:val="005D2372"/>
    <w:rsid w:val="005D28F1"/>
    <w:rsid w:val="005D2BC5"/>
    <w:rsid w:val="005D3655"/>
    <w:rsid w:val="005D3ACD"/>
    <w:rsid w:val="005D3C74"/>
    <w:rsid w:val="005D469C"/>
    <w:rsid w:val="005D523B"/>
    <w:rsid w:val="005D673A"/>
    <w:rsid w:val="005D6BF7"/>
    <w:rsid w:val="005D6D99"/>
    <w:rsid w:val="005D721B"/>
    <w:rsid w:val="005D7395"/>
    <w:rsid w:val="005D7E73"/>
    <w:rsid w:val="005E00C9"/>
    <w:rsid w:val="005E0C7F"/>
    <w:rsid w:val="005E1006"/>
    <w:rsid w:val="005E1817"/>
    <w:rsid w:val="005E18C0"/>
    <w:rsid w:val="005E2EE9"/>
    <w:rsid w:val="005E6C6B"/>
    <w:rsid w:val="005E7786"/>
    <w:rsid w:val="005F02B1"/>
    <w:rsid w:val="005F0F38"/>
    <w:rsid w:val="005F14B8"/>
    <w:rsid w:val="005F1B96"/>
    <w:rsid w:val="005F39FC"/>
    <w:rsid w:val="005F56DE"/>
    <w:rsid w:val="005F5B57"/>
    <w:rsid w:val="005F5CE9"/>
    <w:rsid w:val="005F64DE"/>
    <w:rsid w:val="005F6DD7"/>
    <w:rsid w:val="005F6EB4"/>
    <w:rsid w:val="005F6F52"/>
    <w:rsid w:val="005F71BB"/>
    <w:rsid w:val="005F7598"/>
    <w:rsid w:val="006006C1"/>
    <w:rsid w:val="0060109E"/>
    <w:rsid w:val="00602272"/>
    <w:rsid w:val="00602C3D"/>
    <w:rsid w:val="00602E6A"/>
    <w:rsid w:val="00603C9E"/>
    <w:rsid w:val="00605335"/>
    <w:rsid w:val="00605B70"/>
    <w:rsid w:val="00607351"/>
    <w:rsid w:val="0060740C"/>
    <w:rsid w:val="00610554"/>
    <w:rsid w:val="0061079F"/>
    <w:rsid w:val="00611254"/>
    <w:rsid w:val="006113D5"/>
    <w:rsid w:val="00611E9E"/>
    <w:rsid w:val="00612095"/>
    <w:rsid w:val="0061367D"/>
    <w:rsid w:val="006138FC"/>
    <w:rsid w:val="0061424A"/>
    <w:rsid w:val="006146FF"/>
    <w:rsid w:val="00615B65"/>
    <w:rsid w:val="00616B8A"/>
    <w:rsid w:val="00616C9D"/>
    <w:rsid w:val="00616F02"/>
    <w:rsid w:val="00620471"/>
    <w:rsid w:val="006207D9"/>
    <w:rsid w:val="00620DEB"/>
    <w:rsid w:val="00623B6B"/>
    <w:rsid w:val="00625D38"/>
    <w:rsid w:val="006263C0"/>
    <w:rsid w:val="00626F9D"/>
    <w:rsid w:val="00630258"/>
    <w:rsid w:val="006308EC"/>
    <w:rsid w:val="00631AE2"/>
    <w:rsid w:val="00631D09"/>
    <w:rsid w:val="00632892"/>
    <w:rsid w:val="00632D87"/>
    <w:rsid w:val="00633E82"/>
    <w:rsid w:val="006341E4"/>
    <w:rsid w:val="00634455"/>
    <w:rsid w:val="0063545C"/>
    <w:rsid w:val="0063566B"/>
    <w:rsid w:val="00635A5D"/>
    <w:rsid w:val="00635C79"/>
    <w:rsid w:val="00635DB5"/>
    <w:rsid w:val="006363E5"/>
    <w:rsid w:val="006367D9"/>
    <w:rsid w:val="00636B6D"/>
    <w:rsid w:val="00637210"/>
    <w:rsid w:val="0064169E"/>
    <w:rsid w:val="006418D2"/>
    <w:rsid w:val="00642035"/>
    <w:rsid w:val="006422F0"/>
    <w:rsid w:val="00642325"/>
    <w:rsid w:val="00642773"/>
    <w:rsid w:val="00643015"/>
    <w:rsid w:val="00643D7A"/>
    <w:rsid w:val="0064569F"/>
    <w:rsid w:val="00645AEB"/>
    <w:rsid w:val="00645E79"/>
    <w:rsid w:val="0064621E"/>
    <w:rsid w:val="006462B8"/>
    <w:rsid w:val="00646790"/>
    <w:rsid w:val="006470B8"/>
    <w:rsid w:val="00647720"/>
    <w:rsid w:val="00647748"/>
    <w:rsid w:val="00652FFE"/>
    <w:rsid w:val="006538E8"/>
    <w:rsid w:val="00654526"/>
    <w:rsid w:val="0065475C"/>
    <w:rsid w:val="006547BB"/>
    <w:rsid w:val="00655259"/>
    <w:rsid w:val="00656AC3"/>
    <w:rsid w:val="00656B70"/>
    <w:rsid w:val="00656E95"/>
    <w:rsid w:val="00657396"/>
    <w:rsid w:val="00660A9E"/>
    <w:rsid w:val="00661CEB"/>
    <w:rsid w:val="00662187"/>
    <w:rsid w:val="00662879"/>
    <w:rsid w:val="00663FEB"/>
    <w:rsid w:val="00664347"/>
    <w:rsid w:val="00664705"/>
    <w:rsid w:val="006649D8"/>
    <w:rsid w:val="00664AF0"/>
    <w:rsid w:val="00665A9F"/>
    <w:rsid w:val="00665C7C"/>
    <w:rsid w:val="006667FD"/>
    <w:rsid w:val="00666C5A"/>
    <w:rsid w:val="006674DE"/>
    <w:rsid w:val="006701F5"/>
    <w:rsid w:val="006704BB"/>
    <w:rsid w:val="00670B20"/>
    <w:rsid w:val="006724E4"/>
    <w:rsid w:val="0067348A"/>
    <w:rsid w:val="0067373E"/>
    <w:rsid w:val="00673E02"/>
    <w:rsid w:val="006742B9"/>
    <w:rsid w:val="00675EAE"/>
    <w:rsid w:val="006764C7"/>
    <w:rsid w:val="00676BF8"/>
    <w:rsid w:val="006779FF"/>
    <w:rsid w:val="00677A65"/>
    <w:rsid w:val="006803BB"/>
    <w:rsid w:val="00680540"/>
    <w:rsid w:val="00680B12"/>
    <w:rsid w:val="00680F50"/>
    <w:rsid w:val="006824D8"/>
    <w:rsid w:val="00684CC8"/>
    <w:rsid w:val="0068553F"/>
    <w:rsid w:val="00686016"/>
    <w:rsid w:val="00686A4B"/>
    <w:rsid w:val="00686CE1"/>
    <w:rsid w:val="00686E75"/>
    <w:rsid w:val="00690611"/>
    <w:rsid w:val="00690D59"/>
    <w:rsid w:val="00691410"/>
    <w:rsid w:val="00692725"/>
    <w:rsid w:val="00692A2D"/>
    <w:rsid w:val="00692B9C"/>
    <w:rsid w:val="00694F0A"/>
    <w:rsid w:val="0069522C"/>
    <w:rsid w:val="006953DA"/>
    <w:rsid w:val="006977AB"/>
    <w:rsid w:val="006A0AC5"/>
    <w:rsid w:val="006A2319"/>
    <w:rsid w:val="006A2638"/>
    <w:rsid w:val="006A268A"/>
    <w:rsid w:val="006A2AB7"/>
    <w:rsid w:val="006A30E6"/>
    <w:rsid w:val="006A3AC3"/>
    <w:rsid w:val="006A5959"/>
    <w:rsid w:val="006A595C"/>
    <w:rsid w:val="006A63C5"/>
    <w:rsid w:val="006B0AAE"/>
    <w:rsid w:val="006B0EFD"/>
    <w:rsid w:val="006B12B4"/>
    <w:rsid w:val="006B418D"/>
    <w:rsid w:val="006B5B54"/>
    <w:rsid w:val="006B6C37"/>
    <w:rsid w:val="006B6C63"/>
    <w:rsid w:val="006B7305"/>
    <w:rsid w:val="006C0074"/>
    <w:rsid w:val="006C07EC"/>
    <w:rsid w:val="006C08F3"/>
    <w:rsid w:val="006C0992"/>
    <w:rsid w:val="006C0B55"/>
    <w:rsid w:val="006C0D1A"/>
    <w:rsid w:val="006C11D9"/>
    <w:rsid w:val="006C2B10"/>
    <w:rsid w:val="006C333C"/>
    <w:rsid w:val="006C356C"/>
    <w:rsid w:val="006C3743"/>
    <w:rsid w:val="006C43BF"/>
    <w:rsid w:val="006C466E"/>
    <w:rsid w:val="006C4A16"/>
    <w:rsid w:val="006C512F"/>
    <w:rsid w:val="006C54E6"/>
    <w:rsid w:val="006C5F85"/>
    <w:rsid w:val="006C63D5"/>
    <w:rsid w:val="006C7962"/>
    <w:rsid w:val="006C7C84"/>
    <w:rsid w:val="006D2090"/>
    <w:rsid w:val="006D20EA"/>
    <w:rsid w:val="006D2CBE"/>
    <w:rsid w:val="006D2ED4"/>
    <w:rsid w:val="006D3869"/>
    <w:rsid w:val="006D45CF"/>
    <w:rsid w:val="006D525A"/>
    <w:rsid w:val="006D534D"/>
    <w:rsid w:val="006D5425"/>
    <w:rsid w:val="006D5504"/>
    <w:rsid w:val="006D5D03"/>
    <w:rsid w:val="006D5EF8"/>
    <w:rsid w:val="006D61B1"/>
    <w:rsid w:val="006D6220"/>
    <w:rsid w:val="006D6AC3"/>
    <w:rsid w:val="006D6B18"/>
    <w:rsid w:val="006D77BB"/>
    <w:rsid w:val="006E11F5"/>
    <w:rsid w:val="006E128F"/>
    <w:rsid w:val="006E12F5"/>
    <w:rsid w:val="006E1438"/>
    <w:rsid w:val="006E2B25"/>
    <w:rsid w:val="006E2B55"/>
    <w:rsid w:val="006E2BB8"/>
    <w:rsid w:val="006E345A"/>
    <w:rsid w:val="006E4269"/>
    <w:rsid w:val="006E46A8"/>
    <w:rsid w:val="006E4C39"/>
    <w:rsid w:val="006E50FB"/>
    <w:rsid w:val="006E5718"/>
    <w:rsid w:val="006E5D3E"/>
    <w:rsid w:val="006E6509"/>
    <w:rsid w:val="006E6716"/>
    <w:rsid w:val="006E6AA1"/>
    <w:rsid w:val="006E7997"/>
    <w:rsid w:val="006E7C74"/>
    <w:rsid w:val="006E7FE7"/>
    <w:rsid w:val="006F0118"/>
    <w:rsid w:val="006F044C"/>
    <w:rsid w:val="006F06A6"/>
    <w:rsid w:val="006F2471"/>
    <w:rsid w:val="006F265B"/>
    <w:rsid w:val="006F2ADA"/>
    <w:rsid w:val="006F338A"/>
    <w:rsid w:val="006F35EA"/>
    <w:rsid w:val="006F3ADC"/>
    <w:rsid w:val="006F4054"/>
    <w:rsid w:val="006F4ABB"/>
    <w:rsid w:val="006F4DCB"/>
    <w:rsid w:val="006F5187"/>
    <w:rsid w:val="006F51C7"/>
    <w:rsid w:val="006F5FFD"/>
    <w:rsid w:val="006F6620"/>
    <w:rsid w:val="006F67CC"/>
    <w:rsid w:val="006F6DD7"/>
    <w:rsid w:val="006F7499"/>
    <w:rsid w:val="006F74F8"/>
    <w:rsid w:val="00700E84"/>
    <w:rsid w:val="00702503"/>
    <w:rsid w:val="00702FC0"/>
    <w:rsid w:val="00703177"/>
    <w:rsid w:val="00703B31"/>
    <w:rsid w:val="00703F27"/>
    <w:rsid w:val="0070561C"/>
    <w:rsid w:val="0070651F"/>
    <w:rsid w:val="00707DB4"/>
    <w:rsid w:val="0071044B"/>
    <w:rsid w:val="00710AD2"/>
    <w:rsid w:val="0071254A"/>
    <w:rsid w:val="00712F1B"/>
    <w:rsid w:val="00713016"/>
    <w:rsid w:val="0071326F"/>
    <w:rsid w:val="00714516"/>
    <w:rsid w:val="00714561"/>
    <w:rsid w:val="007157A7"/>
    <w:rsid w:val="00715F86"/>
    <w:rsid w:val="007170D2"/>
    <w:rsid w:val="00717A02"/>
    <w:rsid w:val="0072082C"/>
    <w:rsid w:val="00720DF3"/>
    <w:rsid w:val="00721386"/>
    <w:rsid w:val="0072160A"/>
    <w:rsid w:val="00721D7A"/>
    <w:rsid w:val="00723032"/>
    <w:rsid w:val="0072362D"/>
    <w:rsid w:val="0072582D"/>
    <w:rsid w:val="00727D81"/>
    <w:rsid w:val="0073034A"/>
    <w:rsid w:val="00730F23"/>
    <w:rsid w:val="00730F9A"/>
    <w:rsid w:val="00731AAE"/>
    <w:rsid w:val="00732171"/>
    <w:rsid w:val="00732328"/>
    <w:rsid w:val="0073242E"/>
    <w:rsid w:val="0073325E"/>
    <w:rsid w:val="00733837"/>
    <w:rsid w:val="00733A4F"/>
    <w:rsid w:val="007348DF"/>
    <w:rsid w:val="007376B9"/>
    <w:rsid w:val="0073770B"/>
    <w:rsid w:val="00740825"/>
    <w:rsid w:val="007408AE"/>
    <w:rsid w:val="007438B1"/>
    <w:rsid w:val="00744428"/>
    <w:rsid w:val="00744B7B"/>
    <w:rsid w:val="00744DAE"/>
    <w:rsid w:val="0074613C"/>
    <w:rsid w:val="00747745"/>
    <w:rsid w:val="00747912"/>
    <w:rsid w:val="00747942"/>
    <w:rsid w:val="00750C50"/>
    <w:rsid w:val="007515FE"/>
    <w:rsid w:val="007528E1"/>
    <w:rsid w:val="0075382E"/>
    <w:rsid w:val="00753FFD"/>
    <w:rsid w:val="00755B25"/>
    <w:rsid w:val="00756868"/>
    <w:rsid w:val="0076005B"/>
    <w:rsid w:val="007603CD"/>
    <w:rsid w:val="00760C47"/>
    <w:rsid w:val="00761FDF"/>
    <w:rsid w:val="007626B9"/>
    <w:rsid w:val="00762A93"/>
    <w:rsid w:val="00762AE8"/>
    <w:rsid w:val="007634DE"/>
    <w:rsid w:val="0076393E"/>
    <w:rsid w:val="007639DA"/>
    <w:rsid w:val="00763BEE"/>
    <w:rsid w:val="007642F8"/>
    <w:rsid w:val="00764BA5"/>
    <w:rsid w:val="00765B71"/>
    <w:rsid w:val="00765BC1"/>
    <w:rsid w:val="007664A0"/>
    <w:rsid w:val="00770C82"/>
    <w:rsid w:val="00771321"/>
    <w:rsid w:val="007718BF"/>
    <w:rsid w:val="007719E3"/>
    <w:rsid w:val="00771E07"/>
    <w:rsid w:val="00772103"/>
    <w:rsid w:val="00772E92"/>
    <w:rsid w:val="00773022"/>
    <w:rsid w:val="00773D2D"/>
    <w:rsid w:val="0077426D"/>
    <w:rsid w:val="00774DC4"/>
    <w:rsid w:val="00776072"/>
    <w:rsid w:val="00776B85"/>
    <w:rsid w:val="0077752F"/>
    <w:rsid w:val="0077767D"/>
    <w:rsid w:val="00781C3B"/>
    <w:rsid w:val="007838C4"/>
    <w:rsid w:val="007841E4"/>
    <w:rsid w:val="00784797"/>
    <w:rsid w:val="007847C7"/>
    <w:rsid w:val="00785808"/>
    <w:rsid w:val="00785BA7"/>
    <w:rsid w:val="00786502"/>
    <w:rsid w:val="00786811"/>
    <w:rsid w:val="00787841"/>
    <w:rsid w:val="00787AF9"/>
    <w:rsid w:val="00790988"/>
    <w:rsid w:val="00790AFC"/>
    <w:rsid w:val="00790ED2"/>
    <w:rsid w:val="0079170A"/>
    <w:rsid w:val="00791FC7"/>
    <w:rsid w:val="007923C9"/>
    <w:rsid w:val="00792E7A"/>
    <w:rsid w:val="00792F8F"/>
    <w:rsid w:val="007944CB"/>
    <w:rsid w:val="00795F1A"/>
    <w:rsid w:val="00796C8C"/>
    <w:rsid w:val="007A001E"/>
    <w:rsid w:val="007A082E"/>
    <w:rsid w:val="007A1033"/>
    <w:rsid w:val="007A1130"/>
    <w:rsid w:val="007A1E3E"/>
    <w:rsid w:val="007A1E93"/>
    <w:rsid w:val="007A2C2D"/>
    <w:rsid w:val="007A2E75"/>
    <w:rsid w:val="007A36A4"/>
    <w:rsid w:val="007A3DAF"/>
    <w:rsid w:val="007A40AA"/>
    <w:rsid w:val="007A51D8"/>
    <w:rsid w:val="007A520E"/>
    <w:rsid w:val="007A5DE2"/>
    <w:rsid w:val="007A5FF7"/>
    <w:rsid w:val="007A6C67"/>
    <w:rsid w:val="007A730B"/>
    <w:rsid w:val="007A73F7"/>
    <w:rsid w:val="007A751E"/>
    <w:rsid w:val="007A7EC3"/>
    <w:rsid w:val="007B04D9"/>
    <w:rsid w:val="007B071B"/>
    <w:rsid w:val="007B2F23"/>
    <w:rsid w:val="007B3FA3"/>
    <w:rsid w:val="007B4265"/>
    <w:rsid w:val="007B47C5"/>
    <w:rsid w:val="007B57C5"/>
    <w:rsid w:val="007B590A"/>
    <w:rsid w:val="007B65B4"/>
    <w:rsid w:val="007B739E"/>
    <w:rsid w:val="007B740C"/>
    <w:rsid w:val="007B76B8"/>
    <w:rsid w:val="007B7DB1"/>
    <w:rsid w:val="007C0FA4"/>
    <w:rsid w:val="007C17DC"/>
    <w:rsid w:val="007C1AA1"/>
    <w:rsid w:val="007C2331"/>
    <w:rsid w:val="007C275D"/>
    <w:rsid w:val="007C2A91"/>
    <w:rsid w:val="007C2DC5"/>
    <w:rsid w:val="007C3B9C"/>
    <w:rsid w:val="007C3C98"/>
    <w:rsid w:val="007C40C2"/>
    <w:rsid w:val="007C5AC9"/>
    <w:rsid w:val="007C68A2"/>
    <w:rsid w:val="007C7BA2"/>
    <w:rsid w:val="007C7C09"/>
    <w:rsid w:val="007D1454"/>
    <w:rsid w:val="007D1546"/>
    <w:rsid w:val="007D2BE1"/>
    <w:rsid w:val="007D30B2"/>
    <w:rsid w:val="007D3C20"/>
    <w:rsid w:val="007D4406"/>
    <w:rsid w:val="007D4F2A"/>
    <w:rsid w:val="007D79BC"/>
    <w:rsid w:val="007E024E"/>
    <w:rsid w:val="007E0430"/>
    <w:rsid w:val="007E0DB5"/>
    <w:rsid w:val="007E3D30"/>
    <w:rsid w:val="007E3DE4"/>
    <w:rsid w:val="007E407B"/>
    <w:rsid w:val="007E4E28"/>
    <w:rsid w:val="007E56E7"/>
    <w:rsid w:val="007E6458"/>
    <w:rsid w:val="007E6A57"/>
    <w:rsid w:val="007E7661"/>
    <w:rsid w:val="007E78E1"/>
    <w:rsid w:val="007F2E54"/>
    <w:rsid w:val="007F3432"/>
    <w:rsid w:val="007F406F"/>
    <w:rsid w:val="007F4BE0"/>
    <w:rsid w:val="007F55C8"/>
    <w:rsid w:val="00801EE5"/>
    <w:rsid w:val="0080239F"/>
    <w:rsid w:val="008023C7"/>
    <w:rsid w:val="0080289D"/>
    <w:rsid w:val="00803CCC"/>
    <w:rsid w:val="00803E86"/>
    <w:rsid w:val="008040B4"/>
    <w:rsid w:val="00804829"/>
    <w:rsid w:val="00805758"/>
    <w:rsid w:val="00812872"/>
    <w:rsid w:val="00812CC2"/>
    <w:rsid w:val="0081424D"/>
    <w:rsid w:val="00814D0F"/>
    <w:rsid w:val="008152E6"/>
    <w:rsid w:val="00817661"/>
    <w:rsid w:val="00820614"/>
    <w:rsid w:val="008227EE"/>
    <w:rsid w:val="00822FC6"/>
    <w:rsid w:val="00823494"/>
    <w:rsid w:val="0082407E"/>
    <w:rsid w:val="008245A4"/>
    <w:rsid w:val="00825141"/>
    <w:rsid w:val="00825DD5"/>
    <w:rsid w:val="00826232"/>
    <w:rsid w:val="00826E3A"/>
    <w:rsid w:val="008272B6"/>
    <w:rsid w:val="008274D5"/>
    <w:rsid w:val="00827D8E"/>
    <w:rsid w:val="0083131D"/>
    <w:rsid w:val="00831D10"/>
    <w:rsid w:val="0083377C"/>
    <w:rsid w:val="008339F8"/>
    <w:rsid w:val="00833C49"/>
    <w:rsid w:val="0083467C"/>
    <w:rsid w:val="00834CDB"/>
    <w:rsid w:val="008351BF"/>
    <w:rsid w:val="008356A3"/>
    <w:rsid w:val="00835AE7"/>
    <w:rsid w:val="008364A2"/>
    <w:rsid w:val="008368EF"/>
    <w:rsid w:val="0083735A"/>
    <w:rsid w:val="00837893"/>
    <w:rsid w:val="00840946"/>
    <w:rsid w:val="00840A50"/>
    <w:rsid w:val="00842904"/>
    <w:rsid w:val="00842A6B"/>
    <w:rsid w:val="00842AF5"/>
    <w:rsid w:val="0084324B"/>
    <w:rsid w:val="00843494"/>
    <w:rsid w:val="0084460E"/>
    <w:rsid w:val="0084479C"/>
    <w:rsid w:val="00844B6E"/>
    <w:rsid w:val="00844FF0"/>
    <w:rsid w:val="00845523"/>
    <w:rsid w:val="0084555E"/>
    <w:rsid w:val="0084726E"/>
    <w:rsid w:val="008473F6"/>
    <w:rsid w:val="00847B5F"/>
    <w:rsid w:val="00847E11"/>
    <w:rsid w:val="00850740"/>
    <w:rsid w:val="00850995"/>
    <w:rsid w:val="00851BE1"/>
    <w:rsid w:val="00852CA4"/>
    <w:rsid w:val="0085324C"/>
    <w:rsid w:val="008540C5"/>
    <w:rsid w:val="0085410F"/>
    <w:rsid w:val="00857188"/>
    <w:rsid w:val="008577A8"/>
    <w:rsid w:val="008606C0"/>
    <w:rsid w:val="00860968"/>
    <w:rsid w:val="00861C9D"/>
    <w:rsid w:val="00862290"/>
    <w:rsid w:val="00863CFE"/>
    <w:rsid w:val="008643D8"/>
    <w:rsid w:val="0086455B"/>
    <w:rsid w:val="0086468D"/>
    <w:rsid w:val="00864718"/>
    <w:rsid w:val="008649F4"/>
    <w:rsid w:val="00864A52"/>
    <w:rsid w:val="008663F1"/>
    <w:rsid w:val="00866719"/>
    <w:rsid w:val="00866CA8"/>
    <w:rsid w:val="00867658"/>
    <w:rsid w:val="00870003"/>
    <w:rsid w:val="00870B16"/>
    <w:rsid w:val="0087118A"/>
    <w:rsid w:val="00871BC8"/>
    <w:rsid w:val="00873371"/>
    <w:rsid w:val="00873A93"/>
    <w:rsid w:val="00873D19"/>
    <w:rsid w:val="00874999"/>
    <w:rsid w:val="00874D4A"/>
    <w:rsid w:val="00875560"/>
    <w:rsid w:val="0087595E"/>
    <w:rsid w:val="00875F83"/>
    <w:rsid w:val="00876374"/>
    <w:rsid w:val="00877A55"/>
    <w:rsid w:val="00877B00"/>
    <w:rsid w:val="008801AB"/>
    <w:rsid w:val="0088079D"/>
    <w:rsid w:val="00881DBA"/>
    <w:rsid w:val="008821D0"/>
    <w:rsid w:val="00882254"/>
    <w:rsid w:val="00883637"/>
    <w:rsid w:val="00883BBB"/>
    <w:rsid w:val="00884446"/>
    <w:rsid w:val="00887076"/>
    <w:rsid w:val="00887B46"/>
    <w:rsid w:val="008900B3"/>
    <w:rsid w:val="0089119E"/>
    <w:rsid w:val="00891B58"/>
    <w:rsid w:val="0089265C"/>
    <w:rsid w:val="00892FE2"/>
    <w:rsid w:val="0089303D"/>
    <w:rsid w:val="008940C5"/>
    <w:rsid w:val="00894AB8"/>
    <w:rsid w:val="00895FB2"/>
    <w:rsid w:val="00895FBF"/>
    <w:rsid w:val="00896008"/>
    <w:rsid w:val="008965D5"/>
    <w:rsid w:val="008968F2"/>
    <w:rsid w:val="00896965"/>
    <w:rsid w:val="00897603"/>
    <w:rsid w:val="008A03B3"/>
    <w:rsid w:val="008A1849"/>
    <w:rsid w:val="008A1DF3"/>
    <w:rsid w:val="008A2ADE"/>
    <w:rsid w:val="008A442B"/>
    <w:rsid w:val="008A4691"/>
    <w:rsid w:val="008A49AE"/>
    <w:rsid w:val="008A5648"/>
    <w:rsid w:val="008A56BB"/>
    <w:rsid w:val="008A5B36"/>
    <w:rsid w:val="008A6332"/>
    <w:rsid w:val="008A65B0"/>
    <w:rsid w:val="008A6AC8"/>
    <w:rsid w:val="008B0656"/>
    <w:rsid w:val="008B06B5"/>
    <w:rsid w:val="008B0B4A"/>
    <w:rsid w:val="008B0C4E"/>
    <w:rsid w:val="008B294E"/>
    <w:rsid w:val="008B29CF"/>
    <w:rsid w:val="008B3C1C"/>
    <w:rsid w:val="008B40BA"/>
    <w:rsid w:val="008B4888"/>
    <w:rsid w:val="008B56FB"/>
    <w:rsid w:val="008B5885"/>
    <w:rsid w:val="008B5E30"/>
    <w:rsid w:val="008B63A7"/>
    <w:rsid w:val="008B6A24"/>
    <w:rsid w:val="008B6F02"/>
    <w:rsid w:val="008B717D"/>
    <w:rsid w:val="008B7787"/>
    <w:rsid w:val="008C0146"/>
    <w:rsid w:val="008C02F5"/>
    <w:rsid w:val="008C1E8D"/>
    <w:rsid w:val="008C45F5"/>
    <w:rsid w:val="008C4E90"/>
    <w:rsid w:val="008C4ED7"/>
    <w:rsid w:val="008C73A2"/>
    <w:rsid w:val="008C7EED"/>
    <w:rsid w:val="008D0227"/>
    <w:rsid w:val="008D0572"/>
    <w:rsid w:val="008D078F"/>
    <w:rsid w:val="008D0E25"/>
    <w:rsid w:val="008D20A7"/>
    <w:rsid w:val="008D3CA5"/>
    <w:rsid w:val="008D44F9"/>
    <w:rsid w:val="008D46D8"/>
    <w:rsid w:val="008D495D"/>
    <w:rsid w:val="008D4C88"/>
    <w:rsid w:val="008D4D19"/>
    <w:rsid w:val="008D5384"/>
    <w:rsid w:val="008D5730"/>
    <w:rsid w:val="008D59B5"/>
    <w:rsid w:val="008D5CC3"/>
    <w:rsid w:val="008D5E7C"/>
    <w:rsid w:val="008E1BD6"/>
    <w:rsid w:val="008E24C6"/>
    <w:rsid w:val="008E4422"/>
    <w:rsid w:val="008E4D18"/>
    <w:rsid w:val="008E4D98"/>
    <w:rsid w:val="008E5019"/>
    <w:rsid w:val="008E618D"/>
    <w:rsid w:val="008E77C5"/>
    <w:rsid w:val="008F0965"/>
    <w:rsid w:val="008F0B4E"/>
    <w:rsid w:val="008F0D3E"/>
    <w:rsid w:val="008F0E25"/>
    <w:rsid w:val="008F393D"/>
    <w:rsid w:val="008F4184"/>
    <w:rsid w:val="008F54FA"/>
    <w:rsid w:val="008F5560"/>
    <w:rsid w:val="008F6429"/>
    <w:rsid w:val="00900309"/>
    <w:rsid w:val="00901C7A"/>
    <w:rsid w:val="0090271A"/>
    <w:rsid w:val="00902E4C"/>
    <w:rsid w:val="009031C4"/>
    <w:rsid w:val="00903BB7"/>
    <w:rsid w:val="009049C2"/>
    <w:rsid w:val="00905E0C"/>
    <w:rsid w:val="009066C4"/>
    <w:rsid w:val="00906EC0"/>
    <w:rsid w:val="009070FD"/>
    <w:rsid w:val="0090764A"/>
    <w:rsid w:val="00907A14"/>
    <w:rsid w:val="00907E1C"/>
    <w:rsid w:val="009103B8"/>
    <w:rsid w:val="009111A7"/>
    <w:rsid w:val="00911846"/>
    <w:rsid w:val="00912400"/>
    <w:rsid w:val="0091348D"/>
    <w:rsid w:val="009136E7"/>
    <w:rsid w:val="00916232"/>
    <w:rsid w:val="0091634F"/>
    <w:rsid w:val="009174B1"/>
    <w:rsid w:val="00917F5F"/>
    <w:rsid w:val="0092037F"/>
    <w:rsid w:val="00920EC6"/>
    <w:rsid w:val="00922154"/>
    <w:rsid w:val="00922CE4"/>
    <w:rsid w:val="00922EE3"/>
    <w:rsid w:val="00923B11"/>
    <w:rsid w:val="009242F6"/>
    <w:rsid w:val="009246E5"/>
    <w:rsid w:val="00925509"/>
    <w:rsid w:val="009256EA"/>
    <w:rsid w:val="00927049"/>
    <w:rsid w:val="00927717"/>
    <w:rsid w:val="009302B6"/>
    <w:rsid w:val="00930CDA"/>
    <w:rsid w:val="009319F2"/>
    <w:rsid w:val="00931C64"/>
    <w:rsid w:val="00933B6C"/>
    <w:rsid w:val="009352CD"/>
    <w:rsid w:val="00935FBA"/>
    <w:rsid w:val="00936414"/>
    <w:rsid w:val="009370A4"/>
    <w:rsid w:val="00937101"/>
    <w:rsid w:val="00937DAE"/>
    <w:rsid w:val="00940E73"/>
    <w:rsid w:val="009415DD"/>
    <w:rsid w:val="00942066"/>
    <w:rsid w:val="00942328"/>
    <w:rsid w:val="00942AB5"/>
    <w:rsid w:val="009434D0"/>
    <w:rsid w:val="00943781"/>
    <w:rsid w:val="00943842"/>
    <w:rsid w:val="00944D98"/>
    <w:rsid w:val="00945907"/>
    <w:rsid w:val="009464DD"/>
    <w:rsid w:val="00947623"/>
    <w:rsid w:val="00950156"/>
    <w:rsid w:val="009507B3"/>
    <w:rsid w:val="0095104E"/>
    <w:rsid w:val="00951DF4"/>
    <w:rsid w:val="00952D79"/>
    <w:rsid w:val="009537A9"/>
    <w:rsid w:val="009546B0"/>
    <w:rsid w:val="009546C5"/>
    <w:rsid w:val="009546CA"/>
    <w:rsid w:val="00955CE5"/>
    <w:rsid w:val="00956875"/>
    <w:rsid w:val="00956BD0"/>
    <w:rsid w:val="00960F67"/>
    <w:rsid w:val="00961103"/>
    <w:rsid w:val="00962994"/>
    <w:rsid w:val="00963312"/>
    <w:rsid w:val="00964382"/>
    <w:rsid w:val="009647FF"/>
    <w:rsid w:val="00964FED"/>
    <w:rsid w:val="00965316"/>
    <w:rsid w:val="00965C92"/>
    <w:rsid w:val="00966B0C"/>
    <w:rsid w:val="009670E5"/>
    <w:rsid w:val="00967C7F"/>
    <w:rsid w:val="00967EC1"/>
    <w:rsid w:val="00970979"/>
    <w:rsid w:val="009709A3"/>
    <w:rsid w:val="00970B6E"/>
    <w:rsid w:val="00970CF3"/>
    <w:rsid w:val="0097354D"/>
    <w:rsid w:val="0097458D"/>
    <w:rsid w:val="0097473B"/>
    <w:rsid w:val="0097497C"/>
    <w:rsid w:val="00974DBB"/>
    <w:rsid w:val="0097749E"/>
    <w:rsid w:val="009775A3"/>
    <w:rsid w:val="009803BD"/>
    <w:rsid w:val="009804AE"/>
    <w:rsid w:val="00981FAB"/>
    <w:rsid w:val="009827E4"/>
    <w:rsid w:val="00982DE8"/>
    <w:rsid w:val="00983141"/>
    <w:rsid w:val="0098418D"/>
    <w:rsid w:val="00984503"/>
    <w:rsid w:val="00984BFA"/>
    <w:rsid w:val="009873B6"/>
    <w:rsid w:val="009878C5"/>
    <w:rsid w:val="00990036"/>
    <w:rsid w:val="00990E17"/>
    <w:rsid w:val="0099173B"/>
    <w:rsid w:val="00991CB9"/>
    <w:rsid w:val="00992391"/>
    <w:rsid w:val="00992443"/>
    <w:rsid w:val="00992959"/>
    <w:rsid w:val="00992BA9"/>
    <w:rsid w:val="00992E66"/>
    <w:rsid w:val="009933D4"/>
    <w:rsid w:val="00993A73"/>
    <w:rsid w:val="009949C9"/>
    <w:rsid w:val="00995205"/>
    <w:rsid w:val="00995A58"/>
    <w:rsid w:val="00996F6C"/>
    <w:rsid w:val="009A0A61"/>
    <w:rsid w:val="009A0CC9"/>
    <w:rsid w:val="009A0CFF"/>
    <w:rsid w:val="009A0E8C"/>
    <w:rsid w:val="009A0F7F"/>
    <w:rsid w:val="009A11C2"/>
    <w:rsid w:val="009A1ED5"/>
    <w:rsid w:val="009A2007"/>
    <w:rsid w:val="009A23CF"/>
    <w:rsid w:val="009A2AB1"/>
    <w:rsid w:val="009A2E29"/>
    <w:rsid w:val="009A54CF"/>
    <w:rsid w:val="009A59A6"/>
    <w:rsid w:val="009A6225"/>
    <w:rsid w:val="009A6FEF"/>
    <w:rsid w:val="009A7810"/>
    <w:rsid w:val="009B0F90"/>
    <w:rsid w:val="009B1297"/>
    <w:rsid w:val="009B54F7"/>
    <w:rsid w:val="009B63B8"/>
    <w:rsid w:val="009B64E6"/>
    <w:rsid w:val="009B78D8"/>
    <w:rsid w:val="009C1211"/>
    <w:rsid w:val="009C19CA"/>
    <w:rsid w:val="009C212F"/>
    <w:rsid w:val="009C391B"/>
    <w:rsid w:val="009C497F"/>
    <w:rsid w:val="009C5C62"/>
    <w:rsid w:val="009C5D52"/>
    <w:rsid w:val="009C6404"/>
    <w:rsid w:val="009C64F9"/>
    <w:rsid w:val="009C7DF7"/>
    <w:rsid w:val="009D0161"/>
    <w:rsid w:val="009D04A6"/>
    <w:rsid w:val="009D096A"/>
    <w:rsid w:val="009D108E"/>
    <w:rsid w:val="009D1E7A"/>
    <w:rsid w:val="009D1FC7"/>
    <w:rsid w:val="009D2267"/>
    <w:rsid w:val="009D2A18"/>
    <w:rsid w:val="009D3145"/>
    <w:rsid w:val="009D35A4"/>
    <w:rsid w:val="009D3C45"/>
    <w:rsid w:val="009D3DF6"/>
    <w:rsid w:val="009D420A"/>
    <w:rsid w:val="009D432A"/>
    <w:rsid w:val="009D4542"/>
    <w:rsid w:val="009D54D0"/>
    <w:rsid w:val="009D683D"/>
    <w:rsid w:val="009D6DCB"/>
    <w:rsid w:val="009D76CD"/>
    <w:rsid w:val="009D7764"/>
    <w:rsid w:val="009E2590"/>
    <w:rsid w:val="009E2676"/>
    <w:rsid w:val="009E2FCC"/>
    <w:rsid w:val="009E43DF"/>
    <w:rsid w:val="009E5782"/>
    <w:rsid w:val="009E5868"/>
    <w:rsid w:val="009E5F77"/>
    <w:rsid w:val="009E78C7"/>
    <w:rsid w:val="009F0236"/>
    <w:rsid w:val="009F056F"/>
    <w:rsid w:val="009F2101"/>
    <w:rsid w:val="009F26DC"/>
    <w:rsid w:val="009F2BF0"/>
    <w:rsid w:val="009F39CB"/>
    <w:rsid w:val="009F3ED5"/>
    <w:rsid w:val="009F4568"/>
    <w:rsid w:val="009F5BDA"/>
    <w:rsid w:val="009F6E62"/>
    <w:rsid w:val="009F73D0"/>
    <w:rsid w:val="009F7759"/>
    <w:rsid w:val="009F7B39"/>
    <w:rsid w:val="00A01174"/>
    <w:rsid w:val="00A01199"/>
    <w:rsid w:val="00A015D2"/>
    <w:rsid w:val="00A024D6"/>
    <w:rsid w:val="00A03B31"/>
    <w:rsid w:val="00A0415E"/>
    <w:rsid w:val="00A051FA"/>
    <w:rsid w:val="00A0544F"/>
    <w:rsid w:val="00A05907"/>
    <w:rsid w:val="00A05EDE"/>
    <w:rsid w:val="00A0614B"/>
    <w:rsid w:val="00A06453"/>
    <w:rsid w:val="00A064D4"/>
    <w:rsid w:val="00A06720"/>
    <w:rsid w:val="00A06B2E"/>
    <w:rsid w:val="00A06CC3"/>
    <w:rsid w:val="00A10AE5"/>
    <w:rsid w:val="00A11DFD"/>
    <w:rsid w:val="00A12448"/>
    <w:rsid w:val="00A127EB"/>
    <w:rsid w:val="00A12906"/>
    <w:rsid w:val="00A12E79"/>
    <w:rsid w:val="00A1377F"/>
    <w:rsid w:val="00A14272"/>
    <w:rsid w:val="00A1453F"/>
    <w:rsid w:val="00A14AD2"/>
    <w:rsid w:val="00A14C35"/>
    <w:rsid w:val="00A158B9"/>
    <w:rsid w:val="00A1615D"/>
    <w:rsid w:val="00A16D7E"/>
    <w:rsid w:val="00A16DCD"/>
    <w:rsid w:val="00A16DCE"/>
    <w:rsid w:val="00A16F30"/>
    <w:rsid w:val="00A175CD"/>
    <w:rsid w:val="00A20ABF"/>
    <w:rsid w:val="00A20B97"/>
    <w:rsid w:val="00A214D8"/>
    <w:rsid w:val="00A216F8"/>
    <w:rsid w:val="00A21D05"/>
    <w:rsid w:val="00A21D1E"/>
    <w:rsid w:val="00A226D1"/>
    <w:rsid w:val="00A226F2"/>
    <w:rsid w:val="00A2300B"/>
    <w:rsid w:val="00A24390"/>
    <w:rsid w:val="00A24BDC"/>
    <w:rsid w:val="00A25953"/>
    <w:rsid w:val="00A25F4F"/>
    <w:rsid w:val="00A26496"/>
    <w:rsid w:val="00A26815"/>
    <w:rsid w:val="00A268F9"/>
    <w:rsid w:val="00A26A82"/>
    <w:rsid w:val="00A26B82"/>
    <w:rsid w:val="00A27FC4"/>
    <w:rsid w:val="00A30B73"/>
    <w:rsid w:val="00A3143D"/>
    <w:rsid w:val="00A317BD"/>
    <w:rsid w:val="00A32F59"/>
    <w:rsid w:val="00A3311C"/>
    <w:rsid w:val="00A338CF"/>
    <w:rsid w:val="00A33C87"/>
    <w:rsid w:val="00A33D7B"/>
    <w:rsid w:val="00A33F02"/>
    <w:rsid w:val="00A33F76"/>
    <w:rsid w:val="00A35DD8"/>
    <w:rsid w:val="00A362D9"/>
    <w:rsid w:val="00A36B51"/>
    <w:rsid w:val="00A36DF1"/>
    <w:rsid w:val="00A37EAD"/>
    <w:rsid w:val="00A4025B"/>
    <w:rsid w:val="00A40320"/>
    <w:rsid w:val="00A40364"/>
    <w:rsid w:val="00A40824"/>
    <w:rsid w:val="00A40A55"/>
    <w:rsid w:val="00A40B6A"/>
    <w:rsid w:val="00A40EF7"/>
    <w:rsid w:val="00A41092"/>
    <w:rsid w:val="00A41367"/>
    <w:rsid w:val="00A41886"/>
    <w:rsid w:val="00A42CC9"/>
    <w:rsid w:val="00A43F1F"/>
    <w:rsid w:val="00A4407F"/>
    <w:rsid w:val="00A441EA"/>
    <w:rsid w:val="00A447D4"/>
    <w:rsid w:val="00A44D97"/>
    <w:rsid w:val="00A44F69"/>
    <w:rsid w:val="00A44FE9"/>
    <w:rsid w:val="00A45206"/>
    <w:rsid w:val="00A45431"/>
    <w:rsid w:val="00A4563D"/>
    <w:rsid w:val="00A45EE1"/>
    <w:rsid w:val="00A46242"/>
    <w:rsid w:val="00A47C80"/>
    <w:rsid w:val="00A47E9C"/>
    <w:rsid w:val="00A502FF"/>
    <w:rsid w:val="00A504A0"/>
    <w:rsid w:val="00A5184C"/>
    <w:rsid w:val="00A5315A"/>
    <w:rsid w:val="00A5403E"/>
    <w:rsid w:val="00A540A9"/>
    <w:rsid w:val="00A552A0"/>
    <w:rsid w:val="00A56566"/>
    <w:rsid w:val="00A60788"/>
    <w:rsid w:val="00A60D90"/>
    <w:rsid w:val="00A61051"/>
    <w:rsid w:val="00A61566"/>
    <w:rsid w:val="00A61B5F"/>
    <w:rsid w:val="00A637E4"/>
    <w:rsid w:val="00A63B0D"/>
    <w:rsid w:val="00A63BCA"/>
    <w:rsid w:val="00A65D70"/>
    <w:rsid w:val="00A665A6"/>
    <w:rsid w:val="00A67164"/>
    <w:rsid w:val="00A702AC"/>
    <w:rsid w:val="00A706A9"/>
    <w:rsid w:val="00A71031"/>
    <w:rsid w:val="00A7197C"/>
    <w:rsid w:val="00A72844"/>
    <w:rsid w:val="00A72FA2"/>
    <w:rsid w:val="00A7305B"/>
    <w:rsid w:val="00A75D8C"/>
    <w:rsid w:val="00A76218"/>
    <w:rsid w:val="00A7707D"/>
    <w:rsid w:val="00A7721B"/>
    <w:rsid w:val="00A774F1"/>
    <w:rsid w:val="00A800E4"/>
    <w:rsid w:val="00A806D9"/>
    <w:rsid w:val="00A80D66"/>
    <w:rsid w:val="00A80E34"/>
    <w:rsid w:val="00A8168B"/>
    <w:rsid w:val="00A8199D"/>
    <w:rsid w:val="00A82741"/>
    <w:rsid w:val="00A827FD"/>
    <w:rsid w:val="00A82DF0"/>
    <w:rsid w:val="00A830CA"/>
    <w:rsid w:val="00A83A3D"/>
    <w:rsid w:val="00A842C5"/>
    <w:rsid w:val="00A84A32"/>
    <w:rsid w:val="00A84CFE"/>
    <w:rsid w:val="00A84D32"/>
    <w:rsid w:val="00A851AF"/>
    <w:rsid w:val="00A85345"/>
    <w:rsid w:val="00A861FA"/>
    <w:rsid w:val="00A86583"/>
    <w:rsid w:val="00A869D2"/>
    <w:rsid w:val="00A9002E"/>
    <w:rsid w:val="00A9230B"/>
    <w:rsid w:val="00A9240B"/>
    <w:rsid w:val="00A9251A"/>
    <w:rsid w:val="00A92F15"/>
    <w:rsid w:val="00A93670"/>
    <w:rsid w:val="00A93A8A"/>
    <w:rsid w:val="00A943F0"/>
    <w:rsid w:val="00A967AC"/>
    <w:rsid w:val="00A97319"/>
    <w:rsid w:val="00A979C0"/>
    <w:rsid w:val="00A97C76"/>
    <w:rsid w:val="00A97D0C"/>
    <w:rsid w:val="00AA0878"/>
    <w:rsid w:val="00AA0D41"/>
    <w:rsid w:val="00AA0D8F"/>
    <w:rsid w:val="00AA0F01"/>
    <w:rsid w:val="00AA1596"/>
    <w:rsid w:val="00AA16A7"/>
    <w:rsid w:val="00AA23EE"/>
    <w:rsid w:val="00AA253E"/>
    <w:rsid w:val="00AA28DB"/>
    <w:rsid w:val="00AA3758"/>
    <w:rsid w:val="00AA4218"/>
    <w:rsid w:val="00AA49E7"/>
    <w:rsid w:val="00AA57EA"/>
    <w:rsid w:val="00AA5EE4"/>
    <w:rsid w:val="00AA6873"/>
    <w:rsid w:val="00AA75EF"/>
    <w:rsid w:val="00AA7FE8"/>
    <w:rsid w:val="00AB003B"/>
    <w:rsid w:val="00AB00C4"/>
    <w:rsid w:val="00AB06BF"/>
    <w:rsid w:val="00AB09B4"/>
    <w:rsid w:val="00AB289C"/>
    <w:rsid w:val="00AB3105"/>
    <w:rsid w:val="00AB38B0"/>
    <w:rsid w:val="00AB3B7B"/>
    <w:rsid w:val="00AB4FEF"/>
    <w:rsid w:val="00AB5C48"/>
    <w:rsid w:val="00AB65D5"/>
    <w:rsid w:val="00AB6DA2"/>
    <w:rsid w:val="00AB70C0"/>
    <w:rsid w:val="00AB70FF"/>
    <w:rsid w:val="00AB7D43"/>
    <w:rsid w:val="00AC0A0A"/>
    <w:rsid w:val="00AC0CB1"/>
    <w:rsid w:val="00AC0CFF"/>
    <w:rsid w:val="00AC12FF"/>
    <w:rsid w:val="00AC1783"/>
    <w:rsid w:val="00AC1D0F"/>
    <w:rsid w:val="00AC25C2"/>
    <w:rsid w:val="00AC3427"/>
    <w:rsid w:val="00AC4F3E"/>
    <w:rsid w:val="00AC665B"/>
    <w:rsid w:val="00AC6B3D"/>
    <w:rsid w:val="00AC701C"/>
    <w:rsid w:val="00AD0C00"/>
    <w:rsid w:val="00AD1006"/>
    <w:rsid w:val="00AD13CD"/>
    <w:rsid w:val="00AD19F6"/>
    <w:rsid w:val="00AD270B"/>
    <w:rsid w:val="00AD299E"/>
    <w:rsid w:val="00AD2BBA"/>
    <w:rsid w:val="00AD2CB4"/>
    <w:rsid w:val="00AD3332"/>
    <w:rsid w:val="00AD3743"/>
    <w:rsid w:val="00AD390F"/>
    <w:rsid w:val="00AD4694"/>
    <w:rsid w:val="00AD683A"/>
    <w:rsid w:val="00AD6D7D"/>
    <w:rsid w:val="00AD6DFE"/>
    <w:rsid w:val="00AD7F2A"/>
    <w:rsid w:val="00AE1182"/>
    <w:rsid w:val="00AE1A1F"/>
    <w:rsid w:val="00AE1B15"/>
    <w:rsid w:val="00AE1DF9"/>
    <w:rsid w:val="00AE207D"/>
    <w:rsid w:val="00AE257B"/>
    <w:rsid w:val="00AE269D"/>
    <w:rsid w:val="00AE2942"/>
    <w:rsid w:val="00AE34BA"/>
    <w:rsid w:val="00AE38DB"/>
    <w:rsid w:val="00AE39F9"/>
    <w:rsid w:val="00AE40AE"/>
    <w:rsid w:val="00AE4F2C"/>
    <w:rsid w:val="00AE51BC"/>
    <w:rsid w:val="00AE718E"/>
    <w:rsid w:val="00AE7262"/>
    <w:rsid w:val="00AE7857"/>
    <w:rsid w:val="00AF2296"/>
    <w:rsid w:val="00AF2352"/>
    <w:rsid w:val="00AF27E2"/>
    <w:rsid w:val="00AF3BDF"/>
    <w:rsid w:val="00AF4498"/>
    <w:rsid w:val="00AF4592"/>
    <w:rsid w:val="00AF477A"/>
    <w:rsid w:val="00AF5DE7"/>
    <w:rsid w:val="00AF60D0"/>
    <w:rsid w:val="00AF6360"/>
    <w:rsid w:val="00AF690F"/>
    <w:rsid w:val="00AF6B0C"/>
    <w:rsid w:val="00AF6C26"/>
    <w:rsid w:val="00AF7B73"/>
    <w:rsid w:val="00AF7DF9"/>
    <w:rsid w:val="00B00295"/>
    <w:rsid w:val="00B00778"/>
    <w:rsid w:val="00B00937"/>
    <w:rsid w:val="00B014C3"/>
    <w:rsid w:val="00B01774"/>
    <w:rsid w:val="00B02280"/>
    <w:rsid w:val="00B037C5"/>
    <w:rsid w:val="00B03D2C"/>
    <w:rsid w:val="00B04268"/>
    <w:rsid w:val="00B0436A"/>
    <w:rsid w:val="00B04509"/>
    <w:rsid w:val="00B048EA"/>
    <w:rsid w:val="00B05720"/>
    <w:rsid w:val="00B05918"/>
    <w:rsid w:val="00B05EE9"/>
    <w:rsid w:val="00B07458"/>
    <w:rsid w:val="00B0794F"/>
    <w:rsid w:val="00B12A3A"/>
    <w:rsid w:val="00B13892"/>
    <w:rsid w:val="00B13AFC"/>
    <w:rsid w:val="00B15799"/>
    <w:rsid w:val="00B17260"/>
    <w:rsid w:val="00B1795E"/>
    <w:rsid w:val="00B17A2F"/>
    <w:rsid w:val="00B17BDD"/>
    <w:rsid w:val="00B200B3"/>
    <w:rsid w:val="00B2034F"/>
    <w:rsid w:val="00B20DA9"/>
    <w:rsid w:val="00B212A6"/>
    <w:rsid w:val="00B21DEE"/>
    <w:rsid w:val="00B23489"/>
    <w:rsid w:val="00B23941"/>
    <w:rsid w:val="00B23BDF"/>
    <w:rsid w:val="00B23C58"/>
    <w:rsid w:val="00B23D63"/>
    <w:rsid w:val="00B240C8"/>
    <w:rsid w:val="00B24934"/>
    <w:rsid w:val="00B24E74"/>
    <w:rsid w:val="00B253EE"/>
    <w:rsid w:val="00B25A72"/>
    <w:rsid w:val="00B25B97"/>
    <w:rsid w:val="00B26034"/>
    <w:rsid w:val="00B2781C"/>
    <w:rsid w:val="00B278B9"/>
    <w:rsid w:val="00B3158C"/>
    <w:rsid w:val="00B32CBF"/>
    <w:rsid w:val="00B32F93"/>
    <w:rsid w:val="00B330F4"/>
    <w:rsid w:val="00B334D6"/>
    <w:rsid w:val="00B335DA"/>
    <w:rsid w:val="00B3564A"/>
    <w:rsid w:val="00B356CE"/>
    <w:rsid w:val="00B35FDF"/>
    <w:rsid w:val="00B36DFD"/>
    <w:rsid w:val="00B370EA"/>
    <w:rsid w:val="00B37ACB"/>
    <w:rsid w:val="00B40D6B"/>
    <w:rsid w:val="00B422A3"/>
    <w:rsid w:val="00B4406B"/>
    <w:rsid w:val="00B4408E"/>
    <w:rsid w:val="00B440CC"/>
    <w:rsid w:val="00B457E7"/>
    <w:rsid w:val="00B459C6"/>
    <w:rsid w:val="00B45FF2"/>
    <w:rsid w:val="00B46BD7"/>
    <w:rsid w:val="00B471DA"/>
    <w:rsid w:val="00B50464"/>
    <w:rsid w:val="00B5063E"/>
    <w:rsid w:val="00B51546"/>
    <w:rsid w:val="00B51D09"/>
    <w:rsid w:val="00B51F82"/>
    <w:rsid w:val="00B52361"/>
    <w:rsid w:val="00B53097"/>
    <w:rsid w:val="00B532F1"/>
    <w:rsid w:val="00B533F0"/>
    <w:rsid w:val="00B55342"/>
    <w:rsid w:val="00B56376"/>
    <w:rsid w:val="00B57221"/>
    <w:rsid w:val="00B57653"/>
    <w:rsid w:val="00B603CB"/>
    <w:rsid w:val="00B60B0B"/>
    <w:rsid w:val="00B60C14"/>
    <w:rsid w:val="00B60EF6"/>
    <w:rsid w:val="00B61062"/>
    <w:rsid w:val="00B61F13"/>
    <w:rsid w:val="00B61FEF"/>
    <w:rsid w:val="00B62226"/>
    <w:rsid w:val="00B62350"/>
    <w:rsid w:val="00B62FCD"/>
    <w:rsid w:val="00B633A4"/>
    <w:rsid w:val="00B6401D"/>
    <w:rsid w:val="00B64F9C"/>
    <w:rsid w:val="00B65228"/>
    <w:rsid w:val="00B66500"/>
    <w:rsid w:val="00B66A59"/>
    <w:rsid w:val="00B671CD"/>
    <w:rsid w:val="00B676A6"/>
    <w:rsid w:val="00B714E0"/>
    <w:rsid w:val="00B719AF"/>
    <w:rsid w:val="00B71C79"/>
    <w:rsid w:val="00B71F8E"/>
    <w:rsid w:val="00B728F7"/>
    <w:rsid w:val="00B72CE0"/>
    <w:rsid w:val="00B734C4"/>
    <w:rsid w:val="00B7406C"/>
    <w:rsid w:val="00B74E77"/>
    <w:rsid w:val="00B755AB"/>
    <w:rsid w:val="00B756E5"/>
    <w:rsid w:val="00B76022"/>
    <w:rsid w:val="00B76632"/>
    <w:rsid w:val="00B76962"/>
    <w:rsid w:val="00B76988"/>
    <w:rsid w:val="00B76F4A"/>
    <w:rsid w:val="00B77BA6"/>
    <w:rsid w:val="00B77E25"/>
    <w:rsid w:val="00B8017F"/>
    <w:rsid w:val="00B80354"/>
    <w:rsid w:val="00B805FA"/>
    <w:rsid w:val="00B814C6"/>
    <w:rsid w:val="00B8213C"/>
    <w:rsid w:val="00B823C4"/>
    <w:rsid w:val="00B825A8"/>
    <w:rsid w:val="00B82834"/>
    <w:rsid w:val="00B832C6"/>
    <w:rsid w:val="00B837A8"/>
    <w:rsid w:val="00B83A2B"/>
    <w:rsid w:val="00B840EB"/>
    <w:rsid w:val="00B84396"/>
    <w:rsid w:val="00B845EC"/>
    <w:rsid w:val="00B84C30"/>
    <w:rsid w:val="00B852B7"/>
    <w:rsid w:val="00B86052"/>
    <w:rsid w:val="00B864F4"/>
    <w:rsid w:val="00B8718E"/>
    <w:rsid w:val="00B874B2"/>
    <w:rsid w:val="00B87560"/>
    <w:rsid w:val="00B879E1"/>
    <w:rsid w:val="00B91828"/>
    <w:rsid w:val="00B9197B"/>
    <w:rsid w:val="00B91A36"/>
    <w:rsid w:val="00B91D53"/>
    <w:rsid w:val="00B927A3"/>
    <w:rsid w:val="00B93175"/>
    <w:rsid w:val="00B93476"/>
    <w:rsid w:val="00B93D9D"/>
    <w:rsid w:val="00B9442C"/>
    <w:rsid w:val="00B94554"/>
    <w:rsid w:val="00B9497A"/>
    <w:rsid w:val="00B95BAE"/>
    <w:rsid w:val="00B971F0"/>
    <w:rsid w:val="00BA0875"/>
    <w:rsid w:val="00BA1613"/>
    <w:rsid w:val="00BA2262"/>
    <w:rsid w:val="00BA2F86"/>
    <w:rsid w:val="00BA47F1"/>
    <w:rsid w:val="00BA527E"/>
    <w:rsid w:val="00BA59F9"/>
    <w:rsid w:val="00BA5E02"/>
    <w:rsid w:val="00BA5E84"/>
    <w:rsid w:val="00BA64D0"/>
    <w:rsid w:val="00BA7B05"/>
    <w:rsid w:val="00BB18AC"/>
    <w:rsid w:val="00BB1B32"/>
    <w:rsid w:val="00BB273E"/>
    <w:rsid w:val="00BB2830"/>
    <w:rsid w:val="00BB2B77"/>
    <w:rsid w:val="00BB2D27"/>
    <w:rsid w:val="00BB31A9"/>
    <w:rsid w:val="00BB41E7"/>
    <w:rsid w:val="00BB448B"/>
    <w:rsid w:val="00BB4D98"/>
    <w:rsid w:val="00BB6808"/>
    <w:rsid w:val="00BB6955"/>
    <w:rsid w:val="00BB6D04"/>
    <w:rsid w:val="00BC0874"/>
    <w:rsid w:val="00BC16C2"/>
    <w:rsid w:val="00BC2CAE"/>
    <w:rsid w:val="00BC309E"/>
    <w:rsid w:val="00BC3CDE"/>
    <w:rsid w:val="00BC3ED9"/>
    <w:rsid w:val="00BC5256"/>
    <w:rsid w:val="00BC52F6"/>
    <w:rsid w:val="00BC56D9"/>
    <w:rsid w:val="00BC65FE"/>
    <w:rsid w:val="00BD002E"/>
    <w:rsid w:val="00BD0128"/>
    <w:rsid w:val="00BD074D"/>
    <w:rsid w:val="00BD1D42"/>
    <w:rsid w:val="00BD1DEC"/>
    <w:rsid w:val="00BD26AD"/>
    <w:rsid w:val="00BD2DEA"/>
    <w:rsid w:val="00BD36DB"/>
    <w:rsid w:val="00BD3830"/>
    <w:rsid w:val="00BD3B2E"/>
    <w:rsid w:val="00BD3CFE"/>
    <w:rsid w:val="00BD48A4"/>
    <w:rsid w:val="00BD6EB4"/>
    <w:rsid w:val="00BD76DC"/>
    <w:rsid w:val="00BE02FE"/>
    <w:rsid w:val="00BE1852"/>
    <w:rsid w:val="00BE1D9F"/>
    <w:rsid w:val="00BE20C1"/>
    <w:rsid w:val="00BE2737"/>
    <w:rsid w:val="00BE2899"/>
    <w:rsid w:val="00BE2B0C"/>
    <w:rsid w:val="00BE34E9"/>
    <w:rsid w:val="00BE4691"/>
    <w:rsid w:val="00BE487E"/>
    <w:rsid w:val="00BE49BF"/>
    <w:rsid w:val="00BE5D86"/>
    <w:rsid w:val="00BE60E5"/>
    <w:rsid w:val="00BE688C"/>
    <w:rsid w:val="00BE6BC6"/>
    <w:rsid w:val="00BE71DC"/>
    <w:rsid w:val="00BE780B"/>
    <w:rsid w:val="00BE78F2"/>
    <w:rsid w:val="00BF0607"/>
    <w:rsid w:val="00BF0E89"/>
    <w:rsid w:val="00BF1A10"/>
    <w:rsid w:val="00BF23F3"/>
    <w:rsid w:val="00BF277F"/>
    <w:rsid w:val="00BF2782"/>
    <w:rsid w:val="00BF3076"/>
    <w:rsid w:val="00BF352F"/>
    <w:rsid w:val="00BF363D"/>
    <w:rsid w:val="00BF3E92"/>
    <w:rsid w:val="00BF5159"/>
    <w:rsid w:val="00BF5A8F"/>
    <w:rsid w:val="00BF5AF1"/>
    <w:rsid w:val="00BF5B8D"/>
    <w:rsid w:val="00BF7025"/>
    <w:rsid w:val="00BF7227"/>
    <w:rsid w:val="00BF75B6"/>
    <w:rsid w:val="00BF78F8"/>
    <w:rsid w:val="00BF7939"/>
    <w:rsid w:val="00C00F25"/>
    <w:rsid w:val="00C01860"/>
    <w:rsid w:val="00C0200C"/>
    <w:rsid w:val="00C02C08"/>
    <w:rsid w:val="00C03243"/>
    <w:rsid w:val="00C03539"/>
    <w:rsid w:val="00C044AE"/>
    <w:rsid w:val="00C04510"/>
    <w:rsid w:val="00C05263"/>
    <w:rsid w:val="00C06AD0"/>
    <w:rsid w:val="00C06D53"/>
    <w:rsid w:val="00C11C30"/>
    <w:rsid w:val="00C1258F"/>
    <w:rsid w:val="00C12DA6"/>
    <w:rsid w:val="00C13F62"/>
    <w:rsid w:val="00C147F0"/>
    <w:rsid w:val="00C148CE"/>
    <w:rsid w:val="00C14D89"/>
    <w:rsid w:val="00C14E9B"/>
    <w:rsid w:val="00C15FBE"/>
    <w:rsid w:val="00C1648F"/>
    <w:rsid w:val="00C16D7A"/>
    <w:rsid w:val="00C1731F"/>
    <w:rsid w:val="00C20FE8"/>
    <w:rsid w:val="00C2110E"/>
    <w:rsid w:val="00C21B4A"/>
    <w:rsid w:val="00C22197"/>
    <w:rsid w:val="00C225F1"/>
    <w:rsid w:val="00C241FB"/>
    <w:rsid w:val="00C244F3"/>
    <w:rsid w:val="00C247A3"/>
    <w:rsid w:val="00C2492B"/>
    <w:rsid w:val="00C2596D"/>
    <w:rsid w:val="00C264B2"/>
    <w:rsid w:val="00C264DA"/>
    <w:rsid w:val="00C26616"/>
    <w:rsid w:val="00C275F8"/>
    <w:rsid w:val="00C3045E"/>
    <w:rsid w:val="00C30A0F"/>
    <w:rsid w:val="00C30B62"/>
    <w:rsid w:val="00C31001"/>
    <w:rsid w:val="00C3192E"/>
    <w:rsid w:val="00C323E3"/>
    <w:rsid w:val="00C32C88"/>
    <w:rsid w:val="00C32D80"/>
    <w:rsid w:val="00C36172"/>
    <w:rsid w:val="00C41948"/>
    <w:rsid w:val="00C428E7"/>
    <w:rsid w:val="00C42B0D"/>
    <w:rsid w:val="00C43C5A"/>
    <w:rsid w:val="00C449B6"/>
    <w:rsid w:val="00C44B28"/>
    <w:rsid w:val="00C44FE0"/>
    <w:rsid w:val="00C45655"/>
    <w:rsid w:val="00C45AE4"/>
    <w:rsid w:val="00C465A9"/>
    <w:rsid w:val="00C5062B"/>
    <w:rsid w:val="00C50DEF"/>
    <w:rsid w:val="00C50F93"/>
    <w:rsid w:val="00C5147C"/>
    <w:rsid w:val="00C51AD3"/>
    <w:rsid w:val="00C53CA9"/>
    <w:rsid w:val="00C53D01"/>
    <w:rsid w:val="00C5422E"/>
    <w:rsid w:val="00C55F07"/>
    <w:rsid w:val="00C5670B"/>
    <w:rsid w:val="00C56B47"/>
    <w:rsid w:val="00C56FFA"/>
    <w:rsid w:val="00C5757A"/>
    <w:rsid w:val="00C57790"/>
    <w:rsid w:val="00C60C23"/>
    <w:rsid w:val="00C60CD9"/>
    <w:rsid w:val="00C614D2"/>
    <w:rsid w:val="00C617EE"/>
    <w:rsid w:val="00C61BFC"/>
    <w:rsid w:val="00C61FD5"/>
    <w:rsid w:val="00C61FF5"/>
    <w:rsid w:val="00C6248C"/>
    <w:rsid w:val="00C62606"/>
    <w:rsid w:val="00C629D8"/>
    <w:rsid w:val="00C63277"/>
    <w:rsid w:val="00C64C27"/>
    <w:rsid w:val="00C6642C"/>
    <w:rsid w:val="00C67AB6"/>
    <w:rsid w:val="00C70805"/>
    <w:rsid w:val="00C7122C"/>
    <w:rsid w:val="00C7149E"/>
    <w:rsid w:val="00C71796"/>
    <w:rsid w:val="00C73442"/>
    <w:rsid w:val="00C734FA"/>
    <w:rsid w:val="00C73E57"/>
    <w:rsid w:val="00C75E0D"/>
    <w:rsid w:val="00C76069"/>
    <w:rsid w:val="00C7613D"/>
    <w:rsid w:val="00C77034"/>
    <w:rsid w:val="00C77273"/>
    <w:rsid w:val="00C77490"/>
    <w:rsid w:val="00C778AB"/>
    <w:rsid w:val="00C77E3D"/>
    <w:rsid w:val="00C81547"/>
    <w:rsid w:val="00C81A89"/>
    <w:rsid w:val="00C81E71"/>
    <w:rsid w:val="00C838D3"/>
    <w:rsid w:val="00C83FC6"/>
    <w:rsid w:val="00C84051"/>
    <w:rsid w:val="00C844F6"/>
    <w:rsid w:val="00C858EE"/>
    <w:rsid w:val="00C86041"/>
    <w:rsid w:val="00C860A5"/>
    <w:rsid w:val="00C861CC"/>
    <w:rsid w:val="00C863F3"/>
    <w:rsid w:val="00C87899"/>
    <w:rsid w:val="00C87ECE"/>
    <w:rsid w:val="00C90817"/>
    <w:rsid w:val="00C90CE5"/>
    <w:rsid w:val="00C90E52"/>
    <w:rsid w:val="00C90EB0"/>
    <w:rsid w:val="00C925FD"/>
    <w:rsid w:val="00C92CBE"/>
    <w:rsid w:val="00C92DCC"/>
    <w:rsid w:val="00C935DB"/>
    <w:rsid w:val="00C93F4F"/>
    <w:rsid w:val="00C9453F"/>
    <w:rsid w:val="00C949C2"/>
    <w:rsid w:val="00C95217"/>
    <w:rsid w:val="00C95301"/>
    <w:rsid w:val="00C95AC7"/>
    <w:rsid w:val="00C95C93"/>
    <w:rsid w:val="00C95CC7"/>
    <w:rsid w:val="00C96074"/>
    <w:rsid w:val="00C970D4"/>
    <w:rsid w:val="00C976FE"/>
    <w:rsid w:val="00CA0CFD"/>
    <w:rsid w:val="00CA135E"/>
    <w:rsid w:val="00CA1467"/>
    <w:rsid w:val="00CA1702"/>
    <w:rsid w:val="00CA2A91"/>
    <w:rsid w:val="00CA2C34"/>
    <w:rsid w:val="00CA36C9"/>
    <w:rsid w:val="00CA3802"/>
    <w:rsid w:val="00CA39B1"/>
    <w:rsid w:val="00CA3BFC"/>
    <w:rsid w:val="00CA3E34"/>
    <w:rsid w:val="00CA3ED5"/>
    <w:rsid w:val="00CA4634"/>
    <w:rsid w:val="00CA6FAF"/>
    <w:rsid w:val="00CA72CE"/>
    <w:rsid w:val="00CB0956"/>
    <w:rsid w:val="00CB0C2E"/>
    <w:rsid w:val="00CB1A12"/>
    <w:rsid w:val="00CB1B02"/>
    <w:rsid w:val="00CB219F"/>
    <w:rsid w:val="00CB237C"/>
    <w:rsid w:val="00CB2886"/>
    <w:rsid w:val="00CB2C9E"/>
    <w:rsid w:val="00CB3676"/>
    <w:rsid w:val="00CB3D43"/>
    <w:rsid w:val="00CB3FEF"/>
    <w:rsid w:val="00CB497A"/>
    <w:rsid w:val="00CB52B7"/>
    <w:rsid w:val="00CB59D0"/>
    <w:rsid w:val="00CB61B3"/>
    <w:rsid w:val="00CB6AE7"/>
    <w:rsid w:val="00CB7E1D"/>
    <w:rsid w:val="00CC04DF"/>
    <w:rsid w:val="00CC050D"/>
    <w:rsid w:val="00CC0CE4"/>
    <w:rsid w:val="00CC21F4"/>
    <w:rsid w:val="00CC266F"/>
    <w:rsid w:val="00CC366E"/>
    <w:rsid w:val="00CC37AD"/>
    <w:rsid w:val="00CC4768"/>
    <w:rsid w:val="00CC4BC5"/>
    <w:rsid w:val="00CC56AD"/>
    <w:rsid w:val="00CC5706"/>
    <w:rsid w:val="00CC5F2E"/>
    <w:rsid w:val="00CC7838"/>
    <w:rsid w:val="00CD00C0"/>
    <w:rsid w:val="00CD0452"/>
    <w:rsid w:val="00CD0FBE"/>
    <w:rsid w:val="00CD1D7E"/>
    <w:rsid w:val="00CD5039"/>
    <w:rsid w:val="00CD5944"/>
    <w:rsid w:val="00CD5B2C"/>
    <w:rsid w:val="00CD5DB7"/>
    <w:rsid w:val="00CD65A7"/>
    <w:rsid w:val="00CD669A"/>
    <w:rsid w:val="00CE0460"/>
    <w:rsid w:val="00CE2343"/>
    <w:rsid w:val="00CE2360"/>
    <w:rsid w:val="00CE471B"/>
    <w:rsid w:val="00CE5483"/>
    <w:rsid w:val="00CE5803"/>
    <w:rsid w:val="00CE6106"/>
    <w:rsid w:val="00CE612B"/>
    <w:rsid w:val="00CE6847"/>
    <w:rsid w:val="00CE6E4A"/>
    <w:rsid w:val="00CE72C0"/>
    <w:rsid w:val="00CE74DE"/>
    <w:rsid w:val="00CE74F6"/>
    <w:rsid w:val="00CE7D69"/>
    <w:rsid w:val="00CF0082"/>
    <w:rsid w:val="00CF0C25"/>
    <w:rsid w:val="00CF1014"/>
    <w:rsid w:val="00CF156C"/>
    <w:rsid w:val="00CF16FB"/>
    <w:rsid w:val="00CF191B"/>
    <w:rsid w:val="00CF1C68"/>
    <w:rsid w:val="00CF22DF"/>
    <w:rsid w:val="00CF376B"/>
    <w:rsid w:val="00CF420B"/>
    <w:rsid w:val="00CF4F44"/>
    <w:rsid w:val="00CF5886"/>
    <w:rsid w:val="00CF6220"/>
    <w:rsid w:val="00CF6D49"/>
    <w:rsid w:val="00CF78D9"/>
    <w:rsid w:val="00CF78F8"/>
    <w:rsid w:val="00D002EE"/>
    <w:rsid w:val="00D00846"/>
    <w:rsid w:val="00D01059"/>
    <w:rsid w:val="00D0117A"/>
    <w:rsid w:val="00D013C9"/>
    <w:rsid w:val="00D01A24"/>
    <w:rsid w:val="00D01ADD"/>
    <w:rsid w:val="00D03DD0"/>
    <w:rsid w:val="00D04AFC"/>
    <w:rsid w:val="00D070BC"/>
    <w:rsid w:val="00D070FF"/>
    <w:rsid w:val="00D07116"/>
    <w:rsid w:val="00D07300"/>
    <w:rsid w:val="00D11623"/>
    <w:rsid w:val="00D11EE1"/>
    <w:rsid w:val="00D12065"/>
    <w:rsid w:val="00D14CD1"/>
    <w:rsid w:val="00D15080"/>
    <w:rsid w:val="00D1589B"/>
    <w:rsid w:val="00D15F85"/>
    <w:rsid w:val="00D16A05"/>
    <w:rsid w:val="00D17374"/>
    <w:rsid w:val="00D200D6"/>
    <w:rsid w:val="00D20937"/>
    <w:rsid w:val="00D213B9"/>
    <w:rsid w:val="00D21B30"/>
    <w:rsid w:val="00D21E14"/>
    <w:rsid w:val="00D223A2"/>
    <w:rsid w:val="00D22595"/>
    <w:rsid w:val="00D2292E"/>
    <w:rsid w:val="00D22A30"/>
    <w:rsid w:val="00D2345A"/>
    <w:rsid w:val="00D236F7"/>
    <w:rsid w:val="00D23BB5"/>
    <w:rsid w:val="00D24075"/>
    <w:rsid w:val="00D24D7B"/>
    <w:rsid w:val="00D251C3"/>
    <w:rsid w:val="00D264C5"/>
    <w:rsid w:val="00D27DFF"/>
    <w:rsid w:val="00D30358"/>
    <w:rsid w:val="00D31614"/>
    <w:rsid w:val="00D33DA5"/>
    <w:rsid w:val="00D33DEE"/>
    <w:rsid w:val="00D340FA"/>
    <w:rsid w:val="00D34C47"/>
    <w:rsid w:val="00D35022"/>
    <w:rsid w:val="00D355D8"/>
    <w:rsid w:val="00D359FD"/>
    <w:rsid w:val="00D36961"/>
    <w:rsid w:val="00D3728C"/>
    <w:rsid w:val="00D3798A"/>
    <w:rsid w:val="00D402CA"/>
    <w:rsid w:val="00D40635"/>
    <w:rsid w:val="00D40E27"/>
    <w:rsid w:val="00D4168A"/>
    <w:rsid w:val="00D422C5"/>
    <w:rsid w:val="00D42CE0"/>
    <w:rsid w:val="00D43087"/>
    <w:rsid w:val="00D434B6"/>
    <w:rsid w:val="00D44051"/>
    <w:rsid w:val="00D446A0"/>
    <w:rsid w:val="00D44AE5"/>
    <w:rsid w:val="00D44B98"/>
    <w:rsid w:val="00D456EB"/>
    <w:rsid w:val="00D45FFF"/>
    <w:rsid w:val="00D46740"/>
    <w:rsid w:val="00D46EBD"/>
    <w:rsid w:val="00D502C4"/>
    <w:rsid w:val="00D50AA8"/>
    <w:rsid w:val="00D51B86"/>
    <w:rsid w:val="00D52414"/>
    <w:rsid w:val="00D526C1"/>
    <w:rsid w:val="00D52FAF"/>
    <w:rsid w:val="00D538DD"/>
    <w:rsid w:val="00D54C2F"/>
    <w:rsid w:val="00D55655"/>
    <w:rsid w:val="00D559D0"/>
    <w:rsid w:val="00D55B38"/>
    <w:rsid w:val="00D5630D"/>
    <w:rsid w:val="00D56760"/>
    <w:rsid w:val="00D56D11"/>
    <w:rsid w:val="00D57147"/>
    <w:rsid w:val="00D602E4"/>
    <w:rsid w:val="00D60463"/>
    <w:rsid w:val="00D61481"/>
    <w:rsid w:val="00D62196"/>
    <w:rsid w:val="00D62CD5"/>
    <w:rsid w:val="00D6389B"/>
    <w:rsid w:val="00D63924"/>
    <w:rsid w:val="00D644F4"/>
    <w:rsid w:val="00D65759"/>
    <w:rsid w:val="00D65B3B"/>
    <w:rsid w:val="00D679AB"/>
    <w:rsid w:val="00D701F6"/>
    <w:rsid w:val="00D70467"/>
    <w:rsid w:val="00D727B0"/>
    <w:rsid w:val="00D7345C"/>
    <w:rsid w:val="00D7425F"/>
    <w:rsid w:val="00D746AB"/>
    <w:rsid w:val="00D75D71"/>
    <w:rsid w:val="00D769C6"/>
    <w:rsid w:val="00D77883"/>
    <w:rsid w:val="00D80305"/>
    <w:rsid w:val="00D80E7B"/>
    <w:rsid w:val="00D81213"/>
    <w:rsid w:val="00D83DE5"/>
    <w:rsid w:val="00D8429C"/>
    <w:rsid w:val="00D844A7"/>
    <w:rsid w:val="00D8492A"/>
    <w:rsid w:val="00D84E11"/>
    <w:rsid w:val="00D84F18"/>
    <w:rsid w:val="00D856CD"/>
    <w:rsid w:val="00D86173"/>
    <w:rsid w:val="00D864AC"/>
    <w:rsid w:val="00D866C0"/>
    <w:rsid w:val="00D86BEF"/>
    <w:rsid w:val="00D86E2F"/>
    <w:rsid w:val="00D904F2"/>
    <w:rsid w:val="00D9051F"/>
    <w:rsid w:val="00D906E4"/>
    <w:rsid w:val="00D90C84"/>
    <w:rsid w:val="00D91B36"/>
    <w:rsid w:val="00D925ED"/>
    <w:rsid w:val="00D92716"/>
    <w:rsid w:val="00D9364F"/>
    <w:rsid w:val="00D93B13"/>
    <w:rsid w:val="00D94CDA"/>
    <w:rsid w:val="00D9548D"/>
    <w:rsid w:val="00D9555E"/>
    <w:rsid w:val="00D95DBD"/>
    <w:rsid w:val="00D96F75"/>
    <w:rsid w:val="00D976DA"/>
    <w:rsid w:val="00D97918"/>
    <w:rsid w:val="00D97B6E"/>
    <w:rsid w:val="00DA0176"/>
    <w:rsid w:val="00DA0A2C"/>
    <w:rsid w:val="00DA0F23"/>
    <w:rsid w:val="00DA0F2A"/>
    <w:rsid w:val="00DA133A"/>
    <w:rsid w:val="00DA1700"/>
    <w:rsid w:val="00DA174B"/>
    <w:rsid w:val="00DA49E5"/>
    <w:rsid w:val="00DA5074"/>
    <w:rsid w:val="00DA52A6"/>
    <w:rsid w:val="00DA5601"/>
    <w:rsid w:val="00DA633A"/>
    <w:rsid w:val="00DA6D9F"/>
    <w:rsid w:val="00DA6EB5"/>
    <w:rsid w:val="00DA72CF"/>
    <w:rsid w:val="00DA7435"/>
    <w:rsid w:val="00DA74BE"/>
    <w:rsid w:val="00DB0A30"/>
    <w:rsid w:val="00DB13A0"/>
    <w:rsid w:val="00DB179B"/>
    <w:rsid w:val="00DB1D95"/>
    <w:rsid w:val="00DB2023"/>
    <w:rsid w:val="00DB3370"/>
    <w:rsid w:val="00DB352A"/>
    <w:rsid w:val="00DB4800"/>
    <w:rsid w:val="00DB51C6"/>
    <w:rsid w:val="00DB554C"/>
    <w:rsid w:val="00DB663C"/>
    <w:rsid w:val="00DC0D7A"/>
    <w:rsid w:val="00DC15BB"/>
    <w:rsid w:val="00DC1782"/>
    <w:rsid w:val="00DC231C"/>
    <w:rsid w:val="00DC268E"/>
    <w:rsid w:val="00DC3735"/>
    <w:rsid w:val="00DC59CD"/>
    <w:rsid w:val="00DD0C4B"/>
    <w:rsid w:val="00DD0CC2"/>
    <w:rsid w:val="00DD0E90"/>
    <w:rsid w:val="00DD12F4"/>
    <w:rsid w:val="00DD1F74"/>
    <w:rsid w:val="00DD21E4"/>
    <w:rsid w:val="00DD23BD"/>
    <w:rsid w:val="00DD277F"/>
    <w:rsid w:val="00DD393D"/>
    <w:rsid w:val="00DD3EA4"/>
    <w:rsid w:val="00DD67EA"/>
    <w:rsid w:val="00DD7468"/>
    <w:rsid w:val="00DE0A9C"/>
    <w:rsid w:val="00DE0BEF"/>
    <w:rsid w:val="00DE0EF9"/>
    <w:rsid w:val="00DE1F61"/>
    <w:rsid w:val="00DE2133"/>
    <w:rsid w:val="00DE2821"/>
    <w:rsid w:val="00DE588A"/>
    <w:rsid w:val="00DE629C"/>
    <w:rsid w:val="00DE7D92"/>
    <w:rsid w:val="00DF1F28"/>
    <w:rsid w:val="00DF30F2"/>
    <w:rsid w:val="00DF31B3"/>
    <w:rsid w:val="00DF3CAD"/>
    <w:rsid w:val="00DF3D96"/>
    <w:rsid w:val="00DF3F75"/>
    <w:rsid w:val="00DF528D"/>
    <w:rsid w:val="00DF53A3"/>
    <w:rsid w:val="00DF6753"/>
    <w:rsid w:val="00E01513"/>
    <w:rsid w:val="00E01897"/>
    <w:rsid w:val="00E03486"/>
    <w:rsid w:val="00E045E9"/>
    <w:rsid w:val="00E04C2B"/>
    <w:rsid w:val="00E05112"/>
    <w:rsid w:val="00E05401"/>
    <w:rsid w:val="00E06AAB"/>
    <w:rsid w:val="00E06DBE"/>
    <w:rsid w:val="00E06E7E"/>
    <w:rsid w:val="00E10639"/>
    <w:rsid w:val="00E12940"/>
    <w:rsid w:val="00E12DFB"/>
    <w:rsid w:val="00E13B74"/>
    <w:rsid w:val="00E13B7B"/>
    <w:rsid w:val="00E15A70"/>
    <w:rsid w:val="00E1677A"/>
    <w:rsid w:val="00E178E5"/>
    <w:rsid w:val="00E17B88"/>
    <w:rsid w:val="00E216E1"/>
    <w:rsid w:val="00E21974"/>
    <w:rsid w:val="00E21AD6"/>
    <w:rsid w:val="00E231B7"/>
    <w:rsid w:val="00E247F0"/>
    <w:rsid w:val="00E24868"/>
    <w:rsid w:val="00E24BE1"/>
    <w:rsid w:val="00E24F8B"/>
    <w:rsid w:val="00E25132"/>
    <w:rsid w:val="00E25FED"/>
    <w:rsid w:val="00E2601A"/>
    <w:rsid w:val="00E265FC"/>
    <w:rsid w:val="00E3032D"/>
    <w:rsid w:val="00E30667"/>
    <w:rsid w:val="00E310F4"/>
    <w:rsid w:val="00E31196"/>
    <w:rsid w:val="00E31294"/>
    <w:rsid w:val="00E32700"/>
    <w:rsid w:val="00E3288A"/>
    <w:rsid w:val="00E32AAA"/>
    <w:rsid w:val="00E34AAB"/>
    <w:rsid w:val="00E35757"/>
    <w:rsid w:val="00E36A23"/>
    <w:rsid w:val="00E37121"/>
    <w:rsid w:val="00E37950"/>
    <w:rsid w:val="00E37EC8"/>
    <w:rsid w:val="00E37F8A"/>
    <w:rsid w:val="00E4111E"/>
    <w:rsid w:val="00E41A97"/>
    <w:rsid w:val="00E423B4"/>
    <w:rsid w:val="00E44821"/>
    <w:rsid w:val="00E464B8"/>
    <w:rsid w:val="00E467CB"/>
    <w:rsid w:val="00E47560"/>
    <w:rsid w:val="00E47CFB"/>
    <w:rsid w:val="00E516AA"/>
    <w:rsid w:val="00E51DA7"/>
    <w:rsid w:val="00E51F30"/>
    <w:rsid w:val="00E5201C"/>
    <w:rsid w:val="00E54C0F"/>
    <w:rsid w:val="00E55A1B"/>
    <w:rsid w:val="00E5672C"/>
    <w:rsid w:val="00E60D37"/>
    <w:rsid w:val="00E614F9"/>
    <w:rsid w:val="00E621AC"/>
    <w:rsid w:val="00E63549"/>
    <w:rsid w:val="00E63BAE"/>
    <w:rsid w:val="00E6440B"/>
    <w:rsid w:val="00E64457"/>
    <w:rsid w:val="00E64B77"/>
    <w:rsid w:val="00E64E97"/>
    <w:rsid w:val="00E651BE"/>
    <w:rsid w:val="00E66139"/>
    <w:rsid w:val="00E6698E"/>
    <w:rsid w:val="00E67A32"/>
    <w:rsid w:val="00E72337"/>
    <w:rsid w:val="00E727A5"/>
    <w:rsid w:val="00E730B7"/>
    <w:rsid w:val="00E739FF"/>
    <w:rsid w:val="00E742EC"/>
    <w:rsid w:val="00E74950"/>
    <w:rsid w:val="00E7575B"/>
    <w:rsid w:val="00E76CE0"/>
    <w:rsid w:val="00E81345"/>
    <w:rsid w:val="00E81C71"/>
    <w:rsid w:val="00E82DDA"/>
    <w:rsid w:val="00E832DB"/>
    <w:rsid w:val="00E842CE"/>
    <w:rsid w:val="00E8451A"/>
    <w:rsid w:val="00E84F8C"/>
    <w:rsid w:val="00E869C6"/>
    <w:rsid w:val="00E87139"/>
    <w:rsid w:val="00E87375"/>
    <w:rsid w:val="00E90C9B"/>
    <w:rsid w:val="00E91D4F"/>
    <w:rsid w:val="00E92C92"/>
    <w:rsid w:val="00E93B7B"/>
    <w:rsid w:val="00E93E15"/>
    <w:rsid w:val="00E94E55"/>
    <w:rsid w:val="00E95D2F"/>
    <w:rsid w:val="00E965C5"/>
    <w:rsid w:val="00E966BD"/>
    <w:rsid w:val="00E96C48"/>
    <w:rsid w:val="00E96F45"/>
    <w:rsid w:val="00E9716C"/>
    <w:rsid w:val="00E9748E"/>
    <w:rsid w:val="00E97557"/>
    <w:rsid w:val="00E977B7"/>
    <w:rsid w:val="00EA0A71"/>
    <w:rsid w:val="00EA0D96"/>
    <w:rsid w:val="00EA0FC8"/>
    <w:rsid w:val="00EA123D"/>
    <w:rsid w:val="00EA1814"/>
    <w:rsid w:val="00EA2245"/>
    <w:rsid w:val="00EA22DB"/>
    <w:rsid w:val="00EA26B2"/>
    <w:rsid w:val="00EA28A0"/>
    <w:rsid w:val="00EA2B3C"/>
    <w:rsid w:val="00EA3B7A"/>
    <w:rsid w:val="00EA4BFF"/>
    <w:rsid w:val="00EA5586"/>
    <w:rsid w:val="00EA7051"/>
    <w:rsid w:val="00EA747F"/>
    <w:rsid w:val="00EA7F84"/>
    <w:rsid w:val="00EB0559"/>
    <w:rsid w:val="00EB0D1F"/>
    <w:rsid w:val="00EB1933"/>
    <w:rsid w:val="00EB31BC"/>
    <w:rsid w:val="00EB4428"/>
    <w:rsid w:val="00EB60F6"/>
    <w:rsid w:val="00EB6F06"/>
    <w:rsid w:val="00EC2705"/>
    <w:rsid w:val="00EC465E"/>
    <w:rsid w:val="00EC5F12"/>
    <w:rsid w:val="00ED0727"/>
    <w:rsid w:val="00ED0BEB"/>
    <w:rsid w:val="00ED11C1"/>
    <w:rsid w:val="00ED24F3"/>
    <w:rsid w:val="00ED349F"/>
    <w:rsid w:val="00ED37DA"/>
    <w:rsid w:val="00ED4085"/>
    <w:rsid w:val="00ED4927"/>
    <w:rsid w:val="00ED4DB2"/>
    <w:rsid w:val="00ED54C2"/>
    <w:rsid w:val="00ED6070"/>
    <w:rsid w:val="00ED62F4"/>
    <w:rsid w:val="00ED7C81"/>
    <w:rsid w:val="00EE0223"/>
    <w:rsid w:val="00EE0468"/>
    <w:rsid w:val="00EE0A20"/>
    <w:rsid w:val="00EE1776"/>
    <w:rsid w:val="00EE1EF3"/>
    <w:rsid w:val="00EE2087"/>
    <w:rsid w:val="00EE28B3"/>
    <w:rsid w:val="00EE300C"/>
    <w:rsid w:val="00EE4DCA"/>
    <w:rsid w:val="00EE532C"/>
    <w:rsid w:val="00EE5CFA"/>
    <w:rsid w:val="00EE66FA"/>
    <w:rsid w:val="00EE7F8D"/>
    <w:rsid w:val="00EF11A8"/>
    <w:rsid w:val="00EF1274"/>
    <w:rsid w:val="00EF15EB"/>
    <w:rsid w:val="00EF1CD9"/>
    <w:rsid w:val="00EF2383"/>
    <w:rsid w:val="00EF2661"/>
    <w:rsid w:val="00EF3768"/>
    <w:rsid w:val="00EF3A0A"/>
    <w:rsid w:val="00EF3D00"/>
    <w:rsid w:val="00EF4BDE"/>
    <w:rsid w:val="00EF5571"/>
    <w:rsid w:val="00EF58CD"/>
    <w:rsid w:val="00EF6377"/>
    <w:rsid w:val="00EF6E98"/>
    <w:rsid w:val="00EF7326"/>
    <w:rsid w:val="00F0005B"/>
    <w:rsid w:val="00F004B0"/>
    <w:rsid w:val="00F015F8"/>
    <w:rsid w:val="00F02C74"/>
    <w:rsid w:val="00F031EF"/>
    <w:rsid w:val="00F03ADF"/>
    <w:rsid w:val="00F0443E"/>
    <w:rsid w:val="00F06534"/>
    <w:rsid w:val="00F06705"/>
    <w:rsid w:val="00F067EE"/>
    <w:rsid w:val="00F06C4D"/>
    <w:rsid w:val="00F07296"/>
    <w:rsid w:val="00F10623"/>
    <w:rsid w:val="00F1137D"/>
    <w:rsid w:val="00F11836"/>
    <w:rsid w:val="00F11B21"/>
    <w:rsid w:val="00F140ED"/>
    <w:rsid w:val="00F17A28"/>
    <w:rsid w:val="00F17AB0"/>
    <w:rsid w:val="00F20385"/>
    <w:rsid w:val="00F20F2D"/>
    <w:rsid w:val="00F231FC"/>
    <w:rsid w:val="00F235CF"/>
    <w:rsid w:val="00F23CEC"/>
    <w:rsid w:val="00F25071"/>
    <w:rsid w:val="00F253A9"/>
    <w:rsid w:val="00F25CDC"/>
    <w:rsid w:val="00F26EB3"/>
    <w:rsid w:val="00F26EE1"/>
    <w:rsid w:val="00F3055E"/>
    <w:rsid w:val="00F30ACC"/>
    <w:rsid w:val="00F32D55"/>
    <w:rsid w:val="00F3306D"/>
    <w:rsid w:val="00F33A13"/>
    <w:rsid w:val="00F33F71"/>
    <w:rsid w:val="00F341AC"/>
    <w:rsid w:val="00F34B39"/>
    <w:rsid w:val="00F35A89"/>
    <w:rsid w:val="00F35EE9"/>
    <w:rsid w:val="00F362CD"/>
    <w:rsid w:val="00F36546"/>
    <w:rsid w:val="00F3692E"/>
    <w:rsid w:val="00F36C35"/>
    <w:rsid w:val="00F3778C"/>
    <w:rsid w:val="00F40822"/>
    <w:rsid w:val="00F40DF6"/>
    <w:rsid w:val="00F413EF"/>
    <w:rsid w:val="00F4215C"/>
    <w:rsid w:val="00F42315"/>
    <w:rsid w:val="00F4317B"/>
    <w:rsid w:val="00F436AE"/>
    <w:rsid w:val="00F4487E"/>
    <w:rsid w:val="00F44A36"/>
    <w:rsid w:val="00F4538B"/>
    <w:rsid w:val="00F453AE"/>
    <w:rsid w:val="00F4582B"/>
    <w:rsid w:val="00F45E2E"/>
    <w:rsid w:val="00F45E4D"/>
    <w:rsid w:val="00F46057"/>
    <w:rsid w:val="00F464D3"/>
    <w:rsid w:val="00F501AA"/>
    <w:rsid w:val="00F50264"/>
    <w:rsid w:val="00F5088B"/>
    <w:rsid w:val="00F50FE8"/>
    <w:rsid w:val="00F520B7"/>
    <w:rsid w:val="00F55232"/>
    <w:rsid w:val="00F5564E"/>
    <w:rsid w:val="00F56773"/>
    <w:rsid w:val="00F57AE1"/>
    <w:rsid w:val="00F61B25"/>
    <w:rsid w:val="00F61FBD"/>
    <w:rsid w:val="00F6264C"/>
    <w:rsid w:val="00F62730"/>
    <w:rsid w:val="00F62A5D"/>
    <w:rsid w:val="00F62D8D"/>
    <w:rsid w:val="00F6389A"/>
    <w:rsid w:val="00F63C8A"/>
    <w:rsid w:val="00F644AB"/>
    <w:rsid w:val="00F646D9"/>
    <w:rsid w:val="00F6470C"/>
    <w:rsid w:val="00F647FF"/>
    <w:rsid w:val="00F66AB0"/>
    <w:rsid w:val="00F6746B"/>
    <w:rsid w:val="00F70220"/>
    <w:rsid w:val="00F707D7"/>
    <w:rsid w:val="00F70BDD"/>
    <w:rsid w:val="00F71223"/>
    <w:rsid w:val="00F7217A"/>
    <w:rsid w:val="00F730FE"/>
    <w:rsid w:val="00F75F8B"/>
    <w:rsid w:val="00F76743"/>
    <w:rsid w:val="00F76850"/>
    <w:rsid w:val="00F770BD"/>
    <w:rsid w:val="00F77D07"/>
    <w:rsid w:val="00F8053F"/>
    <w:rsid w:val="00F80DE0"/>
    <w:rsid w:val="00F81652"/>
    <w:rsid w:val="00F82CF3"/>
    <w:rsid w:val="00F842AC"/>
    <w:rsid w:val="00F853E1"/>
    <w:rsid w:val="00F85B80"/>
    <w:rsid w:val="00F86BD2"/>
    <w:rsid w:val="00F86EA6"/>
    <w:rsid w:val="00F878EB"/>
    <w:rsid w:val="00F903A8"/>
    <w:rsid w:val="00F9200E"/>
    <w:rsid w:val="00F92B61"/>
    <w:rsid w:val="00F93D5F"/>
    <w:rsid w:val="00F94C30"/>
    <w:rsid w:val="00F95901"/>
    <w:rsid w:val="00F96021"/>
    <w:rsid w:val="00F9626B"/>
    <w:rsid w:val="00F9631B"/>
    <w:rsid w:val="00F963C9"/>
    <w:rsid w:val="00F97307"/>
    <w:rsid w:val="00F976D0"/>
    <w:rsid w:val="00F97969"/>
    <w:rsid w:val="00F97994"/>
    <w:rsid w:val="00FA04D4"/>
    <w:rsid w:val="00FA1970"/>
    <w:rsid w:val="00FA27BA"/>
    <w:rsid w:val="00FA31D0"/>
    <w:rsid w:val="00FA3B0E"/>
    <w:rsid w:val="00FA3B3F"/>
    <w:rsid w:val="00FA3F4B"/>
    <w:rsid w:val="00FA4254"/>
    <w:rsid w:val="00FA43FC"/>
    <w:rsid w:val="00FA58BB"/>
    <w:rsid w:val="00FA58E7"/>
    <w:rsid w:val="00FB03D2"/>
    <w:rsid w:val="00FB09EE"/>
    <w:rsid w:val="00FB0D1F"/>
    <w:rsid w:val="00FB21C7"/>
    <w:rsid w:val="00FB252F"/>
    <w:rsid w:val="00FB290C"/>
    <w:rsid w:val="00FB3578"/>
    <w:rsid w:val="00FB3919"/>
    <w:rsid w:val="00FB4169"/>
    <w:rsid w:val="00FB4520"/>
    <w:rsid w:val="00FB5867"/>
    <w:rsid w:val="00FB6312"/>
    <w:rsid w:val="00FB6367"/>
    <w:rsid w:val="00FB66D9"/>
    <w:rsid w:val="00FB6BB7"/>
    <w:rsid w:val="00FB71E7"/>
    <w:rsid w:val="00FB7C32"/>
    <w:rsid w:val="00FB7DAE"/>
    <w:rsid w:val="00FC0857"/>
    <w:rsid w:val="00FC1193"/>
    <w:rsid w:val="00FC11EB"/>
    <w:rsid w:val="00FC1503"/>
    <w:rsid w:val="00FC1C1A"/>
    <w:rsid w:val="00FC2387"/>
    <w:rsid w:val="00FC3898"/>
    <w:rsid w:val="00FC3C3B"/>
    <w:rsid w:val="00FC432E"/>
    <w:rsid w:val="00FC465B"/>
    <w:rsid w:val="00FC4843"/>
    <w:rsid w:val="00FC5C9F"/>
    <w:rsid w:val="00FC5CA1"/>
    <w:rsid w:val="00FC6424"/>
    <w:rsid w:val="00FC65C6"/>
    <w:rsid w:val="00FC7AB8"/>
    <w:rsid w:val="00FD06FD"/>
    <w:rsid w:val="00FD0B8F"/>
    <w:rsid w:val="00FD18BC"/>
    <w:rsid w:val="00FD1DA5"/>
    <w:rsid w:val="00FD2585"/>
    <w:rsid w:val="00FD287F"/>
    <w:rsid w:val="00FD2ADE"/>
    <w:rsid w:val="00FD32EF"/>
    <w:rsid w:val="00FD363A"/>
    <w:rsid w:val="00FD3A0D"/>
    <w:rsid w:val="00FD6182"/>
    <w:rsid w:val="00FD705A"/>
    <w:rsid w:val="00FE006C"/>
    <w:rsid w:val="00FE0ACD"/>
    <w:rsid w:val="00FE1C67"/>
    <w:rsid w:val="00FE2325"/>
    <w:rsid w:val="00FE24D2"/>
    <w:rsid w:val="00FE369A"/>
    <w:rsid w:val="00FE3819"/>
    <w:rsid w:val="00FE39A4"/>
    <w:rsid w:val="00FE3ACC"/>
    <w:rsid w:val="00FE4122"/>
    <w:rsid w:val="00FE4A53"/>
    <w:rsid w:val="00FE5223"/>
    <w:rsid w:val="00FE54C9"/>
    <w:rsid w:val="00FE72BC"/>
    <w:rsid w:val="00FF14A5"/>
    <w:rsid w:val="00FF191A"/>
    <w:rsid w:val="00FF35DA"/>
    <w:rsid w:val="00FF3A07"/>
    <w:rsid w:val="00FF3EB4"/>
    <w:rsid w:val="00FF4901"/>
    <w:rsid w:val="00FF52BF"/>
    <w:rsid w:val="00FF56EC"/>
    <w:rsid w:val="00FF6A72"/>
    <w:rsid w:val="00FF6E8B"/>
    <w:rsid w:val="00FF6FD0"/>
    <w:rsid w:val="00FF70F0"/>
    <w:rsid w:val="00FF7462"/>
    <w:rsid w:val="00FF7A1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552961"/>
    <o:shapelayout v:ext="edit">
      <o:idmap v:ext="edit" data="1"/>
    </o:shapelayout>
  </w:shapeDefaults>
  <w:decimalSymbol w:val=","/>
  <w:listSeparator w:val=";"/>
  <w14:docId w14:val="2FDD9A26"/>
  <w15:docId w15:val="{23AF24EA-7C3C-4906-8632-B82E13871A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E5CFA"/>
  </w:style>
  <w:style w:type="paragraph" w:styleId="Heading1">
    <w:name w:val="heading 1"/>
    <w:basedOn w:val="Normal"/>
    <w:next w:val="Normal"/>
    <w:link w:val="Heading1Char"/>
    <w:uiPriority w:val="9"/>
    <w:qFormat/>
    <w:rsid w:val="00A5315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nhideWhenUsed/>
    <w:qFormat/>
    <w:rsid w:val="00A5315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A5315A"/>
    <w:pPr>
      <w:keepNext/>
      <w:keepLines/>
      <w:spacing w:before="40"/>
      <w:outlineLvl w:val="2"/>
    </w:pPr>
    <w:rPr>
      <w:rFonts w:asciiTheme="majorHAnsi" w:eastAsiaTheme="majorEastAsia" w:hAnsiTheme="majorHAnsi" w:cstheme="majorBidi"/>
      <w:color w:val="1F4D78"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5315A"/>
    <w:rPr>
      <w:color w:val="0563C1" w:themeColor="hyperlink"/>
      <w:u w:val="single"/>
    </w:rPr>
  </w:style>
  <w:style w:type="paragraph" w:styleId="Title">
    <w:name w:val="Title"/>
    <w:basedOn w:val="Normal"/>
    <w:link w:val="TitleChar"/>
    <w:uiPriority w:val="10"/>
    <w:qFormat/>
    <w:rsid w:val="00A5315A"/>
    <w:pPr>
      <w:spacing w:before="120" w:after="120" w:line="276" w:lineRule="auto"/>
      <w:jc w:val="center"/>
    </w:pPr>
    <w:rPr>
      <w:rFonts w:eastAsia="Times New Roman" w:cs="Times New Roman"/>
      <w:b/>
      <w:sz w:val="28"/>
      <w:szCs w:val="28"/>
    </w:rPr>
  </w:style>
  <w:style w:type="character" w:customStyle="1" w:styleId="TitleChar">
    <w:name w:val="Title Char"/>
    <w:basedOn w:val="DefaultParagraphFont"/>
    <w:link w:val="Title"/>
    <w:uiPriority w:val="10"/>
    <w:rsid w:val="00A5315A"/>
    <w:rPr>
      <w:rFonts w:eastAsia="Times New Roman" w:cs="Times New Roman"/>
      <w:b/>
      <w:sz w:val="28"/>
      <w:szCs w:val="28"/>
    </w:rPr>
  </w:style>
  <w:style w:type="paragraph" w:styleId="BodyText">
    <w:name w:val="Body Text"/>
    <w:basedOn w:val="Normal"/>
    <w:link w:val="BodyTextChar"/>
    <w:rsid w:val="00A5315A"/>
    <w:pPr>
      <w:spacing w:before="120" w:after="120" w:line="276" w:lineRule="auto"/>
    </w:pPr>
    <w:rPr>
      <w:rFonts w:eastAsia="Times New Roman" w:cs="Times New Roman"/>
      <w:b/>
      <w:bCs/>
      <w:szCs w:val="24"/>
      <w:lang w:val="en-GB"/>
    </w:rPr>
  </w:style>
  <w:style w:type="character" w:customStyle="1" w:styleId="BodyTextChar">
    <w:name w:val="Body Text Char"/>
    <w:basedOn w:val="DefaultParagraphFont"/>
    <w:link w:val="BodyText"/>
    <w:rsid w:val="00A5315A"/>
    <w:rPr>
      <w:rFonts w:eastAsia="Times New Roman" w:cs="Times New Roman"/>
      <w:b/>
      <w:bCs/>
      <w:szCs w:val="24"/>
      <w:lang w:val="en-GB"/>
    </w:rPr>
  </w:style>
  <w:style w:type="paragraph" w:styleId="TOC1">
    <w:name w:val="toc 1"/>
    <w:basedOn w:val="Normal"/>
    <w:next w:val="Normal"/>
    <w:autoRedefine/>
    <w:uiPriority w:val="39"/>
    <w:unhideWhenUsed/>
    <w:qFormat/>
    <w:rsid w:val="00992391"/>
    <w:pPr>
      <w:tabs>
        <w:tab w:val="left" w:pos="426"/>
        <w:tab w:val="right" w:leader="dot" w:pos="8902"/>
      </w:tabs>
      <w:spacing w:before="120" w:after="120"/>
      <w:ind w:right="-2"/>
    </w:pPr>
    <w:rPr>
      <w:rFonts w:eastAsia="Times New Roman" w:cs="Times New Roman"/>
      <w:b/>
      <w:bCs/>
      <w:noProof/>
      <w:szCs w:val="24"/>
    </w:rPr>
  </w:style>
  <w:style w:type="paragraph" w:styleId="TOC2">
    <w:name w:val="toc 2"/>
    <w:basedOn w:val="Normal"/>
    <w:next w:val="Normal"/>
    <w:autoRedefine/>
    <w:uiPriority w:val="39"/>
    <w:unhideWhenUsed/>
    <w:qFormat/>
    <w:rsid w:val="00992391"/>
    <w:pPr>
      <w:tabs>
        <w:tab w:val="left" w:pos="720"/>
        <w:tab w:val="right" w:leader="dot" w:pos="8902"/>
      </w:tabs>
      <w:spacing w:before="240" w:after="120"/>
      <w:ind w:right="-2"/>
      <w:jc w:val="both"/>
    </w:pPr>
    <w:rPr>
      <w:rFonts w:eastAsia="Times New Roman" w:cs="Times New Roman"/>
      <w:bCs/>
      <w:noProof/>
      <w:szCs w:val="24"/>
    </w:rPr>
  </w:style>
  <w:style w:type="paragraph" w:styleId="ListParagraph">
    <w:name w:val="List Paragraph"/>
    <w:aliases w:val="2"/>
    <w:basedOn w:val="Normal"/>
    <w:link w:val="ListParagraphChar"/>
    <w:uiPriority w:val="34"/>
    <w:qFormat/>
    <w:rsid w:val="00A5315A"/>
    <w:pPr>
      <w:ind w:left="720"/>
      <w:contextualSpacing/>
    </w:pPr>
  </w:style>
  <w:style w:type="character" w:customStyle="1" w:styleId="Heading1Char">
    <w:name w:val="Heading 1 Char"/>
    <w:basedOn w:val="DefaultParagraphFont"/>
    <w:link w:val="Heading1"/>
    <w:uiPriority w:val="9"/>
    <w:rsid w:val="00A5315A"/>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rsid w:val="00A5315A"/>
    <w:rPr>
      <w:rFonts w:asciiTheme="majorHAnsi" w:eastAsiaTheme="majorEastAsia" w:hAnsiTheme="majorHAnsi" w:cstheme="majorBidi"/>
      <w:color w:val="2E74B5" w:themeColor="accent1" w:themeShade="BF"/>
      <w:sz w:val="26"/>
      <w:szCs w:val="26"/>
    </w:rPr>
  </w:style>
  <w:style w:type="paragraph" w:styleId="NoSpacing">
    <w:name w:val="No Spacing"/>
    <w:uiPriority w:val="1"/>
    <w:qFormat/>
    <w:rsid w:val="00A5315A"/>
  </w:style>
  <w:style w:type="character" w:customStyle="1" w:styleId="Heading3Char">
    <w:name w:val="Heading 3 Char"/>
    <w:basedOn w:val="DefaultParagraphFont"/>
    <w:link w:val="Heading3"/>
    <w:uiPriority w:val="9"/>
    <w:rsid w:val="00A5315A"/>
    <w:rPr>
      <w:rFonts w:asciiTheme="majorHAnsi" w:eastAsiaTheme="majorEastAsia" w:hAnsiTheme="majorHAnsi" w:cstheme="majorBidi"/>
      <w:color w:val="1F4D78" w:themeColor="accent1" w:themeShade="7F"/>
      <w:szCs w:val="24"/>
    </w:rPr>
  </w:style>
  <w:style w:type="paragraph" w:styleId="Subtitle">
    <w:name w:val="Subtitle"/>
    <w:basedOn w:val="Normal"/>
    <w:next w:val="Normal"/>
    <w:link w:val="SubtitleChar"/>
    <w:uiPriority w:val="11"/>
    <w:qFormat/>
    <w:rsid w:val="00A5315A"/>
    <w:pPr>
      <w:numPr>
        <w:ilvl w:val="1"/>
      </w:numPr>
      <w:spacing w:after="160"/>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A5315A"/>
    <w:rPr>
      <w:rFonts w:asciiTheme="minorHAnsi" w:eastAsiaTheme="minorEastAsia" w:hAnsiTheme="minorHAnsi"/>
      <w:color w:val="5A5A5A" w:themeColor="text1" w:themeTint="A5"/>
      <w:spacing w:val="15"/>
      <w:sz w:val="22"/>
    </w:rPr>
  </w:style>
  <w:style w:type="character" w:styleId="SubtleEmphasis">
    <w:name w:val="Subtle Emphasis"/>
    <w:basedOn w:val="DefaultParagraphFont"/>
    <w:uiPriority w:val="19"/>
    <w:qFormat/>
    <w:rsid w:val="00A5315A"/>
    <w:rPr>
      <w:i/>
      <w:iCs/>
      <w:color w:val="404040" w:themeColor="text1" w:themeTint="BF"/>
    </w:rPr>
  </w:style>
  <w:style w:type="character" w:styleId="Emphasis">
    <w:name w:val="Emphasis"/>
    <w:basedOn w:val="DefaultParagraphFont"/>
    <w:uiPriority w:val="20"/>
    <w:qFormat/>
    <w:rsid w:val="00A5315A"/>
    <w:rPr>
      <w:i/>
      <w:iCs/>
    </w:rPr>
  </w:style>
  <w:style w:type="character" w:styleId="IntenseEmphasis">
    <w:name w:val="Intense Emphasis"/>
    <w:basedOn w:val="DefaultParagraphFont"/>
    <w:uiPriority w:val="21"/>
    <w:qFormat/>
    <w:rsid w:val="00A5315A"/>
    <w:rPr>
      <w:i/>
      <w:iCs/>
      <w:color w:val="5B9BD5" w:themeColor="accent1"/>
    </w:rPr>
  </w:style>
  <w:style w:type="character" w:styleId="Strong">
    <w:name w:val="Strong"/>
    <w:basedOn w:val="DefaultParagraphFont"/>
    <w:uiPriority w:val="22"/>
    <w:qFormat/>
    <w:rsid w:val="00A5315A"/>
    <w:rPr>
      <w:b/>
      <w:bCs/>
    </w:rPr>
  </w:style>
  <w:style w:type="paragraph" w:customStyle="1" w:styleId="1lmenis">
    <w:name w:val="1.līmenis"/>
    <w:basedOn w:val="Heading1"/>
    <w:link w:val="1lmenisChar"/>
    <w:autoRedefine/>
    <w:uiPriority w:val="99"/>
    <w:qFormat/>
    <w:rsid w:val="00C04510"/>
    <w:pPr>
      <w:numPr>
        <w:numId w:val="41"/>
      </w:numPr>
      <w:spacing w:before="120" w:after="120"/>
      <w:ind w:left="426" w:firstLine="0"/>
      <w:jc w:val="center"/>
    </w:pPr>
    <w:rPr>
      <w:rFonts w:ascii="Times New Roman" w:hAnsi="Times New Roman"/>
      <w:b/>
      <w:color w:val="auto"/>
      <w:sz w:val="24"/>
      <w:szCs w:val="24"/>
    </w:rPr>
  </w:style>
  <w:style w:type="paragraph" w:customStyle="1" w:styleId="2lmenis">
    <w:name w:val="2.līmenis"/>
    <w:basedOn w:val="Heading2"/>
    <w:link w:val="2lmenisChar"/>
    <w:autoRedefine/>
    <w:qFormat/>
    <w:rsid w:val="00D63924"/>
    <w:pPr>
      <w:numPr>
        <w:ilvl w:val="1"/>
        <w:numId w:val="41"/>
      </w:numPr>
      <w:spacing w:before="120" w:after="120"/>
      <w:ind w:left="993" w:hanging="426"/>
      <w:jc w:val="center"/>
    </w:pPr>
    <w:rPr>
      <w:rFonts w:ascii="Times New Roman" w:hAnsi="Times New Roman"/>
      <w:b/>
      <w:color w:val="auto"/>
      <w:sz w:val="24"/>
    </w:rPr>
  </w:style>
  <w:style w:type="character" w:customStyle="1" w:styleId="1lmenisChar">
    <w:name w:val="1.līmenis Char"/>
    <w:basedOn w:val="SubtitleChar"/>
    <w:link w:val="1lmenis"/>
    <w:uiPriority w:val="99"/>
    <w:rsid w:val="00C04510"/>
    <w:rPr>
      <w:rFonts w:asciiTheme="minorHAnsi" w:eastAsiaTheme="majorEastAsia" w:hAnsiTheme="minorHAnsi" w:cstheme="majorBidi"/>
      <w:b/>
      <w:color w:val="5A5A5A" w:themeColor="text1" w:themeTint="A5"/>
      <w:spacing w:val="15"/>
      <w:sz w:val="22"/>
      <w:szCs w:val="24"/>
    </w:rPr>
  </w:style>
  <w:style w:type="paragraph" w:customStyle="1" w:styleId="3lmenis">
    <w:name w:val="3.līmenis"/>
    <w:basedOn w:val="Heading3"/>
    <w:link w:val="3lmenisChar"/>
    <w:autoRedefine/>
    <w:qFormat/>
    <w:rsid w:val="00FD287F"/>
    <w:pPr>
      <w:numPr>
        <w:ilvl w:val="2"/>
        <w:numId w:val="1"/>
      </w:numPr>
      <w:spacing w:before="240" w:after="240"/>
      <w:ind w:left="0" w:firstLine="0"/>
      <w:jc w:val="center"/>
    </w:pPr>
    <w:rPr>
      <w:rFonts w:ascii="Times New Roman" w:hAnsi="Times New Roman"/>
      <w:b/>
      <w:color w:val="000000"/>
    </w:rPr>
  </w:style>
  <w:style w:type="character" w:customStyle="1" w:styleId="2lmenisChar">
    <w:name w:val="2.līmenis Char"/>
    <w:basedOn w:val="DefaultParagraphFont"/>
    <w:link w:val="2lmenis"/>
    <w:rsid w:val="00D63924"/>
    <w:rPr>
      <w:rFonts w:eastAsiaTheme="majorEastAsia" w:cstheme="majorBidi"/>
      <w:b/>
      <w:szCs w:val="26"/>
    </w:rPr>
  </w:style>
  <w:style w:type="paragraph" w:styleId="TOCHeading">
    <w:name w:val="TOC Heading"/>
    <w:basedOn w:val="Heading1"/>
    <w:next w:val="Normal"/>
    <w:uiPriority w:val="39"/>
    <w:unhideWhenUsed/>
    <w:qFormat/>
    <w:rsid w:val="00074D14"/>
    <w:pPr>
      <w:spacing w:line="259" w:lineRule="auto"/>
      <w:outlineLvl w:val="9"/>
    </w:pPr>
    <w:rPr>
      <w:lang w:val="en-US"/>
    </w:rPr>
  </w:style>
  <w:style w:type="character" w:customStyle="1" w:styleId="3lmenisChar">
    <w:name w:val="3.līmenis Char"/>
    <w:basedOn w:val="2lmenisChar"/>
    <w:link w:val="3lmenis"/>
    <w:rsid w:val="00FD287F"/>
    <w:rPr>
      <w:rFonts w:eastAsiaTheme="majorEastAsia" w:cstheme="majorBidi"/>
      <w:b/>
      <w:color w:val="000000"/>
      <w:szCs w:val="24"/>
    </w:rPr>
  </w:style>
  <w:style w:type="paragraph" w:styleId="TOC3">
    <w:name w:val="toc 3"/>
    <w:basedOn w:val="Normal"/>
    <w:next w:val="Normal"/>
    <w:autoRedefine/>
    <w:uiPriority w:val="39"/>
    <w:unhideWhenUsed/>
    <w:rsid w:val="00992391"/>
    <w:pPr>
      <w:tabs>
        <w:tab w:val="left" w:pos="1320"/>
        <w:tab w:val="right" w:leader="dot" w:pos="8902"/>
      </w:tabs>
      <w:spacing w:after="100"/>
      <w:ind w:left="480" w:right="-2"/>
    </w:pPr>
  </w:style>
  <w:style w:type="paragraph" w:styleId="BalloonText">
    <w:name w:val="Balloon Text"/>
    <w:basedOn w:val="Normal"/>
    <w:link w:val="BalloonTextChar"/>
    <w:uiPriority w:val="99"/>
    <w:semiHidden/>
    <w:unhideWhenUsed/>
    <w:rsid w:val="006F749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F7499"/>
    <w:rPr>
      <w:rFonts w:ascii="Segoe UI" w:hAnsi="Segoe UI" w:cs="Segoe UI"/>
      <w:sz w:val="18"/>
      <w:szCs w:val="18"/>
    </w:rPr>
  </w:style>
  <w:style w:type="paragraph" w:customStyle="1" w:styleId="Default">
    <w:name w:val="Default"/>
    <w:rsid w:val="006F7499"/>
    <w:pPr>
      <w:autoSpaceDE w:val="0"/>
      <w:autoSpaceDN w:val="0"/>
      <w:adjustRightInd w:val="0"/>
      <w:spacing w:before="120" w:after="120" w:line="360" w:lineRule="auto"/>
      <w:jc w:val="both"/>
    </w:pPr>
    <w:rPr>
      <w:rFonts w:eastAsia="Calibri" w:cs="Times New Roman"/>
      <w:color w:val="000000"/>
      <w:szCs w:val="24"/>
      <w:lang w:eastAsia="lv-LV"/>
    </w:rPr>
  </w:style>
  <w:style w:type="paragraph" w:styleId="Header">
    <w:name w:val="header"/>
    <w:basedOn w:val="Normal"/>
    <w:link w:val="HeaderChar"/>
    <w:uiPriority w:val="99"/>
    <w:unhideWhenUsed/>
    <w:rsid w:val="00C147F0"/>
    <w:pPr>
      <w:tabs>
        <w:tab w:val="center" w:pos="4153"/>
        <w:tab w:val="right" w:pos="8306"/>
      </w:tabs>
    </w:pPr>
  </w:style>
  <w:style w:type="character" w:customStyle="1" w:styleId="HeaderChar">
    <w:name w:val="Header Char"/>
    <w:basedOn w:val="DefaultParagraphFont"/>
    <w:link w:val="Header"/>
    <w:uiPriority w:val="99"/>
    <w:rsid w:val="00C147F0"/>
  </w:style>
  <w:style w:type="paragraph" w:styleId="Footer">
    <w:name w:val="footer"/>
    <w:basedOn w:val="Normal"/>
    <w:link w:val="FooterChar"/>
    <w:unhideWhenUsed/>
    <w:rsid w:val="00C147F0"/>
    <w:pPr>
      <w:tabs>
        <w:tab w:val="center" w:pos="4153"/>
        <w:tab w:val="right" w:pos="8306"/>
      </w:tabs>
    </w:pPr>
  </w:style>
  <w:style w:type="character" w:customStyle="1" w:styleId="FooterChar">
    <w:name w:val="Footer Char"/>
    <w:basedOn w:val="DefaultParagraphFont"/>
    <w:link w:val="Footer"/>
    <w:rsid w:val="00C147F0"/>
  </w:style>
  <w:style w:type="character" w:styleId="CommentReference">
    <w:name w:val="annotation reference"/>
    <w:basedOn w:val="DefaultParagraphFont"/>
    <w:uiPriority w:val="99"/>
    <w:unhideWhenUsed/>
    <w:rsid w:val="00014F89"/>
    <w:rPr>
      <w:sz w:val="16"/>
      <w:szCs w:val="16"/>
    </w:rPr>
  </w:style>
  <w:style w:type="paragraph" w:styleId="CommentText">
    <w:name w:val="annotation text"/>
    <w:basedOn w:val="Normal"/>
    <w:link w:val="CommentTextChar"/>
    <w:uiPriority w:val="99"/>
    <w:unhideWhenUsed/>
    <w:rsid w:val="00014F89"/>
    <w:rPr>
      <w:sz w:val="20"/>
      <w:szCs w:val="20"/>
    </w:rPr>
  </w:style>
  <w:style w:type="character" w:customStyle="1" w:styleId="CommentTextChar">
    <w:name w:val="Comment Text Char"/>
    <w:basedOn w:val="DefaultParagraphFont"/>
    <w:link w:val="CommentText"/>
    <w:uiPriority w:val="99"/>
    <w:rsid w:val="00014F89"/>
    <w:rPr>
      <w:sz w:val="20"/>
      <w:szCs w:val="20"/>
    </w:rPr>
  </w:style>
  <w:style w:type="paragraph" w:styleId="CommentSubject">
    <w:name w:val="annotation subject"/>
    <w:basedOn w:val="CommentText"/>
    <w:next w:val="CommentText"/>
    <w:link w:val="CommentSubjectChar"/>
    <w:uiPriority w:val="99"/>
    <w:semiHidden/>
    <w:unhideWhenUsed/>
    <w:rsid w:val="00014F89"/>
    <w:rPr>
      <w:b/>
      <w:bCs/>
    </w:rPr>
  </w:style>
  <w:style w:type="character" w:customStyle="1" w:styleId="CommentSubjectChar">
    <w:name w:val="Comment Subject Char"/>
    <w:basedOn w:val="CommentTextChar"/>
    <w:link w:val="CommentSubject"/>
    <w:uiPriority w:val="99"/>
    <w:semiHidden/>
    <w:rsid w:val="00014F89"/>
    <w:rPr>
      <w:b/>
      <w:bCs/>
      <w:sz w:val="20"/>
      <w:szCs w:val="20"/>
    </w:rPr>
  </w:style>
  <w:style w:type="paragraph" w:styleId="FootnoteText">
    <w:name w:val="footnote text"/>
    <w:aliases w:val="Char, Char,Footnote,Fußnote,Footnote Text Char1,Vēres teksts Char Char Char Char Char Char Char Char Char Char Char Char1,Char Char Char Char Char Char Char Char Char Char Char Char Char Char Char Char Char Char Char1,-E Fußnotentext"/>
    <w:basedOn w:val="Normal"/>
    <w:link w:val="FootnoteTextChar"/>
    <w:uiPriority w:val="99"/>
    <w:unhideWhenUsed/>
    <w:rsid w:val="001335F3"/>
    <w:rPr>
      <w:sz w:val="20"/>
      <w:szCs w:val="20"/>
    </w:rPr>
  </w:style>
  <w:style w:type="character" w:customStyle="1" w:styleId="FootnoteTextChar">
    <w:name w:val="Footnote Text Char"/>
    <w:aliases w:val="Char Char, Char Char,Footnote Char,Fußnote Char,Footnote Text Char1 Char,Vēres teksts Char Char Char Char Char Char Char Char Char Char Char Char1 Char,-E Fußnotentext Char"/>
    <w:basedOn w:val="DefaultParagraphFont"/>
    <w:link w:val="FootnoteText"/>
    <w:uiPriority w:val="99"/>
    <w:rsid w:val="001335F3"/>
    <w:rPr>
      <w:sz w:val="20"/>
      <w:szCs w:val="20"/>
    </w:rPr>
  </w:style>
  <w:style w:type="character" w:styleId="FootnoteReference">
    <w:name w:val="footnote reference"/>
    <w:aliases w:val="Footnote Reference Number,Footnote symbol"/>
    <w:basedOn w:val="DefaultParagraphFont"/>
    <w:uiPriority w:val="99"/>
    <w:unhideWhenUsed/>
    <w:rsid w:val="001335F3"/>
    <w:rPr>
      <w:vertAlign w:val="superscript"/>
    </w:rPr>
  </w:style>
  <w:style w:type="paragraph" w:styleId="NormalWeb">
    <w:name w:val="Normal (Web)"/>
    <w:basedOn w:val="Normal"/>
    <w:uiPriority w:val="99"/>
    <w:rsid w:val="00747912"/>
    <w:pPr>
      <w:spacing w:before="100" w:beforeAutospacing="1" w:after="100" w:afterAutospacing="1" w:line="360" w:lineRule="auto"/>
    </w:pPr>
    <w:rPr>
      <w:rFonts w:eastAsia="Times New Roman" w:cs="Times New Roman"/>
      <w:szCs w:val="24"/>
      <w:lang w:val="en-GB"/>
    </w:rPr>
  </w:style>
  <w:style w:type="character" w:styleId="FollowedHyperlink">
    <w:name w:val="FollowedHyperlink"/>
    <w:basedOn w:val="DefaultParagraphFont"/>
    <w:uiPriority w:val="99"/>
    <w:semiHidden/>
    <w:unhideWhenUsed/>
    <w:rsid w:val="00AC701C"/>
    <w:rPr>
      <w:color w:val="954F72" w:themeColor="followedHyperlink"/>
      <w:u w:val="single"/>
    </w:rPr>
  </w:style>
  <w:style w:type="paragraph" w:styleId="BodyTextIndent">
    <w:name w:val="Body Text Indent"/>
    <w:basedOn w:val="Normal"/>
    <w:link w:val="BodyTextIndentChar"/>
    <w:rsid w:val="00BA2F86"/>
    <w:pPr>
      <w:spacing w:before="120" w:after="120" w:line="276" w:lineRule="auto"/>
      <w:ind w:left="283"/>
      <w:jc w:val="both"/>
    </w:pPr>
    <w:rPr>
      <w:rFonts w:eastAsia="Times New Roman" w:cs="Times New Roman"/>
      <w:szCs w:val="20"/>
      <w:lang w:val="x-none" w:eastAsia="x-none"/>
    </w:rPr>
  </w:style>
  <w:style w:type="character" w:customStyle="1" w:styleId="BodyTextIndentChar">
    <w:name w:val="Body Text Indent Char"/>
    <w:basedOn w:val="DefaultParagraphFont"/>
    <w:link w:val="BodyTextIndent"/>
    <w:rsid w:val="00BA2F86"/>
    <w:rPr>
      <w:rFonts w:eastAsia="Times New Roman" w:cs="Times New Roman"/>
      <w:szCs w:val="20"/>
      <w:lang w:val="x-none" w:eastAsia="x-none"/>
    </w:rPr>
  </w:style>
  <w:style w:type="paragraph" w:styleId="HTMLPreformatted">
    <w:name w:val="HTML Preformatted"/>
    <w:basedOn w:val="Normal"/>
    <w:link w:val="HTMLPreformattedChar"/>
    <w:uiPriority w:val="99"/>
    <w:unhideWhenUsed/>
    <w:rsid w:val="00D602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lv-LV"/>
    </w:rPr>
  </w:style>
  <w:style w:type="character" w:customStyle="1" w:styleId="HTMLPreformattedChar">
    <w:name w:val="HTML Preformatted Char"/>
    <w:basedOn w:val="DefaultParagraphFont"/>
    <w:link w:val="HTMLPreformatted"/>
    <w:uiPriority w:val="99"/>
    <w:rsid w:val="00D602E4"/>
    <w:rPr>
      <w:rFonts w:ascii="Courier New" w:hAnsi="Courier New" w:cs="Courier New"/>
      <w:sz w:val="20"/>
      <w:szCs w:val="20"/>
      <w:lang w:eastAsia="lv-LV"/>
    </w:rPr>
  </w:style>
  <w:style w:type="paragraph" w:customStyle="1" w:styleId="naiskr">
    <w:name w:val="naiskr"/>
    <w:basedOn w:val="Normal"/>
    <w:rsid w:val="00CB2886"/>
    <w:pPr>
      <w:spacing w:before="75" w:after="75"/>
    </w:pPr>
    <w:rPr>
      <w:rFonts w:eastAsia="Times New Roman" w:cs="Times New Roman"/>
      <w:szCs w:val="24"/>
      <w:lang w:eastAsia="lv-LV"/>
    </w:rPr>
  </w:style>
  <w:style w:type="paragraph" w:customStyle="1" w:styleId="FDUKam">
    <w:name w:val="FDUKam"/>
    <w:basedOn w:val="ListParagraph"/>
    <w:link w:val="FDUKamChar"/>
    <w:qFormat/>
    <w:rsid w:val="00B55342"/>
    <w:pPr>
      <w:numPr>
        <w:ilvl w:val="1"/>
        <w:numId w:val="5"/>
      </w:numPr>
      <w:spacing w:after="200" w:line="276" w:lineRule="auto"/>
      <w:jc w:val="both"/>
    </w:pPr>
    <w:rPr>
      <w:rFonts w:eastAsia="Calibri" w:cs="Times New Roman"/>
      <w:sz w:val="22"/>
    </w:rPr>
  </w:style>
  <w:style w:type="character" w:customStyle="1" w:styleId="FDUKamChar">
    <w:name w:val="FDUKam Char"/>
    <w:basedOn w:val="DefaultParagraphFont"/>
    <w:link w:val="FDUKam"/>
    <w:rsid w:val="00B55342"/>
    <w:rPr>
      <w:rFonts w:eastAsia="Calibri" w:cs="Times New Roman"/>
      <w:sz w:val="22"/>
    </w:rPr>
  </w:style>
  <w:style w:type="paragraph" w:styleId="Revision">
    <w:name w:val="Revision"/>
    <w:hidden/>
    <w:uiPriority w:val="99"/>
    <w:semiHidden/>
    <w:rsid w:val="00F25CDC"/>
  </w:style>
  <w:style w:type="character" w:styleId="BookTitle">
    <w:name w:val="Book Title"/>
    <w:qFormat/>
    <w:rsid w:val="00EF58CD"/>
    <w:rPr>
      <w:b/>
      <w:bCs/>
      <w:smallCaps/>
      <w:spacing w:val="5"/>
    </w:rPr>
  </w:style>
  <w:style w:type="paragraph" w:customStyle="1" w:styleId="CM1">
    <w:name w:val="CM1"/>
    <w:basedOn w:val="Normal"/>
    <w:uiPriority w:val="99"/>
    <w:rsid w:val="00371098"/>
    <w:pPr>
      <w:autoSpaceDE w:val="0"/>
      <w:autoSpaceDN w:val="0"/>
    </w:pPr>
    <w:rPr>
      <w:rFonts w:ascii="EUAlbertina" w:hAnsi="EUAlbertina" w:cs="Times New Roman"/>
      <w:szCs w:val="24"/>
    </w:rPr>
  </w:style>
  <w:style w:type="table" w:styleId="TableGrid">
    <w:name w:val="Table Grid"/>
    <w:basedOn w:val="TableNormal"/>
    <w:uiPriority w:val="39"/>
    <w:rsid w:val="00DA0A2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basedOn w:val="DefaultParagraphFont"/>
    <w:rsid w:val="00F20F2D"/>
  </w:style>
  <w:style w:type="paragraph" w:styleId="PlainText">
    <w:name w:val="Plain Text"/>
    <w:basedOn w:val="Normal"/>
    <w:link w:val="PlainTextChar"/>
    <w:uiPriority w:val="99"/>
    <w:unhideWhenUsed/>
    <w:rsid w:val="00842A6B"/>
    <w:rPr>
      <w:rFonts w:ascii="Calibri" w:hAnsi="Calibri" w:cs="Consolas"/>
      <w:sz w:val="22"/>
      <w:szCs w:val="21"/>
    </w:rPr>
  </w:style>
  <w:style w:type="character" w:customStyle="1" w:styleId="PlainTextChar">
    <w:name w:val="Plain Text Char"/>
    <w:basedOn w:val="DefaultParagraphFont"/>
    <w:link w:val="PlainText"/>
    <w:uiPriority w:val="99"/>
    <w:rsid w:val="00842A6B"/>
    <w:rPr>
      <w:rFonts w:ascii="Calibri" w:hAnsi="Calibri" w:cs="Consolas"/>
      <w:sz w:val="22"/>
      <w:szCs w:val="21"/>
    </w:rPr>
  </w:style>
  <w:style w:type="numbering" w:customStyle="1" w:styleId="WWNum1">
    <w:name w:val="WWNum1"/>
    <w:basedOn w:val="NoList"/>
    <w:rsid w:val="006701F5"/>
    <w:pPr>
      <w:numPr>
        <w:numId w:val="21"/>
      </w:numPr>
    </w:pPr>
  </w:style>
  <w:style w:type="character" w:customStyle="1" w:styleId="ListParagraphChar">
    <w:name w:val="List Paragraph Char"/>
    <w:aliases w:val="2 Char"/>
    <w:link w:val="ListParagraph"/>
    <w:uiPriority w:val="34"/>
    <w:locked/>
    <w:rsid w:val="00086C32"/>
  </w:style>
  <w:style w:type="table" w:customStyle="1" w:styleId="TableGrid1">
    <w:name w:val="Table Grid1"/>
    <w:basedOn w:val="TableNormal"/>
    <w:next w:val="TableGrid"/>
    <w:uiPriority w:val="39"/>
    <w:rsid w:val="00392D98"/>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rakstarindkopa1">
    <w:name w:val="Saraksta rindkopa1"/>
    <w:basedOn w:val="Normal"/>
    <w:qFormat/>
    <w:rsid w:val="00D42CE0"/>
    <w:pPr>
      <w:ind w:left="720"/>
      <w:contextualSpacing/>
    </w:pPr>
    <w:rPr>
      <w:rFonts w:eastAsia="Calibri" w:cs="Times New Roman"/>
      <w:sz w:val="28"/>
      <w:lang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5183">
      <w:bodyDiv w:val="1"/>
      <w:marLeft w:val="0"/>
      <w:marRight w:val="0"/>
      <w:marTop w:val="0"/>
      <w:marBottom w:val="0"/>
      <w:divBdr>
        <w:top w:val="none" w:sz="0" w:space="0" w:color="auto"/>
        <w:left w:val="none" w:sz="0" w:space="0" w:color="auto"/>
        <w:bottom w:val="none" w:sz="0" w:space="0" w:color="auto"/>
        <w:right w:val="none" w:sz="0" w:space="0" w:color="auto"/>
      </w:divBdr>
    </w:div>
    <w:div w:id="2317055">
      <w:bodyDiv w:val="1"/>
      <w:marLeft w:val="0"/>
      <w:marRight w:val="0"/>
      <w:marTop w:val="0"/>
      <w:marBottom w:val="0"/>
      <w:divBdr>
        <w:top w:val="none" w:sz="0" w:space="0" w:color="auto"/>
        <w:left w:val="none" w:sz="0" w:space="0" w:color="auto"/>
        <w:bottom w:val="none" w:sz="0" w:space="0" w:color="auto"/>
        <w:right w:val="none" w:sz="0" w:space="0" w:color="auto"/>
      </w:divBdr>
    </w:div>
    <w:div w:id="2782725">
      <w:bodyDiv w:val="1"/>
      <w:marLeft w:val="0"/>
      <w:marRight w:val="0"/>
      <w:marTop w:val="0"/>
      <w:marBottom w:val="0"/>
      <w:divBdr>
        <w:top w:val="none" w:sz="0" w:space="0" w:color="auto"/>
        <w:left w:val="none" w:sz="0" w:space="0" w:color="auto"/>
        <w:bottom w:val="none" w:sz="0" w:space="0" w:color="auto"/>
        <w:right w:val="none" w:sz="0" w:space="0" w:color="auto"/>
      </w:divBdr>
    </w:div>
    <w:div w:id="12848043">
      <w:bodyDiv w:val="1"/>
      <w:marLeft w:val="0"/>
      <w:marRight w:val="0"/>
      <w:marTop w:val="0"/>
      <w:marBottom w:val="0"/>
      <w:divBdr>
        <w:top w:val="none" w:sz="0" w:space="0" w:color="auto"/>
        <w:left w:val="none" w:sz="0" w:space="0" w:color="auto"/>
        <w:bottom w:val="none" w:sz="0" w:space="0" w:color="auto"/>
        <w:right w:val="none" w:sz="0" w:space="0" w:color="auto"/>
      </w:divBdr>
    </w:div>
    <w:div w:id="40250439">
      <w:bodyDiv w:val="1"/>
      <w:marLeft w:val="0"/>
      <w:marRight w:val="0"/>
      <w:marTop w:val="0"/>
      <w:marBottom w:val="0"/>
      <w:divBdr>
        <w:top w:val="none" w:sz="0" w:space="0" w:color="auto"/>
        <w:left w:val="none" w:sz="0" w:space="0" w:color="auto"/>
        <w:bottom w:val="none" w:sz="0" w:space="0" w:color="auto"/>
        <w:right w:val="none" w:sz="0" w:space="0" w:color="auto"/>
      </w:divBdr>
    </w:div>
    <w:div w:id="102656405">
      <w:bodyDiv w:val="1"/>
      <w:marLeft w:val="0"/>
      <w:marRight w:val="0"/>
      <w:marTop w:val="0"/>
      <w:marBottom w:val="0"/>
      <w:divBdr>
        <w:top w:val="none" w:sz="0" w:space="0" w:color="auto"/>
        <w:left w:val="none" w:sz="0" w:space="0" w:color="auto"/>
        <w:bottom w:val="none" w:sz="0" w:space="0" w:color="auto"/>
        <w:right w:val="none" w:sz="0" w:space="0" w:color="auto"/>
      </w:divBdr>
    </w:div>
    <w:div w:id="116801108">
      <w:bodyDiv w:val="1"/>
      <w:marLeft w:val="0"/>
      <w:marRight w:val="0"/>
      <w:marTop w:val="0"/>
      <w:marBottom w:val="0"/>
      <w:divBdr>
        <w:top w:val="none" w:sz="0" w:space="0" w:color="auto"/>
        <w:left w:val="none" w:sz="0" w:space="0" w:color="auto"/>
        <w:bottom w:val="none" w:sz="0" w:space="0" w:color="auto"/>
        <w:right w:val="none" w:sz="0" w:space="0" w:color="auto"/>
      </w:divBdr>
    </w:div>
    <w:div w:id="135147747">
      <w:bodyDiv w:val="1"/>
      <w:marLeft w:val="0"/>
      <w:marRight w:val="0"/>
      <w:marTop w:val="0"/>
      <w:marBottom w:val="0"/>
      <w:divBdr>
        <w:top w:val="none" w:sz="0" w:space="0" w:color="auto"/>
        <w:left w:val="none" w:sz="0" w:space="0" w:color="auto"/>
        <w:bottom w:val="none" w:sz="0" w:space="0" w:color="auto"/>
        <w:right w:val="none" w:sz="0" w:space="0" w:color="auto"/>
      </w:divBdr>
    </w:div>
    <w:div w:id="149102751">
      <w:bodyDiv w:val="1"/>
      <w:marLeft w:val="0"/>
      <w:marRight w:val="0"/>
      <w:marTop w:val="0"/>
      <w:marBottom w:val="0"/>
      <w:divBdr>
        <w:top w:val="none" w:sz="0" w:space="0" w:color="auto"/>
        <w:left w:val="none" w:sz="0" w:space="0" w:color="auto"/>
        <w:bottom w:val="none" w:sz="0" w:space="0" w:color="auto"/>
        <w:right w:val="none" w:sz="0" w:space="0" w:color="auto"/>
      </w:divBdr>
    </w:div>
    <w:div w:id="156924126">
      <w:bodyDiv w:val="1"/>
      <w:marLeft w:val="0"/>
      <w:marRight w:val="0"/>
      <w:marTop w:val="0"/>
      <w:marBottom w:val="0"/>
      <w:divBdr>
        <w:top w:val="none" w:sz="0" w:space="0" w:color="auto"/>
        <w:left w:val="none" w:sz="0" w:space="0" w:color="auto"/>
        <w:bottom w:val="none" w:sz="0" w:space="0" w:color="auto"/>
        <w:right w:val="none" w:sz="0" w:space="0" w:color="auto"/>
      </w:divBdr>
    </w:div>
    <w:div w:id="164441647">
      <w:bodyDiv w:val="1"/>
      <w:marLeft w:val="0"/>
      <w:marRight w:val="0"/>
      <w:marTop w:val="0"/>
      <w:marBottom w:val="0"/>
      <w:divBdr>
        <w:top w:val="none" w:sz="0" w:space="0" w:color="auto"/>
        <w:left w:val="none" w:sz="0" w:space="0" w:color="auto"/>
        <w:bottom w:val="none" w:sz="0" w:space="0" w:color="auto"/>
        <w:right w:val="none" w:sz="0" w:space="0" w:color="auto"/>
      </w:divBdr>
    </w:div>
    <w:div w:id="188498222">
      <w:bodyDiv w:val="1"/>
      <w:marLeft w:val="0"/>
      <w:marRight w:val="0"/>
      <w:marTop w:val="0"/>
      <w:marBottom w:val="0"/>
      <w:divBdr>
        <w:top w:val="none" w:sz="0" w:space="0" w:color="auto"/>
        <w:left w:val="none" w:sz="0" w:space="0" w:color="auto"/>
        <w:bottom w:val="none" w:sz="0" w:space="0" w:color="auto"/>
        <w:right w:val="none" w:sz="0" w:space="0" w:color="auto"/>
      </w:divBdr>
    </w:div>
    <w:div w:id="194658489">
      <w:bodyDiv w:val="1"/>
      <w:marLeft w:val="0"/>
      <w:marRight w:val="0"/>
      <w:marTop w:val="0"/>
      <w:marBottom w:val="0"/>
      <w:divBdr>
        <w:top w:val="none" w:sz="0" w:space="0" w:color="auto"/>
        <w:left w:val="none" w:sz="0" w:space="0" w:color="auto"/>
        <w:bottom w:val="none" w:sz="0" w:space="0" w:color="auto"/>
        <w:right w:val="none" w:sz="0" w:space="0" w:color="auto"/>
      </w:divBdr>
    </w:div>
    <w:div w:id="215046245">
      <w:bodyDiv w:val="1"/>
      <w:marLeft w:val="0"/>
      <w:marRight w:val="0"/>
      <w:marTop w:val="0"/>
      <w:marBottom w:val="0"/>
      <w:divBdr>
        <w:top w:val="none" w:sz="0" w:space="0" w:color="auto"/>
        <w:left w:val="none" w:sz="0" w:space="0" w:color="auto"/>
        <w:bottom w:val="none" w:sz="0" w:space="0" w:color="auto"/>
        <w:right w:val="none" w:sz="0" w:space="0" w:color="auto"/>
      </w:divBdr>
    </w:div>
    <w:div w:id="262685772">
      <w:bodyDiv w:val="1"/>
      <w:marLeft w:val="0"/>
      <w:marRight w:val="0"/>
      <w:marTop w:val="0"/>
      <w:marBottom w:val="0"/>
      <w:divBdr>
        <w:top w:val="none" w:sz="0" w:space="0" w:color="auto"/>
        <w:left w:val="none" w:sz="0" w:space="0" w:color="auto"/>
        <w:bottom w:val="none" w:sz="0" w:space="0" w:color="auto"/>
        <w:right w:val="none" w:sz="0" w:space="0" w:color="auto"/>
      </w:divBdr>
    </w:div>
    <w:div w:id="269899125">
      <w:bodyDiv w:val="1"/>
      <w:marLeft w:val="0"/>
      <w:marRight w:val="0"/>
      <w:marTop w:val="0"/>
      <w:marBottom w:val="0"/>
      <w:divBdr>
        <w:top w:val="none" w:sz="0" w:space="0" w:color="auto"/>
        <w:left w:val="none" w:sz="0" w:space="0" w:color="auto"/>
        <w:bottom w:val="none" w:sz="0" w:space="0" w:color="auto"/>
        <w:right w:val="none" w:sz="0" w:space="0" w:color="auto"/>
      </w:divBdr>
    </w:div>
    <w:div w:id="273441076">
      <w:bodyDiv w:val="1"/>
      <w:marLeft w:val="0"/>
      <w:marRight w:val="0"/>
      <w:marTop w:val="0"/>
      <w:marBottom w:val="0"/>
      <w:divBdr>
        <w:top w:val="none" w:sz="0" w:space="0" w:color="auto"/>
        <w:left w:val="none" w:sz="0" w:space="0" w:color="auto"/>
        <w:bottom w:val="none" w:sz="0" w:space="0" w:color="auto"/>
        <w:right w:val="none" w:sz="0" w:space="0" w:color="auto"/>
      </w:divBdr>
    </w:div>
    <w:div w:id="297882548">
      <w:bodyDiv w:val="1"/>
      <w:marLeft w:val="0"/>
      <w:marRight w:val="0"/>
      <w:marTop w:val="0"/>
      <w:marBottom w:val="0"/>
      <w:divBdr>
        <w:top w:val="none" w:sz="0" w:space="0" w:color="auto"/>
        <w:left w:val="none" w:sz="0" w:space="0" w:color="auto"/>
        <w:bottom w:val="none" w:sz="0" w:space="0" w:color="auto"/>
        <w:right w:val="none" w:sz="0" w:space="0" w:color="auto"/>
      </w:divBdr>
    </w:div>
    <w:div w:id="306058400">
      <w:bodyDiv w:val="1"/>
      <w:marLeft w:val="0"/>
      <w:marRight w:val="0"/>
      <w:marTop w:val="0"/>
      <w:marBottom w:val="0"/>
      <w:divBdr>
        <w:top w:val="none" w:sz="0" w:space="0" w:color="auto"/>
        <w:left w:val="none" w:sz="0" w:space="0" w:color="auto"/>
        <w:bottom w:val="none" w:sz="0" w:space="0" w:color="auto"/>
        <w:right w:val="none" w:sz="0" w:space="0" w:color="auto"/>
      </w:divBdr>
    </w:div>
    <w:div w:id="318655691">
      <w:bodyDiv w:val="1"/>
      <w:marLeft w:val="0"/>
      <w:marRight w:val="0"/>
      <w:marTop w:val="0"/>
      <w:marBottom w:val="0"/>
      <w:divBdr>
        <w:top w:val="none" w:sz="0" w:space="0" w:color="auto"/>
        <w:left w:val="none" w:sz="0" w:space="0" w:color="auto"/>
        <w:bottom w:val="none" w:sz="0" w:space="0" w:color="auto"/>
        <w:right w:val="none" w:sz="0" w:space="0" w:color="auto"/>
      </w:divBdr>
    </w:div>
    <w:div w:id="336731942">
      <w:bodyDiv w:val="1"/>
      <w:marLeft w:val="0"/>
      <w:marRight w:val="0"/>
      <w:marTop w:val="0"/>
      <w:marBottom w:val="0"/>
      <w:divBdr>
        <w:top w:val="none" w:sz="0" w:space="0" w:color="auto"/>
        <w:left w:val="none" w:sz="0" w:space="0" w:color="auto"/>
        <w:bottom w:val="none" w:sz="0" w:space="0" w:color="auto"/>
        <w:right w:val="none" w:sz="0" w:space="0" w:color="auto"/>
      </w:divBdr>
    </w:div>
    <w:div w:id="357128258">
      <w:bodyDiv w:val="1"/>
      <w:marLeft w:val="0"/>
      <w:marRight w:val="0"/>
      <w:marTop w:val="0"/>
      <w:marBottom w:val="0"/>
      <w:divBdr>
        <w:top w:val="none" w:sz="0" w:space="0" w:color="auto"/>
        <w:left w:val="none" w:sz="0" w:space="0" w:color="auto"/>
        <w:bottom w:val="none" w:sz="0" w:space="0" w:color="auto"/>
        <w:right w:val="none" w:sz="0" w:space="0" w:color="auto"/>
      </w:divBdr>
    </w:div>
    <w:div w:id="404377108">
      <w:bodyDiv w:val="1"/>
      <w:marLeft w:val="0"/>
      <w:marRight w:val="0"/>
      <w:marTop w:val="0"/>
      <w:marBottom w:val="0"/>
      <w:divBdr>
        <w:top w:val="none" w:sz="0" w:space="0" w:color="auto"/>
        <w:left w:val="none" w:sz="0" w:space="0" w:color="auto"/>
        <w:bottom w:val="none" w:sz="0" w:space="0" w:color="auto"/>
        <w:right w:val="none" w:sz="0" w:space="0" w:color="auto"/>
      </w:divBdr>
      <w:divsChild>
        <w:div w:id="1920796488">
          <w:marLeft w:val="547"/>
          <w:marRight w:val="0"/>
          <w:marTop w:val="86"/>
          <w:marBottom w:val="0"/>
          <w:divBdr>
            <w:top w:val="none" w:sz="0" w:space="0" w:color="auto"/>
            <w:left w:val="none" w:sz="0" w:space="0" w:color="auto"/>
            <w:bottom w:val="none" w:sz="0" w:space="0" w:color="auto"/>
            <w:right w:val="none" w:sz="0" w:space="0" w:color="auto"/>
          </w:divBdr>
        </w:div>
        <w:div w:id="1069308929">
          <w:marLeft w:val="547"/>
          <w:marRight w:val="0"/>
          <w:marTop w:val="86"/>
          <w:marBottom w:val="0"/>
          <w:divBdr>
            <w:top w:val="none" w:sz="0" w:space="0" w:color="auto"/>
            <w:left w:val="none" w:sz="0" w:space="0" w:color="auto"/>
            <w:bottom w:val="none" w:sz="0" w:space="0" w:color="auto"/>
            <w:right w:val="none" w:sz="0" w:space="0" w:color="auto"/>
          </w:divBdr>
        </w:div>
        <w:div w:id="2006781125">
          <w:marLeft w:val="1166"/>
          <w:marRight w:val="0"/>
          <w:marTop w:val="86"/>
          <w:marBottom w:val="0"/>
          <w:divBdr>
            <w:top w:val="none" w:sz="0" w:space="0" w:color="auto"/>
            <w:left w:val="none" w:sz="0" w:space="0" w:color="auto"/>
            <w:bottom w:val="none" w:sz="0" w:space="0" w:color="auto"/>
            <w:right w:val="none" w:sz="0" w:space="0" w:color="auto"/>
          </w:divBdr>
        </w:div>
        <w:div w:id="22754938">
          <w:marLeft w:val="1166"/>
          <w:marRight w:val="0"/>
          <w:marTop w:val="86"/>
          <w:marBottom w:val="0"/>
          <w:divBdr>
            <w:top w:val="none" w:sz="0" w:space="0" w:color="auto"/>
            <w:left w:val="none" w:sz="0" w:space="0" w:color="auto"/>
            <w:bottom w:val="none" w:sz="0" w:space="0" w:color="auto"/>
            <w:right w:val="none" w:sz="0" w:space="0" w:color="auto"/>
          </w:divBdr>
        </w:div>
        <w:div w:id="757093740">
          <w:marLeft w:val="1166"/>
          <w:marRight w:val="0"/>
          <w:marTop w:val="86"/>
          <w:marBottom w:val="0"/>
          <w:divBdr>
            <w:top w:val="none" w:sz="0" w:space="0" w:color="auto"/>
            <w:left w:val="none" w:sz="0" w:space="0" w:color="auto"/>
            <w:bottom w:val="none" w:sz="0" w:space="0" w:color="auto"/>
            <w:right w:val="none" w:sz="0" w:space="0" w:color="auto"/>
          </w:divBdr>
        </w:div>
        <w:div w:id="90514663">
          <w:marLeft w:val="1166"/>
          <w:marRight w:val="0"/>
          <w:marTop w:val="86"/>
          <w:marBottom w:val="0"/>
          <w:divBdr>
            <w:top w:val="none" w:sz="0" w:space="0" w:color="auto"/>
            <w:left w:val="none" w:sz="0" w:space="0" w:color="auto"/>
            <w:bottom w:val="none" w:sz="0" w:space="0" w:color="auto"/>
            <w:right w:val="none" w:sz="0" w:space="0" w:color="auto"/>
          </w:divBdr>
        </w:div>
        <w:div w:id="277378487">
          <w:marLeft w:val="547"/>
          <w:marRight w:val="0"/>
          <w:marTop w:val="86"/>
          <w:marBottom w:val="0"/>
          <w:divBdr>
            <w:top w:val="none" w:sz="0" w:space="0" w:color="auto"/>
            <w:left w:val="none" w:sz="0" w:space="0" w:color="auto"/>
            <w:bottom w:val="none" w:sz="0" w:space="0" w:color="auto"/>
            <w:right w:val="none" w:sz="0" w:space="0" w:color="auto"/>
          </w:divBdr>
        </w:div>
        <w:div w:id="114756354">
          <w:marLeft w:val="547"/>
          <w:marRight w:val="0"/>
          <w:marTop w:val="86"/>
          <w:marBottom w:val="0"/>
          <w:divBdr>
            <w:top w:val="none" w:sz="0" w:space="0" w:color="auto"/>
            <w:left w:val="none" w:sz="0" w:space="0" w:color="auto"/>
            <w:bottom w:val="none" w:sz="0" w:space="0" w:color="auto"/>
            <w:right w:val="none" w:sz="0" w:space="0" w:color="auto"/>
          </w:divBdr>
        </w:div>
        <w:div w:id="1553997795">
          <w:marLeft w:val="547"/>
          <w:marRight w:val="0"/>
          <w:marTop w:val="86"/>
          <w:marBottom w:val="0"/>
          <w:divBdr>
            <w:top w:val="none" w:sz="0" w:space="0" w:color="auto"/>
            <w:left w:val="none" w:sz="0" w:space="0" w:color="auto"/>
            <w:bottom w:val="none" w:sz="0" w:space="0" w:color="auto"/>
            <w:right w:val="none" w:sz="0" w:space="0" w:color="auto"/>
          </w:divBdr>
        </w:div>
        <w:div w:id="2084378127">
          <w:marLeft w:val="547"/>
          <w:marRight w:val="0"/>
          <w:marTop w:val="86"/>
          <w:marBottom w:val="0"/>
          <w:divBdr>
            <w:top w:val="none" w:sz="0" w:space="0" w:color="auto"/>
            <w:left w:val="none" w:sz="0" w:space="0" w:color="auto"/>
            <w:bottom w:val="none" w:sz="0" w:space="0" w:color="auto"/>
            <w:right w:val="none" w:sz="0" w:space="0" w:color="auto"/>
          </w:divBdr>
        </w:div>
        <w:div w:id="288975641">
          <w:marLeft w:val="547"/>
          <w:marRight w:val="0"/>
          <w:marTop w:val="86"/>
          <w:marBottom w:val="0"/>
          <w:divBdr>
            <w:top w:val="none" w:sz="0" w:space="0" w:color="auto"/>
            <w:left w:val="none" w:sz="0" w:space="0" w:color="auto"/>
            <w:bottom w:val="none" w:sz="0" w:space="0" w:color="auto"/>
            <w:right w:val="none" w:sz="0" w:space="0" w:color="auto"/>
          </w:divBdr>
        </w:div>
        <w:div w:id="923760505">
          <w:marLeft w:val="547"/>
          <w:marRight w:val="0"/>
          <w:marTop w:val="86"/>
          <w:marBottom w:val="0"/>
          <w:divBdr>
            <w:top w:val="none" w:sz="0" w:space="0" w:color="auto"/>
            <w:left w:val="none" w:sz="0" w:space="0" w:color="auto"/>
            <w:bottom w:val="none" w:sz="0" w:space="0" w:color="auto"/>
            <w:right w:val="none" w:sz="0" w:space="0" w:color="auto"/>
          </w:divBdr>
        </w:div>
      </w:divsChild>
    </w:div>
    <w:div w:id="483618631">
      <w:bodyDiv w:val="1"/>
      <w:marLeft w:val="0"/>
      <w:marRight w:val="0"/>
      <w:marTop w:val="0"/>
      <w:marBottom w:val="0"/>
      <w:divBdr>
        <w:top w:val="none" w:sz="0" w:space="0" w:color="auto"/>
        <w:left w:val="none" w:sz="0" w:space="0" w:color="auto"/>
        <w:bottom w:val="none" w:sz="0" w:space="0" w:color="auto"/>
        <w:right w:val="none" w:sz="0" w:space="0" w:color="auto"/>
      </w:divBdr>
    </w:div>
    <w:div w:id="527717590">
      <w:bodyDiv w:val="1"/>
      <w:marLeft w:val="0"/>
      <w:marRight w:val="0"/>
      <w:marTop w:val="0"/>
      <w:marBottom w:val="0"/>
      <w:divBdr>
        <w:top w:val="none" w:sz="0" w:space="0" w:color="auto"/>
        <w:left w:val="none" w:sz="0" w:space="0" w:color="auto"/>
        <w:bottom w:val="none" w:sz="0" w:space="0" w:color="auto"/>
        <w:right w:val="none" w:sz="0" w:space="0" w:color="auto"/>
      </w:divBdr>
      <w:divsChild>
        <w:div w:id="1331369893">
          <w:marLeft w:val="0"/>
          <w:marRight w:val="0"/>
          <w:marTop w:val="100"/>
          <w:marBottom w:val="100"/>
          <w:divBdr>
            <w:top w:val="none" w:sz="0" w:space="0" w:color="auto"/>
            <w:left w:val="none" w:sz="0" w:space="0" w:color="auto"/>
            <w:bottom w:val="none" w:sz="0" w:space="0" w:color="auto"/>
            <w:right w:val="none" w:sz="0" w:space="0" w:color="auto"/>
          </w:divBdr>
          <w:divsChild>
            <w:div w:id="840699333">
              <w:marLeft w:val="0"/>
              <w:marRight w:val="0"/>
              <w:marTop w:val="0"/>
              <w:marBottom w:val="0"/>
              <w:divBdr>
                <w:top w:val="none" w:sz="0" w:space="0" w:color="auto"/>
                <w:left w:val="none" w:sz="0" w:space="0" w:color="auto"/>
                <w:bottom w:val="none" w:sz="0" w:space="0" w:color="auto"/>
                <w:right w:val="none" w:sz="0" w:space="0" w:color="auto"/>
              </w:divBdr>
              <w:divsChild>
                <w:div w:id="478888385">
                  <w:marLeft w:val="0"/>
                  <w:marRight w:val="0"/>
                  <w:marTop w:val="0"/>
                  <w:marBottom w:val="0"/>
                  <w:divBdr>
                    <w:top w:val="none" w:sz="0" w:space="0" w:color="auto"/>
                    <w:left w:val="none" w:sz="0" w:space="0" w:color="auto"/>
                    <w:bottom w:val="none" w:sz="0" w:space="0" w:color="auto"/>
                    <w:right w:val="none" w:sz="0" w:space="0" w:color="auto"/>
                  </w:divBdr>
                  <w:divsChild>
                    <w:div w:id="371660789">
                      <w:marLeft w:val="0"/>
                      <w:marRight w:val="0"/>
                      <w:marTop w:val="0"/>
                      <w:marBottom w:val="0"/>
                      <w:divBdr>
                        <w:top w:val="none" w:sz="0" w:space="0" w:color="auto"/>
                        <w:left w:val="none" w:sz="0" w:space="0" w:color="auto"/>
                        <w:bottom w:val="none" w:sz="0" w:space="0" w:color="auto"/>
                        <w:right w:val="none" w:sz="0" w:space="0" w:color="auto"/>
                      </w:divBdr>
                      <w:divsChild>
                        <w:div w:id="2360584">
                          <w:marLeft w:val="0"/>
                          <w:marRight w:val="0"/>
                          <w:marTop w:val="0"/>
                          <w:marBottom w:val="0"/>
                          <w:divBdr>
                            <w:top w:val="none" w:sz="0" w:space="0" w:color="auto"/>
                            <w:left w:val="none" w:sz="0" w:space="0" w:color="auto"/>
                            <w:bottom w:val="none" w:sz="0" w:space="0" w:color="auto"/>
                            <w:right w:val="none" w:sz="0" w:space="0" w:color="auto"/>
                          </w:divBdr>
                          <w:divsChild>
                            <w:div w:id="2066753522">
                              <w:marLeft w:val="0"/>
                              <w:marRight w:val="0"/>
                              <w:marTop w:val="0"/>
                              <w:marBottom w:val="0"/>
                              <w:divBdr>
                                <w:top w:val="none" w:sz="0" w:space="0" w:color="auto"/>
                                <w:left w:val="none" w:sz="0" w:space="0" w:color="auto"/>
                                <w:bottom w:val="none" w:sz="0" w:space="0" w:color="auto"/>
                                <w:right w:val="none" w:sz="0" w:space="0" w:color="auto"/>
                              </w:divBdr>
                              <w:divsChild>
                                <w:div w:id="1814521266">
                                  <w:marLeft w:val="0"/>
                                  <w:marRight w:val="0"/>
                                  <w:marTop w:val="0"/>
                                  <w:marBottom w:val="0"/>
                                  <w:divBdr>
                                    <w:top w:val="none" w:sz="0" w:space="0" w:color="auto"/>
                                    <w:left w:val="none" w:sz="0" w:space="0" w:color="auto"/>
                                    <w:bottom w:val="none" w:sz="0" w:space="0" w:color="auto"/>
                                    <w:right w:val="none" w:sz="0" w:space="0" w:color="auto"/>
                                  </w:divBdr>
                                </w:div>
                                <w:div w:id="1924994399">
                                  <w:marLeft w:val="0"/>
                                  <w:marRight w:val="0"/>
                                  <w:marTop w:val="0"/>
                                  <w:marBottom w:val="0"/>
                                  <w:divBdr>
                                    <w:top w:val="none" w:sz="0" w:space="0" w:color="auto"/>
                                    <w:left w:val="none" w:sz="0" w:space="0" w:color="auto"/>
                                    <w:bottom w:val="none" w:sz="0" w:space="0" w:color="auto"/>
                                    <w:right w:val="none" w:sz="0" w:space="0" w:color="auto"/>
                                  </w:divBdr>
                                  <w:divsChild>
                                    <w:div w:id="1997830959">
                                      <w:marLeft w:val="0"/>
                                      <w:marRight w:val="0"/>
                                      <w:marTop w:val="0"/>
                                      <w:marBottom w:val="150"/>
                                      <w:divBdr>
                                        <w:top w:val="none" w:sz="0" w:space="0" w:color="auto"/>
                                        <w:left w:val="none" w:sz="0" w:space="0" w:color="auto"/>
                                        <w:bottom w:val="none" w:sz="0" w:space="0" w:color="auto"/>
                                        <w:right w:val="none" w:sz="0" w:space="0" w:color="auto"/>
                                      </w:divBdr>
                                      <w:divsChild>
                                        <w:div w:id="214107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8269311">
                  <w:marLeft w:val="0"/>
                  <w:marRight w:val="675"/>
                  <w:marTop w:val="0"/>
                  <w:marBottom w:val="0"/>
                  <w:divBdr>
                    <w:top w:val="none" w:sz="0" w:space="0" w:color="auto"/>
                    <w:left w:val="none" w:sz="0" w:space="0" w:color="auto"/>
                    <w:bottom w:val="none" w:sz="0" w:space="0" w:color="auto"/>
                    <w:right w:val="none" w:sz="0" w:space="0" w:color="auto"/>
                  </w:divBdr>
                  <w:divsChild>
                    <w:div w:id="137190466">
                      <w:marLeft w:val="0"/>
                      <w:marRight w:val="0"/>
                      <w:marTop w:val="0"/>
                      <w:marBottom w:val="0"/>
                      <w:divBdr>
                        <w:top w:val="none" w:sz="0" w:space="0" w:color="auto"/>
                        <w:left w:val="none" w:sz="0" w:space="0" w:color="auto"/>
                        <w:bottom w:val="none" w:sz="0" w:space="0" w:color="auto"/>
                        <w:right w:val="none" w:sz="0" w:space="0" w:color="auto"/>
                      </w:divBdr>
                      <w:divsChild>
                        <w:div w:id="1926527065">
                          <w:marLeft w:val="0"/>
                          <w:marRight w:val="0"/>
                          <w:marTop w:val="0"/>
                          <w:marBottom w:val="0"/>
                          <w:divBdr>
                            <w:top w:val="none" w:sz="0" w:space="0" w:color="auto"/>
                            <w:left w:val="none" w:sz="0" w:space="0" w:color="auto"/>
                            <w:bottom w:val="none" w:sz="0" w:space="0" w:color="auto"/>
                            <w:right w:val="none" w:sz="0" w:space="0" w:color="auto"/>
                          </w:divBdr>
                          <w:divsChild>
                            <w:div w:id="1890460310">
                              <w:marLeft w:val="0"/>
                              <w:marRight w:val="0"/>
                              <w:marTop w:val="0"/>
                              <w:marBottom w:val="0"/>
                              <w:divBdr>
                                <w:top w:val="none" w:sz="0" w:space="0" w:color="auto"/>
                                <w:left w:val="none" w:sz="0" w:space="0" w:color="auto"/>
                                <w:bottom w:val="none" w:sz="0" w:space="0" w:color="auto"/>
                                <w:right w:val="none" w:sz="0" w:space="0" w:color="auto"/>
                              </w:divBdr>
                              <w:divsChild>
                                <w:div w:id="121577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39703839">
      <w:bodyDiv w:val="1"/>
      <w:marLeft w:val="0"/>
      <w:marRight w:val="0"/>
      <w:marTop w:val="0"/>
      <w:marBottom w:val="0"/>
      <w:divBdr>
        <w:top w:val="none" w:sz="0" w:space="0" w:color="auto"/>
        <w:left w:val="none" w:sz="0" w:space="0" w:color="auto"/>
        <w:bottom w:val="none" w:sz="0" w:space="0" w:color="auto"/>
        <w:right w:val="none" w:sz="0" w:space="0" w:color="auto"/>
      </w:divBdr>
    </w:div>
    <w:div w:id="565265431">
      <w:bodyDiv w:val="1"/>
      <w:marLeft w:val="0"/>
      <w:marRight w:val="0"/>
      <w:marTop w:val="0"/>
      <w:marBottom w:val="0"/>
      <w:divBdr>
        <w:top w:val="none" w:sz="0" w:space="0" w:color="auto"/>
        <w:left w:val="none" w:sz="0" w:space="0" w:color="auto"/>
        <w:bottom w:val="none" w:sz="0" w:space="0" w:color="auto"/>
        <w:right w:val="none" w:sz="0" w:space="0" w:color="auto"/>
      </w:divBdr>
    </w:div>
    <w:div w:id="598218919">
      <w:bodyDiv w:val="1"/>
      <w:marLeft w:val="0"/>
      <w:marRight w:val="0"/>
      <w:marTop w:val="0"/>
      <w:marBottom w:val="0"/>
      <w:divBdr>
        <w:top w:val="none" w:sz="0" w:space="0" w:color="auto"/>
        <w:left w:val="none" w:sz="0" w:space="0" w:color="auto"/>
        <w:bottom w:val="none" w:sz="0" w:space="0" w:color="auto"/>
        <w:right w:val="none" w:sz="0" w:space="0" w:color="auto"/>
      </w:divBdr>
    </w:div>
    <w:div w:id="599723023">
      <w:bodyDiv w:val="1"/>
      <w:marLeft w:val="0"/>
      <w:marRight w:val="0"/>
      <w:marTop w:val="0"/>
      <w:marBottom w:val="0"/>
      <w:divBdr>
        <w:top w:val="none" w:sz="0" w:space="0" w:color="auto"/>
        <w:left w:val="none" w:sz="0" w:space="0" w:color="auto"/>
        <w:bottom w:val="none" w:sz="0" w:space="0" w:color="auto"/>
        <w:right w:val="none" w:sz="0" w:space="0" w:color="auto"/>
      </w:divBdr>
    </w:div>
    <w:div w:id="613640080">
      <w:bodyDiv w:val="1"/>
      <w:marLeft w:val="0"/>
      <w:marRight w:val="0"/>
      <w:marTop w:val="0"/>
      <w:marBottom w:val="0"/>
      <w:divBdr>
        <w:top w:val="none" w:sz="0" w:space="0" w:color="auto"/>
        <w:left w:val="none" w:sz="0" w:space="0" w:color="auto"/>
        <w:bottom w:val="none" w:sz="0" w:space="0" w:color="auto"/>
        <w:right w:val="none" w:sz="0" w:space="0" w:color="auto"/>
      </w:divBdr>
    </w:div>
    <w:div w:id="670982911">
      <w:bodyDiv w:val="1"/>
      <w:marLeft w:val="0"/>
      <w:marRight w:val="0"/>
      <w:marTop w:val="0"/>
      <w:marBottom w:val="0"/>
      <w:divBdr>
        <w:top w:val="none" w:sz="0" w:space="0" w:color="auto"/>
        <w:left w:val="none" w:sz="0" w:space="0" w:color="auto"/>
        <w:bottom w:val="none" w:sz="0" w:space="0" w:color="auto"/>
        <w:right w:val="none" w:sz="0" w:space="0" w:color="auto"/>
      </w:divBdr>
    </w:div>
    <w:div w:id="732848699">
      <w:bodyDiv w:val="1"/>
      <w:marLeft w:val="0"/>
      <w:marRight w:val="0"/>
      <w:marTop w:val="0"/>
      <w:marBottom w:val="0"/>
      <w:divBdr>
        <w:top w:val="none" w:sz="0" w:space="0" w:color="auto"/>
        <w:left w:val="none" w:sz="0" w:space="0" w:color="auto"/>
        <w:bottom w:val="none" w:sz="0" w:space="0" w:color="auto"/>
        <w:right w:val="none" w:sz="0" w:space="0" w:color="auto"/>
      </w:divBdr>
    </w:div>
    <w:div w:id="732971660">
      <w:bodyDiv w:val="1"/>
      <w:marLeft w:val="0"/>
      <w:marRight w:val="0"/>
      <w:marTop w:val="0"/>
      <w:marBottom w:val="0"/>
      <w:divBdr>
        <w:top w:val="none" w:sz="0" w:space="0" w:color="auto"/>
        <w:left w:val="none" w:sz="0" w:space="0" w:color="auto"/>
        <w:bottom w:val="none" w:sz="0" w:space="0" w:color="auto"/>
        <w:right w:val="none" w:sz="0" w:space="0" w:color="auto"/>
      </w:divBdr>
    </w:div>
    <w:div w:id="742333748">
      <w:bodyDiv w:val="1"/>
      <w:marLeft w:val="0"/>
      <w:marRight w:val="0"/>
      <w:marTop w:val="0"/>
      <w:marBottom w:val="0"/>
      <w:divBdr>
        <w:top w:val="none" w:sz="0" w:space="0" w:color="auto"/>
        <w:left w:val="none" w:sz="0" w:space="0" w:color="auto"/>
        <w:bottom w:val="none" w:sz="0" w:space="0" w:color="auto"/>
        <w:right w:val="none" w:sz="0" w:space="0" w:color="auto"/>
      </w:divBdr>
    </w:div>
    <w:div w:id="772213701">
      <w:bodyDiv w:val="1"/>
      <w:marLeft w:val="0"/>
      <w:marRight w:val="0"/>
      <w:marTop w:val="0"/>
      <w:marBottom w:val="0"/>
      <w:divBdr>
        <w:top w:val="none" w:sz="0" w:space="0" w:color="auto"/>
        <w:left w:val="none" w:sz="0" w:space="0" w:color="auto"/>
        <w:bottom w:val="none" w:sz="0" w:space="0" w:color="auto"/>
        <w:right w:val="none" w:sz="0" w:space="0" w:color="auto"/>
      </w:divBdr>
    </w:div>
    <w:div w:id="777676450">
      <w:bodyDiv w:val="1"/>
      <w:marLeft w:val="0"/>
      <w:marRight w:val="0"/>
      <w:marTop w:val="0"/>
      <w:marBottom w:val="0"/>
      <w:divBdr>
        <w:top w:val="none" w:sz="0" w:space="0" w:color="auto"/>
        <w:left w:val="none" w:sz="0" w:space="0" w:color="auto"/>
        <w:bottom w:val="none" w:sz="0" w:space="0" w:color="auto"/>
        <w:right w:val="none" w:sz="0" w:space="0" w:color="auto"/>
      </w:divBdr>
    </w:div>
    <w:div w:id="829515423">
      <w:bodyDiv w:val="1"/>
      <w:marLeft w:val="0"/>
      <w:marRight w:val="0"/>
      <w:marTop w:val="0"/>
      <w:marBottom w:val="0"/>
      <w:divBdr>
        <w:top w:val="none" w:sz="0" w:space="0" w:color="auto"/>
        <w:left w:val="none" w:sz="0" w:space="0" w:color="auto"/>
        <w:bottom w:val="none" w:sz="0" w:space="0" w:color="auto"/>
        <w:right w:val="none" w:sz="0" w:space="0" w:color="auto"/>
      </w:divBdr>
    </w:div>
    <w:div w:id="835606120">
      <w:bodyDiv w:val="1"/>
      <w:marLeft w:val="0"/>
      <w:marRight w:val="0"/>
      <w:marTop w:val="0"/>
      <w:marBottom w:val="0"/>
      <w:divBdr>
        <w:top w:val="none" w:sz="0" w:space="0" w:color="auto"/>
        <w:left w:val="none" w:sz="0" w:space="0" w:color="auto"/>
        <w:bottom w:val="none" w:sz="0" w:space="0" w:color="auto"/>
        <w:right w:val="none" w:sz="0" w:space="0" w:color="auto"/>
      </w:divBdr>
    </w:div>
    <w:div w:id="864363025">
      <w:bodyDiv w:val="1"/>
      <w:marLeft w:val="0"/>
      <w:marRight w:val="0"/>
      <w:marTop w:val="0"/>
      <w:marBottom w:val="0"/>
      <w:divBdr>
        <w:top w:val="none" w:sz="0" w:space="0" w:color="auto"/>
        <w:left w:val="none" w:sz="0" w:space="0" w:color="auto"/>
        <w:bottom w:val="none" w:sz="0" w:space="0" w:color="auto"/>
        <w:right w:val="none" w:sz="0" w:space="0" w:color="auto"/>
      </w:divBdr>
    </w:div>
    <w:div w:id="876117212">
      <w:bodyDiv w:val="1"/>
      <w:marLeft w:val="0"/>
      <w:marRight w:val="0"/>
      <w:marTop w:val="0"/>
      <w:marBottom w:val="0"/>
      <w:divBdr>
        <w:top w:val="none" w:sz="0" w:space="0" w:color="auto"/>
        <w:left w:val="none" w:sz="0" w:space="0" w:color="auto"/>
        <w:bottom w:val="none" w:sz="0" w:space="0" w:color="auto"/>
        <w:right w:val="none" w:sz="0" w:space="0" w:color="auto"/>
      </w:divBdr>
    </w:div>
    <w:div w:id="903033109">
      <w:bodyDiv w:val="1"/>
      <w:marLeft w:val="0"/>
      <w:marRight w:val="0"/>
      <w:marTop w:val="0"/>
      <w:marBottom w:val="0"/>
      <w:divBdr>
        <w:top w:val="none" w:sz="0" w:space="0" w:color="auto"/>
        <w:left w:val="none" w:sz="0" w:space="0" w:color="auto"/>
        <w:bottom w:val="none" w:sz="0" w:space="0" w:color="auto"/>
        <w:right w:val="none" w:sz="0" w:space="0" w:color="auto"/>
      </w:divBdr>
      <w:divsChild>
        <w:div w:id="535847030">
          <w:marLeft w:val="0"/>
          <w:marRight w:val="0"/>
          <w:marTop w:val="0"/>
          <w:marBottom w:val="0"/>
          <w:divBdr>
            <w:top w:val="none" w:sz="0" w:space="0" w:color="auto"/>
            <w:left w:val="none" w:sz="0" w:space="0" w:color="auto"/>
            <w:bottom w:val="none" w:sz="0" w:space="0" w:color="auto"/>
            <w:right w:val="none" w:sz="0" w:space="0" w:color="auto"/>
          </w:divBdr>
          <w:divsChild>
            <w:div w:id="25173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930332">
      <w:bodyDiv w:val="1"/>
      <w:marLeft w:val="0"/>
      <w:marRight w:val="0"/>
      <w:marTop w:val="0"/>
      <w:marBottom w:val="0"/>
      <w:divBdr>
        <w:top w:val="none" w:sz="0" w:space="0" w:color="auto"/>
        <w:left w:val="none" w:sz="0" w:space="0" w:color="auto"/>
        <w:bottom w:val="none" w:sz="0" w:space="0" w:color="auto"/>
        <w:right w:val="none" w:sz="0" w:space="0" w:color="auto"/>
      </w:divBdr>
    </w:div>
    <w:div w:id="919800541">
      <w:bodyDiv w:val="1"/>
      <w:marLeft w:val="0"/>
      <w:marRight w:val="0"/>
      <w:marTop w:val="0"/>
      <w:marBottom w:val="0"/>
      <w:divBdr>
        <w:top w:val="none" w:sz="0" w:space="0" w:color="auto"/>
        <w:left w:val="none" w:sz="0" w:space="0" w:color="auto"/>
        <w:bottom w:val="none" w:sz="0" w:space="0" w:color="auto"/>
        <w:right w:val="none" w:sz="0" w:space="0" w:color="auto"/>
      </w:divBdr>
    </w:div>
    <w:div w:id="925386344">
      <w:bodyDiv w:val="1"/>
      <w:marLeft w:val="0"/>
      <w:marRight w:val="0"/>
      <w:marTop w:val="0"/>
      <w:marBottom w:val="0"/>
      <w:divBdr>
        <w:top w:val="none" w:sz="0" w:space="0" w:color="auto"/>
        <w:left w:val="none" w:sz="0" w:space="0" w:color="auto"/>
        <w:bottom w:val="none" w:sz="0" w:space="0" w:color="auto"/>
        <w:right w:val="none" w:sz="0" w:space="0" w:color="auto"/>
      </w:divBdr>
    </w:div>
    <w:div w:id="934096533">
      <w:bodyDiv w:val="1"/>
      <w:marLeft w:val="0"/>
      <w:marRight w:val="0"/>
      <w:marTop w:val="0"/>
      <w:marBottom w:val="0"/>
      <w:divBdr>
        <w:top w:val="none" w:sz="0" w:space="0" w:color="auto"/>
        <w:left w:val="none" w:sz="0" w:space="0" w:color="auto"/>
        <w:bottom w:val="none" w:sz="0" w:space="0" w:color="auto"/>
        <w:right w:val="none" w:sz="0" w:space="0" w:color="auto"/>
      </w:divBdr>
    </w:div>
    <w:div w:id="934098386">
      <w:bodyDiv w:val="1"/>
      <w:marLeft w:val="0"/>
      <w:marRight w:val="0"/>
      <w:marTop w:val="0"/>
      <w:marBottom w:val="0"/>
      <w:divBdr>
        <w:top w:val="none" w:sz="0" w:space="0" w:color="auto"/>
        <w:left w:val="none" w:sz="0" w:space="0" w:color="auto"/>
        <w:bottom w:val="none" w:sz="0" w:space="0" w:color="auto"/>
        <w:right w:val="none" w:sz="0" w:space="0" w:color="auto"/>
      </w:divBdr>
    </w:div>
    <w:div w:id="1005478107">
      <w:bodyDiv w:val="1"/>
      <w:marLeft w:val="0"/>
      <w:marRight w:val="0"/>
      <w:marTop w:val="0"/>
      <w:marBottom w:val="0"/>
      <w:divBdr>
        <w:top w:val="none" w:sz="0" w:space="0" w:color="auto"/>
        <w:left w:val="none" w:sz="0" w:space="0" w:color="auto"/>
        <w:bottom w:val="none" w:sz="0" w:space="0" w:color="auto"/>
        <w:right w:val="none" w:sz="0" w:space="0" w:color="auto"/>
      </w:divBdr>
    </w:div>
    <w:div w:id="1006177442">
      <w:bodyDiv w:val="1"/>
      <w:marLeft w:val="0"/>
      <w:marRight w:val="0"/>
      <w:marTop w:val="0"/>
      <w:marBottom w:val="0"/>
      <w:divBdr>
        <w:top w:val="none" w:sz="0" w:space="0" w:color="auto"/>
        <w:left w:val="none" w:sz="0" w:space="0" w:color="auto"/>
        <w:bottom w:val="none" w:sz="0" w:space="0" w:color="auto"/>
        <w:right w:val="none" w:sz="0" w:space="0" w:color="auto"/>
      </w:divBdr>
    </w:div>
    <w:div w:id="1011223096">
      <w:bodyDiv w:val="1"/>
      <w:marLeft w:val="0"/>
      <w:marRight w:val="0"/>
      <w:marTop w:val="0"/>
      <w:marBottom w:val="0"/>
      <w:divBdr>
        <w:top w:val="none" w:sz="0" w:space="0" w:color="auto"/>
        <w:left w:val="none" w:sz="0" w:space="0" w:color="auto"/>
        <w:bottom w:val="none" w:sz="0" w:space="0" w:color="auto"/>
        <w:right w:val="none" w:sz="0" w:space="0" w:color="auto"/>
      </w:divBdr>
    </w:div>
    <w:div w:id="1028725961">
      <w:bodyDiv w:val="1"/>
      <w:marLeft w:val="0"/>
      <w:marRight w:val="0"/>
      <w:marTop w:val="0"/>
      <w:marBottom w:val="0"/>
      <w:divBdr>
        <w:top w:val="none" w:sz="0" w:space="0" w:color="auto"/>
        <w:left w:val="none" w:sz="0" w:space="0" w:color="auto"/>
        <w:bottom w:val="none" w:sz="0" w:space="0" w:color="auto"/>
        <w:right w:val="none" w:sz="0" w:space="0" w:color="auto"/>
      </w:divBdr>
    </w:div>
    <w:div w:id="1104612370">
      <w:bodyDiv w:val="1"/>
      <w:marLeft w:val="0"/>
      <w:marRight w:val="0"/>
      <w:marTop w:val="0"/>
      <w:marBottom w:val="0"/>
      <w:divBdr>
        <w:top w:val="none" w:sz="0" w:space="0" w:color="auto"/>
        <w:left w:val="none" w:sz="0" w:space="0" w:color="auto"/>
        <w:bottom w:val="none" w:sz="0" w:space="0" w:color="auto"/>
        <w:right w:val="none" w:sz="0" w:space="0" w:color="auto"/>
      </w:divBdr>
    </w:div>
    <w:div w:id="1125849115">
      <w:bodyDiv w:val="1"/>
      <w:marLeft w:val="0"/>
      <w:marRight w:val="0"/>
      <w:marTop w:val="0"/>
      <w:marBottom w:val="0"/>
      <w:divBdr>
        <w:top w:val="none" w:sz="0" w:space="0" w:color="auto"/>
        <w:left w:val="none" w:sz="0" w:space="0" w:color="auto"/>
        <w:bottom w:val="none" w:sz="0" w:space="0" w:color="auto"/>
        <w:right w:val="none" w:sz="0" w:space="0" w:color="auto"/>
      </w:divBdr>
    </w:div>
    <w:div w:id="1128355869">
      <w:bodyDiv w:val="1"/>
      <w:marLeft w:val="0"/>
      <w:marRight w:val="0"/>
      <w:marTop w:val="0"/>
      <w:marBottom w:val="0"/>
      <w:divBdr>
        <w:top w:val="none" w:sz="0" w:space="0" w:color="auto"/>
        <w:left w:val="none" w:sz="0" w:space="0" w:color="auto"/>
        <w:bottom w:val="none" w:sz="0" w:space="0" w:color="auto"/>
        <w:right w:val="none" w:sz="0" w:space="0" w:color="auto"/>
      </w:divBdr>
    </w:div>
    <w:div w:id="1144347429">
      <w:bodyDiv w:val="1"/>
      <w:marLeft w:val="0"/>
      <w:marRight w:val="0"/>
      <w:marTop w:val="0"/>
      <w:marBottom w:val="0"/>
      <w:divBdr>
        <w:top w:val="none" w:sz="0" w:space="0" w:color="auto"/>
        <w:left w:val="none" w:sz="0" w:space="0" w:color="auto"/>
        <w:bottom w:val="none" w:sz="0" w:space="0" w:color="auto"/>
        <w:right w:val="none" w:sz="0" w:space="0" w:color="auto"/>
      </w:divBdr>
    </w:div>
    <w:div w:id="1173105045">
      <w:bodyDiv w:val="1"/>
      <w:marLeft w:val="0"/>
      <w:marRight w:val="0"/>
      <w:marTop w:val="0"/>
      <w:marBottom w:val="0"/>
      <w:divBdr>
        <w:top w:val="none" w:sz="0" w:space="0" w:color="auto"/>
        <w:left w:val="none" w:sz="0" w:space="0" w:color="auto"/>
        <w:bottom w:val="none" w:sz="0" w:space="0" w:color="auto"/>
        <w:right w:val="none" w:sz="0" w:space="0" w:color="auto"/>
      </w:divBdr>
    </w:div>
    <w:div w:id="1216426091">
      <w:bodyDiv w:val="1"/>
      <w:marLeft w:val="0"/>
      <w:marRight w:val="0"/>
      <w:marTop w:val="0"/>
      <w:marBottom w:val="0"/>
      <w:divBdr>
        <w:top w:val="none" w:sz="0" w:space="0" w:color="auto"/>
        <w:left w:val="none" w:sz="0" w:space="0" w:color="auto"/>
        <w:bottom w:val="none" w:sz="0" w:space="0" w:color="auto"/>
        <w:right w:val="none" w:sz="0" w:space="0" w:color="auto"/>
      </w:divBdr>
    </w:div>
    <w:div w:id="1234706032">
      <w:bodyDiv w:val="1"/>
      <w:marLeft w:val="0"/>
      <w:marRight w:val="0"/>
      <w:marTop w:val="0"/>
      <w:marBottom w:val="0"/>
      <w:divBdr>
        <w:top w:val="none" w:sz="0" w:space="0" w:color="auto"/>
        <w:left w:val="none" w:sz="0" w:space="0" w:color="auto"/>
        <w:bottom w:val="none" w:sz="0" w:space="0" w:color="auto"/>
        <w:right w:val="none" w:sz="0" w:space="0" w:color="auto"/>
      </w:divBdr>
    </w:div>
    <w:div w:id="1252816546">
      <w:bodyDiv w:val="1"/>
      <w:marLeft w:val="0"/>
      <w:marRight w:val="0"/>
      <w:marTop w:val="0"/>
      <w:marBottom w:val="0"/>
      <w:divBdr>
        <w:top w:val="none" w:sz="0" w:space="0" w:color="auto"/>
        <w:left w:val="none" w:sz="0" w:space="0" w:color="auto"/>
        <w:bottom w:val="none" w:sz="0" w:space="0" w:color="auto"/>
        <w:right w:val="none" w:sz="0" w:space="0" w:color="auto"/>
      </w:divBdr>
    </w:div>
    <w:div w:id="1262375941">
      <w:bodyDiv w:val="1"/>
      <w:marLeft w:val="0"/>
      <w:marRight w:val="0"/>
      <w:marTop w:val="0"/>
      <w:marBottom w:val="0"/>
      <w:divBdr>
        <w:top w:val="none" w:sz="0" w:space="0" w:color="auto"/>
        <w:left w:val="none" w:sz="0" w:space="0" w:color="auto"/>
        <w:bottom w:val="none" w:sz="0" w:space="0" w:color="auto"/>
        <w:right w:val="none" w:sz="0" w:space="0" w:color="auto"/>
      </w:divBdr>
    </w:div>
    <w:div w:id="1278946181">
      <w:bodyDiv w:val="1"/>
      <w:marLeft w:val="0"/>
      <w:marRight w:val="0"/>
      <w:marTop w:val="0"/>
      <w:marBottom w:val="0"/>
      <w:divBdr>
        <w:top w:val="none" w:sz="0" w:space="0" w:color="auto"/>
        <w:left w:val="none" w:sz="0" w:space="0" w:color="auto"/>
        <w:bottom w:val="none" w:sz="0" w:space="0" w:color="auto"/>
        <w:right w:val="none" w:sz="0" w:space="0" w:color="auto"/>
      </w:divBdr>
    </w:div>
    <w:div w:id="1283079281">
      <w:bodyDiv w:val="1"/>
      <w:marLeft w:val="0"/>
      <w:marRight w:val="0"/>
      <w:marTop w:val="0"/>
      <w:marBottom w:val="0"/>
      <w:divBdr>
        <w:top w:val="none" w:sz="0" w:space="0" w:color="auto"/>
        <w:left w:val="none" w:sz="0" w:space="0" w:color="auto"/>
        <w:bottom w:val="none" w:sz="0" w:space="0" w:color="auto"/>
        <w:right w:val="none" w:sz="0" w:space="0" w:color="auto"/>
      </w:divBdr>
    </w:div>
    <w:div w:id="1286303599">
      <w:bodyDiv w:val="1"/>
      <w:marLeft w:val="0"/>
      <w:marRight w:val="0"/>
      <w:marTop w:val="0"/>
      <w:marBottom w:val="0"/>
      <w:divBdr>
        <w:top w:val="none" w:sz="0" w:space="0" w:color="auto"/>
        <w:left w:val="none" w:sz="0" w:space="0" w:color="auto"/>
        <w:bottom w:val="none" w:sz="0" w:space="0" w:color="auto"/>
        <w:right w:val="none" w:sz="0" w:space="0" w:color="auto"/>
      </w:divBdr>
    </w:div>
    <w:div w:id="1335376417">
      <w:bodyDiv w:val="1"/>
      <w:marLeft w:val="0"/>
      <w:marRight w:val="0"/>
      <w:marTop w:val="0"/>
      <w:marBottom w:val="0"/>
      <w:divBdr>
        <w:top w:val="none" w:sz="0" w:space="0" w:color="auto"/>
        <w:left w:val="none" w:sz="0" w:space="0" w:color="auto"/>
        <w:bottom w:val="none" w:sz="0" w:space="0" w:color="auto"/>
        <w:right w:val="none" w:sz="0" w:space="0" w:color="auto"/>
      </w:divBdr>
    </w:div>
    <w:div w:id="1384985309">
      <w:bodyDiv w:val="1"/>
      <w:marLeft w:val="0"/>
      <w:marRight w:val="0"/>
      <w:marTop w:val="0"/>
      <w:marBottom w:val="0"/>
      <w:divBdr>
        <w:top w:val="none" w:sz="0" w:space="0" w:color="auto"/>
        <w:left w:val="none" w:sz="0" w:space="0" w:color="auto"/>
        <w:bottom w:val="none" w:sz="0" w:space="0" w:color="auto"/>
        <w:right w:val="none" w:sz="0" w:space="0" w:color="auto"/>
      </w:divBdr>
    </w:div>
    <w:div w:id="1394350836">
      <w:bodyDiv w:val="1"/>
      <w:marLeft w:val="0"/>
      <w:marRight w:val="0"/>
      <w:marTop w:val="0"/>
      <w:marBottom w:val="0"/>
      <w:divBdr>
        <w:top w:val="none" w:sz="0" w:space="0" w:color="auto"/>
        <w:left w:val="none" w:sz="0" w:space="0" w:color="auto"/>
        <w:bottom w:val="none" w:sz="0" w:space="0" w:color="auto"/>
        <w:right w:val="none" w:sz="0" w:space="0" w:color="auto"/>
      </w:divBdr>
    </w:div>
    <w:div w:id="1404376262">
      <w:bodyDiv w:val="1"/>
      <w:marLeft w:val="0"/>
      <w:marRight w:val="0"/>
      <w:marTop w:val="0"/>
      <w:marBottom w:val="0"/>
      <w:divBdr>
        <w:top w:val="none" w:sz="0" w:space="0" w:color="auto"/>
        <w:left w:val="none" w:sz="0" w:space="0" w:color="auto"/>
        <w:bottom w:val="none" w:sz="0" w:space="0" w:color="auto"/>
        <w:right w:val="none" w:sz="0" w:space="0" w:color="auto"/>
      </w:divBdr>
    </w:div>
    <w:div w:id="1409500048">
      <w:bodyDiv w:val="1"/>
      <w:marLeft w:val="0"/>
      <w:marRight w:val="0"/>
      <w:marTop w:val="0"/>
      <w:marBottom w:val="0"/>
      <w:divBdr>
        <w:top w:val="none" w:sz="0" w:space="0" w:color="auto"/>
        <w:left w:val="none" w:sz="0" w:space="0" w:color="auto"/>
        <w:bottom w:val="none" w:sz="0" w:space="0" w:color="auto"/>
        <w:right w:val="none" w:sz="0" w:space="0" w:color="auto"/>
      </w:divBdr>
    </w:div>
    <w:div w:id="1449201966">
      <w:bodyDiv w:val="1"/>
      <w:marLeft w:val="0"/>
      <w:marRight w:val="0"/>
      <w:marTop w:val="0"/>
      <w:marBottom w:val="0"/>
      <w:divBdr>
        <w:top w:val="none" w:sz="0" w:space="0" w:color="auto"/>
        <w:left w:val="none" w:sz="0" w:space="0" w:color="auto"/>
        <w:bottom w:val="none" w:sz="0" w:space="0" w:color="auto"/>
        <w:right w:val="none" w:sz="0" w:space="0" w:color="auto"/>
      </w:divBdr>
    </w:div>
    <w:div w:id="1466895181">
      <w:bodyDiv w:val="1"/>
      <w:marLeft w:val="0"/>
      <w:marRight w:val="0"/>
      <w:marTop w:val="0"/>
      <w:marBottom w:val="0"/>
      <w:divBdr>
        <w:top w:val="none" w:sz="0" w:space="0" w:color="auto"/>
        <w:left w:val="none" w:sz="0" w:space="0" w:color="auto"/>
        <w:bottom w:val="none" w:sz="0" w:space="0" w:color="auto"/>
        <w:right w:val="none" w:sz="0" w:space="0" w:color="auto"/>
      </w:divBdr>
    </w:div>
    <w:div w:id="1499467643">
      <w:bodyDiv w:val="1"/>
      <w:marLeft w:val="0"/>
      <w:marRight w:val="0"/>
      <w:marTop w:val="0"/>
      <w:marBottom w:val="0"/>
      <w:divBdr>
        <w:top w:val="none" w:sz="0" w:space="0" w:color="auto"/>
        <w:left w:val="none" w:sz="0" w:space="0" w:color="auto"/>
        <w:bottom w:val="none" w:sz="0" w:space="0" w:color="auto"/>
        <w:right w:val="none" w:sz="0" w:space="0" w:color="auto"/>
      </w:divBdr>
    </w:div>
    <w:div w:id="1516263936">
      <w:bodyDiv w:val="1"/>
      <w:marLeft w:val="0"/>
      <w:marRight w:val="0"/>
      <w:marTop w:val="0"/>
      <w:marBottom w:val="0"/>
      <w:divBdr>
        <w:top w:val="none" w:sz="0" w:space="0" w:color="auto"/>
        <w:left w:val="none" w:sz="0" w:space="0" w:color="auto"/>
        <w:bottom w:val="none" w:sz="0" w:space="0" w:color="auto"/>
        <w:right w:val="none" w:sz="0" w:space="0" w:color="auto"/>
      </w:divBdr>
    </w:div>
    <w:div w:id="1556820326">
      <w:bodyDiv w:val="1"/>
      <w:marLeft w:val="0"/>
      <w:marRight w:val="0"/>
      <w:marTop w:val="0"/>
      <w:marBottom w:val="0"/>
      <w:divBdr>
        <w:top w:val="none" w:sz="0" w:space="0" w:color="auto"/>
        <w:left w:val="none" w:sz="0" w:space="0" w:color="auto"/>
        <w:bottom w:val="none" w:sz="0" w:space="0" w:color="auto"/>
        <w:right w:val="none" w:sz="0" w:space="0" w:color="auto"/>
      </w:divBdr>
    </w:div>
    <w:div w:id="1611205862">
      <w:bodyDiv w:val="1"/>
      <w:marLeft w:val="0"/>
      <w:marRight w:val="0"/>
      <w:marTop w:val="0"/>
      <w:marBottom w:val="0"/>
      <w:divBdr>
        <w:top w:val="none" w:sz="0" w:space="0" w:color="auto"/>
        <w:left w:val="none" w:sz="0" w:space="0" w:color="auto"/>
        <w:bottom w:val="none" w:sz="0" w:space="0" w:color="auto"/>
        <w:right w:val="none" w:sz="0" w:space="0" w:color="auto"/>
      </w:divBdr>
    </w:div>
    <w:div w:id="1676572379">
      <w:bodyDiv w:val="1"/>
      <w:marLeft w:val="0"/>
      <w:marRight w:val="0"/>
      <w:marTop w:val="0"/>
      <w:marBottom w:val="0"/>
      <w:divBdr>
        <w:top w:val="none" w:sz="0" w:space="0" w:color="auto"/>
        <w:left w:val="none" w:sz="0" w:space="0" w:color="auto"/>
        <w:bottom w:val="none" w:sz="0" w:space="0" w:color="auto"/>
        <w:right w:val="none" w:sz="0" w:space="0" w:color="auto"/>
      </w:divBdr>
    </w:div>
    <w:div w:id="1696615339">
      <w:bodyDiv w:val="1"/>
      <w:marLeft w:val="0"/>
      <w:marRight w:val="0"/>
      <w:marTop w:val="0"/>
      <w:marBottom w:val="0"/>
      <w:divBdr>
        <w:top w:val="none" w:sz="0" w:space="0" w:color="auto"/>
        <w:left w:val="none" w:sz="0" w:space="0" w:color="auto"/>
        <w:bottom w:val="none" w:sz="0" w:space="0" w:color="auto"/>
        <w:right w:val="none" w:sz="0" w:space="0" w:color="auto"/>
      </w:divBdr>
    </w:div>
    <w:div w:id="1729960769">
      <w:bodyDiv w:val="1"/>
      <w:marLeft w:val="0"/>
      <w:marRight w:val="0"/>
      <w:marTop w:val="0"/>
      <w:marBottom w:val="0"/>
      <w:divBdr>
        <w:top w:val="none" w:sz="0" w:space="0" w:color="auto"/>
        <w:left w:val="none" w:sz="0" w:space="0" w:color="auto"/>
        <w:bottom w:val="none" w:sz="0" w:space="0" w:color="auto"/>
        <w:right w:val="none" w:sz="0" w:space="0" w:color="auto"/>
      </w:divBdr>
    </w:div>
    <w:div w:id="1758556115">
      <w:bodyDiv w:val="1"/>
      <w:marLeft w:val="0"/>
      <w:marRight w:val="0"/>
      <w:marTop w:val="0"/>
      <w:marBottom w:val="0"/>
      <w:divBdr>
        <w:top w:val="none" w:sz="0" w:space="0" w:color="auto"/>
        <w:left w:val="none" w:sz="0" w:space="0" w:color="auto"/>
        <w:bottom w:val="none" w:sz="0" w:space="0" w:color="auto"/>
        <w:right w:val="none" w:sz="0" w:space="0" w:color="auto"/>
      </w:divBdr>
    </w:div>
    <w:div w:id="1762556781">
      <w:bodyDiv w:val="1"/>
      <w:marLeft w:val="0"/>
      <w:marRight w:val="0"/>
      <w:marTop w:val="0"/>
      <w:marBottom w:val="0"/>
      <w:divBdr>
        <w:top w:val="none" w:sz="0" w:space="0" w:color="auto"/>
        <w:left w:val="none" w:sz="0" w:space="0" w:color="auto"/>
        <w:bottom w:val="none" w:sz="0" w:space="0" w:color="auto"/>
        <w:right w:val="none" w:sz="0" w:space="0" w:color="auto"/>
      </w:divBdr>
    </w:div>
    <w:div w:id="1785031925">
      <w:bodyDiv w:val="1"/>
      <w:marLeft w:val="0"/>
      <w:marRight w:val="0"/>
      <w:marTop w:val="0"/>
      <w:marBottom w:val="0"/>
      <w:divBdr>
        <w:top w:val="none" w:sz="0" w:space="0" w:color="auto"/>
        <w:left w:val="none" w:sz="0" w:space="0" w:color="auto"/>
        <w:bottom w:val="none" w:sz="0" w:space="0" w:color="auto"/>
        <w:right w:val="none" w:sz="0" w:space="0" w:color="auto"/>
      </w:divBdr>
    </w:div>
    <w:div w:id="1789931206">
      <w:bodyDiv w:val="1"/>
      <w:marLeft w:val="0"/>
      <w:marRight w:val="0"/>
      <w:marTop w:val="0"/>
      <w:marBottom w:val="0"/>
      <w:divBdr>
        <w:top w:val="none" w:sz="0" w:space="0" w:color="auto"/>
        <w:left w:val="none" w:sz="0" w:space="0" w:color="auto"/>
        <w:bottom w:val="none" w:sz="0" w:space="0" w:color="auto"/>
        <w:right w:val="none" w:sz="0" w:space="0" w:color="auto"/>
      </w:divBdr>
    </w:div>
    <w:div w:id="1795249966">
      <w:bodyDiv w:val="1"/>
      <w:marLeft w:val="0"/>
      <w:marRight w:val="0"/>
      <w:marTop w:val="0"/>
      <w:marBottom w:val="0"/>
      <w:divBdr>
        <w:top w:val="none" w:sz="0" w:space="0" w:color="auto"/>
        <w:left w:val="none" w:sz="0" w:space="0" w:color="auto"/>
        <w:bottom w:val="none" w:sz="0" w:space="0" w:color="auto"/>
        <w:right w:val="none" w:sz="0" w:space="0" w:color="auto"/>
      </w:divBdr>
    </w:div>
    <w:div w:id="1817408337">
      <w:bodyDiv w:val="1"/>
      <w:marLeft w:val="0"/>
      <w:marRight w:val="0"/>
      <w:marTop w:val="0"/>
      <w:marBottom w:val="0"/>
      <w:divBdr>
        <w:top w:val="none" w:sz="0" w:space="0" w:color="auto"/>
        <w:left w:val="none" w:sz="0" w:space="0" w:color="auto"/>
        <w:bottom w:val="none" w:sz="0" w:space="0" w:color="auto"/>
        <w:right w:val="none" w:sz="0" w:space="0" w:color="auto"/>
      </w:divBdr>
    </w:div>
    <w:div w:id="1850097196">
      <w:bodyDiv w:val="1"/>
      <w:marLeft w:val="0"/>
      <w:marRight w:val="0"/>
      <w:marTop w:val="0"/>
      <w:marBottom w:val="0"/>
      <w:divBdr>
        <w:top w:val="none" w:sz="0" w:space="0" w:color="auto"/>
        <w:left w:val="none" w:sz="0" w:space="0" w:color="auto"/>
        <w:bottom w:val="none" w:sz="0" w:space="0" w:color="auto"/>
        <w:right w:val="none" w:sz="0" w:space="0" w:color="auto"/>
      </w:divBdr>
    </w:div>
    <w:div w:id="1868054626">
      <w:bodyDiv w:val="1"/>
      <w:marLeft w:val="0"/>
      <w:marRight w:val="0"/>
      <w:marTop w:val="0"/>
      <w:marBottom w:val="0"/>
      <w:divBdr>
        <w:top w:val="none" w:sz="0" w:space="0" w:color="auto"/>
        <w:left w:val="none" w:sz="0" w:space="0" w:color="auto"/>
        <w:bottom w:val="none" w:sz="0" w:space="0" w:color="auto"/>
        <w:right w:val="none" w:sz="0" w:space="0" w:color="auto"/>
      </w:divBdr>
    </w:div>
    <w:div w:id="1868177510">
      <w:bodyDiv w:val="1"/>
      <w:marLeft w:val="0"/>
      <w:marRight w:val="0"/>
      <w:marTop w:val="0"/>
      <w:marBottom w:val="0"/>
      <w:divBdr>
        <w:top w:val="none" w:sz="0" w:space="0" w:color="auto"/>
        <w:left w:val="none" w:sz="0" w:space="0" w:color="auto"/>
        <w:bottom w:val="none" w:sz="0" w:space="0" w:color="auto"/>
        <w:right w:val="none" w:sz="0" w:space="0" w:color="auto"/>
      </w:divBdr>
    </w:div>
    <w:div w:id="1883520919">
      <w:bodyDiv w:val="1"/>
      <w:marLeft w:val="0"/>
      <w:marRight w:val="0"/>
      <w:marTop w:val="0"/>
      <w:marBottom w:val="0"/>
      <w:divBdr>
        <w:top w:val="none" w:sz="0" w:space="0" w:color="auto"/>
        <w:left w:val="none" w:sz="0" w:space="0" w:color="auto"/>
        <w:bottom w:val="none" w:sz="0" w:space="0" w:color="auto"/>
        <w:right w:val="none" w:sz="0" w:space="0" w:color="auto"/>
      </w:divBdr>
    </w:div>
    <w:div w:id="1911234756">
      <w:bodyDiv w:val="1"/>
      <w:marLeft w:val="0"/>
      <w:marRight w:val="0"/>
      <w:marTop w:val="0"/>
      <w:marBottom w:val="0"/>
      <w:divBdr>
        <w:top w:val="none" w:sz="0" w:space="0" w:color="auto"/>
        <w:left w:val="none" w:sz="0" w:space="0" w:color="auto"/>
        <w:bottom w:val="none" w:sz="0" w:space="0" w:color="auto"/>
        <w:right w:val="none" w:sz="0" w:space="0" w:color="auto"/>
      </w:divBdr>
    </w:div>
    <w:div w:id="1918246731">
      <w:bodyDiv w:val="1"/>
      <w:marLeft w:val="0"/>
      <w:marRight w:val="0"/>
      <w:marTop w:val="0"/>
      <w:marBottom w:val="0"/>
      <w:divBdr>
        <w:top w:val="none" w:sz="0" w:space="0" w:color="auto"/>
        <w:left w:val="none" w:sz="0" w:space="0" w:color="auto"/>
        <w:bottom w:val="none" w:sz="0" w:space="0" w:color="auto"/>
        <w:right w:val="none" w:sz="0" w:space="0" w:color="auto"/>
      </w:divBdr>
    </w:div>
    <w:div w:id="1942372666">
      <w:bodyDiv w:val="1"/>
      <w:marLeft w:val="0"/>
      <w:marRight w:val="0"/>
      <w:marTop w:val="0"/>
      <w:marBottom w:val="0"/>
      <w:divBdr>
        <w:top w:val="none" w:sz="0" w:space="0" w:color="auto"/>
        <w:left w:val="none" w:sz="0" w:space="0" w:color="auto"/>
        <w:bottom w:val="none" w:sz="0" w:space="0" w:color="auto"/>
        <w:right w:val="none" w:sz="0" w:space="0" w:color="auto"/>
      </w:divBdr>
    </w:div>
    <w:div w:id="1997105709">
      <w:bodyDiv w:val="1"/>
      <w:marLeft w:val="0"/>
      <w:marRight w:val="0"/>
      <w:marTop w:val="0"/>
      <w:marBottom w:val="0"/>
      <w:divBdr>
        <w:top w:val="none" w:sz="0" w:space="0" w:color="auto"/>
        <w:left w:val="none" w:sz="0" w:space="0" w:color="auto"/>
        <w:bottom w:val="none" w:sz="0" w:space="0" w:color="auto"/>
        <w:right w:val="none" w:sz="0" w:space="0" w:color="auto"/>
      </w:divBdr>
    </w:div>
    <w:div w:id="2006131681">
      <w:bodyDiv w:val="1"/>
      <w:marLeft w:val="0"/>
      <w:marRight w:val="0"/>
      <w:marTop w:val="0"/>
      <w:marBottom w:val="0"/>
      <w:divBdr>
        <w:top w:val="none" w:sz="0" w:space="0" w:color="auto"/>
        <w:left w:val="none" w:sz="0" w:space="0" w:color="auto"/>
        <w:bottom w:val="none" w:sz="0" w:space="0" w:color="auto"/>
        <w:right w:val="none" w:sz="0" w:space="0" w:color="auto"/>
      </w:divBdr>
    </w:div>
    <w:div w:id="2092269064">
      <w:bodyDiv w:val="1"/>
      <w:marLeft w:val="0"/>
      <w:marRight w:val="0"/>
      <w:marTop w:val="0"/>
      <w:marBottom w:val="0"/>
      <w:divBdr>
        <w:top w:val="none" w:sz="0" w:space="0" w:color="auto"/>
        <w:left w:val="none" w:sz="0" w:space="0" w:color="auto"/>
        <w:bottom w:val="none" w:sz="0" w:space="0" w:color="auto"/>
        <w:right w:val="none" w:sz="0" w:space="0" w:color="auto"/>
      </w:divBdr>
    </w:div>
    <w:div w:id="2105224457">
      <w:bodyDiv w:val="1"/>
      <w:marLeft w:val="0"/>
      <w:marRight w:val="0"/>
      <w:marTop w:val="0"/>
      <w:marBottom w:val="0"/>
      <w:divBdr>
        <w:top w:val="none" w:sz="0" w:space="0" w:color="auto"/>
        <w:left w:val="none" w:sz="0" w:space="0" w:color="auto"/>
        <w:bottom w:val="none" w:sz="0" w:space="0" w:color="auto"/>
        <w:right w:val="none" w:sz="0" w:space="0" w:color="auto"/>
      </w:divBdr>
    </w:div>
    <w:div w:id="2107848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cid:image006.jpg@01CBC3A8.FD1A1C60" TargetMode="External"/><Relationship Id="rId18" Type="http://schemas.openxmlformats.org/officeDocument/2006/relationships/chart" Target="charts/chart1.xml"/><Relationship Id="rId26" Type="http://schemas.openxmlformats.org/officeDocument/2006/relationships/chart" Target="charts/chart6.xml"/><Relationship Id="rId39" Type="http://schemas.openxmlformats.org/officeDocument/2006/relationships/chart" Target="charts/chart15.xml"/><Relationship Id="rId21" Type="http://schemas.openxmlformats.org/officeDocument/2006/relationships/chart" Target="charts/chart4.xml"/><Relationship Id="rId34" Type="http://schemas.openxmlformats.org/officeDocument/2006/relationships/hyperlink" Target="http://www.esfondi.lv/page.php?id=1064" TargetMode="External"/><Relationship Id="rId42" Type="http://schemas.openxmlformats.org/officeDocument/2006/relationships/hyperlink" Target="http://www.norwaygrants.lv" TargetMode="External"/><Relationship Id="rId47" Type="http://schemas.openxmlformats.org/officeDocument/2006/relationships/chart" Target="charts/chart19.xml"/><Relationship Id="rId50" Type="http://schemas.openxmlformats.org/officeDocument/2006/relationships/hyperlink" Target="http://www.esfondi.lv/" TargetMode="External"/><Relationship Id="rId55" Type="http://schemas.openxmlformats.org/officeDocument/2006/relationships/hyperlink" Target="mailto:Ieva.Purina@fm.gov.lv"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yperlink" Target="http://www.esfondi.lv/page.php?id=939" TargetMode="External"/><Relationship Id="rId25" Type="http://schemas.openxmlformats.org/officeDocument/2006/relationships/hyperlink" Target="http://www.esfondi.lv/page.php?id=1025" TargetMode="External"/><Relationship Id="rId33" Type="http://schemas.openxmlformats.org/officeDocument/2006/relationships/chart" Target="charts/chart11.xml"/><Relationship Id="rId38" Type="http://schemas.openxmlformats.org/officeDocument/2006/relationships/chart" Target="charts/chart14.xml"/><Relationship Id="rId46" Type="http://schemas.openxmlformats.org/officeDocument/2006/relationships/chart" Target="charts/chart18.xm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esfondi.lv/page.php?id=470" TargetMode="External"/><Relationship Id="rId20" Type="http://schemas.openxmlformats.org/officeDocument/2006/relationships/chart" Target="charts/chart3.xml"/><Relationship Id="rId29" Type="http://schemas.openxmlformats.org/officeDocument/2006/relationships/chart" Target="charts/chart8.xml"/><Relationship Id="rId41" Type="http://schemas.openxmlformats.org/officeDocument/2006/relationships/hyperlink" Target="http://www.eeagrants.lv" TargetMode="External"/><Relationship Id="rId54" Type="http://schemas.openxmlformats.org/officeDocument/2006/relationships/hyperlink" Target="http://www.esfondi.lv/upload/01-strukturfondi/petijumi/Atskaite_par_risku_vadibas_seminariem_27.11.2014.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cid:image010.jpg@01CBC3A8.FD1A1C60" TargetMode="External"/><Relationship Id="rId24" Type="http://schemas.openxmlformats.org/officeDocument/2006/relationships/hyperlink" Target="http://www.esfondi.lv/page.php?id=1065" TargetMode="External"/><Relationship Id="rId32" Type="http://schemas.openxmlformats.org/officeDocument/2006/relationships/chart" Target="charts/chart10.xml"/><Relationship Id="rId37" Type="http://schemas.openxmlformats.org/officeDocument/2006/relationships/hyperlink" Target="http://www.esfondi.lv/page.php?id=791" TargetMode="External"/><Relationship Id="rId40" Type="http://schemas.openxmlformats.org/officeDocument/2006/relationships/chart" Target="charts/chart16.xml"/><Relationship Id="rId45" Type="http://schemas.openxmlformats.org/officeDocument/2006/relationships/chart" Target="charts/chart17.xml"/><Relationship Id="rId53" Type="http://schemas.openxmlformats.org/officeDocument/2006/relationships/hyperlink" Target="https://www.vestnesis.lv/op/2015/3.3" TargetMode="External"/><Relationship Id="rId58"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cid:image009.jpg@01CBC3A8.FD1A1C60" TargetMode="External"/><Relationship Id="rId23" Type="http://schemas.openxmlformats.org/officeDocument/2006/relationships/chart" Target="charts/chart5.xml"/><Relationship Id="rId28" Type="http://schemas.openxmlformats.org/officeDocument/2006/relationships/hyperlink" Target="http://www.varam.gov.lv/lat/fondi/kohez/?doc=6400" TargetMode="External"/><Relationship Id="rId36" Type="http://schemas.openxmlformats.org/officeDocument/2006/relationships/chart" Target="charts/chart13.xml"/><Relationship Id="rId49" Type="http://schemas.openxmlformats.org/officeDocument/2006/relationships/hyperlink" Target="http://www.esfondi.lv" TargetMode="External"/><Relationship Id="rId57"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chart" Target="charts/chart2.xml"/><Relationship Id="rId31" Type="http://schemas.openxmlformats.org/officeDocument/2006/relationships/chart" Target="charts/chart9.xml"/><Relationship Id="rId44" Type="http://schemas.openxmlformats.org/officeDocument/2006/relationships/hyperlink" Target="http://www.esfondi.lv/page.php?id=1188" TargetMode="External"/><Relationship Id="rId52" Type="http://schemas.openxmlformats.org/officeDocument/2006/relationships/hyperlink" Target="http://www.esfondi.lv/page.php?id=1154" TargetMode="Externa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cid:image011.png@01CBC3A8.FD1A1C60" TargetMode="External"/><Relationship Id="rId14" Type="http://schemas.openxmlformats.org/officeDocument/2006/relationships/image" Target="media/image4.jpeg"/><Relationship Id="rId22" Type="http://schemas.openxmlformats.org/officeDocument/2006/relationships/hyperlink" Target="http://www.skolas.lv" TargetMode="External"/><Relationship Id="rId27" Type="http://schemas.openxmlformats.org/officeDocument/2006/relationships/chart" Target="charts/chart7.xml"/><Relationship Id="rId30" Type="http://schemas.openxmlformats.org/officeDocument/2006/relationships/hyperlink" Target="http://www.esfondi.lv/page.php?id=1141" TargetMode="External"/><Relationship Id="rId35" Type="http://schemas.openxmlformats.org/officeDocument/2006/relationships/chart" Target="charts/chart12.xml"/><Relationship Id="rId43" Type="http://schemas.openxmlformats.org/officeDocument/2006/relationships/hyperlink" Target="http://www.swiss-contribution.lv" TargetMode="External"/><Relationship Id="rId48" Type="http://schemas.openxmlformats.org/officeDocument/2006/relationships/chart" Target="charts/chart20.xml"/><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hyperlink" Target="http://www.esfondi.lv/page.php?id=1196"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www.esfondi.lv/page.php?id=1025" TargetMode="External"/><Relationship Id="rId13" Type="http://schemas.openxmlformats.org/officeDocument/2006/relationships/hyperlink" Target="http://www.esfondi.lv/page.php?id=338" TargetMode="External"/><Relationship Id="rId18" Type="http://schemas.openxmlformats.org/officeDocument/2006/relationships/hyperlink" Target="http://nvo.lv/lv/news/publication/cilvekdrosibas-koncepcijas-attistiba-5735/" TargetMode="External"/><Relationship Id="rId3" Type="http://schemas.openxmlformats.org/officeDocument/2006/relationships/hyperlink" Target="http://www.esfondi.lv/page.php?id=939" TargetMode="External"/><Relationship Id="rId7" Type="http://schemas.openxmlformats.org/officeDocument/2006/relationships/hyperlink" Target="http://www.esfondi.lv/page.php?id=1065" TargetMode="External"/><Relationship Id="rId12" Type="http://schemas.openxmlformats.org/officeDocument/2006/relationships/hyperlink" Target="http://komitejas.esfondi.lv/AI%20uzraudzbas%20ziojumi/Forms/AllItems.aspx" TargetMode="External"/><Relationship Id="rId17" Type="http://schemas.openxmlformats.org/officeDocument/2006/relationships/hyperlink" Target="http://nvo.lv/lv/news/publication/parskats-par-nvo-sektoru-latvija-2013-5733/" TargetMode="External"/><Relationship Id="rId2" Type="http://schemas.openxmlformats.org/officeDocument/2006/relationships/hyperlink" Target="http://www.esfondi.lv/page.php?id=470" TargetMode="External"/><Relationship Id="rId16" Type="http://schemas.openxmlformats.org/officeDocument/2006/relationships/hyperlink" Target="http://tap.mk.gov.lv/lv/mk/tap/?pid=40339537&amp;mode=mk&amp;date=2014-11-25" TargetMode="External"/><Relationship Id="rId1" Type="http://schemas.openxmlformats.org/officeDocument/2006/relationships/hyperlink" Target="http://www.esfondi.lv/page.php?id=667" TargetMode="External"/><Relationship Id="rId6" Type="http://schemas.openxmlformats.org/officeDocument/2006/relationships/hyperlink" Target="http://www.esfondi.lv/page.php?id=909" TargetMode="External"/><Relationship Id="rId11" Type="http://schemas.openxmlformats.org/officeDocument/2006/relationships/hyperlink" Target="http://www.esfondi.lv/page.php?id=1064" TargetMode="External"/><Relationship Id="rId5" Type="http://schemas.openxmlformats.org/officeDocument/2006/relationships/hyperlink" Target="http://www.esfondi.lv/page.php?id=939" TargetMode="External"/><Relationship Id="rId15" Type="http://schemas.openxmlformats.org/officeDocument/2006/relationships/hyperlink" Target="http://www.norwaygrants.lv/?id=23" TargetMode="External"/><Relationship Id="rId10" Type="http://schemas.openxmlformats.org/officeDocument/2006/relationships/hyperlink" Target="http://www.esfondi.lv/page.php?id=1141" TargetMode="External"/><Relationship Id="rId19" Type="http://schemas.openxmlformats.org/officeDocument/2006/relationships/hyperlink" Target="http://www.esfondi.lv/page.php?id=1188" TargetMode="External"/><Relationship Id="rId4" Type="http://schemas.openxmlformats.org/officeDocument/2006/relationships/hyperlink" Target="http://www.esfondi.lv/page.php?id=338" TargetMode="External"/><Relationship Id="rId9" Type="http://schemas.openxmlformats.org/officeDocument/2006/relationships/hyperlink" Target="http://www.mk.gov.lv/lv/mk/mksedes/saraksts/protokols/?protokols=2013-11-19" TargetMode="External"/><Relationship Id="rId14" Type="http://schemas.openxmlformats.org/officeDocument/2006/relationships/hyperlink" Target="http://www.eeagrants.lv/?id=23"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filex\FUD\IEVIE&#352;ANAS%20UZRAUDZ&#298;BA\ZI&#325;OJUMI_MAKS&#256;JUMU%20PROGNOZES%20EK\VI%20cet.zi&#326;oj.par%20ES%20fondu%20apguvi\1%20-%20MK\2014.gads\28.%20-%2001.03.2015\0_Darba%20faili\Grafiki\31.12.14._Apguves%20grafiki_DP.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filex\FUD\IEVIE&#352;ANAS%20UZRAUDZ&#298;BA\Apguves%20dati_2007-2013\3_FI%20apguve_2014.gads\12.2014\Grafiks_FI_apguves_progress_12_2014.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filex\FUD\IEVIE&#352;ANAS%20UZRAUDZ&#298;BA\Apguves%20dati_2007-2013\3_FI%20apguve_2014.gads\12.2014\M&#275;r&#311;u%20apguve\Grafiks_merku_izpilde_uz_31.12.2014_.xlsx" TargetMode="External"/></Relationships>
</file>

<file path=word/charts/_rels/chart12.xml.rels><?xml version="1.0" encoding="UTF-8" standalone="yes"?>
<Relationships xmlns="http://schemas.openxmlformats.org/package/2006/relationships"><Relationship Id="rId3" Type="http://schemas.openxmlformats.org/officeDocument/2006/relationships/oleObject" Target="file:///\\filex\FUD\KOAL&#298;CIJAS%20darba%20grupa_SADARBIBAS%20PADOME\2015\07.01.2015\1_Darba_materiali\VI_gatavotie_materiali\1_n_2_un_virssaistibas%20-%20darbam\2DP%20n+2%20grafiks.xlsx" TargetMode="External"/><Relationship Id="rId2" Type="http://schemas.microsoft.com/office/2011/relationships/chartColorStyle" Target="colors5.xml"/><Relationship Id="rId1" Type="http://schemas.microsoft.com/office/2011/relationships/chartStyle" Target="style5.xm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filex\FUD\EEZ_NOR_2009-2014\DOKUMENTI\Ceturksna%20zinojumi%20un%20citi\2014\IV%202014\Inga\Investiciju%20plans%201-4%20cet%202014.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3.xlsx"/></Relationships>
</file>

<file path=word/charts/_rels/chart16.xml.rels><?xml version="1.0" encoding="UTF-8" standalone="yes"?>
<Relationships xmlns="http://schemas.openxmlformats.org/package/2006/relationships"><Relationship Id="rId3" Type="http://schemas.openxmlformats.org/officeDocument/2006/relationships/oleObject" Target="file:///\\filex\FUD\EEZ_NOR_2009-2014\DOKUMENTI\Ceturksna%20zinojumi%20un%20citi\2014\IV%202014\Inga\Grafiks_kop%20fin_ieguld_projektos%20aptipr.xlsx" TargetMode="External"/><Relationship Id="rId2" Type="http://schemas.microsoft.com/office/2011/relationships/chartColorStyle" Target="colors8.xml"/><Relationship Id="rId1" Type="http://schemas.microsoft.com/office/2011/relationships/chartStyle" Target="style8.xml"/></Relationships>
</file>

<file path=word/charts/_rels/chart17.xml.rels><?xml version="1.0" encoding="UTF-8" standalone="yes"?>
<Relationships xmlns="http://schemas.openxmlformats.org/package/2006/relationships"><Relationship Id="rId2" Type="http://schemas.openxmlformats.org/officeDocument/2006/relationships/oleObject" Target="file:///\\filex\FVD\NEATBILST&#298;BAS\MK%20zi&#326;ojumi%20Neatb%20sada&#316;a\2014\2014_IV.cet\DATI_neatbilstibas_uz_31.12.2014_sagatavots_10.01.2015.xlsx" TargetMode="External"/><Relationship Id="rId1" Type="http://schemas.openxmlformats.org/officeDocument/2006/relationships/themeOverride" Target="../theme/themeOverride4.xml"/></Relationships>
</file>

<file path=word/charts/_rels/chart18.xml.rels><?xml version="1.0" encoding="UTF-8" standalone="yes"?>
<Relationships xmlns="http://schemas.openxmlformats.org/package/2006/relationships"><Relationship Id="rId2" Type="http://schemas.openxmlformats.org/officeDocument/2006/relationships/oleObject" Target="file:///F:\MK%20zi&#326;ojums\2014\2014_IV.cet\DATI_neatbilstibas_uz_31.12.2014_sagatavots_10.01.2015.xlsx" TargetMode="External"/><Relationship Id="rId1" Type="http://schemas.openxmlformats.org/officeDocument/2006/relationships/themeOverride" Target="../theme/themeOverride5.xml"/></Relationships>
</file>

<file path=word/charts/_rels/chart19.xml.rels><?xml version="1.0" encoding="UTF-8" standalone="yes"?>
<Relationships xmlns="http://schemas.openxmlformats.org/package/2006/relationships"><Relationship Id="rId2" Type="http://schemas.openxmlformats.org/officeDocument/2006/relationships/oleObject" Target="file:///\\filex\FVD\NEATBILST&#298;BAS\MK%20zi&#326;ojumi%20Neatb%20sada&#316;a\2014\2014_IV.cet\DATI_neatbilstibas_uz_31.12.2014_sagatavots_10.01.2015.xlsx" TargetMode="External"/><Relationship Id="rId1" Type="http://schemas.openxmlformats.org/officeDocument/2006/relationships/themeOverride" Target="../theme/themeOverride6.xml"/></Relationships>
</file>

<file path=word/charts/_rels/chart2.xml.rels><?xml version="1.0" encoding="UTF-8" standalone="yes"?>
<Relationships xmlns="http://schemas.openxmlformats.org/package/2006/relationships"><Relationship Id="rId3" Type="http://schemas.openxmlformats.org/officeDocument/2006/relationships/oleObject" Target="file:///\\filex\FUD\IEVIE&#352;ANAS%20UZRAUDZ&#298;BA\ZI&#325;OJUMI_MAKS&#256;JUMU%20PROGNOZES%20EK\VI%20cet.zi&#326;oj.par%20ES%20fondu%20apguvi\1%20-%20MK\2014.gads\28.%20-%2001.03.2015\0_Darba%20faili\Grafiki\MK%20cet%20zi&#326;ojuma%20%20(2014.%20gada%204%20cet)%20grafiki.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7.xml"/></Relationships>
</file>

<file path=word/charts/_rels/chart3.xml.rels><?xml version="1.0" encoding="UTF-8" standalone="yes"?>
<Relationships xmlns="http://schemas.openxmlformats.org/package/2006/relationships"><Relationship Id="rId1" Type="http://schemas.openxmlformats.org/officeDocument/2006/relationships/oleObject" Target="file:///\\filex\FUD\IEVIE&#352;ANAS%20UZRAUDZ&#298;BA\BUDGET\7_Budget%20izpildes%20dati\7_2014_budget_izpilde\12%20Decembris\Izdevumu%20prognoze\Izdevumi_grafiki_22%2001%202015%20aktu&#257;l&#257;s%20prognozes.xls"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C:\Users\fud-purin\Desktop\Noslegti_ligumi_nozares_10-01-2015.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1" Type="http://schemas.openxmlformats.org/officeDocument/2006/relationships/oleObject" Target="file:///\\filex\FUD\IEVIE&#352;ANAS%20UZRAUDZ&#298;BA\ZI&#325;OJUMI_MAKS&#256;JUMU%20PROGNOZES%20EK\VI%20cet.zi&#326;oj.par%20ES%20fondu%20apguvi\1%20-%20MK\2014.gads\28.%20-%2001.03.2015\0_Darba%20faili\Grafiki\MK%20cet%20zi&#326;ojuma%20%20(2014.%20gada%204%20cet)%20grafiki.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filex\FUD\IEVIE&#352;ANAS%20UZRAUDZ&#298;BA\ZI&#325;OJUMI_MAKS&#256;JUMU%20PROGNOZES%20EK\VI%20cet.zi&#326;oj.par%20ES%20fondu%20apguvi\1%20-%20MK\2014.gads\28.%20-%2001.03.2015\0_Darba%20faili\Grafiki\MK%20cet%20zi&#326;ojuma%20%20(2014.%20gada%204%20cet)%20grafiki.xlsx" TargetMode="External"/><Relationship Id="rId2" Type="http://schemas.microsoft.com/office/2011/relationships/chartColorStyle" Target="colors3.xml"/><Relationship Id="rId1" Type="http://schemas.microsoft.com/office/2011/relationships/chartStyle" Target="style3.xml"/></Relationships>
</file>

<file path=word/charts/_rels/chart7.xml.rels><?xml version="1.0" encoding="UTF-8" standalone="yes"?>
<Relationships xmlns="http://schemas.openxmlformats.org/package/2006/relationships"><Relationship Id="rId1" Type="http://schemas.openxmlformats.org/officeDocument/2006/relationships/oleObject" Target="file:///\\filex\FUD\IEVIE&#352;ANAS%20UZRAUDZ&#298;BA\ZI&#325;OJUMI_MAKS&#256;JUMU%20PROGNOZES%20EK\VI%20cet.zi&#326;oj.par%20ES%20fondu%20apguvi\1%20-%20MK\2014.gads\28.%20-%2001.03.2015\0_Darba%20faili\Grafiki\MK%20cet%20zi&#326;ojuma%20%20(2014.%20gada%204%20cet)%20grafiki.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filex\FUD\IEVIE&#352;ANAS%20UZRAUDZ&#298;BA\ZI&#325;OJUMI_MAKS&#256;JUMU%20PROGNOZES%20EK\VI%20cet.zi&#326;oj.par%20ES%20fondu%20apguvi\1%20-%20MK\2014.gads\28.%20-%2001.03.2015\0_Darba%20faili\Grafiki\MK%20cet%20zi&#326;ojuma%20%20(2014.%20gada%204%20cet)%20grafiki.xlsx" TargetMode="Externa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9630505175617092"/>
          <c:y val="5.0925925925925923E-2"/>
          <c:w val="0.38942546226665486"/>
          <c:h val="0.73389253426654999"/>
        </c:manualLayout>
      </c:layout>
      <c:barChart>
        <c:barDir val="bar"/>
        <c:grouping val="stacked"/>
        <c:varyColors val="0"/>
        <c:ser>
          <c:idx val="0"/>
          <c:order val="0"/>
          <c:tx>
            <c:strRef>
              <c:f>'Kopā 2014 (31.12)'!$D$19</c:f>
              <c:strCache>
                <c:ptCount val="1"/>
                <c:pt idx="0">
                  <c:v>Pieejamais publiskais finansējums</c:v>
                </c:pt>
              </c:strCache>
            </c:strRef>
          </c:tx>
          <c:invertIfNegative val="0"/>
          <c:dPt>
            <c:idx val="0"/>
            <c:invertIfNegative val="0"/>
            <c:bubble3D val="0"/>
            <c:spPr>
              <a:solidFill>
                <a:schemeClr val="accent4"/>
              </a:solidFill>
            </c:spPr>
          </c:dPt>
          <c:dPt>
            <c:idx val="1"/>
            <c:invertIfNegative val="0"/>
            <c:bubble3D val="0"/>
            <c:spPr>
              <a:solidFill>
                <a:schemeClr val="accent6"/>
              </a:solidFill>
            </c:spPr>
          </c:dPt>
          <c:dPt>
            <c:idx val="2"/>
            <c:invertIfNegative val="0"/>
            <c:bubble3D val="0"/>
            <c:spPr>
              <a:solidFill>
                <a:schemeClr val="accent3">
                  <a:lumMod val="75000"/>
                </a:schemeClr>
              </a:solidFill>
            </c:spPr>
          </c:dPt>
          <c:dLbls>
            <c:dLbl>
              <c:idx val="0"/>
              <c:layout>
                <c:manualLayout>
                  <c:x val="0.23471521440712001"/>
                  <c:y val="5.7461608610158378E-3"/>
                </c:manualLayout>
              </c:layout>
              <c:tx>
                <c:rich>
                  <a:bodyPr/>
                  <a:lstStyle/>
                  <a:p>
                    <a:fld id="{683A8363-6DD5-4F70-A83E-B18E76FB548E}" type="VALUE">
                      <a:rPr lang="en-US"/>
                      <a:pPr/>
                      <a:t>[VALUE]</a:t>
                    </a:fld>
                    <a:r>
                      <a:rPr lang="en-US"/>
                      <a:t> (87,2%)</a:t>
                    </a:r>
                    <a:r>
                      <a:rPr lang="en-US" baseline="0"/>
                      <a:t> + 6,5%</a:t>
                    </a:r>
                  </a:p>
                </c:rich>
              </c:tx>
              <c:showLegendKey val="0"/>
              <c:showVal val="1"/>
              <c:showCatName val="0"/>
              <c:showSerName val="0"/>
              <c:showPercent val="0"/>
              <c:showBubbleSize val="0"/>
              <c:extLst>
                <c:ext xmlns:c15="http://schemas.microsoft.com/office/drawing/2012/chart" uri="{CE6537A1-D6FC-4f65-9D91-7224C49458BB}">
                  <c15:layout>
                    <c:manualLayout>
                      <c:w val="0.34794638591524368"/>
                      <c:h val="8.7915373603832253E-2"/>
                    </c:manualLayout>
                  </c15:layout>
                  <c15:dlblFieldTable/>
                  <c15:showDataLabelsRange val="0"/>
                </c:ext>
              </c:extLst>
            </c:dLbl>
            <c:dLbl>
              <c:idx val="1"/>
              <c:layout>
                <c:manualLayout>
                  <c:x val="0.26521228678642228"/>
                  <c:y val="6.6734564613321445E-8"/>
                </c:manualLayout>
              </c:layout>
              <c:tx>
                <c:rich>
                  <a:bodyPr/>
                  <a:lstStyle/>
                  <a:p>
                    <a:fld id="{9A8615D5-7CE5-40D8-8160-1379937DE996}" type="VALUE">
                      <a:rPr lang="en-US"/>
                      <a:pPr/>
                      <a:t>[VALUE]</a:t>
                    </a:fld>
                    <a:r>
                      <a:rPr lang="en-US"/>
                      <a:t> (106,7%)</a:t>
                    </a:r>
                    <a:r>
                      <a:rPr lang="en-US" baseline="0"/>
                      <a:t> + 0,4%</a:t>
                    </a:r>
                  </a:p>
                </c:rich>
              </c:tx>
              <c:showLegendKey val="0"/>
              <c:showVal val="1"/>
              <c:showCatName val="0"/>
              <c:showSerName val="0"/>
              <c:showPercent val="0"/>
              <c:showBubbleSize val="0"/>
              <c:extLst>
                <c:ext xmlns:c15="http://schemas.microsoft.com/office/drawing/2012/chart" uri="{CE6537A1-D6FC-4f65-9D91-7224C49458BB}">
                  <c15:layout>
                    <c:manualLayout>
                      <c:w val="0.31477342298504823"/>
                      <c:h val="8.7915373603832253E-2"/>
                    </c:manualLayout>
                  </c15:layout>
                  <c15:dlblFieldTable/>
                  <c15:showDataLabelsRange val="0"/>
                </c:ext>
              </c:extLst>
            </c:dLbl>
            <c:dLbl>
              <c:idx val="2"/>
              <c:layout>
                <c:manualLayout>
                  <c:x val="0.27170931846220658"/>
                  <c:y val="-2.8729803286609199E-3"/>
                </c:manualLayout>
              </c:layout>
              <c:tx>
                <c:rich>
                  <a:bodyPr/>
                  <a:lstStyle/>
                  <a:p>
                    <a:fld id="{24E07E71-B6FD-4A1A-8049-B77078D95D00}" type="VALUE">
                      <a:rPr lang="en-US"/>
                      <a:pPr/>
                      <a:t>[VALUE]</a:t>
                    </a:fld>
                    <a:r>
                      <a:rPr lang="en-US"/>
                      <a:t> (106,8%) + 0,2%</a:t>
                    </a:r>
                  </a:p>
                </c:rich>
              </c:tx>
              <c:showLegendKey val="0"/>
              <c:showVal val="1"/>
              <c:showCatName val="0"/>
              <c:showSerName val="0"/>
              <c:showPercent val="0"/>
              <c:showBubbleSize val="0"/>
              <c:extLst>
                <c:ext xmlns:c15="http://schemas.microsoft.com/office/drawing/2012/chart" uri="{CE6537A1-D6FC-4f65-9D91-7224C49458BB}">
                  <c15:layout>
                    <c:manualLayout>
                      <c:w val="0.33617552862072014"/>
                      <c:h val="8.7915373603832253E-2"/>
                    </c:manualLayout>
                  </c15:layout>
                  <c15:dlblFieldTable/>
                  <c15:showDataLabelsRange val="0"/>
                </c:ext>
              </c:extLst>
            </c:dLbl>
            <c:dLbl>
              <c:idx val="3"/>
              <c:layout>
                <c:manualLayout>
                  <c:x val="-6.1656322537138779E-17"/>
                  <c:y val="-6.0333988327737301E-2"/>
                </c:manualLayout>
              </c:layout>
              <c:tx>
                <c:rich>
                  <a:bodyPr/>
                  <a:lstStyle/>
                  <a:p>
                    <a:fld id="{6FEEE440-B33A-4242-8A86-F6BE121B596B}" type="VALUE">
                      <a:rPr lang="en-US"/>
                      <a:pPr/>
                      <a:t>[VALUE]</a:t>
                    </a:fld>
                    <a:r>
                      <a:rPr lang="en-US"/>
                      <a:t> (100%)</a:t>
                    </a:r>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'Kopā 2014 (31.12)'!$A$19:$D$19</c:f>
              <c:strCache>
                <c:ptCount val="4"/>
                <c:pt idx="0">
                  <c:v>Veikti maksājumi finansējuma saņēmējiem</c:v>
                </c:pt>
                <c:pt idx="1">
                  <c:v>Noslēgti līgumi</c:v>
                </c:pt>
                <c:pt idx="2">
                  <c:v>Apstiprināti projekti</c:v>
                </c:pt>
                <c:pt idx="3">
                  <c:v>Pieejamais publiskais finansējums</c:v>
                </c:pt>
              </c:strCache>
            </c:strRef>
          </c:cat>
          <c:val>
            <c:numRef>
              <c:f>'Kopā 2014 (31.12)'!$A$20:$D$20</c:f>
              <c:numCache>
                <c:formatCode>#,##0_ ;\-#,##0\ </c:formatCode>
                <c:ptCount val="4"/>
                <c:pt idx="0">
                  <c:v>4327157372.4099998</c:v>
                </c:pt>
                <c:pt idx="1">
                  <c:v>5294207672.4500008</c:v>
                </c:pt>
                <c:pt idx="2">
                  <c:v>5300153224.4300003</c:v>
                </c:pt>
                <c:pt idx="3">
                  <c:v>4962045789</c:v>
                </c:pt>
              </c:numCache>
            </c:numRef>
          </c:val>
        </c:ser>
        <c:ser>
          <c:idx val="1"/>
          <c:order val="1"/>
          <c:tx>
            <c:strRef>
              <c:f>'Kopā 2014 (31.12)'!$E$19</c:f>
              <c:strCache>
                <c:ptCount val="1"/>
                <c:pt idx="0">
                  <c:v>Pieejamais virssaistību apjoms</c:v>
                </c:pt>
              </c:strCache>
            </c:strRef>
          </c:tx>
          <c:invertIfNegative val="0"/>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layout>
                <c:manualLayout>
                  <c:x val="8.9122441205471387E-2"/>
                  <c:y val="-1.1492188252902344E-2"/>
                </c:manualLayout>
              </c:layout>
              <c:tx>
                <c:rich>
                  <a:bodyPr/>
                  <a:lstStyle/>
                  <a:p>
                    <a:r>
                      <a:rPr lang="en-US"/>
                      <a:t>404,6 (8,2%)</a:t>
                    </a:r>
                  </a:p>
                </c:rich>
              </c:tx>
              <c:showLegendKey val="0"/>
              <c:showVal val="1"/>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'Kopā 2014 (31.12)'!$A$19:$D$19</c:f>
              <c:strCache>
                <c:ptCount val="4"/>
                <c:pt idx="0">
                  <c:v>Veikti maksājumi finansējuma saņēmējiem</c:v>
                </c:pt>
                <c:pt idx="1">
                  <c:v>Noslēgti līgumi</c:v>
                </c:pt>
                <c:pt idx="2">
                  <c:v>Apstiprināti projekti</c:v>
                </c:pt>
                <c:pt idx="3">
                  <c:v>Pieejamais publiskais finansējums</c:v>
                </c:pt>
              </c:strCache>
            </c:strRef>
          </c:cat>
          <c:val>
            <c:numRef>
              <c:f>[1]Kopā!$A$21:$D$21</c:f>
              <c:numCache>
                <c:formatCode>General</c:formatCode>
                <c:ptCount val="4"/>
                <c:pt idx="0">
                  <c:v>0</c:v>
                </c:pt>
                <c:pt idx="1">
                  <c:v>0</c:v>
                </c:pt>
                <c:pt idx="2">
                  <c:v>0</c:v>
                </c:pt>
                <c:pt idx="3">
                  <c:v>284398757</c:v>
                </c:pt>
              </c:numCache>
            </c:numRef>
          </c:val>
        </c:ser>
        <c:dLbls>
          <c:showLegendKey val="0"/>
          <c:showVal val="0"/>
          <c:showCatName val="0"/>
          <c:showSerName val="0"/>
          <c:showPercent val="0"/>
          <c:showBubbleSize val="0"/>
        </c:dLbls>
        <c:gapWidth val="150"/>
        <c:overlap val="100"/>
        <c:axId val="164397696"/>
        <c:axId val="162395696"/>
      </c:barChart>
      <c:catAx>
        <c:axId val="164397696"/>
        <c:scaling>
          <c:orientation val="minMax"/>
        </c:scaling>
        <c:delete val="0"/>
        <c:axPos val="l"/>
        <c:numFmt formatCode="General" sourceLinked="0"/>
        <c:majorTickMark val="out"/>
        <c:minorTickMark val="none"/>
        <c:tickLblPos val="nextTo"/>
        <c:crossAx val="162395696"/>
        <c:crosses val="autoZero"/>
        <c:auto val="1"/>
        <c:lblAlgn val="ctr"/>
        <c:lblOffset val="100"/>
        <c:noMultiLvlLbl val="0"/>
      </c:catAx>
      <c:valAx>
        <c:axId val="162395696"/>
        <c:scaling>
          <c:orientation val="minMax"/>
        </c:scaling>
        <c:delete val="0"/>
        <c:axPos val="b"/>
        <c:majorGridlines/>
        <c:numFmt formatCode="#,##0" sourceLinked="0"/>
        <c:majorTickMark val="out"/>
        <c:minorTickMark val="none"/>
        <c:tickLblPos val="nextTo"/>
        <c:crossAx val="164397696"/>
        <c:crosses val="autoZero"/>
        <c:crossBetween val="between"/>
        <c:dispUnits>
          <c:builtInUnit val="millions"/>
        </c:dispUnits>
      </c:valAx>
    </c:plotArea>
    <c:legend>
      <c:legendPos val="b"/>
      <c:layout>
        <c:manualLayout>
          <c:xMode val="edge"/>
          <c:yMode val="edge"/>
          <c:x val="1.6877123708595169E-2"/>
          <c:y val="0.84687812896316494"/>
          <c:w val="0.98312285612403183"/>
          <c:h val="0.13359322631091727"/>
        </c:manualLayout>
      </c:layout>
      <c:overlay val="0"/>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lv-LV"/>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4688342371300504"/>
          <c:y val="5.6194102555645026E-2"/>
          <c:w val="0.38334393222873581"/>
          <c:h val="0.81500273931165634"/>
        </c:manualLayout>
      </c:layout>
      <c:bar3DChart>
        <c:barDir val="bar"/>
        <c:grouping val="clustered"/>
        <c:varyColors val="0"/>
        <c:ser>
          <c:idx val="0"/>
          <c:order val="0"/>
          <c:invertIfNegative val="0"/>
          <c:dPt>
            <c:idx val="1"/>
            <c:invertIfNegative val="0"/>
            <c:bubble3D val="0"/>
            <c:spPr>
              <a:solidFill>
                <a:srgbClr val="FFC000"/>
              </a:solidFill>
            </c:spPr>
          </c:dPt>
          <c:dPt>
            <c:idx val="2"/>
            <c:invertIfNegative val="0"/>
            <c:bubble3D val="0"/>
            <c:spPr>
              <a:solidFill>
                <a:schemeClr val="accent1">
                  <a:lumMod val="75000"/>
                </a:schemeClr>
              </a:solidFill>
            </c:spPr>
          </c:dPt>
          <c:dPt>
            <c:idx val="3"/>
            <c:invertIfNegative val="0"/>
            <c:bubble3D val="0"/>
            <c:spPr>
              <a:solidFill>
                <a:schemeClr val="bg2">
                  <a:lumMod val="50000"/>
                </a:schemeClr>
              </a:solidFill>
            </c:spPr>
          </c:dPt>
          <c:dLbls>
            <c:dLbl>
              <c:idx val="0"/>
              <c:layout>
                <c:manualLayout>
                  <c:x val="1.3201320132013201E-2"/>
                  <c:y val="0"/>
                </c:manualLayout>
              </c:layout>
              <c:tx>
                <c:rich>
                  <a:bodyPr/>
                  <a:lstStyle/>
                  <a:p>
                    <a:r>
                      <a:rPr lang="en-US"/>
                      <a:t>116,4 (72,6%)  +  1,43 </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9.4295143800094301E-3"/>
                  <c:y val="0"/>
                </c:manualLayout>
              </c:layout>
              <c:tx>
                <c:rich>
                  <a:bodyPr/>
                  <a:lstStyle/>
                  <a:p>
                    <a:r>
                      <a:rPr lang="en-US"/>
                      <a:t>160,3 (100%)</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0744931636020744E-2"/>
                  <c:y val="-5.1085547777859125E-3"/>
                </c:manualLayout>
              </c:layout>
              <c:tx>
                <c:rich>
                  <a:bodyPr/>
                  <a:lstStyle/>
                  <a:p>
                    <a:r>
                      <a:rPr lang="en-US"/>
                      <a:t>160,3 (100%)</a:t>
                    </a:r>
                  </a:p>
                </c:rich>
              </c:tx>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6.6007343141511873E-3"/>
                  <c:y val="-1.6622481428323834E-3"/>
                </c:manualLayout>
              </c:layout>
              <c:numFmt formatCode="#,##0.0" sourceLinked="0"/>
              <c:spPr>
                <a:noFill/>
                <a:ln>
                  <a:noFill/>
                </a:ln>
                <a:effectLst/>
              </c:spPr>
              <c:txPr>
                <a:bodyPr wrap="square" lIns="38100" tIns="19050" rIns="38100" bIns="19050" anchor="ctr">
                  <a:noAutofit/>
                </a:bodyPr>
                <a:lstStyle/>
                <a:p>
                  <a:pPr>
                    <a:defRPr/>
                  </a:pPr>
                  <a:endParaRPr lang="lv-LV"/>
                </a:p>
              </c:txPr>
              <c:showLegendKey val="0"/>
              <c:showVal val="1"/>
              <c:showCatName val="0"/>
              <c:showSerName val="0"/>
              <c:showPercent val="0"/>
              <c:showBubbleSize val="0"/>
              <c:extLst>
                <c:ext xmlns:c15="http://schemas.microsoft.com/office/drawing/2012/chart" uri="{CE6537A1-D6FC-4f65-9D91-7224C49458BB}">
                  <c15:layout>
                    <c:manualLayout>
                      <c:w val="0.12588401697312587"/>
                      <c:h val="5.534508732235361E-2"/>
                    </c:manualLayout>
                  </c15:layout>
                </c:ext>
              </c:extLst>
            </c:dLbl>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 grafiks'!$C$16:$C$18</c:f>
              <c:strCache>
                <c:ptCount val="3"/>
                <c:pt idx="0">
                  <c:v>Izmaksāts ES fondu finansējums komersantu līmenī*</c:v>
                </c:pt>
                <c:pt idx="1">
                  <c:v>Noslēgti līgumi ar ieviesējinstitūcijām/finanšu starpniekiem**</c:v>
                </c:pt>
                <c:pt idx="2">
                  <c:v>Pieejamais ES fondu finansējums līdz 2016.gada I ceturksnim atbilstoši EK apstiprinātajām DP</c:v>
                </c:pt>
              </c:strCache>
            </c:strRef>
          </c:cat>
          <c:val>
            <c:numRef>
              <c:f>'FI grafiks'!$D$16:$D$18</c:f>
              <c:numCache>
                <c:formatCode>#,##0</c:formatCode>
                <c:ptCount val="3"/>
                <c:pt idx="0">
                  <c:v>116443234.41923763</c:v>
                </c:pt>
                <c:pt idx="1">
                  <c:v>160294769</c:v>
                </c:pt>
                <c:pt idx="2">
                  <c:v>160332937</c:v>
                </c:pt>
              </c:numCache>
            </c:numRef>
          </c:val>
        </c:ser>
        <c:dLbls>
          <c:showLegendKey val="0"/>
          <c:showVal val="0"/>
          <c:showCatName val="0"/>
          <c:showSerName val="0"/>
          <c:showPercent val="0"/>
          <c:showBubbleSize val="0"/>
        </c:dLbls>
        <c:gapWidth val="150"/>
        <c:shape val="box"/>
        <c:axId val="166162816"/>
        <c:axId val="166163208"/>
        <c:axId val="0"/>
      </c:bar3DChart>
      <c:catAx>
        <c:axId val="166162816"/>
        <c:scaling>
          <c:orientation val="minMax"/>
        </c:scaling>
        <c:delete val="0"/>
        <c:axPos val="l"/>
        <c:numFmt formatCode="General" sourceLinked="0"/>
        <c:majorTickMark val="out"/>
        <c:minorTickMark val="none"/>
        <c:tickLblPos val="nextTo"/>
        <c:crossAx val="166163208"/>
        <c:crosses val="autoZero"/>
        <c:auto val="1"/>
        <c:lblAlgn val="ctr"/>
        <c:lblOffset val="100"/>
        <c:noMultiLvlLbl val="0"/>
      </c:catAx>
      <c:valAx>
        <c:axId val="166163208"/>
        <c:scaling>
          <c:orientation val="minMax"/>
        </c:scaling>
        <c:delete val="0"/>
        <c:axPos val="b"/>
        <c:majorGridlines/>
        <c:numFmt formatCode="#,##0" sourceLinked="1"/>
        <c:majorTickMark val="out"/>
        <c:minorTickMark val="none"/>
        <c:tickLblPos val="nextTo"/>
        <c:crossAx val="166162816"/>
        <c:crosses val="autoZero"/>
        <c:crossBetween val="between"/>
        <c:dispUnits>
          <c:builtInUnit val="millions"/>
        </c:dispUnits>
      </c:valAx>
    </c:plotArea>
    <c:plotVisOnly val="1"/>
    <c:dispBlanksAs val="gap"/>
    <c:showDLblsOverMax val="0"/>
  </c:chart>
  <c:txPr>
    <a:bodyPr/>
    <a:lstStyle/>
    <a:p>
      <a:pPr>
        <a:defRPr sz="1100">
          <a:latin typeface="Times New Roman" pitchFamily="18" charset="0"/>
          <a:cs typeface="Times New Roman" pitchFamily="18" charset="0"/>
        </a:defRPr>
      </a:pPr>
      <a:endParaRPr lang="lv-LV"/>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27192526175842574"/>
          <c:y val="7.3489847807662496E-3"/>
          <c:w val="0.49326344155815088"/>
          <c:h val="0.92140269034907896"/>
        </c:manualLayout>
      </c:layout>
      <c:bar3DChart>
        <c:barDir val="bar"/>
        <c:grouping val="clustered"/>
        <c:varyColors val="0"/>
        <c:ser>
          <c:idx val="1"/>
          <c:order val="0"/>
          <c:tx>
            <c:strRef>
              <c:f>grafiki!$F$20</c:f>
              <c:strCache>
                <c:ptCount val="1"/>
                <c:pt idx="0">
                  <c:v>Veiktie maksājumi, investīcijas/ izsniegtās garantijas no 01.01.2014. līdz 31.12.2014., milj. EUR</c:v>
                </c:pt>
              </c:strCache>
            </c:strRef>
          </c:tx>
          <c:invertIfNegative val="0"/>
          <c:dLbls>
            <c:dLbl>
              <c:idx val="0"/>
              <c:layout/>
              <c:tx>
                <c:rich>
                  <a:bodyPr/>
                  <a:lstStyle/>
                  <a:p>
                    <a:fld id="{E5B4F7E7-293D-40CA-B1D0-05151F9275E6}" type="VALUE">
                      <a:rPr lang="en-US"/>
                      <a:pPr/>
                      <a:t>[VALUE]</a:t>
                    </a:fld>
                    <a:r>
                      <a:rPr lang="en-US"/>
                      <a:t> (162,1%)</a:t>
                    </a:r>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
              <c:layout/>
              <c:tx>
                <c:rich>
                  <a:bodyPr/>
                  <a:lstStyle/>
                  <a:p>
                    <a:fld id="{401FC17D-F906-44D8-8082-53D57E2B824E}" type="VALUE">
                      <a:rPr lang="en-US"/>
                      <a:pPr/>
                      <a:t>[VALUE]</a:t>
                    </a:fld>
                    <a:r>
                      <a:rPr lang="en-US"/>
                      <a:t> (67,6%)</a:t>
                    </a:r>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tx>
                <c:rich>
                  <a:bodyPr/>
                  <a:lstStyle/>
                  <a:p>
                    <a:fld id="{AA5D24CC-39FD-4A8E-A124-95CEEDE39174}" type="VALUE">
                      <a:rPr lang="en-US"/>
                      <a:pPr/>
                      <a:t>[VALUE]</a:t>
                    </a:fld>
                    <a:r>
                      <a:rPr lang="en-US"/>
                      <a:t> (243,9%)</a:t>
                    </a:r>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3"/>
              <c:layout/>
              <c:tx>
                <c:rich>
                  <a:bodyPr/>
                  <a:lstStyle/>
                  <a:p>
                    <a:fld id="{556E6D26-5FA5-4331-AFEA-9C7E6C498375}" type="VALUE">
                      <a:rPr lang="en-US"/>
                      <a:pPr/>
                      <a:t>[VALUE]</a:t>
                    </a:fld>
                    <a:r>
                      <a:rPr lang="en-US"/>
                      <a:t> (97,1%)</a:t>
                    </a:r>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4"/>
              <c:tx>
                <c:rich>
                  <a:bodyPr/>
                  <a:lstStyle/>
                  <a:p>
                    <a:fld id="{2CC15097-9977-4E7E-A052-888BF625AB95}" type="VALUE">
                      <a:rPr lang="en-US"/>
                      <a:pPr/>
                      <a:t>[VALUE]</a:t>
                    </a:fld>
                    <a:r>
                      <a:rPr lang="en-US"/>
                      <a:t> (132,9%)</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numFmt formatCode="#,##0.0" sourceLinked="0"/>
            <c:spPr>
              <a:noFill/>
              <a:ln>
                <a:noFill/>
              </a:ln>
              <a:effectLst/>
            </c:spPr>
            <c:txPr>
              <a:bodyPr wrap="square" lIns="38100" tIns="19050" rIns="38100" bIns="19050" anchor="ctr">
                <a:spAutoFit/>
              </a:bodyPr>
              <a:lstStyle/>
              <a:p>
                <a:pPr>
                  <a:defRPr sz="1050"/>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grafiki!$C$21:$C$24</c:f>
              <c:strCache>
                <c:ptCount val="4"/>
                <c:pt idx="0">
                  <c:v>1.3.1.2.aktivitāte "Atbalsts pašnodarbinātības un uzņēmējdarbības uzsākšanai"</c:v>
                </c:pt>
                <c:pt idx="1">
                  <c:v>2.2.1.1.aktivitāte "Ieguldījumu fonds investīcijām garantijās, paaugstināta riska aizdevumos, riska kapitāla fondos un cita veida finanšu instrumentos"</c:v>
                </c:pt>
                <c:pt idx="2">
                  <c:v>2.2.1.4.1.apakšaktivitāte "Atbalsts aizdevumu veidā komersantu konkurētspējas uzlabošanai"</c:v>
                </c:pt>
                <c:pt idx="3">
                  <c:v>2.2.1.4.2.apakšaktivitāte "Mezanīna aizdevumi un nodrošinājuma garantijas saimnieciskās darbības veicēju konkurētspējas uzlabošanai"</c:v>
                </c:pt>
              </c:strCache>
            </c:strRef>
          </c:cat>
          <c:val>
            <c:numRef>
              <c:f>grafiki!$F$21:$F$24</c:f>
              <c:numCache>
                <c:formatCode>#,##0.00</c:formatCode>
                <c:ptCount val="4"/>
                <c:pt idx="0">
                  <c:v>2261686.89</c:v>
                </c:pt>
                <c:pt idx="1">
                  <c:v>7900489.7200000007</c:v>
                </c:pt>
                <c:pt idx="2">
                  <c:v>3173884.96</c:v>
                </c:pt>
                <c:pt idx="3">
                  <c:v>4035623.47</c:v>
                </c:pt>
              </c:numCache>
            </c:numRef>
          </c:val>
        </c:ser>
        <c:ser>
          <c:idx val="2"/>
          <c:order val="1"/>
          <c:tx>
            <c:strRef>
              <c:f>grafiki!$D$20</c:f>
              <c:strCache>
                <c:ptCount val="1"/>
              </c:strCache>
            </c:strRef>
          </c:tx>
          <c:invertIfNegative val="0"/>
          <c:dLbls>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grafiki!$D$21:$D$24</c:f>
            </c:numRef>
          </c:val>
        </c:ser>
        <c:ser>
          <c:idx val="0"/>
          <c:order val="2"/>
          <c:tx>
            <c:strRef>
              <c:f>grafiki!$E$20</c:f>
              <c:strCache>
                <c:ptCount val="1"/>
                <c:pt idx="0">
                  <c:v>Plānots līdz 31.12.2014.</c:v>
                </c:pt>
              </c:strCache>
            </c:strRef>
          </c:tx>
          <c:invertIfNegative val="0"/>
          <c:dLbls>
            <c:dLbl>
              <c:idx val="0"/>
              <c:layout/>
              <c:tx>
                <c:rich>
                  <a:bodyPr/>
                  <a:lstStyle/>
                  <a:p>
                    <a:fld id="{3574A333-F695-4903-A485-19848AB569F9}" type="VALUE">
                      <a:rPr lang="en-US"/>
                      <a:pPr/>
                      <a:t>[VALUE]</a:t>
                    </a:fld>
                    <a:endParaRPr lang="lv-LV"/>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
              <c:layout>
                <c:manualLayout>
                  <c:x val="1.7262636482921839E-2"/>
                  <c:y val="1.6591372338845099E-7"/>
                </c:manualLayout>
              </c:layout>
              <c:tx>
                <c:rich>
                  <a:bodyPr wrap="square" lIns="38100" tIns="19050" rIns="38100" bIns="19050" anchor="ctr">
                    <a:noAutofit/>
                  </a:bodyPr>
                  <a:lstStyle/>
                  <a:p>
                    <a:pPr>
                      <a:defRPr sz="1050"/>
                    </a:pPr>
                    <a:fld id="{A9E7CB8F-4BD4-43DF-A52C-A6F90BD2759F}" type="VALUE">
                      <a:rPr lang="en-US" sz="1050"/>
                      <a:pPr>
                        <a:defRPr sz="1050"/>
                      </a:pPr>
                      <a:t>[VALUE]</a:t>
                    </a:fld>
                    <a:endParaRPr lang="lv-LV"/>
                  </a:p>
                </c:rich>
              </c:tx>
              <c:numFmt formatCode="#,##0.0" sourceLinked="0"/>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6.0419227690226868E-2"/>
                      <c:h val="3.3901236135805604E-2"/>
                    </c:manualLayout>
                  </c15:layout>
                  <c15:dlblFieldTable/>
                  <c15:showDataLabelsRange val="0"/>
                </c:ext>
              </c:extLst>
            </c:dLbl>
            <c:dLbl>
              <c:idx val="2"/>
              <c:layout/>
              <c:tx>
                <c:rich>
                  <a:bodyPr/>
                  <a:lstStyle/>
                  <a:p>
                    <a:fld id="{ED091EC0-F0E2-4157-88CD-8EB86D4467F3}" type="VALUE">
                      <a:rPr lang="en-US"/>
                      <a:pPr/>
                      <a:t>[VALUE]</a:t>
                    </a:fld>
                    <a:endParaRPr lang="lv-LV"/>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3"/>
              <c:layout/>
              <c:tx>
                <c:rich>
                  <a:bodyPr/>
                  <a:lstStyle/>
                  <a:p>
                    <a:fld id="{603BDD68-57D9-4AAD-922F-A0A98E8B4CED}" type="VALUE">
                      <a:rPr lang="en-US"/>
                      <a:pPr/>
                      <a:t>[VALUE]</a:t>
                    </a:fld>
                    <a:endParaRPr lang="lv-LV"/>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4"/>
              <c:tx>
                <c:rich>
                  <a:bodyPr/>
                  <a:lstStyle/>
                  <a:p>
                    <a:fld id="{B6F087CA-FCE2-4BDE-8244-915CF55541F6}" type="VALUE">
                      <a:rPr lang="en-US"/>
                      <a:pPr/>
                      <a:t>[VALUE]</a:t>
                    </a:fld>
                    <a:r>
                      <a:rPr lang="en-US"/>
                      <a:t> (100%)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numFmt formatCode="#,##0.0" sourceLinked="0"/>
            <c:spPr>
              <a:noFill/>
              <a:ln>
                <a:noFill/>
              </a:ln>
              <a:effectLst/>
            </c:spPr>
            <c:txPr>
              <a:bodyPr wrap="square" lIns="38100" tIns="19050" rIns="38100" bIns="19050" anchor="ctr">
                <a:spAutoFit/>
              </a:bodyPr>
              <a:lstStyle/>
              <a:p>
                <a:pPr>
                  <a:defRPr sz="1050"/>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grafiki!$C$21:$C$24</c:f>
              <c:strCache>
                <c:ptCount val="4"/>
                <c:pt idx="0">
                  <c:v>1.3.1.2.aktivitāte "Atbalsts pašnodarbinātības un uzņēmējdarbības uzsākšanai"</c:v>
                </c:pt>
                <c:pt idx="1">
                  <c:v>2.2.1.1.aktivitāte "Ieguldījumu fonds investīcijām garantijās, paaugstināta riska aizdevumos, riska kapitāla fondos un cita veida finanšu instrumentos"</c:v>
                </c:pt>
                <c:pt idx="2">
                  <c:v>2.2.1.4.1.apakšaktivitāte "Atbalsts aizdevumu veidā komersantu konkurētspējas uzlabošanai"</c:v>
                </c:pt>
                <c:pt idx="3">
                  <c:v>2.2.1.4.2.apakšaktivitāte "Mezanīna aizdevumi un nodrošinājuma garantijas saimnieciskās darbības veicēju konkurētspējas uzlabošanai"</c:v>
                </c:pt>
              </c:strCache>
            </c:strRef>
          </c:cat>
          <c:val>
            <c:numRef>
              <c:f>grafiki!$E$21:$E$24</c:f>
              <c:numCache>
                <c:formatCode>#,##0</c:formatCode>
                <c:ptCount val="4"/>
                <c:pt idx="0">
                  <c:v>1394976</c:v>
                </c:pt>
                <c:pt idx="1">
                  <c:v>11686778</c:v>
                </c:pt>
                <c:pt idx="2" formatCode="#,##0_ ;\-#,##0\ ">
                  <c:v>1301237</c:v>
                </c:pt>
                <c:pt idx="3">
                  <c:v>4157355</c:v>
                </c:pt>
              </c:numCache>
            </c:numRef>
          </c:val>
        </c:ser>
        <c:dLbls>
          <c:showLegendKey val="0"/>
          <c:showVal val="0"/>
          <c:showCatName val="0"/>
          <c:showSerName val="0"/>
          <c:showPercent val="0"/>
          <c:showBubbleSize val="0"/>
        </c:dLbls>
        <c:gapWidth val="150"/>
        <c:shape val="box"/>
        <c:axId val="166163992"/>
        <c:axId val="166164384"/>
        <c:axId val="0"/>
      </c:bar3DChart>
      <c:catAx>
        <c:axId val="166163992"/>
        <c:scaling>
          <c:orientation val="minMax"/>
        </c:scaling>
        <c:delete val="0"/>
        <c:axPos val="l"/>
        <c:numFmt formatCode="General" sourceLinked="1"/>
        <c:majorTickMark val="out"/>
        <c:minorTickMark val="none"/>
        <c:tickLblPos val="nextTo"/>
        <c:txPr>
          <a:bodyPr/>
          <a:lstStyle/>
          <a:p>
            <a:pPr>
              <a:defRPr sz="1000"/>
            </a:pPr>
            <a:endParaRPr lang="lv-LV"/>
          </a:p>
        </c:txPr>
        <c:crossAx val="166164384"/>
        <c:crosses val="autoZero"/>
        <c:auto val="1"/>
        <c:lblAlgn val="ctr"/>
        <c:lblOffset val="100"/>
        <c:noMultiLvlLbl val="0"/>
      </c:catAx>
      <c:valAx>
        <c:axId val="166164384"/>
        <c:scaling>
          <c:orientation val="minMax"/>
        </c:scaling>
        <c:delete val="0"/>
        <c:axPos val="b"/>
        <c:majorGridlines/>
        <c:numFmt formatCode="#,##0.00" sourceLinked="1"/>
        <c:majorTickMark val="out"/>
        <c:minorTickMark val="none"/>
        <c:tickLblPos val="nextTo"/>
        <c:txPr>
          <a:bodyPr/>
          <a:lstStyle/>
          <a:p>
            <a:pPr>
              <a:defRPr sz="1050"/>
            </a:pPr>
            <a:endParaRPr lang="lv-LV"/>
          </a:p>
        </c:txPr>
        <c:crossAx val="166163992"/>
        <c:crosses val="autoZero"/>
        <c:crossBetween val="between"/>
        <c:dispUnits>
          <c:builtInUnit val="millions"/>
        </c:dispUnits>
      </c:valAx>
      <c:spPr>
        <a:noFill/>
        <a:ln w="25400">
          <a:noFill/>
        </a:ln>
      </c:spPr>
    </c:plotArea>
    <c:legend>
      <c:legendPos val="r"/>
      <c:layout>
        <c:manualLayout>
          <c:xMode val="edge"/>
          <c:yMode val="edge"/>
          <c:x val="0.77887436043206371"/>
          <c:y val="1.9173708079341423E-2"/>
          <c:w val="0.21824428090795303"/>
          <c:h val="0.75441186886871514"/>
        </c:manualLayout>
      </c:layout>
      <c:overlay val="0"/>
      <c:txPr>
        <a:bodyPr/>
        <a:lstStyle/>
        <a:p>
          <a:pPr>
            <a:defRPr sz="1050"/>
          </a:pPr>
          <a:endParaRPr lang="lv-LV"/>
        </a:p>
      </c:txPr>
    </c:legend>
    <c:plotVisOnly val="1"/>
    <c:dispBlanksAs val="gap"/>
    <c:showDLblsOverMax val="0"/>
  </c:chart>
  <c:txPr>
    <a:bodyPr/>
    <a:lstStyle/>
    <a:p>
      <a:pPr>
        <a:defRPr sz="1100">
          <a:latin typeface="Times New Roman" pitchFamily="18" charset="0"/>
          <a:cs typeface="Times New Roman" pitchFamily="18" charset="0"/>
        </a:defRPr>
      </a:pPr>
      <a:endParaRPr lang="lv-LV"/>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4428412664633136E-2"/>
          <c:y val="2.1828040725678524E-2"/>
          <c:w val="0.83812474564274975"/>
          <c:h val="0.70445386634363016"/>
        </c:manualLayout>
      </c:layout>
      <c:lineChart>
        <c:grouping val="standard"/>
        <c:varyColors val="0"/>
        <c:ser>
          <c:idx val="0"/>
          <c:order val="0"/>
          <c:tx>
            <c:strRef>
              <c:f>'2DP ERAF'!$P$8</c:f>
              <c:strCache>
                <c:ptCount val="1"/>
                <c:pt idx="0">
                  <c:v>2DP ERAF "sarkanā līnija"</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dLbls>
            <c:dLbl>
              <c:idx val="0"/>
              <c:layout>
                <c:manualLayout>
                  <c:x val="-2.2150272717502636E-2"/>
                  <c:y val="2.4206953969463495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4480858811567474E-2"/>
                  <c:y val="3.247815176949035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7.6006324839113801E-3"/>
                  <c:y val="1.883060988344198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solidFill>
                <a:srgbClr val="FF0000"/>
              </a:solid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'2DP ERAF'!$T$7:$V$7</c:f>
              <c:strCache>
                <c:ptCount val="3"/>
                <c:pt idx="0">
                  <c:v>2013</c:v>
                </c:pt>
                <c:pt idx="1">
                  <c:v>2014</c:v>
                </c:pt>
                <c:pt idx="2">
                  <c:v>2015/16</c:v>
                </c:pt>
              </c:strCache>
            </c:strRef>
          </c:cat>
          <c:val>
            <c:numRef>
              <c:f>'2DP ERAF'!$T$8:$V$8</c:f>
              <c:numCache>
                <c:formatCode>#,##0</c:formatCode>
                <c:ptCount val="3"/>
                <c:pt idx="0">
                  <c:v>455541201.66666669</c:v>
                </c:pt>
                <c:pt idx="1">
                  <c:v>591387743.33333337</c:v>
                </c:pt>
                <c:pt idx="2">
                  <c:v>696281634</c:v>
                </c:pt>
              </c:numCache>
            </c:numRef>
          </c:val>
          <c:smooth val="0"/>
        </c:ser>
        <c:ser>
          <c:idx val="1"/>
          <c:order val="1"/>
          <c:tx>
            <c:strRef>
              <c:f>'2DP ERAF'!$P$9</c:f>
              <c:strCache>
                <c:ptCount val="1"/>
                <c:pt idx="0">
                  <c:v>Izdevumu prognoze, fakts līdz 31.12.2014</c:v>
                </c:pt>
              </c:strCache>
            </c:strRef>
          </c:tx>
          <c:spPr>
            <a:ln w="28575" cap="rnd">
              <a:solidFill>
                <a:schemeClr val="accent1"/>
              </a:solidFill>
              <a:round/>
            </a:ln>
            <a:effectLst/>
          </c:spPr>
          <c:marker>
            <c:symbol val="circle"/>
            <c:size val="5"/>
            <c:spPr>
              <a:solidFill>
                <a:schemeClr val="tx2"/>
              </a:solidFill>
              <a:ln w="9525">
                <a:solidFill>
                  <a:schemeClr val="accent1"/>
                </a:solidFill>
              </a:ln>
              <a:effectLst/>
            </c:spPr>
          </c:marker>
          <c:dLbls>
            <c:dLbl>
              <c:idx val="0"/>
              <c:layout>
                <c:manualLayout>
                  <c:x val="-2.8692205609130321E-2"/>
                  <c:y val="-8.4478122371306044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5.1155659596604564E-2"/>
                  <c:y val="-3.4617692019266837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solidFill>
                <a:schemeClr val="accent1"/>
              </a:solid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'2DP ERAF'!$T$7:$V$7</c:f>
              <c:strCache>
                <c:ptCount val="3"/>
                <c:pt idx="0">
                  <c:v>2013</c:v>
                </c:pt>
                <c:pt idx="1">
                  <c:v>2014</c:v>
                </c:pt>
                <c:pt idx="2">
                  <c:v>2015/16</c:v>
                </c:pt>
              </c:strCache>
            </c:strRef>
          </c:cat>
          <c:val>
            <c:numRef>
              <c:f>'2DP ERAF'!$T$9:$V$9</c:f>
              <c:numCache>
                <c:formatCode>#,##0</c:formatCode>
                <c:ptCount val="3"/>
                <c:pt idx="0">
                  <c:v>456899010.2300002</c:v>
                </c:pt>
                <c:pt idx="1">
                  <c:v>612670776</c:v>
                </c:pt>
                <c:pt idx="2">
                  <c:v>763468702</c:v>
                </c:pt>
              </c:numCache>
            </c:numRef>
          </c:val>
          <c:smooth val="0"/>
        </c:ser>
        <c:dLbls>
          <c:dLblPos val="t"/>
          <c:showLegendKey val="0"/>
          <c:showVal val="1"/>
          <c:showCatName val="0"/>
          <c:showSerName val="0"/>
          <c:showPercent val="0"/>
          <c:showBubbleSize val="0"/>
        </c:dLbls>
        <c:marker val="1"/>
        <c:smooth val="0"/>
        <c:axId val="166165560"/>
        <c:axId val="166165952"/>
      </c:lineChart>
      <c:dateAx>
        <c:axId val="166165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6165952"/>
        <c:crossesAt val="0"/>
        <c:auto val="0"/>
        <c:lblOffset val="100"/>
        <c:baseTimeUnit val="days"/>
      </c:dateAx>
      <c:valAx>
        <c:axId val="166165952"/>
        <c:scaling>
          <c:orientation val="minMax"/>
          <c:max val="800000000"/>
          <c:min val="400000000"/>
        </c:scaling>
        <c:delete val="0"/>
        <c:axPos val="l"/>
        <c:majorGridlines>
          <c:spPr>
            <a:ln w="9525" cap="flat" cmpd="sng" algn="ctr">
              <a:solidFill>
                <a:schemeClr val="bg1">
                  <a:lumMod val="65000"/>
                </a:schemeClr>
              </a:solidFill>
              <a:prstDash val="sysDot"/>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6165560"/>
        <c:crosses val="autoZero"/>
        <c:crossBetween val="midCat"/>
        <c:dispUnits>
          <c:builtInUnit val="millions"/>
        </c:dispUnits>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3715416630448208E-2"/>
          <c:y val="4.0166033517594082E-2"/>
          <c:w val="0.82615366956681435"/>
          <c:h val="0.62699574524618906"/>
        </c:manualLayout>
      </c:layout>
      <c:lineChart>
        <c:grouping val="standard"/>
        <c:varyColors val="0"/>
        <c:ser>
          <c:idx val="0"/>
          <c:order val="0"/>
          <c:tx>
            <c:strRef>
              <c:f>'Grafiks_diagram '!$H$29</c:f>
              <c:strCache>
                <c:ptCount val="1"/>
                <c:pt idx="0">
                  <c:v>UK 11.2010. apstiprinātais plāns (385,2 milj. lati)</c:v>
                </c:pt>
              </c:strCache>
            </c:strRef>
          </c:tx>
          <c:dLbls>
            <c:dLbl>
              <c:idx val="0"/>
              <c:layout>
                <c:manualLayout>
                  <c:x val="-4.6647230320699708E-2"/>
                  <c:y val="-5.188066738419036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4139941690962085E-2"/>
                  <c:y val="-2.421097811262217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2759961127308031E-2"/>
                  <c:y val="-3.283733591398495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70359572400389E-2"/>
                  <c:y val="-3.9754637904594603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4985422740524783E-2"/>
                  <c:y val="-4.1504533907352294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4.0816326530612242E-2"/>
                  <c:y val="-4.1504533907352294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5.2478134110787097E-2"/>
                  <c:y val="-6.9174223178920455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1.7492711370262391E-2"/>
                  <c:y val="-5.1880667384190365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3.69290573372206E-2"/>
                  <c:y val="-4.3213175154676445E-2"/>
                </c:manualLayout>
              </c:layout>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txPr>
              <a:bodyPr/>
              <a:lstStyle/>
              <a:p>
                <a:pPr>
                  <a:defRPr b="1">
                    <a:solidFill>
                      <a:schemeClr val="accent1"/>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'Grafiks_diagram '!$I$23:$R$23</c:f>
              <c:strCache>
                <c:ptCount val="10"/>
                <c:pt idx="0">
                  <c:v>2007-2010</c:v>
                </c:pt>
                <c:pt idx="1">
                  <c:v>2011</c:v>
                </c:pt>
                <c:pt idx="2">
                  <c:v>2012</c:v>
                </c:pt>
                <c:pt idx="3">
                  <c:v>2013</c:v>
                </c:pt>
                <c:pt idx="4">
                  <c:v>2014. 1.cet.</c:v>
                </c:pt>
                <c:pt idx="5">
                  <c:v>2014. 2.cet</c:v>
                </c:pt>
                <c:pt idx="6">
                  <c:v>2014. 3.cet.</c:v>
                </c:pt>
                <c:pt idx="7">
                  <c:v>2014 kopā</c:v>
                </c:pt>
                <c:pt idx="8">
                  <c:v>2015</c:v>
                </c:pt>
                <c:pt idx="9">
                  <c:v>2016</c:v>
                </c:pt>
              </c:strCache>
            </c:strRef>
          </c:cat>
          <c:val>
            <c:numRef>
              <c:f>'Grafiks_diagram '!$I$29:$R$29</c:f>
            </c:numRef>
          </c:val>
          <c:smooth val="0"/>
        </c:ser>
        <c:ser>
          <c:idx val="1"/>
          <c:order val="1"/>
          <c:tx>
            <c:strRef>
              <c:f>'Grafiks_diagram '!$H$30</c:f>
              <c:strCache>
                <c:ptCount val="1"/>
                <c:pt idx="0">
                  <c:v>UK 2010.g apstiprinātais plāns kopā (milj. euro)</c:v>
                </c:pt>
              </c:strCache>
            </c:strRef>
          </c:tx>
          <c:spPr>
            <a:ln w="31750">
              <a:solidFill>
                <a:srgbClr val="0070C0"/>
              </a:solidFill>
            </a:ln>
          </c:spPr>
          <c:marker>
            <c:spPr>
              <a:solidFill>
                <a:srgbClr val="0070C0"/>
              </a:solidFill>
              <a:ln>
                <a:solidFill>
                  <a:srgbClr val="0070C0"/>
                </a:solidFill>
              </a:ln>
            </c:spPr>
          </c:marker>
          <c:dPt>
            <c:idx val="4"/>
            <c:marker>
              <c:symbol val="none"/>
            </c:marker>
            <c:bubble3D val="0"/>
          </c:dPt>
          <c:dPt>
            <c:idx val="5"/>
            <c:marker>
              <c:symbol val="none"/>
            </c:marker>
            <c:bubble3D val="0"/>
          </c:dPt>
          <c:dPt>
            <c:idx val="6"/>
            <c:marker>
              <c:symbol val="none"/>
            </c:marker>
            <c:bubble3D val="0"/>
          </c:dPt>
          <c:dLbls>
            <c:dLbl>
              <c:idx val="0"/>
              <c:layout>
                <c:manualLayout>
                  <c:x val="-5.028015533620693E-2"/>
                  <c:y val="-3.4539886246409766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7.4489119016602864E-2"/>
                  <c:y val="-3.188297191976285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9.1758647520275391E-2"/>
                  <c:y val="-2.60476863895339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9.499860296172119E-2"/>
                  <c:y val="-1.4493310287433583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layout>
                <c:manualLayout>
                  <c:x val="-7.6758397768376382E-2"/>
                  <c:y val="-3.092878402654739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5.959129521328229E-2"/>
                  <c:y val="-3.1882971919762859E-2"/>
                </c:manualLayout>
              </c:layout>
              <c:showLegendKey val="0"/>
              <c:showVal val="1"/>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txPr>
              <a:bodyPr/>
              <a:lstStyle/>
              <a:p>
                <a:pPr>
                  <a:defRPr sz="1100" b="1" i="0" baseline="0">
                    <a:solidFill>
                      <a:srgbClr val="0070C0"/>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'Grafiks_diagram '!$I$23:$R$23</c:f>
              <c:strCache>
                <c:ptCount val="10"/>
                <c:pt idx="0">
                  <c:v>2007-2010</c:v>
                </c:pt>
                <c:pt idx="1">
                  <c:v>2011</c:v>
                </c:pt>
                <c:pt idx="2">
                  <c:v>2012</c:v>
                </c:pt>
                <c:pt idx="3">
                  <c:v>2013</c:v>
                </c:pt>
                <c:pt idx="4">
                  <c:v>2014. 1.cet.</c:v>
                </c:pt>
                <c:pt idx="5">
                  <c:v>2014. 2.cet</c:v>
                </c:pt>
                <c:pt idx="6">
                  <c:v>2014. 3.cet.</c:v>
                </c:pt>
                <c:pt idx="7">
                  <c:v>2014 kopā</c:v>
                </c:pt>
                <c:pt idx="8">
                  <c:v>2015</c:v>
                </c:pt>
                <c:pt idx="9">
                  <c:v>2016</c:v>
                </c:pt>
              </c:strCache>
            </c:strRef>
          </c:cat>
          <c:val>
            <c:numRef>
              <c:f>'Grafiks_diagram '!$I$30:$R$30</c:f>
              <c:numCache>
                <c:formatCode>#,##0</c:formatCode>
                <c:ptCount val="10"/>
                <c:pt idx="0">
                  <c:v>149373974.82086045</c:v>
                </c:pt>
                <c:pt idx="1">
                  <c:v>237185502.82086045</c:v>
                </c:pt>
                <c:pt idx="2">
                  <c:v>404574034.82086045</c:v>
                </c:pt>
                <c:pt idx="3">
                  <c:v>478182977.82086045</c:v>
                </c:pt>
                <c:pt idx="4">
                  <c:v>493664102.57086045</c:v>
                </c:pt>
                <c:pt idx="5">
                  <c:v>509145227.32086045</c:v>
                </c:pt>
                <c:pt idx="6">
                  <c:v>524626352.07086045</c:v>
                </c:pt>
                <c:pt idx="7">
                  <c:v>540107476.82086039</c:v>
                </c:pt>
                <c:pt idx="8">
                  <c:v>548061009.82086039</c:v>
                </c:pt>
              </c:numCache>
            </c:numRef>
          </c:val>
          <c:smooth val="0"/>
        </c:ser>
        <c:ser>
          <c:idx val="2"/>
          <c:order val="2"/>
          <c:tx>
            <c:strRef>
              <c:f>'Grafiks_diagram '!$H$31</c:f>
              <c:strCache>
                <c:ptCount val="1"/>
                <c:pt idx="0">
                  <c:v>SI prognoze 02.2013. (299,7 milj. lati)</c:v>
                </c:pt>
              </c:strCache>
            </c:strRef>
          </c:tx>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layout>
                <c:manualLayout>
                  <c:x val="-8.8209546201133745E-3"/>
                  <c:y val="2.569012929782909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1.2708406322472159E-2"/>
                  <c:y val="3.147169510535694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4.0522884646276403E-2"/>
                  <c:y val="-3.50412489111312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5.0398445092322643E-2"/>
                  <c:y val="-2.918747919884234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7"/>
              <c:layout>
                <c:manualLayout>
                  <c:x val="-5.2342079689018467E-2"/>
                  <c:y val="-3.20766078626612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8"/>
              <c:layout>
                <c:manualLayout>
                  <c:x val="-4.6511175898931001E-2"/>
                  <c:y val="-3.207660786266129E-2"/>
                </c:manualLayout>
              </c:layout>
              <c:dLblPos val="r"/>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txPr>
              <a:bodyPr/>
              <a:lstStyle/>
              <a:p>
                <a:pPr>
                  <a:defRPr b="1">
                    <a:solidFill>
                      <a:schemeClr val="accent3">
                        <a:lumMod val="75000"/>
                      </a:schemeClr>
                    </a:solidFill>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'Grafiks_diagram '!$I$23:$R$23</c:f>
              <c:strCache>
                <c:ptCount val="10"/>
                <c:pt idx="0">
                  <c:v>2007-2010</c:v>
                </c:pt>
                <c:pt idx="1">
                  <c:v>2011</c:v>
                </c:pt>
                <c:pt idx="2">
                  <c:v>2012</c:v>
                </c:pt>
                <c:pt idx="3">
                  <c:v>2013</c:v>
                </c:pt>
                <c:pt idx="4">
                  <c:v>2014. 1.cet.</c:v>
                </c:pt>
                <c:pt idx="5">
                  <c:v>2014. 2.cet</c:v>
                </c:pt>
                <c:pt idx="6">
                  <c:v>2014. 3.cet.</c:v>
                </c:pt>
                <c:pt idx="7">
                  <c:v>2014 kopā</c:v>
                </c:pt>
                <c:pt idx="8">
                  <c:v>2015</c:v>
                </c:pt>
                <c:pt idx="9">
                  <c:v>2016</c:v>
                </c:pt>
              </c:strCache>
            </c:strRef>
          </c:cat>
          <c:val>
            <c:numRef>
              <c:f>'Grafiks_diagram '!$I$31:$R$31</c:f>
            </c:numRef>
          </c:val>
          <c:smooth val="0"/>
        </c:ser>
        <c:ser>
          <c:idx val="3"/>
          <c:order val="3"/>
          <c:tx>
            <c:strRef>
              <c:f>'Grafiks_diagram '!$H$32</c:f>
              <c:strCache>
                <c:ptCount val="1"/>
                <c:pt idx="0">
                  <c:v> AI prognoze kopā (milj. euro)</c:v>
                </c:pt>
              </c:strCache>
            </c:strRef>
          </c:tx>
          <c:spPr>
            <a:ln w="31750">
              <a:solidFill>
                <a:srgbClr val="FF0000"/>
              </a:solidFill>
            </a:ln>
          </c:spPr>
          <c:dLbls>
            <c:dLbl>
              <c:idx val="0"/>
              <c:layout>
                <c:manualLayout>
                  <c:x val="-5.0273019947584541E-2"/>
                  <c:y val="2.9481789917096466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4896887714783974E-2"/>
                  <c:y val="-3.64498864308673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4.6551399884110757E-2"/>
                  <c:y val="-4.484093799999876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1176306230790724E-2"/>
                  <c:y val="4.453723034098817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4.4679962515550793E-2"/>
                  <c:y val="-4.229009595485207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4.8417999982116829E-2"/>
                  <c:y val="-4.442827034307227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5.5862999116538498E-2"/>
                  <c:y val="-3.380688906958838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6.1451365861974493E-2"/>
                  <c:y val="-3.617213757783756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8.5669380766338121E-2"/>
                  <c:y val="-2.503353191984329E-2"/>
                </c:manualLayout>
              </c:layout>
              <c:tx>
                <c:rich>
                  <a:bodyPr/>
                  <a:lstStyle/>
                  <a:p>
                    <a:r>
                      <a:rPr lang="en-US" sz="1100" b="1" i="0" baseline="0">
                        <a:solidFill>
                          <a:srgbClr val="FF0000"/>
                        </a:solidFill>
                      </a:rPr>
                      <a:t>290,6</a:t>
                    </a:r>
                  </a:p>
                </c:rich>
              </c:tx>
              <c:showLegendKey val="0"/>
              <c:showVal val="1"/>
              <c:showCatName val="0"/>
              <c:showSerName val="0"/>
              <c:showPercent val="0"/>
              <c:showBubbleSize val="0"/>
              <c:separator>; </c:separator>
              <c:extLst>
                <c:ext xmlns:c15="http://schemas.microsoft.com/office/drawing/2012/chart" uri="{CE6537A1-D6FC-4f65-9D91-7224C49458BB}">
                  <c15:layout/>
                </c:ext>
              </c:extLst>
            </c:dLbl>
            <c:dLbl>
              <c:idx val="9"/>
              <c:layout>
                <c:manualLayout>
                  <c:x val="-5.2142383311622006E-2"/>
                  <c:y val="-3.7723614091312169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100" b="1" i="0" baseline="0">
                    <a:solidFill>
                      <a:srgbClr val="FF0000"/>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'Grafiks_diagram '!$I$23:$R$23</c:f>
              <c:strCache>
                <c:ptCount val="10"/>
                <c:pt idx="0">
                  <c:v>2007-2010</c:v>
                </c:pt>
                <c:pt idx="1">
                  <c:v>2011</c:v>
                </c:pt>
                <c:pt idx="2">
                  <c:v>2012</c:v>
                </c:pt>
                <c:pt idx="3">
                  <c:v>2013</c:v>
                </c:pt>
                <c:pt idx="4">
                  <c:v>2014. 1.cet.</c:v>
                </c:pt>
                <c:pt idx="5">
                  <c:v>2014. 2.cet</c:v>
                </c:pt>
                <c:pt idx="6">
                  <c:v>2014. 3.cet.</c:v>
                </c:pt>
                <c:pt idx="7">
                  <c:v>2014 kopā</c:v>
                </c:pt>
                <c:pt idx="8">
                  <c:v>2015</c:v>
                </c:pt>
                <c:pt idx="9">
                  <c:v>2016</c:v>
                </c:pt>
              </c:strCache>
            </c:strRef>
          </c:cat>
          <c:val>
            <c:numRef>
              <c:f>'Grafiks_diagram '!$I$32:$R$32</c:f>
              <c:numCache>
                <c:formatCode>#,##0</c:formatCode>
                <c:ptCount val="10"/>
                <c:pt idx="0">
                  <c:v>137030538</c:v>
                </c:pt>
                <c:pt idx="1">
                  <c:v>188610347.25</c:v>
                </c:pt>
                <c:pt idx="2">
                  <c:v>201106652.05000001</c:v>
                </c:pt>
                <c:pt idx="3">
                  <c:v>270417724.05000001</c:v>
                </c:pt>
                <c:pt idx="4">
                  <c:v>285204613.67613465</c:v>
                </c:pt>
                <c:pt idx="5">
                  <c:v>294291631.71795672</c:v>
                </c:pt>
                <c:pt idx="6">
                  <c:v>315592206.4760685</c:v>
                </c:pt>
                <c:pt idx="7">
                  <c:v>344737169.37606847</c:v>
                </c:pt>
                <c:pt idx="8">
                  <c:v>405505212.37606847</c:v>
                </c:pt>
                <c:pt idx="9">
                  <c:v>420782062.37606847</c:v>
                </c:pt>
              </c:numCache>
            </c:numRef>
          </c:val>
          <c:smooth val="0"/>
        </c:ser>
        <c:ser>
          <c:idx val="4"/>
          <c:order val="4"/>
          <c:tx>
            <c:strRef>
              <c:f>'Grafiks_diagram '!$H$33</c:f>
              <c:strCache>
                <c:ptCount val="1"/>
                <c:pt idx="0">
                  <c:v>Fakts kopā (milj. euro)</c:v>
                </c:pt>
              </c:strCache>
            </c:strRef>
          </c:tx>
          <c:spPr>
            <a:ln w="31750">
              <a:solidFill>
                <a:srgbClr val="00B050"/>
              </a:solidFill>
            </a:ln>
          </c:spPr>
          <c:dLbls>
            <c:dLbl>
              <c:idx val="0"/>
              <c:layout>
                <c:manualLayout>
                  <c:x val="-7.4554065953105911E-3"/>
                  <c:y val="2.0303034903344896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6090038608748253E-2"/>
                  <c:y val="3.783200235541290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0537878100488873E-2"/>
                  <c:y val="4.017458621514695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4.8460743941014003E-2"/>
                  <c:y val="-3.589821158994636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2.7995483455142158E-2"/>
                  <c:y val="4.2459011731521418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3.1681923369132559E-2"/>
                  <c:y val="3.897870527981539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3.1691744494196802E-2"/>
                  <c:y val="4.901893075458098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2.7933419631226211E-2"/>
                  <c:y val="5.3138286532938055E-2"/>
                </c:manualLayout>
              </c:layout>
              <c:showLegendKey val="0"/>
              <c:showVal val="1"/>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txPr>
              <a:bodyPr/>
              <a:lstStyle/>
              <a:p>
                <a:pPr>
                  <a:defRPr sz="1100" b="1" i="0" baseline="0">
                    <a:solidFill>
                      <a:srgbClr val="00B050"/>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'Grafiks_diagram '!$I$23:$R$23</c:f>
              <c:strCache>
                <c:ptCount val="10"/>
                <c:pt idx="0">
                  <c:v>2007-2010</c:v>
                </c:pt>
                <c:pt idx="1">
                  <c:v>2011</c:v>
                </c:pt>
                <c:pt idx="2">
                  <c:v>2012</c:v>
                </c:pt>
                <c:pt idx="3">
                  <c:v>2013</c:v>
                </c:pt>
                <c:pt idx="4">
                  <c:v>2014. 1.cet.</c:v>
                </c:pt>
                <c:pt idx="5">
                  <c:v>2014. 2.cet</c:v>
                </c:pt>
                <c:pt idx="6">
                  <c:v>2014. 3.cet.</c:v>
                </c:pt>
                <c:pt idx="7">
                  <c:v>2014 kopā</c:v>
                </c:pt>
                <c:pt idx="8">
                  <c:v>2015</c:v>
                </c:pt>
                <c:pt idx="9">
                  <c:v>2016</c:v>
                </c:pt>
              </c:strCache>
            </c:strRef>
          </c:cat>
          <c:val>
            <c:numRef>
              <c:f>'Grafiks_diagram '!$I$33:$R$33</c:f>
              <c:numCache>
                <c:formatCode>#,##0</c:formatCode>
                <c:ptCount val="10"/>
                <c:pt idx="0">
                  <c:v>135785904</c:v>
                </c:pt>
                <c:pt idx="1">
                  <c:v>187259702.34</c:v>
                </c:pt>
                <c:pt idx="2">
                  <c:v>200407965.31</c:v>
                </c:pt>
                <c:pt idx="3">
                  <c:v>279246993.85000002</c:v>
                </c:pt>
                <c:pt idx="4">
                  <c:v>284134788.78002322</c:v>
                </c:pt>
                <c:pt idx="5">
                  <c:v>293783981.78002322</c:v>
                </c:pt>
                <c:pt idx="6">
                  <c:v>310739930.78002322</c:v>
                </c:pt>
                <c:pt idx="7">
                  <c:v>338933281.45002317</c:v>
                </c:pt>
              </c:numCache>
            </c:numRef>
          </c:val>
          <c:smooth val="0"/>
        </c:ser>
        <c:dLbls>
          <c:showLegendKey val="0"/>
          <c:showVal val="0"/>
          <c:showCatName val="0"/>
          <c:showSerName val="0"/>
          <c:showPercent val="0"/>
          <c:showBubbleSize val="0"/>
        </c:dLbls>
        <c:marker val="1"/>
        <c:smooth val="0"/>
        <c:axId val="163137296"/>
        <c:axId val="166166344"/>
      </c:lineChart>
      <c:catAx>
        <c:axId val="163137296"/>
        <c:scaling>
          <c:orientation val="minMax"/>
        </c:scaling>
        <c:delete val="0"/>
        <c:axPos val="b"/>
        <c:numFmt formatCode="General" sourceLinked="0"/>
        <c:majorTickMark val="out"/>
        <c:minorTickMark val="none"/>
        <c:tickLblPos val="nextTo"/>
        <c:txPr>
          <a:bodyPr rot="-5400000" vert="horz"/>
          <a:lstStyle/>
          <a:p>
            <a:pPr>
              <a:defRPr/>
            </a:pPr>
            <a:endParaRPr lang="lv-LV"/>
          </a:p>
        </c:txPr>
        <c:crossAx val="166166344"/>
        <c:crosses val="autoZero"/>
        <c:auto val="1"/>
        <c:lblAlgn val="ctr"/>
        <c:lblOffset val="100"/>
        <c:noMultiLvlLbl val="0"/>
      </c:catAx>
      <c:valAx>
        <c:axId val="166166344"/>
        <c:scaling>
          <c:orientation val="minMax"/>
          <c:max val="600000000"/>
        </c:scaling>
        <c:delete val="0"/>
        <c:axPos val="l"/>
        <c:majorGridlines/>
        <c:numFmt formatCode="#,##0" sourceLinked="1"/>
        <c:majorTickMark val="out"/>
        <c:minorTickMark val="none"/>
        <c:tickLblPos val="nextTo"/>
        <c:txPr>
          <a:bodyPr/>
          <a:lstStyle/>
          <a:p>
            <a:pPr>
              <a:defRPr baseline="0"/>
            </a:pPr>
            <a:endParaRPr lang="lv-LV"/>
          </a:p>
        </c:txPr>
        <c:crossAx val="163137296"/>
        <c:crosses val="autoZero"/>
        <c:crossBetween val="between"/>
        <c:dispUnits>
          <c:builtInUnit val="millions"/>
        </c:dispUnits>
      </c:valAx>
    </c:plotArea>
    <c:legend>
      <c:legendPos val="r"/>
      <c:layout>
        <c:manualLayout>
          <c:xMode val="edge"/>
          <c:yMode val="edge"/>
          <c:x val="0"/>
          <c:y val="0.79221093004812804"/>
          <c:w val="1"/>
          <c:h val="0.10329049937674809"/>
        </c:manualLayout>
      </c:layout>
      <c:overlay val="0"/>
    </c:legend>
    <c:plotVisOnly val="1"/>
    <c:dispBlanksAs val="gap"/>
    <c:showDLblsOverMax val="0"/>
  </c:chart>
  <c:txPr>
    <a:bodyPr/>
    <a:lstStyle/>
    <a:p>
      <a:pPr>
        <a:defRPr sz="900" baseline="0"/>
      </a:pPr>
      <a:endParaRPr lang="lv-LV"/>
    </a:p>
  </c:txPr>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9315090506031103E-2"/>
          <c:y val="3.0841725211487692E-2"/>
          <c:w val="0.94200857373489555"/>
          <c:h val="0.7277032868417852"/>
        </c:manualLayout>
      </c:layout>
      <c:bar3DChart>
        <c:barDir val="col"/>
        <c:grouping val="clustered"/>
        <c:varyColors val="0"/>
        <c:ser>
          <c:idx val="0"/>
          <c:order val="0"/>
          <c:tx>
            <c:v>Investīciju plāns 2014.gadam</c:v>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8.9086328510395926E-3"/>
                  <c:y val="-1.055230662067227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0278247468492726E-2"/>
                  <c:y val="-1.917085458450638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6.6814746382797751E-3"/>
                  <c:y val="-1.837901614281342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2271582127598982E-3"/>
                  <c:y val="-1.4861580602589332E-2"/>
                </c:manualLayout>
              </c:layout>
              <c:showLegendKey val="0"/>
              <c:showVal val="1"/>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[1]Sheet1!$I$2:$L$2</c:f>
              <c:strCache>
                <c:ptCount val="4"/>
                <c:pt idx="0">
                  <c:v>1.ceturksnis</c:v>
                </c:pt>
                <c:pt idx="1">
                  <c:v>2.ceturksnis</c:v>
                </c:pt>
                <c:pt idx="2">
                  <c:v>3.ceturksnis</c:v>
                </c:pt>
                <c:pt idx="3">
                  <c:v>4.ceturksnis</c:v>
                </c:pt>
              </c:strCache>
            </c:strRef>
          </c:cat>
          <c:val>
            <c:numRef>
              <c:f>'Invest. plans 2014'!$O$11:$R$11</c:f>
              <c:numCache>
                <c:formatCode>#,##0</c:formatCode>
                <c:ptCount val="4"/>
                <c:pt idx="0">
                  <c:v>2275528.5</c:v>
                </c:pt>
                <c:pt idx="1">
                  <c:v>2646258.5</c:v>
                </c:pt>
                <c:pt idx="2">
                  <c:v>9279737.5</c:v>
                </c:pt>
                <c:pt idx="3">
                  <c:v>8911627.5</c:v>
                </c:pt>
              </c:numCache>
            </c:numRef>
          </c:val>
        </c:ser>
        <c:ser>
          <c:idx val="1"/>
          <c:order val="1"/>
          <c:tx>
            <c:v>Investīciju plāna izpilde</c:v>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3.4293281056110292E-2"/>
                  <c:y val="-2.1896321395954925E-2"/>
                </c:manualLayout>
              </c:layout>
              <c:tx>
                <c:rich>
                  <a:bodyPr/>
                  <a:lstStyle/>
                  <a:p>
                    <a:fld id="{FCA42293-6113-4D22-8F71-8D2F6E4A680A}" type="VALUE">
                      <a:rPr lang="en-US"/>
                      <a:pPr/>
                      <a:t>[VALUE]</a:t>
                    </a:fld>
                    <a:r>
                      <a:rPr lang="en-US"/>
                      <a:t> (91%)</a:t>
                    </a:r>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
              <c:layout>
                <c:manualLayout>
                  <c:x val="3.3520747310113001E-2"/>
                  <c:y val="-2.6340202111543282E-2"/>
                </c:manualLayout>
              </c:layout>
              <c:tx>
                <c:rich>
                  <a:bodyPr/>
                  <a:lstStyle/>
                  <a:p>
                    <a:fld id="{287E38B0-1418-49BA-9008-A2C852DB7983}" type="VALUE">
                      <a:rPr lang="en-US"/>
                      <a:pPr/>
                      <a:t>[VALUE]</a:t>
                    </a:fld>
                    <a:r>
                      <a:rPr lang="en-US"/>
                      <a:t> (73%)</a:t>
                    </a:r>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manualLayout>
                  <c:x val="4.1791944282755053E-2"/>
                  <c:y val="-3.2925142253870006E-2"/>
                </c:manualLayout>
              </c:layout>
              <c:tx>
                <c:rich>
                  <a:bodyPr/>
                  <a:lstStyle/>
                  <a:p>
                    <a:fld id="{8B7FB87E-8421-4A91-AD86-C31165AA549A}" type="VALUE">
                      <a:rPr lang="en-US"/>
                      <a:pPr/>
                      <a:t>[VALUE]</a:t>
                    </a:fld>
                    <a:r>
                      <a:rPr lang="en-US"/>
                      <a:t> (29%)</a:t>
                    </a:r>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3"/>
              <c:layout>
                <c:manualLayout>
                  <c:x val="3.9064604406249086E-2"/>
                  <c:y val="-3.0841629578849651E-2"/>
                </c:manualLayout>
              </c:layout>
              <c:tx>
                <c:rich>
                  <a:bodyPr/>
                  <a:lstStyle/>
                  <a:p>
                    <a:fld id="{A78F6916-EB67-4B5C-AFB7-BC563DE6AB02}" type="VALUE">
                      <a:rPr lang="en-US"/>
                      <a:pPr/>
                      <a:t>[VALUE]</a:t>
                    </a:fld>
                    <a:r>
                      <a:rPr lang="en-US"/>
                      <a:t> (29%)</a:t>
                    </a:r>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'Invest. plans 2014'!$O$12:$R$12</c:f>
              <c:numCache>
                <c:formatCode>#,##0</c:formatCode>
                <c:ptCount val="4"/>
                <c:pt idx="0">
                  <c:v>2099905</c:v>
                </c:pt>
                <c:pt idx="1">
                  <c:v>1923464.5299999998</c:v>
                </c:pt>
                <c:pt idx="2">
                  <c:v>2658211.2800000003</c:v>
                </c:pt>
                <c:pt idx="3">
                  <c:v>2620134</c:v>
                </c:pt>
              </c:numCache>
            </c:numRef>
          </c:val>
        </c:ser>
        <c:dLbls>
          <c:showLegendKey val="0"/>
          <c:showVal val="1"/>
          <c:showCatName val="0"/>
          <c:showSerName val="0"/>
          <c:showPercent val="0"/>
          <c:showBubbleSize val="0"/>
        </c:dLbls>
        <c:gapWidth val="150"/>
        <c:shape val="box"/>
        <c:axId val="166167520"/>
        <c:axId val="166167912"/>
        <c:axId val="0"/>
      </c:bar3DChart>
      <c:catAx>
        <c:axId val="1661675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6167912"/>
        <c:crosses val="autoZero"/>
        <c:auto val="1"/>
        <c:lblAlgn val="ctr"/>
        <c:lblOffset val="100"/>
        <c:noMultiLvlLbl val="0"/>
      </c:catAx>
      <c:valAx>
        <c:axId val="1661679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6167520"/>
        <c:crosses val="autoZero"/>
        <c:crossBetween val="between"/>
        <c:dispUnits>
          <c:builtInUnit val="millions"/>
        </c:dispUnits>
      </c:valAx>
      <c:spPr>
        <a:noFill/>
        <a:ln>
          <a:noFill/>
        </a:ln>
        <a:effectLst/>
      </c:spPr>
    </c:plotArea>
    <c:legend>
      <c:legendPos val="r"/>
      <c:layout>
        <c:manualLayout>
          <c:xMode val="edge"/>
          <c:yMode val="edge"/>
          <c:x val="0.28965470827862766"/>
          <c:y val="0.86772162925318785"/>
          <c:w val="0.41303080912424522"/>
          <c:h val="0.1015858406226339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9460977983456764E-2"/>
          <c:y val="5.5178454938101119E-2"/>
          <c:w val="0.91752397050369194"/>
          <c:h val="0.76097810627192131"/>
        </c:manualLayout>
      </c:layout>
      <c:lineChart>
        <c:grouping val="standard"/>
        <c:varyColors val="0"/>
        <c:ser>
          <c:idx val="5"/>
          <c:order val="0"/>
          <c:tx>
            <c:v>Investīciju plāns 2015.gadam</c:v>
          </c:tx>
          <c:spPr>
            <a:ln w="28575" cap="rnd">
              <a:solidFill>
                <a:schemeClr val="accent6"/>
              </a:solidFill>
              <a:round/>
            </a:ln>
            <a:effectLst/>
          </c:spPr>
          <c:marker>
            <c:symbol val="circle"/>
            <c:size val="5"/>
            <c:spPr>
              <a:solidFill>
                <a:schemeClr val="accent6"/>
              </a:solidFill>
              <a:ln w="9525">
                <a:solidFill>
                  <a:schemeClr val="accent6"/>
                </a:solidFill>
              </a:ln>
              <a:effectLst/>
            </c:spPr>
          </c:marker>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layout>
                <c:manualLayout>
                  <c:x val="-4.0484412558974843E-2"/>
                  <c:y val="-4.231737811447396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3.9843510127270908E-3"/>
                  <c:y val="-3.7615447212865666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1.4183132768783105E-3"/>
                  <c:y val="-4.7019309016082256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2.1043365232577594E-2"/>
                  <c:y val="-5.877413627010277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accent6">
                          <a:shade val="95000"/>
                          <a:satMod val="105000"/>
                        </a:schemeClr>
                      </a:solidFill>
                      <a:prstDash val="solid"/>
                      <a:round/>
                    </a:ln>
                    <a:effectLst/>
                  </c:spPr>
                </c15:leaderLines>
              </c:ext>
            </c:extLst>
          </c:dLbls>
          <c:cat>
            <c:strRef>
              <c:f>Tabula!$D$3:$J$3</c:f>
              <c:strCache>
                <c:ptCount val="6"/>
                <c:pt idx="0">
                  <c:v>Veiktie  maksājumi  2012.gadā</c:v>
                </c:pt>
                <c:pt idx="1">
                  <c:v>Veiktie maksājumi 2013.gadā</c:v>
                </c:pt>
                <c:pt idx="2">
                  <c:v>Investīciju plāns un veiktie maksājumi 2014.gadā </c:v>
                </c:pt>
                <c:pt idx="3">
                  <c:v>Investīciju plāns 2015.gadam</c:v>
                </c:pt>
                <c:pt idx="4">
                  <c:v>Investīciju plāns 2016.gadam</c:v>
                </c:pt>
                <c:pt idx="5">
                  <c:v>Investīciju plāns 2017.gadam</c:v>
                </c:pt>
              </c:strCache>
            </c:strRef>
          </c:cat>
          <c:val>
            <c:numRef>
              <c:f>Tabula!$D$5:$J$5</c:f>
              <c:numCache>
                <c:formatCode>#,##0</c:formatCode>
                <c:ptCount val="6"/>
                <c:pt idx="0">
                  <c:v>400000</c:v>
                </c:pt>
                <c:pt idx="1">
                  <c:v>4000000</c:v>
                </c:pt>
                <c:pt idx="2">
                  <c:v>11682024.370000001</c:v>
                </c:pt>
                <c:pt idx="3">
                  <c:v>45729510</c:v>
                </c:pt>
                <c:pt idx="4">
                  <c:v>12343721</c:v>
                </c:pt>
                <c:pt idx="5">
                  <c:v>962554</c:v>
                </c:pt>
              </c:numCache>
            </c:numRef>
          </c:val>
          <c:smooth val="0"/>
        </c:ser>
        <c:ser>
          <c:idx val="0"/>
          <c:order val="1"/>
          <c:tx>
            <c:v>Investīciju plāns 2014.gadam</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layout>
                <c:manualLayout>
                  <c:x val="-2.8175493852742144E-2"/>
                  <c:y val="-3.526448176206156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9.9298798176543721E-3"/>
                  <c:y val="-5.1721239917690377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1.2315413840055627E-2"/>
                  <c:y val="-4.937027446688618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1.0760459405338235E-2"/>
                  <c:y val="-3.526448176206156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Tabula!$D$3:$J$3</c:f>
              <c:strCache>
                <c:ptCount val="6"/>
                <c:pt idx="0">
                  <c:v>Veiktie  maksājumi  2012.gadā</c:v>
                </c:pt>
                <c:pt idx="1">
                  <c:v>Veiktie maksājumi 2013.gadā</c:v>
                </c:pt>
                <c:pt idx="2">
                  <c:v>Investīciju plāns un veiktie maksājumi 2014.gadā </c:v>
                </c:pt>
                <c:pt idx="3">
                  <c:v>Investīciju plāns 2015.gadam</c:v>
                </c:pt>
                <c:pt idx="4">
                  <c:v>Investīciju plāns 2016.gadam</c:v>
                </c:pt>
                <c:pt idx="5">
                  <c:v>Investīciju plāns 2017.gadam</c:v>
                </c:pt>
              </c:strCache>
            </c:strRef>
          </c:cat>
          <c:val>
            <c:numRef>
              <c:f>Tabula!$O$7:$AE$7</c:f>
              <c:numCache>
                <c:formatCode>#,##0</c:formatCode>
                <c:ptCount val="6"/>
                <c:pt idx="0">
                  <c:v>400000</c:v>
                </c:pt>
                <c:pt idx="1">
                  <c:v>4000000</c:v>
                </c:pt>
                <c:pt idx="2">
                  <c:v>23113152</c:v>
                </c:pt>
                <c:pt idx="3">
                  <c:v>17773377</c:v>
                </c:pt>
                <c:pt idx="4">
                  <c:v>6625228</c:v>
                </c:pt>
                <c:pt idx="5">
                  <c:v>339774</c:v>
                </c:pt>
              </c:numCache>
            </c:numRef>
          </c:val>
          <c:smooth val="0"/>
        </c:ser>
        <c:ser>
          <c:idx val="1"/>
          <c:order val="2"/>
          <c:tx>
            <c:v>Veiktie maksājumi uz 31.12.2014.</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tx>
                <c:rich>
                  <a:bodyPr/>
                  <a:lstStyle/>
                  <a:p>
                    <a:fld id="{4B170D9D-A5CE-4D94-9507-EB947C486991}" type="VALUE">
                      <a:rPr lang="en-US"/>
                      <a:pPr/>
                      <a:t>[VALUE]</a:t>
                    </a:fld>
                    <a:endParaRPr lang="lv-LV"/>
                  </a:p>
                </c:rich>
              </c:tx>
              <c:dLblPos val="ct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manualLayout>
                  <c:x val="-9.9244009951510743E-3"/>
                  <c:y val="1.2505411354265016E-2"/>
                </c:manualLayout>
              </c:layout>
              <c:tx>
                <c:rich>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17A8CC10-9C5A-4796-97A2-C54DDB091631}" type="VALUE">
                      <a:rPr lang="en-US" sz="1000" baseline="0">
                        <a:solidFill>
                          <a:sysClr val="windowText" lastClr="000000"/>
                        </a:solidFill>
                        <a:latin typeface="Times New Roman" panose="02020603050405020304" pitchFamily="18" charset="0"/>
                        <a:cs typeface="Times New Roman" panose="02020603050405020304" pitchFamily="18" charset="0"/>
                      </a:rPr>
                      <a:pPr>
                        <a:defRPr sz="1000" b="1">
                          <a:solidFill>
                            <a:sysClr val="windowText" lastClr="000000"/>
                          </a:solidFill>
                          <a:latin typeface="Times New Roman" panose="02020603050405020304" pitchFamily="18" charset="0"/>
                          <a:cs typeface="Times New Roman" panose="02020603050405020304" pitchFamily="18" charset="0"/>
                        </a:defRPr>
                      </a:pPr>
                      <a:t>[VALUE]</a:t>
                    </a:fld>
                    <a:endParaRPr lang="lv-LV"/>
                  </a:p>
                </c:rich>
              </c:tx>
              <c:numFmt formatCode="#,##0.0" sourceLinked="0"/>
              <c:spPr>
                <a:solidFill>
                  <a:schemeClr val="accent2">
                    <a:lumMod val="20000"/>
                    <a:lumOff val="80000"/>
                  </a:schemeClr>
                </a:solid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r"/>
              <c:showLegendKey val="0"/>
              <c:showVal val="1"/>
              <c:showCatName val="0"/>
              <c:showSerName val="0"/>
              <c:showPercent val="0"/>
              <c:showBubbleSize val="0"/>
              <c:extLst>
                <c:ext xmlns:c15="http://schemas.microsoft.com/office/drawing/2012/chart" uri="{CE6537A1-D6FC-4f65-9D91-7224C49458BB}">
                  <c15:layout>
                    <c:manualLayout>
                      <c:w val="5.1007166239051577E-2"/>
                      <c:h val="4.3489411151850295E-2"/>
                    </c:manualLayout>
                  </c15:layout>
                  <c15:dlblFieldTable/>
                  <c15:showDataLabelsRange val="0"/>
                </c:ext>
              </c:extLst>
            </c:dLbl>
            <c:numFmt formatCode="#,##0.0" sourceLinked="0"/>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Tabula!$D$3:$J$3</c:f>
              <c:strCache>
                <c:ptCount val="6"/>
                <c:pt idx="0">
                  <c:v>Veiktie  maksājumi  2012.gadā</c:v>
                </c:pt>
                <c:pt idx="1">
                  <c:v>Veiktie maksājumi 2013.gadā</c:v>
                </c:pt>
                <c:pt idx="2">
                  <c:v>Investīciju plāns un veiktie maksājumi 2014.gadā </c:v>
                </c:pt>
                <c:pt idx="3">
                  <c:v>Investīciju plāns 2015.gadam</c:v>
                </c:pt>
                <c:pt idx="4">
                  <c:v>Investīciju plāns 2016.gadam</c:v>
                </c:pt>
                <c:pt idx="5">
                  <c:v>Investīciju plāns 2017.gadam</c:v>
                </c:pt>
              </c:strCache>
            </c:strRef>
          </c:cat>
          <c:val>
            <c:numRef>
              <c:f>Tabula!$D$6:$G$6</c:f>
              <c:numCache>
                <c:formatCode>#,##0</c:formatCode>
                <c:ptCount val="3"/>
                <c:pt idx="0">
                  <c:v>400000</c:v>
                </c:pt>
                <c:pt idx="1">
                  <c:v>4000000</c:v>
                </c:pt>
                <c:pt idx="2">
                  <c:v>9301715.3999999985</c:v>
                </c:pt>
              </c:numCache>
            </c:numRef>
          </c:val>
          <c:smooth val="0"/>
        </c:ser>
        <c:dLbls>
          <c:dLblPos val="ctr"/>
          <c:showLegendKey val="0"/>
          <c:showVal val="1"/>
          <c:showCatName val="0"/>
          <c:showSerName val="0"/>
          <c:showPercent val="0"/>
          <c:showBubbleSize val="0"/>
        </c:dLbls>
        <c:marker val="1"/>
        <c:smooth val="0"/>
        <c:axId val="166168696"/>
        <c:axId val="166169088"/>
      </c:lineChart>
      <c:catAx>
        <c:axId val="166168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6169088"/>
        <c:crosses val="autoZero"/>
        <c:auto val="1"/>
        <c:lblAlgn val="ctr"/>
        <c:lblOffset val="100"/>
        <c:noMultiLvlLbl val="0"/>
      </c:catAx>
      <c:valAx>
        <c:axId val="1661690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lv-LV"/>
          </a:p>
        </c:txPr>
        <c:crossAx val="166168696"/>
        <c:crosses val="autoZero"/>
        <c:crossBetween val="between"/>
        <c:dispUnits>
          <c:builtInUnit val="millions"/>
        </c:dispUnits>
      </c:valAx>
      <c:spPr>
        <a:noFill/>
        <a:ln>
          <a:noFill/>
        </a:ln>
        <a:effectLst/>
      </c:spPr>
    </c:plotArea>
    <c:legend>
      <c:legendPos val="r"/>
      <c:layout>
        <c:manualLayout>
          <c:xMode val="edge"/>
          <c:yMode val="edge"/>
          <c:x val="0"/>
          <c:y val="0.92759655748570802"/>
          <c:w val="0.98722020702468372"/>
          <c:h val="5.754205990649594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1774925053799555"/>
          <c:y val="3.3872209391839873E-2"/>
          <c:w val="0.56013384582851311"/>
          <c:h val="0.72892130814936473"/>
        </c:manualLayout>
      </c:layout>
      <c:barChart>
        <c:barDir val="bar"/>
        <c:grouping val="clustered"/>
        <c:varyColors val="0"/>
        <c:ser>
          <c:idx val="0"/>
          <c:order val="0"/>
          <c:tx>
            <c:strRef>
              <c:f>Sheet1!$D$19</c:f>
              <c:strCache>
                <c:ptCount val="1"/>
                <c:pt idx="0">
                  <c:v>Programmas kopējais finansējums (73,6 milj. euro,t.sk. EEZ/NOR FI finansējums 65,6 milj. euro)</c:v>
                </c:pt>
              </c:strCache>
            </c:strRef>
          </c:tx>
          <c:spPr>
            <a:solidFill>
              <a:schemeClr val="accent5"/>
            </a:solidFill>
            <a:ln>
              <a:noFill/>
            </a:ln>
            <a:effectLst/>
          </c:spPr>
          <c:invertIfNegative val="0"/>
          <c:dLbls>
            <c:dLbl>
              <c:idx val="0"/>
              <c:layout>
                <c:manualLayout>
                  <c:x val="-6.3191153238546603E-3"/>
                  <c:y val="6.1585835257889554E-3"/>
                </c:manualLayout>
              </c:layout>
              <c:tx>
                <c:rich>
                  <a:bodyPr/>
                  <a:lstStyle/>
                  <a:p>
                    <a:fld id="{9F0BD22A-1EC7-4425-A973-6C936332ADB0}" type="VALUE">
                      <a:rPr lang="en-US"/>
                      <a:pPr/>
                      <a:t>[VALUE]</a:t>
                    </a:fld>
                    <a:r>
                      <a:rPr lang="en-US"/>
                      <a:t> (100%)</a:t>
                    </a:r>
                  </a:p>
                </c:rich>
              </c:tx>
              <c:dLblPos val="outEnd"/>
              <c:showLegendKey val="0"/>
              <c:showVal val="1"/>
              <c:showCatName val="0"/>
              <c:showSerName val="0"/>
              <c:showPercent val="0"/>
              <c:showBubbleSize val="0"/>
              <c:separator>, </c:separator>
              <c:extLst>
                <c:ext xmlns:c15="http://schemas.microsoft.com/office/drawing/2012/chart" uri="{CE6537A1-D6FC-4f65-9D91-7224C49458BB}">
                  <c15:layout/>
                  <c15:dlblFieldTable/>
                  <c15:showDataLabelsRange val="0"/>
                </c:ext>
              </c:extLst>
            </c:dLbl>
            <c:dLbl>
              <c:idx val="1"/>
              <c:layout>
                <c:manualLayout>
                  <c:x val="0"/>
                  <c:y val="1.2317167051578136E-2"/>
                </c:manualLayout>
              </c:layout>
              <c:tx>
                <c:rich>
                  <a:bodyPr/>
                  <a:lstStyle/>
                  <a:p>
                    <a:fld id="{96D378C0-C86D-41B2-8F51-AA853B750663}" type="VALUE">
                      <a:rPr lang="en-US"/>
                      <a:pPr/>
                      <a:t>[VALUE]</a:t>
                    </a:fld>
                    <a:r>
                      <a:rPr lang="en-US"/>
                      <a:t> (100%)</a:t>
                    </a:r>
                  </a:p>
                </c:rich>
              </c:tx>
              <c:dLblPos val="outEnd"/>
              <c:showLegendKey val="0"/>
              <c:showVal val="1"/>
              <c:showCatName val="0"/>
              <c:showSerName val="0"/>
              <c:showPercent val="0"/>
              <c:showBubbleSize val="0"/>
              <c:separator>, </c:separator>
              <c:extLst>
                <c:ext xmlns:c15="http://schemas.microsoft.com/office/drawing/2012/chart" uri="{CE6537A1-D6FC-4f65-9D91-7224C49458BB}">
                  <c15:layout/>
                  <c15:dlblFieldTable/>
                  <c15:showDataLabelsRange val="0"/>
                </c:ext>
              </c:extLst>
            </c:dLbl>
            <c:dLbl>
              <c:idx val="2"/>
              <c:layout>
                <c:manualLayout>
                  <c:x val="0"/>
                  <c:y val="9.2378752886835471E-3"/>
                </c:manualLayout>
              </c:layout>
              <c:tx>
                <c:rich>
                  <a:bodyPr/>
                  <a:lstStyle/>
                  <a:p>
                    <a:fld id="{6CC16EEE-8B9C-406D-9EDF-82687D082DB6}" type="VALUE">
                      <a:rPr lang="en-US"/>
                      <a:pPr/>
                      <a:t>[VALUE]</a:t>
                    </a:fld>
                    <a:r>
                      <a:rPr lang="en-US"/>
                      <a:t> (100%)</a:t>
                    </a:r>
                  </a:p>
                </c:rich>
              </c:tx>
              <c:dLblPos val="outEnd"/>
              <c:showLegendKey val="0"/>
              <c:showVal val="1"/>
              <c:showCatName val="0"/>
              <c:showSerName val="0"/>
              <c:showPercent val="0"/>
              <c:showBubbleSize val="0"/>
              <c:separator>, </c:separator>
              <c:extLst>
                <c:ext xmlns:c15="http://schemas.microsoft.com/office/drawing/2012/chart" uri="{CE6537A1-D6FC-4f65-9D91-7224C49458BB}">
                  <c15:layout/>
                  <c15:dlblFieldTable/>
                  <c15:showDataLabelsRange val="0"/>
                </c:ext>
              </c:extLst>
            </c:dLbl>
            <c:dLbl>
              <c:idx val="3"/>
              <c:layout>
                <c:manualLayout>
                  <c:x val="0"/>
                  <c:y val="9.2378752886836026E-3"/>
                </c:manualLayout>
              </c:layout>
              <c:tx>
                <c:rich>
                  <a:bodyPr/>
                  <a:lstStyle/>
                  <a:p>
                    <a:fld id="{9820CE6E-B104-4B0E-B44D-DBA4C2C4889A}" type="VALUE">
                      <a:rPr lang="en-US"/>
                      <a:pPr/>
                      <a:t>[VALUE]</a:t>
                    </a:fld>
                    <a:r>
                      <a:rPr lang="en-US"/>
                      <a:t> (100%)</a:t>
                    </a:r>
                  </a:p>
                </c:rich>
              </c:tx>
              <c:dLblPos val="outEnd"/>
              <c:showLegendKey val="0"/>
              <c:showVal val="1"/>
              <c:showCatName val="0"/>
              <c:showSerName val="0"/>
              <c:showPercent val="0"/>
              <c:showBubbleSize val="0"/>
              <c:separator>, </c:separator>
              <c:extLst>
                <c:ext xmlns:c15="http://schemas.microsoft.com/office/drawing/2012/chart" uri="{CE6537A1-D6FC-4f65-9D91-7224C49458BB}">
                  <c15:layout/>
                  <c15:dlblFieldTable/>
                  <c15:showDataLabelsRange val="0"/>
                </c:ext>
              </c:extLst>
            </c:dLbl>
            <c:dLbl>
              <c:idx val="4"/>
              <c:layout>
                <c:manualLayout>
                  <c:x val="-1.5446547907360751E-16"/>
                  <c:y val="9.2378752886836026E-3"/>
                </c:manualLayout>
              </c:layout>
              <c:tx>
                <c:rich>
                  <a:bodyPr/>
                  <a:lstStyle/>
                  <a:p>
                    <a:fld id="{8BD7873B-26D6-4B57-9C4D-1F4ACD4494C1}" type="VALUE">
                      <a:rPr lang="en-US"/>
                      <a:pPr/>
                      <a:t>[VALUE]</a:t>
                    </a:fld>
                    <a:r>
                      <a:rPr lang="en-US"/>
                      <a:t> (100%)</a:t>
                    </a:r>
                  </a:p>
                </c:rich>
              </c:tx>
              <c:dLblPos val="outEnd"/>
              <c:showLegendKey val="0"/>
              <c:showVal val="1"/>
              <c:showCatName val="0"/>
              <c:showSerName val="0"/>
              <c:showPercent val="0"/>
              <c:showBubbleSize val="0"/>
              <c:separator>, </c:separator>
              <c:extLst>
                <c:ext xmlns:c15="http://schemas.microsoft.com/office/drawing/2012/chart" uri="{CE6537A1-D6FC-4f65-9D91-7224C49458BB}">
                  <c15:layout/>
                  <c15:dlblFieldTable/>
                  <c15:showDataLabelsRange val="0"/>
                </c:ext>
              </c:extLst>
            </c:dLbl>
            <c:dLbl>
              <c:idx val="5"/>
              <c:layout/>
              <c:tx>
                <c:rich>
                  <a:bodyPr/>
                  <a:lstStyle/>
                  <a:p>
                    <a:fld id="{0A88568E-540B-43E3-8D58-D791DA84656F}" type="VALUE">
                      <a:rPr lang="en-US"/>
                      <a:pPr/>
                      <a:t>[VALUE]</a:t>
                    </a:fld>
                    <a:r>
                      <a:rPr lang="en-US"/>
                      <a:t> (100%)</a:t>
                    </a:r>
                  </a:p>
                </c:rich>
              </c:tx>
              <c:dLblPos val="outEnd"/>
              <c:showLegendKey val="0"/>
              <c:showVal val="1"/>
              <c:showCatName val="0"/>
              <c:showSerName val="0"/>
              <c:showPercent val="0"/>
              <c:showBubbleSize val="0"/>
              <c:separator>, </c:separator>
              <c:extLst>
                <c:ext xmlns:c15="http://schemas.microsoft.com/office/drawing/2012/chart" uri="{CE6537A1-D6FC-4f65-9D91-7224C49458BB}">
                  <c15:layout/>
                  <c15:dlblFieldTable/>
                  <c15:showDataLabelsRange val="0"/>
                </c:ext>
              </c:extLst>
            </c:dLbl>
            <c:dLbl>
              <c:idx val="6"/>
              <c:layout/>
              <c:tx>
                <c:rich>
                  <a:bodyPr/>
                  <a:lstStyle/>
                  <a:p>
                    <a:fld id="{D0396C5F-82BA-412E-AF4F-20596BF170B0}" type="VALUE">
                      <a:rPr lang="en-US"/>
                      <a:pPr/>
                      <a:t>[VALUE]</a:t>
                    </a:fld>
                    <a:r>
                      <a:rPr lang="en-US"/>
                      <a:t> (100%)</a:t>
                    </a:r>
                  </a:p>
                </c:rich>
              </c:tx>
              <c:dLblPos val="outEnd"/>
              <c:showLegendKey val="0"/>
              <c:showVal val="1"/>
              <c:showCatName val="0"/>
              <c:showSerName val="0"/>
              <c:showPercent val="0"/>
              <c:showBubbleSize val="0"/>
              <c:separator>, </c:separator>
              <c:extLs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Sheet1!$C$20:$C$26</c:f>
              <c:strCache>
                <c:ptCount val="7"/>
                <c:pt idx="0">
                  <c:v>TM, Latvijas korekcijas dienestu un Valsts policijas īslaicīgās aizturēšanas vietu reforma</c:v>
                </c:pt>
                <c:pt idx="1">
                  <c:v>EM, Inovācijas "zaļās" ražošanas jomā</c:v>
                </c:pt>
                <c:pt idx="2">
                  <c:v>KM, Kultūras un dabas mantojuma saglabāšana un atjaunināšana</c:v>
                </c:pt>
                <c:pt idx="3">
                  <c:v>VARAM, Nacionālā klimata politika</c:v>
                </c:pt>
                <c:pt idx="4">
                  <c:v>SIF, NVO fonds</c:v>
                </c:pt>
                <c:pt idx="5">
                  <c:v>IZM, Pētniecība un stipendijas</c:v>
                </c:pt>
                <c:pt idx="6">
                  <c:v>VARAM, Kapacitātes stiprināšana un institucionālā sadarbība ar Norvēģijas valsts iestādēm, vietējām un reģionālām iestādēm</c:v>
                </c:pt>
              </c:strCache>
            </c:strRef>
          </c:cat>
          <c:val>
            <c:numRef>
              <c:f>Sheet1!$D$20:$D$26</c:f>
              <c:numCache>
                <c:formatCode>General</c:formatCode>
                <c:ptCount val="7"/>
                <c:pt idx="0">
                  <c:v>15.4</c:v>
                </c:pt>
                <c:pt idx="1">
                  <c:v>12.6</c:v>
                </c:pt>
                <c:pt idx="2">
                  <c:v>11.8</c:v>
                </c:pt>
                <c:pt idx="3">
                  <c:v>11.2</c:v>
                </c:pt>
                <c:pt idx="4">
                  <c:v>10.9</c:v>
                </c:pt>
                <c:pt idx="5">
                  <c:v>6.1</c:v>
                </c:pt>
                <c:pt idx="6">
                  <c:v>5.6</c:v>
                </c:pt>
              </c:numCache>
            </c:numRef>
          </c:val>
        </c:ser>
        <c:ser>
          <c:idx val="1"/>
          <c:order val="1"/>
          <c:tx>
            <c:strRef>
              <c:f>Sheet1!$H$19</c:f>
              <c:strCache>
                <c:ptCount val="1"/>
                <c:pt idx="0">
                  <c:v>Projektiem pieejamais finansējums (65,5 milj. euro)</c:v>
                </c:pt>
              </c:strCache>
            </c:strRef>
          </c:tx>
          <c:spPr>
            <a:solidFill>
              <a:schemeClr val="accent6">
                <a:lumMod val="75000"/>
              </a:schemeClr>
            </a:solidFill>
            <a:ln>
              <a:noFill/>
            </a:ln>
            <a:effectLst/>
          </c:spPr>
          <c:invertIfNegative val="0"/>
          <c:dLbls>
            <c:dLbl>
              <c:idx val="0"/>
              <c:layout/>
              <c:tx>
                <c:rich>
                  <a:bodyPr/>
                  <a:lstStyle/>
                  <a:p>
                    <a:fld id="{4C8C8CE2-A172-4630-81B9-902325C84F23}"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
              <c:layout>
                <c:manualLayout>
                  <c:x val="-6.3191153238546603E-3"/>
                  <c:y val="-9.2378752886836026E-3"/>
                </c:manualLayout>
              </c:layout>
              <c:tx>
                <c:rich>
                  <a:bodyPr/>
                  <a:lstStyle/>
                  <a:p>
                    <a:fld id="{15DF5F69-8693-48A7-9D06-C2DCCFC4C95F}"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tx>
                <c:rich>
                  <a:bodyPr/>
                  <a:lstStyle/>
                  <a:p>
                    <a:fld id="{14F6C305-D2A1-4172-AA40-08F7ACA46C70}"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3"/>
              <c:layout/>
              <c:tx>
                <c:rich>
                  <a:bodyPr/>
                  <a:lstStyle/>
                  <a:p>
                    <a:fld id="{97EA8E7B-C716-4118-98D0-C6D7BA0EC7DD}"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4"/>
              <c:layout/>
              <c:tx>
                <c:rich>
                  <a:bodyPr/>
                  <a:lstStyle/>
                  <a:p>
                    <a:fld id="{DF8FAF34-C6B9-435D-8DF0-FBF84FC54473}"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5"/>
              <c:layout>
                <c:manualLayout>
                  <c:x val="7.7232739536803753E-17"/>
                  <c:y val="-6.1585835257890681E-3"/>
                </c:manualLayout>
              </c:layout>
              <c:tx>
                <c:rich>
                  <a:bodyPr/>
                  <a:lstStyle/>
                  <a:p>
                    <a:fld id="{ED1F4FB2-A66D-474C-A396-50766E0D841D}"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6"/>
              <c:layout/>
              <c:tx>
                <c:rich>
                  <a:bodyPr/>
                  <a:lstStyle/>
                  <a:p>
                    <a:fld id="{5E23CD5A-6F55-4D05-A5ED-F878CB639274}"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Sheet1!$C$20:$C$26</c:f>
              <c:strCache>
                <c:ptCount val="7"/>
                <c:pt idx="0">
                  <c:v>TM, Latvijas korekcijas dienestu un Valsts policijas īslaicīgās aizturēšanas vietu reforma</c:v>
                </c:pt>
                <c:pt idx="1">
                  <c:v>EM, Inovācijas "zaļās" ražošanas jomā</c:v>
                </c:pt>
                <c:pt idx="2">
                  <c:v>KM, Kultūras un dabas mantojuma saglabāšana un atjaunināšana</c:v>
                </c:pt>
                <c:pt idx="3">
                  <c:v>VARAM, Nacionālā klimata politika</c:v>
                </c:pt>
                <c:pt idx="4">
                  <c:v>SIF, NVO fonds</c:v>
                </c:pt>
                <c:pt idx="5">
                  <c:v>IZM, Pētniecība un stipendijas</c:v>
                </c:pt>
                <c:pt idx="6">
                  <c:v>VARAM, Kapacitātes stiprināšana un institucionālā sadarbība ar Norvēģijas valsts iestādēm, vietējām un reģionālām iestādēm</c:v>
                </c:pt>
              </c:strCache>
            </c:strRef>
          </c:cat>
          <c:val>
            <c:numRef>
              <c:f>Sheet1!$H$20:$H$26</c:f>
              <c:numCache>
                <c:formatCode>General</c:formatCode>
                <c:ptCount val="7"/>
                <c:pt idx="0">
                  <c:v>13.5</c:v>
                </c:pt>
                <c:pt idx="1">
                  <c:v>11.5</c:v>
                </c:pt>
                <c:pt idx="2">
                  <c:v>10.4</c:v>
                </c:pt>
                <c:pt idx="3">
                  <c:v>9.9</c:v>
                </c:pt>
                <c:pt idx="4">
                  <c:v>9.6</c:v>
                </c:pt>
                <c:pt idx="5">
                  <c:v>5.5</c:v>
                </c:pt>
                <c:pt idx="6">
                  <c:v>5.0999999999999996</c:v>
                </c:pt>
              </c:numCache>
            </c:numRef>
          </c:val>
        </c:ser>
        <c:ser>
          <c:idx val="2"/>
          <c:order val="2"/>
          <c:tx>
            <c:strRef>
              <c:f>Sheet1!$I$19</c:f>
              <c:strCache>
                <c:ptCount val="1"/>
                <c:pt idx="0">
                  <c:v>Projektiem kontraktētais finansējums (51,9 milj. euro)</c:v>
                </c:pt>
              </c:strCache>
            </c:strRef>
          </c:tx>
          <c:spPr>
            <a:solidFill>
              <a:srgbClr val="FF0000"/>
            </a:solidFill>
            <a:ln>
              <a:noFill/>
            </a:ln>
            <a:effectLst/>
          </c:spPr>
          <c:invertIfNegative val="0"/>
          <c:dLbls>
            <c:dLbl>
              <c:idx val="0"/>
              <c:layout>
                <c:manualLayout>
                  <c:x val="8.1510872047109908E-5"/>
                  <c:y val="-3.0897311447333382E-3"/>
                </c:manualLayout>
              </c:layout>
              <c:tx>
                <c:rich>
                  <a:bodyPr/>
                  <a:lstStyle/>
                  <a:p>
                    <a:fld id="{1E3BDF3D-E7D4-4EBE-B081-82C7F7AD06EC}"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
              <c:layout>
                <c:manualLayout>
                  <c:x val="-4.2127435492365171E-3"/>
                  <c:y val="-9.2378752886836026E-3"/>
                </c:manualLayout>
              </c:layout>
              <c:tx>
                <c:rich>
                  <a:bodyPr/>
                  <a:lstStyle/>
                  <a:p>
                    <a:fld id="{2F676E5E-D4B0-4768-B17D-60A739A861C2}" type="VALUE">
                      <a:rPr lang="en-US"/>
                      <a:pPr/>
                      <a:t>[VALUE]</a:t>
                    </a:fld>
                    <a:r>
                      <a:rPr lang="en-US"/>
                      <a:t> (30%)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manualLayout>
                  <c:x val="1.671194982263016E-4"/>
                  <c:y val="-6.1794913017848884E-3"/>
                </c:manualLayout>
              </c:layout>
              <c:tx>
                <c:rich>
                  <a:bodyPr/>
                  <a:lstStyle/>
                  <a:p>
                    <a:fld id="{431211F6-26AE-46FC-95B8-B7D75C7B48FB}"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3"/>
              <c:layout>
                <c:manualLayout>
                  <c:x val="-1.2084018738863828E-16"/>
                  <c:y val="-9.1971803038400756E-3"/>
                </c:manualLayout>
              </c:layout>
              <c:tx>
                <c:rich>
                  <a:bodyPr/>
                  <a:lstStyle/>
                  <a:p>
                    <a:fld id="{AC1202AF-AB30-4BE9-BDAA-E205F3E7A16A}"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4"/>
              <c:layout>
                <c:manualLayout>
                  <c:x val="-3.2957254750739097E-3"/>
                  <c:y val="-6.1585835257890681E-3"/>
                </c:manualLayout>
              </c:layout>
              <c:tx>
                <c:rich>
                  <a:bodyPr/>
                  <a:lstStyle/>
                  <a:p>
                    <a:fld id="{BFB636C0-ED54-4A04-8992-9F5098FC280D}" type="VALUE">
                      <a:rPr lang="en-US"/>
                      <a:pPr/>
                      <a:t>[VALUE]</a:t>
                    </a:fld>
                    <a:r>
                      <a:rPr lang="en-US"/>
                      <a:t> (98%)</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5"/>
              <c:layout>
                <c:manualLayout>
                  <c:x val="-4.2127435492364399E-3"/>
                  <c:y val="0"/>
                </c:manualLayout>
              </c:layout>
              <c:tx>
                <c:rich>
                  <a:bodyPr/>
                  <a:lstStyle/>
                  <a:p>
                    <a:fld id="{6C80D311-2CAE-4297-A818-C206D2DC8BEC}" type="VALUE">
                      <a:rPr lang="en-US"/>
                      <a:pPr/>
                      <a:t>[VALUE]</a:t>
                    </a:fld>
                    <a:r>
                      <a:rPr lang="en-US"/>
                      <a:t> (1%)</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6"/>
              <c:layout/>
              <c:tx>
                <c:rich>
                  <a:bodyPr/>
                  <a:lstStyle/>
                  <a:p>
                    <a:fld id="{948FEEC6-3466-4A64-99AE-18E17BDD65C4}"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Sheet1!$C$20:$C$26</c:f>
              <c:strCache>
                <c:ptCount val="7"/>
                <c:pt idx="0">
                  <c:v>TM, Latvijas korekcijas dienestu un Valsts policijas īslaicīgās aizturēšanas vietu reforma</c:v>
                </c:pt>
                <c:pt idx="1">
                  <c:v>EM, Inovācijas "zaļās" ražošanas jomā</c:v>
                </c:pt>
                <c:pt idx="2">
                  <c:v>KM, Kultūras un dabas mantojuma saglabāšana un atjaunināšana</c:v>
                </c:pt>
                <c:pt idx="3">
                  <c:v>VARAM, Nacionālā klimata politika</c:v>
                </c:pt>
                <c:pt idx="4">
                  <c:v>SIF, NVO fonds</c:v>
                </c:pt>
                <c:pt idx="5">
                  <c:v>IZM, Pētniecība un stipendijas</c:v>
                </c:pt>
                <c:pt idx="6">
                  <c:v>VARAM, Kapacitātes stiprināšana un institucionālā sadarbība ar Norvēģijas valsts iestādēm, vietējām un reģionālām iestādēm</c:v>
                </c:pt>
              </c:strCache>
            </c:strRef>
          </c:cat>
          <c:val>
            <c:numRef>
              <c:f>Sheet1!$I$20:$I$26</c:f>
              <c:numCache>
                <c:formatCode>General</c:formatCode>
                <c:ptCount val="7"/>
                <c:pt idx="0">
                  <c:v>13.5</c:v>
                </c:pt>
                <c:pt idx="1">
                  <c:v>3.5</c:v>
                </c:pt>
                <c:pt idx="2">
                  <c:v>10.4</c:v>
                </c:pt>
                <c:pt idx="3">
                  <c:v>9.9</c:v>
                </c:pt>
                <c:pt idx="4">
                  <c:v>9.4</c:v>
                </c:pt>
                <c:pt idx="5">
                  <c:v>0.05</c:v>
                </c:pt>
                <c:pt idx="6">
                  <c:v>5.0999999999999996</c:v>
                </c:pt>
              </c:numCache>
            </c:numRef>
          </c:val>
        </c:ser>
        <c:ser>
          <c:idx val="3"/>
          <c:order val="3"/>
          <c:tx>
            <c:strRef>
              <c:f>Sheet1!$K$19</c:f>
              <c:strCache>
                <c:ptCount val="1"/>
                <c:pt idx="0">
                  <c:v>Izmaksātais finansējums programmā (12,9 milj. euro)</c:v>
                </c:pt>
              </c:strCache>
            </c:strRef>
          </c:tx>
          <c:spPr>
            <a:solidFill>
              <a:schemeClr val="accent4"/>
            </a:solidFill>
            <a:ln>
              <a:noFill/>
            </a:ln>
            <a:effectLst/>
          </c:spPr>
          <c:invertIfNegative val="0"/>
          <c:dLbls>
            <c:dLbl>
              <c:idx val="0"/>
              <c:layout/>
              <c:tx>
                <c:rich>
                  <a:bodyPr/>
                  <a:lstStyle/>
                  <a:p>
                    <a:fld id="{A7AEE641-88BB-417D-8D59-400C84287C4D}" type="VALUE">
                      <a:rPr lang="en-US"/>
                      <a:pPr/>
                      <a:t>[VALUE]</a:t>
                    </a:fld>
                    <a:r>
                      <a:rPr lang="en-US"/>
                      <a:t> (8%)</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
              <c:layout/>
              <c:tx>
                <c:rich>
                  <a:bodyPr/>
                  <a:lstStyle/>
                  <a:p>
                    <a:fld id="{62772DDF-DC26-4F46-9991-FD0A1FB3108B}" type="VALUE">
                      <a:rPr lang="en-US"/>
                      <a:pPr/>
                      <a:t>[VALUE]</a:t>
                    </a:fld>
                    <a:r>
                      <a:rPr lang="en-US"/>
                      <a:t> (8%)</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tx>
                <c:rich>
                  <a:bodyPr/>
                  <a:lstStyle/>
                  <a:p>
                    <a:fld id="{3098AFC2-AE77-42AB-A7A1-AA67A8E704D3}" type="VALUE">
                      <a:rPr lang="en-US"/>
                      <a:pPr/>
                      <a:t>[VALUE]</a:t>
                    </a:fld>
                    <a:r>
                      <a:rPr lang="en-US"/>
                      <a:t> (14%)</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3"/>
              <c:layout/>
              <c:tx>
                <c:rich>
                  <a:bodyPr/>
                  <a:lstStyle/>
                  <a:p>
                    <a:fld id="{82B5CEEE-7239-4480-A54D-466EC9D9701F}" type="VALUE">
                      <a:rPr lang="en-US"/>
                      <a:pPr/>
                      <a:t>[VALUE]</a:t>
                    </a:fld>
                    <a:r>
                      <a:rPr lang="en-US"/>
                      <a:t> (6%)</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4"/>
              <c:layout/>
              <c:tx>
                <c:rich>
                  <a:bodyPr/>
                  <a:lstStyle/>
                  <a:p>
                    <a:fld id="{1B9CAFB0-446C-4EE5-AB88-0C47BDD65961}" type="VALUE">
                      <a:rPr lang="en-US"/>
                      <a:pPr/>
                      <a:t>[VALUE]</a:t>
                    </a:fld>
                    <a:r>
                      <a:rPr lang="en-US"/>
                      <a:t> (58%)</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5"/>
              <c:layout>
                <c:manualLayout>
                  <c:x val="4.2127435492364399E-3"/>
                  <c:y val="0"/>
                </c:manualLayout>
              </c:layout>
              <c:tx>
                <c:rich>
                  <a:bodyPr/>
                  <a:lstStyle/>
                  <a:p>
                    <a:fld id="{3009B424-3101-4F74-A194-F793557F0CC5}" type="VALUE">
                      <a:rPr lang="en-US"/>
                      <a:pPr/>
                      <a:t>[VALUE]</a:t>
                    </a:fld>
                    <a:r>
                      <a:rPr lang="en-US"/>
                      <a:t> (3%)</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6"/>
              <c:layout>
                <c:manualLayout>
                  <c:x val="-4.2127435492365171E-3"/>
                  <c:y val="-3.0792917628945341E-3"/>
                </c:manualLayout>
              </c:layout>
              <c:tx>
                <c:rich>
                  <a:bodyPr/>
                  <a:lstStyle/>
                  <a:p>
                    <a:fld id="{0BDAF7DA-98ED-4A35-A0A4-AD0453E3C02E}" type="VALUE">
                      <a:rPr lang="en-US"/>
                      <a:pPr/>
                      <a:t>[VALUE]</a:t>
                    </a:fld>
                    <a:r>
                      <a:rPr lang="en-US"/>
                      <a:t> (32%)</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Sheet1!$C$20:$C$26</c:f>
              <c:strCache>
                <c:ptCount val="7"/>
                <c:pt idx="0">
                  <c:v>TM, Latvijas korekcijas dienestu un Valsts policijas īslaicīgās aizturēšanas vietu reforma</c:v>
                </c:pt>
                <c:pt idx="1">
                  <c:v>EM, Inovācijas "zaļās" ražošanas jomā</c:v>
                </c:pt>
                <c:pt idx="2">
                  <c:v>KM, Kultūras un dabas mantojuma saglabāšana un atjaunināšana</c:v>
                </c:pt>
                <c:pt idx="3">
                  <c:v>VARAM, Nacionālā klimata politika</c:v>
                </c:pt>
                <c:pt idx="4">
                  <c:v>SIF, NVO fonds</c:v>
                </c:pt>
                <c:pt idx="5">
                  <c:v>IZM, Pētniecība un stipendijas</c:v>
                </c:pt>
                <c:pt idx="6">
                  <c:v>VARAM, Kapacitātes stiprināšana un institucionālā sadarbība ar Norvēģijas valsts iestādēm, vietējām un reģionālām iestādēm</c:v>
                </c:pt>
              </c:strCache>
            </c:strRef>
          </c:cat>
          <c:val>
            <c:numRef>
              <c:f>Sheet1!$K$20:$K$26</c:f>
              <c:numCache>
                <c:formatCode>General</c:formatCode>
                <c:ptCount val="7"/>
                <c:pt idx="0">
                  <c:v>1.2</c:v>
                </c:pt>
                <c:pt idx="1">
                  <c:v>1</c:v>
                </c:pt>
                <c:pt idx="2">
                  <c:v>1.7</c:v>
                </c:pt>
                <c:pt idx="3">
                  <c:v>0.7</c:v>
                </c:pt>
                <c:pt idx="4">
                  <c:v>6.3</c:v>
                </c:pt>
                <c:pt idx="5">
                  <c:v>0.2</c:v>
                </c:pt>
                <c:pt idx="6">
                  <c:v>1.8</c:v>
                </c:pt>
              </c:numCache>
            </c:numRef>
          </c:val>
        </c:ser>
        <c:dLbls>
          <c:dLblPos val="outEnd"/>
          <c:showLegendKey val="0"/>
          <c:showVal val="1"/>
          <c:showCatName val="0"/>
          <c:showSerName val="0"/>
          <c:showPercent val="0"/>
          <c:showBubbleSize val="0"/>
        </c:dLbls>
        <c:gapWidth val="219"/>
        <c:overlap val="-32"/>
        <c:axId val="166169480"/>
        <c:axId val="166169872"/>
      </c:barChart>
      <c:catAx>
        <c:axId val="166169480"/>
        <c:scaling>
          <c:orientation val="minMax"/>
        </c:scaling>
        <c:delete val="0"/>
        <c:axPos val="l"/>
        <c:numFmt formatCode="General" sourceLinked="1"/>
        <c:majorTickMark val="in"/>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t" anchorCtr="0"/>
          <a:lstStyle/>
          <a:p>
            <a:pPr>
              <a:defRPr sz="9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6169872"/>
        <c:crosses val="autoZero"/>
        <c:auto val="1"/>
        <c:lblAlgn val="ctr"/>
        <c:lblOffset val="100"/>
        <c:noMultiLvlLbl val="0"/>
      </c:catAx>
      <c:valAx>
        <c:axId val="166169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6169480"/>
        <c:crosses val="autoZero"/>
        <c:crossBetween val="between"/>
      </c:valAx>
      <c:spPr>
        <a:noFill/>
        <a:ln>
          <a:noFill/>
        </a:ln>
        <a:effectLst/>
      </c:spPr>
    </c:plotArea>
    <c:legend>
      <c:legendPos val="b"/>
      <c:layout>
        <c:manualLayout>
          <c:xMode val="edge"/>
          <c:yMode val="edge"/>
          <c:x val="6.4552002089786176E-2"/>
          <c:y val="0.82724184016875202"/>
          <c:w val="0.91866054657859708"/>
          <c:h val="0.1542585704394312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3776963042466513E-2"/>
          <c:y val="3.9357787593623982E-2"/>
          <c:w val="0.68626614105319628"/>
          <c:h val="0.87917342039562141"/>
        </c:manualLayout>
      </c:layout>
      <c:lineChart>
        <c:grouping val="standard"/>
        <c:varyColors val="0"/>
        <c:ser>
          <c:idx val="0"/>
          <c:order val="0"/>
          <c:tx>
            <c:strRef>
              <c:f>Analīze!$A$50</c:f>
              <c:strCache>
                <c:ptCount val="1"/>
                <c:pt idx="0">
                  <c:v>Izglītības iestādes</c:v>
                </c:pt>
              </c:strCache>
            </c:strRef>
          </c:tx>
          <c:spPr>
            <a:ln w="38100" cmpd="sng"/>
            <a:effectLst>
              <a:outerShdw blurRad="50800" dist="50800" dir="5400000" sx="5000" sy="5000" algn="ctr" rotWithShape="0">
                <a:srgbClr val="000000">
                  <a:alpha val="43137"/>
                </a:srgbClr>
              </a:outerShdw>
            </a:effectLst>
          </c:spPr>
          <c:marker>
            <c:spPr>
              <a:effectLst>
                <a:outerShdw blurRad="50800" dist="50800" dir="5400000" sx="5000" sy="5000" algn="ctr" rotWithShape="0">
                  <a:srgbClr val="000000">
                    <a:alpha val="43137"/>
                  </a:srgbClr>
                </a:outerShdw>
              </a:effectLst>
              <a:scene3d>
                <a:camera prst="orthographicFront"/>
                <a:lightRig rig="threePt" dir="t"/>
              </a:scene3d>
              <a:sp3d>
                <a:bevelT/>
              </a:sp3d>
            </c:spPr>
          </c:marker>
          <c:dLbls>
            <c:dLbl>
              <c:idx val="0"/>
              <c:layout>
                <c:manualLayout>
                  <c:x val="-3.6208088190433356E-2"/>
                  <c:y val="-6.416264251747583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1.2380061720919096E-2"/>
                  <c:y val="-2.386027442150755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1.0067120816559203E-2"/>
                  <c:y val="-4.724114886621177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2.3944766242718647E-2"/>
                  <c:y val="-5.1917323755152539E-2"/>
                </c:manualLayout>
              </c:layout>
              <c:dLblPos val="r"/>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Analīze!$B$49:$E$49</c:f>
              <c:strCache>
                <c:ptCount val="4"/>
                <c:pt idx="0">
                  <c:v>Uz 31.03.2014</c:v>
                </c:pt>
                <c:pt idx="1">
                  <c:v>Uz 30.06.2014</c:v>
                </c:pt>
                <c:pt idx="2">
                  <c:v>Uz 30.09.2014</c:v>
                </c:pt>
                <c:pt idx="3">
                  <c:v>Uz 31.12.2014</c:v>
                </c:pt>
              </c:strCache>
            </c:strRef>
          </c:cat>
          <c:val>
            <c:numRef>
              <c:f>Analīze!$B$50:$E$50</c:f>
              <c:numCache>
                <c:formatCode>_(* #,##0.00_);_(* \(#,##0.00\);_(* "-"??_);_(@_)</c:formatCode>
                <c:ptCount val="4"/>
                <c:pt idx="0">
                  <c:v>9847704.8800000008</c:v>
                </c:pt>
                <c:pt idx="1">
                  <c:v>16229983.460000003</c:v>
                </c:pt>
                <c:pt idx="2">
                  <c:v>16497321.40000001</c:v>
                </c:pt>
                <c:pt idx="3">
                  <c:v>16771711.560000002</c:v>
                </c:pt>
              </c:numCache>
            </c:numRef>
          </c:val>
          <c:smooth val="0"/>
        </c:ser>
        <c:ser>
          <c:idx val="1"/>
          <c:order val="1"/>
          <c:tx>
            <c:strRef>
              <c:f>Analīze!$A$51</c:f>
              <c:strCache>
                <c:ptCount val="1"/>
                <c:pt idx="0">
                  <c:v>Komersanti</c:v>
                </c:pt>
              </c:strCache>
            </c:strRef>
          </c:tx>
          <c:spPr>
            <a:ln w="38100"/>
            <a:effectLst>
              <a:glow rad="25400">
                <a:schemeClr val="accent1">
                  <a:alpha val="40000"/>
                </a:schemeClr>
              </a:glow>
            </a:effectLst>
          </c:spPr>
          <c:marker>
            <c:spPr>
              <a:effectLst>
                <a:glow rad="25400">
                  <a:schemeClr val="accent1">
                    <a:alpha val="40000"/>
                  </a:schemeClr>
                </a:glow>
              </a:effectLst>
              <a:scene3d>
                <a:camera prst="orthographicFront"/>
                <a:lightRig rig="threePt" dir="t"/>
              </a:scene3d>
              <a:sp3d>
                <a:bevelT/>
              </a:sp3d>
            </c:spPr>
          </c:marker>
          <c:dLbls>
            <c:dLbl>
              <c:idx val="3"/>
              <c:layout>
                <c:manualLayout>
                  <c:x val="1.3062288227039654E-2"/>
                  <c:y val="-9.827699524466155E-3"/>
                </c:manualLayout>
              </c:layout>
              <c:dLblPos val="r"/>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Analīze!$B$49:$E$49</c:f>
              <c:strCache>
                <c:ptCount val="4"/>
                <c:pt idx="0">
                  <c:v>Uz 31.03.2014</c:v>
                </c:pt>
                <c:pt idx="1">
                  <c:v>Uz 30.06.2014</c:v>
                </c:pt>
                <c:pt idx="2">
                  <c:v>Uz 30.09.2014</c:v>
                </c:pt>
                <c:pt idx="3">
                  <c:v>Uz 31.12.2014</c:v>
                </c:pt>
              </c:strCache>
            </c:strRef>
          </c:cat>
          <c:val>
            <c:numRef>
              <c:f>Analīze!$B$51:$E$51</c:f>
              <c:numCache>
                <c:formatCode>_(* #,##0.00_);_(* \(#,##0.00\);_(* "-"??_);_(@_)</c:formatCode>
                <c:ptCount val="4"/>
                <c:pt idx="0">
                  <c:v>54314369.780000001</c:v>
                </c:pt>
                <c:pt idx="1">
                  <c:v>54624218.310000002</c:v>
                </c:pt>
                <c:pt idx="2">
                  <c:v>54476334.130000018</c:v>
                </c:pt>
                <c:pt idx="3">
                  <c:v>59583304.100000009</c:v>
                </c:pt>
              </c:numCache>
            </c:numRef>
          </c:val>
          <c:smooth val="0"/>
        </c:ser>
        <c:ser>
          <c:idx val="2"/>
          <c:order val="2"/>
          <c:tx>
            <c:strRef>
              <c:f>Analīze!$A$52</c:f>
              <c:strCache>
                <c:ptCount val="1"/>
                <c:pt idx="0">
                  <c:v>NVO</c:v>
                </c:pt>
              </c:strCache>
            </c:strRef>
          </c:tx>
          <c:spPr>
            <a:ln w="38100"/>
          </c:spPr>
          <c:marker>
            <c:spPr>
              <a:scene3d>
                <a:camera prst="orthographicFront"/>
                <a:lightRig rig="threePt" dir="t"/>
              </a:scene3d>
              <a:sp3d>
                <a:bevelT/>
              </a:sp3d>
            </c:spPr>
          </c:marker>
          <c:dLbls>
            <c:dLbl>
              <c:idx val="0"/>
              <c:layout>
                <c:manualLayout>
                  <c:x val="-3.216726980297578E-3"/>
                  <c:y val="-1.626016260162602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083634901487742E-3"/>
                  <c:y val="-1.300813008130081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6992360273421857E-2"/>
                  <c:y val="-2.926829268292683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6083634901487738E-2"/>
                  <c:y val="-2.2764227642276546E-2"/>
                </c:manualLayout>
              </c:layout>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Analīze!$B$49:$E$49</c:f>
              <c:strCache>
                <c:ptCount val="4"/>
                <c:pt idx="0">
                  <c:v>Uz 31.03.2014</c:v>
                </c:pt>
                <c:pt idx="1">
                  <c:v>Uz 30.06.2014</c:v>
                </c:pt>
                <c:pt idx="2">
                  <c:v>Uz 30.09.2014</c:v>
                </c:pt>
                <c:pt idx="3">
                  <c:v>Uz 31.12.2014</c:v>
                </c:pt>
              </c:strCache>
            </c:strRef>
          </c:cat>
          <c:val>
            <c:numRef>
              <c:f>Analīze!$B$52:$E$52</c:f>
              <c:numCache>
                <c:formatCode>_(* #,##0.00_);_(* \(#,##0.00\);_(* "-"??_);_(@_)</c:formatCode>
                <c:ptCount val="4"/>
                <c:pt idx="0">
                  <c:v>496861.95999999985</c:v>
                </c:pt>
                <c:pt idx="1">
                  <c:v>645923.83999999997</c:v>
                </c:pt>
                <c:pt idx="2">
                  <c:v>737738.90000000014</c:v>
                </c:pt>
                <c:pt idx="3">
                  <c:v>827415.65</c:v>
                </c:pt>
              </c:numCache>
            </c:numRef>
          </c:val>
          <c:smooth val="0"/>
        </c:ser>
        <c:ser>
          <c:idx val="3"/>
          <c:order val="3"/>
          <c:tx>
            <c:strRef>
              <c:f>Analīze!$A$53</c:f>
              <c:strCache>
                <c:ptCount val="1"/>
                <c:pt idx="0">
                  <c:v>Pašvaldības</c:v>
                </c:pt>
              </c:strCache>
            </c:strRef>
          </c:tx>
          <c:spPr>
            <a:ln w="38100"/>
          </c:spPr>
          <c:dPt>
            <c:idx val="3"/>
            <c:marker>
              <c:spPr>
                <a:scene3d>
                  <a:camera prst="orthographicFront"/>
                  <a:lightRig rig="threePt" dir="t"/>
                </a:scene3d>
                <a:sp3d>
                  <a:bevelT/>
                </a:sp3d>
              </c:spPr>
            </c:marker>
            <c:bubble3D val="0"/>
          </c:dPt>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Analīze!$B$49:$E$49</c:f>
              <c:strCache>
                <c:ptCount val="4"/>
                <c:pt idx="0">
                  <c:v>Uz 31.03.2014</c:v>
                </c:pt>
                <c:pt idx="1">
                  <c:v>Uz 30.06.2014</c:v>
                </c:pt>
                <c:pt idx="2">
                  <c:v>Uz 30.09.2014</c:v>
                </c:pt>
                <c:pt idx="3">
                  <c:v>Uz 31.12.2014</c:v>
                </c:pt>
              </c:strCache>
            </c:strRef>
          </c:cat>
          <c:val>
            <c:numRef>
              <c:f>Analīze!$B$53:$E$53</c:f>
              <c:numCache>
                <c:formatCode>_(* #,##0.00_);_(* \(#,##0.00\);_(* "-"??_);_(@_)</c:formatCode>
                <c:ptCount val="4"/>
                <c:pt idx="0">
                  <c:v>19004755.650000006</c:v>
                </c:pt>
                <c:pt idx="1">
                  <c:v>20464472.670000009</c:v>
                </c:pt>
                <c:pt idx="2">
                  <c:v>22499022.060000017</c:v>
                </c:pt>
                <c:pt idx="3">
                  <c:v>22859533.790000003</c:v>
                </c:pt>
              </c:numCache>
            </c:numRef>
          </c:val>
          <c:smooth val="0"/>
        </c:ser>
        <c:ser>
          <c:idx val="4"/>
          <c:order val="4"/>
          <c:tx>
            <c:strRef>
              <c:f>Analīze!$A$54</c:f>
              <c:strCache>
                <c:ptCount val="1"/>
                <c:pt idx="0">
                  <c:v>Valsts iestādes</c:v>
                </c:pt>
              </c:strCache>
            </c:strRef>
          </c:tx>
          <c:spPr>
            <a:ln w="38100">
              <a:solidFill>
                <a:schemeClr val="accent6"/>
              </a:solidFill>
            </a:ln>
          </c:spPr>
          <c:marker>
            <c:spPr>
              <a:ln>
                <a:solidFill>
                  <a:schemeClr val="accent6"/>
                </a:solidFill>
              </a:ln>
              <a:scene3d>
                <a:camera prst="orthographicFront"/>
                <a:lightRig rig="threePt" dir="t"/>
              </a:scene3d>
              <a:sp3d>
                <a:bevelT/>
              </a:sp3d>
            </c:spPr>
          </c:marker>
          <c:dLbls>
            <c:dLbl>
              <c:idx val="0"/>
              <c:layout>
                <c:manualLayout>
                  <c:x val="-5.2034611475736847E-2"/>
                  <c:y val="-3.5854298700467328E-3"/>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2.1032518089184517E-2"/>
                  <c:y val="-4.583792251859047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6848560165425715E-2"/>
                  <c:y val="-5.340990716733822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4.0776067044695427E-2"/>
                  <c:y val="-5.5617950195249989E-2"/>
                </c:manualLayout>
              </c:layout>
              <c:dLblPos val="r"/>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Analīze!$B$49:$E$49</c:f>
              <c:strCache>
                <c:ptCount val="4"/>
                <c:pt idx="0">
                  <c:v>Uz 31.03.2014</c:v>
                </c:pt>
                <c:pt idx="1">
                  <c:v>Uz 30.06.2014</c:v>
                </c:pt>
                <c:pt idx="2">
                  <c:v>Uz 30.09.2014</c:v>
                </c:pt>
                <c:pt idx="3">
                  <c:v>Uz 31.12.2014</c:v>
                </c:pt>
              </c:strCache>
            </c:strRef>
          </c:cat>
          <c:val>
            <c:numRef>
              <c:f>Analīze!$B$54:$E$54</c:f>
              <c:numCache>
                <c:formatCode>_(* #,##0.00_);_(* \(#,##0.00\);_(* "-"??_);_(@_)</c:formatCode>
                <c:ptCount val="4"/>
                <c:pt idx="0">
                  <c:v>7175041.6199999982</c:v>
                </c:pt>
                <c:pt idx="1">
                  <c:v>6990836.5200000005</c:v>
                </c:pt>
                <c:pt idx="2">
                  <c:v>7237813.3099999996</c:v>
                </c:pt>
                <c:pt idx="3">
                  <c:v>8228969.4999999991</c:v>
                </c:pt>
              </c:numCache>
            </c:numRef>
          </c:val>
          <c:smooth val="0"/>
        </c:ser>
        <c:dLbls>
          <c:showLegendKey val="0"/>
          <c:showVal val="0"/>
          <c:showCatName val="0"/>
          <c:showSerName val="0"/>
          <c:showPercent val="0"/>
          <c:showBubbleSize val="0"/>
        </c:dLbls>
        <c:marker val="1"/>
        <c:smooth val="0"/>
        <c:axId val="242109808"/>
        <c:axId val="242110200"/>
      </c:lineChart>
      <c:catAx>
        <c:axId val="242109808"/>
        <c:scaling>
          <c:orientation val="minMax"/>
        </c:scaling>
        <c:delete val="0"/>
        <c:axPos val="b"/>
        <c:numFmt formatCode="General" sourceLinked="0"/>
        <c:majorTickMark val="out"/>
        <c:minorTickMark val="none"/>
        <c:tickLblPos val="nextTo"/>
        <c:crossAx val="242110200"/>
        <c:crosses val="autoZero"/>
        <c:auto val="1"/>
        <c:lblAlgn val="ctr"/>
        <c:lblOffset val="100"/>
        <c:noMultiLvlLbl val="0"/>
      </c:catAx>
      <c:valAx>
        <c:axId val="242110200"/>
        <c:scaling>
          <c:orientation val="minMax"/>
          <c:max val="60000000"/>
          <c:min val="1"/>
        </c:scaling>
        <c:delete val="0"/>
        <c:axPos val="l"/>
        <c:majorGridlines/>
        <c:numFmt formatCode="_(* #,##0_);_(* \(#,##0\);_(* &quot;-&quot;_);_(@_)" sourceLinked="0"/>
        <c:majorTickMark val="out"/>
        <c:minorTickMark val="none"/>
        <c:tickLblPos val="nextTo"/>
        <c:crossAx val="242109808"/>
        <c:crosses val="autoZero"/>
        <c:crossBetween val="between"/>
        <c:majorUnit val="10000000"/>
        <c:dispUnits>
          <c:builtInUnit val="millions"/>
        </c:dispUnits>
      </c:valAx>
      <c:spPr>
        <a:ln>
          <a:noFill/>
        </a:ln>
      </c:spPr>
    </c:plotArea>
    <c:legend>
      <c:legendPos val="r"/>
      <c:layout>
        <c:manualLayout>
          <c:xMode val="edge"/>
          <c:yMode val="edge"/>
          <c:x val="0.75788454159918262"/>
          <c:y val="0.23757950878071502"/>
          <c:w val="0.16739869852807901"/>
          <c:h val="0.65244395511048159"/>
        </c:manualLayout>
      </c:layout>
      <c:overlay val="0"/>
      <c:txPr>
        <a:bodyPr/>
        <a:lstStyle/>
        <a:p>
          <a:pPr>
            <a:defRPr>
              <a:ln>
                <a:noFill/>
              </a:ln>
            </a:defRPr>
          </a:pPr>
          <a:endParaRPr lang="lv-LV"/>
        </a:p>
      </c:txPr>
    </c:legend>
    <c:plotVisOnly val="1"/>
    <c:dispBlanksAs val="gap"/>
    <c:showDLblsOverMax val="0"/>
  </c:chart>
  <c:spPr>
    <a:ln>
      <a:noFill/>
    </a:ln>
    <a:scene3d>
      <a:camera prst="orthographicFront"/>
      <a:lightRig rig="threePt" dir="t"/>
    </a:scene3d>
    <a:sp3d/>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29224481842047989"/>
          <c:y val="3.2193999149175055E-2"/>
          <c:w val="0.64178295421405662"/>
          <c:h val="0.8005837651878619"/>
        </c:manualLayout>
      </c:layout>
      <c:bar3DChart>
        <c:barDir val="bar"/>
        <c:grouping val="clustered"/>
        <c:varyColors val="0"/>
        <c:ser>
          <c:idx val="6"/>
          <c:order val="0"/>
          <c:tx>
            <c:strRef>
              <c:f>Analīze!$A$192</c:f>
              <c:strCache>
                <c:ptCount val="1"/>
                <c:pt idx="0">
                  <c:v>NVO</c:v>
                </c:pt>
              </c:strCache>
            </c:strRef>
          </c:tx>
          <c:spPr>
            <a:scene3d>
              <a:camera prst="orthographicFront"/>
              <a:lightRig rig="threePt" dir="t"/>
            </a:scene3d>
            <a:sp3d>
              <a:bevelT w="152400" h="50800" prst="softRound"/>
            </a:sp3d>
          </c:spPr>
          <c:invertIfNegative val="0"/>
          <c:dLbls>
            <c:dLbl>
              <c:idx val="0"/>
              <c:tx>
                <c:rich>
                  <a:bodyPr/>
                  <a:lstStyle/>
                  <a:p>
                    <a:pPr>
                      <a:defRPr b="1">
                        <a:latin typeface="+mn-lt"/>
                      </a:defRPr>
                    </a:pPr>
                    <a:r>
                      <a:rPr lang="en-US" b="1">
                        <a:latin typeface="+mn-lt"/>
                      </a:rPr>
                      <a:t>0</a:t>
                    </a:r>
                    <a:r>
                      <a:rPr lang="en-US"/>
                      <a:t>,7 (14,2%; 1,1%)</a:t>
                    </a:r>
                  </a:p>
                </c:rich>
              </c:tx>
              <c:numFmt formatCode="#,##0.0" sourceLinked="0"/>
              <c:spPr/>
              <c:showLegendKey val="0"/>
              <c:showVal val="1"/>
              <c:showCatName val="0"/>
              <c:showSerName val="0"/>
              <c:showPercent val="0"/>
              <c:showBubbleSize val="0"/>
              <c:extLst>
                <c:ext xmlns:c15="http://schemas.microsoft.com/office/drawing/2012/chart" uri="{CE6537A1-D6FC-4f65-9D91-7224C49458BB}"/>
              </c:extLst>
            </c:dLbl>
            <c:dLbl>
              <c:idx val="1"/>
              <c:tx>
                <c:rich>
                  <a:bodyPr/>
                  <a:lstStyle/>
                  <a:p>
                    <a:pPr>
                      <a:defRPr b="1">
                        <a:latin typeface="+mn-lt"/>
                      </a:defRPr>
                    </a:pPr>
                    <a:r>
                      <a:rPr lang="en-US" b="1">
                        <a:latin typeface="+mn-lt"/>
                      </a:rPr>
                      <a:t>0</a:t>
                    </a:r>
                    <a:r>
                      <a:rPr lang="en-US"/>
                      <a:t>,8 (12,2%; 1,2%)</a:t>
                    </a:r>
                  </a:p>
                </c:rich>
              </c:tx>
              <c:numFmt formatCode="#,##0.0" sourceLinked="0"/>
              <c:spPr/>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w="25400">
                <a:noFill/>
              </a:ln>
            </c:spPr>
            <c:txPr>
              <a:bodyPr/>
              <a:lstStyle/>
              <a:p>
                <a:pPr>
                  <a:defRPr b="1">
                    <a:latin typeface="+mn-lt"/>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Analīze!$B$189:$C$189</c:f>
              <c:strCache>
                <c:ptCount val="2"/>
                <c:pt idx="0">
                  <c:v>Neatbilstības uz 30.09.2014</c:v>
                </c:pt>
                <c:pt idx="1">
                  <c:v>Neatbilstības uz 31.12.2014</c:v>
                </c:pt>
              </c:strCache>
            </c:strRef>
          </c:cat>
          <c:val>
            <c:numRef>
              <c:f>Analīze!$B$192:$C$192</c:f>
              <c:numCache>
                <c:formatCode>_(* #,##0.00_);_(* \(#,##0.00\);_(* "-"??_);_(@_)</c:formatCode>
                <c:ptCount val="2"/>
                <c:pt idx="0">
                  <c:v>737738.90000000014</c:v>
                </c:pt>
                <c:pt idx="1">
                  <c:v>827415.65</c:v>
                </c:pt>
              </c:numCache>
            </c:numRef>
          </c:val>
        </c:ser>
        <c:ser>
          <c:idx val="1"/>
          <c:order val="1"/>
          <c:tx>
            <c:strRef>
              <c:f>Analīze!$A$194</c:f>
              <c:strCache>
                <c:ptCount val="1"/>
                <c:pt idx="0">
                  <c:v>Valsts iestādes</c:v>
                </c:pt>
              </c:strCache>
            </c:strRef>
          </c:tx>
          <c:spPr>
            <a:scene3d>
              <a:camera prst="orthographicFront"/>
              <a:lightRig rig="threePt" dir="t"/>
            </a:scene3d>
            <a:sp3d>
              <a:bevelT w="152400" h="50800" prst="softRound"/>
            </a:sp3d>
          </c:spPr>
          <c:invertIfNegative val="0"/>
          <c:dLbls>
            <c:dLbl>
              <c:idx val="0"/>
              <c:tx>
                <c:rich>
                  <a:bodyPr/>
                  <a:lstStyle/>
                  <a:p>
                    <a:r>
                      <a:rPr lang="en-US" b="1">
                        <a:latin typeface="+mn-lt"/>
                      </a:rPr>
                      <a:t>7</a:t>
                    </a:r>
                    <a:r>
                      <a:rPr lang="en-US"/>
                      <a:t>,2 (3,5%, 0,6%)</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b="1">
                        <a:latin typeface="+mn-lt"/>
                      </a:rPr>
                      <a:t>8</a:t>
                    </a:r>
                    <a:r>
                      <a:rPr lang="en-US"/>
                      <a:t>,2 (13,7%; 0,6%)</a:t>
                    </a:r>
                  </a:p>
                </c:rich>
              </c:tx>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w="25400">
                <a:noFill/>
              </a:ln>
            </c:spPr>
            <c:txPr>
              <a:bodyPr/>
              <a:lstStyle/>
              <a:p>
                <a:pPr>
                  <a:defRPr b="1">
                    <a:latin typeface="+mn-lt"/>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Analīze!$B$189:$C$189</c:f>
              <c:strCache>
                <c:ptCount val="2"/>
                <c:pt idx="0">
                  <c:v>Neatbilstības uz 30.09.2014</c:v>
                </c:pt>
                <c:pt idx="1">
                  <c:v>Neatbilstības uz 31.12.2014</c:v>
                </c:pt>
              </c:strCache>
            </c:strRef>
          </c:cat>
          <c:val>
            <c:numRef>
              <c:f>Analīze!$B$194:$C$194</c:f>
              <c:numCache>
                <c:formatCode>_(* #,##0.00_);_(* \(#,##0.00\);_(* "-"??_);_(@_)</c:formatCode>
                <c:ptCount val="2"/>
                <c:pt idx="0">
                  <c:v>7237813.3099999987</c:v>
                </c:pt>
                <c:pt idx="1">
                  <c:v>8228969.4999999981</c:v>
                </c:pt>
              </c:numCache>
            </c:numRef>
          </c:val>
        </c:ser>
        <c:ser>
          <c:idx val="2"/>
          <c:order val="2"/>
          <c:tx>
            <c:strRef>
              <c:f>Analīze!$A$190</c:f>
              <c:strCache>
                <c:ptCount val="1"/>
                <c:pt idx="0">
                  <c:v>Izglītības iestādes</c:v>
                </c:pt>
              </c:strCache>
            </c:strRef>
          </c:tx>
          <c:spPr>
            <a:scene3d>
              <a:camera prst="orthographicFront"/>
              <a:lightRig rig="threePt" dir="t"/>
            </a:scene3d>
            <a:sp3d>
              <a:bevelT w="152400" h="50800" prst="softRound"/>
            </a:sp3d>
          </c:spPr>
          <c:invertIfNegative val="0"/>
          <c:dLbls>
            <c:dLbl>
              <c:idx val="0"/>
              <c:tx>
                <c:rich>
                  <a:bodyPr/>
                  <a:lstStyle/>
                  <a:p>
                    <a:pPr>
                      <a:defRPr b="1">
                        <a:latin typeface="+mn-lt"/>
                      </a:defRPr>
                    </a:pPr>
                    <a:r>
                      <a:rPr lang="en-US" b="1">
                        <a:latin typeface="+mn-lt"/>
                      </a:rPr>
                      <a:t>1</a:t>
                    </a:r>
                    <a:r>
                      <a:rPr lang="en-US"/>
                      <a:t>6,5 (1,6%; 3,3%)</a:t>
                    </a:r>
                  </a:p>
                </c:rich>
              </c:tx>
              <c:numFmt formatCode="#,##0.0" sourceLinked="0"/>
              <c:spPr/>
              <c:showLegendKey val="0"/>
              <c:showVal val="1"/>
              <c:showCatName val="0"/>
              <c:showSerName val="0"/>
              <c:showPercent val="0"/>
              <c:showBubbleSize val="0"/>
              <c:extLst>
                <c:ext xmlns:c15="http://schemas.microsoft.com/office/drawing/2012/chart" uri="{CE6537A1-D6FC-4f65-9D91-7224C49458BB}"/>
              </c:extLst>
            </c:dLbl>
            <c:dLbl>
              <c:idx val="1"/>
              <c:tx>
                <c:rich>
                  <a:bodyPr/>
                  <a:lstStyle/>
                  <a:p>
                    <a:pPr>
                      <a:defRPr b="1">
                        <a:latin typeface="+mn-lt"/>
                      </a:defRPr>
                    </a:pPr>
                    <a:r>
                      <a:rPr lang="en-US" b="1">
                        <a:latin typeface="+mn-lt"/>
                      </a:rPr>
                      <a:t>1</a:t>
                    </a:r>
                    <a:r>
                      <a:rPr lang="en-US"/>
                      <a:t>6,8 (1,7%; 3,1%)</a:t>
                    </a:r>
                  </a:p>
                </c:rich>
              </c:tx>
              <c:numFmt formatCode="#,##0.0" sourceLinked="0"/>
              <c:spPr/>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w="25400">
                <a:noFill/>
              </a:ln>
            </c:spPr>
            <c:txPr>
              <a:bodyPr/>
              <a:lstStyle/>
              <a:p>
                <a:pPr>
                  <a:defRPr b="1">
                    <a:latin typeface="+mn-lt"/>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Analīze!$B$189:$C$189</c:f>
              <c:strCache>
                <c:ptCount val="2"/>
                <c:pt idx="0">
                  <c:v>Neatbilstības uz 30.09.2014</c:v>
                </c:pt>
                <c:pt idx="1">
                  <c:v>Neatbilstības uz 31.12.2014</c:v>
                </c:pt>
              </c:strCache>
            </c:strRef>
          </c:cat>
          <c:val>
            <c:numRef>
              <c:f>Analīze!$B$190:$C$190</c:f>
              <c:numCache>
                <c:formatCode>_(* #,##0.00_);_(* \(#,##0.00\);_(* "-"??_);_(@_)</c:formatCode>
                <c:ptCount val="2"/>
                <c:pt idx="0">
                  <c:v>16497321.40000001</c:v>
                </c:pt>
                <c:pt idx="1">
                  <c:v>16771711.560000001</c:v>
                </c:pt>
              </c:numCache>
            </c:numRef>
          </c:val>
        </c:ser>
        <c:ser>
          <c:idx val="3"/>
          <c:order val="3"/>
          <c:tx>
            <c:strRef>
              <c:f>Analīze!$A$193</c:f>
              <c:strCache>
                <c:ptCount val="1"/>
                <c:pt idx="0">
                  <c:v>Pašvaldības</c:v>
                </c:pt>
              </c:strCache>
            </c:strRef>
          </c:tx>
          <c:spPr>
            <a:scene3d>
              <a:camera prst="orthographicFront"/>
              <a:lightRig rig="threePt" dir="t"/>
            </a:scene3d>
            <a:sp3d>
              <a:bevelT w="152400" h="50800" prst="softRound"/>
            </a:sp3d>
          </c:spPr>
          <c:invertIfNegative val="0"/>
          <c:dLbls>
            <c:dLbl>
              <c:idx val="0"/>
              <c:tx>
                <c:rich>
                  <a:bodyPr/>
                  <a:lstStyle/>
                  <a:p>
                    <a:r>
                      <a:rPr lang="en-US" b="1">
                        <a:latin typeface="+mn-lt"/>
                      </a:rPr>
                      <a:t>2</a:t>
                    </a:r>
                    <a:r>
                      <a:rPr lang="en-US"/>
                      <a:t>2,5 (9,9%; 2,7%)</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b="1">
                        <a:latin typeface="+mn-lt"/>
                      </a:rPr>
                      <a:t>2</a:t>
                    </a:r>
                    <a:r>
                      <a:rPr lang="en-US"/>
                      <a:t>2,9 (1,6%; 2,7%)</a:t>
                    </a:r>
                  </a:p>
                </c:rich>
              </c:tx>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w="25400">
                <a:noFill/>
              </a:ln>
            </c:spPr>
            <c:txPr>
              <a:bodyPr/>
              <a:lstStyle/>
              <a:p>
                <a:pPr>
                  <a:defRPr b="1">
                    <a:latin typeface="+mn-lt"/>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Analīze!$B$189:$C$189</c:f>
              <c:strCache>
                <c:ptCount val="2"/>
                <c:pt idx="0">
                  <c:v>Neatbilstības uz 30.09.2014</c:v>
                </c:pt>
                <c:pt idx="1">
                  <c:v>Neatbilstības uz 31.12.2014</c:v>
                </c:pt>
              </c:strCache>
            </c:strRef>
          </c:cat>
          <c:val>
            <c:numRef>
              <c:f>Analīze!$B$193:$C$193</c:f>
              <c:numCache>
                <c:formatCode>_(* #,##0.00_);_(* \(#,##0.00\);_(* "-"??_);_(@_)</c:formatCode>
                <c:ptCount val="2"/>
                <c:pt idx="0">
                  <c:v>22499022.060000017</c:v>
                </c:pt>
                <c:pt idx="1">
                  <c:v>22859533.790000003</c:v>
                </c:pt>
              </c:numCache>
            </c:numRef>
          </c:val>
        </c:ser>
        <c:ser>
          <c:idx val="4"/>
          <c:order val="4"/>
          <c:tx>
            <c:strRef>
              <c:f>Analīze!$A$191</c:f>
              <c:strCache>
                <c:ptCount val="1"/>
                <c:pt idx="0">
                  <c:v>Komersanti</c:v>
                </c:pt>
              </c:strCache>
            </c:strRef>
          </c:tx>
          <c:invertIfNegative val="0"/>
          <c:dLbls>
            <c:dLbl>
              <c:idx val="0"/>
              <c:layout>
                <c:manualLayout>
                  <c:x val="1.4840991050999255E-2"/>
                  <c:y val="2.9267271953795511E-3"/>
                </c:manualLayout>
              </c:layout>
              <c:tx>
                <c:rich>
                  <a:bodyPr/>
                  <a:lstStyle/>
                  <a:p>
                    <a:pPr>
                      <a:defRPr b="1">
                        <a:latin typeface="+mn-lt"/>
                      </a:defRPr>
                    </a:pPr>
                    <a:r>
                      <a:rPr lang="en-US" b="1">
                        <a:latin typeface="+mn-lt"/>
                      </a:rPr>
                      <a:t>5</a:t>
                    </a:r>
                    <a:r>
                      <a:rPr lang="en-US"/>
                      <a:t>4,5 (-0,3%;</a:t>
                    </a:r>
                    <a:r>
                      <a:rPr lang="en-US" baseline="0"/>
                      <a:t> 3,6%)</a:t>
                    </a:r>
                    <a:endParaRPr lang="en-US"/>
                  </a:p>
                </c:rich>
              </c:tx>
              <c:numFmt formatCode="#,##0.0" sourceLinked="0"/>
              <c:spPr/>
              <c:showLegendKey val="0"/>
              <c:showVal val="1"/>
              <c:showCatName val="0"/>
              <c:showSerName val="0"/>
              <c:showPercent val="0"/>
              <c:showBubbleSize val="0"/>
              <c:extLst>
                <c:ext xmlns:c15="http://schemas.microsoft.com/office/drawing/2012/chart" uri="{CE6537A1-D6FC-4f65-9D91-7224C49458BB}"/>
              </c:extLst>
            </c:dLbl>
            <c:dLbl>
              <c:idx val="1"/>
              <c:layout>
                <c:manualLayout>
                  <c:x val="0"/>
                  <c:y val="-2.9517735975705304E-3"/>
                </c:manualLayout>
              </c:layout>
              <c:tx>
                <c:rich>
                  <a:bodyPr/>
                  <a:lstStyle/>
                  <a:p>
                    <a:pPr>
                      <a:defRPr b="1">
                        <a:latin typeface="+mn-lt"/>
                      </a:defRPr>
                    </a:pPr>
                    <a:r>
                      <a:rPr lang="en-US" b="1">
                        <a:latin typeface="+mn-lt"/>
                      </a:rPr>
                      <a:t>5</a:t>
                    </a:r>
                    <a:r>
                      <a:rPr lang="en-US"/>
                      <a:t>9,6 (9,4%; 3,6%)</a:t>
                    </a:r>
                  </a:p>
                </c:rich>
              </c:tx>
              <c:numFmt formatCode="#,##0.0" sourceLinked="0"/>
              <c:spPr/>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w="25400">
                <a:noFill/>
              </a:ln>
            </c:spPr>
            <c:txPr>
              <a:bodyPr/>
              <a:lstStyle/>
              <a:p>
                <a:pPr>
                  <a:defRPr b="1">
                    <a:latin typeface="+mn-lt"/>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Analīze!$B$189:$C$189</c:f>
              <c:strCache>
                <c:ptCount val="2"/>
                <c:pt idx="0">
                  <c:v>Neatbilstības uz 30.09.2014</c:v>
                </c:pt>
                <c:pt idx="1">
                  <c:v>Neatbilstības uz 31.12.2014</c:v>
                </c:pt>
              </c:strCache>
            </c:strRef>
          </c:cat>
          <c:val>
            <c:numRef>
              <c:f>Analīze!$B$191:$C$191</c:f>
              <c:numCache>
                <c:formatCode>_(* #,##0.00_);_(* \(#,##0.00\);_(* "-"??_);_(@_)</c:formatCode>
                <c:ptCount val="2"/>
                <c:pt idx="0">
                  <c:v>54476334.130000018</c:v>
                </c:pt>
                <c:pt idx="1">
                  <c:v>59583304.100000009</c:v>
                </c:pt>
              </c:numCache>
            </c:numRef>
          </c:val>
        </c:ser>
        <c:ser>
          <c:idx val="5"/>
          <c:order val="5"/>
          <c:tx>
            <c:strRef>
              <c:f>Analīze!$A$195</c:f>
              <c:strCache>
                <c:ptCount val="1"/>
                <c:pt idx="0">
                  <c:v>KOPĀ</c:v>
                </c:pt>
              </c:strCache>
            </c:strRef>
          </c:tx>
          <c:invertIfNegative val="0"/>
          <c:dPt>
            <c:idx val="1"/>
            <c:invertIfNegative val="0"/>
            <c:bubble3D val="0"/>
            <c:spPr>
              <a:scene3d>
                <a:camera prst="orthographicFront"/>
                <a:lightRig rig="threePt" dir="t"/>
              </a:scene3d>
              <a:sp3d>
                <a:bevelT w="152400" h="50800" prst="softRound"/>
              </a:sp3d>
            </c:spPr>
          </c:dPt>
          <c:dLbls>
            <c:dLbl>
              <c:idx val="0"/>
              <c:layout>
                <c:manualLayout>
                  <c:x val="4.9469970169996975E-3"/>
                  <c:y val="0"/>
                </c:manualLayout>
              </c:layout>
              <c:tx>
                <c:rich>
                  <a:bodyPr/>
                  <a:lstStyle/>
                  <a:p>
                    <a:r>
                      <a:rPr lang="en-US" b="1">
                        <a:latin typeface="+mn-lt"/>
                      </a:rPr>
                      <a:t>1</a:t>
                    </a:r>
                    <a:r>
                      <a:rPr lang="en-US"/>
                      <a:t>01,4 (2,5%; 2,5%)</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b="1">
                        <a:latin typeface="+mn-lt"/>
                      </a:rPr>
                      <a:t>1</a:t>
                    </a:r>
                    <a:r>
                      <a:rPr lang="en-US"/>
                      <a:t>08,3 (6,7%; 2,4%)</a:t>
                    </a:r>
                  </a:p>
                </c:rich>
              </c:tx>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w="25400">
                <a:noFill/>
              </a:ln>
            </c:spPr>
            <c:txPr>
              <a:bodyPr/>
              <a:lstStyle/>
              <a:p>
                <a:pPr>
                  <a:defRPr b="1">
                    <a:latin typeface="+mn-lt"/>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Analīze!$B$189:$C$189</c:f>
              <c:strCache>
                <c:ptCount val="2"/>
                <c:pt idx="0">
                  <c:v>Neatbilstības uz 30.09.2014</c:v>
                </c:pt>
                <c:pt idx="1">
                  <c:v>Neatbilstības uz 31.12.2014</c:v>
                </c:pt>
              </c:strCache>
            </c:strRef>
          </c:cat>
          <c:val>
            <c:numRef>
              <c:f>Analīze!$B$195:$C$195</c:f>
              <c:numCache>
                <c:formatCode>_(* #,##0.00_);_(* \(#,##0.00\);_(* "-"??_);_(@_)</c:formatCode>
                <c:ptCount val="2"/>
                <c:pt idx="0">
                  <c:v>101448229.80000006</c:v>
                </c:pt>
                <c:pt idx="1">
                  <c:v>108270934.60000002</c:v>
                </c:pt>
              </c:numCache>
            </c:numRef>
          </c:val>
        </c:ser>
        <c:dLbls>
          <c:showLegendKey val="0"/>
          <c:showVal val="0"/>
          <c:showCatName val="0"/>
          <c:showSerName val="0"/>
          <c:showPercent val="0"/>
          <c:showBubbleSize val="0"/>
        </c:dLbls>
        <c:gapWidth val="150"/>
        <c:shape val="box"/>
        <c:axId val="242110984"/>
        <c:axId val="242111376"/>
        <c:axId val="0"/>
      </c:bar3DChart>
      <c:catAx>
        <c:axId val="242110984"/>
        <c:scaling>
          <c:orientation val="minMax"/>
        </c:scaling>
        <c:delete val="0"/>
        <c:axPos val="l"/>
        <c:numFmt formatCode="General" sourceLinked="0"/>
        <c:majorTickMark val="out"/>
        <c:minorTickMark val="none"/>
        <c:tickLblPos val="nextTo"/>
        <c:txPr>
          <a:bodyPr rot="0" vert="horz"/>
          <a:lstStyle/>
          <a:p>
            <a:pPr>
              <a:defRPr/>
            </a:pPr>
            <a:endParaRPr lang="lv-LV"/>
          </a:p>
        </c:txPr>
        <c:crossAx val="242111376"/>
        <c:crosses val="autoZero"/>
        <c:auto val="1"/>
        <c:lblAlgn val="ctr"/>
        <c:lblOffset val="100"/>
        <c:noMultiLvlLbl val="0"/>
      </c:catAx>
      <c:valAx>
        <c:axId val="242111376"/>
        <c:scaling>
          <c:orientation val="minMax"/>
        </c:scaling>
        <c:delete val="0"/>
        <c:axPos val="b"/>
        <c:majorGridlines/>
        <c:numFmt formatCode="General" sourceLinked="0"/>
        <c:majorTickMark val="out"/>
        <c:minorTickMark val="none"/>
        <c:tickLblPos val="nextTo"/>
        <c:txPr>
          <a:bodyPr rot="0" vert="horz"/>
          <a:lstStyle/>
          <a:p>
            <a:pPr>
              <a:defRPr/>
            </a:pPr>
            <a:endParaRPr lang="lv-LV"/>
          </a:p>
        </c:txPr>
        <c:crossAx val="242110984"/>
        <c:crosses val="autoZero"/>
        <c:crossBetween val="between"/>
        <c:dispUnits>
          <c:builtInUnit val="millions"/>
        </c:dispUnits>
      </c:valAx>
      <c:spPr>
        <a:noFill/>
        <a:ln w="25400">
          <a:noFill/>
        </a:ln>
      </c:spPr>
    </c:plotArea>
    <c:legend>
      <c:legendPos val="b"/>
      <c:overlay val="0"/>
    </c:legend>
    <c:plotVisOnly val="1"/>
    <c:dispBlanksAs val="gap"/>
    <c:showDLblsOverMax val="0"/>
  </c:chart>
  <c:spPr>
    <a:noFill/>
    <a:ln>
      <a:noFill/>
    </a:ln>
    <a:scene3d>
      <a:camera prst="orthographicFront"/>
      <a:lightRig rig="threePt" dir="t"/>
    </a:scene3d>
    <a:sp3d>
      <a:bevelT w="152400" h="50800" prst="softRound"/>
    </a:sp3d>
  </c:spPr>
  <c:txPr>
    <a:bodyPr/>
    <a:lstStyle/>
    <a:p>
      <a:pPr>
        <a:defRPr sz="1000" b="0"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lv-LV"/>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8831564176369935E-2"/>
          <c:y val="2.5626366735054102E-2"/>
          <c:w val="0.88976523649820771"/>
          <c:h val="0.5877203433468966"/>
        </c:manualLayout>
      </c:layout>
      <c:lineChart>
        <c:grouping val="standard"/>
        <c:varyColors val="0"/>
        <c:ser>
          <c:idx val="0"/>
          <c:order val="0"/>
          <c:tx>
            <c:strRef>
              <c:f>Analīze!$A$16</c:f>
              <c:strCache>
                <c:ptCount val="1"/>
                <c:pt idx="0">
                  <c:v>Aizdomas par krāpšanu vai organizēto noziedzību</c:v>
                </c:pt>
              </c:strCache>
            </c:strRef>
          </c:tx>
          <c:spPr>
            <a:ln w="31750" cmpd="sng"/>
            <a:effectLst>
              <a:outerShdw blurRad="50800" dist="50800" dir="5400000" sx="5000" sy="5000" algn="ctr" rotWithShape="0">
                <a:srgbClr val="000000">
                  <a:alpha val="43137"/>
                </a:srgbClr>
              </a:outerShdw>
            </a:effectLst>
          </c:spPr>
          <c:marker>
            <c:spPr>
              <a:effectLst>
                <a:outerShdw blurRad="50800" dist="50800" dir="5400000" sx="5000" sy="5000" algn="ctr" rotWithShape="0">
                  <a:srgbClr val="000000">
                    <a:alpha val="43137"/>
                  </a:srgbClr>
                </a:outerShdw>
              </a:effectLst>
              <a:scene3d>
                <a:camera prst="orthographicFront"/>
                <a:lightRig rig="threePt" dir="t"/>
              </a:scene3d>
              <a:sp3d>
                <a:bevelT/>
              </a:sp3d>
            </c:spPr>
          </c:marker>
          <c:dLbls>
            <c:dLbl>
              <c:idx val="2"/>
              <c:layout>
                <c:manualLayout>
                  <c:x val="-3.8897838128739752E-2"/>
                  <c:y val="-5.6593498644093389E-2"/>
                </c:manualLayout>
              </c:layout>
              <c:dLblPos val="r"/>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Analīze!$B$15:$E$15</c:f>
              <c:strCache>
                <c:ptCount val="4"/>
                <c:pt idx="0">
                  <c:v>Uz 31.03.2014</c:v>
                </c:pt>
                <c:pt idx="1">
                  <c:v>Uz 30.06.2014</c:v>
                </c:pt>
                <c:pt idx="2">
                  <c:v>Uz 30.09.2014</c:v>
                </c:pt>
                <c:pt idx="3">
                  <c:v>Uz 31.12.2014</c:v>
                </c:pt>
              </c:strCache>
            </c:strRef>
          </c:cat>
          <c:val>
            <c:numRef>
              <c:f>Analīze!$B$16:$E$16</c:f>
              <c:numCache>
                <c:formatCode>_(* #,##0.00_);_(* \(#,##0.00\);_(* "-"??_);_(@_)</c:formatCode>
                <c:ptCount val="4"/>
                <c:pt idx="0">
                  <c:v>8966066.9000000004</c:v>
                </c:pt>
                <c:pt idx="1">
                  <c:v>8324824.3000000007</c:v>
                </c:pt>
                <c:pt idx="2">
                  <c:v>8189811.2800000012</c:v>
                </c:pt>
                <c:pt idx="3">
                  <c:v>9182618.1400000025</c:v>
                </c:pt>
              </c:numCache>
            </c:numRef>
          </c:val>
          <c:smooth val="0"/>
        </c:ser>
        <c:ser>
          <c:idx val="1"/>
          <c:order val="1"/>
          <c:tx>
            <c:strRef>
              <c:f>Analīze!$A$17</c:f>
              <c:strCache>
                <c:ptCount val="1"/>
                <c:pt idx="0">
                  <c:v>Noteikto ieviešanas nosacījumu pārkāpšana un nespēja pildīt līguma/vienošanās nosacījumus </c:v>
                </c:pt>
              </c:strCache>
            </c:strRef>
          </c:tx>
          <c:spPr>
            <a:ln w="31750"/>
            <a:effectLst>
              <a:glow rad="25400">
                <a:schemeClr val="accent1">
                  <a:alpha val="40000"/>
                </a:schemeClr>
              </a:glow>
            </a:effectLst>
          </c:spPr>
          <c:marker>
            <c:spPr>
              <a:effectLst>
                <a:glow rad="25400">
                  <a:schemeClr val="accent1">
                    <a:alpha val="40000"/>
                  </a:schemeClr>
                </a:glow>
              </a:effectLst>
              <a:scene3d>
                <a:camera prst="orthographicFront"/>
                <a:lightRig rig="threePt" dir="t"/>
              </a:scene3d>
              <a:sp3d>
                <a:bevelT/>
              </a:sp3d>
            </c:spPr>
          </c:marker>
          <c:dLbls>
            <c:numFmt formatCode="#,##0.0" sourceLinked="0"/>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Analīze!$B$15:$E$15</c:f>
              <c:strCache>
                <c:ptCount val="4"/>
                <c:pt idx="0">
                  <c:v>Uz 31.03.2014</c:v>
                </c:pt>
                <c:pt idx="1">
                  <c:v>Uz 30.06.2014</c:v>
                </c:pt>
                <c:pt idx="2">
                  <c:v>Uz 30.09.2014</c:v>
                </c:pt>
                <c:pt idx="3">
                  <c:v>Uz 31.12.2014</c:v>
                </c:pt>
              </c:strCache>
            </c:strRef>
          </c:cat>
          <c:val>
            <c:numRef>
              <c:f>Analīze!$B$17:$E$17</c:f>
              <c:numCache>
                <c:formatCode>_(* #,##0.00_);_(* \(#,##0.00\);_(* "-"??_);_(@_)</c:formatCode>
                <c:ptCount val="4"/>
                <c:pt idx="0">
                  <c:v>5393365.4800000004</c:v>
                </c:pt>
                <c:pt idx="1">
                  <c:v>12506830.720000001</c:v>
                </c:pt>
                <c:pt idx="2">
                  <c:v>12273009.970000003</c:v>
                </c:pt>
                <c:pt idx="3">
                  <c:v>16309841.379999999</c:v>
                </c:pt>
              </c:numCache>
            </c:numRef>
          </c:val>
          <c:smooth val="0"/>
        </c:ser>
        <c:ser>
          <c:idx val="2"/>
          <c:order val="2"/>
          <c:tx>
            <c:strRef>
              <c:f>Analīze!$A$18</c:f>
              <c:strCache>
                <c:ptCount val="1"/>
                <c:pt idx="0">
                  <c:v>Iepirkuma vai konkurences normu pārkāpums</c:v>
                </c:pt>
              </c:strCache>
            </c:strRef>
          </c:tx>
          <c:spPr>
            <a:ln w="31750"/>
          </c:spPr>
          <c:marker>
            <c:spPr>
              <a:scene3d>
                <a:camera prst="orthographicFront"/>
                <a:lightRig rig="threePt" dir="t"/>
              </a:scene3d>
              <a:sp3d>
                <a:bevelT/>
              </a:sp3d>
            </c:spPr>
          </c:marker>
          <c:dLbls>
            <c:dLbl>
              <c:idx val="1"/>
              <c:layout>
                <c:manualLayout>
                  <c:x val="-5.7901085645355878E-2"/>
                  <c:y val="-5.853658536585368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393112535502277E-2"/>
                  <c:y val="-5.264931081650801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8571758991557759E-2"/>
                  <c:y val="-2.3380874444704231E-2"/>
                </c:manualLayout>
              </c:layout>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Analīze!$B$15:$E$15</c:f>
              <c:strCache>
                <c:ptCount val="4"/>
                <c:pt idx="0">
                  <c:v>Uz 31.03.2014</c:v>
                </c:pt>
                <c:pt idx="1">
                  <c:v>Uz 30.06.2014</c:v>
                </c:pt>
                <c:pt idx="2">
                  <c:v>Uz 30.09.2014</c:v>
                </c:pt>
                <c:pt idx="3">
                  <c:v>Uz 31.12.2014</c:v>
                </c:pt>
              </c:strCache>
            </c:strRef>
          </c:cat>
          <c:val>
            <c:numRef>
              <c:f>Analīze!$B$18:$E$18</c:f>
              <c:numCache>
                <c:formatCode>_(* #,##0.00_);_(* \(#,##0.00\);_(* "-"??_);_(@_)</c:formatCode>
                <c:ptCount val="4"/>
                <c:pt idx="0">
                  <c:v>24003503.189999998</c:v>
                </c:pt>
                <c:pt idx="1">
                  <c:v>26024375.620000001</c:v>
                </c:pt>
                <c:pt idx="2">
                  <c:v>27978398.299999993</c:v>
                </c:pt>
                <c:pt idx="3">
                  <c:v>29466483.199999999</c:v>
                </c:pt>
              </c:numCache>
            </c:numRef>
          </c:val>
          <c:smooth val="0"/>
        </c:ser>
        <c:ser>
          <c:idx val="3"/>
          <c:order val="3"/>
          <c:tx>
            <c:strRef>
              <c:f>Analīze!$A$19</c:f>
              <c:strCache>
                <c:ptCount val="1"/>
                <c:pt idx="0">
                  <c:v>Iespējams interešu konflikts</c:v>
                </c:pt>
              </c:strCache>
            </c:strRef>
          </c:tx>
          <c:spPr>
            <a:ln w="38100">
              <a:solidFill>
                <a:srgbClr val="FFFF00"/>
              </a:solidFill>
            </a:ln>
          </c:spPr>
          <c:dPt>
            <c:idx val="3"/>
            <c:marker>
              <c:spPr>
                <a:scene3d>
                  <a:camera prst="orthographicFront"/>
                  <a:lightRig rig="threePt" dir="t"/>
                </a:scene3d>
                <a:sp3d>
                  <a:bevelT/>
                </a:sp3d>
              </c:spPr>
            </c:marker>
            <c:bubble3D val="0"/>
          </c:dPt>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Analīze!$B$15:$E$15</c:f>
              <c:strCache>
                <c:ptCount val="4"/>
                <c:pt idx="0">
                  <c:v>Uz 31.03.2014</c:v>
                </c:pt>
                <c:pt idx="1">
                  <c:v>Uz 30.06.2014</c:v>
                </c:pt>
                <c:pt idx="2">
                  <c:v>Uz 30.09.2014</c:v>
                </c:pt>
                <c:pt idx="3">
                  <c:v>Uz 31.12.2014</c:v>
                </c:pt>
              </c:strCache>
            </c:strRef>
          </c:cat>
          <c:val>
            <c:numRef>
              <c:f>Analīze!$B$19:$E$19</c:f>
              <c:numCache>
                <c:formatCode>_(* #,##0.00_);_(* \(#,##0.00\);_(* "-"??_);_(@_)</c:formatCode>
                <c:ptCount val="4"/>
                <c:pt idx="0">
                  <c:v>56325.74</c:v>
                </c:pt>
                <c:pt idx="1">
                  <c:v>56712.83</c:v>
                </c:pt>
                <c:pt idx="2">
                  <c:v>76945.319999999992</c:v>
                </c:pt>
                <c:pt idx="3">
                  <c:v>76994.66</c:v>
                </c:pt>
              </c:numCache>
            </c:numRef>
          </c:val>
          <c:smooth val="0"/>
        </c:ser>
        <c:ser>
          <c:idx val="4"/>
          <c:order val="4"/>
          <c:tx>
            <c:strRef>
              <c:f>Analīze!$A$20</c:f>
              <c:strCache>
                <c:ptCount val="1"/>
                <c:pt idx="0">
                  <c:v>Cita neatbilstība</c:v>
                </c:pt>
              </c:strCache>
            </c:strRef>
          </c:tx>
          <c:spPr>
            <a:ln w="31750">
              <a:solidFill>
                <a:srgbClr val="7030A0"/>
              </a:solidFill>
            </a:ln>
          </c:spPr>
          <c:marker>
            <c:spPr>
              <a:ln>
                <a:solidFill>
                  <a:srgbClr val="7030A0"/>
                </a:solidFill>
              </a:ln>
              <a:scene3d>
                <a:camera prst="orthographicFront"/>
                <a:lightRig rig="threePt" dir="t"/>
              </a:scene3d>
              <a:sp3d>
                <a:bevelT/>
              </a:sp3d>
            </c:spPr>
          </c:marker>
          <c:dLbls>
            <c:dLbl>
              <c:idx val="0"/>
              <c:layout>
                <c:manualLayout>
                  <c:x val="-9.4172936952327022E-2"/>
                  <c:y val="1.290955651820118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1.6650614692463806E-2"/>
                  <c:y val="8.096741565840855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3084068653058894E-2"/>
                  <c:y val="0.1134877408616606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2.6300795633356445E-2"/>
                  <c:y val="8.4219448178733766E-2"/>
                </c:manualLayout>
              </c:layout>
              <c:dLblPos val="r"/>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Analīze!$B$15:$E$15</c:f>
              <c:strCache>
                <c:ptCount val="4"/>
                <c:pt idx="0">
                  <c:v>Uz 31.03.2014</c:v>
                </c:pt>
                <c:pt idx="1">
                  <c:v>Uz 30.06.2014</c:v>
                </c:pt>
                <c:pt idx="2">
                  <c:v>Uz 30.09.2014</c:v>
                </c:pt>
                <c:pt idx="3">
                  <c:v>Uz 31.12.2014</c:v>
                </c:pt>
              </c:strCache>
            </c:strRef>
          </c:cat>
          <c:val>
            <c:numRef>
              <c:f>Analīze!$B$20:$E$20</c:f>
              <c:numCache>
                <c:formatCode>_(* #,##0.00_);_(* \(#,##0.00\);_(* "-"??_);_(@_)</c:formatCode>
                <c:ptCount val="4"/>
                <c:pt idx="0">
                  <c:v>25744789.750000015</c:v>
                </c:pt>
                <c:pt idx="1">
                  <c:v>25368008.499999993</c:v>
                </c:pt>
                <c:pt idx="2">
                  <c:v>26255382.100000009</c:v>
                </c:pt>
                <c:pt idx="3">
                  <c:v>26568878.920000006</c:v>
                </c:pt>
              </c:numCache>
            </c:numRef>
          </c:val>
          <c:smooth val="0"/>
        </c:ser>
        <c:ser>
          <c:idx val="5"/>
          <c:order val="5"/>
          <c:tx>
            <c:strRef>
              <c:f>Analīze!$A$21</c:f>
              <c:strCache>
                <c:ptCount val="1"/>
                <c:pt idx="0">
                  <c:v>EK korekcija finanšu instrumentos (26,7 milj. euro)</c:v>
                </c:pt>
              </c:strCache>
            </c:strRef>
          </c:tx>
          <c:marker>
            <c:spPr>
              <a:scene3d>
                <a:camera prst="orthographicFront"/>
                <a:lightRig rig="threePt" dir="t"/>
              </a:scene3d>
              <a:sp3d>
                <a:bevelT/>
              </a:sp3d>
            </c:spPr>
          </c:marker>
          <c:trendline>
            <c:spPr>
              <a:ln w="12700">
                <a:solidFill>
                  <a:schemeClr val="accent6"/>
                </a:solidFill>
              </a:ln>
            </c:spPr>
            <c:trendlineType val="exp"/>
            <c:dispRSqr val="0"/>
            <c:dispEq val="0"/>
          </c:trendline>
          <c:cat>
            <c:strRef>
              <c:f>Analīze!$B$15:$E$15</c:f>
              <c:strCache>
                <c:ptCount val="4"/>
                <c:pt idx="0">
                  <c:v>Uz 31.03.2014</c:v>
                </c:pt>
                <c:pt idx="1">
                  <c:v>Uz 30.06.2014</c:v>
                </c:pt>
                <c:pt idx="2">
                  <c:v>Uz 30.09.2014</c:v>
                </c:pt>
                <c:pt idx="3">
                  <c:v>Uz 31.12.2014</c:v>
                </c:pt>
              </c:strCache>
            </c:strRef>
          </c:cat>
          <c:val>
            <c:numRef>
              <c:f>Analīze!$B$21:$E$21</c:f>
              <c:numCache>
                <c:formatCode>_(* #,##0.00_);_(* \(#,##0.00\);_(* "-"??_);_(@_)</c:formatCode>
                <c:ptCount val="4"/>
                <c:pt idx="0">
                  <c:v>26674682.829999998</c:v>
                </c:pt>
                <c:pt idx="1">
                  <c:v>26674682.829999998</c:v>
                </c:pt>
                <c:pt idx="2">
                  <c:v>26674682.829999998</c:v>
                </c:pt>
                <c:pt idx="3">
                  <c:v>26674682.829999998</c:v>
                </c:pt>
              </c:numCache>
            </c:numRef>
          </c:val>
          <c:smooth val="0"/>
        </c:ser>
        <c:dLbls>
          <c:showLegendKey val="0"/>
          <c:showVal val="0"/>
          <c:showCatName val="0"/>
          <c:showSerName val="0"/>
          <c:showPercent val="0"/>
          <c:showBubbleSize val="0"/>
        </c:dLbls>
        <c:marker val="1"/>
        <c:smooth val="0"/>
        <c:axId val="242112160"/>
        <c:axId val="242112552"/>
      </c:lineChart>
      <c:catAx>
        <c:axId val="242112160"/>
        <c:scaling>
          <c:orientation val="minMax"/>
        </c:scaling>
        <c:delete val="0"/>
        <c:axPos val="b"/>
        <c:numFmt formatCode="General" sourceLinked="0"/>
        <c:majorTickMark val="out"/>
        <c:minorTickMark val="none"/>
        <c:tickLblPos val="nextTo"/>
        <c:crossAx val="242112552"/>
        <c:crosses val="autoZero"/>
        <c:auto val="1"/>
        <c:lblAlgn val="ctr"/>
        <c:lblOffset val="100"/>
        <c:noMultiLvlLbl val="0"/>
      </c:catAx>
      <c:valAx>
        <c:axId val="242112552"/>
        <c:scaling>
          <c:orientation val="minMax"/>
          <c:max val="32000000"/>
          <c:min val="1"/>
        </c:scaling>
        <c:delete val="0"/>
        <c:axPos val="l"/>
        <c:majorGridlines/>
        <c:numFmt formatCode="_(* #,##0_);_(* \(#,##0\);_(* &quot;-&quot;_);_(@_)" sourceLinked="0"/>
        <c:majorTickMark val="out"/>
        <c:minorTickMark val="none"/>
        <c:tickLblPos val="nextTo"/>
        <c:crossAx val="242112160"/>
        <c:crosses val="autoZero"/>
        <c:crossBetween val="between"/>
        <c:majorUnit val="2000000"/>
        <c:dispUnits>
          <c:builtInUnit val="millions"/>
        </c:dispUnits>
      </c:valAx>
      <c:spPr>
        <a:ln>
          <a:noFill/>
        </a:ln>
      </c:spPr>
    </c:plotArea>
    <c:legend>
      <c:legendPos val="b"/>
      <c:legendEntry>
        <c:idx val="6"/>
        <c:delete val="1"/>
      </c:legendEntry>
      <c:layout>
        <c:manualLayout>
          <c:xMode val="edge"/>
          <c:yMode val="edge"/>
          <c:x val="3.5532132504991043E-2"/>
          <c:y val="0.67969829629498835"/>
          <c:w val="0.93061951487487771"/>
          <c:h val="0.31417424509816738"/>
        </c:manualLayout>
      </c:layout>
      <c:overlay val="0"/>
      <c:txPr>
        <a:bodyPr/>
        <a:lstStyle/>
        <a:p>
          <a:pPr>
            <a:defRPr>
              <a:ln>
                <a:noFill/>
              </a:ln>
            </a:defRPr>
          </a:pPr>
          <a:endParaRPr lang="lv-LV"/>
        </a:p>
      </c:txPr>
    </c:legend>
    <c:plotVisOnly val="1"/>
    <c:dispBlanksAs val="gap"/>
    <c:showDLblsOverMax val="0"/>
  </c:chart>
  <c:spPr>
    <a:ln>
      <a:noFill/>
    </a:ln>
    <a:scene3d>
      <a:camera prst="orthographicFront"/>
      <a:lightRig rig="threePt" dir="t"/>
    </a:scene3d>
    <a:sp3d/>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41972535564717"/>
          <c:y val="1.0426836264999278E-2"/>
          <c:w val="0.50225014192975093"/>
          <c:h val="0.79931869042685455"/>
        </c:manualLayout>
      </c:layout>
      <c:barChart>
        <c:barDir val="bar"/>
        <c:grouping val="stacked"/>
        <c:varyColors val="0"/>
        <c:ser>
          <c:idx val="1"/>
          <c:order val="0"/>
          <c:tx>
            <c:strRef>
              <c:f>'AI apguve uz 31.12.14'!$B$3</c:f>
              <c:strCache>
                <c:ptCount val="1"/>
                <c:pt idx="0">
                  <c:v>Pieejamais ES fondu finansējums (4 530,4 milj.euro) </c:v>
                </c:pt>
              </c:strCache>
            </c:strRef>
          </c:tx>
          <c:spPr>
            <a:solidFill>
              <a:schemeClr val="accent1"/>
            </a:solidFill>
            <a:ln>
              <a:noFill/>
            </a:ln>
            <a:effectLst>
              <a:outerShdw blurRad="57150" dist="19050" dir="5400000" algn="ctr" rotWithShape="0">
                <a:srgbClr val="000000">
                  <a:alpha val="63000"/>
                </a:srgbClr>
              </a:outerShdw>
            </a:effectLst>
          </c:spPr>
          <c:invertIfNegative val="0"/>
          <c:dLbls>
            <c:dLbl>
              <c:idx val="1"/>
              <c:layout>
                <c:manualLayout>
                  <c:x val="7.5544782666521842E-2"/>
                  <c:y val="0"/>
                </c:manualLayout>
              </c:layout>
              <c:tx>
                <c:rich>
                  <a:bodyPr/>
                  <a:lstStyle/>
                  <a:p>
                    <a:fld id="{48F856B4-7F44-406A-BC76-2107A2E7D493}" type="VALUE">
                      <a:rPr lang="en-US"/>
                      <a:pPr/>
                      <a:t>[VALUE]</a:t>
                    </a:fld>
                    <a:r>
                      <a:rPr lang="en-US"/>
                      <a:t> (100%)</a:t>
                    </a:r>
                  </a:p>
                </c:rich>
              </c:tx>
              <c:dLblPos val="ct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3"/>
              <c:layout>
                <c:manualLayout>
                  <c:x val="7.4101416056024674E-2"/>
                  <c:y val="0"/>
                </c:manualLayout>
              </c:layout>
              <c:tx>
                <c:rich>
                  <a:bodyPr/>
                  <a:lstStyle/>
                  <a:p>
                    <a:fld id="{A5F53399-8B85-49CD-86B7-550B92AE7674}" type="VALUE">
                      <a:rPr lang="en-US"/>
                      <a:pPr/>
                      <a:t>[VALUE]</a:t>
                    </a:fld>
                    <a:r>
                      <a:rPr lang="en-US"/>
                      <a:t> (100%)</a:t>
                    </a:r>
                  </a:p>
                </c:rich>
              </c:tx>
              <c:dLblPos val="ct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5"/>
              <c:layout>
                <c:manualLayout>
                  <c:x val="9.1658135493244336E-2"/>
                  <c:y val="4.5740423098913664E-3"/>
                </c:manualLayout>
              </c:layout>
              <c:tx>
                <c:rich>
                  <a:bodyPr/>
                  <a:lstStyle/>
                  <a:p>
                    <a:fld id="{E6927041-AB7B-4C9F-9797-B5CC8CD68BAD}" type="VALUE">
                      <a:rPr lang="en-US"/>
                      <a:pPr/>
                      <a:t>[VALUE]</a:t>
                    </a:fld>
                    <a:r>
                      <a:rPr lang="en-US"/>
                      <a:t> (100%)</a:t>
                    </a:r>
                  </a:p>
                </c:rich>
              </c:tx>
              <c:dLblPos val="ct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7"/>
              <c:layout>
                <c:manualLayout>
                  <c:x val="0.11843675649141143"/>
                  <c:y val="-1.8377205422221859E-3"/>
                </c:manualLayout>
              </c:layout>
              <c:tx>
                <c:rich>
                  <a:bodyPr/>
                  <a:lstStyle/>
                  <a:p>
                    <a:fld id="{CF93C508-AB2D-4CC8-B9C7-F1F2137129FA}" type="VALUE">
                      <a:rPr lang="en-US"/>
                      <a:pPr/>
                      <a:t>[VALUE]</a:t>
                    </a:fld>
                    <a:r>
                      <a:rPr lang="en-US"/>
                      <a:t> (100%)</a:t>
                    </a:r>
                  </a:p>
                </c:rich>
              </c:tx>
              <c:dLblPos val="ct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9"/>
              <c:layout>
                <c:manualLayout>
                  <c:x val="0.1315048514863244"/>
                  <c:y val="-1.9718804446185643E-3"/>
                </c:manualLayout>
              </c:layout>
              <c:tx>
                <c:rich>
                  <a:bodyPr/>
                  <a:lstStyle/>
                  <a:p>
                    <a:fld id="{DCD5E65D-BE23-4F3B-BBCA-80690D1DD7D9}" type="VALUE">
                      <a:rPr lang="en-US"/>
                      <a:pPr/>
                      <a:t>[VALUE]</a:t>
                    </a:fld>
                    <a:r>
                      <a:rPr lang="en-US"/>
                      <a:t> (100%)</a:t>
                    </a:r>
                  </a:p>
                </c:rich>
              </c:tx>
              <c:dLblPos val="ct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1"/>
              <c:layout/>
              <c:tx>
                <c:rich>
                  <a:bodyPr/>
                  <a:lstStyle/>
                  <a:p>
                    <a:fld id="{A04EF486-6C8D-416E-9906-20614C868A06}" type="VALUE">
                      <a:rPr lang="en-US"/>
                      <a:pPr/>
                      <a:t>[VALUE]</a:t>
                    </a:fld>
                    <a:r>
                      <a:rPr lang="en-US"/>
                      <a:t> (100%)</a:t>
                    </a:r>
                  </a:p>
                </c:rich>
              </c:tx>
              <c:dLblPos val="ct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3"/>
              <c:layout/>
              <c:tx>
                <c:rich>
                  <a:bodyPr/>
                  <a:lstStyle/>
                  <a:p>
                    <a:fld id="{8890F11A-9B36-460A-AE46-5329A3E093C7}" type="VALUE">
                      <a:rPr lang="en-US"/>
                      <a:pPr/>
                      <a:t>[VALUE]</a:t>
                    </a:fld>
                    <a:r>
                      <a:rPr lang="en-US"/>
                      <a:t> (100%)</a:t>
                    </a:r>
                  </a:p>
                </c:rich>
              </c:tx>
              <c:dLblPos val="ct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5"/>
              <c:layout/>
              <c:tx>
                <c:rich>
                  <a:bodyPr/>
                  <a:lstStyle/>
                  <a:p>
                    <a:fld id="{33A4D331-3805-42AC-9576-7A83330CD167}" type="VALUE">
                      <a:rPr lang="en-US"/>
                      <a:pPr/>
                      <a:t>[VALUE]</a:t>
                    </a:fld>
                    <a:r>
                      <a:rPr lang="en-US"/>
                      <a:t> (100%)</a:t>
                    </a:r>
                  </a:p>
                </c:rich>
              </c:tx>
              <c:dLblPos val="ct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7"/>
              <c:layout/>
              <c:tx>
                <c:rich>
                  <a:bodyPr/>
                  <a:lstStyle/>
                  <a:p>
                    <a:fld id="{5D41A4CD-481B-453C-9081-231F26FF1B83}" type="VALUE">
                      <a:rPr lang="en-US"/>
                      <a:pPr/>
                      <a:t>[VALUE]</a:t>
                    </a:fld>
                    <a:r>
                      <a:rPr lang="en-US"/>
                      <a:t> (100%)</a:t>
                    </a:r>
                  </a:p>
                </c:rich>
              </c:tx>
              <c:dLblPos val="ct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numFmt formatCode="#,##0.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'AI apguve uz 31.12.14'!$A$4:$A$20</c:f>
              <c:strCache>
                <c:ptCount val="17"/>
                <c:pt idx="0">
                  <c:v>VKanc</c:v>
                </c:pt>
                <c:pt idx="2">
                  <c:v>KM</c:v>
                </c:pt>
                <c:pt idx="4">
                  <c:v>FM</c:v>
                </c:pt>
                <c:pt idx="6">
                  <c:v>VM</c:v>
                </c:pt>
                <c:pt idx="8">
                  <c:v>LM</c:v>
                </c:pt>
                <c:pt idx="10">
                  <c:v>IZM</c:v>
                </c:pt>
                <c:pt idx="12">
                  <c:v>EM</c:v>
                </c:pt>
                <c:pt idx="14">
                  <c:v>SM</c:v>
                </c:pt>
                <c:pt idx="16">
                  <c:v>VARAM </c:v>
                </c:pt>
              </c:strCache>
            </c:strRef>
          </c:cat>
          <c:val>
            <c:numRef>
              <c:f>'AI apguve uz 31.12.14'!$B$4:$B$21</c:f>
              <c:numCache>
                <c:formatCode>#,##0</c:formatCode>
                <c:ptCount val="18"/>
                <c:pt idx="1">
                  <c:v>11780961</c:v>
                </c:pt>
                <c:pt idx="3">
                  <c:v>36048761</c:v>
                </c:pt>
                <c:pt idx="5">
                  <c:v>115451517</c:v>
                </c:pt>
                <c:pt idx="7">
                  <c:v>219459441</c:v>
                </c:pt>
                <c:pt idx="9">
                  <c:v>256231389</c:v>
                </c:pt>
                <c:pt idx="11">
                  <c:v>732213751</c:v>
                </c:pt>
                <c:pt idx="13">
                  <c:v>741446670</c:v>
                </c:pt>
                <c:pt idx="15">
                  <c:v>1201115297</c:v>
                </c:pt>
                <c:pt idx="17">
                  <c:v>1216699847</c:v>
                </c:pt>
              </c:numCache>
            </c:numRef>
          </c:val>
        </c:ser>
        <c:ser>
          <c:idx val="2"/>
          <c:order val="1"/>
          <c:tx>
            <c:strRef>
              <c:f>'AI apguve uz 31.12.14'!$C$3</c:f>
              <c:strCache>
                <c:ptCount val="1"/>
                <c:pt idx="0">
                  <c:v>Publiskais virssaistību apjoms (404,5 milj.euro)</c:v>
                </c:pt>
              </c:strCache>
            </c:strRef>
          </c:tx>
          <c:spPr>
            <a:solidFill>
              <a:srgbClr val="FF0000"/>
            </a:solidFill>
            <a:ln>
              <a:noFill/>
            </a:ln>
            <a:effectLst>
              <a:outerShdw blurRad="57150" dist="19050" dir="5400000" algn="ctr" rotWithShape="0">
                <a:srgbClr val="000000">
                  <a:alpha val="63000"/>
                </a:srgbClr>
              </a:outerShdw>
            </a:effectLst>
          </c:spPr>
          <c:invertIfNegative val="0"/>
          <c:dLbls>
            <c:dLbl>
              <c:idx val="1"/>
              <c:delete val="1"/>
              <c:extLst>
                <c:ext xmlns:c15="http://schemas.microsoft.com/office/drawing/2012/chart" uri="{CE6537A1-D6FC-4f65-9D91-7224C49458BB}"/>
              </c:extLst>
            </c:dLbl>
            <c:dLbl>
              <c:idx val="3"/>
              <c:layout>
                <c:manualLayout>
                  <c:x val="0.20580594846458672"/>
                  <c:y val="1.9047104532174453E-3"/>
                </c:manualLayout>
              </c:layout>
              <c:tx>
                <c:rich>
                  <a:bodyPr/>
                  <a:lstStyle/>
                  <a:p>
                    <a:fld id="{8F92BD03-4F7C-48EA-9381-BF571A983F63}" type="VALUE">
                      <a:rPr lang="en-US"/>
                      <a:pPr/>
                      <a:t>[VALUE]</a:t>
                    </a:fld>
                    <a:r>
                      <a:rPr lang="en-US"/>
                      <a:t> (47,4%)</a:t>
                    </a:r>
                  </a:p>
                </c:rich>
              </c:tx>
              <c:dLblPos val="ct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5"/>
              <c:delete val="1"/>
              <c:extLst>
                <c:ext xmlns:c15="http://schemas.microsoft.com/office/drawing/2012/chart" uri="{CE6537A1-D6FC-4f65-9D91-7224C49458BB}"/>
              </c:extLst>
            </c:dLbl>
            <c:dLbl>
              <c:idx val="7"/>
              <c:layout>
                <c:manualLayout>
                  <c:x val="0.21480489147001414"/>
                  <c:y val="5.8346051512000107E-4"/>
                </c:manualLayout>
              </c:layout>
              <c:tx>
                <c:rich>
                  <a:bodyPr/>
                  <a:lstStyle/>
                  <a:p>
                    <a:fld id="{35C34AE0-F49F-458A-816D-E13BACDA7118}" type="VALUE">
                      <a:rPr lang="en-US"/>
                      <a:pPr/>
                      <a:t>[VALUE]</a:t>
                    </a:fld>
                    <a:r>
                      <a:rPr lang="en-US"/>
                      <a:t> (7,7%)</a:t>
                    </a:r>
                  </a:p>
                </c:rich>
              </c:tx>
              <c:dLblPos val="ct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9"/>
              <c:layout>
                <c:manualLayout>
                  <c:x val="0.21425842131724476"/>
                  <c:y val="-1.8377205422221441E-3"/>
                </c:manualLayout>
              </c:layout>
              <c:tx>
                <c:rich>
                  <a:bodyPr/>
                  <a:lstStyle/>
                  <a:p>
                    <a:fld id="{FB555CF7-6646-4E43-8627-CA73E152F76E}" type="VALUE">
                      <a:rPr lang="en-US"/>
                      <a:pPr/>
                      <a:t>[VALUE]</a:t>
                    </a:fld>
                    <a:r>
                      <a:rPr lang="en-US"/>
                      <a:t> (18,1%)</a:t>
                    </a:r>
                  </a:p>
                </c:rich>
              </c:tx>
              <c:dLblPos val="ct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1"/>
              <c:layout>
                <c:manualLayout>
                  <c:x val="7.31706274272277E-2"/>
                  <c:y val="1.8377205422221022E-3"/>
                </c:manualLayout>
              </c:layout>
              <c:tx>
                <c:rich>
                  <a:bodyPr/>
                  <a:lstStyle/>
                  <a:p>
                    <a:fld id="{9C642AF8-4CAF-42A0-97E7-4A32158B2F4E}" type="VALUE">
                      <a:rPr lang="en-US"/>
                      <a:pPr/>
                      <a:t>[VALUE]</a:t>
                    </a:fld>
                    <a:r>
                      <a:rPr lang="en-US"/>
                      <a:t> (7,9%)</a:t>
                    </a:r>
                  </a:p>
                </c:rich>
              </c:tx>
              <c:dLblPos val="ct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3"/>
              <c:layout>
                <c:manualLayout>
                  <c:x val="8.4498917273349877E-2"/>
                  <c:y val="1.8377205422221022E-3"/>
                </c:manualLayout>
              </c:layout>
              <c:tx>
                <c:rich>
                  <a:bodyPr/>
                  <a:lstStyle/>
                  <a:p>
                    <a:fld id="{7A4FAF48-71A5-4AD0-BE37-073990DA6DF9}" type="VALUE">
                      <a:rPr lang="en-US"/>
                      <a:pPr/>
                      <a:t>[VALUE]</a:t>
                    </a:fld>
                    <a:r>
                      <a:rPr lang="en-US"/>
                      <a:t> (10,9%)</a:t>
                    </a:r>
                  </a:p>
                </c:rich>
              </c:tx>
              <c:dLblPos val="ct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5"/>
              <c:layout>
                <c:manualLayout>
                  <c:x val="7.2493042442092925E-2"/>
                  <c:y val="2.2870211549456832E-3"/>
                </c:manualLayout>
              </c:layout>
              <c:tx>
                <c:rich>
                  <a:bodyPr/>
                  <a:lstStyle/>
                  <a:p>
                    <a:fld id="{D4FEBF39-D9D4-4D15-B7F2-3D649D2BB927}" type="VALUE">
                      <a:rPr lang="en-US"/>
                      <a:pPr/>
                      <a:t>[VALUE]</a:t>
                    </a:fld>
                    <a:r>
                      <a:rPr lang="en-US"/>
                      <a:t> (6,4%)</a:t>
                    </a:r>
                  </a:p>
                </c:rich>
              </c:tx>
              <c:dLblPos val="ct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7"/>
              <c:layout>
                <c:manualLayout>
                  <c:x val="8.548734575598857E-2"/>
                  <c:y val="4.493006127235811E-4"/>
                </c:manualLayout>
              </c:layout>
              <c:tx>
                <c:rich>
                  <a:bodyPr/>
                  <a:lstStyle/>
                  <a:p>
                    <a:fld id="{A945B61B-DFC3-4D4D-AB33-C503FEC560D8}" type="VALUE">
                      <a:rPr lang="en-US"/>
                      <a:pPr/>
                      <a:t>[VALUE]</a:t>
                    </a:fld>
                    <a:r>
                      <a:rPr lang="en-US"/>
                      <a:t> (9,0%)</a:t>
                    </a:r>
                  </a:p>
                </c:rich>
              </c:tx>
              <c:dLblPos val="ct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numFmt formatCode="#,##0.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'AI apguve uz 31.12.14'!$A$4:$A$20</c:f>
              <c:strCache>
                <c:ptCount val="17"/>
                <c:pt idx="0">
                  <c:v>VKanc</c:v>
                </c:pt>
                <c:pt idx="2">
                  <c:v>KM</c:v>
                </c:pt>
                <c:pt idx="4">
                  <c:v>FM</c:v>
                </c:pt>
                <c:pt idx="6">
                  <c:v>VM</c:v>
                </c:pt>
                <c:pt idx="8">
                  <c:v>LM</c:v>
                </c:pt>
                <c:pt idx="10">
                  <c:v>IZM</c:v>
                </c:pt>
                <c:pt idx="12">
                  <c:v>EM</c:v>
                </c:pt>
                <c:pt idx="14">
                  <c:v>SM</c:v>
                </c:pt>
                <c:pt idx="16">
                  <c:v>VARAM </c:v>
                </c:pt>
              </c:strCache>
            </c:strRef>
          </c:cat>
          <c:val>
            <c:numRef>
              <c:f>'AI apguve uz 31.12.14'!$C$4:$C$21</c:f>
              <c:numCache>
                <c:formatCode>_-* #,##0_-;\-* #,##0_-;_-* "-"??_-;_-@_-</c:formatCode>
                <c:ptCount val="18"/>
                <c:pt idx="1">
                  <c:v>0</c:v>
                </c:pt>
                <c:pt idx="3" formatCode="#,##0">
                  <c:v>17074462.485062692</c:v>
                </c:pt>
                <c:pt idx="5" formatCode="#,##0.0">
                  <c:v>0</c:v>
                </c:pt>
                <c:pt idx="7" formatCode="#,##0">
                  <c:v>16789887.362708069</c:v>
                </c:pt>
                <c:pt idx="9" formatCode="#,##0">
                  <c:v>46263144.468903482</c:v>
                </c:pt>
                <c:pt idx="11" formatCode="#,##0">
                  <c:v>57763204.799999997</c:v>
                </c:pt>
                <c:pt idx="13" formatCode="#,##0">
                  <c:v>80869216.420000002</c:v>
                </c:pt>
                <c:pt idx="15" formatCode="#,##0">
                  <c:v>76456555</c:v>
                </c:pt>
                <c:pt idx="17" formatCode="#,##0">
                  <c:v>109328251.33538227</c:v>
                </c:pt>
              </c:numCache>
            </c:numRef>
          </c:val>
        </c:ser>
        <c:ser>
          <c:idx val="3"/>
          <c:order val="2"/>
          <c:tx>
            <c:strRef>
              <c:f>'AI apguve uz 31.12.14'!$D$3</c:f>
              <c:strCache>
                <c:ptCount val="1"/>
                <c:pt idx="0">
                  <c:v>Veikti maksājumi FS (3 831,3 milj.euro; 84,3%)</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7.5495148545838026E-2"/>
                  <c:y val="-1.9047399932600741E-3"/>
                </c:manualLayout>
              </c:layout>
              <c:tx>
                <c:rich>
                  <a:bodyPr/>
                  <a:lstStyle/>
                  <a:p>
                    <a:fld id="{D4DAEC56-9A34-4CB0-85F4-ED2B8D73E08A}" type="VALUE">
                      <a:rPr lang="en-US"/>
                      <a:pPr/>
                      <a:t>[VALUE]</a:t>
                    </a:fld>
                    <a:r>
                      <a:rPr lang="en-US"/>
                      <a:t> (89,7%) +</a:t>
                    </a:r>
                    <a:r>
                      <a:rPr lang="en-US" baseline="0"/>
                      <a:t> 1,8</a:t>
                    </a:r>
                    <a:r>
                      <a:rPr lang="en-US"/>
                      <a:t>%</a:t>
                    </a:r>
                  </a:p>
                </c:rich>
              </c:tx>
              <c:dLblPos val="ctr"/>
              <c:showLegendKey val="0"/>
              <c:showVal val="1"/>
              <c:showCatName val="0"/>
              <c:showSerName val="0"/>
              <c:showPercent val="0"/>
              <c:showBubbleSize val="0"/>
              <c:extLst>
                <c:ext xmlns:c15="http://schemas.microsoft.com/office/drawing/2012/chart" uri="{CE6537A1-D6FC-4f65-9D91-7224C49458BB}">
                  <c15:layout>
                    <c:manualLayout>
                      <c:w val="0.33119607539286949"/>
                      <c:h val="6.7047619047619036E-2"/>
                    </c:manualLayout>
                  </c15:layout>
                  <c15:dlblFieldTable/>
                  <c15:showDataLabelsRange val="0"/>
                </c:ext>
              </c:extLst>
            </c:dLbl>
            <c:dLbl>
              <c:idx val="2"/>
              <c:layout>
                <c:manualLayout>
                  <c:x val="6.6766048078226767E-2"/>
                  <c:y val="-1.9047399932599393E-3"/>
                </c:manualLayout>
              </c:layout>
              <c:tx>
                <c:rich>
                  <a:bodyPr/>
                  <a:lstStyle/>
                  <a:p>
                    <a:fld id="{9E58AB8A-D39C-4A11-906E-DB35549DBC2D}" type="VALUE">
                      <a:rPr lang="en-US"/>
                      <a:pPr/>
                      <a:t>[VALUE]</a:t>
                    </a:fld>
                    <a:r>
                      <a:rPr lang="en-US"/>
                      <a:t> (92,9%) +</a:t>
                    </a:r>
                    <a:r>
                      <a:rPr lang="en-US" baseline="0"/>
                      <a:t> 6,0</a:t>
                    </a:r>
                    <a:r>
                      <a:rPr lang="en-US"/>
                      <a:t>%</a:t>
                    </a:r>
                  </a:p>
                </c:rich>
              </c:tx>
              <c:dLblPos val="ctr"/>
              <c:showLegendKey val="0"/>
              <c:showVal val="1"/>
              <c:showCatName val="0"/>
              <c:showSerName val="0"/>
              <c:showPercent val="0"/>
              <c:showBubbleSize val="0"/>
              <c:extLst>
                <c:ext xmlns:c15="http://schemas.microsoft.com/office/drawing/2012/chart" uri="{CE6537A1-D6FC-4f65-9D91-7224C49458BB}">
                  <c15:layout>
                    <c:manualLayout>
                      <c:w val="0.37187403529022739"/>
                      <c:h val="6.7047619047619036E-2"/>
                    </c:manualLayout>
                  </c15:layout>
                  <c15:dlblFieldTable/>
                  <c15:showDataLabelsRange val="0"/>
                </c:ext>
              </c:extLst>
            </c:dLbl>
            <c:dLbl>
              <c:idx val="4"/>
              <c:layout>
                <c:manualLayout>
                  <c:x val="0.11335431824275211"/>
                  <c:y val="1.4469859781767583E-7"/>
                </c:manualLayout>
              </c:layout>
              <c:tx>
                <c:rich>
                  <a:bodyPr/>
                  <a:lstStyle/>
                  <a:p>
                    <a:fld id="{BDEA7179-BCD1-49F2-B41F-661593F9CAD1}" type="VALUE">
                      <a:rPr lang="en-US"/>
                      <a:pPr/>
                      <a:t>[VALUE]</a:t>
                    </a:fld>
                    <a:r>
                      <a:rPr lang="en-US"/>
                      <a:t> (76,9%) +</a:t>
                    </a:r>
                    <a:r>
                      <a:rPr lang="en-US" baseline="0"/>
                      <a:t> 4,5</a:t>
                    </a:r>
                    <a:r>
                      <a:rPr lang="en-US"/>
                      <a:t>%</a:t>
                    </a:r>
                  </a:p>
                </c:rich>
              </c:tx>
              <c:dLblPos val="ctr"/>
              <c:showLegendKey val="0"/>
              <c:showVal val="1"/>
              <c:showCatName val="0"/>
              <c:showSerName val="0"/>
              <c:showPercent val="0"/>
              <c:showBubbleSize val="0"/>
              <c:extLst>
                <c:ext xmlns:c15="http://schemas.microsoft.com/office/drawing/2012/chart" uri="{CE6537A1-D6FC-4f65-9D91-7224C49458BB}">
                  <c15:layout>
                    <c:manualLayout>
                      <c:w val="0.31182558517671261"/>
                      <c:h val="4.8670965083215438E-2"/>
                    </c:manualLayout>
                  </c15:layout>
                  <c15:dlblFieldTable/>
                  <c15:showDataLabelsRange val="0"/>
                </c:ext>
              </c:extLst>
            </c:dLbl>
            <c:dLbl>
              <c:idx val="6"/>
              <c:layout>
                <c:manualLayout>
                  <c:x val="0.14699605379721351"/>
                  <c:y val="-8.516235978524992E-4"/>
                </c:manualLayout>
              </c:layout>
              <c:tx>
                <c:rich>
                  <a:bodyPr/>
                  <a:lstStyle/>
                  <a:p>
                    <a:fld id="{F2A8109E-D6FE-4092-9BDA-D55517C827A4}" type="VALUE">
                      <a:rPr lang="en-US"/>
                      <a:pPr/>
                      <a:t>[VALUE]</a:t>
                    </a:fld>
                    <a:r>
                      <a:rPr lang="en-US"/>
                      <a:t> (93,7%) + 4,2%</a:t>
                    </a:r>
                  </a:p>
                </c:rich>
              </c:tx>
              <c:dLblPos val="ctr"/>
              <c:showLegendKey val="0"/>
              <c:showVal val="1"/>
              <c:showCatName val="0"/>
              <c:showSerName val="0"/>
              <c:showPercent val="0"/>
              <c:showBubbleSize val="0"/>
              <c:extLst>
                <c:ext xmlns:c15="http://schemas.microsoft.com/office/drawing/2012/chart" uri="{CE6537A1-D6FC-4f65-9D91-7224C49458BB}">
                  <c15:layout>
                    <c:manualLayout>
                      <c:w val="0.23529593912387606"/>
                      <c:h val="3.2131915344953493E-2"/>
                    </c:manualLayout>
                  </c15:layout>
                  <c15:dlblFieldTable/>
                  <c15:showDataLabelsRange val="0"/>
                </c:ext>
              </c:extLst>
            </c:dLbl>
            <c:dLbl>
              <c:idx val="8"/>
              <c:layout>
                <c:manualLayout>
                  <c:x val="0.16320599865239727"/>
                  <c:y val="2.7566960846517876E-3"/>
                </c:manualLayout>
              </c:layout>
              <c:tx>
                <c:rich>
                  <a:bodyPr/>
                  <a:lstStyle/>
                  <a:p>
                    <a:fld id="{2ECF2E82-3142-4229-A12D-F4BA9FD3210D}" type="VALUE">
                      <a:rPr lang="en-US"/>
                      <a:pPr/>
                      <a:t>[VALUE]</a:t>
                    </a:fld>
                    <a:r>
                      <a:rPr lang="en-US"/>
                      <a:t> (110,8%) + </a:t>
                    </a:r>
                    <a:r>
                      <a:rPr lang="en-US" baseline="0"/>
                      <a:t>2,5</a:t>
                    </a:r>
                    <a:r>
                      <a:rPr lang="en-US"/>
                      <a:t>%</a:t>
                    </a:r>
                  </a:p>
                </c:rich>
              </c:tx>
              <c:dLblPos val="ctr"/>
              <c:showLegendKey val="0"/>
              <c:showVal val="1"/>
              <c:showCatName val="0"/>
              <c:showSerName val="0"/>
              <c:showPercent val="0"/>
              <c:showBubbleSize val="0"/>
              <c:extLst>
                <c:ext xmlns:c15="http://schemas.microsoft.com/office/drawing/2012/chart" uri="{CE6537A1-D6FC-4f65-9D91-7224C49458BB}">
                  <c15:layout>
                    <c:manualLayout>
                      <c:w val="0.25553061523418169"/>
                      <c:h val="4.3157889997884058E-2"/>
                    </c:manualLayout>
                  </c15:layout>
                  <c15:dlblFieldTable/>
                  <c15:showDataLabelsRange val="0"/>
                </c:ext>
              </c:extLst>
            </c:dLbl>
            <c:dLbl>
              <c:idx val="10"/>
              <c:layout>
                <c:manualLayout>
                  <c:x val="2.0277985613789209E-2"/>
                  <c:y val="-2.3538309855350415E-3"/>
                </c:manualLayout>
              </c:layout>
              <c:tx>
                <c:rich>
                  <a:bodyPr/>
                  <a:lstStyle/>
                  <a:p>
                    <a:fld id="{F9053845-B6C9-42CA-8326-392C1D22C3C7}" type="VALUE">
                      <a:rPr lang="en-US"/>
                      <a:pPr/>
                      <a:t>[VALUE]</a:t>
                    </a:fld>
                    <a:r>
                      <a:rPr lang="en-US"/>
                      <a:t> (82,3%) + 7,2%</a:t>
                    </a:r>
                  </a:p>
                </c:rich>
              </c:tx>
              <c:dLblPos val="ctr"/>
              <c:showLegendKey val="0"/>
              <c:showVal val="1"/>
              <c:showCatName val="0"/>
              <c:showSerName val="0"/>
              <c:showPercent val="0"/>
              <c:showBubbleSize val="0"/>
              <c:extLst>
                <c:ext xmlns:c15="http://schemas.microsoft.com/office/drawing/2012/chart" uri="{CE6537A1-D6FC-4f65-9D91-7224C49458BB}">
                  <c15:layout>
                    <c:manualLayout>
                      <c:w val="0.24055153739266755"/>
                      <c:h val="3.3070866141732283E-2"/>
                    </c:manualLayout>
                  </c15:layout>
                  <c15:dlblFieldTable/>
                  <c15:showDataLabelsRange val="0"/>
                </c:ext>
              </c:extLst>
            </c:dLbl>
            <c:dLbl>
              <c:idx val="12"/>
              <c:layout>
                <c:manualLayout>
                  <c:x val="1.4686862566805837E-2"/>
                  <c:y val="-2.9158514425883895E-4"/>
                </c:manualLayout>
              </c:layout>
              <c:tx>
                <c:rich>
                  <a:bodyPr/>
                  <a:lstStyle/>
                  <a:p>
                    <a:fld id="{17C6B799-6787-44C4-8593-11A810E63B72}" type="VALUE">
                      <a:rPr lang="en-US"/>
                      <a:pPr/>
                      <a:t>[VALUE]</a:t>
                    </a:fld>
                    <a:r>
                      <a:rPr lang="en-US"/>
                      <a:t> (74,9%)</a:t>
                    </a:r>
                    <a:r>
                      <a:rPr lang="en-US" baseline="0"/>
                      <a:t> + 9,0%</a:t>
                    </a:r>
                  </a:p>
                </c:rich>
              </c:tx>
              <c:dLblPos val="ctr"/>
              <c:showLegendKey val="0"/>
              <c:showVal val="1"/>
              <c:showCatName val="0"/>
              <c:showSerName val="0"/>
              <c:showPercent val="0"/>
              <c:showBubbleSize val="0"/>
              <c:extLst>
                <c:ext xmlns:c15="http://schemas.microsoft.com/office/drawing/2012/chart" uri="{CE6537A1-D6FC-4f65-9D91-7224C49458BB}">
                  <c15:layout>
                    <c:manualLayout>
                      <c:w val="0.24324968428720165"/>
                      <c:h val="3.7195607838900066E-2"/>
                    </c:manualLayout>
                  </c15:layout>
                  <c15:dlblFieldTable/>
                  <c15:showDataLabelsRange val="0"/>
                </c:ext>
              </c:extLst>
            </c:dLbl>
            <c:dLbl>
              <c:idx val="14"/>
              <c:layout>
                <c:manualLayout>
                  <c:x val="-1.1918044016907409E-2"/>
                  <c:y val="1.0897412546771128E-7"/>
                </c:manualLayout>
              </c:layout>
              <c:tx>
                <c:rich>
                  <a:bodyPr/>
                  <a:lstStyle/>
                  <a:p>
                    <a:fld id="{248BDBB9-6BD1-427F-979F-E126D7A536E6}" type="VALUE">
                      <a:rPr lang="en-US"/>
                      <a:pPr/>
                      <a:t>[VALUE]</a:t>
                    </a:fld>
                    <a:r>
                      <a:rPr lang="en-US"/>
                      <a:t> (81,0%) + 7,1%</a:t>
                    </a:r>
                  </a:p>
                </c:rich>
              </c:tx>
              <c:dLblPos val="ctr"/>
              <c:showLegendKey val="0"/>
              <c:showVal val="1"/>
              <c:showCatName val="0"/>
              <c:showSerName val="0"/>
              <c:showPercent val="0"/>
              <c:showBubbleSize val="0"/>
              <c:extLst>
                <c:ext xmlns:c15="http://schemas.microsoft.com/office/drawing/2012/chart" uri="{CE6537A1-D6FC-4f65-9D91-7224C49458BB}">
                  <c15:layout>
                    <c:manualLayout>
                      <c:w val="0.25582465747559457"/>
                      <c:h val="6.7047687014617594E-2"/>
                    </c:manualLayout>
                  </c15:layout>
                  <c15:dlblFieldTable/>
                  <c15:showDataLabelsRange val="0"/>
                </c:ext>
              </c:extLst>
            </c:dLbl>
            <c:dLbl>
              <c:idx val="16"/>
              <c:layout>
                <c:manualLayout>
                  <c:x val="2.0446797278875842E-2"/>
                  <c:y val="-9.5240071407518175E-4"/>
                </c:manualLayout>
              </c:layout>
              <c:tx>
                <c:rich>
                  <a:bodyPr/>
                  <a:lstStyle/>
                  <a:p>
                    <a:fld id="{E8148FBF-517A-4CAA-B6AE-FFD23197753C}" type="VALUE">
                      <a:rPr lang="en-US"/>
                      <a:pPr/>
                      <a:t>[VALUE]</a:t>
                    </a:fld>
                    <a:r>
                      <a:rPr lang="en-US"/>
                      <a:t> (88,6%) + 5,1%</a:t>
                    </a:r>
                  </a:p>
                </c:rich>
              </c:tx>
              <c:dLblPos val="ctr"/>
              <c:showLegendKey val="0"/>
              <c:showVal val="1"/>
              <c:showCatName val="0"/>
              <c:showSerName val="0"/>
              <c:showPercent val="0"/>
              <c:showBubbleSize val="0"/>
              <c:extLst>
                <c:ext xmlns:c15="http://schemas.microsoft.com/office/drawing/2012/chart" uri="{CE6537A1-D6FC-4f65-9D91-7224C49458BB}">
                  <c15:layout>
                    <c:manualLayout>
                      <c:w val="0.24825834022190127"/>
                      <c:h val="5.7523770000421068E-2"/>
                    </c:manualLayout>
                  </c15:layout>
                  <c15:dlblFieldTable/>
                  <c15:showDataLabelsRange val="0"/>
                </c:ext>
              </c:extLst>
            </c:dLbl>
            <c:numFmt formatCode="#,##0.0"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'AI apguve uz 31.12.14'!$A$4:$A$20</c:f>
              <c:strCache>
                <c:ptCount val="17"/>
                <c:pt idx="0">
                  <c:v>VKanc</c:v>
                </c:pt>
                <c:pt idx="2">
                  <c:v>KM</c:v>
                </c:pt>
                <c:pt idx="4">
                  <c:v>FM</c:v>
                </c:pt>
                <c:pt idx="6">
                  <c:v>VM</c:v>
                </c:pt>
                <c:pt idx="8">
                  <c:v>LM</c:v>
                </c:pt>
                <c:pt idx="10">
                  <c:v>IZM</c:v>
                </c:pt>
                <c:pt idx="12">
                  <c:v>EM</c:v>
                </c:pt>
                <c:pt idx="14">
                  <c:v>SM</c:v>
                </c:pt>
                <c:pt idx="16">
                  <c:v>VARAM </c:v>
                </c:pt>
              </c:strCache>
            </c:strRef>
          </c:cat>
          <c:val>
            <c:numRef>
              <c:f>'AI apguve uz 31.12.14'!$D$4:$D$21</c:f>
              <c:numCache>
                <c:formatCode>General</c:formatCode>
                <c:ptCount val="18"/>
                <c:pt idx="0" formatCode="#,##0">
                  <c:v>10564382.49</c:v>
                </c:pt>
                <c:pt idx="2" formatCode="#,##0">
                  <c:v>33490420.219999999</c:v>
                </c:pt>
                <c:pt idx="4" formatCode="#,##0">
                  <c:v>88785138.389999986</c:v>
                </c:pt>
                <c:pt idx="6" formatCode="#,##0">
                  <c:v>205716247.79000002</c:v>
                </c:pt>
                <c:pt idx="8" formatCode="#,##0">
                  <c:v>283907362.96999997</c:v>
                </c:pt>
                <c:pt idx="10" formatCode="#,##0">
                  <c:v>602794243.89999998</c:v>
                </c:pt>
                <c:pt idx="12" formatCode="#,##0">
                  <c:v>555524554.75999999</c:v>
                </c:pt>
                <c:pt idx="14" formatCode="#,##0">
                  <c:v>973019714.92999995</c:v>
                </c:pt>
                <c:pt idx="16" formatCode="#,##0">
                  <c:v>1077529018.4599998</c:v>
                </c:pt>
              </c:numCache>
            </c:numRef>
          </c:val>
        </c:ser>
        <c:dLbls>
          <c:dLblPos val="ctr"/>
          <c:showLegendKey val="0"/>
          <c:showVal val="1"/>
          <c:showCatName val="0"/>
          <c:showSerName val="0"/>
          <c:showPercent val="0"/>
          <c:showBubbleSize val="0"/>
        </c:dLbls>
        <c:gapWidth val="50"/>
        <c:overlap val="100"/>
        <c:axId val="164789264"/>
        <c:axId val="164789648"/>
      </c:barChart>
      <c:catAx>
        <c:axId val="16478926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4789648"/>
        <c:crosses val="autoZero"/>
        <c:auto val="1"/>
        <c:lblAlgn val="ctr"/>
        <c:lblOffset val="100"/>
        <c:noMultiLvlLbl val="0"/>
      </c:catAx>
      <c:valAx>
        <c:axId val="16478964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4789264"/>
        <c:crosses val="autoZero"/>
        <c:crossBetween val="between"/>
        <c:dispUnits>
          <c:builtInUnit val="millions"/>
        </c:dispUnits>
      </c:valAx>
      <c:spPr>
        <a:solidFill>
          <a:schemeClr val="bg1"/>
        </a:solidFill>
        <a:ln>
          <a:gradFill>
            <a:gsLst>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c:spPr>
    </c:plotArea>
    <c:legend>
      <c:legendPos val="b"/>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5468808519278938"/>
          <c:y val="0.11405147168748465"/>
          <c:w val="0.6223892787040588"/>
          <c:h val="0.57072488302898439"/>
        </c:manualLayout>
      </c:layout>
      <c:barChart>
        <c:barDir val="col"/>
        <c:grouping val="stacked"/>
        <c:varyColors val="0"/>
        <c:ser>
          <c:idx val="1"/>
          <c:order val="0"/>
          <c:tx>
            <c:strRef>
              <c:f>Analīze!$C$148</c:f>
              <c:strCache>
                <c:ptCount val="1"/>
                <c:pt idx="0">
                  <c:v>Cita neatbilstība </c:v>
                </c:pt>
              </c:strCache>
            </c:strRef>
          </c:tx>
          <c:spPr>
            <a:solidFill>
              <a:schemeClr val="accent2"/>
            </a:solidFill>
            <a:ln>
              <a:noFill/>
            </a:ln>
            <a:effectLst>
              <a:outerShdw blurRad="50800" dist="50800" dir="5400000" sx="1000" sy="1000" algn="ctr" rotWithShape="0">
                <a:srgbClr val="000000">
                  <a:alpha val="43137"/>
                </a:srgbClr>
              </a:outerShdw>
            </a:effectLst>
            <a:scene3d>
              <a:camera prst="orthographicFront"/>
              <a:lightRig rig="threePt" dir="t"/>
            </a:scene3d>
            <a:sp3d>
              <a:bevelT w="152400" h="50800" prst="softRound"/>
            </a:sp3d>
          </c:spPr>
          <c:invertIfNegative val="0"/>
          <c:cat>
            <c:strRef>
              <c:f>Analīze!$A$149:$A$154</c:f>
              <c:strCache>
                <c:ptCount val="6"/>
                <c:pt idx="0">
                  <c:v>Kopā (108,3 milj. euro)</c:v>
                </c:pt>
                <c:pt idx="1">
                  <c:v>Komersanti (59,6 milj. euro)</c:v>
                </c:pt>
                <c:pt idx="2">
                  <c:v>Pašvaldības (22,9 milj. euro)</c:v>
                </c:pt>
                <c:pt idx="3">
                  <c:v>Izglītības iestādes (16,8 milj. euro)</c:v>
                </c:pt>
                <c:pt idx="4">
                  <c:v>Valsts iestādes (8,2 milj. euro)</c:v>
                </c:pt>
                <c:pt idx="5">
                  <c:v>NVO (0,8 milj.euro)</c:v>
                </c:pt>
              </c:strCache>
            </c:strRef>
          </c:cat>
          <c:val>
            <c:numRef>
              <c:f>Analīze!$C$149:$C$154</c:f>
              <c:numCache>
                <c:formatCode>_-* #,##0.0_-;\-* #,##0.0_-;_-* "-"??_-;_-@_-</c:formatCode>
                <c:ptCount val="6"/>
                <c:pt idx="0">
                  <c:v>53234997.220000014</c:v>
                </c:pt>
                <c:pt idx="1">
                  <c:v>36809312.200000003</c:v>
                </c:pt>
                <c:pt idx="2">
                  <c:v>8042756.2599999998</c:v>
                </c:pt>
                <c:pt idx="3">
                  <c:v>6785166.1000000015</c:v>
                </c:pt>
                <c:pt idx="4">
                  <c:v>1295310.9100000004</c:v>
                </c:pt>
                <c:pt idx="5">
                  <c:v>302451.74999999994</c:v>
                </c:pt>
              </c:numCache>
            </c:numRef>
          </c:val>
        </c:ser>
        <c:ser>
          <c:idx val="2"/>
          <c:order val="1"/>
          <c:tx>
            <c:strRef>
              <c:f>Analīze!$D$148</c:f>
              <c:strCache>
                <c:ptCount val="1"/>
                <c:pt idx="0">
                  <c:v>Iepirkuma vai konkurences normu pārkāpums</c:v>
                </c:pt>
              </c:strCache>
            </c:strRef>
          </c:tx>
          <c:spPr>
            <a:solidFill>
              <a:schemeClr val="accent3"/>
            </a:solidFill>
            <a:ln>
              <a:noFill/>
            </a:ln>
            <a:effectLst/>
            <a:scene3d>
              <a:camera prst="orthographicFront"/>
              <a:lightRig rig="threePt" dir="t"/>
            </a:scene3d>
            <a:sp3d>
              <a:bevelT w="152400" h="50800" prst="softRound"/>
            </a:sp3d>
          </c:spPr>
          <c:invertIfNegative val="0"/>
          <c:cat>
            <c:strRef>
              <c:f>Analīze!$A$149:$A$154</c:f>
              <c:strCache>
                <c:ptCount val="6"/>
                <c:pt idx="0">
                  <c:v>Kopā (108,3 milj. euro)</c:v>
                </c:pt>
                <c:pt idx="1">
                  <c:v>Komersanti (59,6 milj. euro)</c:v>
                </c:pt>
                <c:pt idx="2">
                  <c:v>Pašvaldības (22,9 milj. euro)</c:v>
                </c:pt>
                <c:pt idx="3">
                  <c:v>Izglītības iestādes (16,8 milj. euro)</c:v>
                </c:pt>
                <c:pt idx="4">
                  <c:v>Valsts iestādes (8,2 milj. euro)</c:v>
                </c:pt>
                <c:pt idx="5">
                  <c:v>NVO (0,8 milj.euro)</c:v>
                </c:pt>
              </c:strCache>
            </c:strRef>
          </c:cat>
          <c:val>
            <c:numRef>
              <c:f>Analīze!$D$149:$D$154</c:f>
              <c:numCache>
                <c:formatCode>_-* #,##0.0_-;\-* #,##0.0_-;_-* "-"??_-;_-@_-</c:formatCode>
                <c:ptCount val="6"/>
                <c:pt idx="0">
                  <c:v>29466483.199999999</c:v>
                </c:pt>
                <c:pt idx="1">
                  <c:v>9920214.2399999909</c:v>
                </c:pt>
                <c:pt idx="2">
                  <c:v>10080276.230000006</c:v>
                </c:pt>
                <c:pt idx="3">
                  <c:v>3497020.0699999984</c:v>
                </c:pt>
                <c:pt idx="4">
                  <c:v>5836405.5800000001</c:v>
                </c:pt>
                <c:pt idx="5">
                  <c:v>132567.07999999999</c:v>
                </c:pt>
              </c:numCache>
            </c:numRef>
          </c:val>
        </c:ser>
        <c:ser>
          <c:idx val="4"/>
          <c:order val="2"/>
          <c:tx>
            <c:strRef>
              <c:f>Analīze!$F$148</c:f>
              <c:strCache>
                <c:ptCount val="1"/>
                <c:pt idx="0">
                  <c:v>Noteikto ieviešanas nosacījumu pārkāpšana un nespēja pildīt līguma/vienošanās nosacījumus </c:v>
                </c:pt>
              </c:strCache>
            </c:strRef>
          </c:tx>
          <c:spPr>
            <a:solidFill>
              <a:schemeClr val="accent5"/>
            </a:solidFill>
            <a:ln>
              <a:noFill/>
            </a:ln>
            <a:effectLst/>
            <a:scene3d>
              <a:camera prst="orthographicFront"/>
              <a:lightRig rig="threePt" dir="t"/>
            </a:scene3d>
            <a:sp3d>
              <a:bevelT w="152400" h="50800" prst="softRound"/>
            </a:sp3d>
          </c:spPr>
          <c:invertIfNegative val="0"/>
          <c:cat>
            <c:strRef>
              <c:f>Analīze!$A$149:$A$154</c:f>
              <c:strCache>
                <c:ptCount val="6"/>
                <c:pt idx="0">
                  <c:v>Kopā (108,3 milj. euro)</c:v>
                </c:pt>
                <c:pt idx="1">
                  <c:v>Komersanti (59,6 milj. euro)</c:v>
                </c:pt>
                <c:pt idx="2">
                  <c:v>Pašvaldības (22,9 milj. euro)</c:v>
                </c:pt>
                <c:pt idx="3">
                  <c:v>Izglītības iestādes (16,8 milj. euro)</c:v>
                </c:pt>
                <c:pt idx="4">
                  <c:v>Valsts iestādes (8,2 milj. euro)</c:v>
                </c:pt>
                <c:pt idx="5">
                  <c:v>NVO (0,8 milj.euro)</c:v>
                </c:pt>
              </c:strCache>
            </c:strRef>
          </c:cat>
          <c:val>
            <c:numRef>
              <c:f>Analīze!$F$149:$F$154</c:f>
              <c:numCache>
                <c:formatCode>_-* #,##0.0_-;\-* #,##0.0_-;_-* "-"??_-;_-@_-</c:formatCode>
                <c:ptCount val="6"/>
                <c:pt idx="0">
                  <c:v>16309841.379999999</c:v>
                </c:pt>
                <c:pt idx="1">
                  <c:v>7181441.5800000001</c:v>
                </c:pt>
                <c:pt idx="2">
                  <c:v>2124809.2400000002</c:v>
                </c:pt>
                <c:pt idx="3">
                  <c:v>6277747.3800000008</c:v>
                </c:pt>
                <c:pt idx="4">
                  <c:v>364844.47000000003</c:v>
                </c:pt>
                <c:pt idx="5">
                  <c:v>360998.70999999996</c:v>
                </c:pt>
              </c:numCache>
            </c:numRef>
          </c:val>
        </c:ser>
        <c:ser>
          <c:idx val="0"/>
          <c:order val="3"/>
          <c:tx>
            <c:strRef>
              <c:f>Analīze!$B$148</c:f>
              <c:strCache>
                <c:ptCount val="1"/>
                <c:pt idx="0">
                  <c:v>Aizdomas par krāpšanu vai organizēto noziedzību </c:v>
                </c:pt>
              </c:strCache>
            </c:strRef>
          </c:tx>
          <c:spPr>
            <a:solidFill>
              <a:schemeClr val="accent1"/>
            </a:solidFill>
            <a:ln>
              <a:noFill/>
            </a:ln>
            <a:effectLst/>
            <a:scene3d>
              <a:camera prst="orthographicFront"/>
              <a:lightRig rig="threePt" dir="t"/>
            </a:scene3d>
            <a:sp3d>
              <a:bevelT w="152400" h="50800" prst="softRound"/>
            </a:sp3d>
          </c:spPr>
          <c:invertIfNegative val="0"/>
          <c:cat>
            <c:strRef>
              <c:f>Analīze!$A$149:$A$154</c:f>
              <c:strCache>
                <c:ptCount val="6"/>
                <c:pt idx="0">
                  <c:v>Kopā (108,3 milj. euro)</c:v>
                </c:pt>
                <c:pt idx="1">
                  <c:v>Komersanti (59,6 milj. euro)</c:v>
                </c:pt>
                <c:pt idx="2">
                  <c:v>Pašvaldības (22,9 milj. euro)</c:v>
                </c:pt>
                <c:pt idx="3">
                  <c:v>Izglītības iestādes (16,8 milj. euro)</c:v>
                </c:pt>
                <c:pt idx="4">
                  <c:v>Valsts iestādes (8,2 milj. euro)</c:v>
                </c:pt>
                <c:pt idx="5">
                  <c:v>NVO (0,8 milj.euro)</c:v>
                </c:pt>
              </c:strCache>
            </c:strRef>
          </c:cat>
          <c:val>
            <c:numRef>
              <c:f>Analīze!$B$149:$B$154</c:f>
              <c:numCache>
                <c:formatCode>_-* #,##0.0_-;\-* #,##0.0_-;_-* "-"??_-;_-@_-</c:formatCode>
                <c:ptCount val="6"/>
                <c:pt idx="0">
                  <c:v>9182618.1400000025</c:v>
                </c:pt>
                <c:pt idx="1">
                  <c:v>5645748.6500000013</c:v>
                </c:pt>
                <c:pt idx="2">
                  <c:v>2590811.6200000006</c:v>
                </c:pt>
                <c:pt idx="3">
                  <c:v>201641.41999999998</c:v>
                </c:pt>
                <c:pt idx="4">
                  <c:v>722959.1799999997</c:v>
                </c:pt>
                <c:pt idx="5">
                  <c:v>21457.27</c:v>
                </c:pt>
              </c:numCache>
            </c:numRef>
          </c:val>
        </c:ser>
        <c:ser>
          <c:idx val="3"/>
          <c:order val="4"/>
          <c:tx>
            <c:strRef>
              <c:f>Analīze!$E$148</c:f>
              <c:strCache>
                <c:ptCount val="1"/>
                <c:pt idx="0">
                  <c:v>Iespējams interešu konflikts </c:v>
                </c:pt>
              </c:strCache>
            </c:strRef>
          </c:tx>
          <c:spPr>
            <a:solidFill>
              <a:schemeClr val="accent4"/>
            </a:solidFill>
            <a:ln>
              <a:noFill/>
            </a:ln>
            <a:effectLst/>
          </c:spPr>
          <c:invertIfNegative val="0"/>
          <c:cat>
            <c:strRef>
              <c:f>Analīze!$A$149:$A$154</c:f>
              <c:strCache>
                <c:ptCount val="6"/>
                <c:pt idx="0">
                  <c:v>Kopā (108,3 milj. euro)</c:v>
                </c:pt>
                <c:pt idx="1">
                  <c:v>Komersanti (59,6 milj. euro)</c:v>
                </c:pt>
                <c:pt idx="2">
                  <c:v>Pašvaldības (22,9 milj. euro)</c:v>
                </c:pt>
                <c:pt idx="3">
                  <c:v>Izglītības iestādes (16,8 milj. euro)</c:v>
                </c:pt>
                <c:pt idx="4">
                  <c:v>Valsts iestādes (8,2 milj. euro)</c:v>
                </c:pt>
                <c:pt idx="5">
                  <c:v>NVO (0,8 milj.euro)</c:v>
                </c:pt>
              </c:strCache>
            </c:strRef>
          </c:cat>
          <c:val>
            <c:numRef>
              <c:f>Analīze!$E$149:$E$154</c:f>
              <c:numCache>
                <c:formatCode>_-* #,##0.0_-;\-* #,##0.0_-;_-* "-"??_-;_-@_-</c:formatCode>
                <c:ptCount val="6"/>
                <c:pt idx="0">
                  <c:v>76994.66</c:v>
                </c:pt>
                <c:pt idx="1">
                  <c:v>26587.43</c:v>
                </c:pt>
                <c:pt idx="2">
                  <c:v>20880.439999999995</c:v>
                </c:pt>
                <c:pt idx="3">
                  <c:v>10136.59</c:v>
                </c:pt>
                <c:pt idx="4">
                  <c:v>9449.3599999999988</c:v>
                </c:pt>
                <c:pt idx="5">
                  <c:v>9940.84</c:v>
                </c:pt>
              </c:numCache>
            </c:numRef>
          </c:val>
        </c:ser>
        <c:dLbls>
          <c:showLegendKey val="0"/>
          <c:showVal val="0"/>
          <c:showCatName val="0"/>
          <c:showSerName val="0"/>
          <c:showPercent val="0"/>
          <c:showBubbleSize val="0"/>
        </c:dLbls>
        <c:gapWidth val="108"/>
        <c:overlap val="100"/>
        <c:axId val="242113336"/>
        <c:axId val="242113728"/>
      </c:barChart>
      <c:catAx>
        <c:axId val="24211333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lv-LV"/>
          </a:p>
        </c:txPr>
        <c:crossAx val="242113728"/>
        <c:crossesAt val="0"/>
        <c:auto val="1"/>
        <c:lblAlgn val="ctr"/>
        <c:lblOffset val="100"/>
        <c:noMultiLvlLbl val="0"/>
      </c:catAx>
      <c:valAx>
        <c:axId val="242113728"/>
        <c:scaling>
          <c:orientation val="minMax"/>
          <c:max val="120000000.10000001"/>
          <c:min val="0.1"/>
        </c:scaling>
        <c:delete val="0"/>
        <c:axPos val="l"/>
        <c:majorGridlines>
          <c:spPr>
            <a:ln w="9525" cap="flat" cmpd="sng" algn="ctr">
              <a:gradFill>
                <a:gsLst>
                  <a:gs pos="0">
                    <a:srgbClr val="4F81BD">
                      <a:lumMod val="5000"/>
                      <a:lumOff val="95000"/>
                    </a:srgbClr>
                  </a:gs>
                  <a:gs pos="74000">
                    <a:srgbClr val="4F81BD">
                      <a:lumMod val="45000"/>
                      <a:lumOff val="55000"/>
                    </a:srgbClr>
                  </a:gs>
                  <a:gs pos="83000">
                    <a:srgbClr val="4F81BD">
                      <a:lumMod val="45000"/>
                      <a:lumOff val="55000"/>
                    </a:srgbClr>
                  </a:gs>
                  <a:gs pos="100000">
                    <a:srgbClr val="4F81BD">
                      <a:lumMod val="30000"/>
                      <a:lumOff val="70000"/>
                    </a:srgbClr>
                  </a:gs>
                </a:gsLst>
                <a:lin ang="5400000" scaled="1"/>
              </a:gradFill>
              <a:round/>
            </a:ln>
            <a:effectLst/>
          </c:spPr>
        </c:majorGridlines>
        <c:numFmt formatCode="_-* #,##0.0_-;\-* #,##0.0_-;_-* &quot;-&quot;?_-;_-@_-"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lv-LV"/>
          </a:p>
        </c:txPr>
        <c:crossAx val="242113336"/>
        <c:crosses val="autoZero"/>
        <c:crossBetween val="between"/>
        <c:majorUnit val="20000000"/>
        <c:minorUnit val="4000000"/>
        <c:dispUnits>
          <c:builtInUnit val="millions"/>
        </c:dispUnits>
      </c:valAx>
      <c:dTable>
        <c:showHorzBorder val="1"/>
        <c:showVertBorder val="1"/>
        <c:showOutline val="0"/>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solidFill>
                <a:latin typeface="+mn-lt"/>
                <a:ea typeface="+mn-ea"/>
                <a:cs typeface="+mn-cs"/>
              </a:defRPr>
            </a:pPr>
            <a:endParaRPr lang="lv-LV"/>
          </a:p>
        </c:txPr>
      </c:dTable>
      <c:spPr>
        <a:noFill/>
        <a:ln>
          <a:solidFill>
            <a:sysClr val="window" lastClr="FFFFFF"/>
          </a:solidFill>
        </a:ln>
        <a:effectLst/>
      </c:spPr>
    </c:plotArea>
    <c:plotVisOnly val="1"/>
    <c:dispBlanksAs val="gap"/>
    <c:showDLblsOverMax val="0"/>
  </c:chart>
  <c:spPr>
    <a:solidFill>
      <a:sysClr val="window" lastClr="FFFFFF"/>
    </a:solidFill>
    <a:ln w="9525" cap="flat" cmpd="sng" algn="ctr">
      <a:solidFill>
        <a:sysClr val="window" lastClr="FFFFFF"/>
      </a:solidFill>
      <a:round/>
    </a:ln>
    <a:effectLst/>
  </c:spPr>
  <c:txPr>
    <a:bodyPr rot="0" vert="horz"/>
    <a:lstStyle/>
    <a:p>
      <a:pPr>
        <a:defRPr>
          <a:solidFill>
            <a:schemeClr val="dk1"/>
          </a:solidFill>
        </a:defRPr>
      </a:pPr>
      <a:endParaRPr lang="lv-LV"/>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5.0270001428057896E-2"/>
          <c:y val="1.5040097806628145E-2"/>
          <c:w val="0.93597139944748931"/>
          <c:h val="0.7335797373790941"/>
        </c:manualLayout>
      </c:layout>
      <c:lineChart>
        <c:grouping val="standard"/>
        <c:varyColors val="0"/>
        <c:ser>
          <c:idx val="0"/>
          <c:order val="0"/>
          <c:tx>
            <c:strRef>
              <c:f>'Abu periodu cash flow'!$A$3</c:f>
              <c:strCache>
                <c:ptCount val="1"/>
                <c:pt idx="0">
                  <c:v>Izdevumu prognoze 2007-2013 plānošanas periodam (5 243 mEUR)</c:v>
                </c:pt>
              </c:strCache>
            </c:strRef>
          </c:tx>
          <c:dLbls>
            <c:dLbl>
              <c:idx val="0"/>
              <c:layout>
                <c:manualLayout>
                  <c:x val="-3.0181535286592689E-2"/>
                  <c:y val="-3.2452934598402143E-2"/>
                </c:manualLayout>
              </c:layout>
              <c:tx>
                <c:rich>
                  <a:bodyPr/>
                  <a:lstStyle/>
                  <a:p>
                    <a:pPr>
                      <a:defRPr sz="1050" b="1" i="0" u="none" strike="noStrike" baseline="0">
                        <a:solidFill>
                          <a:schemeClr val="accent1">
                            <a:lumMod val="75000"/>
                          </a:schemeClr>
                        </a:solidFill>
                        <a:latin typeface="Calibri"/>
                        <a:ea typeface="Calibri"/>
                        <a:cs typeface="Calibri"/>
                      </a:defRPr>
                    </a:pPr>
                    <a:r>
                      <a:rPr lang="en-US" sz="1050">
                        <a:solidFill>
                          <a:schemeClr val="accent1">
                            <a:lumMod val="75000"/>
                          </a:schemeClr>
                        </a:solidFill>
                      </a:rPr>
                      <a:t>26</a:t>
                    </a:r>
                  </a:p>
                </c:rich>
              </c:tx>
              <c:numFmt formatCode="#,##0" sourceLinked="0"/>
              <c:spPr/>
              <c:dLblPos val="r"/>
              <c:showLegendKey val="0"/>
              <c:showVal val="0"/>
              <c:showCatName val="0"/>
              <c:showSerName val="0"/>
              <c:showPercent val="0"/>
              <c:showBubbleSize val="0"/>
              <c:extLst>
                <c:ext xmlns:c15="http://schemas.microsoft.com/office/drawing/2012/chart" uri="{CE6537A1-D6FC-4f65-9D91-7224C49458BB}">
                  <c15:layout/>
                </c:ext>
              </c:extLst>
            </c:dLbl>
            <c:dLbl>
              <c:idx val="2"/>
              <c:layout>
                <c:manualLayout>
                  <c:x val="0"/>
                  <c:y val="7.3937153419593345E-3"/>
                </c:manualLayout>
              </c:layout>
              <c:tx>
                <c:rich>
                  <a:bodyPr/>
                  <a:lstStyle/>
                  <a:p>
                    <a:pPr>
                      <a:defRPr sz="1050" b="1" i="0" u="none" strike="noStrike" baseline="0">
                        <a:solidFill>
                          <a:schemeClr val="accent1">
                            <a:lumMod val="75000"/>
                          </a:schemeClr>
                        </a:solidFill>
                        <a:latin typeface="Calibri"/>
                        <a:ea typeface="Calibri"/>
                        <a:cs typeface="Calibri"/>
                      </a:defRPr>
                    </a:pPr>
                    <a:r>
                      <a:rPr lang="en-US" sz="1050">
                        <a:solidFill>
                          <a:schemeClr val="accent1">
                            <a:lumMod val="75000"/>
                          </a:schemeClr>
                        </a:solidFill>
                      </a:rPr>
                      <a:t>585</a:t>
                    </a:r>
                  </a:p>
                </c:rich>
              </c:tx>
              <c:numFmt formatCode="#,##0" sourceLinked="0"/>
              <c:spPr/>
              <c:dLblPos val="r"/>
              <c:showLegendKey val="0"/>
              <c:showVal val="0"/>
              <c:showCatName val="0"/>
              <c:showSerName val="0"/>
              <c:showPercent val="0"/>
              <c:showBubbleSize val="0"/>
              <c:extLst>
                <c:ext xmlns:c15="http://schemas.microsoft.com/office/drawing/2012/chart" uri="{CE6537A1-D6FC-4f65-9D91-7224C49458BB}">
                  <c15:layout/>
                </c:ext>
              </c:extLst>
            </c:dLbl>
            <c:dLbl>
              <c:idx val="3"/>
              <c:layout>
                <c:manualLayout>
                  <c:x val="-3.901701845714028E-17"/>
                  <c:y val="1.4711893059596875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2.917493725851451E-2"/>
                  <c:y val="3.459217670997567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1.3758599124452783E-2"/>
                  <c:y val="2.7110289587184228E-2"/>
                </c:manualLayout>
              </c:layout>
              <c:numFmt formatCode="#,##0" sourceLinked="0"/>
              <c:spPr/>
              <c:txPr>
                <a:bodyPr/>
                <a:lstStyle/>
                <a:p>
                  <a:pPr>
                    <a:defRPr sz="1050" b="1" i="0" u="none" strike="noStrike" baseline="0">
                      <a:solidFill>
                        <a:schemeClr val="accent1">
                          <a:lumMod val="75000"/>
                        </a:schemeClr>
                      </a:solidFill>
                      <a:latin typeface="Calibri"/>
                      <a:ea typeface="Calibri"/>
                      <a:cs typeface="Calibri"/>
                    </a:defRPr>
                  </a:pPr>
                  <a:endParaRPr lang="lv-LV"/>
                </a:p>
              </c:txPr>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7.1709811554454564E-2"/>
                  <c:y val="-7.8322404233232903E-3"/>
                </c:manualLayout>
              </c:layout>
              <c:numFmt formatCode="#,##0" sourceLinked="0"/>
              <c:spPr>
                <a:noFill/>
                <a:ln w="25400">
                  <a:noFill/>
                </a:ln>
              </c:spPr>
              <c:txPr>
                <a:bodyPr/>
                <a:lstStyle/>
                <a:p>
                  <a:pPr>
                    <a:defRPr sz="1050" b="1" i="0" u="none" strike="noStrike" baseline="0">
                      <a:solidFill>
                        <a:schemeClr val="accent1">
                          <a:lumMod val="75000"/>
                        </a:schemeClr>
                      </a:solidFill>
                      <a:latin typeface="Calibri"/>
                      <a:ea typeface="Calibri"/>
                      <a:cs typeface="Calibri"/>
                    </a:defRPr>
                  </a:pPr>
                  <a:endParaRPr lang="lv-LV"/>
                </a:p>
              </c:txPr>
              <c:dLblPos val="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6.0674157303370786E-2"/>
                  <c:y val="3.215434083601286E-2"/>
                </c:manualLayout>
              </c:layout>
              <c:showLegendKey val="0"/>
              <c:showVal val="1"/>
              <c:showCatName val="0"/>
              <c:showSerName val="0"/>
              <c:showPercent val="0"/>
              <c:showBubbleSize val="0"/>
              <c:extLst>
                <c:ext xmlns:c15="http://schemas.microsoft.com/office/drawing/2012/chart" uri="{CE6537A1-D6FC-4f65-9D91-7224C49458BB}">
                  <c15:layout/>
                </c:ext>
              </c:extLst>
            </c:dLbl>
            <c:numFmt formatCode="#,##0" sourceLinked="0"/>
            <c:spPr>
              <a:noFill/>
              <a:ln w="25400">
                <a:noFill/>
              </a:ln>
            </c:spPr>
            <c:txPr>
              <a:bodyPr wrap="square" lIns="38100" tIns="19050" rIns="38100" bIns="19050" anchor="ctr">
                <a:spAutoFit/>
              </a:bodyPr>
              <a:lstStyle/>
              <a:p>
                <a:pPr>
                  <a:defRPr sz="1050" b="1" i="0" u="none" strike="noStrike" baseline="0">
                    <a:solidFill>
                      <a:schemeClr val="accent1">
                        <a:lumMod val="75000"/>
                      </a:schemeClr>
                    </a:solidFill>
                    <a:latin typeface="Calibri"/>
                    <a:ea typeface="Calibri"/>
                    <a:cs typeface="Calibri"/>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'Abu periodu cash flow'!$B$2:$L$2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'Abu periodu cash flow'!$B$3:$L$3</c:f>
              <c:numCache>
                <c:formatCode>#,##0</c:formatCode>
                <c:ptCount val="11"/>
                <c:pt idx="0">
                  <c:v>25753871.065048009</c:v>
                </c:pt>
                <c:pt idx="1">
                  <c:v>188943864.00760385</c:v>
                </c:pt>
                <c:pt idx="2">
                  <c:v>584984044.99689817</c:v>
                </c:pt>
                <c:pt idx="3">
                  <c:v>738445854.77601147</c:v>
                </c:pt>
                <c:pt idx="4">
                  <c:v>779897827.03285694</c:v>
                </c:pt>
                <c:pt idx="5">
                  <c:v>651308486.27782428</c:v>
                </c:pt>
                <c:pt idx="6">
                  <c:v>677433138.31452298</c:v>
                </c:pt>
                <c:pt idx="7">
                  <c:v>769058661.31999993</c:v>
                </c:pt>
                <c:pt idx="8">
                  <c:v>638047029.07204628</c:v>
                </c:pt>
                <c:pt idx="9">
                  <c:v>189603608.57861799</c:v>
                </c:pt>
              </c:numCache>
            </c:numRef>
          </c:val>
          <c:smooth val="0"/>
        </c:ser>
        <c:ser>
          <c:idx val="1"/>
          <c:order val="1"/>
          <c:tx>
            <c:strRef>
              <c:f>'Abu periodu cash flow'!$A$4</c:f>
              <c:strCache>
                <c:ptCount val="1"/>
                <c:pt idx="0">
                  <c:v>Izdevumu prognoze 2014-2020 plānošanas periodam (4 868 mEUR) 2014.-2017.gadam (973 mEUR)</c:v>
                </c:pt>
              </c:strCache>
            </c:strRef>
          </c:tx>
          <c:dLbls>
            <c:dLbl>
              <c:idx val="1"/>
              <c:layout>
                <c:manualLayout>
                  <c:x val="-4.0025015634771732E-2"/>
                  <c:y val="-3.6968576709796676E-2"/>
                </c:manualLayout>
              </c:layout>
              <c:spPr/>
              <c:txPr>
                <a:bodyPr/>
                <a:lstStyle/>
                <a:p>
                  <a:pPr>
                    <a:defRPr sz="1050" b="1" i="0" u="none" strike="noStrike" baseline="0">
                      <a:solidFill>
                        <a:srgbClr val="C00000"/>
                      </a:solidFill>
                      <a:latin typeface="Calibri"/>
                      <a:ea typeface="Calibri"/>
                      <a:cs typeface="Calibri"/>
                    </a:defRPr>
                  </a:pPr>
                  <a:endParaRPr lang="lv-LV"/>
                </a:p>
              </c:txPr>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3.901701845714028E-17"/>
                  <c:y val="1.225991088299739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2.1282255919127429E-3"/>
                  <c:y val="1.961585741279578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7.4487895716946776E-3"/>
                  <c:y val="-4.6688443614932247E-2"/>
                </c:manualLayout>
              </c:layout>
              <c:spPr/>
              <c:txPr>
                <a:bodyPr/>
                <a:lstStyle/>
                <a:p>
                  <a:pPr>
                    <a:defRPr sz="1050" b="1" i="0" u="none" strike="noStrike" baseline="0">
                      <a:solidFill>
                        <a:srgbClr val="C00000"/>
                      </a:solidFill>
                      <a:latin typeface="Calibri"/>
                      <a:ea typeface="Calibri"/>
                      <a:cs typeface="Calibri"/>
                    </a:defRPr>
                  </a:pPr>
                  <a:endParaRPr lang="lv-LV"/>
                </a:p>
              </c:txPr>
              <c:dLblPos val="r"/>
              <c:showLegendKey val="0"/>
              <c:showVal val="1"/>
              <c:showCatName val="0"/>
              <c:showSerName val="0"/>
              <c:showPercent val="0"/>
              <c:showBubbleSize val="0"/>
              <c:extLst>
                <c:ext xmlns:c15="http://schemas.microsoft.com/office/drawing/2012/chart" uri="{CE6537A1-D6FC-4f65-9D91-7224C49458BB}"/>
              </c:extLst>
            </c:dLbl>
            <c:dLbl>
              <c:idx val="7"/>
              <c:layout>
                <c:manualLayout>
                  <c:x val="-4.3107811192885717E-2"/>
                  <c:y val="-3.139945354561279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0"/>
                  <c:y val="-9.8079287063979389E-3"/>
                </c:manualLayout>
              </c:layout>
              <c:spPr>
                <a:noFill/>
                <a:ln w="25400">
                  <a:noFill/>
                </a:ln>
              </c:spPr>
              <c:txPr>
                <a:bodyPr/>
                <a:lstStyle/>
                <a:p>
                  <a:pPr>
                    <a:defRPr sz="1050" b="1" i="0" u="none" strike="noStrike" baseline="0">
                      <a:solidFill>
                        <a:srgbClr val="C00000"/>
                      </a:solidFill>
                      <a:latin typeface="Calibri"/>
                      <a:ea typeface="Calibri"/>
                      <a:cs typeface="Calibri"/>
                    </a:defRPr>
                  </a:pPr>
                  <a:endParaRPr lang="lv-LV"/>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2.2471910112359553E-3"/>
                  <c:y val="2.8135048231511216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defRPr sz="1050" b="1" i="0" u="none" strike="noStrike" baseline="0">
                    <a:solidFill>
                      <a:srgbClr val="C00000"/>
                    </a:solidFill>
                    <a:latin typeface="Calibri"/>
                    <a:ea typeface="Calibri"/>
                    <a:cs typeface="Calibri"/>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'Abu periodu cash flow'!$B$2:$L$2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'Abu periodu cash flow'!$B$4:$L$4</c:f>
              <c:numCache>
                <c:formatCode>General</c:formatCode>
                <c:ptCount val="11"/>
                <c:pt idx="7" formatCode="#,##0">
                  <c:v>13517517.059999999</c:v>
                </c:pt>
                <c:pt idx="8" formatCode="#,##0">
                  <c:v>113426483.2</c:v>
                </c:pt>
                <c:pt idx="9" formatCode="#,##0">
                  <c:v>331810079.01647925</c:v>
                </c:pt>
                <c:pt idx="10" formatCode="#,##0">
                  <c:v>513768121.13660479</c:v>
                </c:pt>
              </c:numCache>
            </c:numRef>
          </c:val>
          <c:smooth val="0"/>
        </c:ser>
        <c:ser>
          <c:idx val="2"/>
          <c:order val="2"/>
          <c:tx>
            <c:strRef>
              <c:f>'Abu periodu cash flow'!$A$5</c:f>
              <c:strCache>
                <c:ptCount val="1"/>
                <c:pt idx="0">
                  <c:v>Kopējie izdevumi 2014.-2017.gadā (2 569 mEUR)</c:v>
                </c:pt>
              </c:strCache>
            </c:strRef>
          </c:tx>
          <c:spPr>
            <a:ln>
              <a:solidFill>
                <a:srgbClr val="00B050"/>
              </a:solidFill>
              <a:prstDash val="solid"/>
            </a:ln>
          </c:spPr>
          <c:marker>
            <c:spPr>
              <a:solidFill>
                <a:schemeClr val="accent1"/>
              </a:solidFill>
              <a:ln>
                <a:solidFill>
                  <a:srgbClr val="00B050"/>
                </a:solidFill>
              </a:ln>
            </c:spPr>
          </c:marker>
          <c:dLbls>
            <c:dLbl>
              <c:idx val="6"/>
              <c:delete val="1"/>
              <c:extLst>
                <c:ext xmlns:c15="http://schemas.microsoft.com/office/drawing/2012/chart" uri="{CE6537A1-D6FC-4f65-9D91-7224C49458BB}"/>
              </c:extLst>
            </c:dLbl>
            <c:dLbl>
              <c:idx val="7"/>
              <c:layout>
                <c:manualLayout>
                  <c:x val="-1.7636684303350969E-2"/>
                  <c:y val="-2.8070175438596492E-2"/>
                </c:manualLayout>
              </c:layout>
              <c:spPr/>
              <c:txPr>
                <a:bodyPr/>
                <a:lstStyle/>
                <a:p>
                  <a:pPr>
                    <a:defRPr sz="1050" b="1" i="0" u="none" strike="noStrike" baseline="0">
                      <a:solidFill>
                        <a:srgbClr val="00B050"/>
                      </a:solidFill>
                      <a:latin typeface="Calibri"/>
                      <a:ea typeface="Calibri"/>
                      <a:cs typeface="Calibri"/>
                    </a:defRPr>
                  </a:pPr>
                  <a:endParaRPr lang="lv-LV"/>
                </a:p>
              </c:txPr>
              <c:dLblPos val="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9.1100244739576402E-5"/>
                  <c:y val="9.8582871226124465E-3"/>
                </c:manualLayout>
              </c:layout>
              <c:spPr/>
              <c:txPr>
                <a:bodyPr/>
                <a:lstStyle/>
                <a:p>
                  <a:pPr>
                    <a:defRPr sz="1050" b="1" i="0" u="none" strike="noStrike" baseline="0">
                      <a:solidFill>
                        <a:srgbClr val="00B050"/>
                      </a:solidFill>
                      <a:latin typeface="Calibri"/>
                      <a:ea typeface="Calibri"/>
                      <a:cs typeface="Calibri"/>
                    </a:defRPr>
                  </a:pPr>
                  <a:endParaRPr lang="lv-LV"/>
                </a:p>
              </c:txPr>
              <c:dLblPos val="r"/>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8.267879288962502E-3"/>
                  <c:y val="-2.2403015874845857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6.7415730337078653E-3"/>
                  <c:y val="-3.6173633440514469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defRPr sz="1050" b="1" i="0" u="none" strike="noStrike" baseline="0">
                    <a:solidFill>
                      <a:srgbClr val="00B050"/>
                    </a:solidFill>
                    <a:latin typeface="Calibri"/>
                    <a:ea typeface="Calibri"/>
                    <a:cs typeface="Calibri"/>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'Abu periodu cash flow'!$B$2:$L$2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'Abu periodu cash flow'!$B$5:$L$5</c:f>
              <c:numCache>
                <c:formatCode>General</c:formatCode>
                <c:ptCount val="11"/>
                <c:pt idx="7" formatCode="#,##0">
                  <c:v>782576178.37999988</c:v>
                </c:pt>
                <c:pt idx="8" formatCode="#,##0">
                  <c:v>751473512.27204633</c:v>
                </c:pt>
                <c:pt idx="9" formatCode="#,##0">
                  <c:v>521413687.59509724</c:v>
                </c:pt>
                <c:pt idx="10" formatCode="#,##0">
                  <c:v>513768121.13660479</c:v>
                </c:pt>
              </c:numCache>
            </c:numRef>
          </c:val>
          <c:smooth val="0"/>
        </c:ser>
        <c:dLbls>
          <c:showLegendKey val="0"/>
          <c:showVal val="0"/>
          <c:showCatName val="0"/>
          <c:showSerName val="0"/>
          <c:showPercent val="0"/>
          <c:showBubbleSize val="0"/>
        </c:dLbls>
        <c:marker val="1"/>
        <c:smooth val="0"/>
        <c:axId val="164067304"/>
        <c:axId val="164067688"/>
      </c:lineChart>
      <c:catAx>
        <c:axId val="164067304"/>
        <c:scaling>
          <c:orientation val="minMax"/>
        </c:scaling>
        <c:delete val="0"/>
        <c:axPos val="b"/>
        <c:numFmt formatCode="General" sourceLinked="1"/>
        <c:majorTickMark val="none"/>
        <c:minorTickMark val="none"/>
        <c:tickLblPos val="nextTo"/>
        <c:txPr>
          <a:bodyPr rot="0" vert="horz"/>
          <a:lstStyle/>
          <a:p>
            <a:pPr>
              <a:defRPr sz="900" b="1"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lv-LV"/>
          </a:p>
        </c:txPr>
        <c:crossAx val="164067688"/>
        <c:crosses val="autoZero"/>
        <c:auto val="1"/>
        <c:lblAlgn val="ctr"/>
        <c:lblOffset val="100"/>
        <c:noMultiLvlLbl val="0"/>
      </c:catAx>
      <c:valAx>
        <c:axId val="164067688"/>
        <c:scaling>
          <c:orientation val="minMax"/>
        </c:scaling>
        <c:delete val="0"/>
        <c:axPos val="l"/>
        <c:majorGridlines/>
        <c:numFmt formatCode="#,##0" sourceLinked="1"/>
        <c:majorTickMark val="none"/>
        <c:minorTickMark val="none"/>
        <c:tickLblPos val="nextTo"/>
        <c:spPr>
          <a:ln w="9525">
            <a:noFill/>
          </a:ln>
        </c:spPr>
        <c:txPr>
          <a:bodyPr rot="0" vert="horz"/>
          <a:lstStyle/>
          <a:p>
            <a:pPr>
              <a:defRPr sz="900" b="0" i="0" u="none" strike="noStrike" baseline="0">
                <a:solidFill>
                  <a:srgbClr val="000000"/>
                </a:solidFill>
                <a:latin typeface="Calibri"/>
                <a:ea typeface="Calibri"/>
                <a:cs typeface="Calibri"/>
              </a:defRPr>
            </a:pPr>
            <a:endParaRPr lang="lv-LV"/>
          </a:p>
        </c:txPr>
        <c:crossAx val="164067304"/>
        <c:crosses val="autoZero"/>
        <c:crossBetween val="between"/>
        <c:dispUnits>
          <c:builtInUnit val="millions"/>
        </c:dispUnits>
      </c:valAx>
    </c:plotArea>
    <c:legend>
      <c:legendPos val="b"/>
      <c:layout>
        <c:manualLayout>
          <c:xMode val="edge"/>
          <c:yMode val="edge"/>
          <c:x val="1.9427423467801123E-2"/>
          <c:y val="0.80354302845902226"/>
          <c:w val="0.96433680387108012"/>
          <c:h val="0.19645697154097774"/>
        </c:manualLayout>
      </c:layout>
      <c:overlay val="0"/>
      <c:txPr>
        <a:bodyPr/>
        <a:lstStyle/>
        <a:p>
          <a:pPr>
            <a:defRPr sz="900" b="0"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lv-LV"/>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lv-LV"/>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253333671455322E-2"/>
          <c:y val="0.18041605223375345"/>
          <c:w val="0.37800178359347592"/>
          <c:h val="0.69122234279019013"/>
        </c:manualLayout>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Pt>
            <c:idx val="9"/>
            <c:bubble3D val="0"/>
            <c:spPr>
              <a:solidFill>
                <a:schemeClr val="accent4">
                  <a:lumMod val="60000"/>
                </a:schemeClr>
              </a:solidFill>
              <a:ln w="19050">
                <a:solidFill>
                  <a:schemeClr val="lt1"/>
                </a:solidFill>
              </a:ln>
              <a:effectLst/>
            </c:spPr>
          </c:dPt>
          <c:dPt>
            <c:idx val="10"/>
            <c:bubble3D val="0"/>
            <c:spPr>
              <a:solidFill>
                <a:schemeClr val="accent5">
                  <a:lumMod val="60000"/>
                </a:schemeClr>
              </a:solidFill>
              <a:ln w="19050">
                <a:solidFill>
                  <a:schemeClr val="lt1"/>
                </a:solidFill>
              </a:ln>
              <a:effectLst/>
            </c:spPr>
          </c:dPt>
          <c:dPt>
            <c:idx val="11"/>
            <c:bubble3D val="0"/>
            <c:spPr>
              <a:solidFill>
                <a:schemeClr val="accent6">
                  <a:lumMod val="60000"/>
                </a:schemeClr>
              </a:solidFill>
              <a:ln w="19050">
                <a:solidFill>
                  <a:schemeClr val="lt1"/>
                </a:solidFill>
              </a:ln>
              <a:effectLst/>
            </c:spPr>
          </c:dPt>
          <c:dPt>
            <c:idx val="12"/>
            <c:bubble3D val="0"/>
            <c:spPr>
              <a:solidFill>
                <a:schemeClr val="accent1">
                  <a:lumMod val="80000"/>
                  <a:lumOff val="20000"/>
                </a:schemeClr>
              </a:solidFill>
              <a:ln w="19050">
                <a:solidFill>
                  <a:schemeClr val="lt1"/>
                </a:solidFill>
              </a:ln>
              <a:effectLst/>
            </c:spPr>
          </c:dPt>
          <c:dPt>
            <c:idx val="13"/>
            <c:bubble3D val="0"/>
            <c:spPr>
              <a:solidFill>
                <a:schemeClr val="accent2">
                  <a:lumMod val="80000"/>
                  <a:lumOff val="20000"/>
                </a:schemeClr>
              </a:solidFill>
              <a:ln w="19050">
                <a:solidFill>
                  <a:schemeClr val="lt1"/>
                </a:solidFill>
              </a:ln>
              <a:effectLst/>
            </c:spPr>
          </c:dPt>
          <c:dLbls>
            <c:dLbl>
              <c:idx val="0"/>
              <c:layout>
                <c:manualLayout>
                  <c:x val="-4.4619577648805718E-2"/>
                  <c:y val="-3.0748560595859533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288489049651659E-2"/>
                  <c:y val="7.1995268410162518E-3"/>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0351907636360817E-2"/>
                  <c:y val="-1.1940599365418591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4.9056940260606271E-3"/>
                  <c:y val="-3.9031281216666665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1.1349748194326522E-2"/>
                  <c:y val="-1.9870293099015238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4.9737744134640063E-4"/>
                  <c:y val="3.0336755608729119E-3"/>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5.4141902867754525E-3"/>
                  <c:y val="8.2599621722072199E-3"/>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7.4263870635077559E-3"/>
                  <c:y val="1.8529441169003968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Sheet1!$B$18:$B$31</c:f>
              <c:strCache>
                <c:ptCount val="14"/>
                <c:pt idx="0">
                  <c:v>Transports (26,1%); 104,6%* +1,2%</c:v>
                </c:pt>
                <c:pt idx="1">
                  <c:v>Vide (15,1%); 95,3% - 0,4%</c:v>
                </c:pt>
                <c:pt idx="2">
                  <c:v>Uzņēmējdarbība un inovācijas (12,4%); 124,1% + 15,6%</c:v>
                </c:pt>
                <c:pt idx="3">
                  <c:v>Izglītība (10,6%); 107,0% - 0,1%</c:v>
                </c:pt>
                <c:pt idx="4">
                  <c:v>Nodarbinātība, sociālā iekļaušana (8,0%); 114,2% - 1,0%</c:v>
                </c:pt>
                <c:pt idx="5">
                  <c:v>Pilsētvide (5,9%); 102,9% - 22,9%</c:v>
                </c:pt>
                <c:pt idx="6">
                  <c:v>Zinātne (5,3%); 99,4% - 0,3%</c:v>
                </c:pt>
                <c:pt idx="7">
                  <c:v>Veselība (4,9%); 105,1%; 0%</c:v>
                </c:pt>
                <c:pt idx="8">
                  <c:v>IKT (3,9%); 101,1% + 0,7%</c:v>
                </c:pt>
                <c:pt idx="9">
                  <c:v>Enerģētika (3,7%); 88,3% - 1,8%</c:v>
                </c:pt>
                <c:pt idx="10">
                  <c:v>Atbalsts ES fondu vadībai (2,3%); 99,6% - 0,1%</c:v>
                </c:pt>
                <c:pt idx="11">
                  <c:v>Kultūra (1,0%); 137,9% + 1,1%</c:v>
                </c:pt>
                <c:pt idx="12">
                  <c:v>Administratīvā kapacitāte(0,5%); 97,9% - 0,1%</c:v>
                </c:pt>
                <c:pt idx="13">
                  <c:v>Tūrisms (0,3%); 87,1%; 0%</c:v>
                </c:pt>
              </c:strCache>
            </c:strRef>
          </c:cat>
          <c:val>
            <c:numRef>
              <c:f>Sheet1!$C$18:$C$31</c:f>
              <c:numCache>
                <c:formatCode>#,##0.0</c:formatCode>
                <c:ptCount val="14"/>
                <c:pt idx="0">
                  <c:v>1240.7</c:v>
                </c:pt>
                <c:pt idx="1">
                  <c:v>715.8</c:v>
                </c:pt>
                <c:pt idx="2">
                  <c:v>588.5</c:v>
                </c:pt>
                <c:pt idx="3">
                  <c:v>503.1</c:v>
                </c:pt>
                <c:pt idx="4">
                  <c:v>379.2</c:v>
                </c:pt>
                <c:pt idx="5">
                  <c:v>282.60000000000002</c:v>
                </c:pt>
                <c:pt idx="6">
                  <c:v>252.9</c:v>
                </c:pt>
                <c:pt idx="7">
                  <c:v>230.6</c:v>
                </c:pt>
                <c:pt idx="8">
                  <c:v>183.9</c:v>
                </c:pt>
                <c:pt idx="9">
                  <c:v>175.7</c:v>
                </c:pt>
                <c:pt idx="10">
                  <c:v>110.6</c:v>
                </c:pt>
                <c:pt idx="11">
                  <c:v>49.7</c:v>
                </c:pt>
                <c:pt idx="12">
                  <c:v>22.4</c:v>
                </c:pt>
                <c:pt idx="13">
                  <c:v>15</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44198443793559627"/>
          <c:y val="2.2829704218739033E-2"/>
          <c:w val="0.54619887489909169"/>
          <c:h val="0.9577811813097866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73643919510061"/>
          <c:y val="4.0237762837992165E-2"/>
          <c:w val="0.74198578302712159"/>
          <c:h val="0.63459992516985841"/>
        </c:manualLayout>
      </c:layout>
      <c:barChart>
        <c:barDir val="bar"/>
        <c:grouping val="clustered"/>
        <c:varyColors val="0"/>
        <c:ser>
          <c:idx val="2"/>
          <c:order val="0"/>
          <c:tx>
            <c:strRef>
              <c:f>'EK maksājumi līdz 31.12.2014'!$F$2</c:f>
              <c:strCache>
                <c:ptCount val="1"/>
                <c:pt idx="0">
                  <c:v>Saņemtie maksājumi no EK (avansi + starpposma)</c:v>
                </c:pt>
              </c:strCache>
            </c:strRef>
          </c:tx>
          <c:spPr>
            <a:solidFill>
              <a:schemeClr val="accent3"/>
            </a:solidFill>
            <a:ln>
              <a:noFill/>
            </a:ln>
            <a:effectLst/>
          </c:spPr>
          <c:invertIfNegative val="0"/>
          <c:dLbls>
            <c:dLbl>
              <c:idx val="0"/>
              <c:layout/>
              <c:tx>
                <c:rich>
                  <a:bodyPr/>
                  <a:lstStyle/>
                  <a:p>
                    <a:fld id="{E149B5E1-17A8-45CC-96A5-98F35597DA29}" type="VALUE">
                      <a:rPr lang="en-US"/>
                      <a:pPr/>
                      <a:t>[VALUE]</a:t>
                    </a:fld>
                    <a:r>
                      <a:rPr lang="en-US"/>
                      <a:t> (95,0%)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
              <c:layout/>
              <c:tx>
                <c:rich>
                  <a:bodyPr/>
                  <a:lstStyle/>
                  <a:p>
                    <a:fld id="{7809455C-3C52-497E-8318-9A3BCEE58707}" type="VALUE">
                      <a:rPr lang="en-US"/>
                      <a:pPr/>
                      <a:t>[VALUE]</a:t>
                    </a:fld>
                    <a:r>
                      <a:rPr lang="en-US"/>
                      <a:t> (79,2%)</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tx>
                <c:rich>
                  <a:bodyPr/>
                  <a:lstStyle/>
                  <a:p>
                    <a:fld id="{F5F61AD5-90D9-4923-B074-2256C6EE1CBC}" type="VALUE">
                      <a:rPr lang="en-US"/>
                      <a:pPr/>
                      <a:t>[VALUE]</a:t>
                    </a:fld>
                    <a:r>
                      <a:rPr lang="en-US"/>
                      <a:t> (79,2%)</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3"/>
              <c:layout/>
              <c:tx>
                <c:rich>
                  <a:bodyPr/>
                  <a:lstStyle/>
                  <a:p>
                    <a:fld id="{16C8DD7E-1B00-4841-BC30-F22D81376390}" type="VALUE">
                      <a:rPr lang="en-US"/>
                      <a:pPr/>
                      <a:t>[VALUE]</a:t>
                    </a:fld>
                    <a:r>
                      <a:rPr lang="en-US"/>
                      <a:t> (81,2%)</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numFmt formatCode="#,##0.0" sourceLinked="0"/>
            <c:spPr>
              <a:noFill/>
              <a:ln>
                <a:noFill/>
              </a:ln>
              <a:effectLst/>
            </c:spPr>
            <c:txPr>
              <a:bodyPr rot="0" spcFirstLastPara="1" vertOverflow="ellipsis" vert="horz" wrap="non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'EK maksājumi līdz 31.12.2014'!$C$3:$C$6</c:f>
              <c:strCache>
                <c:ptCount val="4"/>
                <c:pt idx="0">
                  <c:v>ESF </c:v>
                </c:pt>
                <c:pt idx="1">
                  <c:v>KF</c:v>
                </c:pt>
                <c:pt idx="2">
                  <c:v>ERAF</c:v>
                </c:pt>
                <c:pt idx="3">
                  <c:v>Kopā</c:v>
                </c:pt>
              </c:strCache>
            </c:strRef>
          </c:cat>
          <c:val>
            <c:numRef>
              <c:f>'EK maksājumi līdz 31.12.2014'!$F$3:$F$6</c:f>
              <c:numCache>
                <c:formatCode>#,##0.00</c:formatCode>
                <c:ptCount val="4"/>
                <c:pt idx="0" formatCode="#,##0">
                  <c:v>553948531.15000045</c:v>
                </c:pt>
                <c:pt idx="1">
                  <c:v>1219133986.2</c:v>
                </c:pt>
                <c:pt idx="2" formatCode="#,##0">
                  <c:v>1907465320.0671101</c:v>
                </c:pt>
                <c:pt idx="3" formatCode="#,##0">
                  <c:v>3680547837.4171104</c:v>
                </c:pt>
              </c:numCache>
            </c:numRef>
          </c:val>
        </c:ser>
        <c:ser>
          <c:idx val="1"/>
          <c:order val="1"/>
          <c:tx>
            <c:strRef>
              <c:f>'EK maksājumi līdz 31.12.2014'!$E$2</c:f>
              <c:strCache>
                <c:ptCount val="1"/>
                <c:pt idx="0">
                  <c:v>EK iesniegtie starpposma pieprasījumi</c:v>
                </c:pt>
              </c:strCache>
            </c:strRef>
          </c:tx>
          <c:spPr>
            <a:solidFill>
              <a:schemeClr val="accent2"/>
            </a:solidFill>
            <a:ln>
              <a:noFill/>
            </a:ln>
            <a:effectLst/>
          </c:spPr>
          <c:invertIfNegative val="0"/>
          <c:dLbls>
            <c:dLbl>
              <c:idx val="0"/>
              <c:layout/>
              <c:tx>
                <c:rich>
                  <a:bodyPr/>
                  <a:lstStyle/>
                  <a:p>
                    <a:fld id="{E6D92927-BF49-4EA5-BE52-AF8D06C3B2DE}" type="VALUE">
                      <a:rPr lang="en-US"/>
                      <a:pPr/>
                      <a:t>[VALUE]</a:t>
                    </a:fld>
                    <a:r>
                      <a:rPr lang="en-US"/>
                      <a:t> (87,7%)</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
              <c:layout/>
              <c:tx>
                <c:rich>
                  <a:bodyPr/>
                  <a:lstStyle/>
                  <a:p>
                    <a:fld id="{1EB5917A-74D6-4BDF-98F6-D76B14C3C0C9}" type="VALUE">
                      <a:rPr lang="en-US"/>
                      <a:pPr/>
                      <a:t>[VALUE]</a:t>
                    </a:fld>
                    <a:r>
                      <a:rPr lang="en-US"/>
                      <a:t> (69,9%)</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tx>
                <c:rich>
                  <a:bodyPr/>
                  <a:lstStyle/>
                  <a:p>
                    <a:fld id="{23DF7073-B0C0-4AC3-9AC7-98A0E4D67009}" type="VALUE">
                      <a:rPr lang="en-US"/>
                      <a:pPr/>
                      <a:t>[VALUE]</a:t>
                    </a:fld>
                    <a:r>
                      <a:rPr lang="en-US"/>
                      <a:t> (74,3%)</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3"/>
              <c:layout/>
              <c:tx>
                <c:rich>
                  <a:bodyPr/>
                  <a:lstStyle/>
                  <a:p>
                    <a:fld id="{CE9813A7-767B-4134-87AD-1A26EA65F770}" type="VALUE">
                      <a:rPr lang="en-US"/>
                      <a:pPr/>
                      <a:t>[VALUE]</a:t>
                    </a:fld>
                    <a:r>
                      <a:rPr lang="en-US"/>
                      <a:t> (74,5%)</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numFmt formatCode="#,##0.0" sourceLinked="0"/>
            <c:spPr>
              <a:noFill/>
              <a:ln>
                <a:noFill/>
              </a:ln>
              <a:effectLst/>
            </c:spPr>
            <c:txPr>
              <a:bodyPr rot="0" spcFirstLastPara="1" vertOverflow="ellipsis" vert="horz" wrap="non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'EK maksājumi līdz 31.12.2014'!$C$3:$C$6</c:f>
              <c:strCache>
                <c:ptCount val="4"/>
                <c:pt idx="0">
                  <c:v>ESF </c:v>
                </c:pt>
                <c:pt idx="1">
                  <c:v>KF</c:v>
                </c:pt>
                <c:pt idx="2">
                  <c:v>ERAF</c:v>
                </c:pt>
                <c:pt idx="3">
                  <c:v>Kopā</c:v>
                </c:pt>
              </c:strCache>
            </c:strRef>
          </c:cat>
          <c:val>
            <c:numRef>
              <c:f>'EK maksājumi līdz 31.12.2014'!$E$3:$E$6</c:f>
              <c:numCache>
                <c:formatCode>#,##0</c:formatCode>
                <c:ptCount val="4"/>
                <c:pt idx="0">
                  <c:v>511518733.74953198</c:v>
                </c:pt>
                <c:pt idx="1">
                  <c:v>1076025205.245852</c:v>
                </c:pt>
                <c:pt idx="2">
                  <c:v>1788051416.8519483</c:v>
                </c:pt>
                <c:pt idx="3">
                  <c:v>3375595355.847332</c:v>
                </c:pt>
              </c:numCache>
            </c:numRef>
          </c:val>
        </c:ser>
        <c:ser>
          <c:idx val="0"/>
          <c:order val="2"/>
          <c:tx>
            <c:strRef>
              <c:f>'EK maksājumi līdz 31.12.2014'!$D$2</c:f>
              <c:strCache>
                <c:ptCount val="1"/>
                <c:pt idx="0">
                  <c:v>Pieejamais ES fondu finansējums</c:v>
                </c:pt>
              </c:strCache>
            </c:strRef>
          </c:tx>
          <c:spPr>
            <a:solidFill>
              <a:schemeClr val="accent1"/>
            </a:solidFill>
            <a:ln>
              <a:noFill/>
            </a:ln>
            <a:effectLst/>
          </c:spPr>
          <c:invertIfNegative val="0"/>
          <c:dLbls>
            <c:dLbl>
              <c:idx val="0"/>
              <c:layout/>
              <c:tx>
                <c:rich>
                  <a:bodyPr/>
                  <a:lstStyle/>
                  <a:p>
                    <a:fld id="{182066FA-448E-488F-B591-D16117F45299}"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
              <c:layout/>
              <c:tx>
                <c:rich>
                  <a:bodyPr/>
                  <a:lstStyle/>
                  <a:p>
                    <a:fld id="{EF88BB18-1205-4BF4-82BE-1CF96C754356}"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tx>
                <c:rich>
                  <a:bodyPr/>
                  <a:lstStyle/>
                  <a:p>
                    <a:fld id="{5AB6B256-37D3-4E47-83B6-574D451009D6}"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3"/>
              <c:layout/>
              <c:tx>
                <c:rich>
                  <a:bodyPr/>
                  <a:lstStyle/>
                  <a:p>
                    <a:fld id="{F7548C6C-AC1F-4D7D-8563-5B5D505B7291}"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numFmt formatCode="#,##0.0" sourceLinked="0"/>
            <c:spPr>
              <a:noFill/>
              <a:ln>
                <a:noFill/>
              </a:ln>
              <a:effectLst/>
            </c:spPr>
            <c:txPr>
              <a:bodyPr rot="0" spcFirstLastPara="1" vertOverflow="ellipsis" vert="horz" wrap="non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'EK maksājumi līdz 31.12.2014'!$C$3:$C$6</c:f>
              <c:strCache>
                <c:ptCount val="4"/>
                <c:pt idx="0">
                  <c:v>ESF </c:v>
                </c:pt>
                <c:pt idx="1">
                  <c:v>KF</c:v>
                </c:pt>
                <c:pt idx="2">
                  <c:v>ERAF</c:v>
                </c:pt>
                <c:pt idx="3">
                  <c:v>Kopā</c:v>
                </c:pt>
              </c:strCache>
            </c:strRef>
          </c:cat>
          <c:val>
            <c:numRef>
              <c:f>'EK maksājumi līdz 31.12.2014'!$D$3:$D$6</c:f>
              <c:numCache>
                <c:formatCode>#,##0</c:formatCode>
                <c:ptCount val="4"/>
                <c:pt idx="0">
                  <c:v>583103717</c:v>
                </c:pt>
                <c:pt idx="1">
                  <c:v>1539776553</c:v>
                </c:pt>
                <c:pt idx="2">
                  <c:v>2407567364</c:v>
                </c:pt>
                <c:pt idx="3">
                  <c:v>4530447634</c:v>
                </c:pt>
              </c:numCache>
            </c:numRef>
          </c:val>
        </c:ser>
        <c:dLbls>
          <c:dLblPos val="outEnd"/>
          <c:showLegendKey val="0"/>
          <c:showVal val="1"/>
          <c:showCatName val="0"/>
          <c:showSerName val="0"/>
          <c:showPercent val="0"/>
          <c:showBubbleSize val="0"/>
        </c:dLbls>
        <c:gapWidth val="25"/>
        <c:axId val="164579864"/>
        <c:axId val="163134944"/>
      </c:barChart>
      <c:catAx>
        <c:axId val="164579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3134944"/>
        <c:crosses val="autoZero"/>
        <c:auto val="1"/>
        <c:lblAlgn val="ctr"/>
        <c:lblOffset val="100"/>
        <c:noMultiLvlLbl val="0"/>
      </c:catAx>
      <c:valAx>
        <c:axId val="1631349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4579864"/>
        <c:crosses val="autoZero"/>
        <c:crossBetween val="between"/>
        <c:dispUnits>
          <c:builtInUnit val="millions"/>
        </c:dispUnits>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88407966623966"/>
          <c:y val="4.1785362620375945E-2"/>
          <c:w val="0.72759714599930603"/>
          <c:h val="0.73913909590473537"/>
        </c:manualLayout>
      </c:layout>
      <c:barChart>
        <c:barDir val="bar"/>
        <c:grouping val="clustered"/>
        <c:varyColors val="0"/>
        <c:ser>
          <c:idx val="0"/>
          <c:order val="0"/>
          <c:tx>
            <c:strRef>
              <c:f>'3B grafiks uz 31.12.14'!$B$13</c:f>
              <c:strCache>
                <c:ptCount val="1"/>
                <c:pt idx="0">
                  <c:v>ERAF</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tx>
                <c:rich>
                  <a:bodyPr/>
                  <a:lstStyle/>
                  <a:p>
                    <a:fld id="{2959DD8C-DFD0-4584-80D6-B101962F168E}" type="VALUE">
                      <a:rPr lang="en-US"/>
                      <a:pPr/>
                      <a:t>[VALUE]</a:t>
                    </a:fld>
                    <a:r>
                      <a:rPr lang="en-US"/>
                      <a:t> (0%)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
              <c:layout/>
              <c:tx>
                <c:rich>
                  <a:bodyPr/>
                  <a:lstStyle/>
                  <a:p>
                    <a:fld id="{CA0A0973-661A-49DB-8A2A-D1BB5B365931}" type="VALUE">
                      <a:rPr lang="en-US"/>
                      <a:pPr/>
                      <a:t>[VALUE]</a:t>
                    </a:fld>
                    <a:r>
                      <a:rPr lang="en-US"/>
                      <a:t> (-0,4%)</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tx>
                <c:rich>
                  <a:bodyPr/>
                  <a:lstStyle/>
                  <a:p>
                    <a:fld id="{579B2A80-563D-4149-9187-7EAE362BC88C}" type="VALUE">
                      <a:rPr lang="en-US"/>
                      <a:pPr/>
                      <a:t>[VALUE]</a:t>
                    </a:fld>
                    <a:r>
                      <a:rPr lang="en-US"/>
                      <a:t> (+0,3%)</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'3B grafiks uz 31.12.14'!$C$12:$E$12</c:f>
              <c:strCache>
                <c:ptCount val="3"/>
                <c:pt idx="0">
                  <c:v>Lietuva</c:v>
                </c:pt>
                <c:pt idx="1">
                  <c:v>Igaunija</c:v>
                </c:pt>
                <c:pt idx="2">
                  <c:v>Latvija</c:v>
                </c:pt>
              </c:strCache>
            </c:strRef>
          </c:cat>
          <c:val>
            <c:numRef>
              <c:f>'3B grafiks uz 31.12.14'!$C$13:$E$13</c:f>
              <c:numCache>
                <c:formatCode>#,##0.0%</c:formatCode>
                <c:ptCount val="3"/>
                <c:pt idx="0" formatCode="0.0%">
                  <c:v>0.998</c:v>
                </c:pt>
                <c:pt idx="1">
                  <c:v>0.97199999999999998</c:v>
                </c:pt>
                <c:pt idx="2" formatCode="0.0%">
                  <c:v>1.073</c:v>
                </c:pt>
              </c:numCache>
            </c:numRef>
          </c:val>
        </c:ser>
        <c:ser>
          <c:idx val="1"/>
          <c:order val="1"/>
          <c:tx>
            <c:strRef>
              <c:f>'3B grafiks uz 31.12.14'!$B$14</c:f>
              <c:strCache>
                <c:ptCount val="1"/>
                <c:pt idx="0">
                  <c:v>ESF</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tx>
                <c:rich>
                  <a:bodyPr/>
                  <a:lstStyle/>
                  <a:p>
                    <a:fld id="{6BB18D05-21A0-45DA-BF6B-8F7063C10470}" type="VALUE">
                      <a:rPr lang="en-US"/>
                      <a:pPr/>
                      <a:t>[VALUE]</a:t>
                    </a:fld>
                    <a:r>
                      <a:rPr lang="en-US"/>
                      <a:t> (-0,3%)</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
              <c:layout/>
              <c:tx>
                <c:rich>
                  <a:bodyPr/>
                  <a:lstStyle/>
                  <a:p>
                    <a:fld id="{F3176576-3E5B-404F-AF3B-B13079DEA4ED}" type="VALUE">
                      <a:rPr lang="en-US"/>
                      <a:pPr/>
                      <a:t>[VALUE]</a:t>
                    </a:fld>
                    <a:r>
                      <a:rPr lang="en-US"/>
                      <a:t> (+0,1%)</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tx>
                <c:rich>
                  <a:bodyPr/>
                  <a:lstStyle/>
                  <a:p>
                    <a:fld id="{829B39C4-95EF-4B65-A393-507F268AE114}" type="VALUE">
                      <a:rPr lang="en-US"/>
                      <a:pPr/>
                      <a:t>[VALUE]</a:t>
                    </a:fld>
                    <a:r>
                      <a:rPr lang="en-US"/>
                      <a:t> (-0,6%)</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'3B grafiks uz 31.12.14'!$C$12:$E$12</c:f>
              <c:strCache>
                <c:ptCount val="3"/>
                <c:pt idx="0">
                  <c:v>Lietuva</c:v>
                </c:pt>
                <c:pt idx="1">
                  <c:v>Igaunija</c:v>
                </c:pt>
                <c:pt idx="2">
                  <c:v>Latvija</c:v>
                </c:pt>
              </c:strCache>
            </c:strRef>
          </c:cat>
          <c:val>
            <c:numRef>
              <c:f>'3B grafiks uz 31.12.14'!$C$14:$E$14</c:f>
              <c:numCache>
                <c:formatCode>#,##0.0%</c:formatCode>
                <c:ptCount val="3"/>
                <c:pt idx="0" formatCode="0.0%">
                  <c:v>1.0109999999999999</c:v>
                </c:pt>
                <c:pt idx="1">
                  <c:v>0.98099999999999998</c:v>
                </c:pt>
                <c:pt idx="2" formatCode="0.0%">
                  <c:v>1.105</c:v>
                </c:pt>
              </c:numCache>
            </c:numRef>
          </c:val>
        </c:ser>
        <c:ser>
          <c:idx val="2"/>
          <c:order val="2"/>
          <c:tx>
            <c:strRef>
              <c:f>'3B grafiks uz 31.12.14'!$B$15</c:f>
              <c:strCache>
                <c:ptCount val="1"/>
                <c:pt idx="0">
                  <c:v>KF</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tx>
                <c:rich>
                  <a:bodyPr/>
                  <a:lstStyle/>
                  <a:p>
                    <a:fld id="{C3AE5F19-B763-416C-B9A2-055A1D790412}" type="VALUE">
                      <a:rPr lang="en-US"/>
                      <a:pPr/>
                      <a:t>[VALUE]</a:t>
                    </a:fld>
                    <a:r>
                      <a:rPr lang="en-US"/>
                      <a:t> (-0,1%)</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
              <c:layout/>
              <c:tx>
                <c:rich>
                  <a:bodyPr/>
                  <a:lstStyle/>
                  <a:p>
                    <a:fld id="{6E2B3D6F-17AC-4B13-99FA-51AD17D0E5C0}" type="VALUE">
                      <a:rPr lang="en-US"/>
                      <a:pPr/>
                      <a:t>[VALUE]</a:t>
                    </a:fld>
                    <a:r>
                      <a:rPr lang="en-US"/>
                      <a:t> (+0,5%)</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tx>
                <c:rich>
                  <a:bodyPr/>
                  <a:lstStyle/>
                  <a:p>
                    <a:fld id="{6B7A612A-0F7C-4B5D-A54A-818595995AC1}" type="VALUE">
                      <a:rPr lang="en-US"/>
                      <a:pPr/>
                      <a:t>[VALUE]</a:t>
                    </a:fld>
                    <a:r>
                      <a:rPr lang="en-US"/>
                      <a:t> (+0,7%)</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'3B grafiks uz 31.12.14'!$C$12:$E$12</c:f>
              <c:strCache>
                <c:ptCount val="3"/>
                <c:pt idx="0">
                  <c:v>Lietuva</c:v>
                </c:pt>
                <c:pt idx="1">
                  <c:v>Igaunija</c:v>
                </c:pt>
                <c:pt idx="2">
                  <c:v>Latvija</c:v>
                </c:pt>
              </c:strCache>
            </c:strRef>
          </c:cat>
          <c:val>
            <c:numRef>
              <c:f>'3B grafiks uz 31.12.14'!$C$15:$E$15</c:f>
              <c:numCache>
                <c:formatCode>#,##0.0%</c:formatCode>
                <c:ptCount val="3"/>
                <c:pt idx="0" formatCode="0.0%">
                  <c:v>0.99399999999999999</c:v>
                </c:pt>
                <c:pt idx="1">
                  <c:v>0.995</c:v>
                </c:pt>
                <c:pt idx="2" formatCode="0.0%">
                  <c:v>0.98799999999999999</c:v>
                </c:pt>
              </c:numCache>
            </c:numRef>
          </c:val>
        </c:ser>
        <c:ser>
          <c:idx val="3"/>
          <c:order val="3"/>
          <c:tx>
            <c:strRef>
              <c:f>'3B grafiks uz 31.12.14'!$B$16</c:f>
              <c:strCache>
                <c:ptCount val="1"/>
                <c:pt idx="0">
                  <c:v>Kopā</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tx>
                <c:rich>
                  <a:bodyPr/>
                  <a:lstStyle/>
                  <a:p>
                    <a:fld id="{B1BB8E27-8F17-4347-B4F9-140555880F78}" type="VALUE">
                      <a:rPr lang="en-US"/>
                      <a:pPr/>
                      <a:t>[VALUE]</a:t>
                    </a:fld>
                    <a:r>
                      <a:rPr lang="en-US"/>
                      <a:t> (0%)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
              <c:layout/>
              <c:tx>
                <c:rich>
                  <a:bodyPr/>
                  <a:lstStyle/>
                  <a:p>
                    <a:fld id="{AAB49126-FCB1-4EA8-9DD6-5682DA987B12}" type="VALUE">
                      <a:rPr lang="en-US"/>
                      <a:pPr/>
                      <a:t>[VALUE]</a:t>
                    </a:fld>
                    <a:r>
                      <a:rPr lang="en-US"/>
                      <a:t> (0%)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tx>
                <c:rich>
                  <a:bodyPr/>
                  <a:lstStyle/>
                  <a:p>
                    <a:fld id="{8E27664D-F4AB-40B9-98DD-3BEEF6B331D6}" type="VALUE">
                      <a:rPr lang="en-US"/>
                      <a:pPr/>
                      <a:t>[VALUE]</a:t>
                    </a:fld>
                    <a:r>
                      <a:rPr lang="en-US"/>
                      <a:t> (+0,4%)</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'3B grafiks uz 31.12.14'!$C$12:$E$12</c:f>
              <c:strCache>
                <c:ptCount val="3"/>
                <c:pt idx="0">
                  <c:v>Lietuva</c:v>
                </c:pt>
                <c:pt idx="1">
                  <c:v>Igaunija</c:v>
                </c:pt>
                <c:pt idx="2">
                  <c:v>Latvija</c:v>
                </c:pt>
              </c:strCache>
            </c:strRef>
          </c:cat>
          <c:val>
            <c:numRef>
              <c:f>'3B grafiks uz 31.12.14'!$C$16:$E$16</c:f>
              <c:numCache>
                <c:formatCode>#,##0.0%</c:formatCode>
                <c:ptCount val="3"/>
                <c:pt idx="0" formatCode="0.0%">
                  <c:v>0.999</c:v>
                </c:pt>
                <c:pt idx="1">
                  <c:v>0.98099999999999998</c:v>
                </c:pt>
                <c:pt idx="2" formatCode="0.0%">
                  <c:v>1.0489999999999999</c:v>
                </c:pt>
              </c:numCache>
            </c:numRef>
          </c:val>
        </c:ser>
        <c:dLbls>
          <c:dLblPos val="outEnd"/>
          <c:showLegendKey val="0"/>
          <c:showVal val="1"/>
          <c:showCatName val="0"/>
          <c:showSerName val="0"/>
          <c:showPercent val="0"/>
          <c:showBubbleSize val="0"/>
        </c:dLbls>
        <c:gapWidth val="75"/>
        <c:axId val="163137688"/>
        <c:axId val="163138080"/>
      </c:barChart>
      <c:catAx>
        <c:axId val="16313768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3138080"/>
        <c:crosses val="autoZero"/>
        <c:auto val="1"/>
        <c:lblAlgn val="ctr"/>
        <c:lblOffset val="100"/>
        <c:noMultiLvlLbl val="0"/>
      </c:catAx>
      <c:valAx>
        <c:axId val="163138080"/>
        <c:scaling>
          <c:orientation val="minMax"/>
        </c:scaling>
        <c:delete val="0"/>
        <c:axPos val="b"/>
        <c:majorGridlines>
          <c:spPr>
            <a:ln w="9525" cap="flat" cmpd="sng" algn="ctr">
              <a:solidFill>
                <a:schemeClr val="bg1">
                  <a:lumMod val="50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3137688"/>
        <c:crosses val="autoZero"/>
        <c:crossBetween val="between"/>
      </c:valAx>
      <c:spPr>
        <a:noFill/>
        <a:ln>
          <a:solidFill>
            <a:schemeClr val="bg1">
              <a:lumMod val="50000"/>
            </a:schemeClr>
          </a:solidFill>
        </a:ln>
        <a:effectLst/>
      </c:spPr>
    </c:plotArea>
    <c:legend>
      <c:legendPos val="b"/>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888753147079721E-2"/>
          <c:y val="6.7801464575964143E-2"/>
          <c:w val="0.88136046840298821"/>
          <c:h val="0.66023906145799383"/>
        </c:manualLayout>
      </c:layout>
      <c:lineChart>
        <c:grouping val="standard"/>
        <c:varyColors val="0"/>
        <c:ser>
          <c:idx val="0"/>
          <c:order val="0"/>
          <c:tx>
            <c:strRef>
              <c:f>'fondu mērķu apguve preciz 7.11 '!$A$2</c:f>
              <c:strCache>
                <c:ptCount val="1"/>
                <c:pt idx="0">
                  <c:v>Kopā mērķis </c:v>
                </c:pt>
              </c:strCache>
            </c:strRef>
          </c:tx>
          <c:spPr>
            <a:ln>
              <a:prstDash val="sysDash"/>
            </a:ln>
          </c:spPr>
          <c:marker>
            <c:symbol val="square"/>
            <c:size val="5"/>
            <c:spPr>
              <a:solidFill>
                <a:schemeClr val="accent1">
                  <a:lumMod val="75000"/>
                </a:schemeClr>
              </a:solidFill>
              <a:ln>
                <a:solidFill>
                  <a:schemeClr val="accent1">
                    <a:lumMod val="75000"/>
                  </a:schemeClr>
                </a:solidFill>
              </a:ln>
            </c:spPr>
          </c:marker>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numFmt formatCode="#,##0.0" sourceLinked="0"/>
            <c:spPr>
              <a:noFill/>
              <a:ln>
                <a:noFill/>
              </a:ln>
              <a:effectLst/>
            </c:spPr>
            <c:txPr>
              <a:bodyPr wrap="square" lIns="38100" tIns="19050" rIns="38100" bIns="19050" anchor="ctr">
                <a:spAutoFit/>
              </a:bodyPr>
              <a:lstStyle/>
              <a:p>
                <a:pPr>
                  <a:defRPr b="1">
                    <a:solidFill>
                      <a:schemeClr val="accent1">
                        <a:lumMod val="75000"/>
                      </a:schemeClr>
                    </a:solidFill>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'fondu mērķu apguve preciz 7.11 '!$B$1:$M$1</c:f>
              <c:strCache>
                <c:ptCount val="12"/>
                <c:pt idx="0">
                  <c:v>Jan.</c:v>
                </c:pt>
                <c:pt idx="1">
                  <c:v>Feb.</c:v>
                </c:pt>
                <c:pt idx="2">
                  <c:v>Mar.</c:v>
                </c:pt>
                <c:pt idx="3">
                  <c:v>Apr.</c:v>
                </c:pt>
                <c:pt idx="4">
                  <c:v>Mai.</c:v>
                </c:pt>
                <c:pt idx="5">
                  <c:v>Jūn.</c:v>
                </c:pt>
                <c:pt idx="6">
                  <c:v>Jūl.</c:v>
                </c:pt>
                <c:pt idx="7">
                  <c:v>Aug.</c:v>
                </c:pt>
                <c:pt idx="8">
                  <c:v>Sept.</c:v>
                </c:pt>
                <c:pt idx="9">
                  <c:v>Okt.</c:v>
                </c:pt>
                <c:pt idx="10">
                  <c:v>Nov.</c:v>
                </c:pt>
                <c:pt idx="11">
                  <c:v>Dec.</c:v>
                </c:pt>
              </c:strCache>
            </c:strRef>
          </c:cat>
          <c:val>
            <c:numRef>
              <c:f>'fondu mērķu apguve preciz 7.11 '!$B$2:$M$2</c:f>
              <c:numCache>
                <c:formatCode>#,##0</c:formatCode>
                <c:ptCount val="12"/>
                <c:pt idx="0">
                  <c:v>27454615.04607068</c:v>
                </c:pt>
                <c:pt idx="1">
                  <c:v>106818559.94434837</c:v>
                </c:pt>
                <c:pt idx="2">
                  <c:v>177284874.95962048</c:v>
                </c:pt>
                <c:pt idx="3">
                  <c:v>238769800.41556972</c:v>
                </c:pt>
                <c:pt idx="4">
                  <c:v>286258996.43945599</c:v>
                </c:pt>
                <c:pt idx="5">
                  <c:v>353572505.85364801</c:v>
                </c:pt>
                <c:pt idx="6">
                  <c:v>421273260.8024261</c:v>
                </c:pt>
                <c:pt idx="7">
                  <c:v>493553063.15833145</c:v>
                </c:pt>
                <c:pt idx="8">
                  <c:v>581707422.238801</c:v>
                </c:pt>
                <c:pt idx="9">
                  <c:v>657217566.47896338</c:v>
                </c:pt>
                <c:pt idx="10">
                  <c:v>736924342.58237815</c:v>
                </c:pt>
                <c:pt idx="11">
                  <c:v>846760529.83383012</c:v>
                </c:pt>
              </c:numCache>
            </c:numRef>
          </c:val>
          <c:smooth val="0"/>
        </c:ser>
        <c:ser>
          <c:idx val="1"/>
          <c:order val="1"/>
          <c:tx>
            <c:strRef>
              <c:f>'fondu mērķu apguve preciz 7.11 '!$A$3</c:f>
              <c:strCache>
                <c:ptCount val="1"/>
                <c:pt idx="0">
                  <c:v>Kopā izpilde (84,3%)</c:v>
                </c:pt>
              </c:strCache>
            </c:strRef>
          </c:tx>
          <c:spPr>
            <a:ln>
              <a:solidFill>
                <a:schemeClr val="accent1">
                  <a:lumMod val="75000"/>
                </a:schemeClr>
              </a:solidFill>
            </a:ln>
          </c:spPr>
          <c:marker>
            <c:symbol val="diamond"/>
            <c:size val="5"/>
            <c:spPr>
              <a:solidFill>
                <a:schemeClr val="accent1">
                  <a:lumMod val="75000"/>
                </a:schemeClr>
              </a:solidFill>
              <a:ln>
                <a:solidFill>
                  <a:schemeClr val="accent1">
                    <a:lumMod val="75000"/>
                  </a:schemeClr>
                </a:solidFill>
              </a:ln>
            </c:spPr>
          </c:marker>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numFmt formatCode="#,##0.0" sourceLinked="0"/>
            <c:spPr>
              <a:noFill/>
              <a:ln>
                <a:noFill/>
              </a:ln>
              <a:effectLst/>
            </c:spPr>
            <c:txPr>
              <a:bodyPr wrap="square" lIns="38100" tIns="19050" rIns="38100" bIns="19050" anchor="ctr">
                <a:spAutoFit/>
              </a:bodyPr>
              <a:lstStyle/>
              <a:p>
                <a:pPr>
                  <a:defRPr b="1">
                    <a:solidFill>
                      <a:schemeClr val="accent1">
                        <a:lumMod val="75000"/>
                      </a:schemeClr>
                    </a:solidFill>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'fondu mērķu apguve preciz 7.11 '!$B$1:$M$1</c:f>
              <c:strCache>
                <c:ptCount val="12"/>
                <c:pt idx="0">
                  <c:v>Jan.</c:v>
                </c:pt>
                <c:pt idx="1">
                  <c:v>Feb.</c:v>
                </c:pt>
                <c:pt idx="2">
                  <c:v>Mar.</c:v>
                </c:pt>
                <c:pt idx="3">
                  <c:v>Apr.</c:v>
                </c:pt>
                <c:pt idx="4">
                  <c:v>Mai.</c:v>
                </c:pt>
                <c:pt idx="5">
                  <c:v>Jūn.</c:v>
                </c:pt>
                <c:pt idx="6">
                  <c:v>Jūl.</c:v>
                </c:pt>
                <c:pt idx="7">
                  <c:v>Aug.</c:v>
                </c:pt>
                <c:pt idx="8">
                  <c:v>Sept.</c:v>
                </c:pt>
                <c:pt idx="9">
                  <c:v>Okt.</c:v>
                </c:pt>
                <c:pt idx="10">
                  <c:v>Nov.</c:v>
                </c:pt>
                <c:pt idx="11">
                  <c:v>Dec.</c:v>
                </c:pt>
              </c:strCache>
            </c:strRef>
          </c:cat>
          <c:val>
            <c:numRef>
              <c:f>'fondu mērķu apguve preciz 7.11 '!$B$3:$M$3</c:f>
              <c:numCache>
                <c:formatCode>#,##0</c:formatCode>
                <c:ptCount val="12"/>
                <c:pt idx="0">
                  <c:v>20522951.756087299</c:v>
                </c:pt>
                <c:pt idx="1">
                  <c:v>77276411.696087301</c:v>
                </c:pt>
                <c:pt idx="2">
                  <c:v>120898332.0660872</c:v>
                </c:pt>
                <c:pt idx="3">
                  <c:v>190182139.07608727</c:v>
                </c:pt>
                <c:pt idx="4">
                  <c:v>217914204.0360873</c:v>
                </c:pt>
                <c:pt idx="5">
                  <c:v>262712469.46608731</c:v>
                </c:pt>
                <c:pt idx="6">
                  <c:v>324063614.76689208</c:v>
                </c:pt>
                <c:pt idx="7">
                  <c:v>372537604.79398859</c:v>
                </c:pt>
                <c:pt idx="8">
                  <c:v>428842519.17999995</c:v>
                </c:pt>
                <c:pt idx="9">
                  <c:v>495790716.31999993</c:v>
                </c:pt>
                <c:pt idx="10">
                  <c:v>576407533.46000004</c:v>
                </c:pt>
                <c:pt idx="11">
                  <c:v>714018731.96608734</c:v>
                </c:pt>
              </c:numCache>
            </c:numRef>
          </c:val>
          <c:smooth val="0"/>
        </c:ser>
        <c:ser>
          <c:idx val="2"/>
          <c:order val="2"/>
          <c:tx>
            <c:strRef>
              <c:f>'fondu mērķu apguve preciz 7.11 '!$A$4</c:f>
              <c:strCache>
                <c:ptCount val="1"/>
                <c:pt idx="0">
                  <c:v>ERAF mērķis</c:v>
                </c:pt>
              </c:strCache>
            </c:strRef>
          </c:tx>
          <c:spPr>
            <a:ln>
              <a:prstDash val="sysDash"/>
            </a:ln>
          </c:spPr>
          <c:marker>
            <c:symbol val="square"/>
            <c:size val="5"/>
            <c:spPr>
              <a:solidFill>
                <a:schemeClr val="accent3">
                  <a:lumMod val="75000"/>
                </a:schemeClr>
              </a:solidFill>
            </c:spPr>
          </c:marker>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numFmt formatCode="#,##0.0" sourceLinked="0"/>
            <c:spPr>
              <a:noFill/>
              <a:ln>
                <a:noFill/>
              </a:ln>
              <a:effectLst/>
            </c:spPr>
            <c:txPr>
              <a:bodyPr wrap="square" lIns="38100" tIns="19050" rIns="38100" bIns="19050" anchor="ctr">
                <a:spAutoFit/>
              </a:bodyPr>
              <a:lstStyle/>
              <a:p>
                <a:pPr>
                  <a:defRPr b="1">
                    <a:solidFill>
                      <a:schemeClr val="accent3">
                        <a:lumMod val="50000"/>
                      </a:schemeClr>
                    </a:solidFill>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'fondu mērķu apguve preciz 7.11 '!$B$1:$M$1</c:f>
              <c:strCache>
                <c:ptCount val="12"/>
                <c:pt idx="0">
                  <c:v>Jan.</c:v>
                </c:pt>
                <c:pt idx="1">
                  <c:v>Feb.</c:v>
                </c:pt>
                <c:pt idx="2">
                  <c:v>Mar.</c:v>
                </c:pt>
                <c:pt idx="3">
                  <c:v>Apr.</c:v>
                </c:pt>
                <c:pt idx="4">
                  <c:v>Mai.</c:v>
                </c:pt>
                <c:pt idx="5">
                  <c:v>Jūn.</c:v>
                </c:pt>
                <c:pt idx="6">
                  <c:v>Jūl.</c:v>
                </c:pt>
                <c:pt idx="7">
                  <c:v>Aug.</c:v>
                </c:pt>
                <c:pt idx="8">
                  <c:v>Sept.</c:v>
                </c:pt>
                <c:pt idx="9">
                  <c:v>Okt.</c:v>
                </c:pt>
                <c:pt idx="10">
                  <c:v>Nov.</c:v>
                </c:pt>
                <c:pt idx="11">
                  <c:v>Dec.</c:v>
                </c:pt>
              </c:strCache>
            </c:strRef>
          </c:cat>
          <c:val>
            <c:numRef>
              <c:f>'fondu mērķu apguve preciz 7.11 '!$B$4:$M$4</c:f>
              <c:numCache>
                <c:formatCode>#,##0</c:formatCode>
                <c:ptCount val="12"/>
                <c:pt idx="0">
                  <c:v>15903892.337327233</c:v>
                </c:pt>
                <c:pt idx="1">
                  <c:v>54385768.639647365</c:v>
                </c:pt>
                <c:pt idx="2">
                  <c:v>96813716.553929865</c:v>
                </c:pt>
                <c:pt idx="3">
                  <c:v>129538643.18382323</c:v>
                </c:pt>
                <c:pt idx="4">
                  <c:v>148904476.9194968</c:v>
                </c:pt>
                <c:pt idx="5">
                  <c:v>179756507.31212482</c:v>
                </c:pt>
                <c:pt idx="6">
                  <c:v>214577239.0485588</c:v>
                </c:pt>
                <c:pt idx="7">
                  <c:v>245037952.68366322</c:v>
                </c:pt>
                <c:pt idx="8">
                  <c:v>287278363.28651196</c:v>
                </c:pt>
                <c:pt idx="9">
                  <c:v>319683503.07110989</c:v>
                </c:pt>
                <c:pt idx="10">
                  <c:v>366648408.83666795</c:v>
                </c:pt>
                <c:pt idx="11">
                  <c:v>444425849.52999997</c:v>
                </c:pt>
              </c:numCache>
            </c:numRef>
          </c:val>
          <c:smooth val="0"/>
        </c:ser>
        <c:ser>
          <c:idx val="3"/>
          <c:order val="3"/>
          <c:tx>
            <c:strRef>
              <c:f>'fondu mērķu apguve preciz 7.11 '!$A$5</c:f>
              <c:strCache>
                <c:ptCount val="1"/>
                <c:pt idx="0">
                  <c:v>ERAF izpilde (91,7%)</c:v>
                </c:pt>
              </c:strCache>
            </c:strRef>
          </c:tx>
          <c:spPr>
            <a:ln>
              <a:solidFill>
                <a:schemeClr val="accent3">
                  <a:lumMod val="75000"/>
                </a:schemeClr>
              </a:solidFill>
            </a:ln>
          </c:spPr>
          <c:marker>
            <c:symbol val="diamond"/>
            <c:size val="5"/>
            <c:spPr>
              <a:solidFill>
                <a:schemeClr val="accent3">
                  <a:lumMod val="75000"/>
                </a:schemeClr>
              </a:solidFill>
              <a:ln>
                <a:solidFill>
                  <a:schemeClr val="accent3">
                    <a:lumMod val="75000"/>
                  </a:schemeClr>
                </a:solidFill>
              </a:ln>
            </c:spPr>
          </c:marker>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dLbl>
              <c:idx val="11"/>
              <c:layout>
                <c:manualLayout>
                  <c:x val="-3.9782756279701289E-3"/>
                  <c:y val="-9.4148472404804815E-3"/>
                </c:manualLayout>
              </c:layout>
              <c:dLblPos val="r"/>
              <c:showLegendKey val="0"/>
              <c:showVal val="1"/>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txPr>
              <a:bodyPr wrap="square" lIns="38100" tIns="19050" rIns="38100" bIns="19050" anchor="ctr">
                <a:spAutoFit/>
              </a:bodyPr>
              <a:lstStyle/>
              <a:p>
                <a:pPr>
                  <a:defRPr b="1">
                    <a:solidFill>
                      <a:schemeClr val="accent3">
                        <a:lumMod val="50000"/>
                      </a:schemeClr>
                    </a:solidFill>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'fondu mērķu apguve preciz 7.11 '!$B$1:$M$1</c:f>
              <c:strCache>
                <c:ptCount val="12"/>
                <c:pt idx="0">
                  <c:v>Jan.</c:v>
                </c:pt>
                <c:pt idx="1">
                  <c:v>Feb.</c:v>
                </c:pt>
                <c:pt idx="2">
                  <c:v>Mar.</c:v>
                </c:pt>
                <c:pt idx="3">
                  <c:v>Apr.</c:v>
                </c:pt>
                <c:pt idx="4">
                  <c:v>Mai.</c:v>
                </c:pt>
                <c:pt idx="5">
                  <c:v>Jūn.</c:v>
                </c:pt>
                <c:pt idx="6">
                  <c:v>Jūl.</c:v>
                </c:pt>
                <c:pt idx="7">
                  <c:v>Aug.</c:v>
                </c:pt>
                <c:pt idx="8">
                  <c:v>Sept.</c:v>
                </c:pt>
                <c:pt idx="9">
                  <c:v>Okt.</c:v>
                </c:pt>
                <c:pt idx="10">
                  <c:v>Nov.</c:v>
                </c:pt>
                <c:pt idx="11">
                  <c:v>Dec.</c:v>
                </c:pt>
              </c:strCache>
            </c:strRef>
          </c:cat>
          <c:val>
            <c:numRef>
              <c:f>'fondu mērķu apguve preciz 7.11 '!$B$5:$M$5</c:f>
              <c:numCache>
                <c:formatCode>#,##0</c:formatCode>
                <c:ptCount val="12"/>
                <c:pt idx="0">
                  <c:v>12386061.358070353</c:v>
                </c:pt>
                <c:pt idx="1">
                  <c:v>43803778.068070486</c:v>
                </c:pt>
                <c:pt idx="2">
                  <c:v>71867230.098070428</c:v>
                </c:pt>
                <c:pt idx="3">
                  <c:v>93482860.648070469</c:v>
                </c:pt>
                <c:pt idx="4">
                  <c:v>110994507.32807043</c:v>
                </c:pt>
                <c:pt idx="5">
                  <c:v>141450187.80807048</c:v>
                </c:pt>
                <c:pt idx="6">
                  <c:v>158906762.30887535</c:v>
                </c:pt>
                <c:pt idx="7">
                  <c:v>186559665.73597157</c:v>
                </c:pt>
                <c:pt idx="8">
                  <c:v>216324908.02000004</c:v>
                </c:pt>
                <c:pt idx="9">
                  <c:v>250779383.43000001</c:v>
                </c:pt>
                <c:pt idx="10">
                  <c:v>293642283.38000005</c:v>
                </c:pt>
                <c:pt idx="11">
                  <c:v>407728231.01807034</c:v>
                </c:pt>
              </c:numCache>
            </c:numRef>
          </c:val>
          <c:smooth val="0"/>
        </c:ser>
        <c:ser>
          <c:idx val="6"/>
          <c:order val="4"/>
          <c:tx>
            <c:strRef>
              <c:f>'fondu mērķu apguve preciz 7.11 '!$A$6</c:f>
              <c:strCache>
                <c:ptCount val="1"/>
                <c:pt idx="0">
                  <c:v>KF mērķis</c:v>
                </c:pt>
              </c:strCache>
            </c:strRef>
          </c:tx>
          <c:spPr>
            <a:ln>
              <a:solidFill>
                <a:srgbClr val="00B050"/>
              </a:solidFill>
              <a:prstDash val="sysDash"/>
            </a:ln>
          </c:spPr>
          <c:marker>
            <c:symbol val="square"/>
            <c:size val="5"/>
            <c:spPr>
              <a:solidFill>
                <a:srgbClr val="00B050"/>
              </a:solidFill>
              <a:ln>
                <a:solidFill>
                  <a:srgbClr val="00B050"/>
                </a:solidFill>
              </a:ln>
            </c:spPr>
          </c:marker>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dLbl>
              <c:idx val="11"/>
              <c:layout>
                <c:manualLayout>
                  <c:x val="-6.0102564102564099E-3"/>
                  <c:y val="-4.1873136537765665E-3"/>
                </c:manualLayout>
              </c:layout>
              <c:dLblPos val="r"/>
              <c:showLegendKey val="0"/>
              <c:showVal val="1"/>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txPr>
              <a:bodyPr wrap="square" lIns="38100" tIns="19050" rIns="38100" bIns="19050" anchor="ctr">
                <a:spAutoFit/>
              </a:bodyPr>
              <a:lstStyle/>
              <a:p>
                <a:pPr>
                  <a:defRPr b="1">
                    <a:solidFill>
                      <a:srgbClr val="00B050"/>
                    </a:solidFill>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'fondu mērķu apguve preciz 7.11 '!$B$1:$M$1</c:f>
              <c:strCache>
                <c:ptCount val="12"/>
                <c:pt idx="0">
                  <c:v>Jan.</c:v>
                </c:pt>
                <c:pt idx="1">
                  <c:v>Feb.</c:v>
                </c:pt>
                <c:pt idx="2">
                  <c:v>Mar.</c:v>
                </c:pt>
                <c:pt idx="3">
                  <c:v>Apr.</c:v>
                </c:pt>
                <c:pt idx="4">
                  <c:v>Mai.</c:v>
                </c:pt>
                <c:pt idx="5">
                  <c:v>Jūn.</c:v>
                </c:pt>
                <c:pt idx="6">
                  <c:v>Jūl.</c:v>
                </c:pt>
                <c:pt idx="7">
                  <c:v>Aug.</c:v>
                </c:pt>
                <c:pt idx="8">
                  <c:v>Sept.</c:v>
                </c:pt>
                <c:pt idx="9">
                  <c:v>Okt.</c:v>
                </c:pt>
                <c:pt idx="10">
                  <c:v>Nov.</c:v>
                </c:pt>
                <c:pt idx="11">
                  <c:v>Dec.</c:v>
                </c:pt>
              </c:strCache>
            </c:strRef>
          </c:cat>
          <c:val>
            <c:numRef>
              <c:f>'fondu mērķu apguve preciz 7.11 '!$B$6:$M$6</c:f>
              <c:numCache>
                <c:formatCode>#,##0</c:formatCode>
                <c:ptCount val="12"/>
                <c:pt idx="0">
                  <c:v>6675324.7260003565</c:v>
                </c:pt>
                <c:pt idx="1">
                  <c:v>40898535.995816506</c:v>
                </c:pt>
                <c:pt idx="2">
                  <c:v>60689140.539827593</c:v>
                </c:pt>
                <c:pt idx="3">
                  <c:v>85183783.864282206</c:v>
                </c:pt>
                <c:pt idx="4">
                  <c:v>107534936.61170538</c:v>
                </c:pt>
                <c:pt idx="5">
                  <c:v>139043721.03465506</c:v>
                </c:pt>
                <c:pt idx="6">
                  <c:v>167624836.14047927</c:v>
                </c:pt>
                <c:pt idx="7">
                  <c:v>204442159.27514237</c:v>
                </c:pt>
                <c:pt idx="8">
                  <c:v>245742044.46769407</c:v>
                </c:pt>
                <c:pt idx="9">
                  <c:v>284184163.30650008</c:v>
                </c:pt>
                <c:pt idx="10">
                  <c:v>312129047.18298197</c:v>
                </c:pt>
                <c:pt idx="11">
                  <c:v>340544615.48999995</c:v>
                </c:pt>
              </c:numCache>
            </c:numRef>
          </c:val>
          <c:smooth val="0"/>
        </c:ser>
        <c:ser>
          <c:idx val="7"/>
          <c:order val="5"/>
          <c:tx>
            <c:strRef>
              <c:f>'fondu mērķu apguve preciz 7.11 '!$A$7</c:f>
              <c:strCache>
                <c:ptCount val="1"/>
                <c:pt idx="0">
                  <c:v>KF izpilde (70,8%)</c:v>
                </c:pt>
              </c:strCache>
            </c:strRef>
          </c:tx>
          <c:spPr>
            <a:ln>
              <a:solidFill>
                <a:srgbClr val="00B050"/>
              </a:solidFill>
            </a:ln>
          </c:spPr>
          <c:marker>
            <c:symbol val="diamond"/>
            <c:size val="5"/>
            <c:spPr>
              <a:solidFill>
                <a:srgbClr val="00B050"/>
              </a:solidFill>
              <a:ln>
                <a:solidFill>
                  <a:srgbClr val="00B050"/>
                </a:solidFill>
              </a:ln>
            </c:spPr>
          </c:marker>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dLbl>
              <c:idx val="11"/>
              <c:layout>
                <c:manualLayout>
                  <c:x val="-3.9589743589743586E-3"/>
                  <c:y val="-4.1873136537764971E-3"/>
                </c:manualLayout>
              </c:layout>
              <c:dLblPos val="r"/>
              <c:showLegendKey val="0"/>
              <c:showVal val="1"/>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txPr>
              <a:bodyPr wrap="square" lIns="38100" tIns="19050" rIns="38100" bIns="19050" anchor="ctr">
                <a:spAutoFit/>
              </a:bodyPr>
              <a:lstStyle/>
              <a:p>
                <a:pPr>
                  <a:defRPr sz="1000" b="1">
                    <a:solidFill>
                      <a:srgbClr val="00B050"/>
                    </a:solidFill>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'fondu mērķu apguve preciz 7.11 '!$B$1:$M$1</c:f>
              <c:strCache>
                <c:ptCount val="12"/>
                <c:pt idx="0">
                  <c:v>Jan.</c:v>
                </c:pt>
                <c:pt idx="1">
                  <c:v>Feb.</c:v>
                </c:pt>
                <c:pt idx="2">
                  <c:v>Mar.</c:v>
                </c:pt>
                <c:pt idx="3">
                  <c:v>Apr.</c:v>
                </c:pt>
                <c:pt idx="4">
                  <c:v>Mai.</c:v>
                </c:pt>
                <c:pt idx="5">
                  <c:v>Jūn.</c:v>
                </c:pt>
                <c:pt idx="6">
                  <c:v>Jūl.</c:v>
                </c:pt>
                <c:pt idx="7">
                  <c:v>Aug.</c:v>
                </c:pt>
                <c:pt idx="8">
                  <c:v>Sept.</c:v>
                </c:pt>
                <c:pt idx="9">
                  <c:v>Okt.</c:v>
                </c:pt>
                <c:pt idx="10">
                  <c:v>Nov.</c:v>
                </c:pt>
                <c:pt idx="11">
                  <c:v>Dec.</c:v>
                </c:pt>
              </c:strCache>
            </c:strRef>
          </c:cat>
          <c:val>
            <c:numRef>
              <c:f>'fondu mērķu apguve preciz 7.11 '!$B$7:$M$7</c:f>
              <c:numCache>
                <c:formatCode>#,##0</c:formatCode>
                <c:ptCount val="12"/>
                <c:pt idx="0">
                  <c:v>6486830.7725244416</c:v>
                </c:pt>
                <c:pt idx="1">
                  <c:v>24899740.692524415</c:v>
                </c:pt>
                <c:pt idx="2">
                  <c:v>36233492.152524367</c:v>
                </c:pt>
                <c:pt idx="3">
                  <c:v>77141444.422524408</c:v>
                </c:pt>
                <c:pt idx="4">
                  <c:v>82452218.902524352</c:v>
                </c:pt>
                <c:pt idx="5">
                  <c:v>89696573.752524346</c:v>
                </c:pt>
                <c:pt idx="6">
                  <c:v>124934276.65252423</c:v>
                </c:pt>
                <c:pt idx="7">
                  <c:v>142965157.17252454</c:v>
                </c:pt>
                <c:pt idx="8">
                  <c:v>162403680.39999992</c:v>
                </c:pt>
                <c:pt idx="9">
                  <c:v>190912634.15999991</c:v>
                </c:pt>
                <c:pt idx="10">
                  <c:v>221428617.34999999</c:v>
                </c:pt>
                <c:pt idx="11">
                  <c:v>240983357.65252447</c:v>
                </c:pt>
              </c:numCache>
            </c:numRef>
          </c:val>
          <c:smooth val="0"/>
        </c:ser>
        <c:ser>
          <c:idx val="4"/>
          <c:order val="6"/>
          <c:tx>
            <c:strRef>
              <c:f>'fondu mērķu apguve preciz 7.11 '!$A$8</c:f>
              <c:strCache>
                <c:ptCount val="1"/>
                <c:pt idx="0">
                  <c:v>ESF mērķis</c:v>
                </c:pt>
              </c:strCache>
            </c:strRef>
          </c:tx>
          <c:spPr>
            <a:ln>
              <a:solidFill>
                <a:srgbClr val="C00000"/>
              </a:solidFill>
              <a:prstDash val="sysDash"/>
            </a:ln>
          </c:spPr>
          <c:marker>
            <c:symbol val="square"/>
            <c:size val="5"/>
            <c:spPr>
              <a:solidFill>
                <a:srgbClr val="FF0000"/>
              </a:solidFill>
              <a:ln>
                <a:solidFill>
                  <a:srgbClr val="FF0000"/>
                </a:solidFill>
              </a:ln>
            </c:spPr>
          </c:marker>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dLbl>
              <c:idx val="11"/>
              <c:layout>
                <c:manualLayout>
                  <c:x val="-1.1398559905062784E-2"/>
                  <c:y val="2.500856067690350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txPr>
              <a:bodyPr wrap="square" lIns="38100" tIns="19050" rIns="38100" bIns="19050" anchor="ctr">
                <a:spAutoFit/>
              </a:bodyPr>
              <a:lstStyle/>
              <a:p>
                <a:pPr>
                  <a:defRPr b="1">
                    <a:solidFill>
                      <a:srgbClr val="FF0000"/>
                    </a:solidFill>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'fondu mērķu apguve preciz 7.11 '!$B$1:$M$1</c:f>
              <c:strCache>
                <c:ptCount val="12"/>
                <c:pt idx="0">
                  <c:v>Jan.</c:v>
                </c:pt>
                <c:pt idx="1">
                  <c:v>Feb.</c:v>
                </c:pt>
                <c:pt idx="2">
                  <c:v>Mar.</c:v>
                </c:pt>
                <c:pt idx="3">
                  <c:v>Apr.</c:v>
                </c:pt>
                <c:pt idx="4">
                  <c:v>Mai.</c:v>
                </c:pt>
                <c:pt idx="5">
                  <c:v>Jūn.</c:v>
                </c:pt>
                <c:pt idx="6">
                  <c:v>Jūl.</c:v>
                </c:pt>
                <c:pt idx="7">
                  <c:v>Aug.</c:v>
                </c:pt>
                <c:pt idx="8">
                  <c:v>Sept.</c:v>
                </c:pt>
                <c:pt idx="9">
                  <c:v>Okt.</c:v>
                </c:pt>
                <c:pt idx="10">
                  <c:v>Nov.</c:v>
                </c:pt>
                <c:pt idx="11">
                  <c:v>Dec.</c:v>
                </c:pt>
              </c:strCache>
            </c:strRef>
          </c:cat>
          <c:val>
            <c:numRef>
              <c:f>'fondu mērķu apguve preciz 7.11 '!$B$8:$M$8</c:f>
              <c:numCache>
                <c:formatCode>#,##0</c:formatCode>
                <c:ptCount val="12"/>
                <c:pt idx="0">
                  <c:v>4875397.9827430919</c:v>
                </c:pt>
                <c:pt idx="1">
                  <c:v>11534255.308884503</c:v>
                </c:pt>
                <c:pt idx="2">
                  <c:v>19782017.865863029</c:v>
                </c:pt>
                <c:pt idx="3">
                  <c:v>24047373.367464282</c:v>
                </c:pt>
                <c:pt idx="4">
                  <c:v>29819582.908254124</c:v>
                </c:pt>
                <c:pt idx="5">
                  <c:v>34772277.506867975</c:v>
                </c:pt>
                <c:pt idx="6">
                  <c:v>39071185.613388062</c:v>
                </c:pt>
                <c:pt idx="7">
                  <c:v>44072951.199525863</c:v>
                </c:pt>
                <c:pt idx="8">
                  <c:v>48687014.484595396</c:v>
                </c:pt>
                <c:pt idx="9">
                  <c:v>53349900.101353407</c:v>
                </c:pt>
                <c:pt idx="10">
                  <c:v>58146886.562728144</c:v>
                </c:pt>
                <c:pt idx="11">
                  <c:v>61790064.813830152</c:v>
                </c:pt>
              </c:numCache>
            </c:numRef>
          </c:val>
          <c:smooth val="0"/>
        </c:ser>
        <c:ser>
          <c:idx val="5"/>
          <c:order val="7"/>
          <c:tx>
            <c:strRef>
              <c:f>'fondu mērķu apguve preciz 7.11 '!$A$9</c:f>
              <c:strCache>
                <c:ptCount val="1"/>
                <c:pt idx="0">
                  <c:v>ESF izpilde (105,7%)</c:v>
                </c:pt>
              </c:strCache>
            </c:strRef>
          </c:tx>
          <c:spPr>
            <a:ln>
              <a:solidFill>
                <a:srgbClr val="C00000"/>
              </a:solidFill>
            </a:ln>
          </c:spPr>
          <c:marker>
            <c:symbol val="diamond"/>
            <c:size val="5"/>
            <c:spPr>
              <a:solidFill>
                <a:srgbClr val="C00000"/>
              </a:solidFill>
              <a:ln>
                <a:solidFill>
                  <a:srgbClr val="C00000"/>
                </a:solidFill>
              </a:ln>
            </c:spPr>
          </c:marker>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dLbl>
              <c:idx val="11"/>
              <c:layout>
                <c:manualLayout>
                  <c:x val="-1.163611676849966E-2"/>
                  <c:y val="-2.7773998129752023E-2"/>
                </c:manualLayout>
              </c:layout>
              <c:numFmt formatCode="#,##0.0" sourceLinked="0"/>
              <c:spPr>
                <a:noFill/>
                <a:ln>
                  <a:noFill/>
                </a:ln>
                <a:effectLst/>
              </c:spPr>
              <c:txPr>
                <a:bodyPr wrap="square" lIns="38100" tIns="19050" rIns="38100" bIns="19050" anchor="ctr">
                  <a:spAutoFit/>
                </a:bodyPr>
                <a:lstStyle/>
                <a:p>
                  <a:pPr>
                    <a:defRPr b="1">
                      <a:solidFill>
                        <a:srgbClr val="FF0000"/>
                      </a:solidFill>
                    </a:defRPr>
                  </a:pPr>
                  <a:endParaRPr lang="lv-LV"/>
                </a:p>
              </c:txPr>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wrap="square" lIns="38100" tIns="19050" rIns="38100" bIns="19050" anchor="ctr">
                <a:spAutoFit/>
              </a:bodyPr>
              <a:lstStyle/>
              <a:p>
                <a:pPr>
                  <a:defRPr b="1">
                    <a:solidFill>
                      <a:srgbClr val="FF0000"/>
                    </a:solidFill>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'fondu mērķu apguve preciz 7.11 '!$B$1:$M$1</c:f>
              <c:strCache>
                <c:ptCount val="12"/>
                <c:pt idx="0">
                  <c:v>Jan.</c:v>
                </c:pt>
                <c:pt idx="1">
                  <c:v>Feb.</c:v>
                </c:pt>
                <c:pt idx="2">
                  <c:v>Mar.</c:v>
                </c:pt>
                <c:pt idx="3">
                  <c:v>Apr.</c:v>
                </c:pt>
                <c:pt idx="4">
                  <c:v>Mai.</c:v>
                </c:pt>
                <c:pt idx="5">
                  <c:v>Jūn.</c:v>
                </c:pt>
                <c:pt idx="6">
                  <c:v>Jūl.</c:v>
                </c:pt>
                <c:pt idx="7">
                  <c:v>Aug.</c:v>
                </c:pt>
                <c:pt idx="8">
                  <c:v>Sept.</c:v>
                </c:pt>
                <c:pt idx="9">
                  <c:v>Okt.</c:v>
                </c:pt>
                <c:pt idx="10">
                  <c:v>Nov.</c:v>
                </c:pt>
                <c:pt idx="11">
                  <c:v>Dec.</c:v>
                </c:pt>
              </c:strCache>
            </c:strRef>
          </c:cat>
          <c:val>
            <c:numRef>
              <c:f>'fondu mērķu apguve preciz 7.11 '!$B$9:$M$9</c:f>
              <c:numCache>
                <c:formatCode>#,##0</c:formatCode>
                <c:ptCount val="12"/>
                <c:pt idx="0">
                  <c:v>1650059.6254924794</c:v>
                </c:pt>
                <c:pt idx="1">
                  <c:v>8572892.9354923964</c:v>
                </c:pt>
                <c:pt idx="2">
                  <c:v>12797609.815492403</c:v>
                </c:pt>
                <c:pt idx="3">
                  <c:v>19557834.005492385</c:v>
                </c:pt>
                <c:pt idx="4">
                  <c:v>24467477.80549252</c:v>
                </c:pt>
                <c:pt idx="5">
                  <c:v>31565707.905492492</c:v>
                </c:pt>
                <c:pt idx="6">
                  <c:v>40222575.805492505</c:v>
                </c:pt>
                <c:pt idx="7">
                  <c:v>43012781.885492489</c:v>
                </c:pt>
                <c:pt idx="8">
                  <c:v>50113930.760000013</c:v>
                </c:pt>
                <c:pt idx="9">
                  <c:v>54098698.730000012</c:v>
                </c:pt>
                <c:pt idx="10">
                  <c:v>61336632.730000004</c:v>
                </c:pt>
                <c:pt idx="11">
                  <c:v>65307143.295492493</c:v>
                </c:pt>
              </c:numCache>
            </c:numRef>
          </c:val>
          <c:smooth val="0"/>
        </c:ser>
        <c:dLbls>
          <c:showLegendKey val="0"/>
          <c:showVal val="0"/>
          <c:showCatName val="0"/>
          <c:showSerName val="0"/>
          <c:showPercent val="0"/>
          <c:showBubbleSize val="0"/>
        </c:dLbls>
        <c:marker val="1"/>
        <c:smooth val="0"/>
        <c:axId val="163138864"/>
        <c:axId val="163139256"/>
      </c:lineChart>
      <c:catAx>
        <c:axId val="163138864"/>
        <c:scaling>
          <c:orientation val="minMax"/>
        </c:scaling>
        <c:delete val="0"/>
        <c:axPos val="b"/>
        <c:numFmt formatCode="General" sourceLinked="0"/>
        <c:majorTickMark val="out"/>
        <c:minorTickMark val="none"/>
        <c:tickLblPos val="nextTo"/>
        <c:crossAx val="163139256"/>
        <c:crosses val="autoZero"/>
        <c:auto val="1"/>
        <c:lblAlgn val="ctr"/>
        <c:lblOffset val="100"/>
        <c:noMultiLvlLbl val="0"/>
      </c:catAx>
      <c:valAx>
        <c:axId val="163139256"/>
        <c:scaling>
          <c:orientation val="minMax"/>
        </c:scaling>
        <c:delete val="0"/>
        <c:axPos val="l"/>
        <c:majorGridlines/>
        <c:numFmt formatCode="#,##0" sourceLinked="1"/>
        <c:majorTickMark val="out"/>
        <c:minorTickMark val="none"/>
        <c:tickLblPos val="nextTo"/>
        <c:crossAx val="163138864"/>
        <c:crosses val="autoZero"/>
        <c:crossBetween val="between"/>
        <c:dispUnits>
          <c:builtInUnit val="millions"/>
        </c:dispUnits>
      </c:valAx>
    </c:plotArea>
    <c:legend>
      <c:legendPos val="r"/>
      <c:layout>
        <c:manualLayout>
          <c:xMode val="edge"/>
          <c:yMode val="edge"/>
          <c:x val="1.1540803553401979E-2"/>
          <c:y val="0.8167450678995547"/>
          <c:w val="0.98845919644659808"/>
          <c:h val="0.15788313680691166"/>
        </c:manualLayout>
      </c:layout>
      <c:overlay val="0"/>
      <c:txPr>
        <a:bodyPr/>
        <a:lstStyle/>
        <a:p>
          <a:pPr>
            <a:defRPr sz="1100">
              <a:latin typeface="Times New Roman" panose="02020603050405020304" pitchFamily="18" charset="0"/>
              <a:cs typeface="Times New Roman" panose="02020603050405020304" pitchFamily="18" charset="0"/>
            </a:defRPr>
          </a:pPr>
          <a:endParaRPr lang="lv-LV"/>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503234754518562"/>
          <c:y val="2.4131325340480327E-2"/>
          <c:w val="0.66443982127652101"/>
          <c:h val="0.7987195630396946"/>
        </c:manualLayout>
      </c:layout>
      <c:barChart>
        <c:barDir val="bar"/>
        <c:grouping val="clustered"/>
        <c:varyColors val="0"/>
        <c:ser>
          <c:idx val="1"/>
          <c:order val="1"/>
          <c:tx>
            <c:strRef>
              <c:f>'AI mērķu izpilde 31.12.2014'!$C$1</c:f>
              <c:strCache>
                <c:ptCount val="1"/>
                <c:pt idx="0">
                  <c:v>Maksājumi FS 2014.gadā (kopā 714,0 milj. euro)</c:v>
                </c:pt>
              </c:strCache>
            </c:strRef>
          </c:tx>
          <c:invertIfNegative val="0"/>
          <c:dLbls>
            <c:dLbl>
              <c:idx val="0"/>
              <c:layout/>
              <c:tx>
                <c:rich>
                  <a:bodyPr/>
                  <a:lstStyle/>
                  <a:p>
                    <a:fld id="{0D0F2BE8-77B2-4E7A-8BA6-8D0B5DA4D7C9}" type="VALUE">
                      <a:rPr lang="en-US"/>
                      <a:pPr/>
                      <a:t>[VALUE]</a:t>
                    </a:fld>
                    <a:endParaRPr lang="lv-LV"/>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
              <c:layout/>
              <c:tx>
                <c:rich>
                  <a:bodyPr/>
                  <a:lstStyle/>
                  <a:p>
                    <a:fld id="{B517E96B-2F0C-4BA7-9E10-EB03D717562E}" type="VALUE">
                      <a:rPr lang="en-US"/>
                      <a:pPr/>
                      <a:t>[VALUE]</a:t>
                    </a:fld>
                    <a:endParaRPr lang="lv-LV"/>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tx>
                <c:rich>
                  <a:bodyPr/>
                  <a:lstStyle/>
                  <a:p>
                    <a:fld id="{F32FBC33-1177-4170-856B-B8E90CD1A665}" type="VALUE">
                      <a:rPr lang="en-US"/>
                      <a:pPr/>
                      <a:t>[VALUE]</a:t>
                    </a:fld>
                    <a:endParaRPr lang="lv-LV"/>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3"/>
              <c:layout/>
              <c:tx>
                <c:rich>
                  <a:bodyPr/>
                  <a:lstStyle/>
                  <a:p>
                    <a:fld id="{A5A97075-FF6D-4D68-A09F-C4730B5AF378}" type="VALUE">
                      <a:rPr lang="en-US"/>
                      <a:pPr/>
                      <a:t>[VALUE]</a:t>
                    </a:fld>
                    <a:endParaRPr lang="lv-LV"/>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4"/>
              <c:layout/>
              <c:tx>
                <c:rich>
                  <a:bodyPr/>
                  <a:lstStyle/>
                  <a:p>
                    <a:fld id="{099B2689-49E0-4B98-89A0-267EF4EB6515}" type="VALUE">
                      <a:rPr lang="en-US"/>
                      <a:pPr/>
                      <a:t>[VALUE]</a:t>
                    </a:fld>
                    <a:endParaRPr lang="lv-LV"/>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5"/>
              <c:layout/>
              <c:tx>
                <c:rich>
                  <a:bodyPr/>
                  <a:lstStyle/>
                  <a:p>
                    <a:fld id="{8C2686EF-C613-45DB-B7DD-A22952ABA014}" type="VALUE">
                      <a:rPr lang="en-US"/>
                      <a:pPr/>
                      <a:t>[VALUE]</a:t>
                    </a:fld>
                    <a:endParaRPr lang="lv-LV"/>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6"/>
              <c:layout/>
              <c:tx>
                <c:rich>
                  <a:bodyPr/>
                  <a:lstStyle/>
                  <a:p>
                    <a:fld id="{176FA5EF-F093-48FE-B919-CF81F28068C4}" type="VALUE">
                      <a:rPr lang="en-US"/>
                      <a:pPr/>
                      <a:t>[VALUE]</a:t>
                    </a:fld>
                    <a:endParaRPr lang="lv-LV"/>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7"/>
              <c:layout/>
              <c:tx>
                <c:rich>
                  <a:bodyPr/>
                  <a:lstStyle/>
                  <a:p>
                    <a:fld id="{D62CD7CA-AD18-43A1-A6E5-AEAE81892058}" type="VALUE">
                      <a:rPr lang="en-US"/>
                      <a:pPr/>
                      <a:t>[VALUE]</a:t>
                    </a:fld>
                    <a:endParaRPr lang="lv-LV"/>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8"/>
              <c:layout/>
              <c:tx>
                <c:rich>
                  <a:bodyPr/>
                  <a:lstStyle/>
                  <a:p>
                    <a:fld id="{32258ACF-1BE0-43C8-87E7-65EAFED35016}" type="VALUE">
                      <a:rPr lang="en-US"/>
                      <a:pPr/>
                      <a:t>[VALUE]</a:t>
                    </a:fld>
                    <a:r>
                      <a:rPr lang="en-US"/>
                      <a:t> </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numFmt formatCode="#,##0.0" sourceLinked="0"/>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'AI mērķu izpilde 31.12.2014'!$A$2:$A$10</c:f>
              <c:strCache>
                <c:ptCount val="9"/>
                <c:pt idx="0">
                  <c:v>VKanc</c:v>
                </c:pt>
                <c:pt idx="1">
                  <c:v>KM</c:v>
                </c:pt>
                <c:pt idx="2">
                  <c:v>TP</c:v>
                </c:pt>
                <c:pt idx="3">
                  <c:v>VM</c:v>
                </c:pt>
                <c:pt idx="4">
                  <c:v>LM</c:v>
                </c:pt>
                <c:pt idx="5">
                  <c:v>IZM</c:v>
                </c:pt>
                <c:pt idx="6">
                  <c:v>EM</c:v>
                </c:pt>
                <c:pt idx="7">
                  <c:v>VARAM</c:v>
                </c:pt>
                <c:pt idx="8">
                  <c:v>SM</c:v>
                </c:pt>
              </c:strCache>
            </c:strRef>
          </c:cat>
          <c:val>
            <c:numRef>
              <c:f>'AI mērķu izpilde 31.12.2014'!$C$2:$C$10</c:f>
              <c:numCache>
                <c:formatCode>#,##0</c:formatCode>
                <c:ptCount val="9"/>
                <c:pt idx="0">
                  <c:v>1098189.0226806332</c:v>
                </c:pt>
                <c:pt idx="1">
                  <c:v>8232344.1626276467</c:v>
                </c:pt>
                <c:pt idx="2">
                  <c:v>17754228.598810643</c:v>
                </c:pt>
                <c:pt idx="3">
                  <c:v>31637601.440756228</c:v>
                </c:pt>
                <c:pt idx="4">
                  <c:v>28117907.318920828</c:v>
                </c:pt>
                <c:pt idx="5">
                  <c:v>106691630.26254496</c:v>
                </c:pt>
                <c:pt idx="6">
                  <c:v>123671599.09881586</c:v>
                </c:pt>
                <c:pt idx="7">
                  <c:v>162817235.1075753</c:v>
                </c:pt>
                <c:pt idx="8">
                  <c:v>233997996.95335519</c:v>
                </c:pt>
              </c:numCache>
            </c:numRef>
          </c:val>
        </c:ser>
        <c:ser>
          <c:idx val="0"/>
          <c:order val="2"/>
          <c:tx>
            <c:strRef>
              <c:f>'AI mērķu izpilde 31.12.2014'!$B$1</c:f>
              <c:strCache>
                <c:ptCount val="1"/>
                <c:pt idx="0">
                  <c:v>2014.gada AI mērķis (kopā  846,8 milj. euro; izpilde 84,3%)</c:v>
                </c:pt>
              </c:strCache>
            </c:strRef>
          </c:tx>
          <c:invertIfNegative val="0"/>
          <c:dLbls>
            <c:dLbl>
              <c:idx val="0"/>
              <c:layout/>
              <c:tx>
                <c:rich>
                  <a:bodyPr/>
                  <a:lstStyle/>
                  <a:p>
                    <a:fld id="{1309A477-24B2-4BAF-85CB-06E75E59087F}" type="VALUE">
                      <a:rPr lang="en-US"/>
                      <a:pPr/>
                      <a:t>[VALUE]</a:t>
                    </a:fld>
                    <a:r>
                      <a:rPr lang="en-US"/>
                      <a:t> (80,1%)</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
              <c:layout/>
              <c:tx>
                <c:rich>
                  <a:bodyPr/>
                  <a:lstStyle/>
                  <a:p>
                    <a:fld id="{167843A6-191C-4F4C-95AF-B1A14766D54D}" type="VALUE">
                      <a:rPr lang="en-US"/>
                      <a:pPr/>
                      <a:t>[VALUE]</a:t>
                    </a:fld>
                    <a:r>
                      <a:rPr lang="en-US"/>
                      <a:t> (83,0%)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tx>
                <c:rich>
                  <a:bodyPr/>
                  <a:lstStyle/>
                  <a:p>
                    <a:fld id="{113FE0C7-699E-40AA-99A0-4A6C9DF5449B}" type="VALUE">
                      <a:rPr lang="en-US"/>
                      <a:pPr/>
                      <a:t>[VALUE]</a:t>
                    </a:fld>
                    <a:r>
                      <a:rPr lang="en-US"/>
                      <a:t> (120,7%)</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3"/>
              <c:layout/>
              <c:tx>
                <c:rich>
                  <a:bodyPr/>
                  <a:lstStyle/>
                  <a:p>
                    <a:fld id="{B7710ADA-450B-4E57-9CED-A9E686029D5E}" type="VALUE">
                      <a:rPr lang="en-US"/>
                      <a:pPr/>
                      <a:t>[VALUE]</a:t>
                    </a:fld>
                    <a:r>
                      <a:rPr lang="en-US"/>
                      <a:t> (108,7%)</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4"/>
              <c:layout/>
              <c:tx>
                <c:rich>
                  <a:bodyPr/>
                  <a:lstStyle/>
                  <a:p>
                    <a:fld id="{3C9C21D1-80E0-4BE3-A341-81CD5919E93D}" type="VALUE">
                      <a:rPr lang="en-US"/>
                      <a:pPr/>
                      <a:t>[VALUE]</a:t>
                    </a:fld>
                    <a:r>
                      <a:rPr lang="en-US"/>
                      <a:t> (101,7%)</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5"/>
              <c:layout/>
              <c:tx>
                <c:rich>
                  <a:bodyPr/>
                  <a:lstStyle/>
                  <a:p>
                    <a:fld id="{46F7C8B4-9C64-4A6E-8DAB-5D6BC6A73BFB}" type="VALUE">
                      <a:rPr lang="en-US"/>
                      <a:pPr/>
                      <a:t>[VALUE]</a:t>
                    </a:fld>
                    <a:r>
                      <a:rPr lang="en-US"/>
                      <a:t> (98,0%)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6"/>
              <c:layout/>
              <c:tx>
                <c:rich>
                  <a:bodyPr/>
                  <a:lstStyle/>
                  <a:p>
                    <a:fld id="{4A800A64-1F92-4536-A246-CC15E6A5B11A}" type="VALUE">
                      <a:rPr lang="en-US"/>
                      <a:pPr/>
                      <a:t>[VALUE]</a:t>
                    </a:fld>
                    <a:r>
                      <a:rPr lang="en-US"/>
                      <a:t> (70,5%)</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7"/>
              <c:layout/>
              <c:tx>
                <c:rich>
                  <a:bodyPr/>
                  <a:lstStyle/>
                  <a:p>
                    <a:fld id="{A418AB27-A46B-4742-8C8C-EFACB819434B}" type="VALUE">
                      <a:rPr lang="en-US"/>
                      <a:pPr/>
                      <a:t>[VALUE]</a:t>
                    </a:fld>
                    <a:r>
                      <a:rPr lang="en-US"/>
                      <a:t> (79,2%)</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8"/>
              <c:layout/>
              <c:tx>
                <c:rich>
                  <a:bodyPr/>
                  <a:lstStyle/>
                  <a:p>
                    <a:fld id="{A5A20870-C22B-4C98-AA37-E1E3B9A9CD8A}" type="VALUE">
                      <a:rPr lang="en-US"/>
                      <a:pPr/>
                      <a:t>[VALUE]</a:t>
                    </a:fld>
                    <a:r>
                      <a:rPr lang="en-US"/>
                      <a:t> (85,4%)</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numFmt formatCode="#,##0.0" sourceLinked="0"/>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'AI mērķu izpilde 31.12.2014'!$A$2:$A$10</c:f>
              <c:strCache>
                <c:ptCount val="9"/>
                <c:pt idx="0">
                  <c:v>VKanc</c:v>
                </c:pt>
                <c:pt idx="1">
                  <c:v>KM</c:v>
                </c:pt>
                <c:pt idx="2">
                  <c:v>TP</c:v>
                </c:pt>
                <c:pt idx="3">
                  <c:v>VM</c:v>
                </c:pt>
                <c:pt idx="4">
                  <c:v>LM</c:v>
                </c:pt>
                <c:pt idx="5">
                  <c:v>IZM</c:v>
                </c:pt>
                <c:pt idx="6">
                  <c:v>EM</c:v>
                </c:pt>
                <c:pt idx="7">
                  <c:v>VARAM</c:v>
                </c:pt>
                <c:pt idx="8">
                  <c:v>SM</c:v>
                </c:pt>
              </c:strCache>
            </c:strRef>
          </c:cat>
          <c:val>
            <c:numRef>
              <c:f>'AI mērķu izpilde 31.12.2014'!$B$2:$B$10</c:f>
              <c:numCache>
                <c:formatCode>#,##0</c:formatCode>
                <c:ptCount val="9"/>
                <c:pt idx="0">
                  <c:v>1369094.17</c:v>
                </c:pt>
                <c:pt idx="1">
                  <c:v>9917856.2599999998</c:v>
                </c:pt>
                <c:pt idx="2">
                  <c:v>14710749.573830141</c:v>
                </c:pt>
                <c:pt idx="3">
                  <c:v>29094835.270000003</c:v>
                </c:pt>
                <c:pt idx="4">
                  <c:v>27649872.629999999</c:v>
                </c:pt>
                <c:pt idx="5">
                  <c:v>108878034.03000002</c:v>
                </c:pt>
                <c:pt idx="6">
                  <c:v>175475310.31</c:v>
                </c:pt>
                <c:pt idx="7">
                  <c:v>205565508.81</c:v>
                </c:pt>
                <c:pt idx="8">
                  <c:v>274099268.77999997</c:v>
                </c:pt>
              </c:numCache>
            </c:numRef>
          </c:val>
        </c:ser>
        <c:dLbls>
          <c:dLblPos val="outEnd"/>
          <c:showLegendKey val="0"/>
          <c:showVal val="1"/>
          <c:showCatName val="0"/>
          <c:showSerName val="0"/>
          <c:showPercent val="0"/>
          <c:showBubbleSize val="0"/>
        </c:dLbls>
        <c:gapWidth val="150"/>
        <c:axId val="163140040"/>
        <c:axId val="163140432"/>
        <c:extLst>
          <c:ext xmlns:c15="http://schemas.microsoft.com/office/drawing/2012/chart" uri="{02D57815-91ED-43cb-92C2-25804820EDAC}">
            <c15:filteredBarSeries>
              <c15:ser>
                <c:idx val="2"/>
                <c:order val="0"/>
                <c:tx>
                  <c:strRef>
                    <c:extLst>
                      <c:ext uri="{02D57815-91ED-43cb-92C2-25804820EDAC}">
                        <c15:formulaRef>
                          <c15:sqref>'AI mērķu izpilde 31.12.2014'!$D$1</c15:sqref>
                        </c15:formulaRef>
                      </c:ext>
                    </c:extLst>
                    <c:strCache>
                      <c:ptCount val="1"/>
                      <c:pt idx="0">
                        <c:v>2014.gada mērķa izpilde</c:v>
                      </c:pt>
                    </c:strCache>
                  </c:strRef>
                </c:tx>
                <c:invertIfNegative val="0"/>
                <c:dLbls>
                  <c:numFmt formatCode="#,##0.0" sourceLinked="0"/>
                  <c:spPr>
                    <a:noFill/>
                    <a:ln>
                      <a:noFill/>
                    </a:ln>
                    <a:effectLst/>
                  </c:spPr>
                  <c:dLblPos val="outEnd"/>
                  <c:showLegendKey val="0"/>
                  <c:showVal val="1"/>
                  <c:showCatName val="0"/>
                  <c:showSerName val="0"/>
                  <c:showPercent val="0"/>
                  <c:showBubbleSize val="0"/>
                  <c:showLeaderLines val="0"/>
                  <c:extLst>
                    <c:ext uri="{CE6537A1-D6FC-4f65-9D91-7224C49458BB}">
                      <c15:showLeaderLines val="1"/>
                    </c:ext>
                  </c:extLst>
                </c:dLbls>
                <c:cat>
                  <c:strRef>
                    <c:extLst>
                      <c:ext uri="{02D57815-91ED-43cb-92C2-25804820EDAC}">
                        <c15:formulaRef>
                          <c15:sqref>'AI mērķu izpilde 31.12.2014'!$A$2:$A$10</c15:sqref>
                        </c15:formulaRef>
                      </c:ext>
                    </c:extLst>
                    <c:strCache>
                      <c:ptCount val="9"/>
                      <c:pt idx="0">
                        <c:v>VKanc</c:v>
                      </c:pt>
                      <c:pt idx="1">
                        <c:v>KM</c:v>
                      </c:pt>
                      <c:pt idx="2">
                        <c:v>TP</c:v>
                      </c:pt>
                      <c:pt idx="3">
                        <c:v>VM</c:v>
                      </c:pt>
                      <c:pt idx="4">
                        <c:v>LM</c:v>
                      </c:pt>
                      <c:pt idx="5">
                        <c:v>IZM</c:v>
                      </c:pt>
                      <c:pt idx="6">
                        <c:v>EM</c:v>
                      </c:pt>
                      <c:pt idx="7">
                        <c:v>VARAM</c:v>
                      </c:pt>
                      <c:pt idx="8">
                        <c:v>SM</c:v>
                      </c:pt>
                    </c:strCache>
                  </c:strRef>
                </c:cat>
                <c:val>
                  <c:numRef>
                    <c:extLst>
                      <c:ext uri="{02D57815-91ED-43cb-92C2-25804820EDAC}">
                        <c15:formulaRef>
                          <c15:sqref>'AI mērķu izpilde 31.12.2014'!$D$2:$D$10</c15:sqref>
                        </c15:formulaRef>
                      </c:ext>
                    </c:extLst>
                    <c:numCache>
                      <c:formatCode>0.0%</c:formatCode>
                      <c:ptCount val="9"/>
                      <c:pt idx="0">
                        <c:v>0.80212818573366163</c:v>
                      </c:pt>
                      <c:pt idx="1">
                        <c:v>0.83005278023939089</c:v>
                      </c:pt>
                      <c:pt idx="2">
                        <c:v>1.2068880997331866</c:v>
                      </c:pt>
                      <c:pt idx="3">
                        <c:v>1.0873957919733643</c:v>
                      </c:pt>
                      <c:pt idx="4">
                        <c:v>1.0169271914986333</c:v>
                      </c:pt>
                      <c:pt idx="5">
                        <c:v>0.97991877988123277</c:v>
                      </c:pt>
                      <c:pt idx="6">
                        <c:v>0.70478062629058102</c:v>
                      </c:pt>
                      <c:pt idx="7">
                        <c:v>0.79204549464601059</c:v>
                      </c:pt>
                      <c:pt idx="8">
                        <c:v>0.85369799779060618</c:v>
                      </c:pt>
                    </c:numCache>
                  </c:numRef>
                </c:val>
              </c15:ser>
            </c15:filteredBarSeries>
          </c:ext>
        </c:extLst>
      </c:barChart>
      <c:catAx>
        <c:axId val="163140040"/>
        <c:scaling>
          <c:orientation val="minMax"/>
        </c:scaling>
        <c:delete val="0"/>
        <c:axPos val="l"/>
        <c:numFmt formatCode="General" sourceLinked="0"/>
        <c:majorTickMark val="out"/>
        <c:minorTickMark val="none"/>
        <c:tickLblPos val="nextTo"/>
        <c:crossAx val="163140432"/>
        <c:crosses val="autoZero"/>
        <c:auto val="1"/>
        <c:lblAlgn val="ctr"/>
        <c:lblOffset val="100"/>
        <c:noMultiLvlLbl val="0"/>
      </c:catAx>
      <c:valAx>
        <c:axId val="163140432"/>
        <c:scaling>
          <c:orientation val="minMax"/>
        </c:scaling>
        <c:delete val="0"/>
        <c:axPos val="b"/>
        <c:majorGridlines/>
        <c:numFmt formatCode="#,##0" sourceLinked="0"/>
        <c:majorTickMark val="out"/>
        <c:minorTickMark val="none"/>
        <c:tickLblPos val="nextTo"/>
        <c:crossAx val="163140040"/>
        <c:crosses val="autoZero"/>
        <c:crossBetween val="between"/>
        <c:dispUnits>
          <c:builtInUnit val="millions"/>
        </c:dispUnits>
      </c:valAx>
    </c:plotArea>
    <c:legend>
      <c:legendPos val="b"/>
      <c:layout>
        <c:manualLayout>
          <c:xMode val="edge"/>
          <c:yMode val="edge"/>
          <c:x val="0"/>
          <c:y val="0.88984011326942336"/>
          <c:w val="1"/>
          <c:h val="9.3102317434201318E-2"/>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lv-LV"/>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80826558265583"/>
          <c:y val="3.1169977924944813E-2"/>
          <c:w val="0.76464335873954947"/>
          <c:h val="0.68927042014485029"/>
        </c:manualLayout>
      </c:layout>
      <c:barChart>
        <c:barDir val="bar"/>
        <c:grouping val="clustered"/>
        <c:varyColors val="0"/>
        <c:ser>
          <c:idx val="1"/>
          <c:order val="0"/>
          <c:tx>
            <c:strRef>
              <c:f>Grafiki_uz_Dec_2014!$C$2</c:f>
              <c:strCache>
                <c:ptCount val="1"/>
                <c:pt idx="0">
                  <c:v>Noslēgti līgumi par virssaistību finansējumu (publiskā fin.daļa) uz 31.12.2014.; Kopā 388,5 milj. euro</c:v>
                </c:pt>
              </c:strCache>
            </c:strRef>
          </c:tx>
          <c:spPr>
            <a:solidFill>
              <a:schemeClr val="accent2"/>
            </a:solidFill>
            <a:ln>
              <a:noFill/>
            </a:ln>
            <a:effectLst/>
          </c:spPr>
          <c:invertIfNegative val="0"/>
          <c:dLbls>
            <c:dLbl>
              <c:idx val="0"/>
              <c:layout/>
              <c:tx>
                <c:rich>
                  <a:bodyPr/>
                  <a:lstStyle/>
                  <a:p>
                    <a:fld id="{66CFF6C5-BCA6-4D74-9B72-C5EDAE23A46A}"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manualLayout>
                  <c:x val="0"/>
                  <c:y val="7.4265748578278053E-3"/>
                </c:manualLayout>
              </c:layout>
              <c:tx>
                <c:rich>
                  <a:bodyPr/>
                  <a:lstStyle/>
                  <a:p>
                    <a:fld id="{E008AD1D-6C36-42EE-A0B6-E5AFF714247F}"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4"/>
              <c:layout>
                <c:manualLayout>
                  <c:x val="0"/>
                  <c:y val="1.1139862286741742E-2"/>
                </c:manualLayout>
              </c:layout>
              <c:tx>
                <c:rich>
                  <a:bodyPr/>
                  <a:lstStyle/>
                  <a:p>
                    <a:fld id="{5602D4C6-C229-4903-BEB7-5F17CB8F0091}" type="VALUE">
                      <a:rPr lang="en-US"/>
                      <a:pPr/>
                      <a:t>[VALUE]</a:t>
                    </a:fld>
                    <a:r>
                      <a:rPr lang="en-US"/>
                      <a:t> (99,5%)</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6"/>
              <c:layout>
                <c:manualLayout>
                  <c:x val="-7.8872169259440929E-17"/>
                  <c:y val="7.426574857827873E-3"/>
                </c:manualLayout>
              </c:layout>
              <c:tx>
                <c:rich>
                  <a:bodyPr/>
                  <a:lstStyle/>
                  <a:p>
                    <a:fld id="{94F59D9D-58E8-4988-9513-8B7471431A4C}" type="VALUE">
                      <a:rPr lang="en-US"/>
                      <a:pPr/>
                      <a:t>[VALUE]</a:t>
                    </a:fld>
                    <a:r>
                      <a:rPr lang="en-US"/>
                      <a:t> (97,4%)</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8"/>
              <c:layout>
                <c:manualLayout>
                  <c:x val="2.1510840108400296E-3"/>
                  <c:y val="1.1139862286741809E-2"/>
                </c:manualLayout>
              </c:layout>
              <c:tx>
                <c:rich>
                  <a:bodyPr/>
                  <a:lstStyle/>
                  <a:p>
                    <a:fld id="{6505194F-B66A-486C-BE83-794CF982B5F3}" type="VALUE">
                      <a:rPr lang="en-US"/>
                      <a:pPr/>
                      <a:t>[VALUE]</a:t>
                    </a:fld>
                    <a:r>
                      <a:rPr lang="en-US"/>
                      <a:t> (93,5%)</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0"/>
              <c:layout>
                <c:manualLayout>
                  <c:x val="-2.1510840108401085E-3"/>
                  <c:y val="1.1139862286741775E-2"/>
                </c:manualLayout>
              </c:layout>
              <c:tx>
                <c:rich>
                  <a:bodyPr/>
                  <a:lstStyle/>
                  <a:p>
                    <a:fld id="{6116EC24-3C24-49C3-A84C-FC456772DF96}" type="VALUE">
                      <a:rPr lang="en-US"/>
                      <a:pPr/>
                      <a:t>[VALUE]</a:t>
                    </a:fld>
                    <a:r>
                      <a:rPr lang="en-US"/>
                      <a:t> (88,2%)</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2"/>
              <c:layout>
                <c:manualLayout>
                  <c:x val="-2.1510840108401085E-3"/>
                  <c:y val="1.4853149715655746E-2"/>
                </c:manualLayout>
              </c:layout>
              <c:tx>
                <c:rich>
                  <a:bodyPr/>
                  <a:lstStyle/>
                  <a:p>
                    <a:fld id="{11C083BC-B90D-4EE6-AE82-6CA4A039FC6A}"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Grafiki_uz_Dec_2014!$A$4:$A$16</c:f>
              <c:strCache>
                <c:ptCount val="13"/>
                <c:pt idx="0">
                  <c:v>VeM</c:v>
                </c:pt>
                <c:pt idx="2">
                  <c:v>KM</c:v>
                </c:pt>
                <c:pt idx="4">
                  <c:v>LM</c:v>
                </c:pt>
                <c:pt idx="6">
                  <c:v>IZM</c:v>
                </c:pt>
                <c:pt idx="8">
                  <c:v>SM</c:v>
                </c:pt>
                <c:pt idx="10">
                  <c:v>EM</c:v>
                </c:pt>
                <c:pt idx="12">
                  <c:v>VARAM</c:v>
                </c:pt>
              </c:strCache>
            </c:strRef>
          </c:cat>
          <c:val>
            <c:numRef>
              <c:f>Grafiki_uz_Dec_2014!$C$4:$C$16</c:f>
              <c:numCache>
                <c:formatCode>General</c:formatCode>
                <c:ptCount val="13"/>
                <c:pt idx="0" formatCode="#,##0">
                  <c:v>16789887.362708069</c:v>
                </c:pt>
                <c:pt idx="2" formatCode="#,##0">
                  <c:v>17074462.485062692</c:v>
                </c:pt>
                <c:pt idx="4" formatCode="#,##0">
                  <c:v>46040215.739999995</c:v>
                </c:pt>
                <c:pt idx="6" formatCode="#,##0">
                  <c:v>56259584.130000003</c:v>
                </c:pt>
                <c:pt idx="8" formatCode="#,##0">
                  <c:v>71470079</c:v>
                </c:pt>
                <c:pt idx="10" formatCode="#,##0">
                  <c:v>70466057.510000005</c:v>
                </c:pt>
                <c:pt idx="12" formatCode="#,##0">
                  <c:v>110375767.54886477</c:v>
                </c:pt>
              </c:numCache>
            </c:numRef>
          </c:val>
        </c:ser>
        <c:ser>
          <c:idx val="0"/>
          <c:order val="1"/>
          <c:tx>
            <c:strRef>
              <c:f>Grafiki_uz_Dec_2014!$B$2</c:f>
              <c:strCache>
                <c:ptCount val="1"/>
                <c:pt idx="0">
                  <c:v>Virssaistību finansējums atbilstoši apst. MK p/l un KDG; Kopā 404,5 milj. euro</c:v>
                </c:pt>
              </c:strCache>
            </c:strRef>
          </c:tx>
          <c:spPr>
            <a:solidFill>
              <a:schemeClr val="accent1"/>
            </a:solidFill>
            <a:ln>
              <a:noFill/>
            </a:ln>
            <a:effectLst/>
          </c:spPr>
          <c:invertIfNegative val="0"/>
          <c:dLbls>
            <c:dLbl>
              <c:idx val="0"/>
              <c:layout>
                <c:manualLayout>
                  <c:x val="0"/>
                  <c:y val="-1.1139862286741947E-2"/>
                </c:manualLayout>
              </c:layout>
              <c:tx>
                <c:rich>
                  <a:bodyPr/>
                  <a:lstStyle/>
                  <a:p>
                    <a:fld id="{963132D2-055C-4398-BB39-40E0DB2EB977}"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manualLayout>
                  <c:x val="0"/>
                  <c:y val="-1.1139862286741809E-2"/>
                </c:manualLayout>
              </c:layout>
              <c:tx>
                <c:rich>
                  <a:bodyPr/>
                  <a:lstStyle/>
                  <a:p>
                    <a:fld id="{27360F45-8473-4C7B-AA22-12B7AED358E4}"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4"/>
              <c:layout/>
              <c:tx>
                <c:rich>
                  <a:bodyPr/>
                  <a:lstStyle/>
                  <a:p>
                    <a:fld id="{99179230-FBAC-4516-96D4-B9708B3873D4}"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6"/>
              <c:layout/>
              <c:tx>
                <c:rich>
                  <a:bodyPr/>
                  <a:lstStyle/>
                  <a:p>
                    <a:fld id="{BB7F1D9D-21B3-4A71-8F18-BD000EE608D2}"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8"/>
              <c:layout/>
              <c:tx>
                <c:rich>
                  <a:bodyPr/>
                  <a:lstStyle/>
                  <a:p>
                    <a:fld id="{EB7DC031-530A-41B0-9AFF-3D9AD2EF81C5}"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0"/>
              <c:layout/>
              <c:tx>
                <c:rich>
                  <a:bodyPr/>
                  <a:lstStyle/>
                  <a:p>
                    <a:fld id="{D71B2743-6083-4F3A-9F55-B3F44E0B8254}"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2"/>
              <c:layout/>
              <c:tx>
                <c:rich>
                  <a:bodyPr/>
                  <a:lstStyle/>
                  <a:p>
                    <a:fld id="{F6E6906A-9C6D-4633-8983-19093A1CA5FF}" type="VALUE">
                      <a:rPr lang="en-US"/>
                      <a:pPr/>
                      <a:t>[VALUE]</a:t>
                    </a:fld>
                    <a:r>
                      <a:rPr lang="en-US"/>
                      <a:t> (100%)</a:t>
                    </a:r>
                  </a:p>
                </c:rich>
              </c:tx>
              <c:dLblPos val="outEnd"/>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Grafiki_uz_Dec_2014!$A$4:$A$16</c:f>
              <c:strCache>
                <c:ptCount val="13"/>
                <c:pt idx="0">
                  <c:v>VeM</c:v>
                </c:pt>
                <c:pt idx="2">
                  <c:v>KM</c:v>
                </c:pt>
                <c:pt idx="4">
                  <c:v>LM</c:v>
                </c:pt>
                <c:pt idx="6">
                  <c:v>IZM</c:v>
                </c:pt>
                <c:pt idx="8">
                  <c:v>SM</c:v>
                </c:pt>
                <c:pt idx="10">
                  <c:v>EM</c:v>
                </c:pt>
                <c:pt idx="12">
                  <c:v>VARAM</c:v>
                </c:pt>
              </c:strCache>
            </c:strRef>
          </c:cat>
          <c:val>
            <c:numRef>
              <c:f>Grafiki_uz_Dec_2014!$B$4:$B$16</c:f>
              <c:numCache>
                <c:formatCode>General</c:formatCode>
                <c:ptCount val="13"/>
                <c:pt idx="0" formatCode="#,##0">
                  <c:v>16789887.362708069</c:v>
                </c:pt>
                <c:pt idx="2" formatCode="#,##0">
                  <c:v>17074462.485062692</c:v>
                </c:pt>
                <c:pt idx="4" formatCode="#,##0">
                  <c:v>46263144.468903482</c:v>
                </c:pt>
                <c:pt idx="6" formatCode="#,##0">
                  <c:v>57770913.799999997</c:v>
                </c:pt>
                <c:pt idx="8" formatCode="#,##0">
                  <c:v>76456555</c:v>
                </c:pt>
                <c:pt idx="10" formatCode="#,##0">
                  <c:v>79869216.420000002</c:v>
                </c:pt>
                <c:pt idx="12" formatCode="#,##0">
                  <c:v>110375767.54886477</c:v>
                </c:pt>
              </c:numCache>
            </c:numRef>
          </c:val>
        </c:ser>
        <c:dLbls>
          <c:showLegendKey val="0"/>
          <c:showVal val="0"/>
          <c:showCatName val="0"/>
          <c:showSerName val="0"/>
          <c:showPercent val="0"/>
          <c:showBubbleSize val="0"/>
        </c:dLbls>
        <c:gapWidth val="0"/>
        <c:axId val="163141216"/>
        <c:axId val="163141608"/>
      </c:barChart>
      <c:catAx>
        <c:axId val="1631412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3141608"/>
        <c:crosses val="autoZero"/>
        <c:auto val="1"/>
        <c:lblAlgn val="ctr"/>
        <c:lblOffset val="100"/>
        <c:noMultiLvlLbl val="0"/>
      </c:catAx>
      <c:valAx>
        <c:axId val="1631416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3141216"/>
        <c:crosses val="autoZero"/>
        <c:crossBetween val="between"/>
        <c:dispUnits>
          <c:builtInUnit val="millions"/>
        </c:dispUnits>
      </c:valAx>
      <c:spPr>
        <a:noFill/>
        <a:ln>
          <a:noFill/>
        </a:ln>
        <a:effectLst/>
      </c:spPr>
    </c:plotArea>
    <c:legend>
      <c:legendPos val="b"/>
      <c:layout>
        <c:manualLayout>
          <c:xMode val="edge"/>
          <c:yMode val="edge"/>
          <c:x val="1.3077742225044398E-2"/>
          <c:y val="0.80360961458765023"/>
          <c:w val="0.91407423041465641"/>
          <c:h val="0.1753377538334024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0.65737</cdr:x>
      <cdr:y>0.15577</cdr:y>
    </cdr:from>
    <cdr:to>
      <cdr:x>0.97416</cdr:x>
      <cdr:y>0.2391</cdr:y>
    </cdr:to>
    <cdr:sp macro="" textlink="">
      <cdr:nvSpPr>
        <cdr:cNvPr id="2" name="TextBox 1"/>
        <cdr:cNvSpPr txBox="1"/>
      </cdr:nvSpPr>
      <cdr:spPr>
        <a:xfrm xmlns:a="http://schemas.openxmlformats.org/drawingml/2006/main">
          <a:off x="3715128" y="515254"/>
          <a:ext cx="1790322" cy="27563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200" b="1">
              <a:latin typeface="Times New Roman" pitchFamily="18" charset="0"/>
              <a:cs typeface="Times New Roman" pitchFamily="18" charset="0"/>
            </a:rPr>
            <a:t>Kopā:</a:t>
          </a:r>
          <a:r>
            <a:rPr lang="lv-LV" sz="1200" b="1" baseline="0">
              <a:latin typeface="Times New Roman" pitchFamily="18" charset="0"/>
              <a:cs typeface="Times New Roman" pitchFamily="18" charset="0"/>
            </a:rPr>
            <a:t> 5 366,6</a:t>
          </a:r>
          <a:r>
            <a:rPr lang="lv-LV" sz="1200" b="1">
              <a:latin typeface="Times New Roman" pitchFamily="18" charset="0"/>
              <a:cs typeface="Times New Roman" pitchFamily="18" charset="0"/>
            </a:rPr>
            <a:t> (108,2%)</a:t>
          </a:r>
        </a:p>
      </cdr:txBody>
    </cdr:sp>
  </cdr:relSizeAnchor>
</c:userShapes>
</file>

<file path=word/drawings/drawing2.xml><?xml version="1.0" encoding="utf-8"?>
<c:userShapes xmlns:c="http://schemas.openxmlformats.org/drawingml/2006/chart">
  <cdr:relSizeAnchor xmlns:cdr="http://schemas.openxmlformats.org/drawingml/2006/chartDrawing">
    <cdr:from>
      <cdr:x>0.6727</cdr:x>
      <cdr:y>0.03423</cdr:y>
    </cdr:from>
    <cdr:to>
      <cdr:x>0.95518</cdr:x>
      <cdr:y>0.0755</cdr:y>
    </cdr:to>
    <cdr:sp macro="" textlink="">
      <cdr:nvSpPr>
        <cdr:cNvPr id="2" name="TextBox 1"/>
        <cdr:cNvSpPr txBox="1"/>
      </cdr:nvSpPr>
      <cdr:spPr>
        <a:xfrm xmlns:a="http://schemas.openxmlformats.org/drawingml/2006/main">
          <a:off x="4248150" y="190064"/>
          <a:ext cx="1783882" cy="22917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200">
              <a:latin typeface="Times New Roman" panose="02020603050405020304" pitchFamily="18" charset="0"/>
              <a:cs typeface="Times New Roman" panose="02020603050405020304" pitchFamily="18" charset="0"/>
            </a:rPr>
            <a:t>Kopā: 1 326,0 (109,0%)  </a:t>
          </a:r>
        </a:p>
      </cdr:txBody>
    </cdr:sp>
  </cdr:relSizeAnchor>
  <cdr:relSizeAnchor xmlns:cdr="http://schemas.openxmlformats.org/drawingml/2006/chartDrawing">
    <cdr:from>
      <cdr:x>0.6727</cdr:x>
      <cdr:y>0.11436</cdr:y>
    </cdr:from>
    <cdr:to>
      <cdr:x>0.95518</cdr:x>
      <cdr:y>0.15563</cdr:y>
    </cdr:to>
    <cdr:sp macro="" textlink="">
      <cdr:nvSpPr>
        <cdr:cNvPr id="3" name="TextBox 1"/>
        <cdr:cNvSpPr txBox="1"/>
      </cdr:nvSpPr>
      <cdr:spPr>
        <a:xfrm xmlns:a="http://schemas.openxmlformats.org/drawingml/2006/main">
          <a:off x="4248150" y="635026"/>
          <a:ext cx="1783883" cy="22917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200">
              <a:latin typeface="Times New Roman" panose="02020603050405020304" pitchFamily="18" charset="0"/>
              <a:cs typeface="Times New Roman" panose="02020603050405020304" pitchFamily="18" charset="0"/>
            </a:rPr>
            <a:t>Kopā: 1</a:t>
          </a:r>
          <a:r>
            <a:rPr lang="lv-LV" sz="1200" baseline="0">
              <a:latin typeface="Times New Roman" panose="02020603050405020304" pitchFamily="18" charset="0"/>
              <a:cs typeface="Times New Roman" panose="02020603050405020304" pitchFamily="18" charset="0"/>
            </a:rPr>
            <a:t> 277,6</a:t>
          </a:r>
          <a:r>
            <a:rPr lang="lv-LV" sz="1200">
              <a:latin typeface="Times New Roman" panose="02020603050405020304" pitchFamily="18" charset="0"/>
              <a:cs typeface="Times New Roman" panose="02020603050405020304" pitchFamily="18" charset="0"/>
            </a:rPr>
            <a:t>  (106,4%)  </a:t>
          </a:r>
        </a:p>
      </cdr:txBody>
    </cdr:sp>
  </cdr:relSizeAnchor>
  <cdr:relSizeAnchor xmlns:cdr="http://schemas.openxmlformats.org/drawingml/2006/chartDrawing">
    <cdr:from>
      <cdr:x>0.53721</cdr:x>
      <cdr:y>0.19492</cdr:y>
    </cdr:from>
    <cdr:to>
      <cdr:x>0.81969</cdr:x>
      <cdr:y>0.23619</cdr:y>
    </cdr:to>
    <cdr:sp macro="" textlink="">
      <cdr:nvSpPr>
        <cdr:cNvPr id="4" name="TextBox 1"/>
        <cdr:cNvSpPr txBox="1"/>
      </cdr:nvSpPr>
      <cdr:spPr>
        <a:xfrm xmlns:a="http://schemas.openxmlformats.org/drawingml/2006/main">
          <a:off x="3522133" y="1299633"/>
          <a:ext cx="1852083" cy="2751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200">
              <a:latin typeface="Times New Roman" panose="02020603050405020304" pitchFamily="18" charset="0"/>
              <a:cs typeface="Times New Roman" panose="02020603050405020304" pitchFamily="18" charset="0"/>
            </a:rPr>
            <a:t>Kopā: 822,3  (110,9%)  </a:t>
          </a:r>
        </a:p>
      </cdr:txBody>
    </cdr:sp>
  </cdr:relSizeAnchor>
  <cdr:relSizeAnchor xmlns:cdr="http://schemas.openxmlformats.org/drawingml/2006/chartDrawing">
    <cdr:from>
      <cdr:x>0.53075</cdr:x>
      <cdr:y>0.28857</cdr:y>
    </cdr:from>
    <cdr:to>
      <cdr:x>0.81324</cdr:x>
      <cdr:y>0.32984</cdr:y>
    </cdr:to>
    <cdr:sp macro="" textlink="">
      <cdr:nvSpPr>
        <cdr:cNvPr id="5" name="TextBox 1"/>
        <cdr:cNvSpPr txBox="1"/>
      </cdr:nvSpPr>
      <cdr:spPr>
        <a:xfrm xmlns:a="http://schemas.openxmlformats.org/drawingml/2006/main">
          <a:off x="3479800" y="1924051"/>
          <a:ext cx="1852083" cy="2751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200">
              <a:latin typeface="Times New Roman" panose="02020603050405020304" pitchFamily="18" charset="0"/>
              <a:cs typeface="Times New Roman" panose="02020603050405020304" pitchFamily="18" charset="0"/>
            </a:rPr>
            <a:t>Kopā: 790,0 (107,9%)  </a:t>
          </a:r>
        </a:p>
      </cdr:txBody>
    </cdr:sp>
  </cdr:relSizeAnchor>
  <cdr:relSizeAnchor xmlns:cdr="http://schemas.openxmlformats.org/drawingml/2006/chartDrawing">
    <cdr:from>
      <cdr:x>0.51138</cdr:x>
      <cdr:y>0.37429</cdr:y>
    </cdr:from>
    <cdr:to>
      <cdr:x>0.79387</cdr:x>
      <cdr:y>0.41556</cdr:y>
    </cdr:to>
    <cdr:sp macro="" textlink="">
      <cdr:nvSpPr>
        <cdr:cNvPr id="6" name="TextBox 1"/>
        <cdr:cNvSpPr txBox="1"/>
      </cdr:nvSpPr>
      <cdr:spPr>
        <a:xfrm xmlns:a="http://schemas.openxmlformats.org/drawingml/2006/main">
          <a:off x="3352800" y="2495549"/>
          <a:ext cx="1852083" cy="2751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200">
              <a:latin typeface="Times New Roman" panose="02020603050405020304" pitchFamily="18" charset="0"/>
              <a:cs typeface="Times New Roman" panose="02020603050405020304" pitchFamily="18" charset="0"/>
            </a:rPr>
            <a:t>Kopā:</a:t>
          </a:r>
          <a:r>
            <a:rPr lang="lv-LV" sz="1200" baseline="0">
              <a:latin typeface="Times New Roman" panose="02020603050405020304" pitchFamily="18" charset="0"/>
              <a:cs typeface="Times New Roman" panose="02020603050405020304" pitchFamily="18" charset="0"/>
            </a:rPr>
            <a:t> 302,5</a:t>
          </a:r>
          <a:r>
            <a:rPr lang="lv-LV" sz="1200">
              <a:latin typeface="Times New Roman" panose="02020603050405020304" pitchFamily="18" charset="0"/>
              <a:cs typeface="Times New Roman" panose="02020603050405020304" pitchFamily="18" charset="0"/>
            </a:rPr>
            <a:t> (118,1%)  </a:t>
          </a:r>
        </a:p>
      </cdr:txBody>
    </cdr:sp>
  </cdr:relSizeAnchor>
  <cdr:relSizeAnchor xmlns:cdr="http://schemas.openxmlformats.org/drawingml/2006/chartDrawing">
    <cdr:from>
      <cdr:x>0.49685</cdr:x>
      <cdr:y>0.46159</cdr:y>
    </cdr:from>
    <cdr:to>
      <cdr:x>0.77934</cdr:x>
      <cdr:y>0.50286</cdr:y>
    </cdr:to>
    <cdr:sp macro="" textlink="">
      <cdr:nvSpPr>
        <cdr:cNvPr id="7" name="TextBox 1"/>
        <cdr:cNvSpPr txBox="1"/>
      </cdr:nvSpPr>
      <cdr:spPr>
        <a:xfrm xmlns:a="http://schemas.openxmlformats.org/drawingml/2006/main">
          <a:off x="3257550" y="3077634"/>
          <a:ext cx="1852083" cy="27516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200">
              <a:latin typeface="Times New Roman" panose="02020603050405020304" pitchFamily="18" charset="0"/>
              <a:cs typeface="Times New Roman" panose="02020603050405020304" pitchFamily="18" charset="0"/>
            </a:rPr>
            <a:t>Kopā:</a:t>
          </a:r>
          <a:r>
            <a:rPr lang="lv-LV" sz="1200" baseline="0">
              <a:latin typeface="Times New Roman" panose="02020603050405020304" pitchFamily="18" charset="0"/>
              <a:cs typeface="Times New Roman" panose="02020603050405020304" pitchFamily="18" charset="0"/>
            </a:rPr>
            <a:t> 236,3</a:t>
          </a:r>
          <a:r>
            <a:rPr lang="lv-LV" sz="1200">
              <a:latin typeface="Times New Roman" panose="02020603050405020304" pitchFamily="18" charset="0"/>
              <a:cs typeface="Times New Roman" panose="02020603050405020304" pitchFamily="18" charset="0"/>
            </a:rPr>
            <a:t> (107,7%)  </a:t>
          </a:r>
        </a:p>
      </cdr:txBody>
    </cdr:sp>
  </cdr:relSizeAnchor>
  <cdr:relSizeAnchor xmlns:cdr="http://schemas.openxmlformats.org/drawingml/2006/chartDrawing">
    <cdr:from>
      <cdr:x>0.42414</cdr:x>
      <cdr:y>0.63212</cdr:y>
    </cdr:from>
    <cdr:to>
      <cdr:x>0.70663</cdr:x>
      <cdr:y>0.67339</cdr:y>
    </cdr:to>
    <cdr:sp macro="" textlink="">
      <cdr:nvSpPr>
        <cdr:cNvPr id="8" name="TextBox 1"/>
        <cdr:cNvSpPr txBox="1"/>
      </cdr:nvSpPr>
      <cdr:spPr>
        <a:xfrm xmlns:a="http://schemas.openxmlformats.org/drawingml/2006/main">
          <a:off x="2678455" y="3510227"/>
          <a:ext cx="1783946" cy="22917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200">
              <a:latin typeface="Times New Roman" panose="02020603050405020304" pitchFamily="18" charset="0"/>
              <a:cs typeface="Times New Roman" panose="02020603050405020304" pitchFamily="18" charset="0"/>
            </a:rPr>
            <a:t>Kopā:</a:t>
          </a:r>
          <a:r>
            <a:rPr lang="lv-LV" sz="1200" baseline="0">
              <a:latin typeface="Times New Roman" panose="02020603050405020304" pitchFamily="18" charset="0"/>
              <a:cs typeface="Times New Roman" panose="02020603050405020304" pitchFamily="18" charset="0"/>
            </a:rPr>
            <a:t> 53,1</a:t>
          </a:r>
          <a:r>
            <a:rPr lang="lv-LV" sz="1200">
              <a:latin typeface="Times New Roman" panose="02020603050405020304" pitchFamily="18" charset="0"/>
              <a:cs typeface="Times New Roman" panose="02020603050405020304" pitchFamily="18" charset="0"/>
            </a:rPr>
            <a:t> (147,4%)  </a:t>
          </a:r>
        </a:p>
      </cdr:txBody>
    </cdr:sp>
  </cdr:relSizeAnchor>
  <cdr:relSizeAnchor xmlns:cdr="http://schemas.openxmlformats.org/drawingml/2006/chartDrawing">
    <cdr:from>
      <cdr:x>0</cdr:x>
      <cdr:y>0.64056</cdr:y>
    </cdr:from>
    <cdr:to>
      <cdr:x>1</cdr:x>
      <cdr:y>0.64056</cdr:y>
    </cdr:to>
    <cdr:cxnSp macro="">
      <cdr:nvCxnSpPr>
        <cdr:cNvPr id="9" name="Straight Connector 8"/>
        <cdr:cNvCxnSpPr/>
      </cdr:nvCxnSpPr>
      <cdr:spPr>
        <a:xfrm xmlns:a="http://schemas.openxmlformats.org/drawingml/2006/main">
          <a:off x="0" y="4270903"/>
          <a:ext cx="6556376" cy="0"/>
        </a:xfrm>
        <a:prstGeom xmlns:a="http://schemas.openxmlformats.org/drawingml/2006/main" prst="line">
          <a:avLst/>
        </a:prstGeom>
        <a:ln xmlns:a="http://schemas.openxmlformats.org/drawingml/2006/main">
          <a:solidFill>
            <a:schemeClr val="bg1">
              <a:lumMod val="6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cdr:x>
      <cdr:y>0.72468</cdr:y>
    </cdr:from>
    <cdr:to>
      <cdr:x>1</cdr:x>
      <cdr:y>0.72468</cdr:y>
    </cdr:to>
    <cdr:cxnSp macro="">
      <cdr:nvCxnSpPr>
        <cdr:cNvPr id="10" name="Straight Connector 9"/>
        <cdr:cNvCxnSpPr/>
      </cdr:nvCxnSpPr>
      <cdr:spPr>
        <a:xfrm xmlns:a="http://schemas.openxmlformats.org/drawingml/2006/main">
          <a:off x="0" y="4831819"/>
          <a:ext cx="6556376" cy="0"/>
        </a:xfrm>
        <a:prstGeom xmlns:a="http://schemas.openxmlformats.org/drawingml/2006/main" prst="line">
          <a:avLst/>
        </a:prstGeom>
        <a:ln xmlns:a="http://schemas.openxmlformats.org/drawingml/2006/main">
          <a:solidFill>
            <a:schemeClr val="bg1">
              <a:lumMod val="6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cdr:x>
      <cdr:y>0.54056</cdr:y>
    </cdr:from>
    <cdr:to>
      <cdr:x>1</cdr:x>
      <cdr:y>0.54056</cdr:y>
    </cdr:to>
    <cdr:cxnSp macro="">
      <cdr:nvCxnSpPr>
        <cdr:cNvPr id="11" name="Straight Connector 10"/>
        <cdr:cNvCxnSpPr/>
      </cdr:nvCxnSpPr>
      <cdr:spPr>
        <a:xfrm xmlns:a="http://schemas.openxmlformats.org/drawingml/2006/main">
          <a:off x="0" y="3604152"/>
          <a:ext cx="6556376" cy="0"/>
        </a:xfrm>
        <a:prstGeom xmlns:a="http://schemas.openxmlformats.org/drawingml/2006/main" prst="line">
          <a:avLst/>
        </a:prstGeom>
        <a:ln xmlns:a="http://schemas.openxmlformats.org/drawingml/2006/main">
          <a:solidFill>
            <a:schemeClr val="bg1">
              <a:lumMod val="6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cdr:x>
      <cdr:y>0.4596</cdr:y>
    </cdr:from>
    <cdr:to>
      <cdr:x>1</cdr:x>
      <cdr:y>0.4596</cdr:y>
    </cdr:to>
    <cdr:cxnSp macro="">
      <cdr:nvCxnSpPr>
        <cdr:cNvPr id="12" name="Straight Connector 11"/>
        <cdr:cNvCxnSpPr/>
      </cdr:nvCxnSpPr>
      <cdr:spPr>
        <a:xfrm xmlns:a="http://schemas.openxmlformats.org/drawingml/2006/main">
          <a:off x="0" y="3064403"/>
          <a:ext cx="6556376" cy="0"/>
        </a:xfrm>
        <a:prstGeom xmlns:a="http://schemas.openxmlformats.org/drawingml/2006/main" prst="line">
          <a:avLst/>
        </a:prstGeom>
        <a:ln xmlns:a="http://schemas.openxmlformats.org/drawingml/2006/main">
          <a:solidFill>
            <a:schemeClr val="bg1">
              <a:lumMod val="6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cdr:x>
      <cdr:y>0.36935</cdr:y>
    </cdr:from>
    <cdr:to>
      <cdr:x>1</cdr:x>
      <cdr:y>0.36935</cdr:y>
    </cdr:to>
    <cdr:cxnSp macro="">
      <cdr:nvCxnSpPr>
        <cdr:cNvPr id="13" name="Straight Connector 12"/>
        <cdr:cNvCxnSpPr/>
      </cdr:nvCxnSpPr>
      <cdr:spPr>
        <a:xfrm xmlns:a="http://schemas.openxmlformats.org/drawingml/2006/main">
          <a:off x="0" y="2552578"/>
          <a:ext cx="7847544" cy="0"/>
        </a:xfrm>
        <a:prstGeom xmlns:a="http://schemas.openxmlformats.org/drawingml/2006/main" prst="line">
          <a:avLst/>
        </a:prstGeom>
        <a:ln xmlns:a="http://schemas.openxmlformats.org/drawingml/2006/main">
          <a:solidFill>
            <a:schemeClr val="bg1">
              <a:lumMod val="6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cdr:x>
      <cdr:y>0.285</cdr:y>
    </cdr:from>
    <cdr:to>
      <cdr:x>1</cdr:x>
      <cdr:y>0.285</cdr:y>
    </cdr:to>
    <cdr:cxnSp macro="">
      <cdr:nvCxnSpPr>
        <cdr:cNvPr id="14" name="Straight Connector 13"/>
        <cdr:cNvCxnSpPr/>
      </cdr:nvCxnSpPr>
      <cdr:spPr>
        <a:xfrm xmlns:a="http://schemas.openxmlformats.org/drawingml/2006/main">
          <a:off x="0" y="1969611"/>
          <a:ext cx="7847543" cy="0"/>
        </a:xfrm>
        <a:prstGeom xmlns:a="http://schemas.openxmlformats.org/drawingml/2006/main" prst="line">
          <a:avLst/>
        </a:prstGeom>
        <a:ln xmlns:a="http://schemas.openxmlformats.org/drawingml/2006/main">
          <a:solidFill>
            <a:schemeClr val="bg1">
              <a:lumMod val="6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cdr:x>
      <cdr:y>0.19163</cdr:y>
    </cdr:from>
    <cdr:to>
      <cdr:x>1</cdr:x>
      <cdr:y>0.19163</cdr:y>
    </cdr:to>
    <cdr:cxnSp macro="">
      <cdr:nvCxnSpPr>
        <cdr:cNvPr id="15" name="Straight Connector 14"/>
        <cdr:cNvCxnSpPr/>
      </cdr:nvCxnSpPr>
      <cdr:spPr>
        <a:xfrm xmlns:a="http://schemas.openxmlformats.org/drawingml/2006/main">
          <a:off x="0" y="1324361"/>
          <a:ext cx="7847544" cy="0"/>
        </a:xfrm>
        <a:prstGeom xmlns:a="http://schemas.openxmlformats.org/drawingml/2006/main" prst="line">
          <a:avLst/>
        </a:prstGeom>
        <a:ln xmlns:a="http://schemas.openxmlformats.org/drawingml/2006/main">
          <a:solidFill>
            <a:schemeClr val="bg1">
              <a:lumMod val="6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cdr:x>
      <cdr:y>0.10563</cdr:y>
    </cdr:from>
    <cdr:to>
      <cdr:x>1</cdr:x>
      <cdr:y>0.10563</cdr:y>
    </cdr:to>
    <cdr:cxnSp macro="">
      <cdr:nvCxnSpPr>
        <cdr:cNvPr id="16" name="Straight Connector 15"/>
        <cdr:cNvCxnSpPr/>
      </cdr:nvCxnSpPr>
      <cdr:spPr>
        <a:xfrm xmlns:a="http://schemas.openxmlformats.org/drawingml/2006/main">
          <a:off x="0" y="704319"/>
          <a:ext cx="6556376" cy="0"/>
        </a:xfrm>
        <a:prstGeom xmlns:a="http://schemas.openxmlformats.org/drawingml/2006/main" prst="line">
          <a:avLst/>
        </a:prstGeom>
        <a:ln xmlns:a="http://schemas.openxmlformats.org/drawingml/2006/main">
          <a:solidFill>
            <a:schemeClr val="bg1">
              <a:lumMod val="6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cdr:x>
      <cdr:y>0.81357</cdr:y>
    </cdr:from>
    <cdr:to>
      <cdr:x>1</cdr:x>
      <cdr:y>0.81357</cdr:y>
    </cdr:to>
    <cdr:cxnSp macro="">
      <cdr:nvCxnSpPr>
        <cdr:cNvPr id="17" name="Straight Connector 16"/>
        <cdr:cNvCxnSpPr/>
      </cdr:nvCxnSpPr>
      <cdr:spPr>
        <a:xfrm xmlns:a="http://schemas.openxmlformats.org/drawingml/2006/main">
          <a:off x="0" y="5424486"/>
          <a:ext cx="6556376" cy="0"/>
        </a:xfrm>
        <a:prstGeom xmlns:a="http://schemas.openxmlformats.org/drawingml/2006/main" prst="line">
          <a:avLst/>
        </a:prstGeom>
        <a:ln xmlns:a="http://schemas.openxmlformats.org/drawingml/2006/main">
          <a:solidFill>
            <a:schemeClr val="bg1">
              <a:lumMod val="6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0.50884</cdr:x>
      <cdr:y>0.06619</cdr:y>
    </cdr:from>
    <cdr:to>
      <cdr:x>0.55617</cdr:x>
      <cdr:y>0.09238</cdr:y>
    </cdr:to>
    <cdr:sp macro="" textlink="">
      <cdr:nvSpPr>
        <cdr:cNvPr id="18" name="Right Arrow 17"/>
        <cdr:cNvSpPr>
          <a:spLocks xmlns:a="http://schemas.openxmlformats.org/drawingml/2006/main"/>
        </cdr:cNvSpPr>
      </cdr:nvSpPr>
      <cdr:spPr>
        <a:xfrm xmlns:a="http://schemas.openxmlformats.org/drawingml/2006/main">
          <a:off x="3993128" y="457415"/>
          <a:ext cx="371425" cy="180997"/>
        </a:xfrm>
        <a:prstGeom xmlns:a="http://schemas.openxmlformats.org/drawingml/2006/main" prst="rightArrow">
          <a:avLst/>
        </a:prstGeom>
        <a:solidFill xmlns:a="http://schemas.openxmlformats.org/drawingml/2006/main">
          <a:srgbClr val="C00000"/>
        </a:solidFill>
        <a:ln xmlns:a="http://schemas.openxmlformats.org/drawingml/2006/main">
          <a:solidFill>
            <a:schemeClr val="accent3">
              <a:lumMod val="5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lv-LV"/>
        </a:p>
      </cdr:txBody>
    </cdr:sp>
  </cdr:relSizeAnchor>
  <cdr:relSizeAnchor xmlns:cdr="http://schemas.openxmlformats.org/drawingml/2006/chartDrawing">
    <cdr:from>
      <cdr:x>0.47242</cdr:x>
      <cdr:y>0.15501</cdr:y>
    </cdr:from>
    <cdr:to>
      <cdr:x>0.51976</cdr:x>
      <cdr:y>0.1812</cdr:y>
    </cdr:to>
    <cdr:sp macro="" textlink="">
      <cdr:nvSpPr>
        <cdr:cNvPr id="19" name="Right Arrow 18"/>
        <cdr:cNvSpPr>
          <a:spLocks xmlns:a="http://schemas.openxmlformats.org/drawingml/2006/main"/>
        </cdr:cNvSpPr>
      </cdr:nvSpPr>
      <cdr:spPr>
        <a:xfrm xmlns:a="http://schemas.openxmlformats.org/drawingml/2006/main">
          <a:off x="3707366" y="1071251"/>
          <a:ext cx="371502" cy="180997"/>
        </a:xfrm>
        <a:prstGeom xmlns:a="http://schemas.openxmlformats.org/drawingml/2006/main" prst="rightArrow">
          <a:avLst/>
        </a:prstGeom>
        <a:solidFill xmlns:a="http://schemas.openxmlformats.org/drawingml/2006/main">
          <a:srgbClr val="C00000"/>
        </a:solidFill>
        <a:ln xmlns:a="http://schemas.openxmlformats.org/drawingml/2006/main">
          <a:solidFill>
            <a:schemeClr val="accent3">
              <a:lumMod val="5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lv-LV"/>
        </a:p>
      </cdr:txBody>
    </cdr:sp>
  </cdr:relSizeAnchor>
  <cdr:relSizeAnchor xmlns:cdr="http://schemas.openxmlformats.org/drawingml/2006/chartDrawing">
    <cdr:from>
      <cdr:x>0.36588</cdr:x>
      <cdr:y>0.24536</cdr:y>
    </cdr:from>
    <cdr:to>
      <cdr:x>0.41321</cdr:x>
      <cdr:y>0.27155</cdr:y>
    </cdr:to>
    <cdr:sp macro="" textlink="">
      <cdr:nvSpPr>
        <cdr:cNvPr id="20" name="Right Arrow 19"/>
        <cdr:cNvSpPr>
          <a:spLocks xmlns:a="http://schemas.openxmlformats.org/drawingml/2006/main"/>
        </cdr:cNvSpPr>
      </cdr:nvSpPr>
      <cdr:spPr>
        <a:xfrm xmlns:a="http://schemas.openxmlformats.org/drawingml/2006/main">
          <a:off x="2871286" y="1695663"/>
          <a:ext cx="371424" cy="180997"/>
        </a:xfrm>
        <a:prstGeom xmlns:a="http://schemas.openxmlformats.org/drawingml/2006/main" prst="rightArrow">
          <a:avLst/>
        </a:prstGeom>
        <a:solidFill xmlns:a="http://schemas.openxmlformats.org/drawingml/2006/main">
          <a:srgbClr val="C00000"/>
        </a:solidFill>
        <a:ln xmlns:a="http://schemas.openxmlformats.org/drawingml/2006/main">
          <a:solidFill>
            <a:schemeClr val="accent3">
              <a:lumMod val="5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lv-LV"/>
        </a:p>
      </cdr:txBody>
    </cdr:sp>
  </cdr:relSizeAnchor>
  <cdr:relSizeAnchor xmlns:cdr="http://schemas.openxmlformats.org/drawingml/2006/chartDrawing">
    <cdr:from>
      <cdr:x>0.37287</cdr:x>
      <cdr:y>0.33075</cdr:y>
    </cdr:from>
    <cdr:to>
      <cdr:x>0.4202</cdr:x>
      <cdr:y>0.35694</cdr:y>
    </cdr:to>
    <cdr:sp macro="" textlink="">
      <cdr:nvSpPr>
        <cdr:cNvPr id="21" name="Right Arrow 20"/>
        <cdr:cNvSpPr>
          <a:spLocks xmlns:a="http://schemas.openxmlformats.org/drawingml/2006/main"/>
        </cdr:cNvSpPr>
      </cdr:nvSpPr>
      <cdr:spPr>
        <a:xfrm xmlns:a="http://schemas.openxmlformats.org/drawingml/2006/main">
          <a:off x="2354721" y="1836677"/>
          <a:ext cx="298892" cy="145435"/>
        </a:xfrm>
        <a:prstGeom xmlns:a="http://schemas.openxmlformats.org/drawingml/2006/main" prst="rightArrow">
          <a:avLst/>
        </a:prstGeom>
        <a:solidFill xmlns:a="http://schemas.openxmlformats.org/drawingml/2006/main">
          <a:srgbClr val="C00000"/>
        </a:solidFill>
        <a:ln xmlns:a="http://schemas.openxmlformats.org/drawingml/2006/main">
          <a:solidFill>
            <a:schemeClr val="accent3">
              <a:lumMod val="5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lv-LV"/>
        </a:p>
      </cdr:txBody>
    </cdr:sp>
  </cdr:relSizeAnchor>
  <cdr:relSizeAnchor xmlns:cdr="http://schemas.openxmlformats.org/drawingml/2006/chartDrawing">
    <cdr:from>
      <cdr:x>0.55706</cdr:x>
      <cdr:y>0.06346</cdr:y>
    </cdr:from>
    <cdr:to>
      <cdr:x>0.99216</cdr:x>
      <cdr:y>0.11367</cdr:y>
    </cdr:to>
    <cdr:sp macro="" textlink="">
      <cdr:nvSpPr>
        <cdr:cNvPr id="22" name="Text Box 2"/>
        <cdr:cNvSpPr txBox="1">
          <a:spLocks xmlns:a="http://schemas.openxmlformats.org/drawingml/2006/main" noChangeArrowheads="1"/>
        </cdr:cNvSpPr>
      </cdr:nvSpPr>
      <cdr:spPr bwMode="auto">
        <a:xfrm xmlns:a="http://schemas.openxmlformats.org/drawingml/2006/main">
          <a:off x="3385225" y="352425"/>
          <a:ext cx="2644099" cy="27879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just">
            <a:lnSpc>
              <a:spcPct val="115000"/>
            </a:lnSpc>
            <a:spcBef>
              <a:spcPts val="600"/>
            </a:spcBef>
            <a:spcAft>
              <a:spcPts val="600"/>
            </a:spcAft>
          </a:pPr>
          <a:r>
            <a:rPr lang="lv-LV" sz="1100" b="1">
              <a:solidFill>
                <a:srgbClr val="C00000"/>
              </a:solidFill>
              <a:effectLst/>
              <a:latin typeface="Times New Roman" panose="02020603050405020304" pitchFamily="18" charset="0"/>
              <a:ea typeface="Times New Roman" panose="02020603050405020304" pitchFamily="18" charset="0"/>
            </a:rPr>
            <a:t>Atlikušais finansējums – 248,5 milj.</a:t>
          </a:r>
          <a:r>
            <a:rPr lang="lv-LV" sz="1100" b="1" i="1">
              <a:solidFill>
                <a:srgbClr val="C00000"/>
              </a:solidFill>
              <a:effectLst/>
              <a:latin typeface="Times New Roman" panose="02020603050405020304" pitchFamily="18" charset="0"/>
              <a:ea typeface="Times New Roman" panose="02020603050405020304" pitchFamily="18" charset="0"/>
            </a:rPr>
            <a:t>euro</a:t>
          </a:r>
          <a:endParaRPr lang="lv-LV" sz="1200" i="1">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0.53413</cdr:x>
      <cdr:y>0.14408</cdr:y>
    </cdr:from>
    <cdr:to>
      <cdr:x>0.96865</cdr:x>
      <cdr:y>0.19429</cdr:y>
    </cdr:to>
    <cdr:sp macro="" textlink="">
      <cdr:nvSpPr>
        <cdr:cNvPr id="23" name="Text Box 2"/>
        <cdr:cNvSpPr txBox="1">
          <a:spLocks xmlns:a="http://schemas.openxmlformats.org/drawingml/2006/main" noChangeArrowheads="1"/>
        </cdr:cNvSpPr>
      </cdr:nvSpPr>
      <cdr:spPr bwMode="auto">
        <a:xfrm xmlns:a="http://schemas.openxmlformats.org/drawingml/2006/main">
          <a:off x="3245881" y="800100"/>
          <a:ext cx="2640569" cy="27879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just">
            <a:lnSpc>
              <a:spcPct val="115000"/>
            </a:lnSpc>
            <a:spcBef>
              <a:spcPts val="600"/>
            </a:spcBef>
            <a:spcAft>
              <a:spcPts val="600"/>
            </a:spcAft>
          </a:pPr>
          <a:r>
            <a:rPr lang="lv-LV" sz="1100" b="1">
              <a:solidFill>
                <a:srgbClr val="C00000"/>
              </a:solidFill>
              <a:effectLst/>
              <a:latin typeface="Times New Roman" panose="02020603050405020304" pitchFamily="18" charset="0"/>
              <a:ea typeface="Times New Roman" panose="02020603050405020304" pitchFamily="18" charset="0"/>
            </a:rPr>
            <a:t>Atlikušais finansējums – 304,6 milj.</a:t>
          </a:r>
          <a:r>
            <a:rPr lang="lv-LV" sz="1100" b="1" i="1">
              <a:solidFill>
                <a:srgbClr val="C00000"/>
              </a:solidFill>
              <a:effectLst/>
              <a:latin typeface="Times New Roman" panose="02020603050405020304" pitchFamily="18" charset="0"/>
              <a:ea typeface="Times New Roman" panose="02020603050405020304" pitchFamily="18" charset="0"/>
            </a:rPr>
            <a:t>euro</a:t>
          </a:r>
          <a:endParaRPr lang="lv-LV" sz="1200" i="1">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0.42101</cdr:x>
      <cdr:y>0.23328</cdr:y>
    </cdr:from>
    <cdr:to>
      <cdr:x>0.86358</cdr:x>
      <cdr:y>0.28348</cdr:y>
    </cdr:to>
    <cdr:sp macro="" textlink="">
      <cdr:nvSpPr>
        <cdr:cNvPr id="24" name="Text Box 2"/>
        <cdr:cNvSpPr txBox="1">
          <a:spLocks xmlns:a="http://schemas.openxmlformats.org/drawingml/2006/main" noChangeArrowheads="1"/>
        </cdr:cNvSpPr>
      </cdr:nvSpPr>
      <cdr:spPr bwMode="auto">
        <a:xfrm xmlns:a="http://schemas.openxmlformats.org/drawingml/2006/main">
          <a:off x="2658698" y="1295400"/>
          <a:ext cx="2794856" cy="27879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just">
            <a:lnSpc>
              <a:spcPct val="115000"/>
            </a:lnSpc>
            <a:spcBef>
              <a:spcPts val="600"/>
            </a:spcBef>
            <a:spcAft>
              <a:spcPts val="600"/>
            </a:spcAft>
          </a:pPr>
          <a:r>
            <a:rPr lang="lv-LV" sz="1100" b="1">
              <a:solidFill>
                <a:srgbClr val="C00000"/>
              </a:solidFill>
              <a:effectLst/>
              <a:latin typeface="Times New Roman" panose="02020603050405020304" pitchFamily="18" charset="0"/>
              <a:ea typeface="Times New Roman" panose="02020603050405020304" pitchFamily="18" charset="0"/>
            </a:rPr>
            <a:t>Atlikušais finansējums – 266,8 milj.</a:t>
          </a:r>
          <a:r>
            <a:rPr lang="lv-LV" sz="1100" b="1" i="1">
              <a:solidFill>
                <a:srgbClr val="C00000"/>
              </a:solidFill>
              <a:effectLst/>
              <a:latin typeface="Times New Roman" panose="02020603050405020304" pitchFamily="18" charset="0"/>
              <a:ea typeface="Times New Roman" panose="02020603050405020304" pitchFamily="18" charset="0"/>
            </a:rPr>
            <a:t>euro</a:t>
          </a:r>
          <a:endParaRPr lang="lv-LV" sz="1200" i="1">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0.42355</cdr:x>
      <cdr:y>0.32762</cdr:y>
    </cdr:from>
    <cdr:to>
      <cdr:x>0.85266</cdr:x>
      <cdr:y>0.37782</cdr:y>
    </cdr:to>
    <cdr:sp macro="" textlink="">
      <cdr:nvSpPr>
        <cdr:cNvPr id="25" name="Text Box 2"/>
        <cdr:cNvSpPr txBox="1">
          <a:spLocks xmlns:a="http://schemas.openxmlformats.org/drawingml/2006/main" noChangeArrowheads="1"/>
        </cdr:cNvSpPr>
      </cdr:nvSpPr>
      <cdr:spPr bwMode="auto">
        <a:xfrm xmlns:a="http://schemas.openxmlformats.org/drawingml/2006/main">
          <a:off x="2573892" y="1819275"/>
          <a:ext cx="2607708" cy="27879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just">
            <a:lnSpc>
              <a:spcPct val="115000"/>
            </a:lnSpc>
            <a:spcBef>
              <a:spcPts val="600"/>
            </a:spcBef>
            <a:spcAft>
              <a:spcPts val="600"/>
            </a:spcAft>
          </a:pPr>
          <a:r>
            <a:rPr lang="lv-LV" sz="1100" b="1">
              <a:solidFill>
                <a:srgbClr val="C00000"/>
              </a:solidFill>
              <a:effectLst/>
              <a:latin typeface="Times New Roman" panose="02020603050405020304" pitchFamily="18" charset="0"/>
              <a:ea typeface="Times New Roman" panose="02020603050405020304" pitchFamily="18" charset="0"/>
            </a:rPr>
            <a:t>Atlikušais finansējums – 187,2 milj.</a:t>
          </a:r>
          <a:r>
            <a:rPr lang="lv-LV" sz="1100" b="1" i="1">
              <a:solidFill>
                <a:srgbClr val="C00000"/>
              </a:solidFill>
              <a:effectLst/>
              <a:latin typeface="Times New Roman" panose="02020603050405020304" pitchFamily="18" charset="0"/>
              <a:ea typeface="Times New Roman" panose="02020603050405020304" pitchFamily="18" charset="0"/>
            </a:rPr>
            <a:t>euro</a:t>
          </a:r>
          <a:endParaRPr lang="lv-LV" sz="1200" i="1">
            <a:effectLst/>
            <a:latin typeface="Times New Roman" panose="02020603050405020304" pitchFamily="18" charset="0"/>
            <a:ea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0.49052</cdr:x>
      <cdr:y>0.09533</cdr:y>
    </cdr:from>
    <cdr:to>
      <cdr:x>0.55573</cdr:x>
      <cdr:y>0.12425</cdr:y>
    </cdr:to>
    <cdr:sp macro="" textlink="">
      <cdr:nvSpPr>
        <cdr:cNvPr id="2" name="Right Arrow 1"/>
        <cdr:cNvSpPr>
          <a:spLocks xmlns:a="http://schemas.openxmlformats.org/drawingml/2006/main"/>
        </cdr:cNvSpPr>
      </cdr:nvSpPr>
      <cdr:spPr>
        <a:xfrm xmlns:a="http://schemas.openxmlformats.org/drawingml/2006/main">
          <a:off x="2793961" y="577485"/>
          <a:ext cx="371433" cy="175195"/>
        </a:xfrm>
        <a:prstGeom xmlns:a="http://schemas.openxmlformats.org/drawingml/2006/main" prst="rightArrow">
          <a:avLst/>
        </a:prstGeom>
        <a:solidFill xmlns:a="http://schemas.openxmlformats.org/drawingml/2006/main">
          <a:srgbClr val="C00000"/>
        </a:solidFill>
        <a:ln xmlns:a="http://schemas.openxmlformats.org/drawingml/2006/main">
          <a:solidFill>
            <a:schemeClr val="accent3">
              <a:lumMod val="5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lv-LV"/>
        </a:p>
      </cdr:txBody>
    </cdr:sp>
  </cdr:relSizeAnchor>
  <cdr:relSizeAnchor xmlns:cdr="http://schemas.openxmlformats.org/drawingml/2006/chartDrawing">
    <cdr:from>
      <cdr:x>0.45038</cdr:x>
      <cdr:y>0.18361</cdr:y>
    </cdr:from>
    <cdr:to>
      <cdr:x>0.51559</cdr:x>
      <cdr:y>0.21253</cdr:y>
    </cdr:to>
    <cdr:sp macro="" textlink="">
      <cdr:nvSpPr>
        <cdr:cNvPr id="3" name="Right Arrow 2"/>
        <cdr:cNvSpPr>
          <a:spLocks xmlns:a="http://schemas.openxmlformats.org/drawingml/2006/main"/>
        </cdr:cNvSpPr>
      </cdr:nvSpPr>
      <cdr:spPr>
        <a:xfrm xmlns:a="http://schemas.openxmlformats.org/drawingml/2006/main">
          <a:off x="2565360" y="1112319"/>
          <a:ext cx="371433" cy="175194"/>
        </a:xfrm>
        <a:prstGeom xmlns:a="http://schemas.openxmlformats.org/drawingml/2006/main" prst="rightArrow">
          <a:avLst/>
        </a:prstGeom>
        <a:solidFill xmlns:a="http://schemas.openxmlformats.org/drawingml/2006/main">
          <a:srgbClr val="C00000"/>
        </a:solidFill>
        <a:ln xmlns:a="http://schemas.openxmlformats.org/drawingml/2006/main">
          <a:solidFill>
            <a:schemeClr val="accent3">
              <a:lumMod val="5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lv-LV"/>
        </a:p>
      </cdr:txBody>
    </cdr:sp>
  </cdr:relSizeAnchor>
  <cdr:relSizeAnchor xmlns:cdr="http://schemas.openxmlformats.org/drawingml/2006/chartDrawing">
    <cdr:from>
      <cdr:x>0.39855</cdr:x>
      <cdr:y>0.27194</cdr:y>
    </cdr:from>
    <cdr:to>
      <cdr:x>0.46376</cdr:x>
      <cdr:y>0.30086</cdr:y>
    </cdr:to>
    <cdr:sp macro="" textlink="">
      <cdr:nvSpPr>
        <cdr:cNvPr id="4" name="Right Arrow 3"/>
        <cdr:cNvSpPr>
          <a:spLocks xmlns:a="http://schemas.openxmlformats.org/drawingml/2006/main"/>
        </cdr:cNvSpPr>
      </cdr:nvSpPr>
      <cdr:spPr>
        <a:xfrm xmlns:a="http://schemas.openxmlformats.org/drawingml/2006/main">
          <a:off x="2270098" y="1647413"/>
          <a:ext cx="371433" cy="175195"/>
        </a:xfrm>
        <a:prstGeom xmlns:a="http://schemas.openxmlformats.org/drawingml/2006/main" prst="rightArrow">
          <a:avLst/>
        </a:prstGeom>
        <a:solidFill xmlns:a="http://schemas.openxmlformats.org/drawingml/2006/main">
          <a:srgbClr val="C00000"/>
        </a:solidFill>
        <a:ln xmlns:a="http://schemas.openxmlformats.org/drawingml/2006/main">
          <a:solidFill>
            <a:schemeClr val="accent3">
              <a:lumMod val="5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lv-LV"/>
        </a:p>
      </cdr:txBody>
    </cdr:sp>
  </cdr:relSizeAnchor>
  <cdr:relSizeAnchor xmlns:cdr="http://schemas.openxmlformats.org/drawingml/2006/chartDrawing">
    <cdr:from>
      <cdr:x>0.55853</cdr:x>
      <cdr:y>0.08746</cdr:y>
    </cdr:from>
    <cdr:to>
      <cdr:x>1</cdr:x>
      <cdr:y>0.13863</cdr:y>
    </cdr:to>
    <cdr:sp macro="" textlink="">
      <cdr:nvSpPr>
        <cdr:cNvPr id="6" name="Text Box 2"/>
        <cdr:cNvSpPr txBox="1">
          <a:spLocks xmlns:a="http://schemas.openxmlformats.org/drawingml/2006/main" noChangeArrowheads="1"/>
        </cdr:cNvSpPr>
      </cdr:nvSpPr>
      <cdr:spPr bwMode="auto">
        <a:xfrm xmlns:a="http://schemas.openxmlformats.org/drawingml/2006/main">
          <a:off x="3156532" y="476508"/>
          <a:ext cx="2494968" cy="27879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just">
            <a:lnSpc>
              <a:spcPct val="115000"/>
            </a:lnSpc>
            <a:spcBef>
              <a:spcPts val="600"/>
            </a:spcBef>
            <a:spcAft>
              <a:spcPts val="600"/>
            </a:spcAft>
          </a:pPr>
          <a:r>
            <a:rPr lang="lv-LV" sz="1100" b="1">
              <a:solidFill>
                <a:srgbClr val="C00000"/>
              </a:solidFill>
              <a:effectLst/>
              <a:latin typeface="Times New Roman" panose="02020603050405020304" pitchFamily="18" charset="0"/>
              <a:ea typeface="Times New Roman" panose="02020603050405020304" pitchFamily="18" charset="0"/>
            </a:rPr>
            <a:t>Neizpildīts</a:t>
          </a:r>
          <a:r>
            <a:rPr lang="lv-LV" sz="1100" b="1" baseline="0">
              <a:solidFill>
                <a:srgbClr val="C00000"/>
              </a:solidFill>
              <a:effectLst/>
              <a:latin typeface="Times New Roman" panose="02020603050405020304" pitchFamily="18" charset="0"/>
              <a:ea typeface="Times New Roman" panose="02020603050405020304" pitchFamily="18" charset="0"/>
            </a:rPr>
            <a:t> mērķis - 40,1</a:t>
          </a:r>
          <a:r>
            <a:rPr lang="lv-LV" sz="1100" b="1">
              <a:solidFill>
                <a:srgbClr val="C00000"/>
              </a:solidFill>
              <a:effectLst/>
              <a:latin typeface="Times New Roman" panose="02020603050405020304" pitchFamily="18" charset="0"/>
              <a:ea typeface="Times New Roman" panose="02020603050405020304" pitchFamily="18" charset="0"/>
            </a:rPr>
            <a:t> milj.</a:t>
          </a:r>
          <a:r>
            <a:rPr lang="lv-LV" sz="1100" b="1" i="1">
              <a:solidFill>
                <a:srgbClr val="C00000"/>
              </a:solidFill>
              <a:effectLst/>
              <a:latin typeface="Times New Roman" panose="02020603050405020304" pitchFamily="18" charset="0"/>
              <a:ea typeface="Times New Roman" panose="02020603050405020304" pitchFamily="18" charset="0"/>
            </a:rPr>
            <a:t>euro</a:t>
          </a:r>
          <a:endParaRPr lang="lv-LV" sz="1200" i="1">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0.51672</cdr:x>
      <cdr:y>0.17134</cdr:y>
    </cdr:from>
    <cdr:to>
      <cdr:x>0.93535</cdr:x>
      <cdr:y>0.22251</cdr:y>
    </cdr:to>
    <cdr:sp macro="" textlink="">
      <cdr:nvSpPr>
        <cdr:cNvPr id="7" name="Text Box 2"/>
        <cdr:cNvSpPr txBox="1">
          <a:spLocks xmlns:a="http://schemas.openxmlformats.org/drawingml/2006/main" noChangeArrowheads="1"/>
        </cdr:cNvSpPr>
      </cdr:nvSpPr>
      <cdr:spPr bwMode="auto">
        <a:xfrm xmlns:a="http://schemas.openxmlformats.org/drawingml/2006/main">
          <a:off x="2920243" y="933512"/>
          <a:ext cx="2365888" cy="27879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just">
            <a:lnSpc>
              <a:spcPct val="115000"/>
            </a:lnSpc>
            <a:spcBef>
              <a:spcPts val="600"/>
            </a:spcBef>
            <a:spcAft>
              <a:spcPts val="600"/>
            </a:spcAft>
          </a:pPr>
          <a:r>
            <a:rPr lang="lv-LV" sz="1100" b="1">
              <a:solidFill>
                <a:srgbClr val="C00000"/>
              </a:solidFill>
              <a:effectLst/>
              <a:latin typeface="Times New Roman" panose="02020603050405020304" pitchFamily="18" charset="0"/>
              <a:ea typeface="Times New Roman" panose="02020603050405020304" pitchFamily="18" charset="0"/>
            </a:rPr>
            <a:t>Neizpildīts</a:t>
          </a:r>
          <a:r>
            <a:rPr lang="lv-LV" sz="1100" b="1" baseline="0">
              <a:solidFill>
                <a:srgbClr val="C00000"/>
              </a:solidFill>
              <a:effectLst/>
              <a:latin typeface="Times New Roman" panose="02020603050405020304" pitchFamily="18" charset="0"/>
              <a:ea typeface="Times New Roman" panose="02020603050405020304" pitchFamily="18" charset="0"/>
            </a:rPr>
            <a:t> mērķis </a:t>
          </a:r>
          <a:r>
            <a:rPr lang="lv-LV" sz="1100" b="1">
              <a:solidFill>
                <a:srgbClr val="C00000"/>
              </a:solidFill>
              <a:effectLst/>
              <a:latin typeface="Times New Roman" panose="02020603050405020304" pitchFamily="18" charset="0"/>
              <a:ea typeface="Times New Roman" panose="02020603050405020304" pitchFamily="18" charset="0"/>
            </a:rPr>
            <a:t>– 42,7 milj.</a:t>
          </a:r>
          <a:r>
            <a:rPr lang="lv-LV" sz="1100" b="1" i="1">
              <a:solidFill>
                <a:srgbClr val="C00000"/>
              </a:solidFill>
              <a:effectLst/>
              <a:latin typeface="Times New Roman" panose="02020603050405020304" pitchFamily="18" charset="0"/>
              <a:ea typeface="Times New Roman" panose="02020603050405020304" pitchFamily="18" charset="0"/>
            </a:rPr>
            <a:t>euro</a:t>
          </a:r>
          <a:endParaRPr lang="lv-LV" sz="1200" i="1">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0.45875</cdr:x>
      <cdr:y>0.26123</cdr:y>
    </cdr:from>
    <cdr:to>
      <cdr:x>0.87625</cdr:x>
      <cdr:y>0.3124</cdr:y>
    </cdr:to>
    <cdr:sp macro="" textlink="">
      <cdr:nvSpPr>
        <cdr:cNvPr id="8" name="Text Box 2"/>
        <cdr:cNvSpPr txBox="1">
          <a:spLocks xmlns:a="http://schemas.openxmlformats.org/drawingml/2006/main" noChangeArrowheads="1"/>
        </cdr:cNvSpPr>
      </cdr:nvSpPr>
      <cdr:spPr bwMode="auto">
        <a:xfrm xmlns:a="http://schemas.openxmlformats.org/drawingml/2006/main">
          <a:off x="2592626" y="1423259"/>
          <a:ext cx="2359501" cy="27879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just">
            <a:lnSpc>
              <a:spcPct val="115000"/>
            </a:lnSpc>
            <a:spcBef>
              <a:spcPts val="600"/>
            </a:spcBef>
            <a:spcAft>
              <a:spcPts val="600"/>
            </a:spcAft>
          </a:pPr>
          <a:r>
            <a:rPr lang="lv-LV" sz="1100" b="1">
              <a:solidFill>
                <a:srgbClr val="C00000"/>
              </a:solidFill>
              <a:effectLst/>
              <a:latin typeface="Times New Roman" panose="02020603050405020304" pitchFamily="18" charset="0"/>
              <a:ea typeface="Times New Roman" panose="02020603050405020304" pitchFamily="18" charset="0"/>
            </a:rPr>
            <a:t>Neizpildīts</a:t>
          </a:r>
          <a:r>
            <a:rPr lang="lv-LV" sz="1100" b="1" baseline="0">
              <a:solidFill>
                <a:srgbClr val="C00000"/>
              </a:solidFill>
              <a:effectLst/>
              <a:latin typeface="Times New Roman" panose="02020603050405020304" pitchFamily="18" charset="0"/>
              <a:ea typeface="Times New Roman" panose="02020603050405020304" pitchFamily="18" charset="0"/>
            </a:rPr>
            <a:t> mērķis </a:t>
          </a:r>
          <a:r>
            <a:rPr lang="lv-LV" sz="1100" b="1">
              <a:solidFill>
                <a:srgbClr val="C00000"/>
              </a:solidFill>
              <a:effectLst/>
              <a:latin typeface="Times New Roman" panose="02020603050405020304" pitchFamily="18" charset="0"/>
              <a:ea typeface="Times New Roman" panose="02020603050405020304" pitchFamily="18" charset="0"/>
            </a:rPr>
            <a:t>– 51,8 milj.</a:t>
          </a:r>
          <a:r>
            <a:rPr lang="lv-LV" sz="1100" b="1" i="1">
              <a:solidFill>
                <a:srgbClr val="C00000"/>
              </a:solidFill>
              <a:effectLst/>
              <a:latin typeface="Times New Roman" panose="02020603050405020304" pitchFamily="18" charset="0"/>
              <a:ea typeface="Times New Roman" panose="02020603050405020304" pitchFamily="18" charset="0"/>
            </a:rPr>
            <a:t>euro</a:t>
          </a:r>
          <a:endParaRPr lang="lv-LV" sz="1200" i="1">
            <a:effectLst/>
            <a:latin typeface="Times New Roman" panose="02020603050405020304" pitchFamily="18" charset="0"/>
            <a:ea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0.00843</cdr:x>
      <cdr:y>0.87369</cdr:y>
    </cdr:from>
    <cdr:to>
      <cdr:x>0.98764</cdr:x>
      <cdr:y>0.97281</cdr:y>
    </cdr:to>
    <cdr:sp macro="" textlink="">
      <cdr:nvSpPr>
        <cdr:cNvPr id="2" name="TextBox 1"/>
        <cdr:cNvSpPr txBox="1"/>
      </cdr:nvSpPr>
      <cdr:spPr>
        <a:xfrm xmlns:a="http://schemas.openxmlformats.org/drawingml/2006/main">
          <a:off x="47625" y="3550107"/>
          <a:ext cx="5534025" cy="40276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kumimoji="0" lang="lv-LV" sz="1000" b="0" i="0" u="none" strike="noStrike" kern="0" cap="none" spc="0" normalizeH="0" baseline="0" noProof="0">
              <a:ln>
                <a:noFill/>
              </a:ln>
              <a:solidFill>
                <a:srgbClr val="FF0000"/>
              </a:solidFill>
              <a:effectLst/>
              <a:uLnTx/>
              <a:uFillTx/>
              <a:latin typeface="+mn-lt"/>
              <a:ea typeface="+mn-ea"/>
              <a:cs typeface="+mn-cs"/>
            </a:rPr>
            <a:t>Jāņem vērā, ka prognozes un izpilde būtiski atšķiras no sākotnēji apstiprinātā plāna dēļ izmaiņām projektos </a:t>
          </a:r>
        </a:p>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kumimoji="0" lang="lv-LV" sz="1000" b="0" i="0" u="none" strike="noStrike" kern="0" cap="none" spc="0" normalizeH="0" baseline="0" noProof="0">
              <a:ln>
                <a:noFill/>
              </a:ln>
              <a:solidFill>
                <a:srgbClr val="FF0000"/>
              </a:solidFill>
              <a:effectLst/>
              <a:uLnTx/>
              <a:uFillTx/>
              <a:latin typeface="+mn-lt"/>
              <a:ea typeface="+mn-ea"/>
              <a:cs typeface="+mn-cs"/>
            </a:rPr>
            <a:t>un pārtrauktā AS "Pasažieru vilciens" projekta</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459A62-C3D4-4181-9F4F-945098889F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5742</TotalTime>
  <Pages>70</Pages>
  <Words>101107</Words>
  <Characters>57631</Characters>
  <Application>Microsoft Office Word</Application>
  <DocSecurity>0</DocSecurity>
  <Lines>480</Lines>
  <Paragraphs>316</Paragraphs>
  <ScaleCrop>false</ScaleCrop>
  <HeadingPairs>
    <vt:vector size="2" baseType="variant">
      <vt:variant>
        <vt:lpstr>Title</vt:lpstr>
      </vt:variant>
      <vt:variant>
        <vt:i4>1</vt:i4>
      </vt:variant>
    </vt:vector>
  </HeadingPairs>
  <TitlesOfParts>
    <vt:vector size="1" baseType="lpstr">
      <vt:lpstr>Informatīvā ziņojuma projekts</vt:lpstr>
    </vt:vector>
  </TitlesOfParts>
  <Company>Finanšu ministrija</Company>
  <LinksUpToDate>false</LinksUpToDate>
  <CharactersWithSpaces>158422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Informatīvā ziņojuma projekts</dc:title>
  <dc:subject>Informatīvais ziņojums parEiropas Savienības struktūrfondu un Kohēzijas fonda, Eiropas Ekonomikas zonas finanšu instrumenta, Norvēģijas finanšu instrumenta un Latvijas un Šveices sadarbības programmas investīciju progresu līdz 2014.gada 31.decembrim</dc:subject>
  <dc:creator>signe.albina@fm.gov.lv</dc:creator>
  <cp:lastModifiedBy>Ieva Puriņa</cp:lastModifiedBy>
  <cp:revision>1441</cp:revision>
  <cp:lastPrinted>2015-01-30T09:44:00Z</cp:lastPrinted>
  <dcterms:created xsi:type="dcterms:W3CDTF">2014-10-20T18:22:00Z</dcterms:created>
  <dcterms:modified xsi:type="dcterms:W3CDTF">2015-03-09T15:01:00Z</dcterms:modified>
</cp:coreProperties>
</file>