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728E1" w14:textId="77777777" w:rsidR="00FB437B" w:rsidRPr="00391150" w:rsidRDefault="004D2EAF" w:rsidP="00FB437B">
      <w:pPr>
        <w:suppressAutoHyphens/>
        <w:spacing w:line="240" w:lineRule="auto"/>
        <w:jc w:val="center"/>
        <w:rPr>
          <w:rStyle w:val="SubtleReference"/>
          <w:rFonts w:ascii="Times New Roman" w:hAnsi="Times New Roman" w:cs="Times New Roman"/>
          <w:b/>
          <w:color w:val="auto"/>
          <w:sz w:val="32"/>
          <w:szCs w:val="32"/>
        </w:rPr>
      </w:pPr>
      <w:r w:rsidRPr="00391150">
        <w:rPr>
          <w:rStyle w:val="SubtleReference"/>
          <w:rFonts w:ascii="Times New Roman" w:hAnsi="Times New Roman" w:cs="Times New Roman"/>
          <w:b/>
          <w:color w:val="auto"/>
          <w:sz w:val="32"/>
          <w:szCs w:val="32"/>
        </w:rPr>
        <w:t>Informatīvais ziņojums</w:t>
      </w:r>
    </w:p>
    <w:p w14:paraId="52782304" w14:textId="77777777" w:rsidR="006A75E8" w:rsidRPr="00D928CD" w:rsidRDefault="004D2EAF" w:rsidP="00366BFD">
      <w:pPr>
        <w:suppressAutoHyphens/>
        <w:spacing w:after="480" w:line="240" w:lineRule="auto"/>
        <w:jc w:val="center"/>
        <w:rPr>
          <w:rFonts w:ascii="Times New Roman" w:eastAsia="Times New Roman" w:hAnsi="Times New Roman" w:cs="Times New Roman"/>
          <w:b/>
          <w:sz w:val="32"/>
          <w:szCs w:val="32"/>
        </w:rPr>
      </w:pPr>
      <w:r w:rsidRPr="00391150">
        <w:rPr>
          <w:rFonts w:ascii="Times New Roman" w:eastAsia="Times New Roman" w:hAnsi="Times New Roman" w:cs="Times New Roman"/>
          <w:b/>
          <w:sz w:val="32"/>
          <w:szCs w:val="32"/>
        </w:rPr>
        <w:t>par samazināt</w:t>
      </w:r>
      <w:r w:rsidR="00FB437B" w:rsidRPr="00391150">
        <w:rPr>
          <w:rFonts w:ascii="Times New Roman" w:eastAsia="Times New Roman" w:hAnsi="Times New Roman" w:cs="Times New Roman"/>
          <w:b/>
          <w:sz w:val="32"/>
          <w:szCs w:val="32"/>
        </w:rPr>
        <w:t>o</w:t>
      </w:r>
      <w:r w:rsidRPr="00391150">
        <w:rPr>
          <w:rFonts w:ascii="Times New Roman" w:eastAsia="Times New Roman" w:hAnsi="Times New Roman" w:cs="Times New Roman"/>
          <w:b/>
          <w:sz w:val="32"/>
          <w:szCs w:val="32"/>
        </w:rPr>
        <w:t xml:space="preserve"> pievienotās vērtības nodokļa likm</w:t>
      </w:r>
      <w:r w:rsidR="00FB437B" w:rsidRPr="00391150">
        <w:rPr>
          <w:rFonts w:ascii="Times New Roman" w:eastAsia="Times New Roman" w:hAnsi="Times New Roman" w:cs="Times New Roman"/>
          <w:b/>
          <w:sz w:val="32"/>
          <w:szCs w:val="32"/>
        </w:rPr>
        <w:t>i</w:t>
      </w:r>
      <w:r w:rsidRPr="00391150">
        <w:rPr>
          <w:rFonts w:ascii="Times New Roman" w:eastAsia="Times New Roman" w:hAnsi="Times New Roman" w:cs="Times New Roman"/>
          <w:b/>
          <w:sz w:val="32"/>
          <w:szCs w:val="32"/>
        </w:rPr>
        <w:t xml:space="preserve"> pārtikai vai atsevišķām pārtikas preču grupām un fiskālo ietekmi uz valsts </w:t>
      </w:r>
      <w:r w:rsidRPr="00D928CD">
        <w:rPr>
          <w:rFonts w:ascii="Times New Roman" w:eastAsia="Times New Roman" w:hAnsi="Times New Roman" w:cs="Times New Roman"/>
          <w:b/>
          <w:sz w:val="32"/>
          <w:szCs w:val="32"/>
        </w:rPr>
        <w:t>budžetu</w:t>
      </w:r>
      <w:bookmarkStart w:id="0" w:name="_GoBack"/>
      <w:bookmarkEnd w:id="0"/>
    </w:p>
    <w:p w14:paraId="65E44437" w14:textId="0A97742A" w:rsidR="006A75E8" w:rsidRPr="00D928CD" w:rsidRDefault="002F202B" w:rsidP="00404C83">
      <w:pPr>
        <w:suppressAutoHyphens/>
        <w:spacing w:after="0" w:line="200" w:lineRule="atLeast"/>
        <w:ind w:firstLine="720"/>
        <w:jc w:val="both"/>
        <w:rPr>
          <w:rFonts w:ascii="Times New Roman" w:eastAsia="Times New Roman" w:hAnsi="Times New Roman" w:cs="Times New Roman"/>
          <w:sz w:val="24"/>
          <w:szCs w:val="24"/>
        </w:rPr>
      </w:pPr>
      <w:r w:rsidRPr="00D928CD">
        <w:rPr>
          <w:rFonts w:ascii="Times New Roman" w:eastAsia="Times New Roman" w:hAnsi="Times New Roman" w:cs="Times New Roman"/>
          <w:sz w:val="24"/>
          <w:szCs w:val="24"/>
        </w:rPr>
        <w:t>Informācija sagatavota a</w:t>
      </w:r>
      <w:r w:rsidR="004D2EAF" w:rsidRPr="00D928CD">
        <w:rPr>
          <w:rFonts w:ascii="Times New Roman" w:eastAsia="Times New Roman" w:hAnsi="Times New Roman" w:cs="Times New Roman"/>
          <w:sz w:val="24"/>
          <w:szCs w:val="24"/>
        </w:rPr>
        <w:t xml:space="preserve">tbilstoši Ministru kabineta </w:t>
      </w:r>
      <w:r w:rsidR="00435F39" w:rsidRPr="00D928CD">
        <w:rPr>
          <w:rFonts w:ascii="Times New Roman" w:eastAsia="Times New Roman" w:hAnsi="Times New Roman" w:cs="Times New Roman"/>
          <w:sz w:val="24"/>
          <w:szCs w:val="24"/>
        </w:rPr>
        <w:t xml:space="preserve">2014. gada 30. jūnija uzdevumam </w:t>
      </w:r>
      <w:r w:rsidR="004D2EAF" w:rsidRPr="00D928CD">
        <w:rPr>
          <w:rFonts w:ascii="Times New Roman" w:eastAsia="Times New Roman" w:hAnsi="Times New Roman" w:cs="Times New Roman"/>
          <w:sz w:val="24"/>
          <w:szCs w:val="24"/>
        </w:rPr>
        <w:t>Nr.12/2014-JUR-131</w:t>
      </w:r>
      <w:r w:rsidR="001967A1" w:rsidRPr="00D928CD">
        <w:rPr>
          <w:rFonts w:ascii="Times New Roman" w:eastAsia="Times New Roman" w:hAnsi="Times New Roman" w:cs="Times New Roman"/>
          <w:sz w:val="24"/>
          <w:szCs w:val="24"/>
        </w:rPr>
        <w:t>, kas paredz</w:t>
      </w:r>
      <w:r w:rsidR="004D2EAF" w:rsidRPr="00D928CD">
        <w:rPr>
          <w:rFonts w:ascii="Times New Roman" w:eastAsia="Times New Roman" w:hAnsi="Times New Roman" w:cs="Times New Roman"/>
          <w:sz w:val="24"/>
          <w:szCs w:val="24"/>
        </w:rPr>
        <w:t xml:space="preserve"> </w:t>
      </w:r>
      <w:r w:rsidRPr="00D928CD">
        <w:rPr>
          <w:rFonts w:ascii="Times New Roman" w:eastAsia="Times New Roman" w:hAnsi="Times New Roman" w:cs="Times New Roman"/>
          <w:sz w:val="24"/>
          <w:szCs w:val="24"/>
        </w:rPr>
        <w:t xml:space="preserve">izvērtēt iespējas samazināt pievienotās vērtības nodokļa </w:t>
      </w:r>
      <w:r w:rsidR="00756032" w:rsidRPr="00D928CD">
        <w:rPr>
          <w:rFonts w:ascii="Times New Roman" w:eastAsia="Times New Roman" w:hAnsi="Times New Roman" w:cs="Times New Roman"/>
          <w:sz w:val="24"/>
          <w:szCs w:val="24"/>
        </w:rPr>
        <w:t>(turpmāk – PVN)</w:t>
      </w:r>
      <w:r w:rsidRPr="00D928CD">
        <w:rPr>
          <w:rFonts w:ascii="Times New Roman" w:eastAsia="Times New Roman" w:hAnsi="Times New Roman" w:cs="Times New Roman"/>
          <w:sz w:val="24"/>
          <w:szCs w:val="24"/>
        </w:rPr>
        <w:t xml:space="preserve"> likmi pārtikai vai atsevišķām pārtikas preču grupām un līdz 2014. gada 1. decembrim sagatavot</w:t>
      </w:r>
      <w:r w:rsidR="00435F39" w:rsidRPr="00D928CD">
        <w:rPr>
          <w:rFonts w:ascii="Times New Roman" w:eastAsia="Times New Roman" w:hAnsi="Times New Roman" w:cs="Times New Roman"/>
          <w:sz w:val="24"/>
          <w:szCs w:val="24"/>
        </w:rPr>
        <w:t>,</w:t>
      </w:r>
      <w:r w:rsidRPr="00D928CD">
        <w:rPr>
          <w:rFonts w:ascii="Times New Roman" w:eastAsia="Times New Roman" w:hAnsi="Times New Roman" w:cs="Times New Roman"/>
          <w:sz w:val="24"/>
          <w:szCs w:val="24"/>
        </w:rPr>
        <w:t xml:space="preserve"> un noteiktā kārtībā iesniegt Ministru kabinetā attiecīgus tiesību aktu projektus vai informatīvo ziņojumu par šādas likmes samazinājuma neiespējamību un fiskālo ietekmi uz valsts budžetu, attiecīgi nodrošinot Saeimas 2014. gada 19. jūnija paziņojumā "Par uzdevumu Ministru kabinetam izvērtēt iespējas samazināt pievienotās vērtības nodokļa likmi pārtikai" Ministru kabinetam dotā uzdevuma izpildi.</w:t>
      </w:r>
    </w:p>
    <w:p w14:paraId="0119E42D" w14:textId="1ADD6196" w:rsidR="009B719F" w:rsidRPr="00D928CD" w:rsidRDefault="00401631" w:rsidP="00404C83">
      <w:pPr>
        <w:spacing w:after="0" w:line="200" w:lineRule="atLeast"/>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D928CD">
        <w:rPr>
          <w:rFonts w:ascii="Times New Roman" w:eastAsia="Times New Roman" w:hAnsi="Times New Roman" w:cs="Times New Roman"/>
          <w:sz w:val="24"/>
          <w:szCs w:val="24"/>
        </w:rPr>
        <w:t xml:space="preserve">amazinātās </w:t>
      </w:r>
      <w:r w:rsidR="002F202B" w:rsidRPr="00D928CD">
        <w:rPr>
          <w:rFonts w:ascii="Times New Roman" w:eastAsia="Times New Roman" w:hAnsi="Times New Roman" w:cs="Times New Roman"/>
          <w:sz w:val="24"/>
          <w:szCs w:val="24"/>
        </w:rPr>
        <w:t>P</w:t>
      </w:r>
      <w:r w:rsidR="00756032" w:rsidRPr="00D928CD">
        <w:rPr>
          <w:rFonts w:ascii="Times New Roman" w:eastAsia="Times New Roman" w:hAnsi="Times New Roman" w:cs="Times New Roman"/>
          <w:sz w:val="24"/>
          <w:szCs w:val="24"/>
        </w:rPr>
        <w:t>VN</w:t>
      </w:r>
      <w:r w:rsidR="002F202B" w:rsidRPr="00D928CD">
        <w:rPr>
          <w:rFonts w:ascii="Times New Roman" w:eastAsia="Times New Roman" w:hAnsi="Times New Roman" w:cs="Times New Roman"/>
          <w:sz w:val="24"/>
          <w:szCs w:val="24"/>
        </w:rPr>
        <w:t xml:space="preserve"> </w:t>
      </w:r>
      <w:r w:rsidR="009B719F" w:rsidRPr="00D928CD">
        <w:rPr>
          <w:rFonts w:ascii="Times New Roman" w:eastAsia="Times New Roman" w:hAnsi="Times New Roman" w:cs="Times New Roman"/>
          <w:sz w:val="24"/>
          <w:szCs w:val="24"/>
        </w:rPr>
        <w:t xml:space="preserve">likmes pārtikai un tās fiskālās ietekmes uz valsts budžetu izvērtēšana sniedz iespēju apzināt valsts nesaņemtos nodokļu ieņēmumus un </w:t>
      </w:r>
      <w:r w:rsidR="001967A1" w:rsidRPr="00D928CD">
        <w:rPr>
          <w:rFonts w:ascii="Times New Roman" w:eastAsia="Times New Roman" w:hAnsi="Times New Roman" w:cs="Times New Roman"/>
          <w:sz w:val="24"/>
          <w:szCs w:val="24"/>
        </w:rPr>
        <w:t xml:space="preserve">noteikt </w:t>
      </w:r>
      <w:r w:rsidR="009B719F" w:rsidRPr="00D928CD">
        <w:rPr>
          <w:rFonts w:ascii="Times New Roman" w:eastAsia="Times New Roman" w:hAnsi="Times New Roman" w:cs="Times New Roman"/>
          <w:sz w:val="24"/>
          <w:szCs w:val="24"/>
        </w:rPr>
        <w:t>sniegto atbalstu attiecīgajai nodokļu maksātāju grupai un mājsaimniecībām</w:t>
      </w:r>
      <w:r w:rsidR="00535EFB" w:rsidRPr="00D928CD">
        <w:rPr>
          <w:rStyle w:val="FootnoteReference"/>
          <w:rFonts w:ascii="Times New Roman" w:eastAsia="Times New Roman" w:hAnsi="Times New Roman" w:cs="Times New Roman"/>
          <w:sz w:val="24"/>
          <w:szCs w:val="24"/>
        </w:rPr>
        <w:footnoteReference w:id="2"/>
      </w:r>
      <w:r w:rsidR="009B719F" w:rsidRPr="00D928CD">
        <w:rPr>
          <w:rFonts w:ascii="Times New Roman" w:eastAsia="Times New Roman" w:hAnsi="Times New Roman" w:cs="Times New Roman"/>
          <w:sz w:val="24"/>
          <w:szCs w:val="24"/>
        </w:rPr>
        <w:t>.</w:t>
      </w:r>
    </w:p>
    <w:p w14:paraId="59533EEE" w14:textId="67E74E75" w:rsidR="009B719F" w:rsidRPr="00D928CD" w:rsidRDefault="009B719F" w:rsidP="00404C83">
      <w:pPr>
        <w:spacing w:after="0" w:line="200" w:lineRule="atLeast"/>
        <w:ind w:firstLine="720"/>
        <w:contextualSpacing/>
        <w:jc w:val="both"/>
        <w:rPr>
          <w:rFonts w:ascii="Times New Roman" w:eastAsia="Times New Roman" w:hAnsi="Times New Roman" w:cs="Times New Roman"/>
          <w:sz w:val="24"/>
          <w:szCs w:val="24"/>
        </w:rPr>
      </w:pPr>
      <w:r w:rsidRPr="00D928CD">
        <w:rPr>
          <w:rFonts w:ascii="Times New Roman" w:eastAsia="Times New Roman" w:hAnsi="Times New Roman" w:cs="Times New Roman"/>
          <w:sz w:val="24"/>
          <w:szCs w:val="24"/>
        </w:rPr>
        <w:t xml:space="preserve"> Samazinātās</w:t>
      </w:r>
      <w:r w:rsidR="00756032" w:rsidRPr="00D928CD">
        <w:rPr>
          <w:rFonts w:ascii="Times New Roman" w:eastAsia="Times New Roman" w:hAnsi="Times New Roman" w:cs="Times New Roman"/>
          <w:sz w:val="24"/>
          <w:szCs w:val="24"/>
        </w:rPr>
        <w:t xml:space="preserve"> PVN</w:t>
      </w:r>
      <w:r w:rsidRPr="00D928CD">
        <w:rPr>
          <w:rFonts w:ascii="Times New Roman" w:eastAsia="Times New Roman" w:hAnsi="Times New Roman" w:cs="Times New Roman"/>
          <w:sz w:val="24"/>
          <w:szCs w:val="24"/>
        </w:rPr>
        <w:t xml:space="preserve"> likmes piemērošana valsts budžetā samazina nomaksāto nodokļu apmēru, </w:t>
      </w:r>
      <w:proofErr w:type="spellStart"/>
      <w:r w:rsidRPr="00D928CD">
        <w:rPr>
          <w:rFonts w:ascii="Times New Roman" w:eastAsia="Times New Roman" w:hAnsi="Times New Roman" w:cs="Times New Roman"/>
          <w:sz w:val="24"/>
          <w:szCs w:val="24"/>
        </w:rPr>
        <w:t>sarežģī</w:t>
      </w:r>
      <w:proofErr w:type="spellEnd"/>
      <w:r w:rsidRPr="00D928CD">
        <w:rPr>
          <w:rFonts w:ascii="Times New Roman" w:eastAsia="Times New Roman" w:hAnsi="Times New Roman" w:cs="Times New Roman"/>
          <w:sz w:val="24"/>
          <w:szCs w:val="24"/>
        </w:rPr>
        <w:t xml:space="preserve"> un sadārdzina nodokļu administrēšanu</w:t>
      </w:r>
      <w:r w:rsidR="001A18E9" w:rsidRPr="00D928CD">
        <w:rPr>
          <w:rFonts w:ascii="Times New Roman" w:eastAsia="Times New Roman" w:hAnsi="Times New Roman" w:cs="Times New Roman"/>
          <w:sz w:val="24"/>
          <w:szCs w:val="24"/>
        </w:rPr>
        <w:t xml:space="preserve">, </w:t>
      </w:r>
      <w:r w:rsidRPr="00D928CD">
        <w:rPr>
          <w:rFonts w:ascii="Times New Roman" w:eastAsia="Times New Roman" w:hAnsi="Times New Roman" w:cs="Times New Roman"/>
          <w:sz w:val="24"/>
          <w:szCs w:val="24"/>
        </w:rPr>
        <w:t>līdz ar to ir būtiski izvērtēt š</w:t>
      </w:r>
      <w:r w:rsidR="00756032" w:rsidRPr="00D928CD">
        <w:rPr>
          <w:rFonts w:ascii="Times New Roman" w:eastAsia="Times New Roman" w:hAnsi="Times New Roman" w:cs="Times New Roman"/>
          <w:sz w:val="24"/>
          <w:szCs w:val="24"/>
        </w:rPr>
        <w:t>ādu</w:t>
      </w:r>
      <w:r w:rsidRPr="00D928CD">
        <w:rPr>
          <w:rFonts w:ascii="Times New Roman" w:eastAsia="Times New Roman" w:hAnsi="Times New Roman" w:cs="Times New Roman"/>
          <w:sz w:val="24"/>
          <w:szCs w:val="24"/>
        </w:rPr>
        <w:t xml:space="preserve"> </w:t>
      </w:r>
      <w:r w:rsidR="009E7F2D" w:rsidRPr="00D928CD">
        <w:rPr>
          <w:rFonts w:ascii="Times New Roman" w:eastAsia="Times New Roman" w:hAnsi="Times New Roman" w:cs="Times New Roman"/>
          <w:sz w:val="24"/>
          <w:szCs w:val="24"/>
        </w:rPr>
        <w:t xml:space="preserve">nodokļa </w:t>
      </w:r>
      <w:r w:rsidRPr="00D928CD">
        <w:rPr>
          <w:rFonts w:ascii="Times New Roman" w:eastAsia="Times New Roman" w:hAnsi="Times New Roman" w:cs="Times New Roman"/>
          <w:sz w:val="24"/>
          <w:szCs w:val="24"/>
        </w:rPr>
        <w:t>atvieglojum</w:t>
      </w:r>
      <w:r w:rsidR="00756032" w:rsidRPr="00D928CD">
        <w:rPr>
          <w:rFonts w:ascii="Times New Roman" w:eastAsia="Times New Roman" w:hAnsi="Times New Roman" w:cs="Times New Roman"/>
          <w:sz w:val="24"/>
          <w:szCs w:val="24"/>
        </w:rPr>
        <w:t>a</w:t>
      </w:r>
      <w:r w:rsidRPr="00D928CD">
        <w:rPr>
          <w:rFonts w:ascii="Times New Roman" w:eastAsia="Times New Roman" w:hAnsi="Times New Roman" w:cs="Times New Roman"/>
          <w:sz w:val="24"/>
          <w:szCs w:val="24"/>
        </w:rPr>
        <w:t xml:space="preserve"> atbilstību valsts noteiktajām prioritātēm, kā arī to fiskālo ietekmi uz </w:t>
      </w:r>
      <w:r w:rsidR="001A18E9" w:rsidRPr="00D928CD">
        <w:rPr>
          <w:rFonts w:ascii="Times New Roman" w:eastAsia="Times New Roman" w:hAnsi="Times New Roman" w:cs="Times New Roman"/>
          <w:sz w:val="24"/>
          <w:szCs w:val="24"/>
        </w:rPr>
        <w:t>valsts budžetu</w:t>
      </w:r>
      <w:r w:rsidRPr="00D928CD">
        <w:rPr>
          <w:rFonts w:ascii="Times New Roman" w:eastAsia="Times New Roman" w:hAnsi="Times New Roman" w:cs="Times New Roman"/>
          <w:sz w:val="24"/>
          <w:szCs w:val="24"/>
        </w:rPr>
        <w:t xml:space="preserve"> un </w:t>
      </w:r>
      <w:r w:rsidR="00B34E31" w:rsidRPr="00D928CD">
        <w:rPr>
          <w:rFonts w:ascii="Times New Roman" w:eastAsia="Times New Roman" w:hAnsi="Times New Roman" w:cs="Times New Roman"/>
          <w:sz w:val="24"/>
          <w:szCs w:val="24"/>
        </w:rPr>
        <w:t>dažādu ienākumu iedzīvotāju grupām</w:t>
      </w:r>
      <w:r w:rsidRPr="00D928CD">
        <w:rPr>
          <w:rFonts w:ascii="Times New Roman" w:eastAsia="Times New Roman" w:hAnsi="Times New Roman" w:cs="Times New Roman"/>
          <w:sz w:val="24"/>
          <w:szCs w:val="24"/>
        </w:rPr>
        <w:t>.</w:t>
      </w:r>
    </w:p>
    <w:p w14:paraId="69A20D39" w14:textId="4EF23014" w:rsidR="009B719F" w:rsidRPr="00D928CD" w:rsidRDefault="009B719F" w:rsidP="00404C83">
      <w:pPr>
        <w:spacing w:after="480" w:line="200" w:lineRule="atLeast"/>
        <w:ind w:firstLine="720"/>
        <w:contextualSpacing/>
        <w:jc w:val="both"/>
        <w:rPr>
          <w:rFonts w:ascii="Times New Roman" w:eastAsia="Times New Roman" w:hAnsi="Times New Roman" w:cs="Times New Roman"/>
          <w:sz w:val="24"/>
          <w:szCs w:val="24"/>
        </w:rPr>
      </w:pPr>
      <w:r w:rsidRPr="00D928CD">
        <w:rPr>
          <w:rFonts w:ascii="Times New Roman" w:eastAsia="Times New Roman" w:hAnsi="Times New Roman" w:cs="Times New Roman"/>
          <w:sz w:val="24"/>
          <w:szCs w:val="24"/>
        </w:rPr>
        <w:t>Informatīvais ziņojums sniedz analītisku informāciju par</w:t>
      </w:r>
      <w:r w:rsidR="006556D0" w:rsidRPr="00D928CD">
        <w:rPr>
          <w:rFonts w:ascii="Times New Roman" w:eastAsia="Times New Roman" w:hAnsi="Times New Roman" w:cs="Times New Roman"/>
          <w:sz w:val="24"/>
          <w:szCs w:val="24"/>
        </w:rPr>
        <w:t xml:space="preserve"> samazinātās </w:t>
      </w:r>
      <w:r w:rsidR="00756032" w:rsidRPr="00D928CD">
        <w:rPr>
          <w:rFonts w:ascii="Times New Roman" w:eastAsia="Times New Roman" w:hAnsi="Times New Roman" w:cs="Times New Roman"/>
          <w:sz w:val="24"/>
          <w:szCs w:val="24"/>
        </w:rPr>
        <w:t>PVN</w:t>
      </w:r>
      <w:r w:rsidR="006556D0" w:rsidRPr="00D928CD">
        <w:rPr>
          <w:rFonts w:ascii="Times New Roman" w:eastAsia="Times New Roman" w:hAnsi="Times New Roman" w:cs="Times New Roman"/>
          <w:sz w:val="24"/>
          <w:szCs w:val="24"/>
        </w:rPr>
        <w:t xml:space="preserve"> likmes pārtikai</w:t>
      </w:r>
      <w:r w:rsidRPr="00D928CD">
        <w:rPr>
          <w:rFonts w:ascii="Times New Roman" w:eastAsia="Times New Roman" w:hAnsi="Times New Roman" w:cs="Times New Roman"/>
          <w:sz w:val="24"/>
          <w:szCs w:val="24"/>
        </w:rPr>
        <w:t xml:space="preserve"> </w:t>
      </w:r>
      <w:r w:rsidR="006556D0" w:rsidRPr="00D928CD">
        <w:rPr>
          <w:rFonts w:ascii="Times New Roman" w:eastAsia="Times New Roman" w:hAnsi="Times New Roman" w:cs="Times New Roman"/>
          <w:sz w:val="24"/>
          <w:szCs w:val="24"/>
        </w:rPr>
        <w:t xml:space="preserve">fiskālo ietekmi </w:t>
      </w:r>
      <w:r w:rsidR="00DE326B" w:rsidRPr="00D928CD">
        <w:rPr>
          <w:rFonts w:ascii="Times New Roman" w:eastAsia="Times New Roman" w:hAnsi="Times New Roman" w:cs="Times New Roman"/>
          <w:sz w:val="24"/>
          <w:szCs w:val="24"/>
        </w:rPr>
        <w:t xml:space="preserve">uz valsts budžetu un ietekmi uz dažādu ienākumu iedzīvotāju grupām. </w:t>
      </w:r>
      <w:r w:rsidRPr="00D928CD">
        <w:rPr>
          <w:rFonts w:ascii="Times New Roman" w:eastAsia="Times New Roman" w:hAnsi="Times New Roman" w:cs="Times New Roman"/>
          <w:sz w:val="24"/>
          <w:szCs w:val="24"/>
        </w:rPr>
        <w:t>Tajā minētie secinājumi var tikt izmantoti turpmākās nodokļu politikas veidošanā un lēmumu pieņemšanā.</w:t>
      </w:r>
    </w:p>
    <w:p w14:paraId="08E22412" w14:textId="388C23A9" w:rsidR="00704525" w:rsidRPr="00391150" w:rsidRDefault="00756032" w:rsidP="0014237F">
      <w:pPr>
        <w:pStyle w:val="ListParagraph"/>
        <w:numPr>
          <w:ilvl w:val="0"/>
          <w:numId w:val="6"/>
        </w:numPr>
        <w:suppressAutoHyphens/>
        <w:spacing w:line="240" w:lineRule="auto"/>
        <w:rPr>
          <w:sz w:val="28"/>
          <w:szCs w:val="28"/>
        </w:rPr>
      </w:pPr>
      <w:r w:rsidRPr="00391150">
        <w:rPr>
          <w:rFonts w:ascii="Times New Roman" w:eastAsia="Times New Roman" w:hAnsi="Times New Roman" w:cs="Times New Roman"/>
          <w:b/>
          <w:sz w:val="28"/>
          <w:szCs w:val="28"/>
        </w:rPr>
        <w:t>S</w:t>
      </w:r>
      <w:r w:rsidR="004D2EAF" w:rsidRPr="00391150">
        <w:rPr>
          <w:rFonts w:ascii="Times New Roman" w:eastAsia="Times New Roman" w:hAnsi="Times New Roman" w:cs="Times New Roman"/>
          <w:b/>
          <w:sz w:val="28"/>
          <w:szCs w:val="28"/>
        </w:rPr>
        <w:t>amazinātās</w:t>
      </w:r>
      <w:r w:rsidRPr="00391150">
        <w:rPr>
          <w:rFonts w:ascii="Times New Roman" w:eastAsia="Times New Roman" w:hAnsi="Times New Roman" w:cs="Times New Roman"/>
          <w:b/>
          <w:sz w:val="28"/>
          <w:szCs w:val="28"/>
        </w:rPr>
        <w:t xml:space="preserve"> PVN</w:t>
      </w:r>
      <w:r w:rsidR="004D2EAF" w:rsidRPr="00391150">
        <w:rPr>
          <w:rFonts w:ascii="Times New Roman" w:eastAsia="Times New Roman" w:hAnsi="Times New Roman" w:cs="Times New Roman"/>
          <w:b/>
          <w:sz w:val="28"/>
          <w:szCs w:val="28"/>
        </w:rPr>
        <w:t xml:space="preserve"> likmes </w:t>
      </w:r>
      <w:r w:rsidR="00324912" w:rsidRPr="00391150">
        <w:rPr>
          <w:rFonts w:ascii="Times New Roman" w:eastAsia="Times New Roman" w:hAnsi="Times New Roman" w:cs="Times New Roman"/>
          <w:b/>
          <w:sz w:val="28"/>
          <w:szCs w:val="28"/>
        </w:rPr>
        <w:t>būtība</w:t>
      </w:r>
    </w:p>
    <w:p w14:paraId="668E6A47" w14:textId="7AFDBE7D" w:rsidR="00704525" w:rsidRPr="00D928CD" w:rsidRDefault="00704525" w:rsidP="00605B24">
      <w:pPr>
        <w:pStyle w:val="Default"/>
        <w:ind w:firstLine="720"/>
        <w:jc w:val="both"/>
        <w:rPr>
          <w:color w:val="auto"/>
        </w:rPr>
      </w:pPr>
      <w:r w:rsidRPr="00D928CD">
        <w:rPr>
          <w:color w:val="auto"/>
        </w:rPr>
        <w:t>Samazinātā nodokļa likme ir vien</w:t>
      </w:r>
      <w:r w:rsidR="0033114B" w:rsidRPr="00D928CD">
        <w:rPr>
          <w:color w:val="auto"/>
        </w:rPr>
        <w:t>a</w:t>
      </w:r>
      <w:r w:rsidRPr="00D928CD">
        <w:rPr>
          <w:color w:val="auto"/>
        </w:rPr>
        <w:t xml:space="preserve"> no nodokļu atvieglojumu formām. To var piemērot kādai nodokļu maksātāju kategorijai vai ar nodokli apliekamiem darījumiem.</w:t>
      </w:r>
      <w:r w:rsidR="0033114B" w:rsidRPr="00D928CD">
        <w:rPr>
          <w:color w:val="auto"/>
        </w:rPr>
        <w:t xml:space="preserve"> Piemērojot samazināto likmi</w:t>
      </w:r>
      <w:r w:rsidR="000B7DA8" w:rsidRPr="00D928CD">
        <w:rPr>
          <w:color w:val="auto"/>
        </w:rPr>
        <w:t>,</w:t>
      </w:r>
      <w:r w:rsidR="0033114B" w:rsidRPr="00D928CD">
        <w:rPr>
          <w:color w:val="auto"/>
        </w:rPr>
        <w:t xml:space="preserve"> tiek samazināts nodokļa slogs konkrēt</w:t>
      </w:r>
      <w:r w:rsidR="000B7DA8" w:rsidRPr="00D928CD">
        <w:rPr>
          <w:color w:val="auto"/>
        </w:rPr>
        <w:t>ai</w:t>
      </w:r>
      <w:r w:rsidR="0033114B" w:rsidRPr="00D928CD">
        <w:rPr>
          <w:color w:val="auto"/>
        </w:rPr>
        <w:t xml:space="preserve"> nozar</w:t>
      </w:r>
      <w:r w:rsidR="000B7DA8" w:rsidRPr="00D928CD">
        <w:rPr>
          <w:color w:val="auto"/>
        </w:rPr>
        <w:t>ei</w:t>
      </w:r>
      <w:r w:rsidR="0033114B" w:rsidRPr="00D928CD">
        <w:rPr>
          <w:color w:val="auto"/>
        </w:rPr>
        <w:t xml:space="preserve"> vai konkrētas preces vai pakalpojuma patērētājam.</w:t>
      </w:r>
    </w:p>
    <w:p w14:paraId="0090184A" w14:textId="1BC2A23F" w:rsidR="00605B24" w:rsidRPr="00D928CD" w:rsidRDefault="00704525" w:rsidP="00C93594">
      <w:pPr>
        <w:pStyle w:val="Default"/>
        <w:ind w:firstLine="720"/>
        <w:jc w:val="both"/>
      </w:pPr>
      <w:r w:rsidRPr="00D928CD">
        <w:rPr>
          <w:color w:val="auto"/>
        </w:rPr>
        <w:t xml:space="preserve">Skatoties no valsts budžeta </w:t>
      </w:r>
      <w:r w:rsidR="001573EC" w:rsidRPr="00D928CD">
        <w:rPr>
          <w:color w:val="auto"/>
        </w:rPr>
        <w:t>aspekta</w:t>
      </w:r>
      <w:r w:rsidR="001755AC" w:rsidRPr="00D928CD">
        <w:rPr>
          <w:color w:val="auto"/>
        </w:rPr>
        <w:t>,</w:t>
      </w:r>
      <w:r w:rsidRPr="00D928CD">
        <w:rPr>
          <w:color w:val="auto"/>
        </w:rPr>
        <w:t xml:space="preserve"> nodokļu samazinātās likmes tiek </w:t>
      </w:r>
      <w:r w:rsidR="00251B1E" w:rsidRPr="00D928CD">
        <w:rPr>
          <w:color w:val="auto"/>
        </w:rPr>
        <w:t>pielīdzinātas</w:t>
      </w:r>
      <w:r w:rsidRPr="00D928CD">
        <w:rPr>
          <w:color w:val="auto"/>
        </w:rPr>
        <w:t xml:space="preserve"> nodokļu izdevumi</w:t>
      </w:r>
      <w:r w:rsidR="00251B1E" w:rsidRPr="00D928CD">
        <w:rPr>
          <w:color w:val="auto"/>
        </w:rPr>
        <w:t>em</w:t>
      </w:r>
      <w:r w:rsidRPr="00D928CD">
        <w:rPr>
          <w:color w:val="auto"/>
        </w:rPr>
        <w:t xml:space="preserve"> (atvieglojumi</w:t>
      </w:r>
      <w:r w:rsidR="00C53D35" w:rsidRPr="00D928CD">
        <w:t>)</w:t>
      </w:r>
      <w:r w:rsidR="0048640B" w:rsidRPr="00D928CD">
        <w:rPr>
          <w:rStyle w:val="FootnoteReference"/>
        </w:rPr>
        <w:footnoteReference w:id="3"/>
      </w:r>
      <w:r w:rsidR="00605B24" w:rsidRPr="00D928CD">
        <w:t xml:space="preserve"> jeb </w:t>
      </w:r>
      <w:r w:rsidR="00AB3171" w:rsidRPr="00D928CD">
        <w:rPr>
          <w:color w:val="auto"/>
        </w:rPr>
        <w:t xml:space="preserve">tie ir </w:t>
      </w:r>
      <w:r w:rsidR="00605B24" w:rsidRPr="00D928CD">
        <w:rPr>
          <w:color w:val="auto"/>
        </w:rPr>
        <w:t>valsts budžetā nesa</w:t>
      </w:r>
      <w:r w:rsidR="00CF6E88" w:rsidRPr="00D928CD">
        <w:rPr>
          <w:color w:val="auto"/>
        </w:rPr>
        <w:t>ņe</w:t>
      </w:r>
      <w:r w:rsidR="00605B24" w:rsidRPr="00D928CD">
        <w:rPr>
          <w:color w:val="auto"/>
        </w:rPr>
        <w:t>mtie ieņēmumi</w:t>
      </w:r>
      <w:r w:rsidR="00CF6E88" w:rsidRPr="00D928CD">
        <w:rPr>
          <w:color w:val="auto"/>
        </w:rPr>
        <w:t xml:space="preserve"> nodokļa atvieglojumu pastāvēšanas dēļ. </w:t>
      </w:r>
      <w:r w:rsidR="00993FBC" w:rsidRPr="00D928CD">
        <w:rPr>
          <w:color w:val="auto"/>
        </w:rPr>
        <w:t xml:space="preserve">Tās ir </w:t>
      </w:r>
      <w:r w:rsidR="00605B24" w:rsidRPr="00D928CD">
        <w:t>jebkuras tiesību aktu normas, kas samazina nodokļu maksājumus kādai nodokļu maksātāju grupai</w:t>
      </w:r>
      <w:r w:rsidR="00993FBC" w:rsidRPr="00D928CD">
        <w:t xml:space="preserve"> vai par kādu ar nodokli apliekamu darījumu</w:t>
      </w:r>
      <w:r w:rsidR="00605B24" w:rsidRPr="00D928CD">
        <w:t xml:space="preserve"> salīdzinājumā ar nodokļa </w:t>
      </w:r>
      <w:proofErr w:type="spellStart"/>
      <w:r w:rsidR="008C3D86" w:rsidRPr="00D928CD">
        <w:t>standart</w:t>
      </w:r>
      <w:r w:rsidR="00605B24" w:rsidRPr="00D928CD">
        <w:t>likmi</w:t>
      </w:r>
      <w:proofErr w:type="spellEnd"/>
      <w:r w:rsidR="00605B24" w:rsidRPr="00D928CD">
        <w:t xml:space="preserve">. </w:t>
      </w:r>
      <w:r w:rsidR="00993E33" w:rsidRPr="00D928CD">
        <w:t>N</w:t>
      </w:r>
      <w:r w:rsidR="00605B24" w:rsidRPr="00D928CD">
        <w:t xml:space="preserve">odokļu izdevumi nav faktiski budžeta izdevumi, </w:t>
      </w:r>
      <w:r w:rsidR="00993E33" w:rsidRPr="00D928CD">
        <w:t>un to</w:t>
      </w:r>
      <w:r w:rsidR="00605B24" w:rsidRPr="00D928CD">
        <w:t xml:space="preserve"> apmērs ir nosacīts, pieņemot novērtējumu par maksājumiem vispārīgā gadījumā</w:t>
      </w:r>
      <w:r w:rsidR="00C93594" w:rsidRPr="00D928CD">
        <w:t>.</w:t>
      </w:r>
    </w:p>
    <w:p w14:paraId="08AC3914" w14:textId="375DBFD8" w:rsidR="004C0331" w:rsidRPr="00D928CD" w:rsidRDefault="00756032" w:rsidP="004C0331">
      <w:pPr>
        <w:spacing w:after="0" w:line="240" w:lineRule="auto"/>
        <w:ind w:firstLine="720"/>
        <w:jc w:val="both"/>
        <w:rPr>
          <w:rFonts w:ascii="Times New Roman" w:eastAsia="Times New Roman" w:hAnsi="Times New Roman" w:cs="Times New Roman"/>
          <w:sz w:val="24"/>
          <w:szCs w:val="24"/>
        </w:rPr>
      </w:pPr>
      <w:r w:rsidRPr="00D928CD">
        <w:rPr>
          <w:rFonts w:ascii="Times New Roman" w:eastAsia="Times New Roman" w:hAnsi="Times New Roman" w:cs="Times New Roman"/>
          <w:sz w:val="24"/>
          <w:szCs w:val="24"/>
        </w:rPr>
        <w:t>S</w:t>
      </w:r>
      <w:r w:rsidR="007C4E4E" w:rsidRPr="00D928CD">
        <w:rPr>
          <w:rFonts w:ascii="Times New Roman" w:eastAsia="Times New Roman" w:hAnsi="Times New Roman" w:cs="Times New Roman"/>
          <w:sz w:val="24"/>
          <w:szCs w:val="24"/>
        </w:rPr>
        <w:t xml:space="preserve">amazinātā </w:t>
      </w:r>
      <w:r w:rsidRPr="00D928CD">
        <w:rPr>
          <w:rFonts w:ascii="Times New Roman" w:eastAsia="Times New Roman" w:hAnsi="Times New Roman" w:cs="Times New Roman"/>
          <w:sz w:val="24"/>
          <w:szCs w:val="24"/>
        </w:rPr>
        <w:t>PVN</w:t>
      </w:r>
      <w:r w:rsidR="007C4E4E" w:rsidRPr="00D928CD">
        <w:rPr>
          <w:rFonts w:ascii="Times New Roman" w:eastAsia="Times New Roman" w:hAnsi="Times New Roman" w:cs="Times New Roman"/>
          <w:sz w:val="24"/>
          <w:szCs w:val="24"/>
        </w:rPr>
        <w:t xml:space="preserve"> likme </w:t>
      </w:r>
      <w:r w:rsidR="004C0331" w:rsidRPr="00D928CD">
        <w:rPr>
          <w:rFonts w:ascii="Times New Roman" w:eastAsia="Times New Roman" w:hAnsi="Times New Roman" w:cs="Times New Roman"/>
          <w:sz w:val="24"/>
          <w:szCs w:val="24"/>
        </w:rPr>
        <w:t>rada administratīvo slogu</w:t>
      </w:r>
      <w:r w:rsidR="001D61AC" w:rsidRPr="00D928CD">
        <w:rPr>
          <w:rFonts w:ascii="Times New Roman" w:eastAsia="Times New Roman" w:hAnsi="Times New Roman" w:cs="Times New Roman"/>
          <w:sz w:val="24"/>
          <w:szCs w:val="24"/>
        </w:rPr>
        <w:t xml:space="preserve"> ne tikai valstij</w:t>
      </w:r>
      <w:r w:rsidR="004C0331" w:rsidRPr="00D928CD">
        <w:rPr>
          <w:rFonts w:ascii="Times New Roman" w:eastAsia="Times New Roman" w:hAnsi="Times New Roman" w:cs="Times New Roman"/>
          <w:sz w:val="24"/>
          <w:szCs w:val="24"/>
        </w:rPr>
        <w:t xml:space="preserve">, bet arī </w:t>
      </w:r>
      <w:r w:rsidR="004E7377" w:rsidRPr="00D928CD">
        <w:rPr>
          <w:rFonts w:ascii="Times New Roman" w:eastAsia="Times New Roman" w:hAnsi="Times New Roman" w:cs="Times New Roman"/>
          <w:sz w:val="24"/>
          <w:szCs w:val="24"/>
        </w:rPr>
        <w:t>nodokļa maksātājiem</w:t>
      </w:r>
      <w:r w:rsidR="004C0331" w:rsidRPr="00D928CD">
        <w:rPr>
          <w:rFonts w:ascii="Times New Roman" w:eastAsia="Times New Roman" w:hAnsi="Times New Roman" w:cs="Times New Roman"/>
          <w:sz w:val="24"/>
          <w:szCs w:val="24"/>
        </w:rPr>
        <w:t xml:space="preserve">. </w:t>
      </w:r>
      <w:r w:rsidR="004E7377" w:rsidRPr="00D928CD">
        <w:rPr>
          <w:rFonts w:ascii="Times New Roman" w:eastAsia="Times New Roman" w:hAnsi="Times New Roman" w:cs="Times New Roman"/>
          <w:sz w:val="24"/>
          <w:szCs w:val="24"/>
        </w:rPr>
        <w:t>L</w:t>
      </w:r>
      <w:r w:rsidR="004C0331" w:rsidRPr="00D928CD">
        <w:rPr>
          <w:rFonts w:ascii="Times New Roman" w:eastAsia="Times New Roman" w:hAnsi="Times New Roman" w:cs="Times New Roman"/>
          <w:sz w:val="24"/>
          <w:szCs w:val="24"/>
        </w:rPr>
        <w:t xml:space="preserve">ai nodrošinātu </w:t>
      </w:r>
      <w:r w:rsidR="004E7377" w:rsidRPr="00D928CD">
        <w:rPr>
          <w:rFonts w:ascii="Times New Roman" w:eastAsia="Times New Roman" w:hAnsi="Times New Roman" w:cs="Times New Roman"/>
          <w:sz w:val="24"/>
          <w:szCs w:val="24"/>
        </w:rPr>
        <w:t>budžetā maksājamā PVN aprēķināšanu,</w:t>
      </w:r>
      <w:r w:rsidR="004C0331" w:rsidRPr="00D928CD">
        <w:rPr>
          <w:rFonts w:ascii="Times New Roman" w:eastAsia="Times New Roman" w:hAnsi="Times New Roman" w:cs="Times New Roman"/>
          <w:sz w:val="24"/>
          <w:szCs w:val="24"/>
        </w:rPr>
        <w:t xml:space="preserve"> </w:t>
      </w:r>
      <w:r w:rsidR="004E7377" w:rsidRPr="00D928CD">
        <w:rPr>
          <w:rFonts w:ascii="Times New Roman" w:eastAsia="Times New Roman" w:hAnsi="Times New Roman" w:cs="Times New Roman"/>
          <w:sz w:val="24"/>
          <w:szCs w:val="24"/>
        </w:rPr>
        <w:t>uzņēmumiem</w:t>
      </w:r>
      <w:r w:rsidR="005622CE" w:rsidRPr="00D928CD">
        <w:rPr>
          <w:rFonts w:ascii="Times New Roman" w:eastAsia="Times New Roman" w:hAnsi="Times New Roman" w:cs="Times New Roman"/>
          <w:sz w:val="24"/>
          <w:szCs w:val="24"/>
        </w:rPr>
        <w:t xml:space="preserve"> atsevišķi </w:t>
      </w:r>
      <w:r w:rsidR="004E7377" w:rsidRPr="00D928CD">
        <w:rPr>
          <w:rFonts w:ascii="Times New Roman" w:eastAsia="Times New Roman" w:hAnsi="Times New Roman" w:cs="Times New Roman"/>
          <w:sz w:val="24"/>
          <w:szCs w:val="24"/>
        </w:rPr>
        <w:t xml:space="preserve">ir jāuzskaita ar </w:t>
      </w:r>
      <w:r w:rsidRPr="00D928CD">
        <w:rPr>
          <w:rFonts w:ascii="Times New Roman" w:eastAsia="Times New Roman" w:hAnsi="Times New Roman" w:cs="Times New Roman"/>
          <w:sz w:val="24"/>
          <w:szCs w:val="24"/>
        </w:rPr>
        <w:t>PVN</w:t>
      </w:r>
      <w:r w:rsidR="004E7377" w:rsidRPr="00D928CD">
        <w:rPr>
          <w:rFonts w:ascii="Times New Roman" w:eastAsia="Times New Roman" w:hAnsi="Times New Roman" w:cs="Times New Roman"/>
          <w:sz w:val="24"/>
          <w:szCs w:val="24"/>
        </w:rPr>
        <w:t xml:space="preserve"> </w:t>
      </w:r>
      <w:proofErr w:type="spellStart"/>
      <w:r w:rsidR="004E7377" w:rsidRPr="00D928CD">
        <w:rPr>
          <w:rFonts w:ascii="Times New Roman" w:eastAsia="Times New Roman" w:hAnsi="Times New Roman" w:cs="Times New Roman"/>
          <w:sz w:val="24"/>
          <w:szCs w:val="24"/>
        </w:rPr>
        <w:t>standartlikmi</w:t>
      </w:r>
      <w:proofErr w:type="spellEnd"/>
      <w:r w:rsidR="004E7377" w:rsidRPr="00D928CD">
        <w:rPr>
          <w:rFonts w:ascii="Times New Roman" w:eastAsia="Times New Roman" w:hAnsi="Times New Roman" w:cs="Times New Roman"/>
          <w:sz w:val="24"/>
          <w:szCs w:val="24"/>
        </w:rPr>
        <w:t xml:space="preserve"> un ar samazināto</w:t>
      </w:r>
      <w:r w:rsidRPr="00D928CD">
        <w:rPr>
          <w:rFonts w:ascii="Times New Roman" w:eastAsia="Times New Roman" w:hAnsi="Times New Roman" w:cs="Times New Roman"/>
          <w:sz w:val="24"/>
          <w:szCs w:val="24"/>
        </w:rPr>
        <w:t xml:space="preserve"> PVN</w:t>
      </w:r>
      <w:r w:rsidR="004E7377" w:rsidRPr="00D928CD">
        <w:rPr>
          <w:rFonts w:ascii="Times New Roman" w:eastAsia="Times New Roman" w:hAnsi="Times New Roman" w:cs="Times New Roman"/>
          <w:sz w:val="24"/>
          <w:szCs w:val="24"/>
        </w:rPr>
        <w:t xml:space="preserve"> likmi apliekamie darījumi, savukārt </w:t>
      </w:r>
      <w:r w:rsidR="00E01D9F" w:rsidRPr="00D928CD">
        <w:rPr>
          <w:rFonts w:ascii="Times New Roman" w:eastAsia="Times New Roman" w:hAnsi="Times New Roman" w:cs="Times New Roman"/>
          <w:sz w:val="24"/>
          <w:szCs w:val="24"/>
        </w:rPr>
        <w:t>n</w:t>
      </w:r>
      <w:r w:rsidR="004C0331" w:rsidRPr="00D928CD">
        <w:rPr>
          <w:rFonts w:ascii="Times New Roman" w:eastAsia="Times New Roman" w:hAnsi="Times New Roman" w:cs="Times New Roman"/>
          <w:sz w:val="24"/>
          <w:szCs w:val="24"/>
        </w:rPr>
        <w:t>odokļu administrācijai ir jāuzskaita un jāreģistrē nodokļu maksātāj</w:t>
      </w:r>
      <w:r w:rsidR="00226777" w:rsidRPr="00D928CD">
        <w:rPr>
          <w:rFonts w:ascii="Times New Roman" w:eastAsia="Times New Roman" w:hAnsi="Times New Roman" w:cs="Times New Roman"/>
          <w:sz w:val="24"/>
          <w:szCs w:val="24"/>
        </w:rPr>
        <w:t>i</w:t>
      </w:r>
      <w:r w:rsidR="004C0331" w:rsidRPr="00D928CD">
        <w:rPr>
          <w:rFonts w:ascii="Times New Roman" w:eastAsia="Times New Roman" w:hAnsi="Times New Roman" w:cs="Times New Roman"/>
          <w:sz w:val="24"/>
          <w:szCs w:val="24"/>
        </w:rPr>
        <w:t xml:space="preserve"> un ar nodokļiem apliekam</w:t>
      </w:r>
      <w:r w:rsidR="00226777" w:rsidRPr="00D928CD">
        <w:rPr>
          <w:rFonts w:ascii="Times New Roman" w:eastAsia="Times New Roman" w:hAnsi="Times New Roman" w:cs="Times New Roman"/>
          <w:sz w:val="24"/>
          <w:szCs w:val="24"/>
        </w:rPr>
        <w:t>ie</w:t>
      </w:r>
      <w:r w:rsidR="004C0331" w:rsidRPr="00D928CD">
        <w:rPr>
          <w:rFonts w:ascii="Times New Roman" w:eastAsia="Times New Roman" w:hAnsi="Times New Roman" w:cs="Times New Roman"/>
          <w:sz w:val="24"/>
          <w:szCs w:val="24"/>
        </w:rPr>
        <w:t xml:space="preserve"> objekt</w:t>
      </w:r>
      <w:r w:rsidR="00226777" w:rsidRPr="00D928CD">
        <w:rPr>
          <w:rFonts w:ascii="Times New Roman" w:eastAsia="Times New Roman" w:hAnsi="Times New Roman" w:cs="Times New Roman"/>
          <w:sz w:val="24"/>
          <w:szCs w:val="24"/>
        </w:rPr>
        <w:t>i,</w:t>
      </w:r>
      <w:r w:rsidR="00226777" w:rsidRPr="00D928CD">
        <w:rPr>
          <w:rFonts w:ascii="Times New Roman" w:hAnsi="Times New Roman" w:cs="Times New Roman"/>
          <w:sz w:val="24"/>
          <w:szCs w:val="24"/>
        </w:rPr>
        <w:t xml:space="preserve"> t</w:t>
      </w:r>
      <w:r w:rsidR="00226777" w:rsidRPr="00D928CD">
        <w:rPr>
          <w:rFonts w:ascii="Times New Roman" w:eastAsia="Times New Roman" w:hAnsi="Times New Roman" w:cs="Times New Roman"/>
          <w:sz w:val="24"/>
          <w:szCs w:val="24"/>
        </w:rPr>
        <w:t xml:space="preserve">urklāt dažādi izņēmumi </w:t>
      </w:r>
      <w:proofErr w:type="spellStart"/>
      <w:r w:rsidR="00226777" w:rsidRPr="00D928CD">
        <w:rPr>
          <w:rFonts w:ascii="Times New Roman" w:eastAsia="Times New Roman" w:hAnsi="Times New Roman" w:cs="Times New Roman"/>
          <w:sz w:val="24"/>
          <w:szCs w:val="24"/>
        </w:rPr>
        <w:t>sarežģī</w:t>
      </w:r>
      <w:proofErr w:type="spellEnd"/>
      <w:r w:rsidR="00226777" w:rsidRPr="00D928CD">
        <w:rPr>
          <w:rFonts w:ascii="Times New Roman" w:eastAsia="Times New Roman" w:hAnsi="Times New Roman" w:cs="Times New Roman"/>
          <w:sz w:val="24"/>
          <w:szCs w:val="24"/>
        </w:rPr>
        <w:t xml:space="preserve"> nodokļu iekasēšanu</w:t>
      </w:r>
      <w:r w:rsidR="00FB7868" w:rsidRPr="00D928CD">
        <w:rPr>
          <w:rFonts w:ascii="Times New Roman" w:eastAsia="Times New Roman" w:hAnsi="Times New Roman" w:cs="Times New Roman"/>
          <w:sz w:val="24"/>
          <w:szCs w:val="24"/>
        </w:rPr>
        <w:t xml:space="preserve"> un rada papildus administrēšanas izmaksas</w:t>
      </w:r>
      <w:r w:rsidR="00226777" w:rsidRPr="00D928CD">
        <w:rPr>
          <w:rFonts w:ascii="Times New Roman" w:eastAsia="Times New Roman" w:hAnsi="Times New Roman" w:cs="Times New Roman"/>
          <w:sz w:val="24"/>
          <w:szCs w:val="24"/>
        </w:rPr>
        <w:t>.</w:t>
      </w:r>
    </w:p>
    <w:p w14:paraId="48D1229F" w14:textId="566CCBF9" w:rsidR="00404C83" w:rsidRPr="00D928CD" w:rsidRDefault="000151AF" w:rsidP="0083226B">
      <w:pPr>
        <w:suppressAutoHyphens/>
        <w:spacing w:after="480" w:line="240" w:lineRule="auto"/>
        <w:ind w:firstLine="720"/>
        <w:jc w:val="both"/>
        <w:rPr>
          <w:rFonts w:ascii="Times New Roman" w:eastAsia="Calibri" w:hAnsi="Times New Roman" w:cs="Times New Roman"/>
          <w:sz w:val="24"/>
          <w:szCs w:val="24"/>
        </w:rPr>
      </w:pPr>
      <w:r w:rsidRPr="00D928CD">
        <w:rPr>
          <w:rFonts w:ascii="Times New Roman" w:eastAsia="Times New Roman" w:hAnsi="Times New Roman" w:cs="Times New Roman"/>
          <w:sz w:val="24"/>
          <w:szCs w:val="24"/>
        </w:rPr>
        <w:lastRenderedPageBreak/>
        <w:t>Eiropas Savienība (turpmāk –</w:t>
      </w:r>
      <w:r w:rsidR="007717C4" w:rsidRPr="00D928CD">
        <w:rPr>
          <w:rFonts w:ascii="Times New Roman" w:eastAsia="Times New Roman" w:hAnsi="Times New Roman" w:cs="Times New Roman"/>
          <w:sz w:val="24"/>
          <w:szCs w:val="24"/>
        </w:rPr>
        <w:t xml:space="preserve"> </w:t>
      </w:r>
      <w:r w:rsidRPr="00D928CD">
        <w:rPr>
          <w:rFonts w:ascii="Times New Roman" w:eastAsia="Times New Roman" w:hAnsi="Times New Roman" w:cs="Times New Roman"/>
          <w:sz w:val="24"/>
          <w:szCs w:val="24"/>
        </w:rPr>
        <w:t>ES) ir izvirzījusi stingrus nosacījumus PVN piemērošanai, jo tā atšķirīga piemērošana dažādās ES dalībvalstīs var būtiski izkropļot konkurences nosacījumus Eiropas kopējā tirgū. ES dalībvalstis var piemērot vienu vai divas samazināt</w:t>
      </w:r>
      <w:r w:rsidR="00756032" w:rsidRPr="00D928CD">
        <w:rPr>
          <w:rFonts w:ascii="Times New Roman" w:eastAsia="Times New Roman" w:hAnsi="Times New Roman" w:cs="Times New Roman"/>
          <w:sz w:val="24"/>
          <w:szCs w:val="24"/>
        </w:rPr>
        <w:t>ās PVN</w:t>
      </w:r>
      <w:r w:rsidRPr="00D928CD">
        <w:rPr>
          <w:rFonts w:ascii="Times New Roman" w:eastAsia="Times New Roman" w:hAnsi="Times New Roman" w:cs="Times New Roman"/>
          <w:sz w:val="24"/>
          <w:szCs w:val="24"/>
        </w:rPr>
        <w:t xml:space="preserve"> likmes, kas nevar būt mazākas par 5 % noteiktas kategorijas preču un pakalpojumu piegādei saskaņā ar Direktīvā 2006/112/EK par kopējo pievienotās vērtības nodokļa sistēmu </w:t>
      </w:r>
      <w:r w:rsidR="00756032" w:rsidRPr="00D928CD">
        <w:rPr>
          <w:rFonts w:ascii="Times New Roman" w:eastAsia="Times New Roman" w:hAnsi="Times New Roman" w:cs="Times New Roman"/>
          <w:sz w:val="24"/>
          <w:szCs w:val="24"/>
        </w:rPr>
        <w:t>(turpmāk – Direktīva 2006/112/EK)</w:t>
      </w:r>
      <w:r w:rsidRPr="00D928CD">
        <w:rPr>
          <w:rFonts w:ascii="Times New Roman" w:eastAsia="Times New Roman" w:hAnsi="Times New Roman" w:cs="Times New Roman"/>
          <w:sz w:val="24"/>
          <w:szCs w:val="24"/>
        </w:rPr>
        <w:t xml:space="preserve"> noteikto. Atsevišķas ES dalībvalstis konkrētos apgabalos</w:t>
      </w:r>
      <w:r w:rsidR="002E6152" w:rsidRPr="00D928CD">
        <w:rPr>
          <w:rStyle w:val="FootnoteReference"/>
          <w:rFonts w:ascii="Times New Roman" w:eastAsia="Times New Roman" w:hAnsi="Times New Roman" w:cs="Times New Roman"/>
          <w:sz w:val="24"/>
          <w:szCs w:val="24"/>
        </w:rPr>
        <w:footnoteReference w:id="4"/>
      </w:r>
      <w:r w:rsidRPr="00D928CD">
        <w:rPr>
          <w:rFonts w:ascii="Times New Roman" w:eastAsia="Times New Roman" w:hAnsi="Times New Roman" w:cs="Times New Roman"/>
          <w:sz w:val="24"/>
          <w:szCs w:val="24"/>
        </w:rPr>
        <w:t xml:space="preserve"> drīkst saglabāt samazinātās </w:t>
      </w:r>
      <w:r w:rsidR="00756032" w:rsidRPr="00D928CD">
        <w:rPr>
          <w:rFonts w:ascii="Times New Roman" w:eastAsia="Times New Roman" w:hAnsi="Times New Roman" w:cs="Times New Roman"/>
          <w:sz w:val="24"/>
          <w:szCs w:val="24"/>
        </w:rPr>
        <w:t>PVN</w:t>
      </w:r>
      <w:r w:rsidRPr="00D928CD">
        <w:rPr>
          <w:rFonts w:ascii="Times New Roman" w:eastAsia="Times New Roman" w:hAnsi="Times New Roman" w:cs="Times New Roman"/>
          <w:sz w:val="24"/>
          <w:szCs w:val="24"/>
        </w:rPr>
        <w:t xml:space="preserve"> likmes, tostarp likmes, kas zemākas par minimālo likmi, vai arī piemērot atbrīvojumu no nodokļa. </w:t>
      </w:r>
    </w:p>
    <w:p w14:paraId="3E64BEFB" w14:textId="5CB089B1" w:rsidR="006A75E8" w:rsidRPr="00391150" w:rsidRDefault="004D2EAF" w:rsidP="001F1623">
      <w:pPr>
        <w:pStyle w:val="ListParagraph"/>
        <w:numPr>
          <w:ilvl w:val="0"/>
          <w:numId w:val="6"/>
        </w:numPr>
        <w:suppressAutoHyphens/>
        <w:spacing w:line="240" w:lineRule="auto"/>
        <w:jc w:val="both"/>
        <w:rPr>
          <w:rFonts w:ascii="Times New Roman" w:eastAsia="Times New Roman" w:hAnsi="Times New Roman" w:cs="Times New Roman"/>
          <w:b/>
          <w:sz w:val="28"/>
          <w:szCs w:val="28"/>
        </w:rPr>
      </w:pPr>
      <w:r w:rsidRPr="00391150">
        <w:rPr>
          <w:rFonts w:ascii="Times New Roman" w:eastAsia="Times New Roman" w:hAnsi="Times New Roman" w:cs="Times New Roman"/>
          <w:b/>
          <w:sz w:val="28"/>
          <w:szCs w:val="28"/>
        </w:rPr>
        <w:t>PVN ieņēmumi un samazinātā</w:t>
      </w:r>
      <w:r w:rsidR="00756032" w:rsidRPr="00391150">
        <w:rPr>
          <w:rFonts w:ascii="Times New Roman" w:eastAsia="Times New Roman" w:hAnsi="Times New Roman" w:cs="Times New Roman"/>
          <w:b/>
          <w:sz w:val="28"/>
          <w:szCs w:val="28"/>
        </w:rPr>
        <w:t xml:space="preserve"> PVN</w:t>
      </w:r>
      <w:r w:rsidRPr="00391150">
        <w:rPr>
          <w:rFonts w:ascii="Times New Roman" w:eastAsia="Times New Roman" w:hAnsi="Times New Roman" w:cs="Times New Roman"/>
          <w:b/>
          <w:sz w:val="28"/>
          <w:szCs w:val="28"/>
        </w:rPr>
        <w:t xml:space="preserve"> likme (atvieglojumi) Latvijā</w:t>
      </w:r>
    </w:p>
    <w:p w14:paraId="39FF6978" w14:textId="760719A3" w:rsidR="0078123F" w:rsidRPr="00D928CD" w:rsidRDefault="004D2EAF" w:rsidP="00DC7E71">
      <w:pPr>
        <w:suppressAutoHyphens/>
        <w:spacing w:before="120" w:after="240" w:line="240" w:lineRule="auto"/>
        <w:ind w:firstLine="720"/>
        <w:jc w:val="both"/>
        <w:rPr>
          <w:rFonts w:ascii="Times New Roman" w:eastAsia="Times New Roman" w:hAnsi="Times New Roman" w:cs="Times New Roman"/>
          <w:sz w:val="24"/>
          <w:szCs w:val="24"/>
        </w:rPr>
      </w:pPr>
      <w:r w:rsidRPr="00D928CD">
        <w:rPr>
          <w:rFonts w:ascii="Times New Roman" w:eastAsia="Times New Roman" w:hAnsi="Times New Roman" w:cs="Times New Roman"/>
          <w:sz w:val="24"/>
          <w:szCs w:val="24"/>
        </w:rPr>
        <w:t>Latvijā PVN ir nozīm</w:t>
      </w:r>
      <w:r w:rsidR="00BB53BF" w:rsidRPr="00D928CD">
        <w:rPr>
          <w:rFonts w:ascii="Times New Roman" w:eastAsia="Times New Roman" w:hAnsi="Times New Roman" w:cs="Times New Roman"/>
          <w:sz w:val="24"/>
          <w:szCs w:val="24"/>
        </w:rPr>
        <w:t>īgs budžeta finansēšanas avots</w:t>
      </w:r>
      <w:r w:rsidR="00822D56" w:rsidRPr="00D928CD">
        <w:rPr>
          <w:rFonts w:ascii="Times New Roman" w:eastAsia="Times New Roman" w:hAnsi="Times New Roman" w:cs="Times New Roman"/>
          <w:sz w:val="24"/>
          <w:szCs w:val="24"/>
        </w:rPr>
        <w:t>,</w:t>
      </w:r>
      <w:r w:rsidR="00BB53BF" w:rsidRPr="00D928CD">
        <w:rPr>
          <w:rFonts w:ascii="Times New Roman" w:eastAsia="Times New Roman" w:hAnsi="Times New Roman" w:cs="Times New Roman"/>
          <w:sz w:val="24"/>
          <w:szCs w:val="24"/>
        </w:rPr>
        <w:t xml:space="preserve"> </w:t>
      </w:r>
      <w:r w:rsidRPr="00D928CD">
        <w:rPr>
          <w:rFonts w:ascii="Times New Roman" w:eastAsia="Times New Roman" w:hAnsi="Times New Roman" w:cs="Times New Roman"/>
          <w:sz w:val="24"/>
          <w:szCs w:val="24"/>
        </w:rPr>
        <w:t xml:space="preserve">ik gadu nodrošinot vidēji </w:t>
      </w:r>
      <w:r w:rsidR="00BB53BF" w:rsidRPr="00D928CD">
        <w:rPr>
          <w:rFonts w:ascii="Times New Roman" w:eastAsia="Times New Roman" w:hAnsi="Times New Roman" w:cs="Times New Roman"/>
          <w:sz w:val="24"/>
          <w:szCs w:val="24"/>
        </w:rPr>
        <w:t>25</w:t>
      </w:r>
      <w:r w:rsidRPr="00D928CD">
        <w:rPr>
          <w:rFonts w:ascii="Times New Roman" w:eastAsia="Times New Roman" w:hAnsi="Times New Roman" w:cs="Times New Roman"/>
          <w:sz w:val="24"/>
          <w:szCs w:val="24"/>
        </w:rPr>
        <w:t xml:space="preserve">% no kopējiem nodokļu ieņēmumiem vai vidēji </w:t>
      </w:r>
      <w:r w:rsidR="00BB53BF" w:rsidRPr="00D928CD">
        <w:rPr>
          <w:rFonts w:ascii="Times New Roman" w:eastAsia="Times New Roman" w:hAnsi="Times New Roman" w:cs="Times New Roman"/>
          <w:sz w:val="24"/>
          <w:szCs w:val="24"/>
        </w:rPr>
        <w:t>7</w:t>
      </w:r>
      <w:r w:rsidRPr="00D928CD">
        <w:rPr>
          <w:rFonts w:ascii="Times New Roman" w:eastAsia="Times New Roman" w:hAnsi="Times New Roman" w:cs="Times New Roman"/>
          <w:sz w:val="24"/>
          <w:szCs w:val="24"/>
        </w:rPr>
        <w:t xml:space="preserve">% no </w:t>
      </w:r>
      <w:r w:rsidR="00544DEA" w:rsidRPr="00D928CD">
        <w:rPr>
          <w:rFonts w:ascii="Times New Roman" w:eastAsia="Times New Roman" w:hAnsi="Times New Roman" w:cs="Times New Roman"/>
          <w:sz w:val="24"/>
          <w:szCs w:val="24"/>
        </w:rPr>
        <w:t>i</w:t>
      </w:r>
      <w:r w:rsidRPr="00D928CD">
        <w:rPr>
          <w:rFonts w:ascii="Times New Roman" w:eastAsia="Times New Roman" w:hAnsi="Times New Roman" w:cs="Times New Roman"/>
          <w:sz w:val="24"/>
          <w:szCs w:val="24"/>
        </w:rPr>
        <w:t xml:space="preserve">ekšzemes </w:t>
      </w:r>
      <w:r w:rsidR="00544DEA" w:rsidRPr="00D928CD">
        <w:rPr>
          <w:rFonts w:ascii="Times New Roman" w:eastAsia="Times New Roman" w:hAnsi="Times New Roman" w:cs="Times New Roman"/>
          <w:sz w:val="24"/>
          <w:szCs w:val="24"/>
        </w:rPr>
        <w:t>k</w:t>
      </w:r>
      <w:r w:rsidRPr="00D928CD">
        <w:rPr>
          <w:rFonts w:ascii="Times New Roman" w:eastAsia="Times New Roman" w:hAnsi="Times New Roman" w:cs="Times New Roman"/>
          <w:sz w:val="24"/>
          <w:szCs w:val="24"/>
        </w:rPr>
        <w:t>opprodukta. (skat. 1. tabulu)</w:t>
      </w:r>
      <w:r w:rsidR="003A27CC" w:rsidRPr="00D928CD">
        <w:rPr>
          <w:rFonts w:ascii="Times New Roman" w:eastAsia="Times New Roman" w:hAnsi="Times New Roman" w:cs="Times New Roman"/>
          <w:sz w:val="24"/>
          <w:szCs w:val="24"/>
        </w:rPr>
        <w:t>.</w:t>
      </w:r>
    </w:p>
    <w:p w14:paraId="167DE29C" w14:textId="5786F29B" w:rsidR="006A75E8" w:rsidRPr="00E96119" w:rsidRDefault="00D60AE4" w:rsidP="003A27CC">
      <w:pPr>
        <w:spacing w:after="0" w:line="240" w:lineRule="auto"/>
        <w:jc w:val="right"/>
        <w:rPr>
          <w:rFonts w:ascii="Times New Roman" w:eastAsia="Times New Roman" w:hAnsi="Times New Roman" w:cs="Times New Roman"/>
          <w:sz w:val="24"/>
          <w:szCs w:val="24"/>
        </w:rPr>
      </w:pPr>
      <w:r w:rsidRPr="00E96119">
        <w:rPr>
          <w:rFonts w:ascii="Times New Roman" w:eastAsia="Times New Roman" w:hAnsi="Times New Roman" w:cs="Times New Roman"/>
          <w:sz w:val="24"/>
          <w:szCs w:val="24"/>
        </w:rPr>
        <w:t>1.</w:t>
      </w:r>
      <w:r w:rsidR="000B29B3">
        <w:t> </w:t>
      </w:r>
      <w:r w:rsidRPr="00E96119">
        <w:rPr>
          <w:rFonts w:ascii="Times New Roman" w:eastAsia="Times New Roman" w:hAnsi="Times New Roman" w:cs="Times New Roman"/>
          <w:sz w:val="24"/>
          <w:szCs w:val="24"/>
        </w:rPr>
        <w:t>t</w:t>
      </w:r>
      <w:r w:rsidR="004D2EAF" w:rsidRPr="00E96119">
        <w:rPr>
          <w:rFonts w:ascii="Times New Roman" w:eastAsia="Times New Roman" w:hAnsi="Times New Roman" w:cs="Times New Roman"/>
          <w:sz w:val="24"/>
          <w:szCs w:val="24"/>
        </w:rPr>
        <w:t xml:space="preserve">abula </w:t>
      </w:r>
    </w:p>
    <w:p w14:paraId="766B2F1E" w14:textId="479B28EA" w:rsidR="000151AF" w:rsidRPr="00391150" w:rsidRDefault="000151AF" w:rsidP="00E1357A">
      <w:pPr>
        <w:spacing w:after="0"/>
        <w:rPr>
          <w:rFonts w:ascii="Times New Roman" w:eastAsia="Times New Roman" w:hAnsi="Times New Roman" w:cs="Times New Roman"/>
          <w:b/>
          <w:sz w:val="24"/>
          <w:szCs w:val="24"/>
        </w:rPr>
      </w:pPr>
      <w:r w:rsidRPr="00391150">
        <w:rPr>
          <w:rFonts w:ascii="Times New Roman" w:eastAsia="Times New Roman" w:hAnsi="Times New Roman" w:cs="Times New Roman"/>
          <w:b/>
          <w:sz w:val="24"/>
          <w:szCs w:val="24"/>
        </w:rPr>
        <w:t>Pievienotās vērtības nodokļa ieņēmumi</w:t>
      </w:r>
      <w:r w:rsidR="00D61CB6" w:rsidRPr="00391150">
        <w:rPr>
          <w:rFonts w:ascii="Times New Roman" w:eastAsia="Times New Roman" w:hAnsi="Times New Roman" w:cs="Times New Roman"/>
          <w:b/>
          <w:sz w:val="24"/>
          <w:szCs w:val="24"/>
        </w:rPr>
        <w:t xml:space="preserve">, milj. </w:t>
      </w:r>
      <w:proofErr w:type="spellStart"/>
      <w:r w:rsidR="00E1357A" w:rsidRPr="00E1357A">
        <w:rPr>
          <w:rFonts w:ascii="Times New Roman" w:eastAsia="Times New Roman" w:hAnsi="Times New Roman" w:cs="Times New Roman"/>
          <w:b/>
          <w:i/>
          <w:sz w:val="24"/>
          <w:szCs w:val="24"/>
        </w:rPr>
        <w:t>euro</w:t>
      </w:r>
      <w:proofErr w:type="spellEnd"/>
    </w:p>
    <w:tbl>
      <w:tblPr>
        <w:tblW w:w="9072" w:type="dxa"/>
        <w:tblInd w:w="-5" w:type="dxa"/>
        <w:tblLayout w:type="fixed"/>
        <w:tblCellMar>
          <w:left w:w="10" w:type="dxa"/>
          <w:right w:w="10" w:type="dxa"/>
        </w:tblCellMar>
        <w:tblLook w:val="04A0" w:firstRow="1" w:lastRow="0" w:firstColumn="1" w:lastColumn="0" w:noHBand="0" w:noVBand="1"/>
      </w:tblPr>
      <w:tblGrid>
        <w:gridCol w:w="2103"/>
        <w:gridCol w:w="874"/>
        <w:gridCol w:w="992"/>
        <w:gridCol w:w="993"/>
        <w:gridCol w:w="992"/>
        <w:gridCol w:w="992"/>
        <w:gridCol w:w="1276"/>
        <w:gridCol w:w="850"/>
      </w:tblGrid>
      <w:tr w:rsidR="00FC2B8A" w:rsidRPr="00391150" w14:paraId="4F357C55" w14:textId="77777777" w:rsidTr="00595CA0">
        <w:trPr>
          <w:cantSplit/>
        </w:trPr>
        <w:tc>
          <w:tcPr>
            <w:tcW w:w="21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FB97CD" w14:textId="77777777" w:rsidR="00846246" w:rsidRPr="00391150" w:rsidRDefault="00846246">
            <w:pPr>
              <w:suppressAutoHyphens/>
              <w:spacing w:after="0" w:line="240" w:lineRule="auto"/>
              <w:rPr>
                <w:rFonts w:ascii="Times New Roman" w:hAnsi="Times New Roman" w:cs="Times New Roman"/>
              </w:rPr>
            </w:pPr>
            <w:r w:rsidRPr="00391150">
              <w:rPr>
                <w:rFonts w:ascii="Times New Roman" w:eastAsia="BaltTimesRoman" w:hAnsi="Times New Roman" w:cs="Times New Roman"/>
              </w:rPr>
              <w:t> </w:t>
            </w:r>
          </w:p>
        </w:tc>
        <w:tc>
          <w:tcPr>
            <w:tcW w:w="8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FB375D" w14:textId="77777777" w:rsidR="00846246" w:rsidRPr="00391150" w:rsidRDefault="00846246">
            <w:pPr>
              <w:suppressAutoHyphens/>
              <w:spacing w:after="0" w:line="240" w:lineRule="auto"/>
              <w:jc w:val="center"/>
              <w:rPr>
                <w:rFonts w:ascii="Times New Roman" w:hAnsi="Times New Roman" w:cs="Times New Roman"/>
              </w:rPr>
            </w:pPr>
            <w:r w:rsidRPr="00391150">
              <w:rPr>
                <w:rFonts w:ascii="Times New Roman" w:eastAsia="BaltTimesRoman" w:hAnsi="Times New Roman" w:cs="Times New Roman"/>
                <w:b/>
              </w:rPr>
              <w:t>2007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E87C4D9" w14:textId="77777777" w:rsidR="00846246" w:rsidRPr="00391150" w:rsidRDefault="00846246">
            <w:pPr>
              <w:suppressAutoHyphens/>
              <w:spacing w:after="0" w:line="240" w:lineRule="auto"/>
              <w:jc w:val="center"/>
              <w:rPr>
                <w:rFonts w:ascii="Times New Roman" w:hAnsi="Times New Roman" w:cs="Times New Roman"/>
              </w:rPr>
            </w:pPr>
            <w:r w:rsidRPr="00391150">
              <w:rPr>
                <w:rFonts w:ascii="Times New Roman" w:eastAsia="BaltTimesRoman" w:hAnsi="Times New Roman" w:cs="Times New Roman"/>
                <w:b/>
              </w:rPr>
              <w:t>2008</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979F69" w14:textId="77777777" w:rsidR="00846246" w:rsidRPr="00391150" w:rsidRDefault="00846246">
            <w:pPr>
              <w:suppressAutoHyphens/>
              <w:spacing w:after="0" w:line="240" w:lineRule="auto"/>
              <w:jc w:val="center"/>
              <w:rPr>
                <w:rFonts w:ascii="Times New Roman" w:hAnsi="Times New Roman" w:cs="Times New Roman"/>
              </w:rPr>
            </w:pPr>
            <w:r w:rsidRPr="00391150">
              <w:rPr>
                <w:rFonts w:ascii="Times New Roman" w:eastAsia="BaltTimesRoman" w:hAnsi="Times New Roman" w:cs="Times New Roman"/>
                <w:b/>
              </w:rPr>
              <w:t>2009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8CB4C2B" w14:textId="77777777" w:rsidR="00846246" w:rsidRPr="00391150" w:rsidRDefault="00846246">
            <w:pPr>
              <w:suppressAutoHyphens/>
              <w:spacing w:after="0" w:line="240" w:lineRule="auto"/>
              <w:jc w:val="center"/>
              <w:rPr>
                <w:rFonts w:ascii="Times New Roman" w:hAnsi="Times New Roman" w:cs="Times New Roman"/>
              </w:rPr>
            </w:pPr>
            <w:r w:rsidRPr="00391150">
              <w:rPr>
                <w:rFonts w:ascii="Times New Roman" w:eastAsia="BaltTimesRoman" w:hAnsi="Times New Roman" w:cs="Times New Roman"/>
                <w:b/>
              </w:rPr>
              <w:t>2010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360355" w14:textId="77777777" w:rsidR="00846246" w:rsidRPr="00391150" w:rsidRDefault="00846246">
            <w:pPr>
              <w:suppressAutoHyphens/>
              <w:spacing w:after="0" w:line="240" w:lineRule="auto"/>
              <w:jc w:val="center"/>
              <w:rPr>
                <w:rFonts w:ascii="Times New Roman" w:hAnsi="Times New Roman" w:cs="Times New Roman"/>
              </w:rPr>
            </w:pPr>
            <w:r w:rsidRPr="00391150">
              <w:rPr>
                <w:rFonts w:ascii="Times New Roman" w:eastAsia="BaltTimesRoman" w:hAnsi="Times New Roman" w:cs="Times New Roman"/>
                <w:b/>
              </w:rPr>
              <w:t>2011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2ABB6E" w14:textId="77777777" w:rsidR="00846246" w:rsidRPr="00391150" w:rsidRDefault="00846246">
            <w:pPr>
              <w:suppressAutoHyphens/>
              <w:spacing w:after="0" w:line="240" w:lineRule="auto"/>
              <w:jc w:val="center"/>
              <w:rPr>
                <w:rFonts w:ascii="Times New Roman" w:hAnsi="Times New Roman" w:cs="Times New Roman"/>
              </w:rPr>
            </w:pPr>
            <w:r w:rsidRPr="00391150">
              <w:rPr>
                <w:rFonts w:ascii="Times New Roman" w:eastAsia="BaltTimesRoman" w:hAnsi="Times New Roman" w:cs="Times New Roman"/>
                <w:b/>
              </w:rPr>
              <w:t>2012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6545DA" w14:textId="77777777" w:rsidR="00846246" w:rsidRPr="00391150" w:rsidRDefault="00846246">
            <w:pPr>
              <w:suppressAutoHyphens/>
              <w:spacing w:after="0" w:line="240" w:lineRule="auto"/>
              <w:jc w:val="center"/>
              <w:rPr>
                <w:rFonts w:ascii="Times New Roman" w:hAnsi="Times New Roman" w:cs="Times New Roman"/>
              </w:rPr>
            </w:pPr>
            <w:r w:rsidRPr="00391150">
              <w:rPr>
                <w:rFonts w:ascii="Times New Roman" w:eastAsia="BaltTimesRoman" w:hAnsi="Times New Roman" w:cs="Times New Roman"/>
                <w:b/>
              </w:rPr>
              <w:t>2013</w:t>
            </w:r>
          </w:p>
        </w:tc>
      </w:tr>
      <w:tr w:rsidR="00FC2B8A" w:rsidRPr="00391150" w14:paraId="63683AE9" w14:textId="77777777" w:rsidTr="00595CA0">
        <w:trPr>
          <w:cantSplit/>
        </w:trPr>
        <w:tc>
          <w:tcPr>
            <w:tcW w:w="21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1EFB54D" w14:textId="618C641A" w:rsidR="00846246" w:rsidRPr="00391150" w:rsidRDefault="00846246" w:rsidP="00E1357A">
            <w:pPr>
              <w:suppressAutoHyphens/>
              <w:spacing w:after="0" w:line="240" w:lineRule="auto"/>
              <w:rPr>
                <w:rFonts w:ascii="Times New Roman" w:hAnsi="Times New Roman" w:cs="Times New Roman"/>
              </w:rPr>
            </w:pPr>
            <w:r w:rsidRPr="00391150">
              <w:rPr>
                <w:rFonts w:ascii="Times New Roman" w:eastAsia="BaltTimesRoman" w:hAnsi="Times New Roman" w:cs="Times New Roman"/>
                <w:b/>
              </w:rPr>
              <w:t>Nodok</w:t>
            </w:r>
            <w:r w:rsidRPr="00391150">
              <w:rPr>
                <w:rFonts w:ascii="Times New Roman" w:eastAsia="Calibri" w:hAnsi="Times New Roman" w:cs="Times New Roman"/>
                <w:b/>
              </w:rPr>
              <w:t>ļ</w:t>
            </w:r>
            <w:r w:rsidRPr="00391150">
              <w:rPr>
                <w:rFonts w:ascii="Times New Roman" w:eastAsia="BaltTimesRoman" w:hAnsi="Times New Roman" w:cs="Times New Roman"/>
                <w:b/>
              </w:rPr>
              <w:t>u ie</w:t>
            </w:r>
            <w:r w:rsidRPr="00391150">
              <w:rPr>
                <w:rFonts w:ascii="Times New Roman" w:eastAsia="Calibri" w:hAnsi="Times New Roman" w:cs="Times New Roman"/>
                <w:b/>
              </w:rPr>
              <w:t>ņē</w:t>
            </w:r>
            <w:r w:rsidRPr="00391150">
              <w:rPr>
                <w:rFonts w:ascii="Times New Roman" w:eastAsia="BaltTimesRoman" w:hAnsi="Times New Roman" w:cs="Times New Roman"/>
                <w:b/>
              </w:rPr>
              <w:t>mumi, milj</w:t>
            </w:r>
            <w:r w:rsidR="00595CA0">
              <w:rPr>
                <w:rFonts w:ascii="Times New Roman" w:eastAsia="BaltTimesRoman" w:hAnsi="Times New Roman" w:cs="Times New Roman"/>
                <w:b/>
              </w:rPr>
              <w:t>.</w:t>
            </w:r>
            <w:r w:rsidRPr="00391150">
              <w:rPr>
                <w:rFonts w:ascii="Times New Roman" w:eastAsia="BaltTimesRoman" w:hAnsi="Times New Roman" w:cs="Times New Roman"/>
                <w:b/>
              </w:rPr>
              <w:t xml:space="preserve"> </w:t>
            </w:r>
            <w:proofErr w:type="spellStart"/>
            <w:r w:rsidR="00E1357A" w:rsidRPr="00E1357A">
              <w:rPr>
                <w:rFonts w:ascii="Times New Roman" w:eastAsia="Times New Roman" w:hAnsi="Times New Roman" w:cs="Times New Roman"/>
                <w:b/>
                <w:i/>
              </w:rPr>
              <w:t>euro</w:t>
            </w:r>
            <w:proofErr w:type="spellEnd"/>
          </w:p>
        </w:tc>
        <w:tc>
          <w:tcPr>
            <w:tcW w:w="8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0B1E71" w14:textId="77777777" w:rsidR="00846246" w:rsidRPr="00391150" w:rsidRDefault="00846246" w:rsidP="00C122DF">
            <w:pPr>
              <w:suppressAutoHyphens/>
              <w:spacing w:after="0" w:line="240" w:lineRule="auto"/>
              <w:jc w:val="center"/>
              <w:rPr>
                <w:rFonts w:ascii="Times New Roman" w:hAnsi="Times New Roman" w:cs="Times New Roman"/>
              </w:rPr>
            </w:pPr>
            <w:r w:rsidRPr="00391150">
              <w:rPr>
                <w:rFonts w:ascii="Times New Roman" w:eastAsia="BaltTimesRoman" w:hAnsi="Times New Roman" w:cs="Times New Roman"/>
                <w:b/>
              </w:rPr>
              <w:t>6404,0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99BBC3A" w14:textId="77777777" w:rsidR="00846246" w:rsidRPr="00391150" w:rsidRDefault="00846246" w:rsidP="00C122DF">
            <w:pPr>
              <w:suppressAutoHyphens/>
              <w:spacing w:after="0" w:line="240" w:lineRule="auto"/>
              <w:jc w:val="center"/>
              <w:rPr>
                <w:rFonts w:ascii="Times New Roman" w:hAnsi="Times New Roman" w:cs="Times New Roman"/>
              </w:rPr>
            </w:pPr>
            <w:r w:rsidRPr="00391150">
              <w:rPr>
                <w:rFonts w:ascii="Times New Roman" w:eastAsia="BaltTimesRoman" w:hAnsi="Times New Roman" w:cs="Times New Roman"/>
                <w:b/>
              </w:rPr>
              <w:t>7158,0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690DB8F" w14:textId="77777777" w:rsidR="00846246" w:rsidRPr="00391150" w:rsidRDefault="00846246" w:rsidP="00C122DF">
            <w:pPr>
              <w:suppressAutoHyphens/>
              <w:spacing w:after="0" w:line="240" w:lineRule="auto"/>
              <w:jc w:val="center"/>
              <w:rPr>
                <w:rFonts w:ascii="Times New Roman" w:hAnsi="Times New Roman" w:cs="Times New Roman"/>
              </w:rPr>
            </w:pPr>
            <w:r w:rsidRPr="00391150">
              <w:rPr>
                <w:rFonts w:ascii="Times New Roman" w:eastAsia="BaltTimesRoman" w:hAnsi="Times New Roman" w:cs="Times New Roman"/>
                <w:b/>
              </w:rPr>
              <w:t>5264,0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E43B24C" w14:textId="77777777" w:rsidR="00846246" w:rsidRPr="00391150" w:rsidRDefault="00846246" w:rsidP="00C122DF">
            <w:pPr>
              <w:suppressAutoHyphens/>
              <w:spacing w:after="0" w:line="240" w:lineRule="auto"/>
              <w:jc w:val="center"/>
              <w:rPr>
                <w:rFonts w:ascii="Times New Roman" w:hAnsi="Times New Roman" w:cs="Times New Roman"/>
              </w:rPr>
            </w:pPr>
            <w:r w:rsidRPr="00391150">
              <w:rPr>
                <w:rFonts w:ascii="Times New Roman" w:eastAsia="BaltTimesRoman" w:hAnsi="Times New Roman" w:cs="Times New Roman"/>
                <w:b/>
              </w:rPr>
              <w:t>4989,4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61BF40A" w14:textId="77777777" w:rsidR="00846246" w:rsidRPr="00391150" w:rsidRDefault="00846246" w:rsidP="00C122DF">
            <w:pPr>
              <w:suppressAutoHyphens/>
              <w:spacing w:after="0" w:line="240" w:lineRule="auto"/>
              <w:jc w:val="center"/>
              <w:rPr>
                <w:rFonts w:ascii="Times New Roman" w:hAnsi="Times New Roman" w:cs="Times New Roman"/>
              </w:rPr>
            </w:pPr>
            <w:r w:rsidRPr="00391150">
              <w:rPr>
                <w:rFonts w:ascii="Times New Roman" w:eastAsia="BaltTimesRoman" w:hAnsi="Times New Roman" w:cs="Times New Roman"/>
                <w:b/>
              </w:rPr>
              <w:t>5615,7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96DE2B9" w14:textId="77777777" w:rsidR="00846246" w:rsidRPr="00391150" w:rsidRDefault="00846246" w:rsidP="00C122DF">
            <w:pPr>
              <w:suppressAutoHyphens/>
              <w:spacing w:after="0" w:line="240" w:lineRule="auto"/>
              <w:jc w:val="center"/>
              <w:rPr>
                <w:rFonts w:ascii="Times New Roman" w:hAnsi="Times New Roman" w:cs="Times New Roman"/>
              </w:rPr>
            </w:pPr>
            <w:r w:rsidRPr="00391150">
              <w:rPr>
                <w:rFonts w:ascii="Times New Roman" w:eastAsia="BaltTimesRoman" w:hAnsi="Times New Roman" w:cs="Times New Roman"/>
                <w:b/>
              </w:rPr>
              <w:t>6210,2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79FAACD" w14:textId="77777777" w:rsidR="00846246" w:rsidRPr="00391150" w:rsidRDefault="00846246" w:rsidP="00C122DF">
            <w:pPr>
              <w:suppressAutoHyphens/>
              <w:spacing w:after="0" w:line="240" w:lineRule="auto"/>
              <w:jc w:val="center"/>
              <w:rPr>
                <w:rFonts w:ascii="Times New Roman" w:hAnsi="Times New Roman" w:cs="Times New Roman"/>
              </w:rPr>
            </w:pPr>
            <w:r w:rsidRPr="00391150">
              <w:rPr>
                <w:rFonts w:ascii="Times New Roman" w:eastAsia="BaltTimesRoman" w:hAnsi="Times New Roman" w:cs="Times New Roman"/>
                <w:b/>
              </w:rPr>
              <w:t>6622,5</w:t>
            </w:r>
          </w:p>
        </w:tc>
      </w:tr>
      <w:tr w:rsidR="00961316" w:rsidRPr="00391150" w14:paraId="597F3A93" w14:textId="77777777" w:rsidTr="00595CA0">
        <w:trPr>
          <w:cantSplit/>
        </w:trPr>
        <w:tc>
          <w:tcPr>
            <w:tcW w:w="21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0A8DE94" w14:textId="60785023" w:rsidR="00846246" w:rsidRPr="00391150" w:rsidRDefault="005F750F" w:rsidP="00E1357A">
            <w:pPr>
              <w:suppressAutoHyphens/>
              <w:spacing w:after="0" w:line="240" w:lineRule="auto"/>
              <w:rPr>
                <w:rFonts w:ascii="Times New Roman" w:hAnsi="Times New Roman" w:cs="Times New Roman"/>
              </w:rPr>
            </w:pPr>
            <w:r w:rsidRPr="00391150">
              <w:rPr>
                <w:rFonts w:ascii="Times New Roman" w:eastAsia="BaltTimesRoman" w:hAnsi="Times New Roman" w:cs="Times New Roman"/>
              </w:rPr>
              <w:t>PVN</w:t>
            </w:r>
            <w:r w:rsidR="00846246" w:rsidRPr="00391150">
              <w:rPr>
                <w:rFonts w:ascii="Times New Roman" w:eastAsia="BaltTimesRoman" w:hAnsi="Times New Roman" w:cs="Times New Roman"/>
              </w:rPr>
              <w:t xml:space="preserve"> ie</w:t>
            </w:r>
            <w:r w:rsidR="00846246" w:rsidRPr="00391150">
              <w:rPr>
                <w:rFonts w:ascii="Times New Roman" w:eastAsia="Calibri" w:hAnsi="Times New Roman" w:cs="Times New Roman"/>
              </w:rPr>
              <w:t>ņē</w:t>
            </w:r>
            <w:r w:rsidR="00846246" w:rsidRPr="00391150">
              <w:rPr>
                <w:rFonts w:ascii="Times New Roman" w:eastAsia="BaltTimesRoman" w:hAnsi="Times New Roman" w:cs="Times New Roman"/>
              </w:rPr>
              <w:t xml:space="preserve">mumi, milj. </w:t>
            </w:r>
            <w:proofErr w:type="spellStart"/>
            <w:r w:rsidR="00E1357A" w:rsidRPr="00E1357A">
              <w:rPr>
                <w:rFonts w:ascii="Times New Roman" w:eastAsia="Times New Roman" w:hAnsi="Times New Roman" w:cs="Times New Roman"/>
                <w:i/>
              </w:rPr>
              <w:t>euro</w:t>
            </w:r>
            <w:proofErr w:type="spellEnd"/>
          </w:p>
        </w:tc>
        <w:tc>
          <w:tcPr>
            <w:tcW w:w="8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96F96C0" w14:textId="77777777" w:rsidR="00846246" w:rsidRPr="00391150" w:rsidRDefault="00846246" w:rsidP="00C122DF">
            <w:pPr>
              <w:suppressAutoHyphens/>
              <w:spacing w:after="0" w:line="240" w:lineRule="auto"/>
              <w:jc w:val="center"/>
              <w:rPr>
                <w:rFonts w:ascii="Times New Roman" w:hAnsi="Times New Roman" w:cs="Times New Roman"/>
              </w:rPr>
            </w:pPr>
            <w:r w:rsidRPr="00391150">
              <w:rPr>
                <w:rFonts w:ascii="Times New Roman" w:eastAsia="BaltTimesRoman" w:hAnsi="Times New Roman" w:cs="Times New Roman"/>
              </w:rPr>
              <w:t>1711,6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8F72C6D" w14:textId="77777777" w:rsidR="00846246" w:rsidRPr="00391150" w:rsidRDefault="00846246" w:rsidP="00C122DF">
            <w:pPr>
              <w:suppressAutoHyphens/>
              <w:spacing w:after="0" w:line="240" w:lineRule="auto"/>
              <w:jc w:val="center"/>
              <w:rPr>
                <w:rFonts w:ascii="Times New Roman" w:hAnsi="Times New Roman" w:cs="Times New Roman"/>
              </w:rPr>
            </w:pPr>
            <w:r w:rsidRPr="00391150">
              <w:rPr>
                <w:rFonts w:ascii="Times New Roman" w:eastAsia="BaltTimesRoman" w:hAnsi="Times New Roman" w:cs="Times New Roman"/>
              </w:rPr>
              <w:t>1589,6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D7021EC" w14:textId="77777777" w:rsidR="00846246" w:rsidRPr="00391150" w:rsidRDefault="00846246" w:rsidP="00C122DF">
            <w:pPr>
              <w:suppressAutoHyphens/>
              <w:spacing w:after="0" w:line="240" w:lineRule="auto"/>
              <w:jc w:val="center"/>
              <w:rPr>
                <w:rFonts w:ascii="Times New Roman" w:hAnsi="Times New Roman" w:cs="Times New Roman"/>
              </w:rPr>
            </w:pPr>
            <w:r w:rsidRPr="00391150">
              <w:rPr>
                <w:rFonts w:ascii="Times New Roman" w:eastAsia="BaltTimesRoman" w:hAnsi="Times New Roman" w:cs="Times New Roman"/>
              </w:rPr>
              <w:t>1136,1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1D229C9" w14:textId="77777777" w:rsidR="00846246" w:rsidRPr="00391150" w:rsidRDefault="00846246" w:rsidP="00C122DF">
            <w:pPr>
              <w:suppressAutoHyphens/>
              <w:spacing w:after="0" w:line="240" w:lineRule="auto"/>
              <w:jc w:val="center"/>
              <w:rPr>
                <w:rFonts w:ascii="Times New Roman" w:hAnsi="Times New Roman" w:cs="Times New Roman"/>
              </w:rPr>
            </w:pPr>
            <w:r w:rsidRPr="00391150">
              <w:rPr>
                <w:rFonts w:ascii="Times New Roman" w:eastAsia="BaltTimesRoman" w:hAnsi="Times New Roman" w:cs="Times New Roman"/>
              </w:rPr>
              <w:t>1174,2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699CFB3" w14:textId="77777777" w:rsidR="00846246" w:rsidRPr="00391150" w:rsidRDefault="00846246" w:rsidP="00C122DF">
            <w:pPr>
              <w:suppressAutoHyphens/>
              <w:spacing w:after="0" w:line="240" w:lineRule="auto"/>
              <w:jc w:val="center"/>
              <w:rPr>
                <w:rFonts w:ascii="Times New Roman" w:hAnsi="Times New Roman" w:cs="Times New Roman"/>
              </w:rPr>
            </w:pPr>
            <w:r w:rsidRPr="00391150">
              <w:rPr>
                <w:rFonts w:ascii="Times New Roman" w:eastAsia="BaltTimesRoman" w:hAnsi="Times New Roman" w:cs="Times New Roman"/>
              </w:rPr>
              <w:t>1364,0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5C1CB09" w14:textId="77777777" w:rsidR="00846246" w:rsidRPr="00391150" w:rsidRDefault="00846246" w:rsidP="00C122DF">
            <w:pPr>
              <w:suppressAutoHyphens/>
              <w:spacing w:after="0" w:line="240" w:lineRule="auto"/>
              <w:jc w:val="center"/>
              <w:rPr>
                <w:rFonts w:ascii="Times New Roman" w:hAnsi="Times New Roman" w:cs="Times New Roman"/>
              </w:rPr>
            </w:pPr>
            <w:r w:rsidRPr="00391150">
              <w:rPr>
                <w:rFonts w:ascii="Times New Roman" w:eastAsia="BaltTimesRoman" w:hAnsi="Times New Roman" w:cs="Times New Roman"/>
              </w:rPr>
              <w:t>1588,8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96FD46" w14:textId="77777777" w:rsidR="00846246" w:rsidRPr="00391150" w:rsidRDefault="00846246" w:rsidP="00C122DF">
            <w:pPr>
              <w:suppressAutoHyphens/>
              <w:spacing w:after="0" w:line="240" w:lineRule="auto"/>
              <w:jc w:val="center"/>
              <w:rPr>
                <w:rFonts w:ascii="Times New Roman" w:hAnsi="Times New Roman" w:cs="Times New Roman"/>
              </w:rPr>
            </w:pPr>
            <w:r w:rsidRPr="00391150">
              <w:rPr>
                <w:rFonts w:ascii="Times New Roman" w:eastAsia="BaltTimesRoman" w:hAnsi="Times New Roman" w:cs="Times New Roman"/>
              </w:rPr>
              <w:t>1666,8</w:t>
            </w:r>
          </w:p>
        </w:tc>
      </w:tr>
      <w:tr w:rsidR="00961316" w:rsidRPr="00391150" w14:paraId="0A818410" w14:textId="77777777" w:rsidTr="00595CA0">
        <w:trPr>
          <w:cantSplit/>
        </w:trPr>
        <w:tc>
          <w:tcPr>
            <w:tcW w:w="21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F6F292" w14:textId="77777777" w:rsidR="00846246" w:rsidRPr="00391150" w:rsidRDefault="005F750F" w:rsidP="00C122DF">
            <w:pPr>
              <w:suppressAutoHyphens/>
              <w:spacing w:after="0" w:line="240" w:lineRule="auto"/>
              <w:rPr>
                <w:rFonts w:ascii="Times New Roman" w:hAnsi="Times New Roman" w:cs="Times New Roman"/>
              </w:rPr>
            </w:pPr>
            <w:r w:rsidRPr="00391150">
              <w:rPr>
                <w:rFonts w:ascii="Times New Roman" w:eastAsia="BaltTimesRoman" w:hAnsi="Times New Roman" w:cs="Times New Roman"/>
              </w:rPr>
              <w:t>PVN</w:t>
            </w:r>
            <w:r w:rsidR="00846246" w:rsidRPr="00391150">
              <w:rPr>
                <w:rFonts w:ascii="Times New Roman" w:eastAsia="BaltTimesRoman" w:hAnsi="Times New Roman" w:cs="Times New Roman"/>
              </w:rPr>
              <w:t xml:space="preserve"> ie</w:t>
            </w:r>
            <w:r w:rsidR="00846246" w:rsidRPr="00391150">
              <w:rPr>
                <w:rFonts w:ascii="Times New Roman" w:eastAsia="Calibri" w:hAnsi="Times New Roman" w:cs="Times New Roman"/>
              </w:rPr>
              <w:t>ņē</w:t>
            </w:r>
            <w:r w:rsidR="00846246" w:rsidRPr="00391150">
              <w:rPr>
                <w:rFonts w:ascii="Times New Roman" w:eastAsia="BaltTimesRoman" w:hAnsi="Times New Roman" w:cs="Times New Roman"/>
              </w:rPr>
              <w:t xml:space="preserve">mumu </w:t>
            </w:r>
            <w:r w:rsidR="00846246" w:rsidRPr="00391150">
              <w:rPr>
                <w:rFonts w:ascii="Times New Roman" w:eastAsia="Calibri" w:hAnsi="Times New Roman" w:cs="Times New Roman"/>
              </w:rPr>
              <w:t>ī</w:t>
            </w:r>
            <w:r w:rsidR="00846246" w:rsidRPr="00391150">
              <w:rPr>
                <w:rFonts w:ascii="Times New Roman" w:eastAsia="BaltTimesRoman" w:hAnsi="Times New Roman" w:cs="Times New Roman"/>
              </w:rPr>
              <w:t>patsvars kop</w:t>
            </w:r>
            <w:r w:rsidR="00846246" w:rsidRPr="00391150">
              <w:rPr>
                <w:rFonts w:ascii="Times New Roman" w:eastAsia="Calibri" w:hAnsi="Times New Roman" w:cs="Times New Roman"/>
              </w:rPr>
              <w:t>ē</w:t>
            </w:r>
            <w:r w:rsidR="00846246" w:rsidRPr="00391150">
              <w:rPr>
                <w:rFonts w:ascii="Times New Roman" w:eastAsia="BaltTimesRoman" w:hAnsi="Times New Roman" w:cs="Times New Roman"/>
              </w:rPr>
              <w:t>jos nodok</w:t>
            </w:r>
            <w:r w:rsidR="00846246" w:rsidRPr="00391150">
              <w:rPr>
                <w:rFonts w:ascii="Times New Roman" w:eastAsia="Calibri" w:hAnsi="Times New Roman" w:cs="Times New Roman"/>
              </w:rPr>
              <w:t>ļ</w:t>
            </w:r>
            <w:r w:rsidR="00846246" w:rsidRPr="00391150">
              <w:rPr>
                <w:rFonts w:ascii="Times New Roman" w:eastAsia="BaltTimesRoman" w:hAnsi="Times New Roman" w:cs="Times New Roman"/>
              </w:rPr>
              <w:t>u ie</w:t>
            </w:r>
            <w:r w:rsidR="00846246" w:rsidRPr="00391150">
              <w:rPr>
                <w:rFonts w:ascii="Times New Roman" w:eastAsia="Calibri" w:hAnsi="Times New Roman" w:cs="Times New Roman"/>
              </w:rPr>
              <w:t>ņē</w:t>
            </w:r>
            <w:r w:rsidR="00846246" w:rsidRPr="00391150">
              <w:rPr>
                <w:rFonts w:ascii="Times New Roman" w:eastAsia="BaltTimesRoman" w:hAnsi="Times New Roman" w:cs="Times New Roman"/>
              </w:rPr>
              <w:t>mumos, %</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CC4845D" w14:textId="77777777" w:rsidR="00846246" w:rsidRPr="00391150" w:rsidRDefault="00846246" w:rsidP="00C122DF">
            <w:pPr>
              <w:suppressAutoHyphens/>
              <w:spacing w:after="0" w:line="240" w:lineRule="auto"/>
              <w:jc w:val="center"/>
              <w:rPr>
                <w:rFonts w:ascii="Times New Roman" w:hAnsi="Times New Roman" w:cs="Times New Roman"/>
              </w:rPr>
            </w:pPr>
            <w:r w:rsidRPr="00391150">
              <w:rPr>
                <w:rFonts w:ascii="Times New Roman" w:eastAsia="BaltTimesRoman" w:hAnsi="Times New Roman" w:cs="Times New Roman"/>
              </w:rPr>
              <w:t>26,7%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A16958A" w14:textId="77777777" w:rsidR="00846246" w:rsidRPr="00391150" w:rsidRDefault="00846246" w:rsidP="00C122DF">
            <w:pPr>
              <w:suppressAutoHyphens/>
              <w:spacing w:after="0" w:line="240" w:lineRule="auto"/>
              <w:jc w:val="center"/>
              <w:rPr>
                <w:rFonts w:ascii="Times New Roman" w:eastAsia="BaltTimesRoman" w:hAnsi="Times New Roman" w:cs="Times New Roman"/>
              </w:rPr>
            </w:pPr>
            <w:r w:rsidRPr="00391150">
              <w:rPr>
                <w:rFonts w:ascii="Times New Roman" w:eastAsia="BaltTimesRoman" w:hAnsi="Times New Roman" w:cs="Times New Roman"/>
              </w:rPr>
              <w:t>22,2%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F73A57E" w14:textId="77777777" w:rsidR="00846246" w:rsidRPr="00391150" w:rsidRDefault="00846246" w:rsidP="00C122DF">
            <w:pPr>
              <w:suppressAutoHyphens/>
              <w:spacing w:after="0" w:line="240" w:lineRule="auto"/>
              <w:jc w:val="center"/>
              <w:rPr>
                <w:rFonts w:ascii="Times New Roman" w:eastAsia="BaltTimesRoman" w:hAnsi="Times New Roman" w:cs="Times New Roman"/>
              </w:rPr>
            </w:pPr>
            <w:r w:rsidRPr="00391150">
              <w:rPr>
                <w:rFonts w:ascii="Times New Roman" w:eastAsia="BaltTimesRoman" w:hAnsi="Times New Roman" w:cs="Times New Roman"/>
              </w:rPr>
              <w:t>21,6%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2A0802E" w14:textId="77777777" w:rsidR="00846246" w:rsidRPr="00391150" w:rsidRDefault="00846246" w:rsidP="00C122DF">
            <w:pPr>
              <w:suppressAutoHyphens/>
              <w:spacing w:after="0" w:line="240" w:lineRule="auto"/>
              <w:jc w:val="center"/>
              <w:rPr>
                <w:rFonts w:ascii="Times New Roman" w:eastAsia="BaltTimesRoman" w:hAnsi="Times New Roman" w:cs="Times New Roman"/>
              </w:rPr>
            </w:pPr>
            <w:r w:rsidRPr="00391150">
              <w:rPr>
                <w:rFonts w:ascii="Times New Roman" w:eastAsia="BaltTimesRoman" w:hAnsi="Times New Roman" w:cs="Times New Roman"/>
              </w:rPr>
              <w:t>23,5%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2624166" w14:textId="77777777" w:rsidR="00846246" w:rsidRPr="00391150" w:rsidRDefault="00846246" w:rsidP="00C122DF">
            <w:pPr>
              <w:suppressAutoHyphens/>
              <w:spacing w:after="0" w:line="240" w:lineRule="auto"/>
              <w:jc w:val="center"/>
              <w:rPr>
                <w:rFonts w:ascii="Times New Roman" w:eastAsia="BaltTimesRoman" w:hAnsi="Times New Roman" w:cs="Times New Roman"/>
              </w:rPr>
            </w:pPr>
            <w:r w:rsidRPr="00391150">
              <w:rPr>
                <w:rFonts w:ascii="Times New Roman" w:eastAsia="BaltTimesRoman" w:hAnsi="Times New Roman" w:cs="Times New Roman"/>
              </w:rPr>
              <w:t>24,3%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E73B3FB" w14:textId="77777777" w:rsidR="00846246" w:rsidRPr="00391150" w:rsidRDefault="00846246" w:rsidP="00C122DF">
            <w:pPr>
              <w:suppressAutoHyphens/>
              <w:spacing w:after="0" w:line="240" w:lineRule="auto"/>
              <w:jc w:val="center"/>
              <w:rPr>
                <w:rFonts w:ascii="Times New Roman" w:eastAsia="BaltTimesRoman" w:hAnsi="Times New Roman" w:cs="Times New Roman"/>
              </w:rPr>
            </w:pPr>
            <w:r w:rsidRPr="00391150">
              <w:rPr>
                <w:rFonts w:ascii="Times New Roman" w:eastAsia="BaltTimesRoman" w:hAnsi="Times New Roman" w:cs="Times New Roman"/>
              </w:rPr>
              <w:t>25,6%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7CC7A6D" w14:textId="77777777" w:rsidR="00846246" w:rsidRPr="00391150" w:rsidRDefault="00846246" w:rsidP="00C122DF">
            <w:pPr>
              <w:suppressAutoHyphens/>
              <w:spacing w:after="0" w:line="240" w:lineRule="auto"/>
              <w:jc w:val="center"/>
              <w:rPr>
                <w:rFonts w:ascii="Times New Roman" w:hAnsi="Times New Roman" w:cs="Times New Roman"/>
              </w:rPr>
            </w:pPr>
            <w:r w:rsidRPr="00391150">
              <w:rPr>
                <w:rFonts w:ascii="Times New Roman" w:eastAsia="BaltTimesRoman" w:hAnsi="Times New Roman" w:cs="Times New Roman"/>
              </w:rPr>
              <w:t>25,2%</w:t>
            </w:r>
          </w:p>
        </w:tc>
      </w:tr>
      <w:tr w:rsidR="00961316" w:rsidRPr="00391150" w14:paraId="3284754D" w14:textId="77777777" w:rsidTr="00595CA0">
        <w:trPr>
          <w:cantSplit/>
        </w:trPr>
        <w:tc>
          <w:tcPr>
            <w:tcW w:w="21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5B412D6" w14:textId="77777777" w:rsidR="00846246" w:rsidRPr="00391150" w:rsidRDefault="005F750F" w:rsidP="00C122DF">
            <w:pPr>
              <w:suppressAutoHyphens/>
              <w:spacing w:after="0" w:line="240" w:lineRule="auto"/>
              <w:rPr>
                <w:rFonts w:ascii="Times New Roman" w:hAnsi="Times New Roman" w:cs="Times New Roman"/>
              </w:rPr>
            </w:pPr>
            <w:r w:rsidRPr="00391150">
              <w:rPr>
                <w:rFonts w:ascii="Times New Roman" w:eastAsia="BaltTimesRoman" w:hAnsi="Times New Roman" w:cs="Times New Roman"/>
              </w:rPr>
              <w:t>PVN</w:t>
            </w:r>
            <w:r w:rsidR="00846246" w:rsidRPr="00391150">
              <w:rPr>
                <w:rFonts w:ascii="Times New Roman" w:eastAsia="BaltTimesRoman" w:hAnsi="Times New Roman" w:cs="Times New Roman"/>
              </w:rPr>
              <w:t xml:space="preserve"> ie</w:t>
            </w:r>
            <w:r w:rsidR="00846246" w:rsidRPr="00391150">
              <w:rPr>
                <w:rFonts w:ascii="Times New Roman" w:eastAsia="Calibri" w:hAnsi="Times New Roman" w:cs="Times New Roman"/>
              </w:rPr>
              <w:t>ņē</w:t>
            </w:r>
            <w:r w:rsidR="00846246" w:rsidRPr="00391150">
              <w:rPr>
                <w:rFonts w:ascii="Times New Roman" w:eastAsia="BaltTimesRoman" w:hAnsi="Times New Roman" w:cs="Times New Roman"/>
              </w:rPr>
              <w:t xml:space="preserve">mumu </w:t>
            </w:r>
            <w:r w:rsidR="00846246" w:rsidRPr="00391150">
              <w:rPr>
                <w:rFonts w:ascii="Times New Roman" w:eastAsia="Calibri" w:hAnsi="Times New Roman" w:cs="Times New Roman"/>
              </w:rPr>
              <w:t>ī</w:t>
            </w:r>
            <w:r w:rsidR="00846246" w:rsidRPr="00391150">
              <w:rPr>
                <w:rFonts w:ascii="Times New Roman" w:eastAsia="BaltTimesRoman" w:hAnsi="Times New Roman" w:cs="Times New Roman"/>
              </w:rPr>
              <w:t>patsvars IKP, %</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84357FD" w14:textId="77777777" w:rsidR="00846246" w:rsidRPr="00391150" w:rsidRDefault="00846246" w:rsidP="00C122DF">
            <w:pPr>
              <w:suppressAutoHyphens/>
              <w:spacing w:after="0" w:line="240" w:lineRule="auto"/>
              <w:jc w:val="center"/>
              <w:rPr>
                <w:rFonts w:ascii="Times New Roman" w:hAnsi="Times New Roman" w:cs="Times New Roman"/>
              </w:rPr>
            </w:pPr>
            <w:r w:rsidRPr="00391150">
              <w:rPr>
                <w:rFonts w:ascii="Times New Roman" w:eastAsia="BaltTimesRoman" w:hAnsi="Times New Roman" w:cs="Times New Roman"/>
              </w:rPr>
              <w:t>8,2%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A9339E3" w14:textId="77777777" w:rsidR="00846246" w:rsidRPr="00391150" w:rsidRDefault="00846246" w:rsidP="00C122DF">
            <w:pPr>
              <w:suppressAutoHyphens/>
              <w:spacing w:after="0" w:line="240" w:lineRule="auto"/>
              <w:jc w:val="center"/>
              <w:rPr>
                <w:rFonts w:ascii="Times New Roman" w:eastAsia="BaltTimesRoman" w:hAnsi="Times New Roman" w:cs="Times New Roman"/>
              </w:rPr>
            </w:pPr>
            <w:r w:rsidRPr="00391150">
              <w:rPr>
                <w:rFonts w:ascii="Times New Roman" w:eastAsia="BaltTimesRoman" w:hAnsi="Times New Roman" w:cs="Times New Roman"/>
              </w:rPr>
              <w:t>6,9%</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D207D0D" w14:textId="77777777" w:rsidR="00846246" w:rsidRPr="00391150" w:rsidRDefault="00846246" w:rsidP="00C122DF">
            <w:pPr>
              <w:suppressAutoHyphens/>
              <w:spacing w:after="0" w:line="240" w:lineRule="auto"/>
              <w:jc w:val="center"/>
              <w:rPr>
                <w:rFonts w:ascii="Times New Roman" w:eastAsia="BaltTimesRoman" w:hAnsi="Times New Roman" w:cs="Times New Roman"/>
              </w:rPr>
            </w:pPr>
            <w:r w:rsidRPr="00391150">
              <w:rPr>
                <w:rFonts w:ascii="Times New Roman" w:eastAsia="BaltTimesRoman" w:hAnsi="Times New Roman" w:cs="Times New Roman"/>
              </w:rPr>
              <w:t>6,1%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26A2F6C" w14:textId="77777777" w:rsidR="00846246" w:rsidRPr="00391150" w:rsidRDefault="00846246" w:rsidP="00C122DF">
            <w:pPr>
              <w:suppressAutoHyphens/>
              <w:spacing w:after="0" w:line="240" w:lineRule="auto"/>
              <w:jc w:val="center"/>
              <w:rPr>
                <w:rFonts w:ascii="Times New Roman" w:eastAsia="BaltTimesRoman" w:hAnsi="Times New Roman" w:cs="Times New Roman"/>
              </w:rPr>
            </w:pPr>
            <w:r w:rsidRPr="00391150">
              <w:rPr>
                <w:rFonts w:ascii="Times New Roman" w:eastAsia="BaltTimesRoman" w:hAnsi="Times New Roman" w:cs="Times New Roman"/>
              </w:rPr>
              <w:t>6,5%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EA9F197" w14:textId="77777777" w:rsidR="00846246" w:rsidRPr="00391150" w:rsidRDefault="00846246" w:rsidP="00C122DF">
            <w:pPr>
              <w:suppressAutoHyphens/>
              <w:spacing w:after="0" w:line="240" w:lineRule="auto"/>
              <w:jc w:val="center"/>
              <w:rPr>
                <w:rFonts w:ascii="Times New Roman" w:eastAsia="BaltTimesRoman" w:hAnsi="Times New Roman" w:cs="Times New Roman"/>
              </w:rPr>
            </w:pPr>
            <w:r w:rsidRPr="00391150">
              <w:rPr>
                <w:rFonts w:ascii="Times New Roman" w:eastAsia="BaltTimesRoman" w:hAnsi="Times New Roman" w:cs="Times New Roman"/>
              </w:rPr>
              <w:t>6,7%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8A5FFE8" w14:textId="77777777" w:rsidR="00846246" w:rsidRPr="00391150" w:rsidRDefault="00846246" w:rsidP="00C122DF">
            <w:pPr>
              <w:suppressAutoHyphens/>
              <w:spacing w:after="0" w:line="240" w:lineRule="auto"/>
              <w:jc w:val="center"/>
              <w:rPr>
                <w:rFonts w:ascii="Times New Roman" w:eastAsia="BaltTimesRoman" w:hAnsi="Times New Roman" w:cs="Times New Roman"/>
              </w:rPr>
            </w:pPr>
            <w:r w:rsidRPr="00391150">
              <w:rPr>
                <w:rFonts w:ascii="Times New Roman" w:eastAsia="BaltTimesRoman" w:hAnsi="Times New Roman" w:cs="Times New Roman"/>
              </w:rPr>
              <w:t>7,2%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3572DCA" w14:textId="77777777" w:rsidR="00846246" w:rsidRPr="00391150" w:rsidRDefault="00846246" w:rsidP="00C122DF">
            <w:pPr>
              <w:suppressAutoHyphens/>
              <w:spacing w:after="0" w:line="240" w:lineRule="auto"/>
              <w:jc w:val="center"/>
              <w:rPr>
                <w:rFonts w:ascii="Times New Roman" w:hAnsi="Times New Roman" w:cs="Times New Roman"/>
              </w:rPr>
            </w:pPr>
            <w:r w:rsidRPr="00391150">
              <w:rPr>
                <w:rFonts w:ascii="Times New Roman" w:eastAsia="BaltTimesRoman" w:hAnsi="Times New Roman" w:cs="Times New Roman"/>
              </w:rPr>
              <w:t>7,1%</w:t>
            </w:r>
          </w:p>
        </w:tc>
      </w:tr>
      <w:tr w:rsidR="00961316" w:rsidRPr="00391150" w14:paraId="0FE5B9F8" w14:textId="77777777" w:rsidTr="00595CA0">
        <w:trPr>
          <w:cantSplit/>
        </w:trPr>
        <w:tc>
          <w:tcPr>
            <w:tcW w:w="21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E94D96D" w14:textId="06C65937" w:rsidR="00846246" w:rsidRPr="00391150" w:rsidRDefault="00846246" w:rsidP="00C122DF">
            <w:pPr>
              <w:suppressAutoHyphens/>
              <w:spacing w:after="0" w:line="240" w:lineRule="auto"/>
              <w:rPr>
                <w:rFonts w:ascii="Times New Roman" w:hAnsi="Times New Roman" w:cs="Times New Roman"/>
              </w:rPr>
            </w:pPr>
            <w:r w:rsidRPr="00391150">
              <w:rPr>
                <w:rFonts w:ascii="Times New Roman" w:eastAsia="BaltTimesRoman" w:hAnsi="Times New Roman" w:cs="Times New Roman"/>
              </w:rPr>
              <w:t xml:space="preserve">PVN </w:t>
            </w:r>
            <w:proofErr w:type="spellStart"/>
            <w:r w:rsidRPr="00391150">
              <w:rPr>
                <w:rFonts w:ascii="Times New Roman" w:eastAsia="BaltTimesRoman" w:hAnsi="Times New Roman" w:cs="Times New Roman"/>
              </w:rPr>
              <w:t>standartli</w:t>
            </w:r>
            <w:r w:rsidR="006820D5" w:rsidRPr="00391150">
              <w:rPr>
                <w:rFonts w:ascii="Times New Roman" w:eastAsia="BaltTimesRoman" w:hAnsi="Times New Roman" w:cs="Times New Roman"/>
              </w:rPr>
              <w:t>k</w:t>
            </w:r>
            <w:r w:rsidRPr="00391150">
              <w:rPr>
                <w:rFonts w:ascii="Times New Roman" w:eastAsia="BaltTimesRoman" w:hAnsi="Times New Roman" w:cs="Times New Roman"/>
              </w:rPr>
              <w:t>me</w:t>
            </w:r>
            <w:proofErr w:type="spellEnd"/>
          </w:p>
        </w:tc>
        <w:tc>
          <w:tcPr>
            <w:tcW w:w="8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F65E4E4" w14:textId="77777777" w:rsidR="00846246" w:rsidRPr="00391150" w:rsidRDefault="00846246" w:rsidP="00C122DF">
            <w:pPr>
              <w:suppressAutoHyphens/>
              <w:spacing w:after="0" w:line="240" w:lineRule="auto"/>
              <w:jc w:val="center"/>
              <w:rPr>
                <w:rFonts w:ascii="Times New Roman" w:hAnsi="Times New Roman" w:cs="Times New Roman"/>
              </w:rPr>
            </w:pPr>
            <w:r w:rsidRPr="00391150">
              <w:rPr>
                <w:rFonts w:ascii="Times New Roman" w:eastAsia="BaltTimesRoman" w:hAnsi="Times New Roman" w:cs="Times New Roman"/>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30AE4CF" w14:textId="77777777" w:rsidR="00846246" w:rsidRPr="00391150" w:rsidRDefault="00846246" w:rsidP="00C122DF">
            <w:pPr>
              <w:suppressAutoHyphens/>
              <w:spacing w:after="0" w:line="240" w:lineRule="auto"/>
              <w:jc w:val="center"/>
              <w:rPr>
                <w:rFonts w:ascii="Times New Roman" w:eastAsia="BaltTimesRoman" w:hAnsi="Times New Roman" w:cs="Times New Roman"/>
              </w:rPr>
            </w:pPr>
            <w:r w:rsidRPr="00391150">
              <w:rPr>
                <w:rFonts w:ascii="Times New Roman" w:eastAsia="BaltTimesRoman" w:hAnsi="Times New Roman" w:cs="Times New Roman"/>
              </w:rPr>
              <w:t>18%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3F894D8" w14:textId="77777777" w:rsidR="00846246" w:rsidRPr="00391150" w:rsidRDefault="00846246" w:rsidP="00C122DF">
            <w:pPr>
              <w:suppressAutoHyphens/>
              <w:spacing w:after="0" w:line="240" w:lineRule="auto"/>
              <w:jc w:val="center"/>
              <w:rPr>
                <w:rFonts w:ascii="Times New Roman" w:eastAsia="BaltTimesRoman" w:hAnsi="Times New Roman" w:cs="Times New Roman"/>
              </w:rPr>
            </w:pPr>
            <w:r w:rsidRPr="00391150">
              <w:rPr>
                <w:rFonts w:ascii="Times New Roman" w:eastAsia="BaltTimesRoman" w:hAnsi="Times New Roman" w:cs="Times New Roman"/>
              </w:rPr>
              <w:t>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272EC6D" w14:textId="77777777" w:rsidR="00846246" w:rsidRPr="00391150" w:rsidRDefault="00846246" w:rsidP="00C122DF">
            <w:pPr>
              <w:suppressAutoHyphens/>
              <w:spacing w:after="0" w:line="240" w:lineRule="auto"/>
              <w:jc w:val="center"/>
              <w:rPr>
                <w:rFonts w:ascii="Times New Roman" w:eastAsia="BaltTimesRoman" w:hAnsi="Times New Roman" w:cs="Times New Roman"/>
              </w:rPr>
            </w:pPr>
            <w:r w:rsidRPr="00391150">
              <w:rPr>
                <w:rFonts w:ascii="Times New Roman" w:eastAsia="BaltTimesRoman" w:hAnsi="Times New Roman" w:cs="Times New Roman"/>
              </w:rPr>
              <w:t>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DE4CFC9" w14:textId="77777777" w:rsidR="00846246" w:rsidRPr="00391150" w:rsidRDefault="00846246" w:rsidP="00C122DF">
            <w:pPr>
              <w:suppressAutoHyphens/>
              <w:spacing w:after="0" w:line="240" w:lineRule="auto"/>
              <w:jc w:val="center"/>
              <w:rPr>
                <w:rFonts w:ascii="Times New Roman" w:eastAsia="BaltTimesRoman" w:hAnsi="Times New Roman" w:cs="Times New Roman"/>
              </w:rPr>
            </w:pPr>
            <w:r w:rsidRPr="00391150">
              <w:rPr>
                <w:rFonts w:ascii="Times New Roman" w:eastAsia="BaltTimesRoman" w:hAnsi="Times New Roman" w:cs="Times New Roman"/>
              </w:rPr>
              <w:t>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044915" w14:textId="77777777" w:rsidR="00846246" w:rsidRPr="00391150" w:rsidRDefault="00846246" w:rsidP="00C122DF">
            <w:pPr>
              <w:suppressAutoHyphens/>
              <w:spacing w:after="0" w:line="240" w:lineRule="auto"/>
              <w:jc w:val="center"/>
              <w:rPr>
                <w:rFonts w:ascii="Times New Roman" w:eastAsia="BaltTimesRoman" w:hAnsi="Times New Roman" w:cs="Times New Roman"/>
              </w:rPr>
            </w:pPr>
            <w:r w:rsidRPr="00391150">
              <w:rPr>
                <w:rFonts w:ascii="Times New Roman" w:eastAsia="BaltTimesRoman" w:hAnsi="Times New Roman" w:cs="Times New Roman"/>
              </w:rPr>
              <w:t>22%/21%*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5747627" w14:textId="77777777" w:rsidR="00846246" w:rsidRPr="00391150" w:rsidRDefault="00846246" w:rsidP="00C122DF">
            <w:pPr>
              <w:suppressAutoHyphens/>
              <w:spacing w:after="0" w:line="240" w:lineRule="auto"/>
              <w:jc w:val="center"/>
              <w:rPr>
                <w:rFonts w:ascii="Times New Roman" w:hAnsi="Times New Roman" w:cs="Times New Roman"/>
              </w:rPr>
            </w:pPr>
            <w:r w:rsidRPr="00391150">
              <w:rPr>
                <w:rFonts w:ascii="Times New Roman" w:eastAsia="BaltTimesRoman" w:hAnsi="Times New Roman" w:cs="Times New Roman"/>
              </w:rPr>
              <w:t>21%</w:t>
            </w:r>
          </w:p>
        </w:tc>
      </w:tr>
      <w:tr w:rsidR="00961316" w:rsidRPr="00391150" w14:paraId="5B25A3A3" w14:textId="77777777" w:rsidTr="00595CA0">
        <w:trPr>
          <w:cantSplit/>
        </w:trPr>
        <w:tc>
          <w:tcPr>
            <w:tcW w:w="21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B1C260C" w14:textId="3ED85038" w:rsidR="00846246" w:rsidRPr="00391150" w:rsidRDefault="00FC0EE4" w:rsidP="00FC0EE4">
            <w:pPr>
              <w:suppressAutoHyphens/>
              <w:spacing w:after="0" w:line="240" w:lineRule="auto"/>
              <w:rPr>
                <w:rFonts w:ascii="Times New Roman" w:hAnsi="Times New Roman" w:cs="Times New Roman"/>
              </w:rPr>
            </w:pPr>
            <w:r>
              <w:rPr>
                <w:rFonts w:ascii="Times New Roman" w:eastAsia="BaltTimesRoman" w:hAnsi="Times New Roman" w:cs="Times New Roman"/>
              </w:rPr>
              <w:t>S</w:t>
            </w:r>
            <w:r w:rsidRPr="00391150">
              <w:rPr>
                <w:rFonts w:ascii="Times New Roman" w:eastAsia="BaltTimesRoman" w:hAnsi="Times New Roman" w:cs="Times New Roman"/>
              </w:rPr>
              <w:t>amazin</w:t>
            </w:r>
            <w:r w:rsidRPr="00391150">
              <w:rPr>
                <w:rFonts w:ascii="Times New Roman" w:eastAsia="Calibri" w:hAnsi="Times New Roman" w:cs="Times New Roman"/>
              </w:rPr>
              <w:t>ā</w:t>
            </w:r>
            <w:r w:rsidRPr="00391150">
              <w:rPr>
                <w:rFonts w:ascii="Times New Roman" w:eastAsia="BaltTimesRoman" w:hAnsi="Times New Roman" w:cs="Times New Roman"/>
              </w:rPr>
              <w:t>t</w:t>
            </w:r>
            <w:r w:rsidRPr="00391150">
              <w:rPr>
                <w:rFonts w:ascii="Times New Roman" w:eastAsia="Calibri" w:hAnsi="Times New Roman" w:cs="Times New Roman"/>
              </w:rPr>
              <w:t>ā</w:t>
            </w:r>
            <w:r w:rsidRPr="00391150">
              <w:rPr>
                <w:rFonts w:ascii="Times New Roman" w:eastAsia="BaltTimesRoman" w:hAnsi="Times New Roman" w:cs="Times New Roman"/>
              </w:rPr>
              <w:t xml:space="preserve"> </w:t>
            </w:r>
            <w:r w:rsidR="00846246" w:rsidRPr="00391150">
              <w:rPr>
                <w:rFonts w:ascii="Times New Roman" w:eastAsia="BaltTimesRoman" w:hAnsi="Times New Roman" w:cs="Times New Roman"/>
              </w:rPr>
              <w:t>PVN likme</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1EC9B17" w14:textId="77777777" w:rsidR="00846246" w:rsidRPr="00391150" w:rsidRDefault="00846246" w:rsidP="00C122DF">
            <w:pPr>
              <w:suppressAutoHyphens/>
              <w:spacing w:after="0" w:line="240" w:lineRule="auto"/>
              <w:jc w:val="center"/>
              <w:rPr>
                <w:rFonts w:ascii="Times New Roman" w:hAnsi="Times New Roman" w:cs="Times New Roman"/>
              </w:rPr>
            </w:pPr>
            <w:r w:rsidRPr="00391150">
              <w:rPr>
                <w:rFonts w:ascii="Times New Roman" w:eastAsia="BaltTimesRoman" w:hAnsi="Times New Roman" w:cs="Times New Roman"/>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D06773A" w14:textId="77777777" w:rsidR="00846246" w:rsidRPr="00391150" w:rsidRDefault="00846246" w:rsidP="00C122DF">
            <w:pPr>
              <w:suppressAutoHyphens/>
              <w:spacing w:after="0" w:line="240" w:lineRule="auto"/>
              <w:jc w:val="center"/>
              <w:rPr>
                <w:rFonts w:ascii="Times New Roman" w:eastAsia="BaltTimesRoman" w:hAnsi="Times New Roman" w:cs="Times New Roman"/>
              </w:rPr>
            </w:pPr>
            <w:r w:rsidRPr="00391150">
              <w:rPr>
                <w:rFonts w:ascii="Times New Roman" w:eastAsia="BaltTimesRoman" w:hAnsi="Times New Roman" w:cs="Times New Roman"/>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C18DCEB" w14:textId="77777777" w:rsidR="00846246" w:rsidRPr="00391150" w:rsidRDefault="00846246" w:rsidP="00C122DF">
            <w:pPr>
              <w:suppressAutoHyphens/>
              <w:spacing w:after="0" w:line="240" w:lineRule="auto"/>
              <w:jc w:val="center"/>
              <w:rPr>
                <w:rFonts w:ascii="Times New Roman" w:eastAsia="BaltTimesRoman" w:hAnsi="Times New Roman" w:cs="Times New Roman"/>
              </w:rPr>
            </w:pPr>
            <w:r w:rsidRPr="00391150">
              <w:rPr>
                <w:rFonts w:ascii="Times New Roman" w:eastAsia="BaltTimesRoman" w:hAnsi="Times New Roman" w:cs="Times New Roman"/>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0DFDCB1" w14:textId="77777777" w:rsidR="00846246" w:rsidRPr="00391150" w:rsidRDefault="00846246" w:rsidP="00C122DF">
            <w:pPr>
              <w:suppressAutoHyphens/>
              <w:spacing w:after="0" w:line="240" w:lineRule="auto"/>
              <w:jc w:val="center"/>
              <w:rPr>
                <w:rFonts w:ascii="Times New Roman" w:eastAsia="BaltTimesRoman" w:hAnsi="Times New Roman" w:cs="Times New Roman"/>
              </w:rPr>
            </w:pPr>
            <w:r w:rsidRPr="00391150">
              <w:rPr>
                <w:rFonts w:ascii="Times New Roman" w:eastAsia="BaltTimesRoman" w:hAnsi="Times New Roman" w:cs="Times New Roman"/>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7224A6B" w14:textId="77777777" w:rsidR="00846246" w:rsidRPr="00391150" w:rsidRDefault="00846246" w:rsidP="00C122DF">
            <w:pPr>
              <w:suppressAutoHyphens/>
              <w:spacing w:after="0" w:line="240" w:lineRule="auto"/>
              <w:jc w:val="center"/>
              <w:rPr>
                <w:rFonts w:ascii="Times New Roman" w:eastAsia="BaltTimesRoman" w:hAnsi="Times New Roman" w:cs="Times New Roman"/>
              </w:rPr>
            </w:pPr>
            <w:r w:rsidRPr="00391150">
              <w:rPr>
                <w:rFonts w:ascii="Times New Roman" w:eastAsia="BaltTimesRoman" w:hAnsi="Times New Roman" w:cs="Times New Roman"/>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98DB5BA" w14:textId="77777777" w:rsidR="00846246" w:rsidRPr="00391150" w:rsidRDefault="00846246" w:rsidP="00C122DF">
            <w:pPr>
              <w:suppressAutoHyphens/>
              <w:spacing w:after="0" w:line="240" w:lineRule="auto"/>
              <w:jc w:val="center"/>
              <w:rPr>
                <w:rFonts w:ascii="Times New Roman" w:eastAsia="BaltTimesRoman" w:hAnsi="Times New Roman" w:cs="Times New Roman"/>
              </w:rPr>
            </w:pPr>
            <w:r w:rsidRPr="00391150">
              <w:rPr>
                <w:rFonts w:ascii="Times New Roman" w:eastAsia="BaltTimesRoman" w:hAnsi="Times New Roman" w:cs="Times New Roman"/>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C8165A8" w14:textId="77777777" w:rsidR="00846246" w:rsidRPr="00391150" w:rsidRDefault="00846246" w:rsidP="00C122DF">
            <w:pPr>
              <w:suppressAutoHyphens/>
              <w:spacing w:after="0" w:line="240" w:lineRule="auto"/>
              <w:jc w:val="center"/>
              <w:rPr>
                <w:rFonts w:ascii="Times New Roman" w:hAnsi="Times New Roman" w:cs="Times New Roman"/>
              </w:rPr>
            </w:pPr>
            <w:r w:rsidRPr="00391150">
              <w:rPr>
                <w:rFonts w:ascii="Times New Roman" w:eastAsia="BaltTimesRoman" w:hAnsi="Times New Roman" w:cs="Times New Roman"/>
              </w:rPr>
              <w:t>12%</w:t>
            </w:r>
          </w:p>
        </w:tc>
      </w:tr>
    </w:tbl>
    <w:p w14:paraId="4E039A9A" w14:textId="53D5F1FD" w:rsidR="006A75E8" w:rsidRPr="007034E1" w:rsidRDefault="00774B73" w:rsidP="00DC7E71">
      <w:pPr>
        <w:suppressAutoHyphens/>
        <w:spacing w:after="240" w:line="240" w:lineRule="auto"/>
        <w:jc w:val="both"/>
        <w:rPr>
          <w:rFonts w:ascii="Times New Roman" w:eastAsia="Times New Roman" w:hAnsi="Times New Roman" w:cs="Times New Roman"/>
          <w:sz w:val="20"/>
          <w:szCs w:val="20"/>
        </w:rPr>
      </w:pPr>
      <w:r w:rsidRPr="007034E1">
        <w:rPr>
          <w:rFonts w:ascii="Times New Roman" w:eastAsia="Times New Roman" w:hAnsi="Times New Roman" w:cs="Times New Roman"/>
          <w:sz w:val="20"/>
          <w:szCs w:val="20"/>
        </w:rPr>
        <w:t xml:space="preserve">*Ar 2012.gada 1.jūliju PVN </w:t>
      </w:r>
      <w:proofErr w:type="spellStart"/>
      <w:r w:rsidRPr="007034E1">
        <w:rPr>
          <w:rFonts w:ascii="Times New Roman" w:eastAsia="Times New Roman" w:hAnsi="Times New Roman" w:cs="Times New Roman"/>
          <w:sz w:val="20"/>
          <w:szCs w:val="20"/>
        </w:rPr>
        <w:t>standartlikmes</w:t>
      </w:r>
      <w:proofErr w:type="spellEnd"/>
      <w:r w:rsidRPr="007034E1">
        <w:rPr>
          <w:rFonts w:ascii="Times New Roman" w:eastAsia="Times New Roman" w:hAnsi="Times New Roman" w:cs="Times New Roman"/>
          <w:sz w:val="20"/>
          <w:szCs w:val="20"/>
        </w:rPr>
        <w:t xml:space="preserve"> izmaiņas (no</w:t>
      </w:r>
      <w:r w:rsidR="00FC2B8A">
        <w:rPr>
          <w:rFonts w:ascii="Times New Roman" w:eastAsia="Times New Roman" w:hAnsi="Times New Roman" w:cs="Times New Roman"/>
          <w:sz w:val="20"/>
          <w:szCs w:val="20"/>
        </w:rPr>
        <w:t xml:space="preserve"> </w:t>
      </w:r>
      <w:r w:rsidRPr="007034E1">
        <w:rPr>
          <w:rFonts w:ascii="Times New Roman" w:eastAsia="Times New Roman" w:hAnsi="Times New Roman" w:cs="Times New Roman"/>
          <w:sz w:val="20"/>
          <w:szCs w:val="20"/>
        </w:rPr>
        <w:t>22% uz 21%)</w:t>
      </w:r>
    </w:p>
    <w:p w14:paraId="7B4EDF7B" w14:textId="3659A348" w:rsidR="006A75E8" w:rsidRPr="00D928CD" w:rsidRDefault="00501591" w:rsidP="004376D5">
      <w:pPr>
        <w:suppressAutoHyphens/>
        <w:spacing w:after="0" w:line="240" w:lineRule="auto"/>
        <w:ind w:firstLine="720"/>
        <w:jc w:val="both"/>
        <w:rPr>
          <w:rFonts w:ascii="Times New Roman" w:eastAsia="Times New Roman" w:hAnsi="Times New Roman" w:cs="Times New Roman"/>
          <w:sz w:val="24"/>
          <w:szCs w:val="24"/>
        </w:rPr>
      </w:pPr>
      <w:r w:rsidRPr="00D928CD">
        <w:rPr>
          <w:rFonts w:ascii="Times New Roman" w:eastAsia="Times New Roman" w:hAnsi="Times New Roman" w:cs="Times New Roman"/>
          <w:sz w:val="24"/>
          <w:szCs w:val="24"/>
        </w:rPr>
        <w:t>S</w:t>
      </w:r>
      <w:r w:rsidR="004D2EAF" w:rsidRPr="00D928CD">
        <w:rPr>
          <w:rFonts w:ascii="Times New Roman" w:eastAsia="Times New Roman" w:hAnsi="Times New Roman" w:cs="Times New Roman"/>
          <w:sz w:val="24"/>
          <w:szCs w:val="24"/>
        </w:rPr>
        <w:t>amazinātā</w:t>
      </w:r>
      <w:r w:rsidRPr="00D928CD">
        <w:rPr>
          <w:rFonts w:ascii="Times New Roman" w:eastAsia="Times New Roman" w:hAnsi="Times New Roman" w:cs="Times New Roman"/>
          <w:sz w:val="24"/>
          <w:szCs w:val="24"/>
        </w:rPr>
        <w:t xml:space="preserve"> PVN</w:t>
      </w:r>
      <w:r w:rsidR="004D2EAF" w:rsidRPr="00D928CD">
        <w:rPr>
          <w:rFonts w:ascii="Times New Roman" w:eastAsia="Times New Roman" w:hAnsi="Times New Roman" w:cs="Times New Roman"/>
          <w:sz w:val="24"/>
          <w:szCs w:val="24"/>
        </w:rPr>
        <w:t xml:space="preserve"> likme Latvij</w:t>
      </w:r>
      <w:r w:rsidR="00960FD5" w:rsidRPr="00D928CD">
        <w:rPr>
          <w:rFonts w:ascii="Times New Roman" w:eastAsia="Times New Roman" w:hAnsi="Times New Roman" w:cs="Times New Roman"/>
          <w:sz w:val="24"/>
          <w:szCs w:val="24"/>
        </w:rPr>
        <w:t xml:space="preserve">ā </w:t>
      </w:r>
      <w:r w:rsidR="00CD430E" w:rsidRPr="00D928CD">
        <w:rPr>
          <w:rFonts w:ascii="Times New Roman" w:eastAsia="Times New Roman" w:hAnsi="Times New Roman" w:cs="Times New Roman"/>
          <w:sz w:val="24"/>
          <w:szCs w:val="24"/>
        </w:rPr>
        <w:t>tika ieviesta 2003.</w:t>
      </w:r>
      <w:r w:rsidR="00573B54" w:rsidRPr="00D928CD">
        <w:rPr>
          <w:rFonts w:ascii="Times New Roman" w:eastAsia="Times New Roman" w:hAnsi="Times New Roman" w:cs="Times New Roman"/>
          <w:sz w:val="24"/>
          <w:szCs w:val="24"/>
        </w:rPr>
        <w:t> </w:t>
      </w:r>
      <w:r w:rsidR="004D2EAF" w:rsidRPr="00D928CD">
        <w:rPr>
          <w:rFonts w:ascii="Times New Roman" w:eastAsia="Times New Roman" w:hAnsi="Times New Roman" w:cs="Times New Roman"/>
          <w:sz w:val="24"/>
          <w:szCs w:val="24"/>
        </w:rPr>
        <w:t xml:space="preserve">gada 1. janvārī 9% apmērā, vienlaicīgi nosakot to preču un pakalpojumu grupas, kurām paredzēts piemērot samazināto </w:t>
      </w:r>
      <w:r w:rsidR="00756032" w:rsidRPr="00D928CD">
        <w:rPr>
          <w:rFonts w:ascii="Times New Roman" w:eastAsia="Times New Roman" w:hAnsi="Times New Roman" w:cs="Times New Roman"/>
          <w:sz w:val="24"/>
          <w:szCs w:val="24"/>
        </w:rPr>
        <w:t>PVN</w:t>
      </w:r>
      <w:r w:rsidR="004D2EAF" w:rsidRPr="00D928CD">
        <w:rPr>
          <w:rFonts w:ascii="Times New Roman" w:eastAsia="Times New Roman" w:hAnsi="Times New Roman" w:cs="Times New Roman"/>
          <w:sz w:val="24"/>
          <w:szCs w:val="24"/>
        </w:rPr>
        <w:t xml:space="preserve"> likmi, tādējādi atvieglojot nodokļu slogu uzņēmējiem un patērētājiem, taču vienlaikus samazinot valsts budžeta ieņēmumus. </w:t>
      </w:r>
    </w:p>
    <w:p w14:paraId="1BE07436" w14:textId="24FC315C" w:rsidR="006A75E8" w:rsidRPr="00D928CD" w:rsidRDefault="004D2EAF" w:rsidP="004376D5">
      <w:pPr>
        <w:suppressAutoHyphens/>
        <w:spacing w:after="0" w:line="240" w:lineRule="auto"/>
        <w:ind w:firstLine="720"/>
        <w:jc w:val="both"/>
        <w:rPr>
          <w:rFonts w:ascii="Times New Roman" w:eastAsia="Times New Roman" w:hAnsi="Times New Roman" w:cs="Times New Roman"/>
          <w:sz w:val="24"/>
          <w:szCs w:val="24"/>
        </w:rPr>
      </w:pPr>
      <w:r w:rsidRPr="00D928CD">
        <w:rPr>
          <w:rFonts w:ascii="Times New Roman" w:eastAsia="Times New Roman" w:hAnsi="Times New Roman" w:cs="Times New Roman"/>
          <w:sz w:val="24"/>
          <w:szCs w:val="24"/>
        </w:rPr>
        <w:t xml:space="preserve">Latvijas likumdošana attiecībā uz PVN pakāpeniski tika </w:t>
      </w:r>
      <w:r w:rsidR="00362DB7" w:rsidRPr="00D928CD">
        <w:rPr>
          <w:rFonts w:ascii="Times New Roman" w:eastAsia="Times New Roman" w:hAnsi="Times New Roman" w:cs="Times New Roman"/>
          <w:sz w:val="24"/>
          <w:szCs w:val="24"/>
        </w:rPr>
        <w:t>pielāgota</w:t>
      </w:r>
      <w:r w:rsidR="00D85C8E" w:rsidRPr="00D928CD">
        <w:rPr>
          <w:rFonts w:ascii="Times New Roman" w:eastAsia="Times New Roman" w:hAnsi="Times New Roman" w:cs="Times New Roman"/>
          <w:sz w:val="24"/>
          <w:szCs w:val="24"/>
        </w:rPr>
        <w:t xml:space="preserve"> </w:t>
      </w:r>
      <w:r w:rsidRPr="00D928CD">
        <w:rPr>
          <w:rFonts w:ascii="Times New Roman" w:eastAsia="Times New Roman" w:hAnsi="Times New Roman" w:cs="Times New Roman"/>
          <w:sz w:val="24"/>
          <w:szCs w:val="24"/>
        </w:rPr>
        <w:t xml:space="preserve">ES </w:t>
      </w:r>
      <w:r w:rsidR="00D85C8E" w:rsidRPr="00D928CD">
        <w:rPr>
          <w:rFonts w:ascii="Times New Roman" w:eastAsia="Times New Roman" w:hAnsi="Times New Roman" w:cs="Times New Roman"/>
          <w:sz w:val="24"/>
          <w:szCs w:val="24"/>
        </w:rPr>
        <w:t>prasībām</w:t>
      </w:r>
      <w:r w:rsidRPr="00D928CD">
        <w:rPr>
          <w:rFonts w:ascii="Times New Roman" w:eastAsia="Times New Roman" w:hAnsi="Times New Roman" w:cs="Times New Roman"/>
          <w:sz w:val="24"/>
          <w:szCs w:val="24"/>
        </w:rPr>
        <w:t>. Tādējādi līdz ar iestāšanos ES, no 2004.</w:t>
      </w:r>
      <w:r w:rsidR="001D74A2" w:rsidRPr="00D928CD">
        <w:rPr>
          <w:rFonts w:ascii="Times New Roman" w:eastAsia="Times New Roman" w:hAnsi="Times New Roman" w:cs="Times New Roman"/>
          <w:sz w:val="24"/>
          <w:szCs w:val="24"/>
        </w:rPr>
        <w:t> </w:t>
      </w:r>
      <w:r w:rsidRPr="00D928CD">
        <w:rPr>
          <w:rFonts w:ascii="Times New Roman" w:eastAsia="Times New Roman" w:hAnsi="Times New Roman" w:cs="Times New Roman"/>
          <w:sz w:val="24"/>
          <w:szCs w:val="24"/>
        </w:rPr>
        <w:t>gada 1.</w:t>
      </w:r>
      <w:r w:rsidR="001D74A2" w:rsidRPr="00D928CD">
        <w:rPr>
          <w:rFonts w:ascii="Times New Roman" w:eastAsia="Times New Roman" w:hAnsi="Times New Roman" w:cs="Times New Roman"/>
          <w:sz w:val="24"/>
          <w:szCs w:val="24"/>
        </w:rPr>
        <w:t> </w:t>
      </w:r>
      <w:r w:rsidRPr="00D928CD">
        <w:rPr>
          <w:rFonts w:ascii="Times New Roman" w:eastAsia="Times New Roman" w:hAnsi="Times New Roman" w:cs="Times New Roman"/>
          <w:sz w:val="24"/>
          <w:szCs w:val="24"/>
        </w:rPr>
        <w:t xml:space="preserve">maija samazinātā </w:t>
      </w:r>
      <w:r w:rsidR="00756032" w:rsidRPr="00D928CD">
        <w:rPr>
          <w:rFonts w:ascii="Times New Roman" w:eastAsia="Times New Roman" w:hAnsi="Times New Roman" w:cs="Times New Roman"/>
          <w:sz w:val="24"/>
          <w:szCs w:val="24"/>
        </w:rPr>
        <w:t>PVN</w:t>
      </w:r>
      <w:r w:rsidRPr="00D928CD">
        <w:rPr>
          <w:rFonts w:ascii="Times New Roman" w:eastAsia="Times New Roman" w:hAnsi="Times New Roman" w:cs="Times New Roman"/>
          <w:sz w:val="24"/>
          <w:szCs w:val="24"/>
        </w:rPr>
        <w:t xml:space="preserve"> likme tika </w:t>
      </w:r>
      <w:r w:rsidR="001D74A2" w:rsidRPr="00D928CD">
        <w:rPr>
          <w:rFonts w:ascii="Times New Roman" w:eastAsia="Times New Roman" w:hAnsi="Times New Roman" w:cs="Times New Roman"/>
          <w:sz w:val="24"/>
          <w:szCs w:val="24"/>
        </w:rPr>
        <w:t xml:space="preserve">noteikta </w:t>
      </w:r>
      <w:r w:rsidRPr="00D928CD">
        <w:rPr>
          <w:rFonts w:ascii="Times New Roman" w:eastAsia="Times New Roman" w:hAnsi="Times New Roman" w:cs="Times New Roman"/>
          <w:sz w:val="24"/>
          <w:szCs w:val="24"/>
        </w:rPr>
        <w:t xml:space="preserve">līdz </w:t>
      </w:r>
      <w:r w:rsidR="00501591" w:rsidRPr="00D928CD">
        <w:rPr>
          <w:rFonts w:ascii="Times New Roman" w:eastAsia="Times New Roman" w:hAnsi="Times New Roman" w:cs="Times New Roman"/>
          <w:sz w:val="24"/>
          <w:szCs w:val="24"/>
        </w:rPr>
        <w:t xml:space="preserve">Direktīvā 2006/112/EK </w:t>
      </w:r>
      <w:r w:rsidR="001D74A2" w:rsidRPr="00D928CD">
        <w:rPr>
          <w:rFonts w:ascii="Times New Roman" w:eastAsia="Times New Roman" w:hAnsi="Times New Roman" w:cs="Times New Roman"/>
          <w:sz w:val="24"/>
          <w:szCs w:val="24"/>
        </w:rPr>
        <w:t xml:space="preserve">atļautajam </w:t>
      </w:r>
      <w:r w:rsidR="0040685B" w:rsidRPr="00D928CD">
        <w:rPr>
          <w:rFonts w:ascii="Times New Roman" w:eastAsia="Times New Roman" w:hAnsi="Times New Roman" w:cs="Times New Roman"/>
          <w:sz w:val="24"/>
          <w:szCs w:val="24"/>
        </w:rPr>
        <w:t>minimālajam līmenim</w:t>
      </w:r>
      <w:r w:rsidR="00501591" w:rsidRPr="00D928CD">
        <w:rPr>
          <w:rFonts w:ascii="Times New Roman" w:eastAsia="Times New Roman" w:hAnsi="Times New Roman" w:cs="Times New Roman"/>
          <w:sz w:val="24"/>
          <w:szCs w:val="24"/>
        </w:rPr>
        <w:t xml:space="preserve"> -</w:t>
      </w:r>
      <w:r w:rsidR="0040685B" w:rsidRPr="00D928CD">
        <w:rPr>
          <w:rFonts w:ascii="Times New Roman" w:eastAsia="Times New Roman" w:hAnsi="Times New Roman" w:cs="Times New Roman"/>
          <w:sz w:val="24"/>
          <w:szCs w:val="24"/>
        </w:rPr>
        <w:t xml:space="preserve"> 5</w:t>
      </w:r>
      <w:r w:rsidR="004D4C65" w:rsidRPr="00D928CD">
        <w:rPr>
          <w:rFonts w:ascii="Times New Roman" w:eastAsia="Times New Roman" w:hAnsi="Times New Roman" w:cs="Times New Roman"/>
          <w:sz w:val="24"/>
          <w:szCs w:val="24"/>
        </w:rPr>
        <w:t>%</w:t>
      </w:r>
      <w:r w:rsidRPr="00D928CD">
        <w:rPr>
          <w:rFonts w:ascii="Times New Roman" w:eastAsia="Times New Roman" w:hAnsi="Times New Roman" w:cs="Times New Roman"/>
          <w:sz w:val="24"/>
          <w:szCs w:val="24"/>
        </w:rPr>
        <w:t>.</w:t>
      </w:r>
    </w:p>
    <w:p w14:paraId="0CD6FF48" w14:textId="1A1D35E6" w:rsidR="006A75E8" w:rsidRPr="00D928CD" w:rsidRDefault="00296D3C" w:rsidP="004376D5">
      <w:pPr>
        <w:suppressAutoHyphens/>
        <w:spacing w:after="0" w:line="240" w:lineRule="auto"/>
        <w:ind w:firstLine="720"/>
        <w:jc w:val="both"/>
        <w:rPr>
          <w:rFonts w:ascii="Times New Roman" w:eastAsia="Times New Roman" w:hAnsi="Times New Roman" w:cs="Times New Roman"/>
          <w:sz w:val="24"/>
          <w:szCs w:val="24"/>
        </w:rPr>
      </w:pPr>
      <w:r w:rsidRPr="00D928CD">
        <w:rPr>
          <w:rFonts w:ascii="Times New Roman" w:eastAsia="Times New Roman" w:hAnsi="Times New Roman" w:cs="Times New Roman"/>
          <w:sz w:val="24"/>
          <w:szCs w:val="24"/>
        </w:rPr>
        <w:t>L</w:t>
      </w:r>
      <w:r w:rsidR="00567F3A" w:rsidRPr="00D928CD">
        <w:rPr>
          <w:rFonts w:ascii="Times New Roman" w:eastAsia="Times New Roman" w:hAnsi="Times New Roman" w:cs="Times New Roman"/>
          <w:sz w:val="24"/>
          <w:szCs w:val="24"/>
        </w:rPr>
        <w:t>aika posmā no 2008. </w:t>
      </w:r>
      <w:r w:rsidR="004D2EAF" w:rsidRPr="00D928CD">
        <w:rPr>
          <w:rFonts w:ascii="Times New Roman" w:eastAsia="Times New Roman" w:hAnsi="Times New Roman" w:cs="Times New Roman"/>
          <w:sz w:val="24"/>
          <w:szCs w:val="24"/>
        </w:rPr>
        <w:t>gada līdz 2011.</w:t>
      </w:r>
      <w:r w:rsidR="00BF6725" w:rsidRPr="00D928CD">
        <w:rPr>
          <w:rFonts w:ascii="Times New Roman" w:eastAsia="Times New Roman" w:hAnsi="Times New Roman" w:cs="Times New Roman"/>
          <w:sz w:val="24"/>
          <w:szCs w:val="24"/>
        </w:rPr>
        <w:t> </w:t>
      </w:r>
      <w:r w:rsidR="004D2EAF" w:rsidRPr="00D928CD">
        <w:rPr>
          <w:rFonts w:ascii="Times New Roman" w:eastAsia="Times New Roman" w:hAnsi="Times New Roman" w:cs="Times New Roman"/>
          <w:sz w:val="24"/>
          <w:szCs w:val="24"/>
        </w:rPr>
        <w:t>gadam</w:t>
      </w:r>
      <w:r w:rsidR="00392C71" w:rsidRPr="00D928CD">
        <w:rPr>
          <w:rFonts w:ascii="Times New Roman" w:eastAsia="Times New Roman" w:hAnsi="Times New Roman" w:cs="Times New Roman"/>
          <w:sz w:val="24"/>
          <w:szCs w:val="24"/>
        </w:rPr>
        <w:t>, lai nodrošinātu nodokļu ieņēmumus</w:t>
      </w:r>
      <w:r w:rsidR="00C443ED" w:rsidRPr="00D928CD">
        <w:rPr>
          <w:rFonts w:ascii="Times New Roman" w:eastAsia="Times New Roman" w:hAnsi="Times New Roman" w:cs="Times New Roman"/>
          <w:sz w:val="24"/>
          <w:szCs w:val="24"/>
        </w:rPr>
        <w:t>,</w:t>
      </w:r>
      <w:r w:rsidR="004D2EAF" w:rsidRPr="00D928CD">
        <w:rPr>
          <w:rFonts w:ascii="Times New Roman" w:eastAsia="Times New Roman" w:hAnsi="Times New Roman" w:cs="Times New Roman"/>
          <w:sz w:val="24"/>
          <w:szCs w:val="24"/>
        </w:rPr>
        <w:t xml:space="preserve"> tika veikti konsolidācijas pasākumi, kas iekļāva arī PVN likmes izmaiņas.</w:t>
      </w:r>
    </w:p>
    <w:p w14:paraId="2F0C2175" w14:textId="78505943" w:rsidR="006A75E8" w:rsidRPr="00D928CD" w:rsidRDefault="004D2EAF" w:rsidP="004376D5">
      <w:pPr>
        <w:suppressAutoHyphens/>
        <w:spacing w:after="0" w:line="240" w:lineRule="auto"/>
        <w:ind w:firstLine="720"/>
        <w:jc w:val="both"/>
        <w:rPr>
          <w:rFonts w:ascii="Times New Roman" w:eastAsia="Times New Roman" w:hAnsi="Times New Roman" w:cs="Times New Roman"/>
          <w:sz w:val="24"/>
          <w:szCs w:val="24"/>
        </w:rPr>
      </w:pPr>
      <w:r w:rsidRPr="00D928CD">
        <w:rPr>
          <w:rFonts w:ascii="Times New Roman" w:eastAsia="Times New Roman" w:hAnsi="Times New Roman" w:cs="Times New Roman"/>
          <w:sz w:val="24"/>
          <w:szCs w:val="24"/>
        </w:rPr>
        <w:t>No 2009.</w:t>
      </w:r>
      <w:r w:rsidR="000D7962" w:rsidRPr="00D928CD">
        <w:rPr>
          <w:rFonts w:ascii="Times New Roman" w:eastAsia="Times New Roman" w:hAnsi="Times New Roman" w:cs="Times New Roman"/>
          <w:sz w:val="24"/>
          <w:szCs w:val="24"/>
        </w:rPr>
        <w:t> </w:t>
      </w:r>
      <w:r w:rsidRPr="00D928CD">
        <w:rPr>
          <w:rFonts w:ascii="Times New Roman" w:eastAsia="Times New Roman" w:hAnsi="Times New Roman" w:cs="Times New Roman"/>
          <w:sz w:val="24"/>
          <w:szCs w:val="24"/>
        </w:rPr>
        <w:t>gada 1.</w:t>
      </w:r>
      <w:r w:rsidR="000D7962" w:rsidRPr="00D928CD">
        <w:rPr>
          <w:rFonts w:ascii="Times New Roman" w:eastAsia="Times New Roman" w:hAnsi="Times New Roman" w:cs="Times New Roman"/>
          <w:sz w:val="24"/>
          <w:szCs w:val="24"/>
        </w:rPr>
        <w:t> </w:t>
      </w:r>
      <w:r w:rsidRPr="00D928CD">
        <w:rPr>
          <w:rFonts w:ascii="Times New Roman" w:eastAsia="Times New Roman" w:hAnsi="Times New Roman" w:cs="Times New Roman"/>
          <w:sz w:val="24"/>
          <w:szCs w:val="24"/>
        </w:rPr>
        <w:t xml:space="preserve">janvāra samazinātā </w:t>
      </w:r>
      <w:r w:rsidR="00501591" w:rsidRPr="00D928CD">
        <w:rPr>
          <w:rFonts w:ascii="Times New Roman" w:eastAsia="Times New Roman" w:hAnsi="Times New Roman" w:cs="Times New Roman"/>
          <w:sz w:val="24"/>
          <w:szCs w:val="24"/>
        </w:rPr>
        <w:t>PVN</w:t>
      </w:r>
      <w:r w:rsidRPr="00D928CD">
        <w:rPr>
          <w:rFonts w:ascii="Times New Roman" w:eastAsia="Times New Roman" w:hAnsi="Times New Roman" w:cs="Times New Roman"/>
          <w:sz w:val="24"/>
          <w:szCs w:val="24"/>
        </w:rPr>
        <w:t xml:space="preserve"> likme tika paaugstināta no 5% uz 10%</w:t>
      </w:r>
      <w:r w:rsidR="007B20CF" w:rsidRPr="00D928CD">
        <w:rPr>
          <w:rFonts w:ascii="Times New Roman" w:eastAsia="Times New Roman" w:hAnsi="Times New Roman" w:cs="Times New Roman"/>
          <w:sz w:val="24"/>
          <w:szCs w:val="24"/>
        </w:rPr>
        <w:t xml:space="preserve">, vienlaicīgi palielinot </w:t>
      </w:r>
      <w:proofErr w:type="spellStart"/>
      <w:r w:rsidR="007B20CF" w:rsidRPr="00D928CD">
        <w:rPr>
          <w:rFonts w:ascii="Times New Roman" w:eastAsia="Times New Roman" w:hAnsi="Times New Roman" w:cs="Times New Roman"/>
          <w:sz w:val="24"/>
          <w:szCs w:val="24"/>
        </w:rPr>
        <w:t>standartlikmi</w:t>
      </w:r>
      <w:proofErr w:type="spellEnd"/>
      <w:r w:rsidR="007B20CF" w:rsidRPr="00D928CD">
        <w:rPr>
          <w:rFonts w:ascii="Times New Roman" w:eastAsia="Times New Roman" w:hAnsi="Times New Roman" w:cs="Times New Roman"/>
          <w:sz w:val="24"/>
          <w:szCs w:val="24"/>
        </w:rPr>
        <w:t xml:space="preserve"> no 18% uz 21%.</w:t>
      </w:r>
      <w:r w:rsidRPr="00D928CD">
        <w:rPr>
          <w:rFonts w:ascii="Times New Roman" w:eastAsia="Times New Roman" w:hAnsi="Times New Roman" w:cs="Times New Roman"/>
          <w:sz w:val="24"/>
          <w:szCs w:val="24"/>
        </w:rPr>
        <w:t xml:space="preserve"> </w:t>
      </w:r>
    </w:p>
    <w:p w14:paraId="3FB45506" w14:textId="393C5532" w:rsidR="00467895" w:rsidRPr="00D928CD" w:rsidRDefault="004D2EAF" w:rsidP="00467895">
      <w:pPr>
        <w:suppressAutoHyphens/>
        <w:spacing w:after="0" w:line="240" w:lineRule="auto"/>
        <w:ind w:firstLine="720"/>
        <w:jc w:val="both"/>
        <w:rPr>
          <w:rFonts w:ascii="Times New Roman" w:eastAsia="Times New Roman" w:hAnsi="Times New Roman" w:cs="Times New Roman"/>
          <w:sz w:val="24"/>
          <w:szCs w:val="24"/>
        </w:rPr>
      </w:pPr>
      <w:r w:rsidRPr="00D928CD">
        <w:rPr>
          <w:rFonts w:ascii="Times New Roman" w:eastAsia="Times New Roman" w:hAnsi="Times New Roman" w:cs="Times New Roman"/>
          <w:sz w:val="24"/>
          <w:szCs w:val="24"/>
        </w:rPr>
        <w:t xml:space="preserve">2011. gada budžeta konsolidācijas laikā samazinātā </w:t>
      </w:r>
      <w:r w:rsidR="00501591" w:rsidRPr="00D928CD">
        <w:rPr>
          <w:rFonts w:ascii="Times New Roman" w:eastAsia="Times New Roman" w:hAnsi="Times New Roman" w:cs="Times New Roman"/>
          <w:sz w:val="24"/>
          <w:szCs w:val="24"/>
        </w:rPr>
        <w:t>PVN</w:t>
      </w:r>
      <w:r w:rsidRPr="00D928CD">
        <w:rPr>
          <w:rFonts w:ascii="Times New Roman" w:eastAsia="Times New Roman" w:hAnsi="Times New Roman" w:cs="Times New Roman"/>
          <w:sz w:val="24"/>
          <w:szCs w:val="24"/>
        </w:rPr>
        <w:t xml:space="preserve"> likme tika paaugstināta no 10% uz 12%, un veiktas </w:t>
      </w:r>
      <w:proofErr w:type="spellStart"/>
      <w:r w:rsidRPr="00D928CD">
        <w:rPr>
          <w:rFonts w:ascii="Times New Roman" w:eastAsia="Times New Roman" w:hAnsi="Times New Roman" w:cs="Times New Roman"/>
          <w:sz w:val="24"/>
          <w:szCs w:val="24"/>
        </w:rPr>
        <w:t>standart</w:t>
      </w:r>
      <w:r w:rsidR="00584B8F" w:rsidRPr="00D928CD">
        <w:rPr>
          <w:rFonts w:ascii="Times New Roman" w:eastAsia="Times New Roman" w:hAnsi="Times New Roman" w:cs="Times New Roman"/>
          <w:sz w:val="24"/>
          <w:szCs w:val="24"/>
        </w:rPr>
        <w:t>likmes</w:t>
      </w:r>
      <w:proofErr w:type="spellEnd"/>
      <w:r w:rsidR="00501591" w:rsidRPr="00D928CD">
        <w:rPr>
          <w:rFonts w:ascii="Times New Roman" w:eastAsia="Times New Roman" w:hAnsi="Times New Roman" w:cs="Times New Roman"/>
          <w:sz w:val="24"/>
          <w:szCs w:val="24"/>
        </w:rPr>
        <w:t xml:space="preserve"> </w:t>
      </w:r>
      <w:r w:rsidRPr="00D928CD">
        <w:rPr>
          <w:rFonts w:ascii="Times New Roman" w:eastAsia="Times New Roman" w:hAnsi="Times New Roman" w:cs="Times New Roman"/>
          <w:sz w:val="24"/>
          <w:szCs w:val="24"/>
        </w:rPr>
        <w:t>izmaiņas no 21% uz 22%</w:t>
      </w:r>
      <w:r w:rsidR="00467895" w:rsidRPr="00D928CD">
        <w:rPr>
          <w:rFonts w:ascii="Times New Roman" w:eastAsia="Times New Roman" w:hAnsi="Times New Roman" w:cs="Times New Roman"/>
          <w:sz w:val="24"/>
          <w:szCs w:val="24"/>
        </w:rPr>
        <w:t>.</w:t>
      </w:r>
    </w:p>
    <w:p w14:paraId="4010E2D3" w14:textId="292D9C8E" w:rsidR="006A75E8" w:rsidRPr="00D928CD" w:rsidRDefault="004D2EAF" w:rsidP="004376D5">
      <w:pPr>
        <w:suppressAutoHyphens/>
        <w:spacing w:after="0" w:line="240" w:lineRule="auto"/>
        <w:ind w:firstLine="720"/>
        <w:jc w:val="both"/>
        <w:rPr>
          <w:rFonts w:ascii="Times New Roman" w:eastAsia="Times New Roman" w:hAnsi="Times New Roman" w:cs="Times New Roman"/>
          <w:sz w:val="24"/>
          <w:szCs w:val="24"/>
        </w:rPr>
      </w:pPr>
      <w:r w:rsidRPr="00D928CD">
        <w:rPr>
          <w:rFonts w:ascii="Times New Roman" w:eastAsia="Times New Roman" w:hAnsi="Times New Roman" w:cs="Times New Roman"/>
          <w:sz w:val="24"/>
          <w:szCs w:val="24"/>
        </w:rPr>
        <w:t xml:space="preserve">Šajā laika posmā, kad tika palielināta samazinātā </w:t>
      </w:r>
      <w:r w:rsidR="00501591" w:rsidRPr="00D928CD">
        <w:rPr>
          <w:rFonts w:ascii="Times New Roman" w:eastAsia="Times New Roman" w:hAnsi="Times New Roman" w:cs="Times New Roman"/>
          <w:sz w:val="24"/>
          <w:szCs w:val="24"/>
        </w:rPr>
        <w:t>PVN</w:t>
      </w:r>
      <w:r w:rsidRPr="00D928CD">
        <w:rPr>
          <w:rFonts w:ascii="Times New Roman" w:eastAsia="Times New Roman" w:hAnsi="Times New Roman" w:cs="Times New Roman"/>
          <w:sz w:val="24"/>
          <w:szCs w:val="24"/>
        </w:rPr>
        <w:t xml:space="preserve"> likme, tika arī samazināts ar šo likmi apliekamo preču un pakalpojumu loks.</w:t>
      </w:r>
    </w:p>
    <w:p w14:paraId="62DA83A7" w14:textId="11EA180F" w:rsidR="006A75E8" w:rsidRPr="00D928CD" w:rsidRDefault="004D2EAF" w:rsidP="00DC7E71">
      <w:pPr>
        <w:suppressAutoHyphens/>
        <w:spacing w:after="120" w:line="240" w:lineRule="auto"/>
        <w:ind w:firstLine="720"/>
        <w:jc w:val="both"/>
        <w:rPr>
          <w:rFonts w:ascii="Times New Roman" w:eastAsia="Times New Roman" w:hAnsi="Times New Roman" w:cs="Times New Roman"/>
          <w:sz w:val="24"/>
          <w:szCs w:val="24"/>
        </w:rPr>
      </w:pPr>
      <w:r w:rsidRPr="00D928CD">
        <w:rPr>
          <w:rFonts w:ascii="Times New Roman" w:eastAsia="Times New Roman" w:hAnsi="Times New Roman" w:cs="Times New Roman"/>
          <w:sz w:val="24"/>
          <w:szCs w:val="24"/>
        </w:rPr>
        <w:lastRenderedPageBreak/>
        <w:t xml:space="preserve">Kopš 2011. gada samazinātā </w:t>
      </w:r>
      <w:r w:rsidR="00501591" w:rsidRPr="00D928CD">
        <w:rPr>
          <w:rFonts w:ascii="Times New Roman" w:eastAsia="Times New Roman" w:hAnsi="Times New Roman" w:cs="Times New Roman"/>
          <w:sz w:val="24"/>
          <w:szCs w:val="24"/>
        </w:rPr>
        <w:t>PVN</w:t>
      </w:r>
      <w:r w:rsidRPr="00D928CD">
        <w:rPr>
          <w:rFonts w:ascii="Times New Roman" w:eastAsia="Times New Roman" w:hAnsi="Times New Roman" w:cs="Times New Roman"/>
          <w:sz w:val="24"/>
          <w:szCs w:val="24"/>
        </w:rPr>
        <w:t xml:space="preserve"> likme un ar šo likmi apliekamo preču un pakalpojumu loks nav pārskatīti. </w:t>
      </w:r>
      <w:r w:rsidR="00501591" w:rsidRPr="00D928CD">
        <w:rPr>
          <w:rFonts w:ascii="Times New Roman" w:eastAsia="Times New Roman" w:hAnsi="Times New Roman" w:cs="Times New Roman"/>
          <w:sz w:val="24"/>
          <w:szCs w:val="24"/>
        </w:rPr>
        <w:t>S</w:t>
      </w:r>
      <w:r w:rsidRPr="00D928CD">
        <w:rPr>
          <w:rFonts w:ascii="Times New Roman" w:eastAsia="Times New Roman" w:hAnsi="Times New Roman" w:cs="Times New Roman"/>
          <w:sz w:val="24"/>
          <w:szCs w:val="24"/>
        </w:rPr>
        <w:t>amazināto</w:t>
      </w:r>
      <w:r w:rsidR="00501591" w:rsidRPr="00D928CD">
        <w:rPr>
          <w:rFonts w:ascii="Times New Roman" w:eastAsia="Times New Roman" w:hAnsi="Times New Roman" w:cs="Times New Roman"/>
          <w:sz w:val="24"/>
          <w:szCs w:val="24"/>
        </w:rPr>
        <w:t xml:space="preserve"> PVN</w:t>
      </w:r>
      <w:r w:rsidRPr="00D928CD">
        <w:rPr>
          <w:rFonts w:ascii="Times New Roman" w:eastAsia="Times New Roman" w:hAnsi="Times New Roman" w:cs="Times New Roman"/>
          <w:sz w:val="24"/>
          <w:szCs w:val="24"/>
        </w:rPr>
        <w:t xml:space="preserve"> likmi 12% piemēro šādiem ar nodokli apliekamiem darījumiem:</w:t>
      </w:r>
    </w:p>
    <w:p w14:paraId="73F9970D" w14:textId="77777777" w:rsidR="006A75E8" w:rsidRPr="00D928CD" w:rsidRDefault="004D2EAF" w:rsidP="000D3E72">
      <w:pPr>
        <w:numPr>
          <w:ilvl w:val="0"/>
          <w:numId w:val="1"/>
        </w:numPr>
        <w:suppressAutoHyphens/>
        <w:spacing w:after="120" w:line="240" w:lineRule="auto"/>
        <w:ind w:left="1434" w:hanging="357"/>
        <w:jc w:val="both"/>
        <w:rPr>
          <w:rFonts w:ascii="Calibri" w:eastAsia="Calibri" w:hAnsi="Calibri" w:cs="Calibri"/>
          <w:sz w:val="24"/>
          <w:szCs w:val="24"/>
        </w:rPr>
      </w:pPr>
      <w:r w:rsidRPr="00D928CD">
        <w:rPr>
          <w:rFonts w:ascii="Times New Roman" w:eastAsia="Times New Roman" w:hAnsi="Times New Roman" w:cs="Times New Roman"/>
          <w:sz w:val="24"/>
          <w:szCs w:val="24"/>
        </w:rPr>
        <w:t xml:space="preserve">medikamentu un medicīnisko ierīču </w:t>
      </w:r>
      <w:r w:rsidR="006C6A1D" w:rsidRPr="00D928CD">
        <w:rPr>
          <w:rFonts w:ascii="Times New Roman" w:eastAsia="Times New Roman" w:hAnsi="Times New Roman" w:cs="Times New Roman"/>
          <w:sz w:val="24"/>
          <w:szCs w:val="24"/>
        </w:rPr>
        <w:t>piegādēm</w:t>
      </w:r>
      <w:r w:rsidRPr="00D928CD">
        <w:rPr>
          <w:rFonts w:ascii="Times New Roman" w:eastAsia="Times New Roman" w:hAnsi="Times New Roman" w:cs="Times New Roman"/>
          <w:sz w:val="24"/>
          <w:szCs w:val="24"/>
        </w:rPr>
        <w:t xml:space="preserve">, </w:t>
      </w:r>
    </w:p>
    <w:p w14:paraId="4924B174" w14:textId="77777777" w:rsidR="006A75E8" w:rsidRPr="00D928CD" w:rsidRDefault="004D2EAF" w:rsidP="000D3E72">
      <w:pPr>
        <w:numPr>
          <w:ilvl w:val="0"/>
          <w:numId w:val="1"/>
        </w:numPr>
        <w:suppressAutoHyphens/>
        <w:spacing w:after="120" w:line="240" w:lineRule="auto"/>
        <w:ind w:left="1434" w:hanging="357"/>
        <w:jc w:val="both"/>
        <w:rPr>
          <w:rFonts w:ascii="Calibri" w:eastAsia="Calibri" w:hAnsi="Calibri" w:cs="Calibri"/>
          <w:sz w:val="24"/>
          <w:szCs w:val="24"/>
        </w:rPr>
      </w:pPr>
      <w:r w:rsidRPr="00D928CD">
        <w:rPr>
          <w:rFonts w:ascii="Times New Roman" w:eastAsia="Times New Roman" w:hAnsi="Times New Roman" w:cs="Times New Roman"/>
          <w:sz w:val="24"/>
          <w:szCs w:val="24"/>
        </w:rPr>
        <w:t xml:space="preserve">zīdaiņiem paredzēto specializēto pārtikas produktu piegādēm, </w:t>
      </w:r>
    </w:p>
    <w:p w14:paraId="1FB87FFE" w14:textId="77777777" w:rsidR="006A75E8" w:rsidRPr="00D928CD" w:rsidRDefault="004D2EAF" w:rsidP="000D3E72">
      <w:pPr>
        <w:numPr>
          <w:ilvl w:val="0"/>
          <w:numId w:val="1"/>
        </w:numPr>
        <w:suppressAutoHyphens/>
        <w:spacing w:after="120" w:line="240" w:lineRule="auto"/>
        <w:ind w:left="1434" w:hanging="357"/>
        <w:jc w:val="both"/>
        <w:rPr>
          <w:rFonts w:ascii="Calibri" w:eastAsia="Calibri" w:hAnsi="Calibri" w:cs="Calibri"/>
          <w:sz w:val="24"/>
          <w:szCs w:val="24"/>
        </w:rPr>
      </w:pPr>
      <w:r w:rsidRPr="00D928CD">
        <w:rPr>
          <w:rFonts w:ascii="Times New Roman" w:eastAsia="Times New Roman" w:hAnsi="Times New Roman" w:cs="Times New Roman"/>
          <w:sz w:val="24"/>
          <w:szCs w:val="24"/>
        </w:rPr>
        <w:t xml:space="preserve">pasažieru un to bagāžas regulāro pārvadājumu pakalpojumiem iekšzemē, </w:t>
      </w:r>
    </w:p>
    <w:p w14:paraId="0412E661" w14:textId="77777777" w:rsidR="006A75E8" w:rsidRPr="00D928CD" w:rsidRDefault="004D2EAF" w:rsidP="000D3E72">
      <w:pPr>
        <w:numPr>
          <w:ilvl w:val="0"/>
          <w:numId w:val="1"/>
        </w:numPr>
        <w:suppressAutoHyphens/>
        <w:spacing w:after="120" w:line="240" w:lineRule="auto"/>
        <w:ind w:left="1434" w:hanging="357"/>
        <w:jc w:val="both"/>
        <w:rPr>
          <w:rFonts w:ascii="Calibri" w:eastAsia="Calibri" w:hAnsi="Calibri" w:cs="Calibri"/>
          <w:sz w:val="24"/>
          <w:szCs w:val="24"/>
        </w:rPr>
      </w:pPr>
      <w:r w:rsidRPr="00D928CD">
        <w:rPr>
          <w:rFonts w:ascii="Times New Roman" w:eastAsia="Times New Roman" w:hAnsi="Times New Roman" w:cs="Times New Roman"/>
          <w:sz w:val="24"/>
          <w:szCs w:val="24"/>
        </w:rPr>
        <w:t>preses izdevumiem, mācību un oriģinālliteratūrai,</w:t>
      </w:r>
    </w:p>
    <w:p w14:paraId="641CC611" w14:textId="77777777" w:rsidR="006A75E8" w:rsidRPr="00D928CD" w:rsidRDefault="004D2EAF" w:rsidP="000D3E72">
      <w:pPr>
        <w:numPr>
          <w:ilvl w:val="0"/>
          <w:numId w:val="1"/>
        </w:numPr>
        <w:suppressAutoHyphens/>
        <w:spacing w:after="120" w:line="240" w:lineRule="auto"/>
        <w:ind w:left="1434" w:hanging="357"/>
        <w:jc w:val="both"/>
        <w:rPr>
          <w:rFonts w:ascii="Calibri" w:eastAsia="Calibri" w:hAnsi="Calibri" w:cs="Calibri"/>
          <w:sz w:val="24"/>
          <w:szCs w:val="24"/>
        </w:rPr>
      </w:pPr>
      <w:r w:rsidRPr="00D928CD">
        <w:rPr>
          <w:rFonts w:ascii="Times New Roman" w:eastAsia="Times New Roman" w:hAnsi="Times New Roman" w:cs="Times New Roman"/>
          <w:sz w:val="24"/>
          <w:szCs w:val="24"/>
        </w:rPr>
        <w:t xml:space="preserve">izmitināšanas pakalpojumiem tūristu mītnēs, </w:t>
      </w:r>
    </w:p>
    <w:p w14:paraId="3EE7682C" w14:textId="77777777" w:rsidR="006A75E8" w:rsidRPr="00D928CD" w:rsidRDefault="004D2EAF" w:rsidP="000D3E72">
      <w:pPr>
        <w:numPr>
          <w:ilvl w:val="0"/>
          <w:numId w:val="1"/>
        </w:numPr>
        <w:suppressAutoHyphens/>
        <w:spacing w:after="120" w:line="240" w:lineRule="auto"/>
        <w:ind w:left="1434" w:hanging="357"/>
        <w:jc w:val="both"/>
        <w:rPr>
          <w:rFonts w:ascii="Calibri" w:eastAsia="Calibri" w:hAnsi="Calibri" w:cs="Calibri"/>
          <w:sz w:val="24"/>
          <w:szCs w:val="24"/>
        </w:rPr>
      </w:pPr>
      <w:r w:rsidRPr="00D928CD">
        <w:rPr>
          <w:rFonts w:ascii="Times New Roman" w:eastAsia="Times New Roman" w:hAnsi="Times New Roman" w:cs="Times New Roman"/>
          <w:sz w:val="24"/>
          <w:szCs w:val="24"/>
        </w:rPr>
        <w:t>koksnes kurināmā piegādēm, ja tā faktiskais patērētājs ir iedzīvotājs, kas pērk un patērē koksnes kurināmo mājsaimniecības vajadzībām</w:t>
      </w:r>
      <w:r w:rsidR="00EB7ABA" w:rsidRPr="00D928CD">
        <w:rPr>
          <w:rFonts w:ascii="Times New Roman" w:eastAsia="Times New Roman" w:hAnsi="Times New Roman" w:cs="Times New Roman"/>
          <w:sz w:val="24"/>
          <w:szCs w:val="24"/>
        </w:rPr>
        <w:t>,</w:t>
      </w:r>
    </w:p>
    <w:p w14:paraId="0821164C" w14:textId="29DA54C7" w:rsidR="00DC7E71" w:rsidRPr="00D928CD" w:rsidRDefault="004D2EAF" w:rsidP="0098264E">
      <w:pPr>
        <w:numPr>
          <w:ilvl w:val="0"/>
          <w:numId w:val="1"/>
        </w:numPr>
        <w:suppressAutoHyphens/>
        <w:spacing w:after="480" w:line="240" w:lineRule="auto"/>
        <w:ind w:left="1434" w:hanging="357"/>
        <w:jc w:val="both"/>
        <w:rPr>
          <w:rFonts w:ascii="Calibri" w:eastAsia="Calibri" w:hAnsi="Calibri" w:cs="Calibri"/>
          <w:sz w:val="24"/>
          <w:szCs w:val="24"/>
        </w:rPr>
      </w:pPr>
      <w:r w:rsidRPr="00D928CD">
        <w:rPr>
          <w:rFonts w:ascii="Times New Roman" w:eastAsia="Times New Roman" w:hAnsi="Times New Roman" w:cs="Times New Roman"/>
          <w:sz w:val="24"/>
          <w:szCs w:val="24"/>
        </w:rPr>
        <w:t xml:space="preserve">siltumenerģijas </w:t>
      </w:r>
      <w:r w:rsidR="006C6A1D" w:rsidRPr="00D928CD">
        <w:rPr>
          <w:rFonts w:ascii="Times New Roman" w:eastAsia="Times New Roman" w:hAnsi="Times New Roman" w:cs="Times New Roman"/>
          <w:sz w:val="24"/>
          <w:szCs w:val="24"/>
        </w:rPr>
        <w:t>piegādēm</w:t>
      </w:r>
      <w:r w:rsidRPr="00D928CD">
        <w:rPr>
          <w:rFonts w:ascii="Times New Roman" w:eastAsia="Times New Roman" w:hAnsi="Times New Roman" w:cs="Times New Roman"/>
          <w:sz w:val="24"/>
          <w:szCs w:val="24"/>
        </w:rPr>
        <w:t>, ja tās faktiskais patērētājs ir iedzīvotājs, kas pērk un patērē siltumenerģ</w:t>
      </w:r>
      <w:r w:rsidR="007C48A6" w:rsidRPr="00D928CD">
        <w:rPr>
          <w:rFonts w:ascii="Times New Roman" w:eastAsia="Times New Roman" w:hAnsi="Times New Roman" w:cs="Times New Roman"/>
          <w:sz w:val="24"/>
          <w:szCs w:val="24"/>
        </w:rPr>
        <w:t>iju mājsaimniecības vajadzībām.</w:t>
      </w:r>
    </w:p>
    <w:p w14:paraId="2575BC9B" w14:textId="2CDBD257" w:rsidR="007C48A6" w:rsidRPr="0098264E" w:rsidRDefault="007C48A6" w:rsidP="005E13A0">
      <w:pPr>
        <w:pStyle w:val="ListParagraph"/>
        <w:numPr>
          <w:ilvl w:val="1"/>
          <w:numId w:val="6"/>
        </w:numPr>
        <w:suppressAutoHyphens/>
        <w:spacing w:before="480" w:line="240" w:lineRule="auto"/>
        <w:ind w:left="1077" w:hanging="357"/>
        <w:contextualSpacing w:val="0"/>
        <w:jc w:val="both"/>
        <w:rPr>
          <w:rFonts w:ascii="Times New Roman" w:eastAsia="Times New Roman" w:hAnsi="Times New Roman" w:cs="Times New Roman"/>
          <w:b/>
          <w:sz w:val="28"/>
          <w:szCs w:val="28"/>
        </w:rPr>
      </w:pPr>
      <w:r w:rsidRPr="0098264E">
        <w:rPr>
          <w:rFonts w:ascii="Times New Roman" w:eastAsia="Times New Roman" w:hAnsi="Times New Roman" w:cs="Times New Roman"/>
          <w:b/>
          <w:sz w:val="28"/>
          <w:szCs w:val="28"/>
        </w:rPr>
        <w:t>Ietekme uz valsts budžetu</w:t>
      </w:r>
    </w:p>
    <w:p w14:paraId="30D14639" w14:textId="1C1186FF" w:rsidR="00813772" w:rsidRPr="00D928CD" w:rsidRDefault="004D2EAF" w:rsidP="002C33CE">
      <w:pPr>
        <w:suppressAutoHyphens/>
        <w:spacing w:after="240" w:line="240" w:lineRule="auto"/>
        <w:ind w:firstLine="720"/>
        <w:jc w:val="both"/>
        <w:rPr>
          <w:rFonts w:ascii="Times New Roman" w:eastAsia="Times New Roman" w:hAnsi="Times New Roman" w:cs="Times New Roman"/>
          <w:sz w:val="24"/>
          <w:szCs w:val="24"/>
        </w:rPr>
      </w:pPr>
      <w:r w:rsidRPr="00D928CD">
        <w:rPr>
          <w:rFonts w:ascii="Times New Roman" w:eastAsia="Times New Roman" w:hAnsi="Times New Roman" w:cs="Times New Roman"/>
          <w:sz w:val="24"/>
          <w:szCs w:val="24"/>
        </w:rPr>
        <w:t>Balstoties uz PVN deklarāciju datiem</w:t>
      </w:r>
      <w:r w:rsidR="00B74AED" w:rsidRPr="00D928CD">
        <w:rPr>
          <w:rFonts w:ascii="Times New Roman" w:eastAsia="Times New Roman" w:hAnsi="Times New Roman" w:cs="Times New Roman"/>
          <w:sz w:val="24"/>
          <w:szCs w:val="24"/>
        </w:rPr>
        <w:t>, Finanšu ministrija ir veikusi valsts budžetā negūto ieņēmumu aprēķinus.</w:t>
      </w:r>
      <w:r w:rsidR="005A4535" w:rsidRPr="00D928CD">
        <w:rPr>
          <w:rFonts w:ascii="Times New Roman" w:eastAsia="Times New Roman" w:hAnsi="Times New Roman" w:cs="Times New Roman"/>
          <w:sz w:val="24"/>
          <w:szCs w:val="24"/>
        </w:rPr>
        <w:t xml:space="preserve"> Minētie aprēķini liecina, ka</w:t>
      </w:r>
      <w:r w:rsidR="00B74AED" w:rsidRPr="00D928CD">
        <w:rPr>
          <w:rFonts w:ascii="Times New Roman" w:eastAsia="Times New Roman" w:hAnsi="Times New Roman" w:cs="Times New Roman"/>
          <w:sz w:val="24"/>
          <w:szCs w:val="24"/>
        </w:rPr>
        <w:t xml:space="preserve"> </w:t>
      </w:r>
      <w:r w:rsidRPr="00D928CD">
        <w:rPr>
          <w:rFonts w:ascii="Times New Roman" w:eastAsia="Times New Roman" w:hAnsi="Times New Roman" w:cs="Times New Roman"/>
          <w:sz w:val="24"/>
          <w:szCs w:val="24"/>
        </w:rPr>
        <w:t xml:space="preserve">kopējie neiegūtie ieņēmumi no samazinātās </w:t>
      </w:r>
      <w:r w:rsidR="00501591" w:rsidRPr="00D928CD">
        <w:rPr>
          <w:rFonts w:ascii="Times New Roman" w:eastAsia="Times New Roman" w:hAnsi="Times New Roman" w:cs="Times New Roman"/>
          <w:sz w:val="24"/>
          <w:szCs w:val="24"/>
        </w:rPr>
        <w:t>PVN</w:t>
      </w:r>
      <w:r w:rsidRPr="00D928CD">
        <w:rPr>
          <w:rFonts w:ascii="Times New Roman" w:eastAsia="Times New Roman" w:hAnsi="Times New Roman" w:cs="Times New Roman"/>
          <w:sz w:val="24"/>
          <w:szCs w:val="24"/>
        </w:rPr>
        <w:t xml:space="preserve"> likmes 2013. gadā veidoj</w:t>
      </w:r>
      <w:r w:rsidR="00895E14" w:rsidRPr="00D928CD">
        <w:rPr>
          <w:rFonts w:ascii="Times New Roman" w:eastAsia="Times New Roman" w:hAnsi="Times New Roman" w:cs="Times New Roman"/>
          <w:sz w:val="24"/>
          <w:szCs w:val="24"/>
        </w:rPr>
        <w:t xml:space="preserve">a </w:t>
      </w:r>
      <w:r w:rsidRPr="00D928CD">
        <w:rPr>
          <w:rFonts w:ascii="Times New Roman" w:eastAsia="Times New Roman" w:hAnsi="Times New Roman" w:cs="Times New Roman"/>
          <w:sz w:val="24"/>
          <w:szCs w:val="24"/>
        </w:rPr>
        <w:t>1</w:t>
      </w:r>
      <w:r w:rsidR="006A3486" w:rsidRPr="00D928CD">
        <w:rPr>
          <w:rFonts w:ascii="Times New Roman" w:eastAsia="Times New Roman" w:hAnsi="Times New Roman" w:cs="Times New Roman"/>
          <w:sz w:val="24"/>
          <w:szCs w:val="24"/>
        </w:rPr>
        <w:t>42</w:t>
      </w:r>
      <w:r w:rsidRPr="00D928CD">
        <w:rPr>
          <w:rFonts w:ascii="Times New Roman" w:eastAsia="Times New Roman" w:hAnsi="Times New Roman" w:cs="Times New Roman"/>
          <w:sz w:val="24"/>
          <w:szCs w:val="24"/>
        </w:rPr>
        <w:t>,</w:t>
      </w:r>
      <w:r w:rsidR="006A3486" w:rsidRPr="00D928CD">
        <w:rPr>
          <w:rFonts w:ascii="Times New Roman" w:eastAsia="Times New Roman" w:hAnsi="Times New Roman" w:cs="Times New Roman"/>
          <w:sz w:val="24"/>
          <w:szCs w:val="24"/>
        </w:rPr>
        <w:t>4</w:t>
      </w:r>
      <w:r w:rsidRPr="00D928CD">
        <w:rPr>
          <w:rFonts w:ascii="Times New Roman" w:eastAsia="Times New Roman" w:hAnsi="Times New Roman" w:cs="Times New Roman"/>
          <w:sz w:val="24"/>
          <w:szCs w:val="24"/>
        </w:rPr>
        <w:t> milj.</w:t>
      </w:r>
      <w:r w:rsidR="009D760E" w:rsidRPr="00D928CD">
        <w:rPr>
          <w:rFonts w:ascii="Times New Roman" w:eastAsia="Times New Roman" w:hAnsi="Times New Roman" w:cs="Times New Roman"/>
          <w:sz w:val="24"/>
          <w:szCs w:val="24"/>
        </w:rPr>
        <w:t> </w:t>
      </w:r>
      <w:proofErr w:type="spellStart"/>
      <w:r w:rsidR="00FA4FBB" w:rsidRPr="00D928CD">
        <w:rPr>
          <w:rFonts w:ascii="Times New Roman" w:eastAsia="Times New Roman" w:hAnsi="Times New Roman" w:cs="Times New Roman"/>
          <w:i/>
          <w:sz w:val="24"/>
          <w:szCs w:val="24"/>
        </w:rPr>
        <w:t>euro</w:t>
      </w:r>
      <w:proofErr w:type="spellEnd"/>
      <w:r w:rsidRPr="00D928CD">
        <w:rPr>
          <w:rFonts w:ascii="Times New Roman" w:eastAsia="Times New Roman" w:hAnsi="Times New Roman" w:cs="Times New Roman"/>
          <w:sz w:val="24"/>
          <w:szCs w:val="24"/>
        </w:rPr>
        <w:t>, kur lielāko īpatsvaru veido medikamentu piegādes</w:t>
      </w:r>
      <w:r w:rsidR="00A301AF" w:rsidRPr="00D928CD">
        <w:rPr>
          <w:rFonts w:ascii="Times New Roman" w:eastAsia="Times New Roman" w:hAnsi="Times New Roman" w:cs="Times New Roman"/>
          <w:sz w:val="24"/>
          <w:szCs w:val="24"/>
        </w:rPr>
        <w:t xml:space="preserve"> (</w:t>
      </w:r>
      <w:r w:rsidR="003A4F0B" w:rsidRPr="00D928CD">
        <w:rPr>
          <w:rFonts w:ascii="Times New Roman" w:eastAsia="Times New Roman" w:hAnsi="Times New Roman" w:cs="Times New Roman"/>
          <w:sz w:val="24"/>
          <w:szCs w:val="24"/>
        </w:rPr>
        <w:t>46</w:t>
      </w:r>
      <w:r w:rsidR="00A301AF" w:rsidRPr="00D928CD">
        <w:rPr>
          <w:rFonts w:ascii="Times New Roman" w:eastAsia="Times New Roman" w:hAnsi="Times New Roman" w:cs="Times New Roman"/>
          <w:sz w:val="24"/>
          <w:szCs w:val="24"/>
        </w:rPr>
        <w:t>,</w:t>
      </w:r>
      <w:r w:rsidR="003A4F0B" w:rsidRPr="00D928CD">
        <w:rPr>
          <w:rFonts w:ascii="Times New Roman" w:eastAsia="Times New Roman" w:hAnsi="Times New Roman" w:cs="Times New Roman"/>
          <w:sz w:val="24"/>
          <w:szCs w:val="24"/>
        </w:rPr>
        <w:t>9</w:t>
      </w:r>
      <w:r w:rsidR="00A301AF" w:rsidRPr="00D928CD">
        <w:rPr>
          <w:rFonts w:ascii="Times New Roman" w:eastAsia="Times New Roman" w:hAnsi="Times New Roman" w:cs="Times New Roman"/>
          <w:sz w:val="24"/>
          <w:szCs w:val="24"/>
        </w:rPr>
        <w:t>%)</w:t>
      </w:r>
      <w:r w:rsidRPr="00D928CD">
        <w:rPr>
          <w:rFonts w:ascii="Times New Roman" w:eastAsia="Times New Roman" w:hAnsi="Times New Roman" w:cs="Times New Roman"/>
          <w:sz w:val="24"/>
          <w:szCs w:val="24"/>
        </w:rPr>
        <w:t>, siltumenerģijas piegādes iedzīvotājiem</w:t>
      </w:r>
      <w:r w:rsidR="00A301AF" w:rsidRPr="00D928CD">
        <w:rPr>
          <w:rFonts w:ascii="Times New Roman" w:eastAsia="Times New Roman" w:hAnsi="Times New Roman" w:cs="Times New Roman"/>
          <w:sz w:val="24"/>
          <w:szCs w:val="24"/>
        </w:rPr>
        <w:t xml:space="preserve"> (1</w:t>
      </w:r>
      <w:r w:rsidR="003A4F0B" w:rsidRPr="00D928CD">
        <w:rPr>
          <w:rFonts w:ascii="Times New Roman" w:eastAsia="Times New Roman" w:hAnsi="Times New Roman" w:cs="Times New Roman"/>
          <w:sz w:val="24"/>
          <w:szCs w:val="24"/>
        </w:rPr>
        <w:t>4,7</w:t>
      </w:r>
      <w:r w:rsidR="00A301AF" w:rsidRPr="00D928CD">
        <w:rPr>
          <w:rFonts w:ascii="Times New Roman" w:eastAsia="Times New Roman" w:hAnsi="Times New Roman" w:cs="Times New Roman"/>
          <w:sz w:val="24"/>
          <w:szCs w:val="24"/>
        </w:rPr>
        <w:t>%)</w:t>
      </w:r>
      <w:r w:rsidRPr="00D928CD">
        <w:rPr>
          <w:rFonts w:ascii="Times New Roman" w:eastAsia="Times New Roman" w:hAnsi="Times New Roman" w:cs="Times New Roman"/>
          <w:sz w:val="24"/>
          <w:szCs w:val="24"/>
        </w:rPr>
        <w:t xml:space="preserve"> un pasažieru regulārie pārvadājuma pakalpojumi</w:t>
      </w:r>
      <w:r w:rsidR="00A301AF" w:rsidRPr="00D928CD">
        <w:rPr>
          <w:rFonts w:ascii="Times New Roman" w:eastAsia="Times New Roman" w:hAnsi="Times New Roman" w:cs="Times New Roman"/>
          <w:sz w:val="24"/>
          <w:szCs w:val="24"/>
        </w:rPr>
        <w:t xml:space="preserve"> (</w:t>
      </w:r>
      <w:r w:rsidR="003A4F0B" w:rsidRPr="00D928CD">
        <w:rPr>
          <w:rFonts w:ascii="Times New Roman" w:eastAsia="Times New Roman" w:hAnsi="Times New Roman" w:cs="Times New Roman"/>
          <w:sz w:val="24"/>
          <w:szCs w:val="24"/>
        </w:rPr>
        <w:t>7,</w:t>
      </w:r>
      <w:r w:rsidR="00A301AF" w:rsidRPr="00D928CD">
        <w:rPr>
          <w:rFonts w:ascii="Times New Roman" w:eastAsia="Times New Roman" w:hAnsi="Times New Roman" w:cs="Times New Roman"/>
          <w:sz w:val="24"/>
          <w:szCs w:val="24"/>
        </w:rPr>
        <w:t>9%)</w:t>
      </w:r>
      <w:r w:rsidRPr="00D928CD">
        <w:rPr>
          <w:rFonts w:ascii="Calibri" w:eastAsia="Calibri" w:hAnsi="Calibri" w:cs="Calibri"/>
          <w:sz w:val="24"/>
          <w:szCs w:val="24"/>
        </w:rPr>
        <w:t xml:space="preserve"> </w:t>
      </w:r>
      <w:r w:rsidRPr="00D928CD">
        <w:rPr>
          <w:rFonts w:ascii="Times New Roman" w:eastAsia="Times New Roman" w:hAnsi="Times New Roman" w:cs="Times New Roman"/>
          <w:sz w:val="24"/>
          <w:szCs w:val="24"/>
        </w:rPr>
        <w:t>(skat. 2.</w:t>
      </w:r>
      <w:r w:rsidR="006A7304" w:rsidRPr="00D928CD">
        <w:rPr>
          <w:rFonts w:ascii="Times New Roman" w:eastAsia="Times New Roman" w:hAnsi="Times New Roman" w:cs="Times New Roman"/>
          <w:sz w:val="24"/>
          <w:szCs w:val="24"/>
        </w:rPr>
        <w:t> </w:t>
      </w:r>
      <w:r w:rsidRPr="00D928CD">
        <w:rPr>
          <w:rFonts w:ascii="Times New Roman" w:eastAsia="Times New Roman" w:hAnsi="Times New Roman" w:cs="Times New Roman"/>
          <w:sz w:val="24"/>
          <w:szCs w:val="24"/>
        </w:rPr>
        <w:t>tabulu).</w:t>
      </w:r>
    </w:p>
    <w:p w14:paraId="677FD039" w14:textId="28C6E40D" w:rsidR="00D9128E" w:rsidRPr="00B4593C" w:rsidRDefault="00855EA5" w:rsidP="00D9128E">
      <w:pPr>
        <w:suppressAutoHyphens/>
        <w:spacing w:after="0" w:line="240" w:lineRule="auto"/>
        <w:jc w:val="right"/>
        <w:rPr>
          <w:rFonts w:ascii="Calibri" w:eastAsia="Calibri" w:hAnsi="Calibri" w:cs="Calibri"/>
          <w:i/>
          <w:sz w:val="24"/>
          <w:szCs w:val="24"/>
        </w:rPr>
      </w:pPr>
      <w:r w:rsidRPr="00B4593C">
        <w:rPr>
          <w:rFonts w:ascii="Times New Roman" w:eastAsia="Times New Roman" w:hAnsi="Times New Roman" w:cs="Times New Roman"/>
          <w:sz w:val="24"/>
          <w:szCs w:val="24"/>
        </w:rPr>
        <w:t>2. </w:t>
      </w:r>
      <w:r w:rsidR="00E20F7C" w:rsidRPr="00B4593C">
        <w:rPr>
          <w:rFonts w:ascii="Times New Roman" w:eastAsia="Times New Roman" w:hAnsi="Times New Roman" w:cs="Times New Roman"/>
          <w:sz w:val="24"/>
          <w:szCs w:val="24"/>
        </w:rPr>
        <w:t>t</w:t>
      </w:r>
      <w:r w:rsidR="00D9128E" w:rsidRPr="00B4593C">
        <w:rPr>
          <w:rFonts w:ascii="Times New Roman" w:eastAsia="Times New Roman" w:hAnsi="Times New Roman" w:cs="Times New Roman"/>
          <w:sz w:val="24"/>
          <w:szCs w:val="24"/>
        </w:rPr>
        <w:t>abula</w:t>
      </w:r>
    </w:p>
    <w:p w14:paraId="2D63FA8B" w14:textId="6F05E10F" w:rsidR="006A75E8" w:rsidRPr="00391150" w:rsidRDefault="00501591" w:rsidP="001510EE">
      <w:pPr>
        <w:suppressAutoHyphens/>
        <w:spacing w:after="120" w:line="240" w:lineRule="auto"/>
        <w:jc w:val="both"/>
        <w:rPr>
          <w:rFonts w:ascii="Times New Roman" w:eastAsia="Times New Roman" w:hAnsi="Times New Roman" w:cs="Times New Roman"/>
          <w:b/>
          <w:sz w:val="24"/>
          <w:szCs w:val="24"/>
        </w:rPr>
      </w:pPr>
      <w:r w:rsidRPr="00391150">
        <w:rPr>
          <w:rFonts w:ascii="Times New Roman" w:eastAsia="Times New Roman" w:hAnsi="Times New Roman" w:cs="Times New Roman"/>
          <w:b/>
          <w:sz w:val="24"/>
          <w:szCs w:val="24"/>
        </w:rPr>
        <w:t>S</w:t>
      </w:r>
      <w:r w:rsidR="004D2EAF" w:rsidRPr="00391150">
        <w:rPr>
          <w:rFonts w:ascii="Times New Roman" w:eastAsia="Times New Roman" w:hAnsi="Times New Roman" w:cs="Times New Roman"/>
          <w:b/>
          <w:sz w:val="24"/>
          <w:szCs w:val="24"/>
        </w:rPr>
        <w:t>amazinātās</w:t>
      </w:r>
      <w:r w:rsidRPr="00391150">
        <w:rPr>
          <w:rFonts w:ascii="Times New Roman" w:eastAsia="Times New Roman" w:hAnsi="Times New Roman" w:cs="Times New Roman"/>
          <w:b/>
          <w:sz w:val="24"/>
          <w:szCs w:val="24"/>
        </w:rPr>
        <w:t xml:space="preserve"> PVN</w:t>
      </w:r>
      <w:r w:rsidR="004D2EAF" w:rsidRPr="00391150">
        <w:rPr>
          <w:rFonts w:ascii="Times New Roman" w:eastAsia="Times New Roman" w:hAnsi="Times New Roman" w:cs="Times New Roman"/>
          <w:b/>
          <w:sz w:val="24"/>
          <w:szCs w:val="24"/>
        </w:rPr>
        <w:t xml:space="preserve"> l</w:t>
      </w:r>
      <w:r w:rsidR="00A615BE">
        <w:rPr>
          <w:rFonts w:ascii="Times New Roman" w:eastAsia="Times New Roman" w:hAnsi="Times New Roman" w:cs="Times New Roman"/>
          <w:b/>
          <w:sz w:val="24"/>
          <w:szCs w:val="24"/>
        </w:rPr>
        <w:t>ikmes ietekme uz budžetu, milj. </w:t>
      </w:r>
      <w:proofErr w:type="spellStart"/>
      <w:r w:rsidR="00CC15C9" w:rsidRPr="00CC15C9">
        <w:rPr>
          <w:rFonts w:ascii="Times New Roman" w:eastAsia="Times New Roman" w:hAnsi="Times New Roman" w:cs="Times New Roman"/>
          <w:b/>
          <w:i/>
          <w:sz w:val="24"/>
          <w:szCs w:val="24"/>
        </w:rPr>
        <w:t>euro</w:t>
      </w:r>
      <w:proofErr w:type="spellEnd"/>
    </w:p>
    <w:tbl>
      <w:tblPr>
        <w:tblW w:w="9217" w:type="dxa"/>
        <w:tblInd w:w="-8" w:type="dxa"/>
        <w:tblCellMar>
          <w:left w:w="10" w:type="dxa"/>
          <w:right w:w="10" w:type="dxa"/>
        </w:tblCellMar>
        <w:tblLook w:val="04A0" w:firstRow="1" w:lastRow="0" w:firstColumn="1" w:lastColumn="0" w:noHBand="0" w:noVBand="1"/>
      </w:tblPr>
      <w:tblGrid>
        <w:gridCol w:w="537"/>
        <w:gridCol w:w="4853"/>
        <w:gridCol w:w="1276"/>
        <w:gridCol w:w="1417"/>
        <w:gridCol w:w="1134"/>
      </w:tblGrid>
      <w:tr w:rsidR="00C64D4E" w:rsidRPr="0098264E" w14:paraId="0AB6EC13" w14:textId="77777777" w:rsidTr="00C64D4E">
        <w:tc>
          <w:tcPr>
            <w:tcW w:w="5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F8F662F" w14:textId="77777777" w:rsidR="00C64D4E" w:rsidRPr="0098264E" w:rsidRDefault="00C64D4E">
            <w:pPr>
              <w:suppressAutoHyphens/>
              <w:spacing w:after="0" w:line="240" w:lineRule="auto"/>
            </w:pPr>
            <w:r w:rsidRPr="0098264E">
              <w:rPr>
                <w:rFonts w:ascii="Times New Roman" w:eastAsia="Times New Roman" w:hAnsi="Times New Roman" w:cs="Times New Roman"/>
                <w:b/>
                <w:color w:val="FFFFFF"/>
              </w:rPr>
              <w:t> </w:t>
            </w:r>
          </w:p>
        </w:tc>
        <w:tc>
          <w:tcPr>
            <w:tcW w:w="4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B50020C" w14:textId="77777777" w:rsidR="00C64D4E" w:rsidRPr="0098264E" w:rsidRDefault="00C64D4E">
            <w:pPr>
              <w:suppressAutoHyphen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0197675" w14:textId="77777777" w:rsidR="00C64D4E" w:rsidRPr="0098264E" w:rsidRDefault="00C64D4E">
            <w:pPr>
              <w:suppressAutoHyphens/>
              <w:spacing w:after="0" w:line="240" w:lineRule="auto"/>
              <w:jc w:val="center"/>
            </w:pPr>
            <w:r w:rsidRPr="0098264E">
              <w:rPr>
                <w:rFonts w:ascii="Times New Roman" w:eastAsia="Times New Roman" w:hAnsi="Times New Roman" w:cs="Times New Roman"/>
                <w:b/>
              </w:rPr>
              <w:t>2011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BE25CF8" w14:textId="77777777" w:rsidR="00C64D4E" w:rsidRPr="0098264E" w:rsidRDefault="00C64D4E">
            <w:pPr>
              <w:suppressAutoHyphens/>
              <w:spacing w:after="0" w:line="240" w:lineRule="auto"/>
              <w:jc w:val="center"/>
            </w:pPr>
            <w:r w:rsidRPr="0098264E">
              <w:rPr>
                <w:rFonts w:ascii="Times New Roman" w:eastAsia="Times New Roman" w:hAnsi="Times New Roman" w:cs="Times New Roman"/>
                <w:b/>
              </w:rPr>
              <w:t>2012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6155050" w14:textId="77777777" w:rsidR="00C64D4E" w:rsidRPr="0098264E" w:rsidRDefault="00C64D4E">
            <w:pPr>
              <w:suppressAutoHyphens/>
              <w:spacing w:after="0" w:line="240" w:lineRule="auto"/>
              <w:jc w:val="center"/>
            </w:pPr>
            <w:r w:rsidRPr="0098264E">
              <w:rPr>
                <w:rFonts w:ascii="Times New Roman" w:eastAsia="Times New Roman" w:hAnsi="Times New Roman" w:cs="Times New Roman"/>
                <w:b/>
              </w:rPr>
              <w:t>2013</w:t>
            </w:r>
          </w:p>
        </w:tc>
      </w:tr>
      <w:tr w:rsidR="00C64D4E" w:rsidRPr="0098264E" w14:paraId="59EC030C" w14:textId="77777777" w:rsidTr="00C64D4E">
        <w:tc>
          <w:tcPr>
            <w:tcW w:w="5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8B54AB" w14:textId="77777777" w:rsidR="00C64D4E" w:rsidRPr="0098264E" w:rsidRDefault="00C64D4E">
            <w:pPr>
              <w:suppressAutoHyphens/>
              <w:spacing w:after="0" w:line="240" w:lineRule="auto"/>
            </w:pPr>
            <w:r w:rsidRPr="0098264E">
              <w:rPr>
                <w:rFonts w:ascii="Times New Roman" w:eastAsia="Times New Roman" w:hAnsi="Times New Roman" w:cs="Times New Roman"/>
                <w:b/>
                <w:color w:val="000000"/>
              </w:rPr>
              <w:t> </w:t>
            </w:r>
          </w:p>
        </w:tc>
        <w:tc>
          <w:tcPr>
            <w:tcW w:w="4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3BEDB3" w14:textId="60BCA942" w:rsidR="00C64D4E" w:rsidRPr="0098264E" w:rsidRDefault="00C64D4E">
            <w:pPr>
              <w:suppressAutoHyphens/>
              <w:spacing w:after="0" w:line="240" w:lineRule="auto"/>
            </w:pPr>
            <w:r w:rsidRPr="0098264E">
              <w:rPr>
                <w:rFonts w:ascii="Times New Roman" w:eastAsia="Times New Roman" w:hAnsi="Times New Roman" w:cs="Times New Roman"/>
                <w:b/>
                <w:color w:val="000000"/>
              </w:rPr>
              <w:t>Samazinātā PVN likme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47CEC0" w14:textId="77777777" w:rsidR="00C64D4E" w:rsidRPr="0098264E" w:rsidRDefault="00C64D4E">
            <w:pPr>
              <w:suppressAutoHyphens/>
              <w:spacing w:after="0" w:line="240" w:lineRule="auto"/>
              <w:jc w:val="center"/>
            </w:pPr>
            <w:r w:rsidRPr="0098264E">
              <w:rPr>
                <w:rFonts w:ascii="Times New Roman" w:eastAsia="Times New Roman" w:hAnsi="Times New Roman" w:cs="Times New Roman"/>
                <w:b/>
              </w:rPr>
              <w:t>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D36568" w14:textId="77777777" w:rsidR="00C64D4E" w:rsidRPr="0098264E" w:rsidRDefault="00C64D4E">
            <w:pPr>
              <w:suppressAutoHyphens/>
              <w:spacing w:after="0" w:line="240" w:lineRule="auto"/>
              <w:jc w:val="center"/>
            </w:pPr>
            <w:r w:rsidRPr="0098264E">
              <w:rPr>
                <w:rFonts w:ascii="Times New Roman" w:eastAsia="Times New Roman" w:hAnsi="Times New Roman" w:cs="Times New Roman"/>
                <w:b/>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E60F77" w14:textId="77777777" w:rsidR="00C64D4E" w:rsidRPr="0098264E" w:rsidRDefault="00C64D4E">
            <w:pPr>
              <w:suppressAutoHyphens/>
              <w:spacing w:after="0" w:line="240" w:lineRule="auto"/>
              <w:jc w:val="center"/>
            </w:pPr>
            <w:r w:rsidRPr="0098264E">
              <w:rPr>
                <w:rFonts w:ascii="Times New Roman" w:eastAsia="Times New Roman" w:hAnsi="Times New Roman" w:cs="Times New Roman"/>
                <w:b/>
              </w:rPr>
              <w:t>12%</w:t>
            </w:r>
          </w:p>
        </w:tc>
      </w:tr>
      <w:tr w:rsidR="00891D90" w:rsidRPr="0098264E" w14:paraId="2078E0B8" w14:textId="77777777" w:rsidTr="00C64D4E">
        <w:tc>
          <w:tcPr>
            <w:tcW w:w="5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3DD3C0" w14:textId="77777777" w:rsidR="00891D90" w:rsidRPr="0098264E" w:rsidRDefault="00891D90" w:rsidP="00891D90">
            <w:pPr>
              <w:suppressAutoHyphens/>
              <w:spacing w:after="0" w:line="240" w:lineRule="auto"/>
            </w:pPr>
            <w:r w:rsidRPr="0098264E">
              <w:rPr>
                <w:rFonts w:ascii="Times New Roman" w:eastAsia="Times New Roman" w:hAnsi="Times New Roman" w:cs="Times New Roman"/>
                <w:color w:val="000000"/>
              </w:rPr>
              <w:t>1.</w:t>
            </w:r>
          </w:p>
        </w:tc>
        <w:tc>
          <w:tcPr>
            <w:tcW w:w="4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F15846" w14:textId="77777777" w:rsidR="00891D90" w:rsidRPr="0098264E" w:rsidRDefault="00891D90" w:rsidP="00891D90">
            <w:pPr>
              <w:suppressAutoHyphens/>
              <w:spacing w:after="0" w:line="240" w:lineRule="auto"/>
            </w:pPr>
            <w:r w:rsidRPr="0098264E">
              <w:rPr>
                <w:rFonts w:ascii="Times New Roman" w:eastAsia="Times New Roman" w:hAnsi="Times New Roman" w:cs="Times New Roman"/>
                <w:color w:val="000000"/>
              </w:rPr>
              <w:t xml:space="preserve">Medikamentu piegādes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F512A1" w14:textId="41F75775" w:rsidR="00891D90" w:rsidRPr="0098264E" w:rsidRDefault="00F16112" w:rsidP="00891D90">
            <w:pPr>
              <w:suppressAutoHyphens/>
              <w:spacing w:after="0" w:line="240" w:lineRule="auto"/>
              <w:jc w:val="center"/>
              <w:rPr>
                <w:rFonts w:ascii="Times New Roman" w:eastAsia="Times New Roman" w:hAnsi="Times New Roman" w:cs="Times New Roman"/>
                <w:color w:val="000000"/>
              </w:rPr>
            </w:pPr>
            <w:r w:rsidRPr="0098264E">
              <w:rPr>
                <w:rFonts w:ascii="Times New Roman" w:eastAsia="Times New Roman" w:hAnsi="Times New Roman" w:cs="Times New Roman"/>
                <w:color w:val="000000"/>
              </w:rPr>
              <w:t>-</w:t>
            </w:r>
            <w:r w:rsidR="00891D90" w:rsidRPr="0098264E">
              <w:rPr>
                <w:rFonts w:ascii="Times New Roman" w:eastAsia="Times New Roman" w:hAnsi="Times New Roman" w:cs="Times New Roman"/>
                <w:color w:val="000000"/>
              </w:rPr>
              <w:t>70,7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D88467" w14:textId="5DBABD2B" w:rsidR="00891D90" w:rsidRPr="0098264E" w:rsidRDefault="00F16112" w:rsidP="00891D90">
            <w:pPr>
              <w:suppressAutoHyphens/>
              <w:spacing w:after="0" w:line="240" w:lineRule="auto"/>
              <w:jc w:val="center"/>
              <w:rPr>
                <w:rFonts w:ascii="Times New Roman" w:eastAsia="Times New Roman" w:hAnsi="Times New Roman" w:cs="Times New Roman"/>
                <w:color w:val="000000"/>
              </w:rPr>
            </w:pPr>
            <w:r w:rsidRPr="0098264E">
              <w:rPr>
                <w:rFonts w:ascii="Times New Roman" w:eastAsia="Times New Roman" w:hAnsi="Times New Roman" w:cs="Times New Roman"/>
                <w:color w:val="000000"/>
              </w:rPr>
              <w:t>-</w:t>
            </w:r>
            <w:r w:rsidR="00891D90" w:rsidRPr="0098264E">
              <w:rPr>
                <w:rFonts w:ascii="Times New Roman" w:eastAsia="Times New Roman" w:hAnsi="Times New Roman" w:cs="Times New Roman"/>
                <w:color w:val="000000"/>
              </w:rPr>
              <w:t>67,8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5C3C0F" w14:textId="1740EE82" w:rsidR="00891D90" w:rsidRPr="0098264E" w:rsidRDefault="00F16112" w:rsidP="00891D90">
            <w:pPr>
              <w:suppressAutoHyphens/>
              <w:spacing w:after="0" w:line="240" w:lineRule="auto"/>
              <w:jc w:val="center"/>
              <w:rPr>
                <w:rFonts w:ascii="Times New Roman" w:eastAsia="Times New Roman" w:hAnsi="Times New Roman" w:cs="Times New Roman"/>
                <w:color w:val="000000"/>
              </w:rPr>
            </w:pPr>
            <w:r w:rsidRPr="0098264E">
              <w:rPr>
                <w:rFonts w:ascii="Times New Roman" w:eastAsia="Times New Roman" w:hAnsi="Times New Roman" w:cs="Times New Roman"/>
                <w:color w:val="000000"/>
              </w:rPr>
              <w:t>-</w:t>
            </w:r>
            <w:r w:rsidR="00891D90" w:rsidRPr="0098264E">
              <w:rPr>
                <w:rFonts w:ascii="Times New Roman" w:eastAsia="Times New Roman" w:hAnsi="Times New Roman" w:cs="Times New Roman"/>
                <w:color w:val="000000"/>
              </w:rPr>
              <w:t>66,8</w:t>
            </w:r>
          </w:p>
        </w:tc>
      </w:tr>
      <w:tr w:rsidR="00891D90" w:rsidRPr="0098264E" w14:paraId="6EE37E09" w14:textId="77777777" w:rsidTr="00C64D4E">
        <w:tc>
          <w:tcPr>
            <w:tcW w:w="5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51C171" w14:textId="77777777" w:rsidR="00891D90" w:rsidRPr="0098264E" w:rsidRDefault="00891D90" w:rsidP="00891D90">
            <w:pPr>
              <w:suppressAutoHyphens/>
              <w:spacing w:after="0" w:line="240" w:lineRule="auto"/>
            </w:pPr>
            <w:r w:rsidRPr="0098264E">
              <w:rPr>
                <w:rFonts w:ascii="Times New Roman" w:eastAsia="Times New Roman" w:hAnsi="Times New Roman" w:cs="Times New Roman"/>
                <w:color w:val="000000"/>
              </w:rPr>
              <w:t>2</w:t>
            </w:r>
          </w:p>
        </w:tc>
        <w:tc>
          <w:tcPr>
            <w:tcW w:w="4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76FAA5" w14:textId="77777777" w:rsidR="00891D90" w:rsidRPr="0098264E" w:rsidRDefault="00891D90" w:rsidP="00891D90">
            <w:pPr>
              <w:suppressAutoHyphens/>
              <w:spacing w:after="0" w:line="240" w:lineRule="auto"/>
            </w:pPr>
            <w:r w:rsidRPr="0098264E">
              <w:rPr>
                <w:rFonts w:ascii="Times New Roman" w:eastAsia="Times New Roman" w:hAnsi="Times New Roman" w:cs="Times New Roman"/>
                <w:color w:val="000000"/>
              </w:rPr>
              <w:t>Medicīnisko ierīču piegādes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34F49A" w14:textId="48E2F04E" w:rsidR="00891D90" w:rsidRPr="0098264E" w:rsidRDefault="00F16112" w:rsidP="00891D90">
            <w:pPr>
              <w:suppressAutoHyphens/>
              <w:spacing w:after="0" w:line="240" w:lineRule="auto"/>
              <w:jc w:val="center"/>
              <w:rPr>
                <w:rFonts w:ascii="Times New Roman" w:eastAsia="Times New Roman" w:hAnsi="Times New Roman" w:cs="Times New Roman"/>
                <w:color w:val="000000"/>
              </w:rPr>
            </w:pPr>
            <w:r w:rsidRPr="0098264E">
              <w:rPr>
                <w:rFonts w:ascii="Times New Roman" w:eastAsia="Times New Roman" w:hAnsi="Times New Roman" w:cs="Times New Roman"/>
                <w:color w:val="000000"/>
              </w:rPr>
              <w:t>-</w:t>
            </w:r>
            <w:r w:rsidR="00891D90" w:rsidRPr="0098264E">
              <w:rPr>
                <w:rFonts w:ascii="Times New Roman" w:eastAsia="Times New Roman" w:hAnsi="Times New Roman" w:cs="Times New Roman"/>
                <w:color w:val="000000"/>
              </w:rPr>
              <w:t>2,1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98A139" w14:textId="5FF80DB6" w:rsidR="00891D90" w:rsidRPr="0098264E" w:rsidRDefault="00F16112" w:rsidP="00891D90">
            <w:pPr>
              <w:suppressAutoHyphens/>
              <w:spacing w:after="0" w:line="240" w:lineRule="auto"/>
              <w:jc w:val="center"/>
              <w:rPr>
                <w:rFonts w:ascii="Times New Roman" w:eastAsia="Times New Roman" w:hAnsi="Times New Roman" w:cs="Times New Roman"/>
                <w:color w:val="000000"/>
              </w:rPr>
            </w:pPr>
            <w:r w:rsidRPr="0098264E">
              <w:rPr>
                <w:rFonts w:ascii="Times New Roman" w:eastAsia="Times New Roman" w:hAnsi="Times New Roman" w:cs="Times New Roman"/>
                <w:color w:val="000000"/>
              </w:rPr>
              <w:t>-</w:t>
            </w:r>
            <w:r w:rsidR="00891D90" w:rsidRPr="0098264E">
              <w:rPr>
                <w:rFonts w:ascii="Times New Roman" w:eastAsia="Times New Roman" w:hAnsi="Times New Roman" w:cs="Times New Roman"/>
                <w:color w:val="000000"/>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6DC320" w14:textId="310ABC4E" w:rsidR="00891D90" w:rsidRPr="0098264E" w:rsidRDefault="00F16112" w:rsidP="00891D90">
            <w:pPr>
              <w:suppressAutoHyphens/>
              <w:spacing w:after="0" w:line="240" w:lineRule="auto"/>
              <w:jc w:val="center"/>
              <w:rPr>
                <w:rFonts w:ascii="Times New Roman" w:eastAsia="Times New Roman" w:hAnsi="Times New Roman" w:cs="Times New Roman"/>
                <w:color w:val="000000"/>
              </w:rPr>
            </w:pPr>
            <w:r w:rsidRPr="0098264E">
              <w:rPr>
                <w:rFonts w:ascii="Times New Roman" w:eastAsia="Times New Roman" w:hAnsi="Times New Roman" w:cs="Times New Roman"/>
                <w:color w:val="000000"/>
              </w:rPr>
              <w:t>-</w:t>
            </w:r>
            <w:r w:rsidR="00891D90" w:rsidRPr="0098264E">
              <w:rPr>
                <w:rFonts w:ascii="Times New Roman" w:eastAsia="Times New Roman" w:hAnsi="Times New Roman" w:cs="Times New Roman"/>
                <w:color w:val="000000"/>
              </w:rPr>
              <w:t>2,0</w:t>
            </w:r>
          </w:p>
        </w:tc>
      </w:tr>
      <w:tr w:rsidR="00891D90" w:rsidRPr="0098264E" w14:paraId="61318E75" w14:textId="77777777" w:rsidTr="00C64D4E">
        <w:tc>
          <w:tcPr>
            <w:tcW w:w="5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671030" w14:textId="77777777" w:rsidR="00891D90" w:rsidRPr="0098264E" w:rsidRDefault="00891D90" w:rsidP="00891D90">
            <w:pPr>
              <w:suppressAutoHyphens/>
              <w:spacing w:after="0" w:line="240" w:lineRule="auto"/>
            </w:pPr>
            <w:r w:rsidRPr="0098264E">
              <w:rPr>
                <w:rFonts w:ascii="Times New Roman" w:eastAsia="Times New Roman" w:hAnsi="Times New Roman" w:cs="Times New Roman"/>
                <w:color w:val="000000"/>
              </w:rPr>
              <w:t>3</w:t>
            </w:r>
          </w:p>
        </w:tc>
        <w:tc>
          <w:tcPr>
            <w:tcW w:w="4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E4D117" w14:textId="77777777" w:rsidR="00891D90" w:rsidRPr="0098264E" w:rsidRDefault="00891D90" w:rsidP="00891D90">
            <w:pPr>
              <w:suppressAutoHyphens/>
              <w:spacing w:after="0" w:line="240" w:lineRule="auto"/>
            </w:pPr>
            <w:r w:rsidRPr="0098264E">
              <w:rPr>
                <w:rFonts w:ascii="Times New Roman" w:eastAsia="Times New Roman" w:hAnsi="Times New Roman" w:cs="Times New Roman"/>
                <w:color w:val="000000"/>
              </w:rPr>
              <w:t>Zīdaiņiem paredzēto specializēto pārtikas produktu piegādes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F8E17E" w14:textId="4529C125" w:rsidR="00891D90" w:rsidRPr="0098264E" w:rsidRDefault="00F16112" w:rsidP="00891D90">
            <w:pPr>
              <w:suppressAutoHyphens/>
              <w:spacing w:after="0" w:line="240" w:lineRule="auto"/>
              <w:jc w:val="center"/>
              <w:rPr>
                <w:rFonts w:ascii="Times New Roman" w:eastAsia="Times New Roman" w:hAnsi="Times New Roman" w:cs="Times New Roman"/>
                <w:color w:val="000000"/>
              </w:rPr>
            </w:pPr>
            <w:r w:rsidRPr="0098264E">
              <w:rPr>
                <w:rFonts w:ascii="Times New Roman" w:eastAsia="Times New Roman" w:hAnsi="Times New Roman" w:cs="Times New Roman"/>
                <w:color w:val="000000"/>
              </w:rPr>
              <w:t>-</w:t>
            </w:r>
            <w:r w:rsidR="00891D90" w:rsidRPr="0098264E">
              <w:rPr>
                <w:rFonts w:ascii="Times New Roman" w:eastAsia="Times New Roman" w:hAnsi="Times New Roman" w:cs="Times New Roman"/>
                <w:color w:val="000000"/>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EF6069" w14:textId="4A32D8F5" w:rsidR="00891D90" w:rsidRPr="0098264E" w:rsidRDefault="00F16112" w:rsidP="00891D90">
            <w:pPr>
              <w:suppressAutoHyphens/>
              <w:spacing w:after="0" w:line="240" w:lineRule="auto"/>
              <w:jc w:val="center"/>
              <w:rPr>
                <w:rFonts w:ascii="Times New Roman" w:eastAsia="Times New Roman" w:hAnsi="Times New Roman" w:cs="Times New Roman"/>
                <w:color w:val="000000"/>
              </w:rPr>
            </w:pPr>
            <w:r w:rsidRPr="0098264E">
              <w:rPr>
                <w:rFonts w:ascii="Times New Roman" w:eastAsia="Times New Roman" w:hAnsi="Times New Roman" w:cs="Times New Roman"/>
                <w:color w:val="000000"/>
              </w:rPr>
              <w:t>-</w:t>
            </w:r>
            <w:r w:rsidR="00891D90" w:rsidRPr="0098264E">
              <w:rPr>
                <w:rFonts w:ascii="Times New Roman" w:eastAsia="Times New Roman" w:hAnsi="Times New Roman" w:cs="Times New Roman"/>
                <w:color w:val="00000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527A7A" w14:textId="03E6D654" w:rsidR="00891D90" w:rsidRPr="0098264E" w:rsidRDefault="00F16112" w:rsidP="00891D90">
            <w:pPr>
              <w:suppressAutoHyphens/>
              <w:spacing w:after="0" w:line="240" w:lineRule="auto"/>
              <w:jc w:val="center"/>
              <w:rPr>
                <w:rFonts w:ascii="Times New Roman" w:eastAsia="Times New Roman" w:hAnsi="Times New Roman" w:cs="Times New Roman"/>
                <w:color w:val="000000"/>
              </w:rPr>
            </w:pPr>
            <w:r w:rsidRPr="0098264E">
              <w:rPr>
                <w:rFonts w:ascii="Times New Roman" w:eastAsia="Times New Roman" w:hAnsi="Times New Roman" w:cs="Times New Roman"/>
                <w:color w:val="000000"/>
              </w:rPr>
              <w:t>-</w:t>
            </w:r>
            <w:r w:rsidR="00891D90" w:rsidRPr="0098264E">
              <w:rPr>
                <w:rFonts w:ascii="Times New Roman" w:eastAsia="Times New Roman" w:hAnsi="Times New Roman" w:cs="Times New Roman"/>
                <w:color w:val="000000"/>
              </w:rPr>
              <w:t>0,1</w:t>
            </w:r>
          </w:p>
        </w:tc>
      </w:tr>
      <w:tr w:rsidR="00891D90" w:rsidRPr="0098264E" w14:paraId="1C01D3F6" w14:textId="77777777" w:rsidTr="00C64D4E">
        <w:tc>
          <w:tcPr>
            <w:tcW w:w="5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330D53" w14:textId="77777777" w:rsidR="00891D90" w:rsidRPr="0098264E" w:rsidRDefault="00891D90" w:rsidP="00891D90">
            <w:pPr>
              <w:suppressAutoHyphens/>
              <w:spacing w:after="0" w:line="240" w:lineRule="auto"/>
            </w:pPr>
            <w:r w:rsidRPr="0098264E">
              <w:rPr>
                <w:rFonts w:ascii="Times New Roman" w:eastAsia="Times New Roman" w:hAnsi="Times New Roman" w:cs="Times New Roman"/>
                <w:color w:val="000000"/>
              </w:rPr>
              <w:t>4</w:t>
            </w:r>
          </w:p>
        </w:tc>
        <w:tc>
          <w:tcPr>
            <w:tcW w:w="4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92F56E" w14:textId="77777777" w:rsidR="00891D90" w:rsidRPr="0098264E" w:rsidRDefault="00891D90" w:rsidP="00891D90">
            <w:pPr>
              <w:suppressAutoHyphens/>
              <w:spacing w:after="0" w:line="240" w:lineRule="auto"/>
            </w:pPr>
            <w:r w:rsidRPr="0098264E">
              <w:rPr>
                <w:rFonts w:ascii="Times New Roman" w:eastAsia="Times New Roman" w:hAnsi="Times New Roman" w:cs="Times New Roman"/>
                <w:color w:val="000000"/>
              </w:rPr>
              <w:t>Pasažieru un to bagāžas regulāro pārvadājumu pakalpojumi iekšzemē</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308E17" w14:textId="6DE375FD" w:rsidR="00891D90" w:rsidRPr="0098264E" w:rsidRDefault="00F16112" w:rsidP="00891D90">
            <w:pPr>
              <w:suppressAutoHyphens/>
              <w:spacing w:after="0" w:line="240" w:lineRule="auto"/>
              <w:jc w:val="center"/>
              <w:rPr>
                <w:rFonts w:ascii="Times New Roman" w:eastAsia="Times New Roman" w:hAnsi="Times New Roman" w:cs="Times New Roman"/>
                <w:color w:val="000000"/>
              </w:rPr>
            </w:pPr>
            <w:r w:rsidRPr="0098264E">
              <w:rPr>
                <w:rFonts w:ascii="Times New Roman" w:eastAsia="Times New Roman" w:hAnsi="Times New Roman" w:cs="Times New Roman"/>
                <w:color w:val="000000"/>
              </w:rPr>
              <w:t>-</w:t>
            </w:r>
            <w:r w:rsidR="00891D90" w:rsidRPr="0098264E">
              <w:rPr>
                <w:rFonts w:ascii="Times New Roman" w:eastAsia="Times New Roman" w:hAnsi="Times New Roman" w:cs="Times New Roman"/>
                <w:color w:val="000000"/>
              </w:rPr>
              <w:t>12,4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C805DC" w14:textId="1BBA00AE" w:rsidR="00891D90" w:rsidRPr="0098264E" w:rsidRDefault="00F16112" w:rsidP="00891D90">
            <w:pPr>
              <w:suppressAutoHyphens/>
              <w:spacing w:after="0" w:line="240" w:lineRule="auto"/>
              <w:jc w:val="center"/>
              <w:rPr>
                <w:rFonts w:ascii="Times New Roman" w:eastAsia="Times New Roman" w:hAnsi="Times New Roman" w:cs="Times New Roman"/>
                <w:color w:val="000000"/>
              </w:rPr>
            </w:pPr>
            <w:r w:rsidRPr="0098264E">
              <w:rPr>
                <w:rFonts w:ascii="Times New Roman" w:eastAsia="Times New Roman" w:hAnsi="Times New Roman" w:cs="Times New Roman"/>
                <w:color w:val="000000"/>
              </w:rPr>
              <w:t>-</w:t>
            </w:r>
            <w:r w:rsidR="00891D90" w:rsidRPr="0098264E">
              <w:rPr>
                <w:rFonts w:ascii="Times New Roman" w:eastAsia="Times New Roman" w:hAnsi="Times New Roman" w:cs="Times New Roman"/>
                <w:color w:val="000000"/>
              </w:rPr>
              <w:t>12,3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95AC5A" w14:textId="49B90DC3" w:rsidR="00891D90" w:rsidRPr="0098264E" w:rsidRDefault="00F16112" w:rsidP="00891D90">
            <w:pPr>
              <w:suppressAutoHyphens/>
              <w:spacing w:after="0" w:line="240" w:lineRule="auto"/>
              <w:jc w:val="center"/>
              <w:rPr>
                <w:rFonts w:ascii="Times New Roman" w:eastAsia="Times New Roman" w:hAnsi="Times New Roman" w:cs="Times New Roman"/>
                <w:color w:val="000000"/>
              </w:rPr>
            </w:pPr>
            <w:r w:rsidRPr="0098264E">
              <w:rPr>
                <w:rFonts w:ascii="Times New Roman" w:eastAsia="Times New Roman" w:hAnsi="Times New Roman" w:cs="Times New Roman"/>
                <w:color w:val="000000"/>
              </w:rPr>
              <w:t>-</w:t>
            </w:r>
            <w:r w:rsidR="00891D90" w:rsidRPr="0098264E">
              <w:rPr>
                <w:rFonts w:ascii="Times New Roman" w:eastAsia="Times New Roman" w:hAnsi="Times New Roman" w:cs="Times New Roman"/>
                <w:color w:val="000000"/>
              </w:rPr>
              <w:t>11,2</w:t>
            </w:r>
          </w:p>
        </w:tc>
      </w:tr>
      <w:tr w:rsidR="00891D90" w:rsidRPr="0098264E" w14:paraId="7FE07659" w14:textId="77777777" w:rsidTr="00C64D4E">
        <w:tc>
          <w:tcPr>
            <w:tcW w:w="5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2D40FD" w14:textId="77777777" w:rsidR="00891D90" w:rsidRPr="0098264E" w:rsidRDefault="00891D90" w:rsidP="00891D90">
            <w:pPr>
              <w:suppressAutoHyphens/>
              <w:spacing w:after="0" w:line="240" w:lineRule="auto"/>
            </w:pPr>
            <w:r w:rsidRPr="0098264E">
              <w:rPr>
                <w:rFonts w:ascii="Times New Roman" w:eastAsia="Times New Roman" w:hAnsi="Times New Roman" w:cs="Times New Roman"/>
                <w:color w:val="000000"/>
              </w:rPr>
              <w:t>5</w:t>
            </w:r>
          </w:p>
        </w:tc>
        <w:tc>
          <w:tcPr>
            <w:tcW w:w="4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22DB5E" w14:textId="77777777" w:rsidR="00891D90" w:rsidRPr="0098264E" w:rsidRDefault="00891D90" w:rsidP="00891D90">
            <w:pPr>
              <w:suppressAutoHyphens/>
              <w:spacing w:after="0" w:line="240" w:lineRule="auto"/>
            </w:pPr>
            <w:r w:rsidRPr="0098264E">
              <w:rPr>
                <w:rFonts w:ascii="Times New Roman" w:eastAsia="Times New Roman" w:hAnsi="Times New Roman" w:cs="Times New Roman"/>
                <w:color w:val="000000"/>
              </w:rPr>
              <w:t xml:space="preserve">Mācību literatūras un oriģinālliteratūras piegādes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164B8F" w14:textId="4A326B0A" w:rsidR="00891D90" w:rsidRPr="0098264E" w:rsidRDefault="00F16112" w:rsidP="00891D90">
            <w:pPr>
              <w:suppressAutoHyphens/>
              <w:spacing w:after="0" w:line="240" w:lineRule="auto"/>
              <w:jc w:val="center"/>
              <w:rPr>
                <w:rFonts w:ascii="Times New Roman" w:eastAsia="Times New Roman" w:hAnsi="Times New Roman" w:cs="Times New Roman"/>
                <w:color w:val="000000"/>
              </w:rPr>
            </w:pPr>
            <w:r w:rsidRPr="0098264E">
              <w:rPr>
                <w:rFonts w:ascii="Times New Roman" w:eastAsia="Times New Roman" w:hAnsi="Times New Roman" w:cs="Times New Roman"/>
                <w:color w:val="000000"/>
              </w:rPr>
              <w:t>-</w:t>
            </w:r>
            <w:r w:rsidR="00891D90" w:rsidRPr="0098264E">
              <w:rPr>
                <w:rFonts w:ascii="Times New Roman" w:eastAsia="Times New Roman" w:hAnsi="Times New Roman" w:cs="Times New Roman"/>
                <w:color w:val="000000"/>
              </w:rPr>
              <w:t>3,3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5D710F" w14:textId="49B8C63D" w:rsidR="00891D90" w:rsidRPr="0098264E" w:rsidRDefault="00F16112" w:rsidP="00891D90">
            <w:pPr>
              <w:suppressAutoHyphens/>
              <w:spacing w:after="0" w:line="240" w:lineRule="auto"/>
              <w:jc w:val="center"/>
              <w:rPr>
                <w:rFonts w:ascii="Times New Roman" w:eastAsia="Times New Roman" w:hAnsi="Times New Roman" w:cs="Times New Roman"/>
                <w:color w:val="000000"/>
              </w:rPr>
            </w:pPr>
            <w:r w:rsidRPr="0098264E">
              <w:rPr>
                <w:rFonts w:ascii="Times New Roman" w:eastAsia="Times New Roman" w:hAnsi="Times New Roman" w:cs="Times New Roman"/>
                <w:color w:val="000000"/>
              </w:rPr>
              <w:t>-</w:t>
            </w:r>
            <w:r w:rsidR="00891D90" w:rsidRPr="0098264E">
              <w:rPr>
                <w:rFonts w:ascii="Times New Roman" w:eastAsia="Times New Roman" w:hAnsi="Times New Roman" w:cs="Times New Roman"/>
                <w:color w:val="000000"/>
              </w:rPr>
              <w:t>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C738F3" w14:textId="5B51C2FC" w:rsidR="00891D90" w:rsidRPr="0098264E" w:rsidRDefault="00F16112" w:rsidP="00891D90">
            <w:pPr>
              <w:suppressAutoHyphens/>
              <w:spacing w:after="0" w:line="240" w:lineRule="auto"/>
              <w:jc w:val="center"/>
              <w:rPr>
                <w:rFonts w:ascii="Times New Roman" w:eastAsia="Times New Roman" w:hAnsi="Times New Roman" w:cs="Times New Roman"/>
                <w:color w:val="000000"/>
              </w:rPr>
            </w:pPr>
            <w:r w:rsidRPr="0098264E">
              <w:rPr>
                <w:rFonts w:ascii="Times New Roman" w:eastAsia="Times New Roman" w:hAnsi="Times New Roman" w:cs="Times New Roman"/>
                <w:color w:val="000000"/>
              </w:rPr>
              <w:t>-</w:t>
            </w:r>
            <w:r w:rsidR="00891D90" w:rsidRPr="0098264E">
              <w:rPr>
                <w:rFonts w:ascii="Times New Roman" w:eastAsia="Times New Roman" w:hAnsi="Times New Roman" w:cs="Times New Roman"/>
                <w:color w:val="000000"/>
              </w:rPr>
              <w:t>3,1</w:t>
            </w:r>
          </w:p>
        </w:tc>
      </w:tr>
      <w:tr w:rsidR="00891D90" w:rsidRPr="0098264E" w14:paraId="4E7A526F" w14:textId="77777777" w:rsidTr="00C64D4E">
        <w:tc>
          <w:tcPr>
            <w:tcW w:w="5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293DC0" w14:textId="77777777" w:rsidR="00891D90" w:rsidRPr="0098264E" w:rsidRDefault="00891D90" w:rsidP="00891D90">
            <w:pPr>
              <w:suppressAutoHyphens/>
              <w:spacing w:after="0" w:line="240" w:lineRule="auto"/>
            </w:pPr>
            <w:r w:rsidRPr="0098264E">
              <w:rPr>
                <w:rFonts w:ascii="Times New Roman" w:eastAsia="Times New Roman" w:hAnsi="Times New Roman" w:cs="Times New Roman"/>
                <w:color w:val="000000"/>
              </w:rPr>
              <w:t>6</w:t>
            </w:r>
          </w:p>
        </w:tc>
        <w:tc>
          <w:tcPr>
            <w:tcW w:w="4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32CDB0" w14:textId="77777777" w:rsidR="00891D90" w:rsidRPr="0098264E" w:rsidRDefault="00891D90" w:rsidP="00891D90">
            <w:pPr>
              <w:suppressAutoHyphens/>
              <w:spacing w:after="0" w:line="240" w:lineRule="auto"/>
            </w:pPr>
            <w:r w:rsidRPr="0098264E">
              <w:rPr>
                <w:rFonts w:ascii="Times New Roman" w:eastAsia="Times New Roman" w:hAnsi="Times New Roman" w:cs="Times New Roman"/>
                <w:color w:val="000000"/>
              </w:rPr>
              <w:t>Avīžu, žurnālu, biļetenu un citu periodisko izdevumu piegādes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28A700" w14:textId="0B41297D" w:rsidR="00891D90" w:rsidRPr="0098264E" w:rsidRDefault="00F16112" w:rsidP="00891D90">
            <w:pPr>
              <w:suppressAutoHyphens/>
              <w:spacing w:after="0" w:line="240" w:lineRule="auto"/>
              <w:jc w:val="center"/>
              <w:rPr>
                <w:rFonts w:ascii="Times New Roman" w:eastAsia="Times New Roman" w:hAnsi="Times New Roman" w:cs="Times New Roman"/>
                <w:color w:val="000000"/>
              </w:rPr>
            </w:pPr>
            <w:r w:rsidRPr="0098264E">
              <w:rPr>
                <w:rFonts w:ascii="Times New Roman" w:eastAsia="Times New Roman" w:hAnsi="Times New Roman" w:cs="Times New Roman"/>
                <w:color w:val="000000"/>
              </w:rPr>
              <w:t>-</w:t>
            </w:r>
            <w:r w:rsidR="00891D90" w:rsidRPr="0098264E">
              <w:rPr>
                <w:rFonts w:ascii="Times New Roman" w:eastAsia="Times New Roman" w:hAnsi="Times New Roman" w:cs="Times New Roman"/>
                <w:color w:val="000000"/>
              </w:rPr>
              <w:t>4,1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9B6C56" w14:textId="5099E062" w:rsidR="00891D90" w:rsidRPr="0098264E" w:rsidRDefault="00F16112" w:rsidP="00891D90">
            <w:pPr>
              <w:suppressAutoHyphens/>
              <w:spacing w:after="0" w:line="240" w:lineRule="auto"/>
              <w:jc w:val="center"/>
              <w:rPr>
                <w:rFonts w:ascii="Times New Roman" w:eastAsia="Times New Roman" w:hAnsi="Times New Roman" w:cs="Times New Roman"/>
                <w:color w:val="000000"/>
              </w:rPr>
            </w:pPr>
            <w:r w:rsidRPr="0098264E">
              <w:rPr>
                <w:rFonts w:ascii="Times New Roman" w:eastAsia="Times New Roman" w:hAnsi="Times New Roman" w:cs="Times New Roman"/>
                <w:color w:val="000000"/>
              </w:rPr>
              <w:t>-</w:t>
            </w:r>
            <w:r w:rsidR="00891D90" w:rsidRPr="0098264E">
              <w:rPr>
                <w:rFonts w:ascii="Times New Roman" w:eastAsia="Times New Roman" w:hAnsi="Times New Roman" w:cs="Times New Roman"/>
                <w:color w:val="000000"/>
              </w:rPr>
              <w:t>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980811" w14:textId="6AB232E2" w:rsidR="00891D90" w:rsidRPr="0098264E" w:rsidRDefault="00F16112" w:rsidP="00891D90">
            <w:pPr>
              <w:suppressAutoHyphens/>
              <w:spacing w:after="0" w:line="240" w:lineRule="auto"/>
              <w:jc w:val="center"/>
              <w:rPr>
                <w:rFonts w:ascii="Times New Roman" w:eastAsia="Times New Roman" w:hAnsi="Times New Roman" w:cs="Times New Roman"/>
                <w:color w:val="000000"/>
              </w:rPr>
            </w:pPr>
            <w:r w:rsidRPr="0098264E">
              <w:rPr>
                <w:rFonts w:ascii="Times New Roman" w:eastAsia="Times New Roman" w:hAnsi="Times New Roman" w:cs="Times New Roman"/>
                <w:color w:val="000000"/>
              </w:rPr>
              <w:t>-</w:t>
            </w:r>
            <w:r w:rsidR="00891D90" w:rsidRPr="0098264E">
              <w:rPr>
                <w:rFonts w:ascii="Times New Roman" w:eastAsia="Times New Roman" w:hAnsi="Times New Roman" w:cs="Times New Roman"/>
                <w:color w:val="000000"/>
              </w:rPr>
              <w:t>3,7</w:t>
            </w:r>
          </w:p>
        </w:tc>
      </w:tr>
      <w:tr w:rsidR="00891D90" w:rsidRPr="0098264E" w14:paraId="7DF4FA65" w14:textId="77777777" w:rsidTr="00C64D4E">
        <w:tc>
          <w:tcPr>
            <w:tcW w:w="5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B9597F" w14:textId="77777777" w:rsidR="00891D90" w:rsidRPr="0098264E" w:rsidRDefault="00891D90" w:rsidP="00891D90">
            <w:pPr>
              <w:suppressAutoHyphens/>
              <w:spacing w:after="0" w:line="240" w:lineRule="auto"/>
            </w:pPr>
            <w:r w:rsidRPr="0098264E">
              <w:rPr>
                <w:rFonts w:ascii="Times New Roman" w:eastAsia="Times New Roman" w:hAnsi="Times New Roman" w:cs="Times New Roman"/>
                <w:color w:val="000000"/>
              </w:rPr>
              <w:t>7</w:t>
            </w:r>
          </w:p>
        </w:tc>
        <w:tc>
          <w:tcPr>
            <w:tcW w:w="4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AB2990" w14:textId="77777777" w:rsidR="00891D90" w:rsidRPr="0098264E" w:rsidRDefault="00891D90" w:rsidP="00891D90">
            <w:pPr>
              <w:suppressAutoHyphens/>
              <w:spacing w:after="0" w:line="240" w:lineRule="auto"/>
            </w:pPr>
            <w:r w:rsidRPr="0098264E">
              <w:rPr>
                <w:rFonts w:ascii="Times New Roman" w:eastAsia="Times New Roman" w:hAnsi="Times New Roman" w:cs="Times New Roman"/>
                <w:color w:val="000000"/>
              </w:rPr>
              <w:t>Izmitināšanas pakalpojumi tūristu mītnēs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233ED0" w14:textId="5DE1657E" w:rsidR="00891D90" w:rsidRPr="0098264E" w:rsidRDefault="00F16112" w:rsidP="00891D90">
            <w:pPr>
              <w:suppressAutoHyphens/>
              <w:spacing w:after="0" w:line="240" w:lineRule="auto"/>
              <w:jc w:val="center"/>
              <w:rPr>
                <w:rFonts w:ascii="Times New Roman" w:eastAsia="Times New Roman" w:hAnsi="Times New Roman" w:cs="Times New Roman"/>
                <w:color w:val="000000"/>
              </w:rPr>
            </w:pPr>
            <w:r w:rsidRPr="0098264E">
              <w:rPr>
                <w:rFonts w:ascii="Times New Roman" w:eastAsia="Times New Roman" w:hAnsi="Times New Roman" w:cs="Times New Roman"/>
                <w:color w:val="000000"/>
              </w:rPr>
              <w:t>-</w:t>
            </w:r>
            <w:r w:rsidR="00891D90" w:rsidRPr="0098264E">
              <w:rPr>
                <w:rFonts w:ascii="Times New Roman" w:eastAsia="Times New Roman" w:hAnsi="Times New Roman" w:cs="Times New Roman"/>
                <w:color w:val="000000"/>
              </w:rPr>
              <w:t>7,3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2D6A10" w14:textId="3A4201B8" w:rsidR="00891D90" w:rsidRPr="0098264E" w:rsidRDefault="00F16112" w:rsidP="00891D90">
            <w:pPr>
              <w:suppressAutoHyphens/>
              <w:spacing w:after="0" w:line="240" w:lineRule="auto"/>
              <w:jc w:val="center"/>
              <w:rPr>
                <w:rFonts w:ascii="Times New Roman" w:eastAsia="Times New Roman" w:hAnsi="Times New Roman" w:cs="Times New Roman"/>
                <w:color w:val="000000"/>
              </w:rPr>
            </w:pPr>
            <w:r w:rsidRPr="0098264E">
              <w:rPr>
                <w:rFonts w:ascii="Times New Roman" w:eastAsia="Times New Roman" w:hAnsi="Times New Roman" w:cs="Times New Roman"/>
                <w:color w:val="000000"/>
              </w:rPr>
              <w:t>-</w:t>
            </w:r>
            <w:r w:rsidR="00891D90" w:rsidRPr="0098264E">
              <w:rPr>
                <w:rFonts w:ascii="Times New Roman" w:eastAsia="Times New Roman" w:hAnsi="Times New Roman" w:cs="Times New Roman"/>
                <w:color w:val="000000"/>
              </w:rPr>
              <w:t>7,9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4A99A4" w14:textId="5156F32C" w:rsidR="00891D90" w:rsidRPr="0098264E" w:rsidRDefault="00F16112" w:rsidP="00891D90">
            <w:pPr>
              <w:suppressAutoHyphens/>
              <w:spacing w:after="0" w:line="240" w:lineRule="auto"/>
              <w:jc w:val="center"/>
              <w:rPr>
                <w:rFonts w:ascii="Times New Roman" w:eastAsia="Times New Roman" w:hAnsi="Times New Roman" w:cs="Times New Roman"/>
                <w:color w:val="000000"/>
              </w:rPr>
            </w:pPr>
            <w:r w:rsidRPr="0098264E">
              <w:rPr>
                <w:rFonts w:ascii="Times New Roman" w:eastAsia="Times New Roman" w:hAnsi="Times New Roman" w:cs="Times New Roman"/>
                <w:color w:val="000000"/>
              </w:rPr>
              <w:t>-</w:t>
            </w:r>
            <w:r w:rsidR="00891D90" w:rsidRPr="0098264E">
              <w:rPr>
                <w:rFonts w:ascii="Times New Roman" w:eastAsia="Times New Roman" w:hAnsi="Times New Roman" w:cs="Times New Roman"/>
                <w:color w:val="000000"/>
              </w:rPr>
              <w:t>8,7</w:t>
            </w:r>
          </w:p>
        </w:tc>
      </w:tr>
      <w:tr w:rsidR="00891D90" w:rsidRPr="0098264E" w14:paraId="12BA01CD" w14:textId="77777777" w:rsidTr="00C64D4E">
        <w:tc>
          <w:tcPr>
            <w:tcW w:w="5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370262" w14:textId="77777777" w:rsidR="00891D90" w:rsidRPr="0098264E" w:rsidRDefault="00891D90" w:rsidP="00891D90">
            <w:pPr>
              <w:suppressAutoHyphens/>
              <w:spacing w:after="0" w:line="240" w:lineRule="auto"/>
            </w:pPr>
            <w:r w:rsidRPr="0098264E">
              <w:rPr>
                <w:rFonts w:ascii="Times New Roman" w:eastAsia="Times New Roman" w:hAnsi="Times New Roman" w:cs="Times New Roman"/>
                <w:color w:val="000000"/>
              </w:rPr>
              <w:t>8</w:t>
            </w:r>
          </w:p>
        </w:tc>
        <w:tc>
          <w:tcPr>
            <w:tcW w:w="4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632FA8" w14:textId="77777777" w:rsidR="00891D90" w:rsidRPr="0098264E" w:rsidRDefault="00891D90" w:rsidP="00891D90">
            <w:pPr>
              <w:suppressAutoHyphens/>
              <w:spacing w:after="0" w:line="240" w:lineRule="auto"/>
            </w:pPr>
            <w:r w:rsidRPr="0098264E">
              <w:rPr>
                <w:rFonts w:ascii="Times New Roman" w:eastAsia="Times New Roman" w:hAnsi="Times New Roman" w:cs="Times New Roman"/>
                <w:color w:val="000000"/>
              </w:rPr>
              <w:t>Siltumenerģijas piegādes iedzīvotājiem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40BA9D" w14:textId="2AFF7EBF" w:rsidR="00891D90" w:rsidRPr="0098264E" w:rsidRDefault="00F16112" w:rsidP="00891D90">
            <w:pPr>
              <w:suppressAutoHyphens/>
              <w:spacing w:after="0" w:line="240" w:lineRule="auto"/>
              <w:jc w:val="center"/>
              <w:rPr>
                <w:rFonts w:ascii="Times New Roman" w:eastAsia="Times New Roman" w:hAnsi="Times New Roman" w:cs="Times New Roman"/>
                <w:color w:val="000000"/>
              </w:rPr>
            </w:pPr>
            <w:r w:rsidRPr="0098264E">
              <w:rPr>
                <w:rFonts w:ascii="Times New Roman" w:eastAsia="Times New Roman" w:hAnsi="Times New Roman" w:cs="Times New Roman"/>
                <w:color w:val="000000"/>
              </w:rPr>
              <w:t>-</w:t>
            </w:r>
            <w:r w:rsidR="00891D90" w:rsidRPr="0098264E">
              <w:rPr>
                <w:rFonts w:ascii="Times New Roman" w:eastAsia="Times New Roman" w:hAnsi="Times New Roman" w:cs="Times New Roman"/>
                <w:color w:val="000000"/>
              </w:rPr>
              <w:t>20,3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43DF04" w14:textId="1148BBD3" w:rsidR="00891D90" w:rsidRPr="0098264E" w:rsidRDefault="00F16112" w:rsidP="00891D90">
            <w:pPr>
              <w:suppressAutoHyphens/>
              <w:spacing w:after="0" w:line="240" w:lineRule="auto"/>
              <w:jc w:val="center"/>
              <w:rPr>
                <w:rFonts w:ascii="Times New Roman" w:eastAsia="Times New Roman" w:hAnsi="Times New Roman" w:cs="Times New Roman"/>
                <w:color w:val="000000"/>
              </w:rPr>
            </w:pPr>
            <w:r w:rsidRPr="0098264E">
              <w:rPr>
                <w:rFonts w:ascii="Times New Roman" w:eastAsia="Times New Roman" w:hAnsi="Times New Roman" w:cs="Times New Roman"/>
                <w:color w:val="000000"/>
              </w:rPr>
              <w:t>-</w:t>
            </w:r>
            <w:r w:rsidR="00891D90" w:rsidRPr="0098264E">
              <w:rPr>
                <w:rFonts w:ascii="Times New Roman" w:eastAsia="Times New Roman" w:hAnsi="Times New Roman" w:cs="Times New Roman"/>
                <w:color w:val="000000"/>
              </w:rPr>
              <w:t>24,1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CF8F53" w14:textId="0FBBCE7B" w:rsidR="00891D90" w:rsidRPr="0098264E" w:rsidRDefault="00F16112" w:rsidP="00891D90">
            <w:pPr>
              <w:suppressAutoHyphens/>
              <w:spacing w:after="0" w:line="240" w:lineRule="auto"/>
              <w:jc w:val="center"/>
              <w:rPr>
                <w:rFonts w:ascii="Times New Roman" w:eastAsia="Times New Roman" w:hAnsi="Times New Roman" w:cs="Times New Roman"/>
                <w:color w:val="000000"/>
              </w:rPr>
            </w:pPr>
            <w:r w:rsidRPr="0098264E">
              <w:rPr>
                <w:rFonts w:ascii="Times New Roman" w:eastAsia="Times New Roman" w:hAnsi="Times New Roman" w:cs="Times New Roman"/>
                <w:color w:val="000000"/>
              </w:rPr>
              <w:t>-</w:t>
            </w:r>
            <w:r w:rsidR="00891D90" w:rsidRPr="0098264E">
              <w:rPr>
                <w:rFonts w:ascii="Times New Roman" w:eastAsia="Times New Roman" w:hAnsi="Times New Roman" w:cs="Times New Roman"/>
                <w:color w:val="000000"/>
              </w:rPr>
              <w:t>21,0</w:t>
            </w:r>
          </w:p>
        </w:tc>
      </w:tr>
      <w:tr w:rsidR="00891D90" w:rsidRPr="0098264E" w14:paraId="394C2B6B" w14:textId="77777777" w:rsidTr="00C64D4E">
        <w:tc>
          <w:tcPr>
            <w:tcW w:w="5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E3D41E" w14:textId="77777777" w:rsidR="00891D90" w:rsidRPr="0098264E" w:rsidRDefault="00891D90" w:rsidP="00891D90">
            <w:pPr>
              <w:suppressAutoHyphens/>
              <w:spacing w:after="0" w:line="240" w:lineRule="auto"/>
            </w:pPr>
            <w:r w:rsidRPr="0098264E">
              <w:rPr>
                <w:rFonts w:ascii="Times New Roman" w:eastAsia="Times New Roman" w:hAnsi="Times New Roman" w:cs="Times New Roman"/>
                <w:color w:val="000000"/>
              </w:rPr>
              <w:t>9</w:t>
            </w:r>
          </w:p>
        </w:tc>
        <w:tc>
          <w:tcPr>
            <w:tcW w:w="4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4D47AF" w14:textId="77777777" w:rsidR="00891D90" w:rsidRPr="0098264E" w:rsidRDefault="00891D90" w:rsidP="00891D90">
            <w:pPr>
              <w:suppressAutoHyphens/>
              <w:spacing w:after="0" w:line="240" w:lineRule="auto"/>
            </w:pPr>
            <w:r w:rsidRPr="0098264E">
              <w:rPr>
                <w:rFonts w:ascii="Times New Roman" w:eastAsia="Times New Roman" w:hAnsi="Times New Roman" w:cs="Times New Roman"/>
                <w:color w:val="000000"/>
              </w:rPr>
              <w:t>Koksnes kurināmā piegādes iedzīvotājiem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C2AAFF" w14:textId="26AE3569" w:rsidR="00891D90" w:rsidRPr="0098264E" w:rsidRDefault="00F16112" w:rsidP="00891D90">
            <w:pPr>
              <w:suppressAutoHyphens/>
              <w:spacing w:after="0" w:line="240" w:lineRule="auto"/>
              <w:jc w:val="center"/>
              <w:rPr>
                <w:rFonts w:ascii="Times New Roman" w:eastAsia="Times New Roman" w:hAnsi="Times New Roman" w:cs="Times New Roman"/>
                <w:color w:val="000000"/>
              </w:rPr>
            </w:pPr>
            <w:r w:rsidRPr="0098264E">
              <w:rPr>
                <w:rFonts w:ascii="Times New Roman" w:eastAsia="Times New Roman" w:hAnsi="Times New Roman" w:cs="Times New Roman"/>
                <w:color w:val="000000"/>
              </w:rPr>
              <w:t>-</w:t>
            </w:r>
            <w:r w:rsidR="00891D90" w:rsidRPr="0098264E">
              <w:rPr>
                <w:rFonts w:ascii="Times New Roman" w:eastAsia="Times New Roman" w:hAnsi="Times New Roman" w:cs="Times New Roman"/>
                <w:color w:val="000000"/>
              </w:rPr>
              <w:t>0,03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26AA50" w14:textId="2E5A482C" w:rsidR="00891D90" w:rsidRPr="0098264E" w:rsidRDefault="00F16112" w:rsidP="00891D90">
            <w:pPr>
              <w:suppressAutoHyphens/>
              <w:spacing w:after="0" w:line="240" w:lineRule="auto"/>
              <w:jc w:val="center"/>
              <w:rPr>
                <w:rFonts w:ascii="Times New Roman" w:eastAsia="Times New Roman" w:hAnsi="Times New Roman" w:cs="Times New Roman"/>
                <w:color w:val="000000"/>
              </w:rPr>
            </w:pPr>
            <w:r w:rsidRPr="0098264E">
              <w:rPr>
                <w:rFonts w:ascii="Times New Roman" w:eastAsia="Times New Roman" w:hAnsi="Times New Roman" w:cs="Times New Roman"/>
                <w:color w:val="000000"/>
              </w:rPr>
              <w:t>-</w:t>
            </w:r>
            <w:r w:rsidR="00891D90" w:rsidRPr="0098264E">
              <w:rPr>
                <w:rFonts w:ascii="Times New Roman" w:eastAsia="Times New Roman" w:hAnsi="Times New Roman" w:cs="Times New Roman"/>
                <w:color w:val="00000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60A950" w14:textId="32ED02F3" w:rsidR="00891D90" w:rsidRPr="0098264E" w:rsidRDefault="00F16112" w:rsidP="00891D90">
            <w:pPr>
              <w:suppressAutoHyphens/>
              <w:spacing w:after="0" w:line="240" w:lineRule="auto"/>
              <w:jc w:val="center"/>
              <w:rPr>
                <w:rFonts w:ascii="Times New Roman" w:eastAsia="Times New Roman" w:hAnsi="Times New Roman" w:cs="Times New Roman"/>
                <w:color w:val="000000"/>
              </w:rPr>
            </w:pPr>
            <w:r w:rsidRPr="0098264E">
              <w:rPr>
                <w:rFonts w:ascii="Times New Roman" w:eastAsia="Times New Roman" w:hAnsi="Times New Roman" w:cs="Times New Roman"/>
                <w:color w:val="000000"/>
              </w:rPr>
              <w:t>-</w:t>
            </w:r>
            <w:r w:rsidR="00891D90" w:rsidRPr="0098264E">
              <w:rPr>
                <w:rFonts w:ascii="Times New Roman" w:eastAsia="Times New Roman" w:hAnsi="Times New Roman" w:cs="Times New Roman"/>
                <w:color w:val="000000"/>
              </w:rPr>
              <w:t>0,1</w:t>
            </w:r>
          </w:p>
        </w:tc>
      </w:tr>
      <w:tr w:rsidR="00891D90" w:rsidRPr="0098264E" w14:paraId="04BA8505" w14:textId="77777777" w:rsidTr="00C64D4E">
        <w:tc>
          <w:tcPr>
            <w:tcW w:w="5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2A7B0B" w14:textId="77777777" w:rsidR="00891D90" w:rsidRPr="0098264E" w:rsidRDefault="00891D90" w:rsidP="00891D90">
            <w:pPr>
              <w:suppressAutoHyphens/>
              <w:spacing w:after="0" w:line="240" w:lineRule="auto"/>
            </w:pPr>
            <w:r w:rsidRPr="0098264E">
              <w:rPr>
                <w:rFonts w:ascii="Times New Roman" w:eastAsia="Times New Roman" w:hAnsi="Times New Roman" w:cs="Times New Roman"/>
                <w:color w:val="000000"/>
              </w:rPr>
              <w:t>10</w:t>
            </w:r>
          </w:p>
        </w:tc>
        <w:tc>
          <w:tcPr>
            <w:tcW w:w="4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BF204D" w14:textId="77777777" w:rsidR="00891D90" w:rsidRPr="0098264E" w:rsidRDefault="00891D90" w:rsidP="00891D90">
            <w:pPr>
              <w:suppressAutoHyphens/>
              <w:spacing w:after="0" w:line="240" w:lineRule="auto"/>
            </w:pPr>
            <w:r w:rsidRPr="0098264E">
              <w:rPr>
                <w:rFonts w:ascii="Times New Roman" w:eastAsia="Times New Roman" w:hAnsi="Times New Roman" w:cs="Times New Roman"/>
                <w:color w:val="000000"/>
              </w:rPr>
              <w:t>Dabas gāzes piegādes iedzīvotājiem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D2121B" w14:textId="0443D6B0" w:rsidR="00891D90" w:rsidRPr="0098264E" w:rsidRDefault="00F16112" w:rsidP="00891D90">
            <w:pPr>
              <w:suppressAutoHyphens/>
              <w:spacing w:after="0" w:line="240" w:lineRule="auto"/>
              <w:jc w:val="center"/>
              <w:rPr>
                <w:rFonts w:ascii="Times New Roman" w:eastAsia="Times New Roman" w:hAnsi="Times New Roman" w:cs="Times New Roman"/>
                <w:color w:val="000000"/>
              </w:rPr>
            </w:pPr>
            <w:r w:rsidRPr="0098264E">
              <w:rPr>
                <w:rFonts w:ascii="Times New Roman" w:eastAsia="Times New Roman" w:hAnsi="Times New Roman" w:cs="Times New Roman"/>
                <w:color w:val="000000"/>
              </w:rPr>
              <w:t>-</w:t>
            </w:r>
            <w:r w:rsidR="00891D90" w:rsidRPr="0098264E">
              <w:rPr>
                <w:rFonts w:ascii="Times New Roman" w:eastAsia="Times New Roman" w:hAnsi="Times New Roman" w:cs="Times New Roman"/>
                <w:color w:val="000000"/>
              </w:rPr>
              <w:t>3,7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0D8E72" w14:textId="19D273B0" w:rsidR="00891D90" w:rsidRPr="0098264E" w:rsidRDefault="00891D90" w:rsidP="00891D90">
            <w:pPr>
              <w:suppressAutoHyphens/>
              <w:spacing w:after="0" w:line="240" w:lineRule="auto"/>
              <w:jc w:val="center"/>
              <w:rPr>
                <w:rFonts w:ascii="Times New Roman" w:eastAsia="Times New Roman" w:hAnsi="Times New Roman" w:cs="Times New Roman"/>
                <w:color w:val="000000"/>
              </w:rPr>
            </w:pPr>
            <w:r w:rsidRPr="0098264E">
              <w:rPr>
                <w:rFonts w:ascii="Times New Roman" w:eastAsia="Times New Roman" w:hAnsi="Times New Roman" w:cs="Times New Roman"/>
                <w:color w:val="000000"/>
              </w:rPr>
              <w:t xml:space="preserve"> </w:t>
            </w:r>
            <w:r w:rsidR="00E97EB7" w:rsidRPr="0098264E">
              <w:rPr>
                <w:rFonts w:ascii="Times New Roman" w:eastAsia="Times New Roman" w:hAnsi="Times New Roman" w:cs="Times New Roman"/>
                <w:color w:val="00000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1E6FFA" w14:textId="39ACE50E" w:rsidR="00891D90" w:rsidRPr="0098264E" w:rsidRDefault="00E97EB7" w:rsidP="00891D90">
            <w:pPr>
              <w:suppressAutoHyphens/>
              <w:spacing w:after="0" w:line="240" w:lineRule="auto"/>
              <w:jc w:val="center"/>
              <w:rPr>
                <w:rFonts w:ascii="Times New Roman" w:eastAsia="Times New Roman" w:hAnsi="Times New Roman" w:cs="Times New Roman"/>
                <w:color w:val="000000"/>
              </w:rPr>
            </w:pPr>
            <w:r w:rsidRPr="0098264E">
              <w:rPr>
                <w:rFonts w:ascii="Times New Roman" w:eastAsia="Times New Roman" w:hAnsi="Times New Roman" w:cs="Times New Roman"/>
                <w:color w:val="000000"/>
              </w:rPr>
              <w:t>-</w:t>
            </w:r>
            <w:r w:rsidR="00891D90" w:rsidRPr="0098264E">
              <w:rPr>
                <w:rFonts w:ascii="Times New Roman" w:eastAsia="Times New Roman" w:hAnsi="Times New Roman" w:cs="Times New Roman"/>
                <w:color w:val="000000"/>
              </w:rPr>
              <w:t xml:space="preserve"> </w:t>
            </w:r>
          </w:p>
        </w:tc>
      </w:tr>
      <w:tr w:rsidR="00891D90" w:rsidRPr="0098264E" w14:paraId="12453274" w14:textId="77777777" w:rsidTr="00C64D4E">
        <w:tc>
          <w:tcPr>
            <w:tcW w:w="5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77C245" w14:textId="5074ABEF" w:rsidR="00891D90" w:rsidRPr="0098264E" w:rsidRDefault="002D52A2" w:rsidP="002D52A2">
            <w:pPr>
              <w:suppressAutoHyphens/>
              <w:spacing w:after="0" w:line="240" w:lineRule="auto"/>
              <w:rPr>
                <w:rFonts w:ascii="Times New Roman" w:eastAsia="Times New Roman" w:hAnsi="Times New Roman" w:cs="Times New Roman"/>
                <w:color w:val="000000"/>
              </w:rPr>
            </w:pPr>
            <w:r w:rsidRPr="0098264E">
              <w:rPr>
                <w:rFonts w:ascii="Times New Roman" w:eastAsia="Times New Roman" w:hAnsi="Times New Roman" w:cs="Times New Roman"/>
                <w:color w:val="000000"/>
              </w:rPr>
              <w:t>1</w:t>
            </w:r>
            <w:r>
              <w:rPr>
                <w:rFonts w:ascii="Times New Roman" w:eastAsia="Times New Roman" w:hAnsi="Times New Roman" w:cs="Times New Roman"/>
                <w:color w:val="000000"/>
              </w:rPr>
              <w:t>1</w:t>
            </w:r>
          </w:p>
        </w:tc>
        <w:tc>
          <w:tcPr>
            <w:tcW w:w="4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64A821" w14:textId="1D17E2D5" w:rsidR="00891D90" w:rsidRPr="0098264E" w:rsidRDefault="00891D90" w:rsidP="00891D90">
            <w:pPr>
              <w:suppressAutoHyphens/>
              <w:spacing w:after="0" w:line="240" w:lineRule="auto"/>
              <w:rPr>
                <w:rFonts w:ascii="Times New Roman" w:eastAsia="Times New Roman" w:hAnsi="Times New Roman" w:cs="Times New Roman"/>
                <w:color w:val="000000"/>
              </w:rPr>
            </w:pPr>
            <w:r w:rsidRPr="00822C7B">
              <w:rPr>
                <w:rFonts w:ascii="Times New Roman" w:eastAsia="Times New Roman" w:hAnsi="Times New Roman" w:cs="Times New Roman"/>
                <w:color w:val="000000"/>
              </w:rPr>
              <w:t>Piemērotas vairākas preču un pakalpojumu grupas vienlaicīgi</w:t>
            </w:r>
            <w:r w:rsidR="00AC20A2">
              <w:rPr>
                <w:rFonts w:ascii="Times New Roman" w:eastAsia="Times New Roman" w:hAnsi="Times New Roman" w:cs="Times New Roman"/>
                <w:color w:val="00000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F6B726" w14:textId="398FD3BD" w:rsidR="00891D90" w:rsidRPr="0098264E" w:rsidRDefault="00F16112" w:rsidP="00891D90">
            <w:pPr>
              <w:suppressAutoHyphens/>
              <w:spacing w:after="0" w:line="240" w:lineRule="auto"/>
              <w:jc w:val="center"/>
              <w:rPr>
                <w:rFonts w:ascii="Times New Roman" w:eastAsia="Times New Roman" w:hAnsi="Times New Roman" w:cs="Times New Roman"/>
                <w:color w:val="000000"/>
              </w:rPr>
            </w:pPr>
            <w:r w:rsidRPr="0098264E">
              <w:rPr>
                <w:rFonts w:ascii="Times New Roman" w:eastAsia="Times New Roman" w:hAnsi="Times New Roman" w:cs="Times New Roman"/>
                <w:color w:val="000000"/>
              </w:rPr>
              <w:t>-</w:t>
            </w:r>
            <w:r w:rsidR="00891D90" w:rsidRPr="0098264E">
              <w:rPr>
                <w:rFonts w:ascii="Times New Roman" w:eastAsia="Times New Roman" w:hAnsi="Times New Roman" w:cs="Times New Roman"/>
                <w:color w:val="000000"/>
              </w:rPr>
              <w:t>31,0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DD1A80" w14:textId="588F9481" w:rsidR="00891D90" w:rsidRPr="0098264E" w:rsidRDefault="00F16112" w:rsidP="00891D90">
            <w:pPr>
              <w:suppressAutoHyphens/>
              <w:spacing w:after="0" w:line="240" w:lineRule="auto"/>
              <w:jc w:val="center"/>
              <w:rPr>
                <w:rFonts w:ascii="Times New Roman" w:eastAsia="Times New Roman" w:hAnsi="Times New Roman" w:cs="Times New Roman"/>
                <w:color w:val="000000"/>
              </w:rPr>
            </w:pPr>
            <w:r w:rsidRPr="0098264E">
              <w:rPr>
                <w:rFonts w:ascii="Times New Roman" w:eastAsia="Times New Roman" w:hAnsi="Times New Roman" w:cs="Times New Roman"/>
                <w:color w:val="000000"/>
              </w:rPr>
              <w:t>-</w:t>
            </w:r>
            <w:r w:rsidR="00891D90" w:rsidRPr="0098264E">
              <w:rPr>
                <w:rFonts w:ascii="Times New Roman" w:eastAsia="Times New Roman" w:hAnsi="Times New Roman" w:cs="Times New Roman"/>
                <w:color w:val="000000"/>
              </w:rPr>
              <w:t>26,9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4E7758" w14:textId="4996FBF1" w:rsidR="00891D90" w:rsidRPr="0098264E" w:rsidRDefault="00F16112" w:rsidP="00891D90">
            <w:pPr>
              <w:suppressAutoHyphens/>
              <w:spacing w:after="0" w:line="240" w:lineRule="auto"/>
              <w:jc w:val="center"/>
              <w:rPr>
                <w:rFonts w:ascii="Times New Roman" w:eastAsia="Times New Roman" w:hAnsi="Times New Roman" w:cs="Times New Roman"/>
                <w:color w:val="000000"/>
              </w:rPr>
            </w:pPr>
            <w:r w:rsidRPr="0098264E">
              <w:rPr>
                <w:rFonts w:ascii="Times New Roman" w:eastAsia="Times New Roman" w:hAnsi="Times New Roman" w:cs="Times New Roman"/>
                <w:color w:val="000000"/>
              </w:rPr>
              <w:t>-</w:t>
            </w:r>
            <w:r w:rsidR="00891D90" w:rsidRPr="0098264E">
              <w:rPr>
                <w:rFonts w:ascii="Times New Roman" w:eastAsia="Times New Roman" w:hAnsi="Times New Roman" w:cs="Times New Roman"/>
                <w:color w:val="000000"/>
              </w:rPr>
              <w:t>25,7</w:t>
            </w:r>
          </w:p>
        </w:tc>
      </w:tr>
      <w:tr w:rsidR="00C64D4E" w:rsidRPr="0098264E" w14:paraId="5981FF4F" w14:textId="77777777" w:rsidTr="00C64D4E">
        <w:tc>
          <w:tcPr>
            <w:tcW w:w="5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BA6CAE" w14:textId="77777777" w:rsidR="00C64D4E" w:rsidRPr="0098264E" w:rsidRDefault="00C64D4E">
            <w:pPr>
              <w:suppressAutoHyphens/>
              <w:spacing w:after="0" w:line="240" w:lineRule="auto"/>
            </w:pPr>
            <w:r w:rsidRPr="0098264E">
              <w:rPr>
                <w:rFonts w:ascii="Times New Roman" w:eastAsia="Times New Roman" w:hAnsi="Times New Roman" w:cs="Times New Roman"/>
                <w:color w:val="000000"/>
              </w:rPr>
              <w:t> </w:t>
            </w:r>
          </w:p>
        </w:tc>
        <w:tc>
          <w:tcPr>
            <w:tcW w:w="4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E82408" w14:textId="16D41FDF" w:rsidR="00C64D4E" w:rsidRPr="0098264E" w:rsidRDefault="00C64D4E" w:rsidP="00664C62">
            <w:pPr>
              <w:suppressAutoHyphens/>
              <w:spacing w:after="0" w:line="240" w:lineRule="auto"/>
            </w:pPr>
            <w:r w:rsidRPr="0098264E">
              <w:rPr>
                <w:rFonts w:ascii="Times New Roman" w:eastAsia="Times New Roman" w:hAnsi="Times New Roman" w:cs="Times New Roman"/>
                <w:b/>
                <w:color w:val="000000"/>
              </w:rPr>
              <w:t xml:space="preserve">KOPĀ fiskālā ietekme no </w:t>
            </w:r>
            <w:r w:rsidR="00664C62" w:rsidRPr="0098264E">
              <w:rPr>
                <w:rFonts w:ascii="Times New Roman" w:eastAsia="Times New Roman" w:hAnsi="Times New Roman" w:cs="Times New Roman"/>
                <w:b/>
                <w:color w:val="000000"/>
              </w:rPr>
              <w:t xml:space="preserve">samazinātās </w:t>
            </w:r>
            <w:r w:rsidRPr="0098264E">
              <w:rPr>
                <w:rFonts w:ascii="Times New Roman" w:eastAsia="Times New Roman" w:hAnsi="Times New Roman" w:cs="Times New Roman"/>
                <w:b/>
                <w:color w:val="000000"/>
              </w:rPr>
              <w:t>PVN likmes</w:t>
            </w:r>
            <w:r w:rsidRPr="0098264E">
              <w:rPr>
                <w:rFonts w:ascii="Times New Roman" w:eastAsia="Times New Roman" w:hAnsi="Times New Roman" w:cs="Times New Roman"/>
                <w:i/>
                <w:color w:val="000000"/>
              </w:rPr>
              <w:t xml:space="preserve">, milj. </w:t>
            </w:r>
            <w:proofErr w:type="spellStart"/>
            <w:r w:rsidRPr="0098264E">
              <w:rPr>
                <w:rFonts w:ascii="Times New Roman" w:eastAsia="Times New Roman" w:hAnsi="Times New Roman" w:cs="Times New Roman"/>
                <w:i/>
                <w:color w:val="000000"/>
              </w:rPr>
              <w:t>euro</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B0AA69" w14:textId="23713FDA" w:rsidR="00C64D4E" w:rsidRPr="0098264E" w:rsidRDefault="00C64D4E" w:rsidP="004E35A4">
            <w:pPr>
              <w:suppressAutoHyphens/>
              <w:spacing w:after="0" w:line="240" w:lineRule="auto"/>
              <w:jc w:val="center"/>
            </w:pPr>
            <w:r w:rsidRPr="0098264E">
              <w:rPr>
                <w:rFonts w:ascii="Times New Roman" w:eastAsia="Times New Roman" w:hAnsi="Times New Roman" w:cs="Times New Roman"/>
                <w:b/>
                <w:color w:val="000000"/>
              </w:rPr>
              <w:t>-</w:t>
            </w:r>
            <w:r w:rsidR="004E35A4" w:rsidRPr="0098264E">
              <w:rPr>
                <w:rFonts w:ascii="Times New Roman" w:eastAsia="Times New Roman" w:hAnsi="Times New Roman" w:cs="Times New Roman"/>
                <w:b/>
                <w:color w:val="000000"/>
              </w:rPr>
              <w:t>155,2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863346" w14:textId="2AF597B3" w:rsidR="00C64D4E" w:rsidRPr="0098264E" w:rsidRDefault="00C64D4E" w:rsidP="004E35A4">
            <w:pPr>
              <w:suppressAutoHyphens/>
              <w:spacing w:after="0" w:line="240" w:lineRule="auto"/>
              <w:jc w:val="center"/>
            </w:pPr>
            <w:r w:rsidRPr="0098264E">
              <w:rPr>
                <w:rFonts w:ascii="Times New Roman" w:eastAsia="Times New Roman" w:hAnsi="Times New Roman" w:cs="Times New Roman"/>
                <w:b/>
                <w:color w:val="000000"/>
              </w:rPr>
              <w:t>-</w:t>
            </w:r>
            <w:r w:rsidR="004E35A4" w:rsidRPr="0098264E">
              <w:rPr>
                <w:rFonts w:ascii="Times New Roman" w:eastAsia="Times New Roman" w:hAnsi="Times New Roman" w:cs="Times New Roman"/>
                <w:b/>
                <w:color w:val="000000"/>
              </w:rPr>
              <w:t>148,8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69AF98" w14:textId="0EDE934D" w:rsidR="00C64D4E" w:rsidRPr="0098264E" w:rsidRDefault="00C64D4E" w:rsidP="004E35A4">
            <w:pPr>
              <w:suppressAutoHyphens/>
              <w:spacing w:after="0" w:line="240" w:lineRule="auto"/>
              <w:jc w:val="center"/>
            </w:pPr>
            <w:r w:rsidRPr="0098264E">
              <w:rPr>
                <w:rFonts w:ascii="Times New Roman" w:eastAsia="Times New Roman" w:hAnsi="Times New Roman" w:cs="Times New Roman"/>
                <w:b/>
                <w:color w:val="000000"/>
              </w:rPr>
              <w:t>-</w:t>
            </w:r>
            <w:r w:rsidR="004E35A4" w:rsidRPr="0098264E">
              <w:rPr>
                <w:rFonts w:ascii="Times New Roman" w:eastAsia="Times New Roman" w:hAnsi="Times New Roman" w:cs="Times New Roman"/>
                <w:b/>
                <w:color w:val="000000"/>
              </w:rPr>
              <w:t>142,4</w:t>
            </w:r>
          </w:p>
        </w:tc>
      </w:tr>
    </w:tbl>
    <w:p w14:paraId="6B2C502A" w14:textId="29D709F2" w:rsidR="006A75E8" w:rsidRPr="00822C7B" w:rsidRDefault="00AC20A2">
      <w:pPr>
        <w:suppressAutoHyphens/>
        <w:spacing w:after="0" w:line="240" w:lineRule="auto"/>
        <w:jc w:val="both"/>
        <w:rPr>
          <w:rFonts w:ascii="Times New Roman" w:eastAsia="Calibri" w:hAnsi="Times New Roman" w:cs="Times New Roman"/>
          <w:i/>
          <w:sz w:val="20"/>
          <w:szCs w:val="20"/>
        </w:rPr>
      </w:pPr>
      <w:r>
        <w:rPr>
          <w:rFonts w:ascii="Calibri" w:eastAsia="Calibri" w:hAnsi="Calibri" w:cs="Calibri"/>
          <w:sz w:val="24"/>
          <w:szCs w:val="24"/>
        </w:rPr>
        <w:t>*</w:t>
      </w:r>
      <w:r w:rsidR="00822C7B" w:rsidRPr="00822C7B">
        <w:t xml:space="preserve"> </w:t>
      </w:r>
      <w:r w:rsidR="00822C7B" w:rsidRPr="00822C7B">
        <w:rPr>
          <w:rFonts w:ascii="Times New Roman" w:eastAsia="Calibri" w:hAnsi="Times New Roman" w:cs="Times New Roman"/>
          <w:i/>
          <w:sz w:val="20"/>
          <w:szCs w:val="20"/>
        </w:rPr>
        <w:t xml:space="preserve">Ar samazināto </w:t>
      </w:r>
      <w:r w:rsidR="00D57377" w:rsidRPr="00D57377">
        <w:rPr>
          <w:rFonts w:ascii="Times New Roman" w:eastAsia="Calibri" w:hAnsi="Times New Roman" w:cs="Times New Roman"/>
          <w:i/>
          <w:sz w:val="20"/>
          <w:szCs w:val="20"/>
        </w:rPr>
        <w:t xml:space="preserve">PVN </w:t>
      </w:r>
      <w:r w:rsidR="00822C7B" w:rsidRPr="00822C7B">
        <w:rPr>
          <w:rFonts w:ascii="Times New Roman" w:eastAsia="Calibri" w:hAnsi="Times New Roman" w:cs="Times New Roman"/>
          <w:i/>
          <w:sz w:val="20"/>
          <w:szCs w:val="20"/>
        </w:rPr>
        <w:t>likmi apliekamās preces un pakalpojumi, kuri nav identificējami pēc NACE kodiem</w:t>
      </w:r>
    </w:p>
    <w:p w14:paraId="69B6DB38" w14:textId="77777777" w:rsidR="001261B2" w:rsidRPr="00391150" w:rsidRDefault="001261B2">
      <w:pPr>
        <w:suppressAutoHyphens/>
        <w:spacing w:after="0" w:line="240" w:lineRule="auto"/>
        <w:jc w:val="both"/>
        <w:rPr>
          <w:rFonts w:ascii="Calibri" w:eastAsia="Calibri" w:hAnsi="Calibri" w:cs="Calibri"/>
          <w:sz w:val="24"/>
          <w:szCs w:val="24"/>
        </w:rPr>
      </w:pPr>
    </w:p>
    <w:p w14:paraId="1E0C4CA0" w14:textId="77777777" w:rsidR="00C157D6" w:rsidRPr="00D928CD" w:rsidRDefault="00C157D6" w:rsidP="004376D5">
      <w:pPr>
        <w:suppressAutoHyphens/>
        <w:spacing w:after="0" w:line="240" w:lineRule="auto"/>
        <w:ind w:firstLine="720"/>
        <w:jc w:val="both"/>
        <w:rPr>
          <w:rFonts w:ascii="Times New Roman" w:eastAsia="Times New Roman" w:hAnsi="Times New Roman" w:cs="Times New Roman"/>
          <w:sz w:val="24"/>
          <w:szCs w:val="24"/>
        </w:rPr>
      </w:pPr>
      <w:r w:rsidRPr="00D928CD">
        <w:rPr>
          <w:rFonts w:ascii="Times New Roman" w:eastAsia="Times New Roman" w:hAnsi="Times New Roman" w:cs="Times New Roman"/>
          <w:sz w:val="24"/>
          <w:szCs w:val="24"/>
        </w:rPr>
        <w:t xml:space="preserve">Apskatot PVN sistēmu, jāvērtē arī citi atvieglojumi, kas samazina izmaksas gala patērētājam, vienlaicīgi atstājot negatīvu fiskālo ietekmi uz valsts budžeta ieņēmumiem. </w:t>
      </w:r>
    </w:p>
    <w:p w14:paraId="58E46938" w14:textId="34599749" w:rsidR="00C157D6" w:rsidRPr="00D928CD" w:rsidRDefault="00C157D6" w:rsidP="004376D5">
      <w:pPr>
        <w:suppressAutoHyphens/>
        <w:spacing w:after="0" w:line="240" w:lineRule="auto"/>
        <w:ind w:firstLine="720"/>
        <w:jc w:val="both"/>
        <w:rPr>
          <w:rFonts w:ascii="Times New Roman" w:eastAsia="Times New Roman" w:hAnsi="Times New Roman" w:cs="Times New Roman"/>
          <w:sz w:val="24"/>
          <w:szCs w:val="24"/>
        </w:rPr>
      </w:pPr>
      <w:r w:rsidRPr="00D928CD">
        <w:rPr>
          <w:rFonts w:ascii="Times New Roman" w:eastAsia="Times New Roman" w:hAnsi="Times New Roman" w:cs="Times New Roman"/>
          <w:sz w:val="24"/>
          <w:szCs w:val="24"/>
        </w:rPr>
        <w:lastRenderedPageBreak/>
        <w:t>Saskaņā ar spēkā esošo P</w:t>
      </w:r>
      <w:r w:rsidR="00501591" w:rsidRPr="00D928CD">
        <w:rPr>
          <w:rFonts w:ascii="Times New Roman" w:eastAsia="Times New Roman" w:hAnsi="Times New Roman" w:cs="Times New Roman"/>
          <w:sz w:val="24"/>
          <w:szCs w:val="24"/>
        </w:rPr>
        <w:t>ievienotās vērtības nodokļa</w:t>
      </w:r>
      <w:r w:rsidRPr="00D928CD">
        <w:rPr>
          <w:rFonts w:ascii="Times New Roman" w:eastAsia="Times New Roman" w:hAnsi="Times New Roman" w:cs="Times New Roman"/>
          <w:sz w:val="24"/>
          <w:szCs w:val="24"/>
        </w:rPr>
        <w:t xml:space="preserve"> likumu ar</w:t>
      </w:r>
      <w:r w:rsidR="00501591" w:rsidRPr="00D928CD">
        <w:rPr>
          <w:rFonts w:ascii="Times New Roman" w:eastAsia="Times New Roman" w:hAnsi="Times New Roman" w:cs="Times New Roman"/>
          <w:sz w:val="24"/>
          <w:szCs w:val="24"/>
        </w:rPr>
        <w:t xml:space="preserve"> PVN</w:t>
      </w:r>
      <w:r w:rsidRPr="00D928CD">
        <w:rPr>
          <w:rFonts w:ascii="Times New Roman" w:eastAsia="Times New Roman" w:hAnsi="Times New Roman" w:cs="Times New Roman"/>
          <w:sz w:val="24"/>
          <w:szCs w:val="24"/>
        </w:rPr>
        <w:t xml:space="preserve">  neapliek šādas preču piegādes un pakalpojumus:</w:t>
      </w:r>
    </w:p>
    <w:p w14:paraId="4DA5740B" w14:textId="7E931FEF" w:rsidR="00936900" w:rsidRPr="00D928CD" w:rsidRDefault="00936900" w:rsidP="00A6790D">
      <w:pPr>
        <w:numPr>
          <w:ilvl w:val="0"/>
          <w:numId w:val="2"/>
        </w:numPr>
        <w:suppressAutoHyphens/>
        <w:spacing w:before="120" w:after="120" w:line="240" w:lineRule="auto"/>
        <w:ind w:left="1496" w:hanging="360"/>
        <w:jc w:val="both"/>
        <w:rPr>
          <w:rFonts w:ascii="Times New Roman" w:eastAsia="Calibri" w:hAnsi="Times New Roman" w:cs="Times New Roman"/>
          <w:sz w:val="24"/>
          <w:szCs w:val="24"/>
        </w:rPr>
      </w:pPr>
      <w:r w:rsidRPr="00D928CD">
        <w:rPr>
          <w:rFonts w:ascii="Times New Roman" w:eastAsia="Calibri" w:hAnsi="Times New Roman" w:cs="Times New Roman"/>
          <w:sz w:val="24"/>
          <w:szCs w:val="24"/>
        </w:rPr>
        <w:t>pasta pakalpojumus</w:t>
      </w:r>
      <w:r w:rsidR="006F4089" w:rsidRPr="00D928CD">
        <w:rPr>
          <w:rFonts w:ascii="Times New Roman" w:eastAsia="Calibri" w:hAnsi="Times New Roman" w:cs="Times New Roman"/>
          <w:sz w:val="24"/>
          <w:szCs w:val="24"/>
        </w:rPr>
        <w:t>,</w:t>
      </w:r>
      <w:r w:rsidRPr="00D928CD">
        <w:rPr>
          <w:rFonts w:ascii="Times New Roman" w:eastAsia="Calibri" w:hAnsi="Times New Roman" w:cs="Times New Roman"/>
          <w:sz w:val="24"/>
          <w:szCs w:val="24"/>
        </w:rPr>
        <w:t xml:space="preserve"> </w:t>
      </w:r>
      <w:r w:rsidRPr="00D928CD">
        <w:rPr>
          <w:rFonts w:ascii="Times New Roman" w:hAnsi="Times New Roman" w:cs="Times New Roman"/>
          <w:sz w:val="24"/>
          <w:szCs w:val="24"/>
        </w:rPr>
        <w:t>ko sniedz universālā pasta pakalpojuma sniedzējs un pasta apmaksas zīmes, ko laiž apgrozībā un piegādā saskaņā ar Pasta likumu,</w:t>
      </w:r>
    </w:p>
    <w:p w14:paraId="5F6196A5" w14:textId="77777777" w:rsidR="00C157D6" w:rsidRPr="00D928CD" w:rsidRDefault="00C157D6" w:rsidP="00A6790D">
      <w:pPr>
        <w:numPr>
          <w:ilvl w:val="0"/>
          <w:numId w:val="2"/>
        </w:numPr>
        <w:suppressAutoHyphens/>
        <w:spacing w:before="120" w:after="120" w:line="240" w:lineRule="auto"/>
        <w:ind w:left="1496" w:hanging="360"/>
        <w:jc w:val="both"/>
        <w:rPr>
          <w:rFonts w:ascii="Times New Roman" w:hAnsi="Times New Roman"/>
          <w:sz w:val="24"/>
          <w:szCs w:val="24"/>
        </w:rPr>
      </w:pPr>
      <w:r w:rsidRPr="00D928CD">
        <w:rPr>
          <w:rFonts w:ascii="Times New Roman" w:eastAsia="Times New Roman" w:hAnsi="Times New Roman" w:cs="Times New Roman"/>
          <w:sz w:val="24"/>
          <w:szCs w:val="24"/>
        </w:rPr>
        <w:t xml:space="preserve">medicīnas pakalpojumus, </w:t>
      </w:r>
    </w:p>
    <w:p w14:paraId="3DDD312D" w14:textId="77777777" w:rsidR="00936900" w:rsidRPr="00D928CD" w:rsidRDefault="00936900" w:rsidP="00A6790D">
      <w:pPr>
        <w:numPr>
          <w:ilvl w:val="0"/>
          <w:numId w:val="2"/>
        </w:numPr>
        <w:suppressAutoHyphens/>
        <w:spacing w:before="120" w:after="120" w:line="240" w:lineRule="auto"/>
        <w:ind w:left="1496" w:hanging="360"/>
        <w:jc w:val="both"/>
        <w:rPr>
          <w:rFonts w:ascii="Times New Roman" w:eastAsia="Calibri" w:hAnsi="Times New Roman" w:cs="Times New Roman"/>
          <w:sz w:val="24"/>
          <w:szCs w:val="24"/>
        </w:rPr>
      </w:pPr>
      <w:r w:rsidRPr="00D928CD">
        <w:rPr>
          <w:rFonts w:ascii="Times New Roman" w:hAnsi="Times New Roman" w:cs="Times New Roman"/>
          <w:sz w:val="24"/>
          <w:szCs w:val="24"/>
        </w:rPr>
        <w:t>cilvēka orgānu, mātes piena un cilvēka asiņu (tai skaitā asins plazmas un asins šūnu) piegādes,</w:t>
      </w:r>
    </w:p>
    <w:p w14:paraId="69B46123" w14:textId="77777777" w:rsidR="00C157D6" w:rsidRPr="00D928CD" w:rsidRDefault="00C157D6" w:rsidP="00A6790D">
      <w:pPr>
        <w:numPr>
          <w:ilvl w:val="0"/>
          <w:numId w:val="2"/>
        </w:numPr>
        <w:suppressAutoHyphens/>
        <w:spacing w:before="120" w:after="120" w:line="240" w:lineRule="auto"/>
        <w:ind w:left="1496" w:hanging="360"/>
        <w:jc w:val="both"/>
        <w:rPr>
          <w:rFonts w:ascii="Times New Roman" w:hAnsi="Times New Roman"/>
          <w:sz w:val="24"/>
          <w:szCs w:val="24"/>
        </w:rPr>
      </w:pPr>
      <w:r w:rsidRPr="00D928CD">
        <w:rPr>
          <w:rFonts w:ascii="Times New Roman" w:eastAsia="Times New Roman" w:hAnsi="Times New Roman" w:cs="Times New Roman"/>
          <w:sz w:val="24"/>
          <w:szCs w:val="24"/>
        </w:rPr>
        <w:t>zobārstniecības pakalpojumus,</w:t>
      </w:r>
    </w:p>
    <w:p w14:paraId="47FF7B18" w14:textId="77777777" w:rsidR="00C157D6" w:rsidRPr="00D928CD" w:rsidRDefault="00936900" w:rsidP="00A6790D">
      <w:pPr>
        <w:numPr>
          <w:ilvl w:val="0"/>
          <w:numId w:val="2"/>
        </w:numPr>
        <w:suppressAutoHyphens/>
        <w:spacing w:before="120" w:after="120" w:line="240" w:lineRule="auto"/>
        <w:ind w:left="1496" w:hanging="360"/>
        <w:jc w:val="both"/>
        <w:rPr>
          <w:rFonts w:ascii="Times New Roman" w:eastAsia="Calibri" w:hAnsi="Times New Roman" w:cs="Times New Roman"/>
          <w:sz w:val="24"/>
          <w:szCs w:val="24"/>
        </w:rPr>
      </w:pPr>
      <w:r w:rsidRPr="00D928CD">
        <w:rPr>
          <w:rFonts w:ascii="Times New Roman" w:hAnsi="Times New Roman" w:cs="Times New Roman"/>
          <w:sz w:val="24"/>
          <w:szCs w:val="24"/>
        </w:rPr>
        <w:t>sociālās aprūpes, profesionālās un sociālās rehabilitācijas, sociālās palīdzības un sociālā darba pakalpojumus,</w:t>
      </w:r>
    </w:p>
    <w:p w14:paraId="2F221978" w14:textId="77777777" w:rsidR="00936900" w:rsidRPr="00D928CD" w:rsidRDefault="00936900" w:rsidP="00A6790D">
      <w:pPr>
        <w:numPr>
          <w:ilvl w:val="0"/>
          <w:numId w:val="2"/>
        </w:numPr>
        <w:suppressAutoHyphens/>
        <w:spacing w:before="120" w:after="120" w:line="240" w:lineRule="auto"/>
        <w:ind w:left="1496" w:hanging="360"/>
        <w:jc w:val="both"/>
        <w:rPr>
          <w:rFonts w:ascii="Times New Roman" w:eastAsia="Calibri" w:hAnsi="Times New Roman" w:cs="Times New Roman"/>
          <w:sz w:val="24"/>
          <w:szCs w:val="24"/>
        </w:rPr>
      </w:pPr>
      <w:r w:rsidRPr="00D928CD">
        <w:rPr>
          <w:rFonts w:ascii="Times New Roman" w:hAnsi="Times New Roman" w:cs="Times New Roman"/>
          <w:sz w:val="24"/>
          <w:szCs w:val="24"/>
        </w:rPr>
        <w:t>valsts atzītu izglītības iestāžu pakalpojumus vispārējās izglītības, profesionālās izglītības, augstākās izglītības un interešu izglītības jomā,</w:t>
      </w:r>
    </w:p>
    <w:p w14:paraId="4A37CA97" w14:textId="77777777" w:rsidR="00936900" w:rsidRPr="00D928CD" w:rsidRDefault="00936900" w:rsidP="00A6790D">
      <w:pPr>
        <w:numPr>
          <w:ilvl w:val="0"/>
          <w:numId w:val="2"/>
        </w:numPr>
        <w:suppressAutoHyphens/>
        <w:spacing w:before="120" w:after="120" w:line="240" w:lineRule="auto"/>
        <w:ind w:left="1496" w:hanging="360"/>
        <w:jc w:val="both"/>
        <w:rPr>
          <w:rFonts w:ascii="Times New Roman" w:eastAsia="Calibri" w:hAnsi="Times New Roman" w:cs="Times New Roman"/>
          <w:sz w:val="24"/>
          <w:szCs w:val="24"/>
        </w:rPr>
      </w:pPr>
      <w:r w:rsidRPr="00D928CD">
        <w:rPr>
          <w:rFonts w:ascii="Times New Roman" w:hAnsi="Times New Roman" w:cs="Times New Roman"/>
          <w:sz w:val="24"/>
          <w:szCs w:val="24"/>
        </w:rPr>
        <w:t>skolēnu pārvadājumu pakalpojuma daļu, ko finansē no pašvaldību budžetiem,</w:t>
      </w:r>
    </w:p>
    <w:p w14:paraId="5963CCF5" w14:textId="77777777" w:rsidR="00936900" w:rsidRPr="00D928CD" w:rsidRDefault="00936900" w:rsidP="00A6790D">
      <w:pPr>
        <w:numPr>
          <w:ilvl w:val="0"/>
          <w:numId w:val="2"/>
        </w:numPr>
        <w:suppressAutoHyphens/>
        <w:spacing w:before="120" w:after="120" w:line="240" w:lineRule="auto"/>
        <w:ind w:left="1496" w:hanging="360"/>
        <w:jc w:val="both"/>
        <w:rPr>
          <w:rFonts w:ascii="Times New Roman" w:eastAsia="Calibri" w:hAnsi="Times New Roman" w:cs="Times New Roman"/>
          <w:sz w:val="24"/>
          <w:szCs w:val="24"/>
        </w:rPr>
      </w:pPr>
      <w:r w:rsidRPr="00D928CD">
        <w:rPr>
          <w:rFonts w:ascii="Times New Roman" w:hAnsi="Times New Roman" w:cs="Times New Roman"/>
          <w:sz w:val="24"/>
          <w:szCs w:val="24"/>
        </w:rPr>
        <w:t>bezdarbnieku profesionālās apmācības vai pārkvalificēšanas pakalpojumus, ko organizē Nodarbinātības valsts aģentūra,</w:t>
      </w:r>
    </w:p>
    <w:p w14:paraId="64BAC57E" w14:textId="77777777" w:rsidR="00C157D6" w:rsidRPr="00D928CD" w:rsidRDefault="00C157D6" w:rsidP="00A6790D">
      <w:pPr>
        <w:numPr>
          <w:ilvl w:val="0"/>
          <w:numId w:val="2"/>
        </w:numPr>
        <w:suppressAutoHyphens/>
        <w:spacing w:before="120" w:after="120" w:line="240" w:lineRule="auto"/>
        <w:ind w:left="1496" w:hanging="360"/>
        <w:jc w:val="both"/>
        <w:rPr>
          <w:rFonts w:ascii="Times New Roman" w:hAnsi="Times New Roman"/>
          <w:sz w:val="24"/>
          <w:szCs w:val="24"/>
        </w:rPr>
      </w:pPr>
      <w:r w:rsidRPr="00D928CD">
        <w:rPr>
          <w:rFonts w:ascii="Times New Roman" w:eastAsia="Times New Roman" w:hAnsi="Times New Roman" w:cs="Times New Roman"/>
          <w:sz w:val="24"/>
          <w:szCs w:val="24"/>
        </w:rPr>
        <w:t xml:space="preserve">kultūras pakalpojumus, </w:t>
      </w:r>
    </w:p>
    <w:p w14:paraId="6C376197" w14:textId="77777777" w:rsidR="00C157D6" w:rsidRPr="00D928CD" w:rsidRDefault="00C157D6" w:rsidP="00A6790D">
      <w:pPr>
        <w:numPr>
          <w:ilvl w:val="0"/>
          <w:numId w:val="2"/>
        </w:numPr>
        <w:suppressAutoHyphens/>
        <w:spacing w:before="120" w:after="120" w:line="240" w:lineRule="auto"/>
        <w:ind w:left="1496" w:hanging="360"/>
        <w:jc w:val="both"/>
        <w:rPr>
          <w:rFonts w:ascii="Times New Roman" w:hAnsi="Times New Roman"/>
          <w:sz w:val="24"/>
          <w:szCs w:val="24"/>
        </w:rPr>
      </w:pPr>
      <w:r w:rsidRPr="00D928CD">
        <w:rPr>
          <w:rFonts w:ascii="Times New Roman" w:eastAsia="Times New Roman" w:hAnsi="Times New Roman" w:cs="Times New Roman"/>
          <w:sz w:val="24"/>
          <w:szCs w:val="24"/>
        </w:rPr>
        <w:t xml:space="preserve">autora saņemto atlīdzību par darbu un tā izmantošanu, </w:t>
      </w:r>
    </w:p>
    <w:p w14:paraId="23A7D07F" w14:textId="77777777" w:rsidR="00C157D6" w:rsidRPr="00D928CD" w:rsidRDefault="00C157D6" w:rsidP="00A6790D">
      <w:pPr>
        <w:numPr>
          <w:ilvl w:val="0"/>
          <w:numId w:val="2"/>
        </w:numPr>
        <w:suppressAutoHyphens/>
        <w:spacing w:before="120" w:after="120" w:line="240" w:lineRule="auto"/>
        <w:ind w:left="1496" w:hanging="360"/>
        <w:jc w:val="both"/>
        <w:rPr>
          <w:rFonts w:ascii="Times New Roman" w:hAnsi="Times New Roman"/>
          <w:sz w:val="24"/>
          <w:szCs w:val="24"/>
        </w:rPr>
      </w:pPr>
      <w:r w:rsidRPr="00D928CD">
        <w:rPr>
          <w:rFonts w:ascii="Times New Roman" w:eastAsia="Times New Roman" w:hAnsi="Times New Roman" w:cs="Times New Roman"/>
          <w:sz w:val="24"/>
          <w:szCs w:val="24"/>
        </w:rPr>
        <w:t>nekustamā īpašuma pārdošanu, izņemot nelietota nekustamā īpašuma pārdošanu un apbūves zemes pārdošanu</w:t>
      </w:r>
      <w:r w:rsidR="00936900" w:rsidRPr="00D928CD">
        <w:rPr>
          <w:rFonts w:ascii="Times New Roman" w:eastAsia="Times New Roman" w:hAnsi="Times New Roman" w:cs="Times New Roman"/>
          <w:sz w:val="24"/>
          <w:szCs w:val="24"/>
        </w:rPr>
        <w:t>,</w:t>
      </w:r>
    </w:p>
    <w:p w14:paraId="77F66EAD" w14:textId="4B2C788E" w:rsidR="00C157D6" w:rsidRPr="00D928CD" w:rsidRDefault="00936900" w:rsidP="00A6790D">
      <w:pPr>
        <w:numPr>
          <w:ilvl w:val="0"/>
          <w:numId w:val="2"/>
        </w:numPr>
        <w:suppressAutoHyphens/>
        <w:spacing w:before="120" w:after="120" w:line="240" w:lineRule="auto"/>
        <w:ind w:left="1496" w:hanging="360"/>
        <w:jc w:val="both"/>
        <w:rPr>
          <w:rFonts w:ascii="Times New Roman" w:eastAsia="Calibri" w:hAnsi="Times New Roman" w:cs="Times New Roman"/>
          <w:sz w:val="24"/>
          <w:szCs w:val="24"/>
        </w:rPr>
      </w:pPr>
      <w:r w:rsidRPr="00D928CD">
        <w:rPr>
          <w:rFonts w:ascii="Times New Roman" w:hAnsi="Times New Roman" w:cs="Times New Roman"/>
          <w:sz w:val="24"/>
          <w:szCs w:val="24"/>
        </w:rPr>
        <w:t>apdrošināšanas pakalpojumus,</w:t>
      </w:r>
    </w:p>
    <w:p w14:paraId="4400DB2F" w14:textId="77777777" w:rsidR="00C157D6" w:rsidRPr="00D928CD" w:rsidRDefault="00C157D6" w:rsidP="00A6790D">
      <w:pPr>
        <w:numPr>
          <w:ilvl w:val="0"/>
          <w:numId w:val="2"/>
        </w:numPr>
        <w:suppressAutoHyphens/>
        <w:spacing w:before="120" w:after="120" w:line="240" w:lineRule="auto"/>
        <w:ind w:left="1491" w:hanging="357"/>
        <w:jc w:val="both"/>
        <w:rPr>
          <w:rFonts w:ascii="Times New Roman" w:hAnsi="Times New Roman"/>
          <w:sz w:val="24"/>
          <w:szCs w:val="24"/>
        </w:rPr>
      </w:pPr>
      <w:r w:rsidRPr="00D928CD">
        <w:rPr>
          <w:rFonts w:ascii="Times New Roman" w:eastAsia="Times New Roman" w:hAnsi="Times New Roman" w:cs="Times New Roman"/>
          <w:sz w:val="24"/>
          <w:szCs w:val="24"/>
        </w:rPr>
        <w:t>šādus iedzīvotājiem sniegtos pakalpojumus:</w:t>
      </w:r>
    </w:p>
    <w:p w14:paraId="6FE5691F" w14:textId="77777777" w:rsidR="00C157D6" w:rsidRPr="00D928CD" w:rsidRDefault="00C157D6" w:rsidP="00A6790D">
      <w:pPr>
        <w:suppressAutoHyphens/>
        <w:spacing w:before="120" w:after="120" w:line="240" w:lineRule="auto"/>
        <w:ind w:left="1134" w:firstLine="567"/>
        <w:jc w:val="both"/>
        <w:rPr>
          <w:rFonts w:ascii="Times New Roman" w:hAnsi="Times New Roman"/>
          <w:sz w:val="24"/>
          <w:szCs w:val="24"/>
        </w:rPr>
      </w:pPr>
      <w:r w:rsidRPr="00D928CD">
        <w:rPr>
          <w:rFonts w:ascii="Times New Roman" w:eastAsia="Times New Roman" w:hAnsi="Times New Roman" w:cs="Times New Roman"/>
          <w:sz w:val="24"/>
          <w:szCs w:val="24"/>
        </w:rPr>
        <w:t>a) dzīvojamo telpu īri (izņemot viesu izmitināšanas pakalpojumus viesu izmitināšanas mītnēs);</w:t>
      </w:r>
    </w:p>
    <w:p w14:paraId="4EFEBC4D" w14:textId="77777777" w:rsidR="00C157D6" w:rsidRPr="00D928CD" w:rsidRDefault="00C157D6" w:rsidP="00A6790D">
      <w:pPr>
        <w:suppressAutoHyphens/>
        <w:spacing w:before="120" w:after="120" w:line="240" w:lineRule="auto"/>
        <w:ind w:left="1134" w:firstLine="567"/>
        <w:jc w:val="both"/>
        <w:rPr>
          <w:rFonts w:ascii="Times New Roman" w:eastAsia="Times New Roman" w:hAnsi="Times New Roman" w:cs="Times New Roman"/>
          <w:sz w:val="24"/>
          <w:szCs w:val="24"/>
        </w:rPr>
      </w:pPr>
      <w:r w:rsidRPr="00D928CD">
        <w:rPr>
          <w:rFonts w:ascii="Times New Roman" w:eastAsia="Times New Roman" w:hAnsi="Times New Roman" w:cs="Times New Roman"/>
          <w:sz w:val="24"/>
          <w:szCs w:val="24"/>
        </w:rPr>
        <w:t>b) dzīvojamās mājas pārvaldīšanas pakalpojum</w:t>
      </w:r>
      <w:r w:rsidR="00EB7ABA" w:rsidRPr="00D928CD">
        <w:rPr>
          <w:rFonts w:ascii="Times New Roman" w:eastAsia="Times New Roman" w:hAnsi="Times New Roman" w:cs="Times New Roman"/>
          <w:sz w:val="24"/>
          <w:szCs w:val="24"/>
        </w:rPr>
        <w:t>us.</w:t>
      </w:r>
    </w:p>
    <w:p w14:paraId="6366F270" w14:textId="75F229E4" w:rsidR="00C157D6" w:rsidRPr="00D928CD" w:rsidRDefault="00E6454C" w:rsidP="00D473CC">
      <w:pPr>
        <w:spacing w:before="240" w:after="0" w:line="240" w:lineRule="auto"/>
        <w:ind w:firstLine="720"/>
        <w:jc w:val="both"/>
        <w:rPr>
          <w:rFonts w:ascii="Times New Roman" w:eastAsia="Times New Roman" w:hAnsi="Times New Roman" w:cs="Times New Roman"/>
          <w:sz w:val="24"/>
          <w:szCs w:val="24"/>
        </w:rPr>
      </w:pPr>
      <w:r w:rsidRPr="00D928CD">
        <w:rPr>
          <w:rFonts w:ascii="Times New Roman" w:eastAsia="Times New Roman" w:hAnsi="Times New Roman" w:cs="Times New Roman"/>
          <w:sz w:val="24"/>
          <w:szCs w:val="24"/>
        </w:rPr>
        <w:t xml:space="preserve">Latvijas PVN regulējums </w:t>
      </w:r>
      <w:r w:rsidR="00D178E7" w:rsidRPr="00D928CD">
        <w:rPr>
          <w:rFonts w:ascii="Times New Roman" w:eastAsia="Times New Roman" w:hAnsi="Times New Roman" w:cs="Times New Roman"/>
          <w:sz w:val="24"/>
          <w:szCs w:val="24"/>
        </w:rPr>
        <w:t>šobrīd</w:t>
      </w:r>
      <w:r w:rsidRPr="00D928CD">
        <w:rPr>
          <w:rFonts w:ascii="Times New Roman" w:eastAsia="Times New Roman" w:hAnsi="Times New Roman" w:cs="Times New Roman"/>
          <w:sz w:val="24"/>
          <w:szCs w:val="24"/>
        </w:rPr>
        <w:t xml:space="preserve"> paredz </w:t>
      </w:r>
      <w:r w:rsidR="00C157D6" w:rsidRPr="00D928CD">
        <w:rPr>
          <w:rFonts w:ascii="Times New Roman" w:eastAsia="Times New Roman" w:hAnsi="Times New Roman" w:cs="Times New Roman"/>
          <w:sz w:val="24"/>
          <w:szCs w:val="24"/>
        </w:rPr>
        <w:t>patērētājiem labvēlīgākas normas</w:t>
      </w:r>
      <w:r w:rsidR="00851E0D" w:rsidRPr="00D928CD">
        <w:rPr>
          <w:rFonts w:ascii="Times New Roman" w:eastAsia="Times New Roman" w:hAnsi="Times New Roman" w:cs="Times New Roman"/>
          <w:sz w:val="24"/>
          <w:szCs w:val="24"/>
        </w:rPr>
        <w:t xml:space="preserve">, salīdzinot ar citām ES valstīm, par </w:t>
      </w:r>
      <w:r w:rsidR="00C157D6" w:rsidRPr="00D928CD">
        <w:rPr>
          <w:rFonts w:ascii="Times New Roman" w:eastAsia="Times New Roman" w:hAnsi="Times New Roman" w:cs="Times New Roman"/>
          <w:sz w:val="24"/>
          <w:szCs w:val="24"/>
        </w:rPr>
        <w:t>mājokļu uzturēšanas pakalpojumiem (apsaimniekošanai) Latvijā</w:t>
      </w:r>
      <w:r w:rsidR="004B0D85" w:rsidRPr="00D928CD">
        <w:rPr>
          <w:rFonts w:ascii="Times New Roman" w:eastAsia="Times New Roman" w:hAnsi="Times New Roman" w:cs="Times New Roman"/>
          <w:sz w:val="24"/>
          <w:szCs w:val="24"/>
        </w:rPr>
        <w:t>, jo tiem</w:t>
      </w:r>
      <w:r w:rsidR="00C157D6" w:rsidRPr="00D928CD">
        <w:rPr>
          <w:rFonts w:ascii="Times New Roman" w:eastAsia="Times New Roman" w:hAnsi="Times New Roman" w:cs="Times New Roman"/>
          <w:sz w:val="24"/>
          <w:szCs w:val="24"/>
        </w:rPr>
        <w:t xml:space="preserve"> tiek piemērots atbrīvojums</w:t>
      </w:r>
      <w:r w:rsidR="0079004E" w:rsidRPr="00D928CD">
        <w:rPr>
          <w:rStyle w:val="FootnoteReference"/>
          <w:rFonts w:ascii="Times New Roman" w:eastAsia="Times New Roman" w:hAnsi="Times New Roman" w:cs="Times New Roman"/>
          <w:sz w:val="24"/>
          <w:szCs w:val="24"/>
        </w:rPr>
        <w:footnoteReference w:id="5"/>
      </w:r>
      <w:r w:rsidR="00FA0A82" w:rsidRPr="00D928CD">
        <w:rPr>
          <w:rFonts w:ascii="Times New Roman" w:eastAsia="Times New Roman" w:hAnsi="Times New Roman" w:cs="Times New Roman"/>
          <w:sz w:val="24"/>
          <w:szCs w:val="24"/>
        </w:rPr>
        <w:t>.</w:t>
      </w:r>
      <w:r w:rsidR="007E7638" w:rsidRPr="00D928CD">
        <w:rPr>
          <w:rFonts w:ascii="Times New Roman" w:eastAsia="Times New Roman" w:hAnsi="Times New Roman" w:cs="Times New Roman"/>
          <w:sz w:val="24"/>
          <w:szCs w:val="24"/>
        </w:rPr>
        <w:t xml:space="preserve"> </w:t>
      </w:r>
      <w:r w:rsidR="00FA0A82" w:rsidRPr="00D928CD">
        <w:rPr>
          <w:rFonts w:ascii="Times New Roman" w:eastAsia="Times New Roman" w:hAnsi="Times New Roman" w:cs="Times New Roman"/>
          <w:sz w:val="24"/>
          <w:szCs w:val="24"/>
        </w:rPr>
        <w:t>S</w:t>
      </w:r>
      <w:r w:rsidR="007E7638" w:rsidRPr="00D928CD">
        <w:rPr>
          <w:rFonts w:ascii="Times New Roman" w:eastAsia="Times New Roman" w:hAnsi="Times New Roman" w:cs="Times New Roman"/>
          <w:sz w:val="24"/>
          <w:szCs w:val="24"/>
        </w:rPr>
        <w:t>avukārt</w:t>
      </w:r>
      <w:r w:rsidR="00C157D6" w:rsidRPr="00D928CD">
        <w:rPr>
          <w:rFonts w:ascii="Times New Roman" w:eastAsia="Times New Roman" w:hAnsi="Times New Roman" w:cs="Times New Roman"/>
          <w:sz w:val="24"/>
          <w:szCs w:val="24"/>
        </w:rPr>
        <w:t xml:space="preserve"> citā</w:t>
      </w:r>
      <w:r w:rsidR="007E7638" w:rsidRPr="00D928CD">
        <w:rPr>
          <w:rFonts w:ascii="Times New Roman" w:eastAsia="Times New Roman" w:hAnsi="Times New Roman" w:cs="Times New Roman"/>
          <w:sz w:val="24"/>
          <w:szCs w:val="24"/>
        </w:rPr>
        <w:t>s ES valstīs</w:t>
      </w:r>
      <w:r w:rsidR="00C157D6" w:rsidRPr="00D928CD">
        <w:rPr>
          <w:rFonts w:ascii="Times New Roman" w:eastAsia="Times New Roman" w:hAnsi="Times New Roman" w:cs="Times New Roman"/>
          <w:sz w:val="24"/>
          <w:szCs w:val="24"/>
        </w:rPr>
        <w:t xml:space="preserve"> apsaimniekošanas pakalpojumi nav minēti starp pakalpojumiem, kam piemēro PVN atvieglojumus. </w:t>
      </w:r>
    </w:p>
    <w:p w14:paraId="79573BB5" w14:textId="64FEC3C3" w:rsidR="00C157D6" w:rsidRPr="00D928CD" w:rsidRDefault="00C157D6" w:rsidP="00563BE4">
      <w:pPr>
        <w:spacing w:after="0" w:line="240" w:lineRule="auto"/>
        <w:ind w:firstLine="720"/>
        <w:jc w:val="both"/>
        <w:rPr>
          <w:rFonts w:ascii="Times New Roman" w:eastAsia="Times New Roman" w:hAnsi="Times New Roman" w:cs="Times New Roman"/>
          <w:sz w:val="24"/>
          <w:szCs w:val="24"/>
        </w:rPr>
      </w:pPr>
      <w:r w:rsidRPr="00D928CD">
        <w:rPr>
          <w:rFonts w:ascii="Times New Roman" w:eastAsia="Times New Roman" w:hAnsi="Times New Roman" w:cs="Times New Roman"/>
          <w:sz w:val="24"/>
          <w:szCs w:val="24"/>
        </w:rPr>
        <w:t>Ņemot vērā šo atkāpi no ES d</w:t>
      </w:r>
      <w:r w:rsidR="000A4C49" w:rsidRPr="00D928CD">
        <w:rPr>
          <w:rFonts w:ascii="Times New Roman" w:eastAsia="Times New Roman" w:hAnsi="Times New Roman" w:cs="Times New Roman"/>
          <w:sz w:val="24"/>
          <w:szCs w:val="24"/>
        </w:rPr>
        <w:t>i</w:t>
      </w:r>
      <w:r w:rsidRPr="00D928CD">
        <w:rPr>
          <w:rFonts w:ascii="Times New Roman" w:eastAsia="Times New Roman" w:hAnsi="Times New Roman" w:cs="Times New Roman"/>
          <w:sz w:val="24"/>
          <w:szCs w:val="24"/>
        </w:rPr>
        <w:t>rektīva</w:t>
      </w:r>
      <w:r w:rsidRPr="00D928CD">
        <w:rPr>
          <w:rFonts w:ascii="Times New Roman" w:eastAsia="Times New Roman" w:hAnsi="Times New Roman" w:cs="Times New Roman"/>
          <w:spacing w:val="-20"/>
          <w:sz w:val="24"/>
          <w:szCs w:val="24"/>
        </w:rPr>
        <w:t>s</w:t>
      </w:r>
      <w:r w:rsidR="00563BE4" w:rsidRPr="00D928CD">
        <w:rPr>
          <w:rStyle w:val="FootnoteReference"/>
          <w:rFonts w:ascii="Times New Roman" w:eastAsia="Times New Roman" w:hAnsi="Times New Roman" w:cs="Times New Roman"/>
          <w:spacing w:val="-20"/>
          <w:sz w:val="24"/>
          <w:szCs w:val="24"/>
        </w:rPr>
        <w:footnoteReference w:id="6"/>
      </w:r>
      <w:r w:rsidR="00E90414" w:rsidRPr="00D928CD">
        <w:rPr>
          <w:rFonts w:ascii="Times New Roman" w:eastAsia="Times New Roman" w:hAnsi="Times New Roman" w:cs="Times New Roman"/>
          <w:spacing w:val="-20"/>
          <w:sz w:val="24"/>
          <w:szCs w:val="24"/>
        </w:rPr>
        <w:t>,</w:t>
      </w:r>
      <w:r w:rsidRPr="00D928CD">
        <w:rPr>
          <w:rFonts w:ascii="Times New Roman" w:eastAsia="Times New Roman" w:hAnsi="Times New Roman" w:cs="Times New Roman"/>
          <w:sz w:val="24"/>
          <w:szCs w:val="24"/>
        </w:rPr>
        <w:t xml:space="preserve"> kas nenosaka šāda veida atvieglojumu, Latvijai ir jākompensē minētā pretruna starp ES tiesību akta un Latvijas nacionālo tiesību akta normām, aprēķinot kompensāciju </w:t>
      </w:r>
      <w:r w:rsidR="006E3B3C" w:rsidRPr="00D928CD">
        <w:rPr>
          <w:rFonts w:ascii="Times New Roman" w:eastAsia="Times New Roman" w:hAnsi="Times New Roman" w:cs="Times New Roman"/>
          <w:sz w:val="24"/>
          <w:szCs w:val="24"/>
        </w:rPr>
        <w:t>mājokļa uzturēšanas un apsaimniekošanas pakalpojumiem</w:t>
      </w:r>
      <w:r w:rsidR="0068166C" w:rsidRPr="00D928CD">
        <w:rPr>
          <w:rFonts w:ascii="Times New Roman" w:eastAsia="Times New Roman" w:hAnsi="Times New Roman" w:cs="Times New Roman"/>
          <w:sz w:val="24"/>
          <w:szCs w:val="24"/>
        </w:rPr>
        <w:t>,</w:t>
      </w:r>
      <w:r w:rsidR="006E3B3C" w:rsidRPr="00D928CD">
        <w:rPr>
          <w:rFonts w:ascii="Times New Roman" w:eastAsia="Times New Roman" w:hAnsi="Times New Roman" w:cs="Times New Roman"/>
          <w:sz w:val="24"/>
          <w:szCs w:val="24"/>
        </w:rPr>
        <w:t xml:space="preserve"> iekļaujot to </w:t>
      </w:r>
      <w:r w:rsidRPr="00D928CD">
        <w:rPr>
          <w:rFonts w:ascii="Times New Roman" w:eastAsia="Times New Roman" w:hAnsi="Times New Roman" w:cs="Times New Roman"/>
          <w:sz w:val="24"/>
          <w:szCs w:val="24"/>
        </w:rPr>
        <w:t xml:space="preserve">PVN resursa </w:t>
      </w:r>
      <w:r w:rsidR="006E3B3C" w:rsidRPr="00D928CD">
        <w:rPr>
          <w:rFonts w:ascii="Times New Roman" w:eastAsia="Times New Roman" w:hAnsi="Times New Roman" w:cs="Times New Roman"/>
          <w:sz w:val="24"/>
          <w:szCs w:val="24"/>
        </w:rPr>
        <w:t>bāzes aprēķin</w:t>
      </w:r>
      <w:r w:rsidR="006E3B3C" w:rsidRPr="00D928CD">
        <w:rPr>
          <w:rFonts w:ascii="Times New Roman" w:eastAsia="Times New Roman" w:hAnsi="Times New Roman" w:cs="Times New Roman"/>
          <w:spacing w:val="-32"/>
          <w:sz w:val="24"/>
          <w:szCs w:val="24"/>
        </w:rPr>
        <w:t>ā</w:t>
      </w:r>
      <w:r w:rsidR="00EC1693" w:rsidRPr="00D928CD">
        <w:rPr>
          <w:rStyle w:val="FootnoteReference"/>
          <w:rFonts w:ascii="Times New Roman" w:eastAsia="Times New Roman" w:hAnsi="Times New Roman" w:cs="Times New Roman"/>
          <w:spacing w:val="-32"/>
          <w:sz w:val="24"/>
          <w:szCs w:val="24"/>
        </w:rPr>
        <w:footnoteReference w:id="7"/>
      </w:r>
      <w:r w:rsidR="0068166C" w:rsidRPr="00D928CD">
        <w:rPr>
          <w:rFonts w:ascii="Times New Roman" w:eastAsia="Times New Roman" w:hAnsi="Times New Roman" w:cs="Times New Roman"/>
          <w:spacing w:val="-32"/>
          <w:sz w:val="24"/>
          <w:szCs w:val="24"/>
        </w:rPr>
        <w:t>.</w:t>
      </w:r>
      <w:r w:rsidR="00ED6523" w:rsidRPr="00D928CD">
        <w:rPr>
          <w:rFonts w:ascii="Times New Roman" w:eastAsia="Times New Roman" w:hAnsi="Times New Roman" w:cs="Times New Roman"/>
          <w:sz w:val="24"/>
          <w:szCs w:val="24"/>
        </w:rPr>
        <w:t xml:space="preserve"> </w:t>
      </w:r>
      <w:r w:rsidRPr="00D928CD">
        <w:rPr>
          <w:rFonts w:ascii="Times New Roman" w:eastAsia="Times New Roman" w:hAnsi="Times New Roman" w:cs="Times New Roman"/>
          <w:sz w:val="24"/>
          <w:szCs w:val="24"/>
        </w:rPr>
        <w:t xml:space="preserve">Saskaņā ar pārskatu </w:t>
      </w:r>
      <w:r w:rsidR="007C48A6" w:rsidRPr="00D928CD">
        <w:rPr>
          <w:rFonts w:ascii="Times New Roman" w:eastAsia="Times New Roman" w:hAnsi="Times New Roman" w:cs="Times New Roman"/>
          <w:sz w:val="24"/>
          <w:szCs w:val="24"/>
        </w:rPr>
        <w:t>“</w:t>
      </w:r>
      <w:r w:rsidRPr="00D928CD">
        <w:rPr>
          <w:rFonts w:ascii="Times New Roman" w:eastAsia="Times New Roman" w:hAnsi="Times New Roman" w:cs="Times New Roman"/>
          <w:sz w:val="24"/>
          <w:szCs w:val="24"/>
        </w:rPr>
        <w:t>PVN resursu bāze 2013</w:t>
      </w:r>
      <w:r w:rsidR="007C48A6" w:rsidRPr="00D928CD">
        <w:rPr>
          <w:rFonts w:ascii="Times New Roman" w:eastAsia="Times New Roman" w:hAnsi="Times New Roman" w:cs="Times New Roman"/>
          <w:sz w:val="24"/>
          <w:szCs w:val="24"/>
        </w:rPr>
        <w:t>”</w:t>
      </w:r>
      <w:r w:rsidRPr="00D928CD">
        <w:rPr>
          <w:rFonts w:ascii="Times New Roman" w:eastAsia="Times New Roman" w:hAnsi="Times New Roman" w:cs="Times New Roman"/>
          <w:sz w:val="24"/>
          <w:szCs w:val="24"/>
        </w:rPr>
        <w:t xml:space="preserve"> Latvijā aprēķinātā kompensācija, ir 55,8 milj.</w:t>
      </w:r>
      <w:r w:rsidR="0015061D" w:rsidRPr="00D928CD">
        <w:rPr>
          <w:rFonts w:ascii="Times New Roman" w:eastAsia="Times New Roman" w:hAnsi="Times New Roman" w:cs="Times New Roman"/>
          <w:sz w:val="24"/>
          <w:szCs w:val="24"/>
        </w:rPr>
        <w:t> </w:t>
      </w:r>
      <w:proofErr w:type="spellStart"/>
      <w:r w:rsidR="00884133" w:rsidRPr="00D928CD">
        <w:rPr>
          <w:rFonts w:ascii="Times New Roman" w:eastAsia="Times New Roman" w:hAnsi="Times New Roman" w:cs="Times New Roman"/>
          <w:i/>
          <w:sz w:val="24"/>
          <w:szCs w:val="24"/>
        </w:rPr>
        <w:t>euro</w:t>
      </w:r>
      <w:proofErr w:type="spellEnd"/>
      <w:r w:rsidRPr="00D928CD">
        <w:rPr>
          <w:rFonts w:ascii="Times New Roman" w:eastAsia="Times New Roman" w:hAnsi="Times New Roman" w:cs="Times New Roman"/>
          <w:sz w:val="24"/>
          <w:szCs w:val="24"/>
        </w:rPr>
        <w:t>.</w:t>
      </w:r>
      <w:r w:rsidR="00D178E7" w:rsidRPr="00D928CD">
        <w:rPr>
          <w:rFonts w:ascii="Times New Roman" w:eastAsia="Times New Roman" w:hAnsi="Times New Roman" w:cs="Times New Roman"/>
          <w:sz w:val="24"/>
          <w:szCs w:val="24"/>
        </w:rPr>
        <w:t xml:space="preserve"> </w:t>
      </w:r>
    </w:p>
    <w:p w14:paraId="222297BA" w14:textId="188F8F57" w:rsidR="00D00AB6" w:rsidRPr="00D928CD" w:rsidRDefault="00D00AB6" w:rsidP="00D00AB6">
      <w:pPr>
        <w:suppressAutoHyphens/>
        <w:spacing w:after="100" w:afterAutospacing="1" w:line="240" w:lineRule="auto"/>
        <w:ind w:firstLine="720"/>
        <w:jc w:val="both"/>
        <w:rPr>
          <w:rFonts w:ascii="Times New Roman" w:eastAsia="Times New Roman" w:hAnsi="Times New Roman" w:cs="Times New Roman"/>
          <w:sz w:val="24"/>
          <w:szCs w:val="24"/>
        </w:rPr>
      </w:pPr>
      <w:r w:rsidRPr="00D928CD">
        <w:rPr>
          <w:rFonts w:ascii="Times New Roman" w:eastAsia="Times New Roman" w:hAnsi="Times New Roman" w:cs="Times New Roman"/>
          <w:sz w:val="24"/>
          <w:szCs w:val="24"/>
        </w:rPr>
        <w:t xml:space="preserve">Izmantojot PVN deklarāciju datus, kopējā atvieglojumu ietekme par ar PVN neapliekamiem pakalpojumiem un precēm uz budžetu 2013. gadā ir aprēķināta 690,5 milj. </w:t>
      </w:r>
      <w:proofErr w:type="spellStart"/>
      <w:r w:rsidR="008E15EE" w:rsidRPr="00D928CD">
        <w:rPr>
          <w:rFonts w:ascii="Times New Roman" w:eastAsia="Times New Roman" w:hAnsi="Times New Roman" w:cs="Times New Roman"/>
          <w:i/>
          <w:sz w:val="24"/>
          <w:szCs w:val="24"/>
        </w:rPr>
        <w:t>euro</w:t>
      </w:r>
      <w:proofErr w:type="spellEnd"/>
      <w:r w:rsidRPr="00D928CD">
        <w:rPr>
          <w:rFonts w:ascii="Times New Roman" w:eastAsia="Times New Roman" w:hAnsi="Times New Roman" w:cs="Times New Roman"/>
          <w:sz w:val="24"/>
          <w:szCs w:val="24"/>
        </w:rPr>
        <w:t xml:space="preserve"> </w:t>
      </w:r>
      <w:r w:rsidRPr="00D928CD">
        <w:rPr>
          <w:rFonts w:ascii="Times New Roman" w:eastAsia="Times New Roman" w:hAnsi="Times New Roman" w:cs="Times New Roman"/>
          <w:sz w:val="24"/>
          <w:szCs w:val="24"/>
        </w:rPr>
        <w:lastRenderedPageBreak/>
        <w:t>(skat. 3</w:t>
      </w:r>
      <w:r w:rsidR="00804115" w:rsidRPr="00D928CD">
        <w:rPr>
          <w:rFonts w:ascii="Times New Roman" w:eastAsia="Times New Roman" w:hAnsi="Times New Roman" w:cs="Times New Roman"/>
          <w:sz w:val="24"/>
          <w:szCs w:val="24"/>
        </w:rPr>
        <w:t>. </w:t>
      </w:r>
      <w:r w:rsidRPr="00D928CD">
        <w:rPr>
          <w:rFonts w:ascii="Times New Roman" w:eastAsia="Times New Roman" w:hAnsi="Times New Roman" w:cs="Times New Roman"/>
          <w:sz w:val="24"/>
          <w:szCs w:val="24"/>
        </w:rPr>
        <w:t xml:space="preserve">tabulu) jeb 41,4%, salīdzinot ar faktiski iekasētajiem PVN ieņēmumiem. Jāatzīmē, ka ar PVN neapliekamām precēm un pakalpojumiem neiegūtās summas pieaugums 2013. gadā ir straujāks par kopējā PVN ieņēmumu pieaugumu (4,9%). </w:t>
      </w:r>
    </w:p>
    <w:p w14:paraId="136730B8" w14:textId="4B8878D9" w:rsidR="00851E0D" w:rsidRPr="00380612" w:rsidRDefault="00B24BF8" w:rsidP="00380612">
      <w:pPr>
        <w:spacing w:before="120" w:after="0" w:line="240" w:lineRule="auto"/>
        <w:ind w:firstLine="720"/>
        <w:jc w:val="right"/>
        <w:rPr>
          <w:rFonts w:ascii="Times New Roman" w:eastAsia="Times New Roman" w:hAnsi="Times New Roman" w:cs="Times New Roman"/>
          <w:sz w:val="24"/>
          <w:szCs w:val="24"/>
        </w:rPr>
      </w:pPr>
      <w:r w:rsidRPr="00380612">
        <w:rPr>
          <w:rFonts w:ascii="Times New Roman" w:eastAsia="Times New Roman" w:hAnsi="Times New Roman" w:cs="Times New Roman"/>
          <w:sz w:val="24"/>
          <w:szCs w:val="24"/>
        </w:rPr>
        <w:t>3. </w:t>
      </w:r>
      <w:r w:rsidR="00851E0D" w:rsidRPr="00380612">
        <w:rPr>
          <w:rFonts w:ascii="Times New Roman" w:eastAsia="Times New Roman" w:hAnsi="Times New Roman" w:cs="Times New Roman"/>
          <w:sz w:val="24"/>
          <w:szCs w:val="24"/>
        </w:rPr>
        <w:t>tabula</w:t>
      </w:r>
    </w:p>
    <w:p w14:paraId="78C4C407" w14:textId="4FEBF848" w:rsidR="00851E0D" w:rsidRPr="00391150" w:rsidRDefault="00851E0D" w:rsidP="00851E0D">
      <w:pPr>
        <w:suppressAutoHyphens/>
        <w:spacing w:after="120" w:line="240" w:lineRule="auto"/>
        <w:rPr>
          <w:rFonts w:ascii="Times New Roman" w:eastAsia="Times New Roman" w:hAnsi="Times New Roman" w:cs="Times New Roman"/>
          <w:sz w:val="24"/>
          <w:szCs w:val="24"/>
        </w:rPr>
      </w:pPr>
      <w:r w:rsidRPr="00391150">
        <w:rPr>
          <w:rFonts w:ascii="Times New Roman" w:eastAsia="Times New Roman" w:hAnsi="Times New Roman" w:cs="Times New Roman"/>
          <w:b/>
          <w:color w:val="000000"/>
          <w:sz w:val="24"/>
          <w:szCs w:val="24"/>
        </w:rPr>
        <w:t>Ar PVN neapliekamo preču un pakalpojumu ietekme uz budžetu</w:t>
      </w:r>
      <w:r w:rsidRPr="00391150">
        <w:rPr>
          <w:rFonts w:ascii="Times New Roman" w:eastAsia="Times New Roman" w:hAnsi="Times New Roman" w:cs="Times New Roman"/>
          <w:i/>
          <w:color w:val="000000"/>
          <w:sz w:val="24"/>
          <w:szCs w:val="24"/>
        </w:rPr>
        <w:t xml:space="preserve">, </w:t>
      </w:r>
      <w:r w:rsidR="00B24BF8">
        <w:rPr>
          <w:rFonts w:ascii="Times New Roman" w:eastAsia="Times New Roman" w:hAnsi="Times New Roman" w:cs="Times New Roman"/>
          <w:b/>
          <w:color w:val="000000"/>
          <w:sz w:val="24"/>
          <w:szCs w:val="24"/>
        </w:rPr>
        <w:t>milj. </w:t>
      </w:r>
      <w:proofErr w:type="spellStart"/>
      <w:r w:rsidR="00A702CF" w:rsidRPr="00A702CF">
        <w:rPr>
          <w:rFonts w:ascii="Times New Roman" w:eastAsia="Times New Roman" w:hAnsi="Times New Roman" w:cs="Times New Roman"/>
          <w:b/>
          <w:i/>
          <w:color w:val="000000"/>
          <w:sz w:val="24"/>
          <w:szCs w:val="24"/>
        </w:rPr>
        <w:t>euro</w:t>
      </w:r>
      <w:proofErr w:type="spellEnd"/>
    </w:p>
    <w:tbl>
      <w:tblPr>
        <w:tblW w:w="8934" w:type="dxa"/>
        <w:tblInd w:w="-8" w:type="dxa"/>
        <w:tblLayout w:type="fixed"/>
        <w:tblCellMar>
          <w:left w:w="10" w:type="dxa"/>
          <w:right w:w="10" w:type="dxa"/>
        </w:tblCellMar>
        <w:tblLook w:val="04A0" w:firstRow="1" w:lastRow="0" w:firstColumn="1" w:lastColumn="0" w:noHBand="0" w:noVBand="1"/>
      </w:tblPr>
      <w:tblGrid>
        <w:gridCol w:w="4823"/>
        <w:gridCol w:w="1417"/>
        <w:gridCol w:w="1276"/>
        <w:gridCol w:w="1418"/>
      </w:tblGrid>
      <w:tr w:rsidR="00851E0D" w:rsidRPr="0098264E" w14:paraId="237F1B01" w14:textId="77777777" w:rsidTr="009C2FA1">
        <w:trPr>
          <w:cantSplit/>
          <w:tblHeader/>
        </w:trPr>
        <w:tc>
          <w:tcPr>
            <w:tcW w:w="4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A141CC" w14:textId="77777777" w:rsidR="00851E0D" w:rsidRPr="0098264E" w:rsidRDefault="00851E0D" w:rsidP="009C2FA1">
            <w:pPr>
              <w:suppressAutoHyphens/>
              <w:spacing w:after="0" w:line="240" w:lineRule="auto"/>
              <w:rPr>
                <w:rFonts w:ascii="Times New Roman" w:eastAsia="Times New Roman" w:hAnsi="Times New Roman" w:cs="Times New Roman"/>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65EF52" w14:textId="77777777" w:rsidR="00851E0D" w:rsidRPr="0098264E" w:rsidRDefault="00851E0D" w:rsidP="009C2FA1">
            <w:pPr>
              <w:suppressAutoHyphens/>
              <w:spacing w:after="0" w:line="240" w:lineRule="auto"/>
              <w:jc w:val="center"/>
              <w:rPr>
                <w:rFonts w:ascii="Times New Roman" w:eastAsia="Times New Roman" w:hAnsi="Times New Roman" w:cs="Times New Roman"/>
                <w:b/>
                <w:color w:val="000000"/>
              </w:rPr>
            </w:pPr>
            <w:r w:rsidRPr="0098264E">
              <w:rPr>
                <w:rFonts w:ascii="Times New Roman" w:eastAsia="Times New Roman" w:hAnsi="Times New Roman" w:cs="Times New Roman"/>
                <w:b/>
                <w:color w:val="000000"/>
              </w:rPr>
              <w:t>2011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9B102D" w14:textId="77777777" w:rsidR="00851E0D" w:rsidRPr="0098264E" w:rsidRDefault="00851E0D" w:rsidP="009C2FA1">
            <w:pPr>
              <w:suppressAutoHyphens/>
              <w:spacing w:after="0" w:line="240" w:lineRule="auto"/>
              <w:jc w:val="center"/>
              <w:rPr>
                <w:rFonts w:ascii="Times New Roman" w:eastAsia="Times New Roman" w:hAnsi="Times New Roman" w:cs="Times New Roman"/>
                <w:b/>
                <w:color w:val="000000"/>
              </w:rPr>
            </w:pPr>
            <w:r w:rsidRPr="0098264E">
              <w:rPr>
                <w:rFonts w:ascii="Times New Roman" w:eastAsia="Times New Roman" w:hAnsi="Times New Roman" w:cs="Times New Roman"/>
                <w:b/>
                <w:color w:val="000000"/>
              </w:rPr>
              <w:t>2012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C88410" w14:textId="77777777" w:rsidR="00851E0D" w:rsidRPr="0098264E" w:rsidRDefault="00851E0D" w:rsidP="009C2FA1">
            <w:pPr>
              <w:suppressAutoHyphens/>
              <w:spacing w:after="0" w:line="240" w:lineRule="auto"/>
              <w:jc w:val="center"/>
              <w:rPr>
                <w:rFonts w:ascii="Times New Roman" w:eastAsia="Times New Roman" w:hAnsi="Times New Roman" w:cs="Times New Roman"/>
                <w:b/>
                <w:color w:val="000000"/>
              </w:rPr>
            </w:pPr>
            <w:r w:rsidRPr="0098264E">
              <w:rPr>
                <w:rFonts w:ascii="Times New Roman" w:eastAsia="Times New Roman" w:hAnsi="Times New Roman" w:cs="Times New Roman"/>
                <w:b/>
                <w:color w:val="000000"/>
              </w:rPr>
              <w:t>2013</w:t>
            </w:r>
          </w:p>
        </w:tc>
      </w:tr>
      <w:tr w:rsidR="00851E0D" w:rsidRPr="0098264E" w14:paraId="734AD4F7" w14:textId="77777777" w:rsidTr="009C2FA1">
        <w:trPr>
          <w:cantSplit/>
          <w:tblHeader/>
        </w:trPr>
        <w:tc>
          <w:tcPr>
            <w:tcW w:w="4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3BA9E3" w14:textId="77777777" w:rsidR="00851E0D" w:rsidRPr="0098264E" w:rsidRDefault="00851E0D" w:rsidP="009C2FA1">
            <w:pPr>
              <w:suppressAutoHyphens/>
              <w:spacing w:after="0" w:line="240" w:lineRule="auto"/>
            </w:pPr>
            <w:r w:rsidRPr="0098264E">
              <w:rPr>
                <w:rFonts w:ascii="Times New Roman" w:eastAsia="Times New Roman" w:hAnsi="Times New Roman" w:cs="Times New Roman"/>
                <w:color w:val="000000"/>
              </w:rPr>
              <w:t>Fiskālā ietekme no ar PVN neapliekamām precēm un pakalpojumiem kopā</w:t>
            </w:r>
            <w:r>
              <w:rPr>
                <w:rFonts w:ascii="Times New Roman" w:eastAsia="Times New Roman" w:hAnsi="Times New Roman" w:cs="Times New Roman"/>
                <w:color w:val="000000"/>
              </w:rPr>
              <w:t xml:space="preserve"> </w:t>
            </w:r>
            <w:r w:rsidRPr="0098264E">
              <w:rPr>
                <w:rFonts w:ascii="Times New Roman" w:eastAsia="Times New Roman" w:hAnsi="Times New Roman" w:cs="Times New Roman"/>
                <w:color w:val="000000"/>
              </w:rPr>
              <w:t>(atbrīvojumi noteikti likuma 52.pantā)</w:t>
            </w:r>
            <w:r w:rsidRPr="0098264E">
              <w:rPr>
                <w:rFonts w:ascii="Times New Roman" w:eastAsia="Times New Roman" w:hAnsi="Times New Roman" w:cs="Times New Roman"/>
                <w:i/>
                <w:color w:val="000000"/>
              </w:rPr>
              <w:t xml:space="preserve">, milj. </w:t>
            </w:r>
            <w:proofErr w:type="spellStart"/>
            <w:r w:rsidRPr="0098264E">
              <w:rPr>
                <w:rFonts w:ascii="Times New Roman" w:eastAsia="Times New Roman" w:hAnsi="Times New Roman" w:cs="Times New Roman"/>
                <w:i/>
                <w:color w:val="000000"/>
              </w:rPr>
              <w:t>euro</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F14FF8" w14:textId="77777777" w:rsidR="00851E0D" w:rsidRPr="0098264E" w:rsidRDefault="00851E0D" w:rsidP="009C2FA1">
            <w:pPr>
              <w:suppressAutoHyphens/>
              <w:spacing w:after="0" w:line="240" w:lineRule="auto"/>
              <w:jc w:val="center"/>
              <w:rPr>
                <w:rFonts w:ascii="Times New Roman" w:eastAsia="Times New Roman" w:hAnsi="Times New Roman" w:cs="Times New Roman"/>
                <w:color w:val="000000"/>
              </w:rPr>
            </w:pPr>
          </w:p>
          <w:p w14:paraId="1195A328" w14:textId="77777777" w:rsidR="00851E0D" w:rsidRPr="0098264E" w:rsidRDefault="00851E0D" w:rsidP="009C2FA1">
            <w:pPr>
              <w:suppressAutoHyphens/>
              <w:spacing w:after="0" w:line="360" w:lineRule="auto"/>
              <w:jc w:val="center"/>
              <w:rPr>
                <w:rFonts w:ascii="Times New Roman" w:eastAsia="Times New Roman" w:hAnsi="Times New Roman" w:cs="Times New Roman"/>
                <w:color w:val="000000"/>
              </w:rPr>
            </w:pPr>
            <w:r w:rsidRPr="0098264E">
              <w:rPr>
                <w:rFonts w:ascii="Times New Roman" w:eastAsia="Times New Roman" w:hAnsi="Times New Roman" w:cs="Times New Roman"/>
                <w:color w:val="000000"/>
              </w:rPr>
              <w:t>-667,1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A0E2A4" w14:textId="77777777" w:rsidR="00851E0D" w:rsidRPr="0098264E" w:rsidRDefault="00851E0D" w:rsidP="009C2FA1">
            <w:pPr>
              <w:suppressAutoHyphens/>
              <w:spacing w:after="0" w:line="240" w:lineRule="auto"/>
              <w:jc w:val="center"/>
              <w:rPr>
                <w:rFonts w:ascii="Times New Roman" w:eastAsia="Times New Roman" w:hAnsi="Times New Roman" w:cs="Times New Roman"/>
                <w:color w:val="000000"/>
              </w:rPr>
            </w:pPr>
          </w:p>
          <w:p w14:paraId="1B236E65" w14:textId="77777777" w:rsidR="00851E0D" w:rsidRPr="0098264E" w:rsidRDefault="00851E0D" w:rsidP="009C2FA1">
            <w:pPr>
              <w:suppressAutoHyphens/>
              <w:spacing w:after="0" w:line="360" w:lineRule="auto"/>
              <w:jc w:val="center"/>
              <w:rPr>
                <w:rFonts w:ascii="Times New Roman" w:eastAsia="Times New Roman" w:hAnsi="Times New Roman" w:cs="Times New Roman"/>
                <w:color w:val="000000"/>
              </w:rPr>
            </w:pPr>
            <w:r w:rsidRPr="0098264E">
              <w:rPr>
                <w:rFonts w:ascii="Times New Roman" w:eastAsia="Times New Roman" w:hAnsi="Times New Roman" w:cs="Times New Roman"/>
                <w:color w:val="000000"/>
              </w:rPr>
              <w:t>-655,4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4ED0BD" w14:textId="77777777" w:rsidR="00851E0D" w:rsidRPr="0098264E" w:rsidRDefault="00851E0D" w:rsidP="009C2FA1">
            <w:pPr>
              <w:suppressAutoHyphens/>
              <w:spacing w:after="0" w:line="240" w:lineRule="auto"/>
              <w:jc w:val="center"/>
              <w:rPr>
                <w:rFonts w:ascii="Times New Roman" w:eastAsia="Times New Roman" w:hAnsi="Times New Roman" w:cs="Times New Roman"/>
                <w:color w:val="000000"/>
              </w:rPr>
            </w:pPr>
          </w:p>
          <w:p w14:paraId="1FAAB768" w14:textId="77777777" w:rsidR="00851E0D" w:rsidRPr="0098264E" w:rsidRDefault="00851E0D" w:rsidP="009C2FA1">
            <w:pPr>
              <w:suppressAutoHyphens/>
              <w:spacing w:after="0" w:line="360" w:lineRule="auto"/>
              <w:jc w:val="center"/>
              <w:rPr>
                <w:rFonts w:ascii="Times New Roman" w:eastAsia="Times New Roman" w:hAnsi="Times New Roman" w:cs="Times New Roman"/>
                <w:color w:val="000000"/>
              </w:rPr>
            </w:pPr>
            <w:r w:rsidRPr="0098264E">
              <w:rPr>
                <w:rFonts w:ascii="Times New Roman" w:eastAsia="Times New Roman" w:hAnsi="Times New Roman" w:cs="Times New Roman"/>
                <w:color w:val="000000"/>
              </w:rPr>
              <w:t>-690,5</w:t>
            </w:r>
          </w:p>
        </w:tc>
      </w:tr>
    </w:tbl>
    <w:p w14:paraId="0AF8B4D3" w14:textId="663773B1" w:rsidR="00851E0D" w:rsidRPr="005D7D62" w:rsidRDefault="00851E0D" w:rsidP="005E13A0">
      <w:pPr>
        <w:tabs>
          <w:tab w:val="left" w:pos="567"/>
        </w:tabs>
        <w:spacing w:after="480"/>
        <w:jc w:val="both"/>
        <w:rPr>
          <w:rFonts w:ascii="Times New Roman" w:hAnsi="Times New Roman" w:cs="Times New Roman"/>
          <w:sz w:val="25"/>
          <w:szCs w:val="25"/>
        </w:rPr>
      </w:pPr>
    </w:p>
    <w:p w14:paraId="1C2C389E" w14:textId="77777777" w:rsidR="007C48A6" w:rsidRPr="00671ED2" w:rsidRDefault="007C48A6" w:rsidP="007C48A6">
      <w:pPr>
        <w:pStyle w:val="ListParagraph"/>
        <w:numPr>
          <w:ilvl w:val="1"/>
          <w:numId w:val="6"/>
        </w:numPr>
        <w:suppressAutoHyphens/>
        <w:spacing w:line="240" w:lineRule="auto"/>
        <w:jc w:val="both"/>
        <w:rPr>
          <w:rFonts w:ascii="Times New Roman" w:eastAsia="Times New Roman" w:hAnsi="Times New Roman" w:cs="Times New Roman"/>
          <w:b/>
          <w:sz w:val="28"/>
          <w:szCs w:val="28"/>
        </w:rPr>
      </w:pPr>
      <w:r w:rsidRPr="00671ED2">
        <w:rPr>
          <w:rFonts w:ascii="Times New Roman" w:eastAsia="Times New Roman" w:hAnsi="Times New Roman" w:cs="Times New Roman"/>
          <w:b/>
          <w:sz w:val="28"/>
          <w:szCs w:val="28"/>
        </w:rPr>
        <w:t>Ietekme uz mājsaimniecībām</w:t>
      </w:r>
    </w:p>
    <w:p w14:paraId="6784D1F9" w14:textId="428D730D" w:rsidR="00E96DD3" w:rsidRDefault="004D2EAF" w:rsidP="00E96DD3">
      <w:pPr>
        <w:suppressAutoHyphens/>
        <w:spacing w:after="0" w:line="240" w:lineRule="auto"/>
        <w:ind w:firstLine="720"/>
        <w:jc w:val="both"/>
        <w:rPr>
          <w:rFonts w:ascii="Times New Roman" w:eastAsia="Times New Roman" w:hAnsi="Times New Roman" w:cs="Times New Roman"/>
          <w:sz w:val="24"/>
          <w:szCs w:val="24"/>
        </w:rPr>
      </w:pPr>
      <w:r w:rsidRPr="00D928CD">
        <w:rPr>
          <w:rFonts w:ascii="Times New Roman" w:eastAsia="Times New Roman" w:hAnsi="Times New Roman" w:cs="Times New Roman"/>
          <w:sz w:val="24"/>
          <w:szCs w:val="24"/>
        </w:rPr>
        <w:t>Apskatot samazinātās</w:t>
      </w:r>
      <w:r w:rsidR="006D78BA" w:rsidRPr="00D928CD">
        <w:rPr>
          <w:rFonts w:ascii="Times New Roman" w:eastAsia="Times New Roman" w:hAnsi="Times New Roman" w:cs="Times New Roman"/>
          <w:sz w:val="24"/>
          <w:szCs w:val="24"/>
        </w:rPr>
        <w:t xml:space="preserve"> PVN</w:t>
      </w:r>
      <w:r w:rsidRPr="00D928CD">
        <w:rPr>
          <w:rFonts w:ascii="Times New Roman" w:eastAsia="Times New Roman" w:hAnsi="Times New Roman" w:cs="Times New Roman"/>
          <w:sz w:val="24"/>
          <w:szCs w:val="24"/>
        </w:rPr>
        <w:t xml:space="preserve"> likmes ietekmi, jāvērtē ne tikai fiskālā ietekme valsts budžetā neieņemto ieņēmumu apmērā, bet arī ietekme uz </w:t>
      </w:r>
      <w:r w:rsidR="004E301F">
        <w:rPr>
          <w:rFonts w:ascii="Times New Roman" w:eastAsia="Times New Roman" w:hAnsi="Times New Roman" w:cs="Times New Roman"/>
          <w:sz w:val="24"/>
          <w:szCs w:val="24"/>
        </w:rPr>
        <w:t xml:space="preserve">mājsaimniecībām - </w:t>
      </w:r>
      <w:r w:rsidRPr="00D928CD">
        <w:rPr>
          <w:rFonts w:ascii="Times New Roman" w:eastAsia="Times New Roman" w:hAnsi="Times New Roman" w:cs="Times New Roman"/>
          <w:sz w:val="24"/>
          <w:szCs w:val="24"/>
        </w:rPr>
        <w:t>dažādu ienākumu iedzīvotāju grupām.</w:t>
      </w:r>
    </w:p>
    <w:p w14:paraId="42C12371" w14:textId="4C34780C" w:rsidR="00670DA1" w:rsidRDefault="00C76F6D" w:rsidP="00670DA1">
      <w:pPr>
        <w:suppressAutoHyphen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Apskatot</w:t>
      </w:r>
      <w:r w:rsidR="009D1A1C">
        <w:rPr>
          <w:rFonts w:ascii="Times New Roman" w:eastAsia="Times New Roman" w:hAnsi="Times New Roman" w:cs="Times New Roman"/>
          <w:sz w:val="24"/>
          <w:szCs w:val="24"/>
        </w:rPr>
        <w:t xml:space="preserve"> m</w:t>
      </w:r>
      <w:r w:rsidR="007738A8" w:rsidRPr="007738A8">
        <w:rPr>
          <w:rFonts w:ascii="Times New Roman" w:eastAsia="Times New Roman" w:hAnsi="Times New Roman" w:cs="Times New Roman"/>
          <w:sz w:val="24"/>
          <w:szCs w:val="24"/>
        </w:rPr>
        <w:t>ājsaimniecību patēriņa izdevum</w:t>
      </w:r>
      <w:r w:rsidR="009D1A1C">
        <w:rPr>
          <w:rFonts w:ascii="Times New Roman" w:eastAsia="Times New Roman" w:hAnsi="Times New Roman" w:cs="Times New Roman"/>
          <w:sz w:val="24"/>
          <w:szCs w:val="24"/>
        </w:rPr>
        <w:t xml:space="preserve">us </w:t>
      </w:r>
      <w:r w:rsidR="007738A8" w:rsidRPr="007738A8">
        <w:rPr>
          <w:rFonts w:ascii="Times New Roman" w:eastAsia="Times New Roman" w:hAnsi="Times New Roman" w:cs="Times New Roman"/>
          <w:sz w:val="24"/>
          <w:szCs w:val="24"/>
        </w:rPr>
        <w:t>vidēji uz vienu mājsaimn</w:t>
      </w:r>
      <w:r w:rsidR="009D1A1C">
        <w:rPr>
          <w:rFonts w:ascii="Times New Roman" w:eastAsia="Times New Roman" w:hAnsi="Times New Roman" w:cs="Times New Roman"/>
          <w:sz w:val="24"/>
          <w:szCs w:val="24"/>
        </w:rPr>
        <w:t xml:space="preserve">iecības locekli mēnesī </w:t>
      </w:r>
      <w:r w:rsidR="006B7674" w:rsidRPr="006B7674">
        <w:rPr>
          <w:rFonts w:ascii="Times New Roman" w:eastAsia="Times New Roman" w:hAnsi="Times New Roman" w:cs="Times New Roman"/>
          <w:sz w:val="24"/>
          <w:szCs w:val="24"/>
        </w:rPr>
        <w:t>2013. gadā</w:t>
      </w:r>
      <w:r w:rsidR="00A768CE">
        <w:rPr>
          <w:rFonts w:ascii="Times New Roman" w:eastAsia="Times New Roman" w:hAnsi="Times New Roman" w:cs="Times New Roman"/>
          <w:sz w:val="24"/>
          <w:szCs w:val="24"/>
        </w:rPr>
        <w:t xml:space="preserve"> (skat. 4. tabulu)</w:t>
      </w:r>
      <w:r>
        <w:rPr>
          <w:rFonts w:ascii="Times New Roman" w:eastAsia="Times New Roman" w:hAnsi="Times New Roman" w:cs="Times New Roman"/>
          <w:sz w:val="24"/>
          <w:szCs w:val="24"/>
        </w:rPr>
        <w:t>,</w:t>
      </w:r>
      <w:r w:rsidR="006B7674" w:rsidRPr="006B7674">
        <w:rPr>
          <w:rFonts w:ascii="Times New Roman" w:eastAsia="Times New Roman" w:hAnsi="Times New Roman" w:cs="Times New Roman"/>
          <w:sz w:val="24"/>
          <w:szCs w:val="24"/>
        </w:rPr>
        <w:t xml:space="preserve"> </w:t>
      </w:r>
      <w:r w:rsidR="00832F10">
        <w:rPr>
          <w:rFonts w:ascii="Times New Roman" w:eastAsia="Times New Roman" w:hAnsi="Times New Roman" w:cs="Times New Roman"/>
          <w:sz w:val="24"/>
          <w:szCs w:val="24"/>
        </w:rPr>
        <w:t xml:space="preserve">tie </w:t>
      </w:r>
      <w:r w:rsidR="009D1A1C">
        <w:rPr>
          <w:rFonts w:ascii="Times New Roman" w:eastAsia="Times New Roman" w:hAnsi="Times New Roman" w:cs="Times New Roman"/>
          <w:sz w:val="24"/>
          <w:szCs w:val="24"/>
        </w:rPr>
        <w:t xml:space="preserve">bija </w:t>
      </w:r>
      <w:r w:rsidR="00832F10">
        <w:rPr>
          <w:rFonts w:ascii="Times New Roman" w:eastAsia="Times New Roman" w:hAnsi="Times New Roman" w:cs="Times New Roman"/>
          <w:sz w:val="24"/>
          <w:szCs w:val="24"/>
        </w:rPr>
        <w:t>par</w:t>
      </w:r>
      <w:r w:rsidR="007738A8">
        <w:rPr>
          <w:rFonts w:ascii="Times New Roman" w:eastAsia="Times New Roman" w:hAnsi="Times New Roman" w:cs="Times New Roman"/>
          <w:sz w:val="24"/>
          <w:szCs w:val="24"/>
        </w:rPr>
        <w:t xml:space="preserve"> 6,7% </w:t>
      </w:r>
      <w:r w:rsidR="0018234D">
        <w:rPr>
          <w:rFonts w:ascii="Times New Roman" w:eastAsia="Times New Roman" w:hAnsi="Times New Roman" w:cs="Times New Roman"/>
          <w:sz w:val="24"/>
          <w:szCs w:val="24"/>
        </w:rPr>
        <w:t>lielāki</w:t>
      </w:r>
      <w:r w:rsidR="007738A8" w:rsidRPr="007738A8">
        <w:rPr>
          <w:rFonts w:ascii="Times New Roman" w:eastAsia="Times New Roman" w:hAnsi="Times New Roman" w:cs="Times New Roman"/>
          <w:sz w:val="24"/>
          <w:szCs w:val="24"/>
        </w:rPr>
        <w:t xml:space="preserve"> nekā 2012.</w:t>
      </w:r>
      <w:r w:rsidR="009D1A1C">
        <w:rPr>
          <w:rFonts w:ascii="Times New Roman" w:eastAsia="Times New Roman" w:hAnsi="Times New Roman" w:cs="Times New Roman"/>
          <w:sz w:val="24"/>
          <w:szCs w:val="24"/>
        </w:rPr>
        <w:t> </w:t>
      </w:r>
      <w:r w:rsidR="007738A8" w:rsidRPr="007738A8">
        <w:rPr>
          <w:rFonts w:ascii="Times New Roman" w:eastAsia="Times New Roman" w:hAnsi="Times New Roman" w:cs="Times New Roman"/>
          <w:sz w:val="24"/>
          <w:szCs w:val="24"/>
        </w:rPr>
        <w:t>gadā</w:t>
      </w:r>
      <w:r w:rsidR="007738A8">
        <w:rPr>
          <w:rFonts w:ascii="Times New Roman" w:eastAsia="Times New Roman" w:hAnsi="Times New Roman" w:cs="Times New Roman"/>
          <w:sz w:val="24"/>
          <w:szCs w:val="24"/>
        </w:rPr>
        <w:t>.</w:t>
      </w:r>
      <w:r w:rsidR="00671B7C">
        <w:rPr>
          <w:rFonts w:ascii="Times New Roman" w:eastAsia="Times New Roman" w:hAnsi="Times New Roman" w:cs="Times New Roman"/>
          <w:sz w:val="24"/>
          <w:szCs w:val="24"/>
        </w:rPr>
        <w:t xml:space="preserve"> </w:t>
      </w:r>
      <w:r w:rsidR="00671B7C" w:rsidRPr="00671B7C">
        <w:rPr>
          <w:rFonts w:ascii="Times New Roman" w:eastAsia="Times New Roman" w:hAnsi="Times New Roman" w:cs="Times New Roman"/>
          <w:sz w:val="24"/>
          <w:szCs w:val="24"/>
        </w:rPr>
        <w:t>Patēriņa izdevumu pieaugumu veicināja gan darba samaksas (tai skaitā minimālās algas) pieaugums, gan nodarbināto iedzīvotāju īpatsvara palielināšanās un attiecīgi nestrādājošo darba meklētāju īpatsvara samazināšanās iedzīvotāju kopskaitā.</w:t>
      </w:r>
      <w:r w:rsidR="0013713A">
        <w:rPr>
          <w:rFonts w:ascii="Times New Roman" w:eastAsia="Times New Roman" w:hAnsi="Times New Roman" w:cs="Times New Roman"/>
          <w:sz w:val="24"/>
          <w:szCs w:val="24"/>
        </w:rPr>
        <w:t xml:space="preserve"> </w:t>
      </w:r>
      <w:r w:rsidR="0013713A" w:rsidRPr="0013713A">
        <w:rPr>
          <w:rFonts w:ascii="Times New Roman" w:eastAsia="Times New Roman" w:hAnsi="Times New Roman" w:cs="Times New Roman"/>
          <w:sz w:val="24"/>
          <w:szCs w:val="24"/>
        </w:rPr>
        <w:t>Neraugoties uz patēriņa izdevumu pieaugumu, to struktūra būtiski nav mainījusies, un arī 2013. gadā galvenās patēriņa izdevumu prioritātes palika nemainīgas – pārtika, mājoklis un transports.</w:t>
      </w:r>
      <w:r w:rsidR="00C368B6">
        <w:rPr>
          <w:rStyle w:val="FootnoteReference"/>
          <w:rFonts w:ascii="Times New Roman" w:eastAsia="Times New Roman" w:hAnsi="Times New Roman" w:cs="Times New Roman"/>
          <w:sz w:val="24"/>
          <w:szCs w:val="24"/>
        </w:rPr>
        <w:footnoteReference w:id="8"/>
      </w:r>
      <w:r w:rsidR="00670DA1">
        <w:rPr>
          <w:rFonts w:ascii="Times New Roman" w:eastAsia="Times New Roman" w:hAnsi="Times New Roman" w:cs="Times New Roman"/>
          <w:sz w:val="24"/>
          <w:szCs w:val="24"/>
        </w:rPr>
        <w:t xml:space="preserve"> </w:t>
      </w:r>
    </w:p>
    <w:p w14:paraId="0F2E26E1" w14:textId="191C78E6" w:rsidR="00AA0CFB" w:rsidRPr="00670DA1" w:rsidRDefault="00AA0CFB" w:rsidP="00AA0CFB">
      <w:pPr>
        <w:pStyle w:val="NormalWeb"/>
        <w:spacing w:before="0" w:beforeAutospacing="0" w:after="0" w:afterAutospacing="0"/>
        <w:ind w:firstLine="720"/>
        <w:jc w:val="both"/>
      </w:pPr>
      <w:r w:rsidRPr="00670DA1">
        <w:t xml:space="preserve">Kopumā vidēji visās mājsaimniecībās primārie izdevumi </w:t>
      </w:r>
      <w:r w:rsidR="003649C2">
        <w:t>ir par pārtiku</w:t>
      </w:r>
      <w:r w:rsidRPr="00670DA1">
        <w:t>, mājokli, transport</w:t>
      </w:r>
      <w:r w:rsidR="003649C2">
        <w:t>u</w:t>
      </w:r>
      <w:r w:rsidRPr="00670DA1">
        <w:t>, apģērbu un apavu iegād</w:t>
      </w:r>
      <w:r w:rsidR="003649C2">
        <w:t>i</w:t>
      </w:r>
      <w:r w:rsidRPr="00670DA1">
        <w:t>, kā arī veselīb</w:t>
      </w:r>
      <w:r w:rsidR="007B7E68">
        <w:t>u, kas kopā</w:t>
      </w:r>
      <w:r w:rsidRPr="00670DA1">
        <w:t xml:space="preserve"> veido </w:t>
      </w:r>
      <w:r>
        <w:t>70%</w:t>
      </w:r>
      <w:r w:rsidRPr="00670DA1">
        <w:t xml:space="preserve"> n</w:t>
      </w:r>
      <w:r>
        <w:t xml:space="preserve">o kopējiem patēriņa izdevumiem, </w:t>
      </w:r>
      <w:r w:rsidR="007B7E68">
        <w:t>un</w:t>
      </w:r>
      <w:r>
        <w:t xml:space="preserve"> </w:t>
      </w:r>
      <w:r w:rsidRPr="00670DA1">
        <w:t>liecina, ka lielākā daļa izdevumu tiek novirzīti ikdienas vajadzību nodrošināšanai.</w:t>
      </w:r>
    </w:p>
    <w:p w14:paraId="593248F8" w14:textId="73E6424B" w:rsidR="003E37FF" w:rsidRDefault="00670DA1" w:rsidP="00670DA1">
      <w:pPr>
        <w:suppressAutoHyphens/>
        <w:spacing w:after="0" w:line="240" w:lineRule="auto"/>
        <w:ind w:firstLine="720"/>
        <w:jc w:val="both"/>
        <w:rPr>
          <w:rFonts w:ascii="Times New Roman" w:eastAsia="Times New Roman" w:hAnsi="Times New Roman" w:cs="Times New Roman"/>
          <w:sz w:val="24"/>
          <w:szCs w:val="24"/>
        </w:rPr>
      </w:pPr>
      <w:r w:rsidRPr="00670DA1">
        <w:rPr>
          <w:rFonts w:ascii="Times New Roman" w:eastAsia="Times New Roman" w:hAnsi="Times New Roman" w:cs="Times New Roman"/>
          <w:sz w:val="24"/>
          <w:szCs w:val="24"/>
        </w:rPr>
        <w:t>Visvairāk mājsaimniecības tērē uzturam, kas veido vidēji 28</w:t>
      </w:r>
      <w:r w:rsidR="009D1A1C">
        <w:rPr>
          <w:rFonts w:ascii="Times New Roman" w:eastAsia="Times New Roman" w:hAnsi="Times New Roman" w:cs="Times New Roman"/>
          <w:sz w:val="24"/>
          <w:szCs w:val="24"/>
        </w:rPr>
        <w:t xml:space="preserve">% no visiem patēriņa izdevumiem. </w:t>
      </w:r>
      <w:r w:rsidRPr="00670DA1">
        <w:rPr>
          <w:rFonts w:ascii="Times New Roman" w:eastAsia="Times New Roman" w:hAnsi="Times New Roman" w:cs="Times New Roman"/>
          <w:sz w:val="24"/>
          <w:szCs w:val="24"/>
        </w:rPr>
        <w:t>Mājsaimniecību izdevumi pārtikai</w:t>
      </w:r>
      <w:r w:rsidR="009D1A1C">
        <w:rPr>
          <w:rFonts w:ascii="Times New Roman" w:eastAsia="Times New Roman" w:hAnsi="Times New Roman" w:cs="Times New Roman"/>
          <w:sz w:val="24"/>
          <w:szCs w:val="24"/>
        </w:rPr>
        <w:t xml:space="preserve"> 2013. gadā</w:t>
      </w:r>
      <w:r w:rsidRPr="00670DA1">
        <w:rPr>
          <w:rFonts w:ascii="Times New Roman" w:eastAsia="Times New Roman" w:hAnsi="Times New Roman" w:cs="Times New Roman"/>
          <w:sz w:val="24"/>
          <w:szCs w:val="24"/>
        </w:rPr>
        <w:t xml:space="preserve">, salīdzinot ar iepriekšējo gadu, palielinājušies </w:t>
      </w:r>
      <w:r w:rsidR="005F6683">
        <w:rPr>
          <w:rFonts w:ascii="Times New Roman" w:eastAsia="Times New Roman" w:hAnsi="Times New Roman" w:cs="Times New Roman"/>
          <w:sz w:val="24"/>
          <w:szCs w:val="24"/>
        </w:rPr>
        <w:t>par 7,4%</w:t>
      </w:r>
      <w:r w:rsidRPr="00670DA1">
        <w:rPr>
          <w:rFonts w:ascii="Times New Roman" w:eastAsia="Times New Roman" w:hAnsi="Times New Roman" w:cs="Times New Roman"/>
          <w:sz w:val="24"/>
          <w:szCs w:val="24"/>
        </w:rPr>
        <w:t xml:space="preserve"> vidēji uz mājsaimniecības locekli mēnesī.</w:t>
      </w:r>
    </w:p>
    <w:p w14:paraId="638A290F" w14:textId="77777777" w:rsidR="003E37FF" w:rsidRDefault="003E37F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49B5C4" w14:textId="5CCFFB88" w:rsidR="00D93665" w:rsidRPr="00670DA1" w:rsidRDefault="00D93665" w:rsidP="00202818">
      <w:pPr>
        <w:suppressAutoHyphens/>
        <w:spacing w:before="120" w:after="0" w:line="240" w:lineRule="auto"/>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Pr="00D93665">
        <w:rPr>
          <w:rFonts w:ascii="Times New Roman" w:eastAsia="Times New Roman" w:hAnsi="Times New Roman" w:cs="Times New Roman"/>
          <w:sz w:val="24"/>
          <w:szCs w:val="24"/>
        </w:rPr>
        <w:t>. tabula</w:t>
      </w:r>
    </w:p>
    <w:p w14:paraId="50405840" w14:textId="5CB2349F" w:rsidR="00EF3AC3" w:rsidRDefault="00EF3AC3" w:rsidP="00FA0BF2">
      <w:pPr>
        <w:spacing w:after="120" w:line="240" w:lineRule="auto"/>
        <w:ind w:firstLine="720"/>
        <w:jc w:val="both"/>
        <w:rPr>
          <w:rFonts w:ascii="Times New Roman" w:eastAsia="Times New Roman" w:hAnsi="Times New Roman" w:cs="Times New Roman"/>
          <w:b/>
          <w:color w:val="000000"/>
          <w:sz w:val="24"/>
          <w:szCs w:val="24"/>
        </w:rPr>
      </w:pPr>
      <w:r w:rsidRPr="00EF3AC3">
        <w:rPr>
          <w:rFonts w:ascii="Times New Roman" w:eastAsia="Times New Roman" w:hAnsi="Times New Roman" w:cs="Times New Roman"/>
          <w:b/>
          <w:color w:val="000000"/>
          <w:sz w:val="24"/>
          <w:szCs w:val="24"/>
        </w:rPr>
        <w:t>Patēriņa izdevumu sastāvs, struktūra un izmaiņas vidēji uz vienu mājsaimniecības locekli mēnesī 2013. gadā</w:t>
      </w:r>
    </w:p>
    <w:tbl>
      <w:tblPr>
        <w:tblStyle w:val="TableGrid"/>
        <w:tblW w:w="0" w:type="auto"/>
        <w:jc w:val="center"/>
        <w:tblLook w:val="04A0" w:firstRow="1" w:lastRow="0" w:firstColumn="1" w:lastColumn="0" w:noHBand="0" w:noVBand="1"/>
      </w:tblPr>
      <w:tblGrid>
        <w:gridCol w:w="4390"/>
        <w:gridCol w:w="1559"/>
        <w:gridCol w:w="1559"/>
        <w:gridCol w:w="1418"/>
      </w:tblGrid>
      <w:tr w:rsidR="003F1627" w:rsidRPr="00837F60" w14:paraId="443F4171" w14:textId="77777777" w:rsidTr="00332C15">
        <w:trPr>
          <w:trHeight w:val="900"/>
          <w:jc w:val="center"/>
        </w:trPr>
        <w:tc>
          <w:tcPr>
            <w:tcW w:w="4390" w:type="dxa"/>
            <w:hideMark/>
          </w:tcPr>
          <w:p w14:paraId="10E4377D" w14:textId="77777777" w:rsidR="007A15D8" w:rsidRPr="00837F60" w:rsidRDefault="007A15D8" w:rsidP="00C5473B">
            <w:pPr>
              <w:spacing w:before="240"/>
              <w:rPr>
                <w:rFonts w:ascii="Times New Roman" w:eastAsia="Times New Roman" w:hAnsi="Times New Roman" w:cs="Times New Roman"/>
                <w:b/>
                <w:bCs/>
                <w:color w:val="000000"/>
              </w:rPr>
            </w:pPr>
            <w:r w:rsidRPr="00837F60">
              <w:rPr>
                <w:rFonts w:ascii="Times New Roman" w:eastAsia="Times New Roman" w:hAnsi="Times New Roman" w:cs="Times New Roman"/>
                <w:b/>
                <w:bCs/>
                <w:color w:val="000000"/>
              </w:rPr>
              <w:t>Visas mājsaimniecības</w:t>
            </w:r>
          </w:p>
        </w:tc>
        <w:tc>
          <w:tcPr>
            <w:tcW w:w="1559" w:type="dxa"/>
            <w:hideMark/>
          </w:tcPr>
          <w:p w14:paraId="1E317A4C" w14:textId="06D106DE" w:rsidR="007A15D8" w:rsidRPr="00837F60" w:rsidRDefault="007A15D8" w:rsidP="00C5473B">
            <w:pPr>
              <w:spacing w:before="240"/>
              <w:jc w:val="center"/>
              <w:rPr>
                <w:rFonts w:ascii="Times New Roman" w:eastAsia="Times New Roman" w:hAnsi="Times New Roman" w:cs="Times New Roman"/>
                <w:b/>
                <w:bCs/>
                <w:color w:val="000000"/>
              </w:rPr>
            </w:pPr>
            <w:r w:rsidRPr="00837F60">
              <w:rPr>
                <w:rFonts w:ascii="Times New Roman" w:eastAsia="Times New Roman" w:hAnsi="Times New Roman" w:cs="Times New Roman"/>
                <w:b/>
                <w:bCs/>
                <w:color w:val="000000"/>
              </w:rPr>
              <w:t>2013.g.,</w:t>
            </w:r>
            <w:r w:rsidRPr="00837F60">
              <w:rPr>
                <w:rFonts w:ascii="Times New Roman" w:hAnsi="Times New Roman" w:cs="Times New Roman"/>
              </w:rPr>
              <w:t xml:space="preserve"> </w:t>
            </w:r>
            <w:proofErr w:type="spellStart"/>
            <w:r w:rsidR="001B08A4" w:rsidRPr="00837F60">
              <w:rPr>
                <w:rFonts w:ascii="Times New Roman" w:eastAsia="Times New Roman" w:hAnsi="Times New Roman" w:cs="Times New Roman"/>
                <w:b/>
                <w:bCs/>
                <w:i/>
                <w:color w:val="000000"/>
              </w:rPr>
              <w:t>eu</w:t>
            </w:r>
            <w:r w:rsidRPr="00837F60">
              <w:rPr>
                <w:rFonts w:ascii="Times New Roman" w:eastAsia="Times New Roman" w:hAnsi="Times New Roman" w:cs="Times New Roman"/>
                <w:b/>
                <w:bCs/>
                <w:i/>
                <w:color w:val="000000"/>
              </w:rPr>
              <w:t>ro</w:t>
            </w:r>
            <w:proofErr w:type="spellEnd"/>
          </w:p>
        </w:tc>
        <w:tc>
          <w:tcPr>
            <w:tcW w:w="1559" w:type="dxa"/>
            <w:hideMark/>
          </w:tcPr>
          <w:p w14:paraId="6B2D7ED0" w14:textId="37091A4F" w:rsidR="007A15D8" w:rsidRPr="00837F60" w:rsidRDefault="007A15D8" w:rsidP="00C5473B">
            <w:pPr>
              <w:spacing w:before="240"/>
              <w:jc w:val="center"/>
              <w:rPr>
                <w:rFonts w:ascii="Times New Roman" w:eastAsia="Times New Roman" w:hAnsi="Times New Roman" w:cs="Times New Roman"/>
                <w:b/>
                <w:bCs/>
                <w:color w:val="000000"/>
              </w:rPr>
            </w:pPr>
            <w:r w:rsidRPr="00837F60">
              <w:rPr>
                <w:rFonts w:ascii="Times New Roman" w:eastAsia="Times New Roman" w:hAnsi="Times New Roman" w:cs="Times New Roman"/>
                <w:b/>
                <w:bCs/>
                <w:color w:val="000000"/>
              </w:rPr>
              <w:t>2013.g.,</w:t>
            </w:r>
            <w:r w:rsidRPr="00837F60">
              <w:rPr>
                <w:rFonts w:ascii="Times New Roman" w:hAnsi="Times New Roman" w:cs="Times New Roman"/>
              </w:rPr>
              <w:t xml:space="preserve"> </w:t>
            </w:r>
            <w:r w:rsidRPr="00837F60">
              <w:rPr>
                <w:rFonts w:ascii="Times New Roman" w:eastAsia="Times New Roman" w:hAnsi="Times New Roman" w:cs="Times New Roman"/>
                <w:b/>
                <w:bCs/>
                <w:color w:val="000000"/>
              </w:rPr>
              <w:t>%</w:t>
            </w:r>
          </w:p>
        </w:tc>
        <w:tc>
          <w:tcPr>
            <w:tcW w:w="1418" w:type="dxa"/>
            <w:hideMark/>
          </w:tcPr>
          <w:p w14:paraId="4B66DD29" w14:textId="63D28DFD" w:rsidR="007A15D8" w:rsidRPr="00837F60" w:rsidRDefault="007A15D8" w:rsidP="00C5473B">
            <w:pPr>
              <w:spacing w:before="240"/>
              <w:jc w:val="center"/>
              <w:rPr>
                <w:rFonts w:ascii="Times New Roman" w:eastAsia="Times New Roman" w:hAnsi="Times New Roman" w:cs="Times New Roman"/>
                <w:b/>
                <w:bCs/>
                <w:color w:val="000000"/>
              </w:rPr>
            </w:pPr>
            <w:r w:rsidRPr="00837F60">
              <w:rPr>
                <w:rFonts w:ascii="Times New Roman" w:eastAsia="Times New Roman" w:hAnsi="Times New Roman" w:cs="Times New Roman"/>
                <w:b/>
                <w:bCs/>
                <w:color w:val="000000"/>
              </w:rPr>
              <w:t>2013.g. pret 2012.g.,</w:t>
            </w:r>
            <w:r w:rsidRPr="00837F60">
              <w:rPr>
                <w:rFonts w:ascii="Times New Roman" w:hAnsi="Times New Roman" w:cs="Times New Roman"/>
              </w:rPr>
              <w:t xml:space="preserve"> </w:t>
            </w:r>
            <w:r w:rsidRPr="00837F60">
              <w:rPr>
                <w:rFonts w:ascii="Times New Roman" w:eastAsia="Times New Roman" w:hAnsi="Times New Roman" w:cs="Times New Roman"/>
                <w:b/>
                <w:bCs/>
                <w:color w:val="000000"/>
              </w:rPr>
              <w:t>%</w:t>
            </w:r>
          </w:p>
        </w:tc>
      </w:tr>
      <w:tr w:rsidR="007A15D8" w:rsidRPr="00837F60" w14:paraId="6ECF1831" w14:textId="77777777" w:rsidTr="00837F60">
        <w:trPr>
          <w:trHeight w:val="20"/>
          <w:jc w:val="center"/>
        </w:trPr>
        <w:tc>
          <w:tcPr>
            <w:tcW w:w="4390" w:type="dxa"/>
            <w:hideMark/>
          </w:tcPr>
          <w:p w14:paraId="68DCC73A" w14:textId="77777777" w:rsidR="007A15D8" w:rsidRPr="00837F60" w:rsidRDefault="007A15D8" w:rsidP="00905C5D">
            <w:pPr>
              <w:rPr>
                <w:rFonts w:ascii="Times New Roman" w:eastAsia="Times New Roman" w:hAnsi="Times New Roman" w:cs="Times New Roman"/>
                <w:bCs/>
                <w:color w:val="000000"/>
              </w:rPr>
            </w:pPr>
            <w:r w:rsidRPr="00837F60">
              <w:rPr>
                <w:rFonts w:ascii="Times New Roman" w:eastAsia="Times New Roman" w:hAnsi="Times New Roman" w:cs="Times New Roman"/>
                <w:bCs/>
                <w:color w:val="000000"/>
              </w:rPr>
              <w:t>Patēriņa izdevumi kopā</w:t>
            </w:r>
          </w:p>
        </w:tc>
        <w:tc>
          <w:tcPr>
            <w:tcW w:w="1559" w:type="dxa"/>
            <w:hideMark/>
          </w:tcPr>
          <w:p w14:paraId="78D3F022" w14:textId="3EF8CDEC" w:rsidR="007A15D8" w:rsidRPr="00837F60" w:rsidRDefault="00A42609" w:rsidP="00905C5D">
            <w:pPr>
              <w:jc w:val="center"/>
              <w:rPr>
                <w:rFonts w:ascii="Times New Roman" w:eastAsia="Times New Roman" w:hAnsi="Times New Roman" w:cs="Times New Roman"/>
                <w:bCs/>
                <w:color w:val="000000"/>
              </w:rPr>
            </w:pPr>
            <w:r w:rsidRPr="00837F60">
              <w:rPr>
                <w:rFonts w:ascii="Times New Roman" w:eastAsia="Times New Roman" w:hAnsi="Times New Roman" w:cs="Times New Roman"/>
                <w:bCs/>
                <w:color w:val="000000"/>
              </w:rPr>
              <w:t>300,7</w:t>
            </w:r>
          </w:p>
        </w:tc>
        <w:tc>
          <w:tcPr>
            <w:tcW w:w="1559" w:type="dxa"/>
            <w:hideMark/>
          </w:tcPr>
          <w:p w14:paraId="75B0300D" w14:textId="434B101B" w:rsidR="007A15D8" w:rsidRPr="00837F60" w:rsidRDefault="00A42609" w:rsidP="00905C5D">
            <w:pPr>
              <w:jc w:val="center"/>
              <w:rPr>
                <w:rFonts w:ascii="Times New Roman" w:eastAsia="Times New Roman" w:hAnsi="Times New Roman" w:cs="Times New Roman"/>
                <w:bCs/>
                <w:color w:val="000000"/>
              </w:rPr>
            </w:pPr>
            <w:r w:rsidRPr="00837F60">
              <w:rPr>
                <w:rFonts w:ascii="Times New Roman" w:eastAsia="Times New Roman" w:hAnsi="Times New Roman" w:cs="Times New Roman"/>
                <w:bCs/>
                <w:color w:val="000000"/>
              </w:rPr>
              <w:t>100,0</w:t>
            </w:r>
          </w:p>
        </w:tc>
        <w:tc>
          <w:tcPr>
            <w:tcW w:w="1418" w:type="dxa"/>
            <w:hideMark/>
          </w:tcPr>
          <w:p w14:paraId="03304B8D" w14:textId="36658F9E" w:rsidR="007A15D8" w:rsidRPr="00837F60" w:rsidRDefault="00A42609" w:rsidP="00905C5D">
            <w:pPr>
              <w:jc w:val="center"/>
              <w:rPr>
                <w:rFonts w:ascii="Times New Roman" w:eastAsia="Times New Roman" w:hAnsi="Times New Roman" w:cs="Times New Roman"/>
                <w:bCs/>
                <w:color w:val="000000"/>
              </w:rPr>
            </w:pPr>
            <w:r w:rsidRPr="00837F60">
              <w:rPr>
                <w:rFonts w:ascii="Times New Roman" w:eastAsia="Times New Roman" w:hAnsi="Times New Roman" w:cs="Times New Roman"/>
                <w:bCs/>
                <w:color w:val="000000"/>
              </w:rPr>
              <w:t>106,7</w:t>
            </w:r>
          </w:p>
        </w:tc>
      </w:tr>
      <w:tr w:rsidR="007A15D8" w:rsidRPr="00837F60" w14:paraId="4BFAD28F" w14:textId="77777777" w:rsidTr="00837F60">
        <w:trPr>
          <w:jc w:val="center"/>
        </w:trPr>
        <w:tc>
          <w:tcPr>
            <w:tcW w:w="4390" w:type="dxa"/>
            <w:hideMark/>
          </w:tcPr>
          <w:p w14:paraId="19E003F2" w14:textId="77777777" w:rsidR="007A15D8" w:rsidRPr="00837F60" w:rsidRDefault="007A15D8" w:rsidP="00905C5D">
            <w:pPr>
              <w:rPr>
                <w:rFonts w:ascii="Times New Roman" w:eastAsia="Times New Roman" w:hAnsi="Times New Roman" w:cs="Times New Roman"/>
                <w:color w:val="000000"/>
              </w:rPr>
            </w:pPr>
            <w:r w:rsidRPr="00837F60">
              <w:rPr>
                <w:rFonts w:ascii="Times New Roman" w:eastAsia="Times New Roman" w:hAnsi="Times New Roman" w:cs="Times New Roman"/>
                <w:color w:val="000000"/>
              </w:rPr>
              <w:t>Pārtika un bezalkoholiskie dzērieni</w:t>
            </w:r>
          </w:p>
        </w:tc>
        <w:tc>
          <w:tcPr>
            <w:tcW w:w="1559" w:type="dxa"/>
            <w:hideMark/>
          </w:tcPr>
          <w:p w14:paraId="420413EF" w14:textId="3515E502" w:rsidR="007A15D8" w:rsidRPr="00837F60" w:rsidRDefault="00A42609" w:rsidP="00905C5D">
            <w:pPr>
              <w:jc w:val="center"/>
              <w:rPr>
                <w:rFonts w:ascii="Times New Roman" w:eastAsia="Times New Roman" w:hAnsi="Times New Roman" w:cs="Times New Roman"/>
                <w:color w:val="000000"/>
              </w:rPr>
            </w:pPr>
            <w:r w:rsidRPr="00837F60">
              <w:rPr>
                <w:rFonts w:ascii="Times New Roman" w:eastAsia="Times New Roman" w:hAnsi="Times New Roman" w:cs="Times New Roman"/>
                <w:color w:val="000000"/>
              </w:rPr>
              <w:t>84,8</w:t>
            </w:r>
          </w:p>
        </w:tc>
        <w:tc>
          <w:tcPr>
            <w:tcW w:w="1559" w:type="dxa"/>
            <w:hideMark/>
          </w:tcPr>
          <w:p w14:paraId="317D9A6E" w14:textId="233D1085" w:rsidR="007A15D8" w:rsidRPr="00837F60" w:rsidRDefault="00A42609" w:rsidP="00905C5D">
            <w:pPr>
              <w:jc w:val="center"/>
              <w:rPr>
                <w:rFonts w:ascii="Times New Roman" w:eastAsia="Times New Roman" w:hAnsi="Times New Roman" w:cs="Times New Roman"/>
                <w:color w:val="000000"/>
              </w:rPr>
            </w:pPr>
            <w:r w:rsidRPr="00837F60">
              <w:rPr>
                <w:rFonts w:ascii="Times New Roman" w:eastAsia="Times New Roman" w:hAnsi="Times New Roman" w:cs="Times New Roman"/>
                <w:color w:val="000000"/>
              </w:rPr>
              <w:t>28,2</w:t>
            </w:r>
          </w:p>
        </w:tc>
        <w:tc>
          <w:tcPr>
            <w:tcW w:w="1418" w:type="dxa"/>
            <w:hideMark/>
          </w:tcPr>
          <w:p w14:paraId="3A9A494D" w14:textId="01B35B21" w:rsidR="007A15D8" w:rsidRPr="00837F60" w:rsidRDefault="00A42609" w:rsidP="00905C5D">
            <w:pPr>
              <w:jc w:val="center"/>
              <w:rPr>
                <w:rFonts w:ascii="Times New Roman" w:eastAsia="Times New Roman" w:hAnsi="Times New Roman" w:cs="Times New Roman"/>
                <w:color w:val="000000"/>
              </w:rPr>
            </w:pPr>
            <w:r w:rsidRPr="00837F60">
              <w:rPr>
                <w:rFonts w:ascii="Times New Roman" w:eastAsia="Times New Roman" w:hAnsi="Times New Roman" w:cs="Times New Roman"/>
                <w:color w:val="000000"/>
              </w:rPr>
              <w:t>107,4</w:t>
            </w:r>
          </w:p>
        </w:tc>
      </w:tr>
      <w:tr w:rsidR="007A15D8" w:rsidRPr="00837F60" w14:paraId="065A9E5C" w14:textId="77777777" w:rsidTr="00837F60">
        <w:trPr>
          <w:jc w:val="center"/>
        </w:trPr>
        <w:tc>
          <w:tcPr>
            <w:tcW w:w="4390" w:type="dxa"/>
            <w:hideMark/>
          </w:tcPr>
          <w:p w14:paraId="706C8BA4" w14:textId="77777777" w:rsidR="007A15D8" w:rsidRPr="00837F60" w:rsidRDefault="007A15D8" w:rsidP="00905C5D">
            <w:pPr>
              <w:rPr>
                <w:rFonts w:ascii="Times New Roman" w:eastAsia="Times New Roman" w:hAnsi="Times New Roman" w:cs="Times New Roman"/>
                <w:color w:val="000000"/>
              </w:rPr>
            </w:pPr>
            <w:r w:rsidRPr="00837F60">
              <w:rPr>
                <w:rFonts w:ascii="Times New Roman" w:eastAsia="Times New Roman" w:hAnsi="Times New Roman" w:cs="Times New Roman"/>
                <w:color w:val="000000"/>
              </w:rPr>
              <w:t>Alkoholiskie dzērieni, tabaka</w:t>
            </w:r>
          </w:p>
        </w:tc>
        <w:tc>
          <w:tcPr>
            <w:tcW w:w="1559" w:type="dxa"/>
            <w:hideMark/>
          </w:tcPr>
          <w:p w14:paraId="0F360EAA" w14:textId="77777777" w:rsidR="007A15D8" w:rsidRPr="00837F60" w:rsidRDefault="007A15D8" w:rsidP="00905C5D">
            <w:pPr>
              <w:jc w:val="center"/>
              <w:rPr>
                <w:rFonts w:ascii="Times New Roman" w:eastAsia="Times New Roman" w:hAnsi="Times New Roman" w:cs="Times New Roman"/>
                <w:color w:val="000000"/>
              </w:rPr>
            </w:pPr>
            <w:r w:rsidRPr="00837F60">
              <w:rPr>
                <w:rFonts w:ascii="Times New Roman" w:eastAsia="Times New Roman" w:hAnsi="Times New Roman" w:cs="Times New Roman"/>
                <w:color w:val="000000"/>
              </w:rPr>
              <w:t>9,99</w:t>
            </w:r>
          </w:p>
        </w:tc>
        <w:tc>
          <w:tcPr>
            <w:tcW w:w="1559" w:type="dxa"/>
            <w:hideMark/>
          </w:tcPr>
          <w:p w14:paraId="27DD3B71" w14:textId="031F6BB3" w:rsidR="007A15D8" w:rsidRPr="00837F60" w:rsidRDefault="00A42609" w:rsidP="00905C5D">
            <w:pPr>
              <w:jc w:val="center"/>
              <w:rPr>
                <w:rFonts w:ascii="Times New Roman" w:eastAsia="Times New Roman" w:hAnsi="Times New Roman" w:cs="Times New Roman"/>
                <w:color w:val="000000"/>
              </w:rPr>
            </w:pPr>
            <w:r w:rsidRPr="00837F60">
              <w:rPr>
                <w:rFonts w:ascii="Times New Roman" w:eastAsia="Times New Roman" w:hAnsi="Times New Roman" w:cs="Times New Roman"/>
                <w:color w:val="000000"/>
              </w:rPr>
              <w:t>3,3</w:t>
            </w:r>
          </w:p>
        </w:tc>
        <w:tc>
          <w:tcPr>
            <w:tcW w:w="1418" w:type="dxa"/>
            <w:hideMark/>
          </w:tcPr>
          <w:p w14:paraId="6D3E33EB" w14:textId="6CF2D96C" w:rsidR="007A15D8" w:rsidRPr="00837F60" w:rsidRDefault="00A42609" w:rsidP="00905C5D">
            <w:pPr>
              <w:jc w:val="center"/>
              <w:rPr>
                <w:rFonts w:ascii="Times New Roman" w:eastAsia="Times New Roman" w:hAnsi="Times New Roman" w:cs="Times New Roman"/>
                <w:color w:val="000000"/>
              </w:rPr>
            </w:pPr>
            <w:r w:rsidRPr="00837F60">
              <w:rPr>
                <w:rFonts w:ascii="Times New Roman" w:eastAsia="Times New Roman" w:hAnsi="Times New Roman" w:cs="Times New Roman"/>
                <w:color w:val="000000"/>
              </w:rPr>
              <w:t>107,8</w:t>
            </w:r>
          </w:p>
        </w:tc>
      </w:tr>
      <w:tr w:rsidR="007A15D8" w:rsidRPr="00837F60" w14:paraId="2918CCB2" w14:textId="77777777" w:rsidTr="00837F60">
        <w:trPr>
          <w:jc w:val="center"/>
        </w:trPr>
        <w:tc>
          <w:tcPr>
            <w:tcW w:w="4390" w:type="dxa"/>
            <w:hideMark/>
          </w:tcPr>
          <w:p w14:paraId="5D79D6C2" w14:textId="77777777" w:rsidR="007A15D8" w:rsidRPr="00837F60" w:rsidRDefault="007A15D8" w:rsidP="00905C5D">
            <w:pPr>
              <w:rPr>
                <w:rFonts w:ascii="Times New Roman" w:eastAsia="Times New Roman" w:hAnsi="Times New Roman" w:cs="Times New Roman"/>
                <w:color w:val="000000"/>
              </w:rPr>
            </w:pPr>
            <w:r w:rsidRPr="00837F60">
              <w:rPr>
                <w:rFonts w:ascii="Times New Roman" w:eastAsia="Times New Roman" w:hAnsi="Times New Roman" w:cs="Times New Roman"/>
                <w:color w:val="000000"/>
              </w:rPr>
              <w:t>Apģērbi un apavi</w:t>
            </w:r>
          </w:p>
        </w:tc>
        <w:tc>
          <w:tcPr>
            <w:tcW w:w="1559" w:type="dxa"/>
            <w:hideMark/>
          </w:tcPr>
          <w:p w14:paraId="2630B82E" w14:textId="16E8DAAD" w:rsidR="007A15D8" w:rsidRPr="00837F60" w:rsidRDefault="00A42609" w:rsidP="00905C5D">
            <w:pPr>
              <w:jc w:val="center"/>
              <w:rPr>
                <w:rFonts w:ascii="Times New Roman" w:eastAsia="Times New Roman" w:hAnsi="Times New Roman" w:cs="Times New Roman"/>
                <w:color w:val="000000"/>
              </w:rPr>
            </w:pPr>
            <w:r w:rsidRPr="00837F60">
              <w:rPr>
                <w:rFonts w:ascii="Times New Roman" w:eastAsia="Times New Roman" w:hAnsi="Times New Roman" w:cs="Times New Roman"/>
                <w:color w:val="000000"/>
              </w:rPr>
              <w:t>17,4</w:t>
            </w:r>
          </w:p>
        </w:tc>
        <w:tc>
          <w:tcPr>
            <w:tcW w:w="1559" w:type="dxa"/>
            <w:hideMark/>
          </w:tcPr>
          <w:p w14:paraId="36167F2C" w14:textId="5068DEC7" w:rsidR="007A15D8" w:rsidRPr="00837F60" w:rsidRDefault="00A42609" w:rsidP="00905C5D">
            <w:pPr>
              <w:jc w:val="center"/>
              <w:rPr>
                <w:rFonts w:ascii="Times New Roman" w:eastAsia="Times New Roman" w:hAnsi="Times New Roman" w:cs="Times New Roman"/>
                <w:color w:val="000000"/>
              </w:rPr>
            </w:pPr>
            <w:r w:rsidRPr="00837F60">
              <w:rPr>
                <w:rFonts w:ascii="Times New Roman" w:eastAsia="Times New Roman" w:hAnsi="Times New Roman" w:cs="Times New Roman"/>
                <w:color w:val="000000"/>
              </w:rPr>
              <w:t>5,8</w:t>
            </w:r>
          </w:p>
        </w:tc>
        <w:tc>
          <w:tcPr>
            <w:tcW w:w="1418" w:type="dxa"/>
            <w:hideMark/>
          </w:tcPr>
          <w:p w14:paraId="1819993F" w14:textId="23532CE4" w:rsidR="007A15D8" w:rsidRPr="00837F60" w:rsidRDefault="00A42609" w:rsidP="00905C5D">
            <w:pPr>
              <w:jc w:val="center"/>
              <w:rPr>
                <w:rFonts w:ascii="Times New Roman" w:eastAsia="Times New Roman" w:hAnsi="Times New Roman" w:cs="Times New Roman"/>
                <w:color w:val="000000"/>
              </w:rPr>
            </w:pPr>
            <w:r w:rsidRPr="00837F60">
              <w:rPr>
                <w:rFonts w:ascii="Times New Roman" w:eastAsia="Times New Roman" w:hAnsi="Times New Roman" w:cs="Times New Roman"/>
                <w:color w:val="000000"/>
              </w:rPr>
              <w:t>120,2</w:t>
            </w:r>
          </w:p>
        </w:tc>
      </w:tr>
      <w:tr w:rsidR="007A15D8" w:rsidRPr="00837F60" w14:paraId="22A54A0B" w14:textId="77777777" w:rsidTr="00837F60">
        <w:trPr>
          <w:jc w:val="center"/>
        </w:trPr>
        <w:tc>
          <w:tcPr>
            <w:tcW w:w="4390" w:type="dxa"/>
            <w:hideMark/>
          </w:tcPr>
          <w:p w14:paraId="37719517" w14:textId="77777777" w:rsidR="007A15D8" w:rsidRPr="00837F60" w:rsidRDefault="007A15D8" w:rsidP="00905C5D">
            <w:pPr>
              <w:rPr>
                <w:rFonts w:ascii="Times New Roman" w:eastAsia="Times New Roman" w:hAnsi="Times New Roman" w:cs="Times New Roman"/>
                <w:color w:val="000000"/>
              </w:rPr>
            </w:pPr>
            <w:r w:rsidRPr="00837F60">
              <w:rPr>
                <w:rFonts w:ascii="Times New Roman" w:eastAsia="Times New Roman" w:hAnsi="Times New Roman" w:cs="Times New Roman"/>
                <w:color w:val="000000"/>
              </w:rPr>
              <w:t>Mājoklis, ūdens, elektroenerģija, gāze un cits kurināmais</w:t>
            </w:r>
          </w:p>
        </w:tc>
        <w:tc>
          <w:tcPr>
            <w:tcW w:w="1559" w:type="dxa"/>
            <w:hideMark/>
          </w:tcPr>
          <w:p w14:paraId="1B7177B0" w14:textId="424CED4E" w:rsidR="007A15D8" w:rsidRPr="00837F60" w:rsidRDefault="00A42609" w:rsidP="00905C5D">
            <w:pPr>
              <w:jc w:val="center"/>
              <w:rPr>
                <w:rFonts w:ascii="Times New Roman" w:eastAsia="Times New Roman" w:hAnsi="Times New Roman" w:cs="Times New Roman"/>
                <w:color w:val="000000"/>
              </w:rPr>
            </w:pPr>
            <w:r w:rsidRPr="00837F60">
              <w:rPr>
                <w:rFonts w:ascii="Times New Roman" w:eastAsia="Times New Roman" w:hAnsi="Times New Roman" w:cs="Times New Roman"/>
                <w:color w:val="000000"/>
              </w:rPr>
              <w:t>49,5</w:t>
            </w:r>
          </w:p>
        </w:tc>
        <w:tc>
          <w:tcPr>
            <w:tcW w:w="1559" w:type="dxa"/>
            <w:hideMark/>
          </w:tcPr>
          <w:p w14:paraId="6B0956BA" w14:textId="02CEEC11" w:rsidR="007A15D8" w:rsidRPr="00837F60" w:rsidRDefault="00A42609" w:rsidP="00905C5D">
            <w:pPr>
              <w:jc w:val="center"/>
              <w:rPr>
                <w:rFonts w:ascii="Times New Roman" w:eastAsia="Times New Roman" w:hAnsi="Times New Roman" w:cs="Times New Roman"/>
                <w:color w:val="000000"/>
              </w:rPr>
            </w:pPr>
            <w:r w:rsidRPr="00837F60">
              <w:rPr>
                <w:rFonts w:ascii="Times New Roman" w:eastAsia="Times New Roman" w:hAnsi="Times New Roman" w:cs="Times New Roman"/>
                <w:color w:val="000000"/>
              </w:rPr>
              <w:t>16,5</w:t>
            </w:r>
          </w:p>
        </w:tc>
        <w:tc>
          <w:tcPr>
            <w:tcW w:w="1418" w:type="dxa"/>
            <w:hideMark/>
          </w:tcPr>
          <w:p w14:paraId="60511BD3" w14:textId="5E1A5E3A" w:rsidR="007A15D8" w:rsidRPr="00837F60" w:rsidRDefault="00A42609" w:rsidP="00905C5D">
            <w:pPr>
              <w:jc w:val="center"/>
              <w:rPr>
                <w:rFonts w:ascii="Times New Roman" w:eastAsia="Times New Roman" w:hAnsi="Times New Roman" w:cs="Times New Roman"/>
                <w:color w:val="000000"/>
              </w:rPr>
            </w:pPr>
            <w:r w:rsidRPr="00837F60">
              <w:rPr>
                <w:rFonts w:ascii="Times New Roman" w:eastAsia="Times New Roman" w:hAnsi="Times New Roman" w:cs="Times New Roman"/>
                <w:color w:val="000000"/>
              </w:rPr>
              <w:t>104,5</w:t>
            </w:r>
          </w:p>
        </w:tc>
      </w:tr>
      <w:tr w:rsidR="007A15D8" w:rsidRPr="00837F60" w14:paraId="0418A67B" w14:textId="77777777" w:rsidTr="00837F60">
        <w:trPr>
          <w:jc w:val="center"/>
        </w:trPr>
        <w:tc>
          <w:tcPr>
            <w:tcW w:w="4390" w:type="dxa"/>
            <w:hideMark/>
          </w:tcPr>
          <w:p w14:paraId="3A163A0D" w14:textId="77777777" w:rsidR="007A15D8" w:rsidRPr="00837F60" w:rsidRDefault="007A15D8" w:rsidP="00905C5D">
            <w:pPr>
              <w:rPr>
                <w:rFonts w:ascii="Times New Roman" w:eastAsia="Times New Roman" w:hAnsi="Times New Roman" w:cs="Times New Roman"/>
                <w:color w:val="000000"/>
              </w:rPr>
            </w:pPr>
            <w:r w:rsidRPr="00837F60">
              <w:rPr>
                <w:rFonts w:ascii="Times New Roman" w:eastAsia="Times New Roman" w:hAnsi="Times New Roman" w:cs="Times New Roman"/>
                <w:color w:val="000000"/>
              </w:rPr>
              <w:t>Mājokļa iekārta, mājturības piederumi un mājas uzkopšana</w:t>
            </w:r>
          </w:p>
        </w:tc>
        <w:tc>
          <w:tcPr>
            <w:tcW w:w="1559" w:type="dxa"/>
            <w:hideMark/>
          </w:tcPr>
          <w:p w14:paraId="01BDC517" w14:textId="41C7DED1" w:rsidR="007A15D8" w:rsidRPr="00837F60" w:rsidRDefault="00A42609" w:rsidP="00905C5D">
            <w:pPr>
              <w:jc w:val="center"/>
              <w:rPr>
                <w:rFonts w:ascii="Times New Roman" w:eastAsia="Times New Roman" w:hAnsi="Times New Roman" w:cs="Times New Roman"/>
                <w:color w:val="000000"/>
              </w:rPr>
            </w:pPr>
            <w:r w:rsidRPr="00837F60">
              <w:rPr>
                <w:rFonts w:ascii="Times New Roman" w:eastAsia="Times New Roman" w:hAnsi="Times New Roman" w:cs="Times New Roman"/>
                <w:color w:val="000000"/>
              </w:rPr>
              <w:t>12,7</w:t>
            </w:r>
          </w:p>
        </w:tc>
        <w:tc>
          <w:tcPr>
            <w:tcW w:w="1559" w:type="dxa"/>
            <w:hideMark/>
          </w:tcPr>
          <w:p w14:paraId="683EB7F4" w14:textId="3E8F34EC" w:rsidR="007A15D8" w:rsidRPr="00837F60" w:rsidRDefault="00A42609" w:rsidP="00905C5D">
            <w:pPr>
              <w:jc w:val="center"/>
              <w:rPr>
                <w:rFonts w:ascii="Times New Roman" w:eastAsia="Times New Roman" w:hAnsi="Times New Roman" w:cs="Times New Roman"/>
                <w:color w:val="000000"/>
              </w:rPr>
            </w:pPr>
            <w:r w:rsidRPr="00837F60">
              <w:rPr>
                <w:rFonts w:ascii="Times New Roman" w:eastAsia="Times New Roman" w:hAnsi="Times New Roman" w:cs="Times New Roman"/>
                <w:color w:val="000000"/>
              </w:rPr>
              <w:t>4,2</w:t>
            </w:r>
          </w:p>
        </w:tc>
        <w:tc>
          <w:tcPr>
            <w:tcW w:w="1418" w:type="dxa"/>
            <w:hideMark/>
          </w:tcPr>
          <w:p w14:paraId="4923F91D" w14:textId="69E8D95B" w:rsidR="007A15D8" w:rsidRPr="00837F60" w:rsidRDefault="00A42609" w:rsidP="00905C5D">
            <w:pPr>
              <w:jc w:val="center"/>
              <w:rPr>
                <w:rFonts w:ascii="Times New Roman" w:eastAsia="Times New Roman" w:hAnsi="Times New Roman" w:cs="Times New Roman"/>
                <w:color w:val="000000"/>
              </w:rPr>
            </w:pPr>
            <w:r w:rsidRPr="00837F60">
              <w:rPr>
                <w:rFonts w:ascii="Times New Roman" w:eastAsia="Times New Roman" w:hAnsi="Times New Roman" w:cs="Times New Roman"/>
                <w:color w:val="000000"/>
              </w:rPr>
              <w:t>109,9</w:t>
            </w:r>
          </w:p>
        </w:tc>
      </w:tr>
      <w:tr w:rsidR="007A15D8" w:rsidRPr="00837F60" w14:paraId="018E4615" w14:textId="77777777" w:rsidTr="00837F60">
        <w:trPr>
          <w:jc w:val="center"/>
        </w:trPr>
        <w:tc>
          <w:tcPr>
            <w:tcW w:w="4390" w:type="dxa"/>
            <w:hideMark/>
          </w:tcPr>
          <w:p w14:paraId="40B76119" w14:textId="77777777" w:rsidR="007A15D8" w:rsidRPr="00837F60" w:rsidRDefault="007A15D8" w:rsidP="00905C5D">
            <w:pPr>
              <w:rPr>
                <w:rFonts w:ascii="Times New Roman" w:eastAsia="Times New Roman" w:hAnsi="Times New Roman" w:cs="Times New Roman"/>
                <w:color w:val="000000"/>
              </w:rPr>
            </w:pPr>
            <w:r w:rsidRPr="00837F60">
              <w:rPr>
                <w:rFonts w:ascii="Times New Roman" w:eastAsia="Times New Roman" w:hAnsi="Times New Roman" w:cs="Times New Roman"/>
                <w:color w:val="000000"/>
              </w:rPr>
              <w:t>Veselība</w:t>
            </w:r>
          </w:p>
        </w:tc>
        <w:tc>
          <w:tcPr>
            <w:tcW w:w="1559" w:type="dxa"/>
            <w:hideMark/>
          </w:tcPr>
          <w:p w14:paraId="5614E08F" w14:textId="5E00EE2B" w:rsidR="007A15D8" w:rsidRPr="00837F60" w:rsidRDefault="00A42609" w:rsidP="00905C5D">
            <w:pPr>
              <w:jc w:val="center"/>
              <w:rPr>
                <w:rFonts w:ascii="Times New Roman" w:eastAsia="Times New Roman" w:hAnsi="Times New Roman" w:cs="Times New Roman"/>
                <w:color w:val="000000"/>
              </w:rPr>
            </w:pPr>
            <w:r w:rsidRPr="00837F60">
              <w:rPr>
                <w:rFonts w:ascii="Times New Roman" w:eastAsia="Times New Roman" w:hAnsi="Times New Roman" w:cs="Times New Roman"/>
                <w:color w:val="000000"/>
              </w:rPr>
              <w:t>18,5</w:t>
            </w:r>
          </w:p>
        </w:tc>
        <w:tc>
          <w:tcPr>
            <w:tcW w:w="1559" w:type="dxa"/>
            <w:hideMark/>
          </w:tcPr>
          <w:p w14:paraId="79F7BE0A" w14:textId="46E130DE" w:rsidR="007A15D8" w:rsidRPr="00837F60" w:rsidRDefault="00A42609" w:rsidP="00905C5D">
            <w:pPr>
              <w:jc w:val="center"/>
              <w:rPr>
                <w:rFonts w:ascii="Times New Roman" w:eastAsia="Times New Roman" w:hAnsi="Times New Roman" w:cs="Times New Roman"/>
                <w:color w:val="000000"/>
              </w:rPr>
            </w:pPr>
            <w:r w:rsidRPr="00837F60">
              <w:rPr>
                <w:rFonts w:ascii="Times New Roman" w:eastAsia="Times New Roman" w:hAnsi="Times New Roman" w:cs="Times New Roman"/>
                <w:color w:val="000000"/>
              </w:rPr>
              <w:t>6,2</w:t>
            </w:r>
          </w:p>
        </w:tc>
        <w:tc>
          <w:tcPr>
            <w:tcW w:w="1418" w:type="dxa"/>
            <w:hideMark/>
          </w:tcPr>
          <w:p w14:paraId="30427BA5" w14:textId="771684C6" w:rsidR="007A15D8" w:rsidRPr="00837F60" w:rsidRDefault="00A42609" w:rsidP="00905C5D">
            <w:pPr>
              <w:jc w:val="center"/>
              <w:rPr>
                <w:rFonts w:ascii="Times New Roman" w:eastAsia="Times New Roman" w:hAnsi="Times New Roman" w:cs="Times New Roman"/>
                <w:color w:val="000000"/>
              </w:rPr>
            </w:pPr>
            <w:r w:rsidRPr="00837F60">
              <w:rPr>
                <w:rFonts w:ascii="Times New Roman" w:eastAsia="Times New Roman" w:hAnsi="Times New Roman" w:cs="Times New Roman"/>
                <w:color w:val="000000"/>
              </w:rPr>
              <w:t>110,5</w:t>
            </w:r>
          </w:p>
        </w:tc>
      </w:tr>
      <w:tr w:rsidR="007A15D8" w:rsidRPr="00837F60" w14:paraId="4CB37151" w14:textId="77777777" w:rsidTr="00837F60">
        <w:trPr>
          <w:jc w:val="center"/>
        </w:trPr>
        <w:tc>
          <w:tcPr>
            <w:tcW w:w="4390" w:type="dxa"/>
            <w:hideMark/>
          </w:tcPr>
          <w:p w14:paraId="4A233EA3" w14:textId="77777777" w:rsidR="007A15D8" w:rsidRPr="00837F60" w:rsidRDefault="007A15D8" w:rsidP="00905C5D">
            <w:pPr>
              <w:rPr>
                <w:rFonts w:ascii="Times New Roman" w:eastAsia="Times New Roman" w:hAnsi="Times New Roman" w:cs="Times New Roman"/>
                <w:color w:val="000000"/>
              </w:rPr>
            </w:pPr>
            <w:r w:rsidRPr="00837F60">
              <w:rPr>
                <w:rFonts w:ascii="Times New Roman" w:eastAsia="Times New Roman" w:hAnsi="Times New Roman" w:cs="Times New Roman"/>
                <w:color w:val="000000"/>
              </w:rPr>
              <w:t>Transports</w:t>
            </w:r>
          </w:p>
        </w:tc>
        <w:tc>
          <w:tcPr>
            <w:tcW w:w="1559" w:type="dxa"/>
            <w:hideMark/>
          </w:tcPr>
          <w:p w14:paraId="4526D718" w14:textId="61B5FAE1" w:rsidR="007A15D8" w:rsidRPr="00837F60" w:rsidRDefault="007A15D8" w:rsidP="00905C5D">
            <w:pPr>
              <w:jc w:val="center"/>
              <w:rPr>
                <w:rFonts w:ascii="Times New Roman" w:eastAsia="Times New Roman" w:hAnsi="Times New Roman" w:cs="Times New Roman"/>
                <w:color w:val="000000"/>
              </w:rPr>
            </w:pPr>
            <w:r w:rsidRPr="00837F60">
              <w:rPr>
                <w:rFonts w:ascii="Times New Roman" w:eastAsia="Times New Roman" w:hAnsi="Times New Roman" w:cs="Times New Roman"/>
                <w:color w:val="000000"/>
              </w:rPr>
              <w:t>39,</w:t>
            </w:r>
            <w:r w:rsidR="00A42609" w:rsidRPr="00837F60">
              <w:rPr>
                <w:rFonts w:ascii="Times New Roman" w:eastAsia="Times New Roman" w:hAnsi="Times New Roman" w:cs="Times New Roman"/>
                <w:color w:val="000000"/>
              </w:rPr>
              <w:t>6</w:t>
            </w:r>
          </w:p>
        </w:tc>
        <w:tc>
          <w:tcPr>
            <w:tcW w:w="1559" w:type="dxa"/>
            <w:hideMark/>
          </w:tcPr>
          <w:p w14:paraId="7E169DE4" w14:textId="0C424FB0" w:rsidR="007A15D8" w:rsidRPr="00837F60" w:rsidRDefault="00A42609" w:rsidP="00905C5D">
            <w:pPr>
              <w:jc w:val="center"/>
              <w:rPr>
                <w:rFonts w:ascii="Times New Roman" w:eastAsia="Times New Roman" w:hAnsi="Times New Roman" w:cs="Times New Roman"/>
                <w:color w:val="000000"/>
              </w:rPr>
            </w:pPr>
            <w:r w:rsidRPr="00837F60">
              <w:rPr>
                <w:rFonts w:ascii="Times New Roman" w:eastAsia="Times New Roman" w:hAnsi="Times New Roman" w:cs="Times New Roman"/>
                <w:color w:val="000000"/>
              </w:rPr>
              <w:t>13,2</w:t>
            </w:r>
          </w:p>
        </w:tc>
        <w:tc>
          <w:tcPr>
            <w:tcW w:w="1418" w:type="dxa"/>
            <w:hideMark/>
          </w:tcPr>
          <w:p w14:paraId="44B41C6E" w14:textId="4D909245" w:rsidR="007A15D8" w:rsidRPr="00837F60" w:rsidRDefault="00A42609" w:rsidP="00905C5D">
            <w:pPr>
              <w:jc w:val="center"/>
              <w:rPr>
                <w:rFonts w:ascii="Times New Roman" w:eastAsia="Times New Roman" w:hAnsi="Times New Roman" w:cs="Times New Roman"/>
                <w:color w:val="000000"/>
              </w:rPr>
            </w:pPr>
            <w:r w:rsidRPr="00837F60">
              <w:rPr>
                <w:rFonts w:ascii="Times New Roman" w:eastAsia="Times New Roman" w:hAnsi="Times New Roman" w:cs="Times New Roman"/>
                <w:color w:val="000000"/>
              </w:rPr>
              <w:t>99,5</w:t>
            </w:r>
          </w:p>
        </w:tc>
      </w:tr>
      <w:tr w:rsidR="007A15D8" w:rsidRPr="00837F60" w14:paraId="41522C60" w14:textId="77777777" w:rsidTr="00837F60">
        <w:trPr>
          <w:jc w:val="center"/>
        </w:trPr>
        <w:tc>
          <w:tcPr>
            <w:tcW w:w="4390" w:type="dxa"/>
            <w:hideMark/>
          </w:tcPr>
          <w:p w14:paraId="1B0F0399" w14:textId="77777777" w:rsidR="007A15D8" w:rsidRPr="00837F60" w:rsidRDefault="007A15D8" w:rsidP="00905C5D">
            <w:pPr>
              <w:rPr>
                <w:rFonts w:ascii="Times New Roman" w:eastAsia="Times New Roman" w:hAnsi="Times New Roman" w:cs="Times New Roman"/>
                <w:color w:val="000000"/>
              </w:rPr>
            </w:pPr>
            <w:r w:rsidRPr="00837F60">
              <w:rPr>
                <w:rFonts w:ascii="Times New Roman" w:eastAsia="Times New Roman" w:hAnsi="Times New Roman" w:cs="Times New Roman"/>
                <w:color w:val="000000"/>
              </w:rPr>
              <w:t>Sakari</w:t>
            </w:r>
          </w:p>
        </w:tc>
        <w:tc>
          <w:tcPr>
            <w:tcW w:w="1559" w:type="dxa"/>
            <w:hideMark/>
          </w:tcPr>
          <w:p w14:paraId="2A09CFE3" w14:textId="7D2C293E" w:rsidR="007A15D8" w:rsidRPr="00837F60" w:rsidRDefault="00A42609" w:rsidP="00905C5D">
            <w:pPr>
              <w:jc w:val="center"/>
              <w:rPr>
                <w:rFonts w:ascii="Times New Roman" w:eastAsia="Times New Roman" w:hAnsi="Times New Roman" w:cs="Times New Roman"/>
                <w:color w:val="000000"/>
              </w:rPr>
            </w:pPr>
            <w:r w:rsidRPr="00837F60">
              <w:rPr>
                <w:rFonts w:ascii="Times New Roman" w:eastAsia="Times New Roman" w:hAnsi="Times New Roman" w:cs="Times New Roman"/>
                <w:color w:val="000000"/>
              </w:rPr>
              <w:t>12,7</w:t>
            </w:r>
          </w:p>
        </w:tc>
        <w:tc>
          <w:tcPr>
            <w:tcW w:w="1559" w:type="dxa"/>
            <w:hideMark/>
          </w:tcPr>
          <w:p w14:paraId="5578FFFF" w14:textId="49CBAA75" w:rsidR="007A15D8" w:rsidRPr="00837F60" w:rsidRDefault="00A42609" w:rsidP="00905C5D">
            <w:pPr>
              <w:jc w:val="center"/>
              <w:rPr>
                <w:rFonts w:ascii="Times New Roman" w:eastAsia="Times New Roman" w:hAnsi="Times New Roman" w:cs="Times New Roman"/>
                <w:color w:val="000000"/>
              </w:rPr>
            </w:pPr>
            <w:r w:rsidRPr="00837F60">
              <w:rPr>
                <w:rFonts w:ascii="Times New Roman" w:eastAsia="Times New Roman" w:hAnsi="Times New Roman" w:cs="Times New Roman"/>
                <w:color w:val="000000"/>
              </w:rPr>
              <w:t>4,2</w:t>
            </w:r>
          </w:p>
        </w:tc>
        <w:tc>
          <w:tcPr>
            <w:tcW w:w="1418" w:type="dxa"/>
            <w:hideMark/>
          </w:tcPr>
          <w:p w14:paraId="1E01ACE2" w14:textId="2A269CF4" w:rsidR="007A15D8" w:rsidRPr="00837F60" w:rsidRDefault="00A42609" w:rsidP="00905C5D">
            <w:pPr>
              <w:jc w:val="center"/>
              <w:rPr>
                <w:rFonts w:ascii="Times New Roman" w:eastAsia="Times New Roman" w:hAnsi="Times New Roman" w:cs="Times New Roman"/>
                <w:color w:val="000000"/>
              </w:rPr>
            </w:pPr>
            <w:r w:rsidRPr="00837F60">
              <w:rPr>
                <w:rFonts w:ascii="Times New Roman" w:eastAsia="Times New Roman" w:hAnsi="Times New Roman" w:cs="Times New Roman"/>
                <w:color w:val="000000"/>
              </w:rPr>
              <w:t>96,4</w:t>
            </w:r>
          </w:p>
        </w:tc>
      </w:tr>
      <w:tr w:rsidR="007A15D8" w:rsidRPr="00837F60" w14:paraId="2310A192" w14:textId="77777777" w:rsidTr="00837F60">
        <w:trPr>
          <w:jc w:val="center"/>
        </w:trPr>
        <w:tc>
          <w:tcPr>
            <w:tcW w:w="4390" w:type="dxa"/>
            <w:hideMark/>
          </w:tcPr>
          <w:p w14:paraId="087D234A" w14:textId="77777777" w:rsidR="007A15D8" w:rsidRPr="00837F60" w:rsidRDefault="007A15D8" w:rsidP="00905C5D">
            <w:pPr>
              <w:rPr>
                <w:rFonts w:ascii="Times New Roman" w:eastAsia="Times New Roman" w:hAnsi="Times New Roman" w:cs="Times New Roman"/>
                <w:color w:val="000000"/>
              </w:rPr>
            </w:pPr>
            <w:r w:rsidRPr="00837F60">
              <w:rPr>
                <w:rFonts w:ascii="Times New Roman" w:eastAsia="Times New Roman" w:hAnsi="Times New Roman" w:cs="Times New Roman"/>
                <w:color w:val="000000"/>
              </w:rPr>
              <w:t>Atpūta un kultūra</w:t>
            </w:r>
          </w:p>
        </w:tc>
        <w:tc>
          <w:tcPr>
            <w:tcW w:w="1559" w:type="dxa"/>
            <w:hideMark/>
          </w:tcPr>
          <w:p w14:paraId="43BF7B24" w14:textId="3A5CC240" w:rsidR="007A15D8" w:rsidRPr="00837F60" w:rsidRDefault="00A42609" w:rsidP="00905C5D">
            <w:pPr>
              <w:jc w:val="center"/>
              <w:rPr>
                <w:rFonts w:ascii="Times New Roman" w:eastAsia="Times New Roman" w:hAnsi="Times New Roman" w:cs="Times New Roman"/>
                <w:color w:val="000000"/>
              </w:rPr>
            </w:pPr>
            <w:r w:rsidRPr="00837F60">
              <w:rPr>
                <w:rFonts w:ascii="Times New Roman" w:eastAsia="Times New Roman" w:hAnsi="Times New Roman" w:cs="Times New Roman"/>
                <w:color w:val="000000"/>
              </w:rPr>
              <w:t>21,2</w:t>
            </w:r>
          </w:p>
        </w:tc>
        <w:tc>
          <w:tcPr>
            <w:tcW w:w="1559" w:type="dxa"/>
            <w:hideMark/>
          </w:tcPr>
          <w:p w14:paraId="23E3E2D4" w14:textId="1A50DEB2" w:rsidR="007A15D8" w:rsidRPr="00837F60" w:rsidRDefault="00A42609" w:rsidP="00905C5D">
            <w:pPr>
              <w:jc w:val="center"/>
              <w:rPr>
                <w:rFonts w:ascii="Times New Roman" w:eastAsia="Times New Roman" w:hAnsi="Times New Roman" w:cs="Times New Roman"/>
                <w:color w:val="000000"/>
              </w:rPr>
            </w:pPr>
            <w:r w:rsidRPr="00837F60">
              <w:rPr>
                <w:rFonts w:ascii="Times New Roman" w:eastAsia="Times New Roman" w:hAnsi="Times New Roman" w:cs="Times New Roman"/>
                <w:color w:val="000000"/>
              </w:rPr>
              <w:t>7,1</w:t>
            </w:r>
          </w:p>
        </w:tc>
        <w:tc>
          <w:tcPr>
            <w:tcW w:w="1418" w:type="dxa"/>
            <w:hideMark/>
          </w:tcPr>
          <w:p w14:paraId="7881B52E" w14:textId="480796EA" w:rsidR="007A15D8" w:rsidRPr="00837F60" w:rsidRDefault="00A42609" w:rsidP="00905C5D">
            <w:pPr>
              <w:jc w:val="center"/>
              <w:rPr>
                <w:rFonts w:ascii="Times New Roman" w:eastAsia="Times New Roman" w:hAnsi="Times New Roman" w:cs="Times New Roman"/>
                <w:color w:val="000000"/>
              </w:rPr>
            </w:pPr>
            <w:r w:rsidRPr="00837F60">
              <w:rPr>
                <w:rFonts w:ascii="Times New Roman" w:eastAsia="Times New Roman" w:hAnsi="Times New Roman" w:cs="Times New Roman"/>
                <w:color w:val="000000"/>
              </w:rPr>
              <w:t>112,8</w:t>
            </w:r>
          </w:p>
        </w:tc>
      </w:tr>
      <w:tr w:rsidR="007A15D8" w:rsidRPr="00837F60" w14:paraId="5C1F1595" w14:textId="77777777" w:rsidTr="00837F60">
        <w:trPr>
          <w:jc w:val="center"/>
        </w:trPr>
        <w:tc>
          <w:tcPr>
            <w:tcW w:w="4390" w:type="dxa"/>
            <w:hideMark/>
          </w:tcPr>
          <w:p w14:paraId="50131B41" w14:textId="77777777" w:rsidR="007A15D8" w:rsidRPr="00837F60" w:rsidRDefault="007A15D8" w:rsidP="00905C5D">
            <w:pPr>
              <w:rPr>
                <w:rFonts w:ascii="Times New Roman" w:eastAsia="Times New Roman" w:hAnsi="Times New Roman" w:cs="Times New Roman"/>
                <w:color w:val="000000"/>
              </w:rPr>
            </w:pPr>
            <w:r w:rsidRPr="00837F60">
              <w:rPr>
                <w:rFonts w:ascii="Times New Roman" w:eastAsia="Times New Roman" w:hAnsi="Times New Roman" w:cs="Times New Roman"/>
                <w:color w:val="000000"/>
              </w:rPr>
              <w:t>Izglītība</w:t>
            </w:r>
          </w:p>
        </w:tc>
        <w:tc>
          <w:tcPr>
            <w:tcW w:w="1559" w:type="dxa"/>
            <w:hideMark/>
          </w:tcPr>
          <w:p w14:paraId="080975D1" w14:textId="4FE3E75E" w:rsidR="007A15D8" w:rsidRPr="00837F60" w:rsidRDefault="00A42609" w:rsidP="00905C5D">
            <w:pPr>
              <w:jc w:val="center"/>
              <w:rPr>
                <w:rFonts w:ascii="Times New Roman" w:eastAsia="Times New Roman" w:hAnsi="Times New Roman" w:cs="Times New Roman"/>
                <w:color w:val="000000"/>
              </w:rPr>
            </w:pPr>
            <w:r w:rsidRPr="00837F60">
              <w:rPr>
                <w:rFonts w:ascii="Times New Roman" w:eastAsia="Times New Roman" w:hAnsi="Times New Roman" w:cs="Times New Roman"/>
                <w:color w:val="000000"/>
              </w:rPr>
              <w:t>4,3</w:t>
            </w:r>
          </w:p>
        </w:tc>
        <w:tc>
          <w:tcPr>
            <w:tcW w:w="1559" w:type="dxa"/>
            <w:hideMark/>
          </w:tcPr>
          <w:p w14:paraId="6DF9874C" w14:textId="52EFC320" w:rsidR="007A15D8" w:rsidRPr="00837F60" w:rsidRDefault="00A42609" w:rsidP="00905C5D">
            <w:pPr>
              <w:jc w:val="center"/>
              <w:rPr>
                <w:rFonts w:ascii="Times New Roman" w:eastAsia="Times New Roman" w:hAnsi="Times New Roman" w:cs="Times New Roman"/>
                <w:color w:val="000000"/>
              </w:rPr>
            </w:pPr>
            <w:r w:rsidRPr="00837F60">
              <w:rPr>
                <w:rFonts w:ascii="Times New Roman" w:eastAsia="Times New Roman" w:hAnsi="Times New Roman" w:cs="Times New Roman"/>
                <w:color w:val="000000"/>
              </w:rPr>
              <w:t>1,4</w:t>
            </w:r>
          </w:p>
        </w:tc>
        <w:tc>
          <w:tcPr>
            <w:tcW w:w="1418" w:type="dxa"/>
            <w:hideMark/>
          </w:tcPr>
          <w:p w14:paraId="18C86D8A" w14:textId="3B563EDB" w:rsidR="007A15D8" w:rsidRPr="00837F60" w:rsidRDefault="00A42609" w:rsidP="00905C5D">
            <w:pPr>
              <w:jc w:val="center"/>
              <w:rPr>
                <w:rFonts w:ascii="Times New Roman" w:eastAsia="Times New Roman" w:hAnsi="Times New Roman" w:cs="Times New Roman"/>
                <w:color w:val="000000"/>
              </w:rPr>
            </w:pPr>
            <w:r w:rsidRPr="00837F60">
              <w:rPr>
                <w:rFonts w:ascii="Times New Roman" w:eastAsia="Times New Roman" w:hAnsi="Times New Roman" w:cs="Times New Roman"/>
                <w:color w:val="000000"/>
              </w:rPr>
              <w:t>93,4</w:t>
            </w:r>
          </w:p>
        </w:tc>
      </w:tr>
      <w:tr w:rsidR="007A15D8" w:rsidRPr="00837F60" w14:paraId="27EA9DBF" w14:textId="77777777" w:rsidTr="00837F60">
        <w:trPr>
          <w:jc w:val="center"/>
        </w:trPr>
        <w:tc>
          <w:tcPr>
            <w:tcW w:w="4390" w:type="dxa"/>
            <w:hideMark/>
          </w:tcPr>
          <w:p w14:paraId="2F8BD5CA" w14:textId="77777777" w:rsidR="007A15D8" w:rsidRPr="00837F60" w:rsidRDefault="007A15D8" w:rsidP="00905C5D">
            <w:pPr>
              <w:rPr>
                <w:rFonts w:ascii="Times New Roman" w:eastAsia="Times New Roman" w:hAnsi="Times New Roman" w:cs="Times New Roman"/>
                <w:color w:val="000000"/>
              </w:rPr>
            </w:pPr>
            <w:r w:rsidRPr="00837F60">
              <w:rPr>
                <w:rFonts w:ascii="Times New Roman" w:eastAsia="Times New Roman" w:hAnsi="Times New Roman" w:cs="Times New Roman"/>
                <w:color w:val="000000"/>
              </w:rPr>
              <w:t>Restorāni, kafejnīcas un viesnīcas</w:t>
            </w:r>
          </w:p>
        </w:tc>
        <w:tc>
          <w:tcPr>
            <w:tcW w:w="1559" w:type="dxa"/>
            <w:hideMark/>
          </w:tcPr>
          <w:p w14:paraId="22956600" w14:textId="48F0C212" w:rsidR="007A15D8" w:rsidRPr="00837F60" w:rsidRDefault="00A42609" w:rsidP="00905C5D">
            <w:pPr>
              <w:jc w:val="center"/>
              <w:rPr>
                <w:rFonts w:ascii="Times New Roman" w:eastAsia="Times New Roman" w:hAnsi="Times New Roman" w:cs="Times New Roman"/>
                <w:color w:val="000000"/>
              </w:rPr>
            </w:pPr>
            <w:r w:rsidRPr="00837F60">
              <w:rPr>
                <w:rFonts w:ascii="Times New Roman" w:eastAsia="Times New Roman" w:hAnsi="Times New Roman" w:cs="Times New Roman"/>
                <w:color w:val="000000"/>
              </w:rPr>
              <w:t>13,1</w:t>
            </w:r>
          </w:p>
        </w:tc>
        <w:tc>
          <w:tcPr>
            <w:tcW w:w="1559" w:type="dxa"/>
            <w:hideMark/>
          </w:tcPr>
          <w:p w14:paraId="5876C9A4" w14:textId="2D92EF06" w:rsidR="007A15D8" w:rsidRPr="00837F60" w:rsidRDefault="00A42609" w:rsidP="00905C5D">
            <w:pPr>
              <w:jc w:val="center"/>
              <w:rPr>
                <w:rFonts w:ascii="Times New Roman" w:eastAsia="Times New Roman" w:hAnsi="Times New Roman" w:cs="Times New Roman"/>
                <w:color w:val="000000"/>
              </w:rPr>
            </w:pPr>
            <w:r w:rsidRPr="00837F60">
              <w:rPr>
                <w:rFonts w:ascii="Times New Roman" w:eastAsia="Times New Roman" w:hAnsi="Times New Roman" w:cs="Times New Roman"/>
                <w:color w:val="000000"/>
              </w:rPr>
              <w:t>4,4</w:t>
            </w:r>
          </w:p>
        </w:tc>
        <w:tc>
          <w:tcPr>
            <w:tcW w:w="1418" w:type="dxa"/>
            <w:hideMark/>
          </w:tcPr>
          <w:p w14:paraId="602288E5" w14:textId="61B30044" w:rsidR="007A15D8" w:rsidRPr="00837F60" w:rsidRDefault="00A42609" w:rsidP="00905C5D">
            <w:pPr>
              <w:jc w:val="center"/>
              <w:rPr>
                <w:rFonts w:ascii="Times New Roman" w:eastAsia="Times New Roman" w:hAnsi="Times New Roman" w:cs="Times New Roman"/>
                <w:color w:val="000000"/>
              </w:rPr>
            </w:pPr>
            <w:r w:rsidRPr="00837F60">
              <w:rPr>
                <w:rFonts w:ascii="Times New Roman" w:eastAsia="Times New Roman" w:hAnsi="Times New Roman" w:cs="Times New Roman"/>
                <w:color w:val="000000"/>
              </w:rPr>
              <w:t>103,3</w:t>
            </w:r>
          </w:p>
        </w:tc>
      </w:tr>
      <w:tr w:rsidR="007A15D8" w:rsidRPr="00837F60" w14:paraId="7E0F5307" w14:textId="77777777" w:rsidTr="00837F60">
        <w:trPr>
          <w:jc w:val="center"/>
        </w:trPr>
        <w:tc>
          <w:tcPr>
            <w:tcW w:w="4390" w:type="dxa"/>
            <w:hideMark/>
          </w:tcPr>
          <w:p w14:paraId="6EB27915" w14:textId="77777777" w:rsidR="007A15D8" w:rsidRPr="00837F60" w:rsidRDefault="007A15D8" w:rsidP="00905C5D">
            <w:pPr>
              <w:rPr>
                <w:rFonts w:ascii="Times New Roman" w:eastAsia="Times New Roman" w:hAnsi="Times New Roman" w:cs="Times New Roman"/>
                <w:color w:val="000000"/>
              </w:rPr>
            </w:pPr>
            <w:r w:rsidRPr="00837F60">
              <w:rPr>
                <w:rFonts w:ascii="Times New Roman" w:eastAsia="Times New Roman" w:hAnsi="Times New Roman" w:cs="Times New Roman"/>
                <w:color w:val="000000"/>
              </w:rPr>
              <w:t>Dažādas preces un pakalpojumi</w:t>
            </w:r>
          </w:p>
        </w:tc>
        <w:tc>
          <w:tcPr>
            <w:tcW w:w="1559" w:type="dxa"/>
            <w:hideMark/>
          </w:tcPr>
          <w:p w14:paraId="4FDC0C85" w14:textId="0343EC76" w:rsidR="007A15D8" w:rsidRPr="00837F60" w:rsidRDefault="00A42609" w:rsidP="00905C5D">
            <w:pPr>
              <w:jc w:val="center"/>
              <w:rPr>
                <w:rFonts w:ascii="Times New Roman" w:eastAsia="Times New Roman" w:hAnsi="Times New Roman" w:cs="Times New Roman"/>
                <w:color w:val="000000"/>
              </w:rPr>
            </w:pPr>
            <w:r w:rsidRPr="00837F60">
              <w:rPr>
                <w:rFonts w:ascii="Times New Roman" w:eastAsia="Times New Roman" w:hAnsi="Times New Roman" w:cs="Times New Roman"/>
                <w:color w:val="000000"/>
              </w:rPr>
              <w:t>16,8</w:t>
            </w:r>
          </w:p>
        </w:tc>
        <w:tc>
          <w:tcPr>
            <w:tcW w:w="1559" w:type="dxa"/>
            <w:hideMark/>
          </w:tcPr>
          <w:p w14:paraId="47D927C0" w14:textId="0C040803" w:rsidR="007A15D8" w:rsidRPr="00837F60" w:rsidRDefault="00A42609" w:rsidP="00905C5D">
            <w:pPr>
              <w:jc w:val="center"/>
              <w:rPr>
                <w:rFonts w:ascii="Times New Roman" w:eastAsia="Times New Roman" w:hAnsi="Times New Roman" w:cs="Times New Roman"/>
                <w:color w:val="000000"/>
              </w:rPr>
            </w:pPr>
            <w:r w:rsidRPr="00837F60">
              <w:rPr>
                <w:rFonts w:ascii="Times New Roman" w:eastAsia="Times New Roman" w:hAnsi="Times New Roman" w:cs="Times New Roman"/>
                <w:color w:val="000000"/>
              </w:rPr>
              <w:t>5,6</w:t>
            </w:r>
          </w:p>
        </w:tc>
        <w:tc>
          <w:tcPr>
            <w:tcW w:w="1418" w:type="dxa"/>
            <w:hideMark/>
          </w:tcPr>
          <w:p w14:paraId="70D6DDFE" w14:textId="42F32A1B" w:rsidR="007A15D8" w:rsidRPr="00837F60" w:rsidRDefault="00A42609" w:rsidP="00905C5D">
            <w:pPr>
              <w:jc w:val="center"/>
              <w:rPr>
                <w:rFonts w:ascii="Times New Roman" w:eastAsia="Times New Roman" w:hAnsi="Times New Roman" w:cs="Times New Roman"/>
                <w:color w:val="000000"/>
              </w:rPr>
            </w:pPr>
            <w:r w:rsidRPr="00837F60">
              <w:rPr>
                <w:rFonts w:ascii="Times New Roman" w:eastAsia="Times New Roman" w:hAnsi="Times New Roman" w:cs="Times New Roman"/>
                <w:color w:val="000000"/>
              </w:rPr>
              <w:t>116,4</w:t>
            </w:r>
          </w:p>
        </w:tc>
      </w:tr>
    </w:tbl>
    <w:p w14:paraId="40483686" w14:textId="26C4127F" w:rsidR="00EF3AC3" w:rsidRPr="00EF3AC3" w:rsidRDefault="00EF3AC3" w:rsidP="00EF3AC3">
      <w:pPr>
        <w:suppressAutoHyphens/>
        <w:spacing w:after="100" w:afterAutospacing="1" w:line="240" w:lineRule="auto"/>
        <w:ind w:firstLine="720"/>
        <w:jc w:val="both"/>
        <w:rPr>
          <w:rFonts w:ascii="Times New Roman" w:eastAsia="Times New Roman" w:hAnsi="Times New Roman" w:cs="Times New Roman"/>
          <w:i/>
          <w:sz w:val="20"/>
          <w:szCs w:val="20"/>
        </w:rPr>
      </w:pPr>
      <w:r w:rsidRPr="00EF3AC3">
        <w:rPr>
          <w:rFonts w:ascii="Times New Roman" w:eastAsia="Times New Roman" w:hAnsi="Times New Roman" w:cs="Times New Roman"/>
          <w:i/>
          <w:sz w:val="20"/>
          <w:szCs w:val="20"/>
        </w:rPr>
        <w:t>Datu avots: CS</w:t>
      </w:r>
      <w:r w:rsidR="00A76D27">
        <w:rPr>
          <w:rFonts w:ascii="Times New Roman" w:eastAsia="Times New Roman" w:hAnsi="Times New Roman" w:cs="Times New Roman"/>
          <w:i/>
          <w:sz w:val="20"/>
          <w:szCs w:val="20"/>
        </w:rPr>
        <w:t>P</w:t>
      </w:r>
    </w:p>
    <w:p w14:paraId="7D5E1B4B" w14:textId="4913CFCE" w:rsidR="00B779D6" w:rsidRPr="00D928CD" w:rsidRDefault="0080507A" w:rsidP="00EC2F18">
      <w:pPr>
        <w:suppressAutoHyphens/>
        <w:spacing w:after="0" w:line="240" w:lineRule="auto"/>
        <w:ind w:firstLine="720"/>
        <w:jc w:val="both"/>
        <w:rPr>
          <w:rFonts w:ascii="Times New Roman" w:eastAsia="Times New Roman" w:hAnsi="Times New Roman" w:cs="Times New Roman"/>
          <w:sz w:val="24"/>
          <w:szCs w:val="24"/>
        </w:rPr>
      </w:pPr>
      <w:r w:rsidRPr="0080507A">
        <w:rPr>
          <w:rFonts w:ascii="Times New Roman" w:eastAsia="Times New Roman" w:hAnsi="Times New Roman" w:cs="Times New Roman"/>
          <w:sz w:val="24"/>
          <w:szCs w:val="24"/>
        </w:rPr>
        <w:t xml:space="preserve">Analizējot CSP datus par patēriņa izdevumu sastāvu un struktūru </w:t>
      </w:r>
      <w:proofErr w:type="spellStart"/>
      <w:r w:rsidRPr="0080507A">
        <w:rPr>
          <w:rFonts w:ascii="Times New Roman" w:eastAsia="Times New Roman" w:hAnsi="Times New Roman" w:cs="Times New Roman"/>
          <w:sz w:val="24"/>
          <w:szCs w:val="24"/>
        </w:rPr>
        <w:t>kvintiļu</w:t>
      </w:r>
      <w:proofErr w:type="spellEnd"/>
      <w:r w:rsidRPr="0080507A">
        <w:rPr>
          <w:rFonts w:ascii="Times New Roman" w:eastAsia="Times New Roman" w:hAnsi="Times New Roman" w:cs="Times New Roman"/>
          <w:sz w:val="24"/>
          <w:szCs w:val="24"/>
        </w:rPr>
        <w:t xml:space="preserve"> grupās vidēji uz vienu mājsaimniecības iedzīvotāju 2013. gadā</w:t>
      </w:r>
      <w:r w:rsidR="009D147D">
        <w:rPr>
          <w:rFonts w:ascii="Times New Roman" w:eastAsia="Times New Roman" w:hAnsi="Times New Roman" w:cs="Times New Roman"/>
          <w:sz w:val="24"/>
          <w:szCs w:val="24"/>
        </w:rPr>
        <w:t xml:space="preserve"> (skat. </w:t>
      </w:r>
      <w:r w:rsidR="007034A0">
        <w:rPr>
          <w:rFonts w:ascii="Times New Roman" w:eastAsia="Times New Roman" w:hAnsi="Times New Roman" w:cs="Times New Roman"/>
          <w:sz w:val="24"/>
          <w:szCs w:val="24"/>
        </w:rPr>
        <w:t>5. </w:t>
      </w:r>
      <w:r w:rsidR="009D147D">
        <w:rPr>
          <w:rFonts w:ascii="Times New Roman" w:eastAsia="Times New Roman" w:hAnsi="Times New Roman" w:cs="Times New Roman"/>
          <w:sz w:val="24"/>
          <w:szCs w:val="24"/>
        </w:rPr>
        <w:t>tabulu)</w:t>
      </w:r>
      <w:r w:rsidR="0024404B">
        <w:rPr>
          <w:rFonts w:ascii="Times New Roman" w:eastAsia="Times New Roman" w:hAnsi="Times New Roman" w:cs="Times New Roman"/>
          <w:sz w:val="24"/>
          <w:szCs w:val="24"/>
        </w:rPr>
        <w:t xml:space="preserve">, redzams, ka </w:t>
      </w:r>
      <w:r w:rsidR="00EC2F18" w:rsidRPr="00EC2F18">
        <w:rPr>
          <w:rFonts w:ascii="Times New Roman" w:eastAsia="Times New Roman" w:hAnsi="Times New Roman" w:cs="Times New Roman"/>
          <w:sz w:val="24"/>
          <w:szCs w:val="24"/>
          <w:u w:val="single"/>
        </w:rPr>
        <w:t>pārtikas produktiem</w:t>
      </w:r>
      <w:r w:rsidR="00EC2F18" w:rsidRPr="00EC2F18">
        <w:rPr>
          <w:rFonts w:ascii="Times New Roman" w:eastAsia="Times New Roman" w:hAnsi="Times New Roman" w:cs="Times New Roman"/>
          <w:sz w:val="24"/>
          <w:szCs w:val="24"/>
        </w:rPr>
        <w:t xml:space="preserve"> </w:t>
      </w:r>
      <w:r w:rsidR="003922A3">
        <w:rPr>
          <w:rFonts w:ascii="Times New Roman" w:eastAsia="Times New Roman" w:hAnsi="Times New Roman" w:cs="Times New Roman"/>
          <w:sz w:val="24"/>
          <w:szCs w:val="24"/>
        </w:rPr>
        <w:t xml:space="preserve">un bezalkoholiskiem dzērieniem </w:t>
      </w:r>
      <w:r w:rsidR="00EC2F18" w:rsidRPr="00EC2F18">
        <w:rPr>
          <w:rFonts w:ascii="Times New Roman" w:eastAsia="Times New Roman" w:hAnsi="Times New Roman" w:cs="Times New Roman"/>
          <w:sz w:val="24"/>
          <w:szCs w:val="24"/>
        </w:rPr>
        <w:t>1.</w:t>
      </w:r>
      <w:r w:rsidR="00EC2F18">
        <w:rPr>
          <w:rFonts w:ascii="Times New Roman" w:eastAsia="Times New Roman" w:hAnsi="Times New Roman" w:cs="Times New Roman"/>
          <w:sz w:val="24"/>
          <w:szCs w:val="24"/>
        </w:rPr>
        <w:t> </w:t>
      </w:r>
      <w:proofErr w:type="spellStart"/>
      <w:r w:rsidR="00EC2F18" w:rsidRPr="00EC2F18">
        <w:rPr>
          <w:rFonts w:ascii="Times New Roman" w:eastAsia="Times New Roman" w:hAnsi="Times New Roman" w:cs="Times New Roman"/>
          <w:sz w:val="24"/>
          <w:szCs w:val="24"/>
        </w:rPr>
        <w:t>kvintile</w:t>
      </w:r>
      <w:proofErr w:type="spellEnd"/>
      <w:r w:rsidR="00493EC6">
        <w:rPr>
          <w:rFonts w:ascii="Times New Roman" w:eastAsia="Times New Roman" w:hAnsi="Times New Roman" w:cs="Times New Roman"/>
          <w:sz w:val="24"/>
          <w:szCs w:val="24"/>
        </w:rPr>
        <w:t>, kuras</w:t>
      </w:r>
      <w:r w:rsidR="00493EC6" w:rsidRPr="00D928CD">
        <w:rPr>
          <w:rFonts w:ascii="Times New Roman" w:eastAsia="Times New Roman" w:hAnsi="Times New Roman" w:cs="Times New Roman"/>
          <w:sz w:val="24"/>
          <w:szCs w:val="24"/>
        </w:rPr>
        <w:t xml:space="preserve"> vidējie izdevumi mēnesī uz vienu mājsaimniecības locekli veidoja </w:t>
      </w:r>
      <w:r w:rsidR="00493EC6" w:rsidRPr="00493EC6">
        <w:rPr>
          <w:rFonts w:ascii="Times New Roman" w:eastAsia="Times New Roman" w:hAnsi="Times New Roman" w:cs="Times New Roman"/>
          <w:sz w:val="24"/>
          <w:szCs w:val="24"/>
        </w:rPr>
        <w:t>162,8</w:t>
      </w:r>
      <w:r w:rsidR="00493EC6">
        <w:rPr>
          <w:rFonts w:ascii="Times New Roman" w:eastAsia="Times New Roman" w:hAnsi="Times New Roman" w:cs="Times New Roman"/>
          <w:sz w:val="24"/>
          <w:szCs w:val="24"/>
        </w:rPr>
        <w:t> </w:t>
      </w:r>
      <w:proofErr w:type="spellStart"/>
      <w:r w:rsidR="00493EC6" w:rsidRPr="00D928CD">
        <w:rPr>
          <w:rFonts w:ascii="Times New Roman" w:eastAsia="Times New Roman" w:hAnsi="Times New Roman" w:cs="Times New Roman"/>
          <w:i/>
          <w:sz w:val="24"/>
          <w:szCs w:val="24"/>
        </w:rPr>
        <w:t>euro</w:t>
      </w:r>
      <w:proofErr w:type="spellEnd"/>
      <w:r w:rsidR="00493EC6" w:rsidRPr="00D928CD">
        <w:rPr>
          <w:rFonts w:ascii="Times New Roman" w:eastAsia="Times New Roman" w:hAnsi="Times New Roman" w:cs="Times New Roman"/>
          <w:sz w:val="24"/>
          <w:szCs w:val="24"/>
        </w:rPr>
        <w:t xml:space="preserve"> mēnesī</w:t>
      </w:r>
      <w:r w:rsidR="00493EC6">
        <w:rPr>
          <w:rFonts w:ascii="Times New Roman" w:eastAsia="Times New Roman" w:hAnsi="Times New Roman" w:cs="Times New Roman"/>
          <w:sz w:val="24"/>
          <w:szCs w:val="24"/>
        </w:rPr>
        <w:t>,</w:t>
      </w:r>
      <w:r w:rsidR="00EC2F18">
        <w:rPr>
          <w:rFonts w:ascii="Times New Roman" w:eastAsia="Times New Roman" w:hAnsi="Times New Roman" w:cs="Times New Roman"/>
          <w:sz w:val="24"/>
          <w:szCs w:val="24"/>
        </w:rPr>
        <w:t xml:space="preserve"> novirzīja 35%. </w:t>
      </w:r>
      <w:r w:rsidR="00B779D6" w:rsidRPr="00D928CD">
        <w:rPr>
          <w:rFonts w:ascii="Times New Roman" w:eastAsia="Times New Roman" w:hAnsi="Times New Roman" w:cs="Times New Roman"/>
          <w:sz w:val="24"/>
          <w:szCs w:val="24"/>
        </w:rPr>
        <w:t>S</w:t>
      </w:r>
      <w:r w:rsidR="004039CF">
        <w:rPr>
          <w:rFonts w:ascii="Times New Roman" w:eastAsia="Times New Roman" w:hAnsi="Times New Roman" w:cs="Times New Roman"/>
          <w:sz w:val="24"/>
          <w:szCs w:val="24"/>
        </w:rPr>
        <w:t>avukārt 5. </w:t>
      </w:r>
      <w:proofErr w:type="spellStart"/>
      <w:r w:rsidR="004039CF">
        <w:rPr>
          <w:rFonts w:ascii="Times New Roman" w:eastAsia="Times New Roman" w:hAnsi="Times New Roman" w:cs="Times New Roman"/>
          <w:sz w:val="24"/>
          <w:szCs w:val="24"/>
        </w:rPr>
        <w:t>kvintile</w:t>
      </w:r>
      <w:proofErr w:type="spellEnd"/>
      <w:r w:rsidR="004039CF">
        <w:rPr>
          <w:rFonts w:ascii="Times New Roman" w:eastAsia="Times New Roman" w:hAnsi="Times New Roman" w:cs="Times New Roman"/>
          <w:sz w:val="24"/>
          <w:szCs w:val="24"/>
        </w:rPr>
        <w:t>, kuras</w:t>
      </w:r>
      <w:r w:rsidR="00B779D6" w:rsidRPr="00D928CD">
        <w:rPr>
          <w:rFonts w:ascii="Times New Roman" w:eastAsia="Times New Roman" w:hAnsi="Times New Roman" w:cs="Times New Roman"/>
          <w:sz w:val="24"/>
          <w:szCs w:val="24"/>
        </w:rPr>
        <w:t xml:space="preserve"> vidējie izdevumi mēnesī uz vienu mājsaimniecības locekli veidoja 534,9 </w:t>
      </w:r>
      <w:proofErr w:type="spellStart"/>
      <w:r w:rsidR="00B779D6" w:rsidRPr="00D928CD">
        <w:rPr>
          <w:rFonts w:ascii="Times New Roman" w:eastAsia="Times New Roman" w:hAnsi="Times New Roman" w:cs="Times New Roman"/>
          <w:i/>
          <w:sz w:val="24"/>
          <w:szCs w:val="24"/>
        </w:rPr>
        <w:t>euro</w:t>
      </w:r>
      <w:proofErr w:type="spellEnd"/>
      <w:r w:rsidR="00B779D6" w:rsidRPr="00D928CD">
        <w:rPr>
          <w:rFonts w:ascii="Times New Roman" w:eastAsia="Times New Roman" w:hAnsi="Times New Roman" w:cs="Times New Roman"/>
          <w:sz w:val="24"/>
          <w:szCs w:val="24"/>
        </w:rPr>
        <w:t xml:space="preserve"> mēnesī, </w:t>
      </w:r>
      <w:r w:rsidR="004039CF" w:rsidRPr="00D928CD">
        <w:rPr>
          <w:rFonts w:ascii="Times New Roman" w:eastAsia="Times New Roman" w:hAnsi="Times New Roman" w:cs="Times New Roman"/>
          <w:sz w:val="24"/>
          <w:szCs w:val="24"/>
        </w:rPr>
        <w:t>pārtikai</w:t>
      </w:r>
      <w:r w:rsidR="004039CF">
        <w:rPr>
          <w:rFonts w:ascii="Times New Roman" w:eastAsia="Times New Roman" w:hAnsi="Times New Roman" w:cs="Times New Roman"/>
          <w:sz w:val="24"/>
          <w:szCs w:val="24"/>
        </w:rPr>
        <w:t xml:space="preserve"> un bezalkoholiskiem dzērieniem novirzīja</w:t>
      </w:r>
      <w:r w:rsidR="004039CF" w:rsidRPr="00D928CD">
        <w:rPr>
          <w:rFonts w:ascii="Times New Roman" w:eastAsia="Times New Roman" w:hAnsi="Times New Roman" w:cs="Times New Roman"/>
          <w:sz w:val="24"/>
          <w:szCs w:val="24"/>
        </w:rPr>
        <w:t xml:space="preserve"> </w:t>
      </w:r>
      <w:r w:rsidR="00B779D6" w:rsidRPr="00D928CD">
        <w:rPr>
          <w:rFonts w:ascii="Times New Roman" w:eastAsia="Times New Roman" w:hAnsi="Times New Roman" w:cs="Times New Roman"/>
          <w:sz w:val="24"/>
          <w:szCs w:val="24"/>
        </w:rPr>
        <w:t>21,</w:t>
      </w:r>
      <w:r w:rsidR="00B9260B">
        <w:rPr>
          <w:rFonts w:ascii="Times New Roman" w:eastAsia="Times New Roman" w:hAnsi="Times New Roman" w:cs="Times New Roman"/>
          <w:sz w:val="24"/>
          <w:szCs w:val="24"/>
        </w:rPr>
        <w:t>7</w:t>
      </w:r>
      <w:r w:rsidR="004039CF">
        <w:rPr>
          <w:rFonts w:ascii="Times New Roman" w:eastAsia="Times New Roman" w:hAnsi="Times New Roman" w:cs="Times New Roman"/>
          <w:sz w:val="24"/>
          <w:szCs w:val="24"/>
        </w:rPr>
        <w:t>%.</w:t>
      </w:r>
    </w:p>
    <w:p w14:paraId="36CBA61F" w14:textId="3D5201CE" w:rsidR="002C5CA4" w:rsidRPr="00D928CD" w:rsidRDefault="00795242" w:rsidP="00AC34A3">
      <w:pPr>
        <w:spacing w:before="120" w:after="0" w:line="240" w:lineRule="auto"/>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C5CA4" w:rsidRPr="00D928CD">
        <w:rPr>
          <w:rFonts w:ascii="Times New Roman" w:eastAsia="Times New Roman" w:hAnsi="Times New Roman" w:cs="Times New Roman"/>
          <w:sz w:val="24"/>
          <w:szCs w:val="24"/>
        </w:rPr>
        <w:t>.</w:t>
      </w:r>
      <w:r w:rsidR="009F431A" w:rsidRPr="00D928CD">
        <w:rPr>
          <w:rFonts w:ascii="Times New Roman" w:eastAsia="Times New Roman" w:hAnsi="Times New Roman" w:cs="Times New Roman"/>
          <w:sz w:val="24"/>
          <w:szCs w:val="24"/>
        </w:rPr>
        <w:t> tabula</w:t>
      </w:r>
    </w:p>
    <w:p w14:paraId="3DB0CBE7" w14:textId="48C4C2DA" w:rsidR="00E91D1F" w:rsidRPr="00391150" w:rsidRDefault="00E91D1F" w:rsidP="00047B04">
      <w:pPr>
        <w:suppressAutoHyphens/>
        <w:spacing w:after="120" w:line="240" w:lineRule="auto"/>
        <w:ind w:firstLine="720"/>
        <w:jc w:val="both"/>
        <w:rPr>
          <w:rFonts w:ascii="Times New Roman" w:eastAsia="Times New Roman" w:hAnsi="Times New Roman" w:cs="Times New Roman"/>
          <w:b/>
          <w:sz w:val="24"/>
          <w:szCs w:val="24"/>
        </w:rPr>
      </w:pPr>
      <w:r w:rsidRPr="00391150">
        <w:rPr>
          <w:rFonts w:ascii="Times New Roman" w:eastAsia="Times New Roman" w:hAnsi="Times New Roman" w:cs="Times New Roman"/>
          <w:b/>
          <w:sz w:val="24"/>
          <w:szCs w:val="24"/>
        </w:rPr>
        <w:t xml:space="preserve">Patēriņa izdevumu sastāvs un struktūra </w:t>
      </w:r>
      <w:proofErr w:type="spellStart"/>
      <w:r w:rsidRPr="00391150">
        <w:rPr>
          <w:rFonts w:ascii="Times New Roman" w:eastAsia="Times New Roman" w:hAnsi="Times New Roman" w:cs="Times New Roman"/>
          <w:b/>
          <w:sz w:val="24"/>
          <w:szCs w:val="24"/>
        </w:rPr>
        <w:t>kvintiļu</w:t>
      </w:r>
      <w:proofErr w:type="spellEnd"/>
      <w:r w:rsidRPr="00391150">
        <w:rPr>
          <w:rFonts w:ascii="Times New Roman" w:eastAsia="Times New Roman" w:hAnsi="Times New Roman" w:cs="Times New Roman"/>
          <w:b/>
          <w:sz w:val="24"/>
          <w:szCs w:val="24"/>
        </w:rPr>
        <w:t xml:space="preserve"> grupās vidēji uz vienu mājsaimniecības locekli mēnesī (</w:t>
      </w:r>
      <w:proofErr w:type="spellStart"/>
      <w:r w:rsidR="00E96C37" w:rsidRPr="00E96C37">
        <w:rPr>
          <w:rFonts w:ascii="Times New Roman" w:eastAsia="Times New Roman" w:hAnsi="Times New Roman" w:cs="Times New Roman"/>
          <w:b/>
          <w:i/>
          <w:sz w:val="24"/>
          <w:szCs w:val="24"/>
        </w:rPr>
        <w:t>euro</w:t>
      </w:r>
      <w:proofErr w:type="spellEnd"/>
      <w:r w:rsidRPr="00391150">
        <w:rPr>
          <w:rFonts w:ascii="Times New Roman" w:eastAsia="Times New Roman" w:hAnsi="Times New Roman" w:cs="Times New Roman"/>
          <w:b/>
          <w:sz w:val="24"/>
          <w:szCs w:val="24"/>
        </w:rPr>
        <w:t>, 2013)</w:t>
      </w:r>
    </w:p>
    <w:tbl>
      <w:tblPr>
        <w:tblW w:w="0" w:type="auto"/>
        <w:tblInd w:w="-8" w:type="dxa"/>
        <w:tblCellMar>
          <w:left w:w="10" w:type="dxa"/>
          <w:right w:w="10" w:type="dxa"/>
        </w:tblCellMar>
        <w:tblLook w:val="04A0" w:firstRow="1" w:lastRow="0" w:firstColumn="1" w:lastColumn="0" w:noHBand="0" w:noVBand="1"/>
      </w:tblPr>
      <w:tblGrid>
        <w:gridCol w:w="3843"/>
        <w:gridCol w:w="992"/>
        <w:gridCol w:w="992"/>
        <w:gridCol w:w="992"/>
        <w:gridCol w:w="981"/>
        <w:gridCol w:w="862"/>
      </w:tblGrid>
      <w:tr w:rsidR="00E91D1F" w:rsidRPr="00671ED2" w14:paraId="7EC137C4" w14:textId="77777777" w:rsidTr="002917D3">
        <w:trPr>
          <w:tblHeader/>
        </w:trPr>
        <w:tc>
          <w:tcPr>
            <w:tcW w:w="3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8B3230" w14:textId="55E5F8D2" w:rsidR="00E91D1F" w:rsidRPr="00671ED2" w:rsidRDefault="009917AA" w:rsidP="009917AA">
            <w:pPr>
              <w:suppressAutoHyphens/>
              <w:spacing w:after="0" w:line="240" w:lineRule="auto"/>
              <w:rPr>
                <w:rFonts w:ascii="Calibri" w:eastAsia="Calibri" w:hAnsi="Calibri" w:cs="Calibri"/>
              </w:rPr>
            </w:pPr>
            <w:proofErr w:type="spellStart"/>
            <w:r w:rsidRPr="009917AA">
              <w:rPr>
                <w:rFonts w:ascii="Times New Roman" w:eastAsia="Times New Roman" w:hAnsi="Times New Roman" w:cs="Times New Roman"/>
                <w:b/>
              </w:rPr>
              <w:t>K</w:t>
            </w:r>
            <w:r>
              <w:rPr>
                <w:rFonts w:ascii="Times New Roman" w:eastAsia="Times New Roman" w:hAnsi="Times New Roman" w:cs="Times New Roman"/>
                <w:b/>
              </w:rPr>
              <w:t>vintiles</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112A09" w14:textId="77777777" w:rsidR="00E91D1F" w:rsidRPr="00671ED2" w:rsidRDefault="00E91D1F" w:rsidP="00FD0162">
            <w:pPr>
              <w:suppressAutoHyphens/>
              <w:spacing w:after="0" w:line="240" w:lineRule="auto"/>
              <w:jc w:val="center"/>
            </w:pPr>
            <w:r w:rsidRPr="00671ED2">
              <w:rPr>
                <w:rFonts w:ascii="Times New Roman" w:eastAsia="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8689DD" w14:textId="77777777" w:rsidR="00E91D1F" w:rsidRPr="00671ED2" w:rsidRDefault="00E91D1F" w:rsidP="00FD0162">
            <w:pPr>
              <w:suppressAutoHyphens/>
              <w:spacing w:after="0" w:line="240" w:lineRule="auto"/>
              <w:jc w:val="center"/>
            </w:pPr>
            <w:r w:rsidRPr="00671ED2">
              <w:rPr>
                <w:rFonts w:ascii="Times New Roman" w:eastAsia="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63C105" w14:textId="77777777" w:rsidR="00E91D1F" w:rsidRPr="00671ED2" w:rsidRDefault="00E91D1F" w:rsidP="00FD0162">
            <w:pPr>
              <w:suppressAutoHyphens/>
              <w:spacing w:after="0" w:line="240" w:lineRule="auto"/>
              <w:jc w:val="center"/>
            </w:pPr>
            <w:r w:rsidRPr="00671ED2">
              <w:rPr>
                <w:rFonts w:ascii="Times New Roman" w:eastAsia="Times New Roman" w:hAnsi="Times New Roman" w:cs="Times New Roman"/>
              </w:rPr>
              <w:t>3</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F0BF92" w14:textId="77777777" w:rsidR="00E91D1F" w:rsidRPr="00671ED2" w:rsidRDefault="00E91D1F" w:rsidP="00FD0162">
            <w:pPr>
              <w:suppressAutoHyphens/>
              <w:spacing w:after="0" w:line="240" w:lineRule="auto"/>
              <w:jc w:val="center"/>
            </w:pPr>
            <w:r w:rsidRPr="00671ED2">
              <w:rPr>
                <w:rFonts w:ascii="Times New Roman" w:eastAsia="Times New Roman" w:hAnsi="Times New Roman" w:cs="Times New Roman"/>
              </w:rPr>
              <w:t>4</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F22D50" w14:textId="77777777" w:rsidR="00E91D1F" w:rsidRPr="00671ED2" w:rsidRDefault="00E91D1F" w:rsidP="00FD0162">
            <w:pPr>
              <w:suppressAutoHyphens/>
              <w:spacing w:after="0" w:line="240" w:lineRule="auto"/>
              <w:jc w:val="center"/>
            </w:pPr>
            <w:r w:rsidRPr="00671ED2">
              <w:rPr>
                <w:rFonts w:ascii="Times New Roman" w:eastAsia="Times New Roman" w:hAnsi="Times New Roman" w:cs="Times New Roman"/>
              </w:rPr>
              <w:t>5</w:t>
            </w:r>
          </w:p>
        </w:tc>
      </w:tr>
      <w:tr w:rsidR="00E91D1F" w:rsidRPr="00671ED2" w14:paraId="687E3498" w14:textId="77777777" w:rsidTr="002917D3">
        <w:trPr>
          <w:tblHeader/>
        </w:trPr>
        <w:tc>
          <w:tcPr>
            <w:tcW w:w="3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855502" w14:textId="52D964CF" w:rsidR="00E91D1F" w:rsidRPr="00671ED2" w:rsidRDefault="00E91D1F" w:rsidP="009917AA">
            <w:pPr>
              <w:suppressAutoHyphens/>
              <w:spacing w:after="0" w:line="240" w:lineRule="auto"/>
            </w:pPr>
            <w:r w:rsidRPr="00671ED2">
              <w:rPr>
                <w:rFonts w:ascii="Times New Roman" w:eastAsia="Times New Roman" w:hAnsi="Times New Roman" w:cs="Times New Roman"/>
                <w:b/>
              </w:rPr>
              <w:t>P</w:t>
            </w:r>
            <w:r w:rsidR="009917AA">
              <w:rPr>
                <w:rFonts w:ascii="Times New Roman" w:eastAsia="Times New Roman" w:hAnsi="Times New Roman" w:cs="Times New Roman"/>
                <w:b/>
              </w:rPr>
              <w:t>avisam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1B22D6" w14:textId="4819FA90" w:rsidR="00E91D1F" w:rsidRPr="00671ED2" w:rsidRDefault="00E91D1F" w:rsidP="002C1CCE">
            <w:pPr>
              <w:suppressAutoHyphens/>
              <w:spacing w:after="0" w:line="240" w:lineRule="auto"/>
              <w:jc w:val="center"/>
            </w:pPr>
            <w:r w:rsidRPr="00671ED2">
              <w:rPr>
                <w:rFonts w:ascii="Times New Roman" w:eastAsia="Times New Roman" w:hAnsi="Times New Roman" w:cs="Times New Roman"/>
                <w:b/>
              </w:rPr>
              <w:t>162</w:t>
            </w:r>
            <w:r w:rsidR="002C1CCE">
              <w:rPr>
                <w:rFonts w:ascii="Times New Roman" w:eastAsia="Times New Roman" w:hAnsi="Times New Roman" w:cs="Times New Roman"/>
                <w:b/>
              </w:rPr>
              <w:t>,</w:t>
            </w:r>
            <w:r w:rsidRPr="00671ED2">
              <w:rPr>
                <w:rFonts w:ascii="Times New Roman" w:eastAsia="Times New Roman" w:hAnsi="Times New Roman" w:cs="Times New Roman"/>
                <w:b/>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146845" w14:textId="61BD96E6" w:rsidR="00E91D1F" w:rsidRPr="00671ED2" w:rsidRDefault="00E91D1F" w:rsidP="002C1CCE">
            <w:pPr>
              <w:suppressAutoHyphens/>
              <w:spacing w:after="0" w:line="240" w:lineRule="auto"/>
              <w:jc w:val="center"/>
            </w:pPr>
            <w:r w:rsidRPr="00671ED2">
              <w:rPr>
                <w:rFonts w:ascii="Times New Roman" w:eastAsia="Times New Roman" w:hAnsi="Times New Roman" w:cs="Times New Roman"/>
                <w:b/>
              </w:rPr>
              <w:t>232</w:t>
            </w:r>
            <w:r w:rsidR="002C1CCE">
              <w:rPr>
                <w:rFonts w:ascii="Times New Roman" w:eastAsia="Times New Roman" w:hAnsi="Times New Roman" w:cs="Times New Roman"/>
                <w:b/>
              </w:rPr>
              <w:t>,</w:t>
            </w:r>
            <w:r w:rsidR="000528AC" w:rsidRPr="00671ED2">
              <w:rPr>
                <w:rFonts w:ascii="Times New Roman" w:eastAsia="Times New Roman" w:hAnsi="Times New Roman" w:cs="Times New Roman"/>
                <w:b/>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F11B13" w14:textId="25BC4FE2" w:rsidR="00E91D1F" w:rsidRPr="00671ED2" w:rsidRDefault="00E91D1F" w:rsidP="002C1CCE">
            <w:pPr>
              <w:suppressAutoHyphens/>
              <w:spacing w:after="0" w:line="240" w:lineRule="auto"/>
              <w:jc w:val="center"/>
            </w:pPr>
            <w:r w:rsidRPr="00671ED2">
              <w:rPr>
                <w:rFonts w:ascii="Times New Roman" w:eastAsia="Times New Roman" w:hAnsi="Times New Roman" w:cs="Times New Roman"/>
                <w:b/>
              </w:rPr>
              <w:t>27</w:t>
            </w:r>
            <w:r w:rsidR="000528AC" w:rsidRPr="00671ED2">
              <w:rPr>
                <w:rFonts w:ascii="Times New Roman" w:eastAsia="Times New Roman" w:hAnsi="Times New Roman" w:cs="Times New Roman"/>
                <w:b/>
              </w:rPr>
              <w:t>9</w:t>
            </w:r>
            <w:r w:rsidR="002C1CCE">
              <w:rPr>
                <w:rFonts w:ascii="Times New Roman" w:eastAsia="Times New Roman" w:hAnsi="Times New Roman" w:cs="Times New Roman"/>
                <w:b/>
              </w:rPr>
              <w:t>,</w:t>
            </w:r>
            <w:r w:rsidR="000528AC" w:rsidRPr="00671ED2">
              <w:rPr>
                <w:rFonts w:ascii="Times New Roman" w:eastAsia="Times New Roman" w:hAnsi="Times New Roman" w:cs="Times New Roman"/>
                <w:b/>
              </w:rPr>
              <w:t>0</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A872FC" w14:textId="01F39790" w:rsidR="00E91D1F" w:rsidRPr="00671ED2" w:rsidRDefault="00E91D1F" w:rsidP="002C1CCE">
            <w:pPr>
              <w:suppressAutoHyphens/>
              <w:spacing w:after="0" w:line="240" w:lineRule="auto"/>
              <w:jc w:val="center"/>
            </w:pPr>
            <w:r w:rsidRPr="00671ED2">
              <w:rPr>
                <w:rFonts w:ascii="Times New Roman" w:eastAsia="Times New Roman" w:hAnsi="Times New Roman" w:cs="Times New Roman"/>
                <w:b/>
              </w:rPr>
              <w:t>354</w:t>
            </w:r>
            <w:r w:rsidR="002C1CCE">
              <w:rPr>
                <w:rFonts w:ascii="Times New Roman" w:eastAsia="Times New Roman" w:hAnsi="Times New Roman" w:cs="Times New Roman"/>
                <w:b/>
              </w:rPr>
              <w:t>,</w:t>
            </w:r>
            <w:r w:rsidRPr="00671ED2">
              <w:rPr>
                <w:rFonts w:ascii="Times New Roman" w:eastAsia="Times New Roman" w:hAnsi="Times New Roman" w:cs="Times New Roman"/>
                <w:b/>
              </w:rPr>
              <w:t>3</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4FE12C" w14:textId="16584060" w:rsidR="00E91D1F" w:rsidRPr="00671ED2" w:rsidRDefault="000528AC" w:rsidP="002C1CCE">
            <w:pPr>
              <w:suppressAutoHyphens/>
              <w:spacing w:after="0" w:line="240" w:lineRule="auto"/>
              <w:jc w:val="center"/>
            </w:pPr>
            <w:r w:rsidRPr="00671ED2">
              <w:rPr>
                <w:rFonts w:ascii="Times New Roman" w:eastAsia="Times New Roman" w:hAnsi="Times New Roman" w:cs="Times New Roman"/>
                <w:b/>
              </w:rPr>
              <w:t>534</w:t>
            </w:r>
            <w:r w:rsidR="002C1CCE">
              <w:rPr>
                <w:rFonts w:ascii="Times New Roman" w:eastAsia="Times New Roman" w:hAnsi="Times New Roman" w:cs="Times New Roman"/>
                <w:b/>
              </w:rPr>
              <w:t>,</w:t>
            </w:r>
            <w:r w:rsidRPr="00671ED2">
              <w:rPr>
                <w:rFonts w:ascii="Times New Roman" w:eastAsia="Times New Roman" w:hAnsi="Times New Roman" w:cs="Times New Roman"/>
                <w:b/>
              </w:rPr>
              <w:t>9</w:t>
            </w:r>
          </w:p>
        </w:tc>
      </w:tr>
      <w:tr w:rsidR="00E91D1F" w:rsidRPr="00671ED2" w14:paraId="345AFC6D" w14:textId="77777777" w:rsidTr="002917D3">
        <w:trPr>
          <w:tblHeader/>
        </w:trPr>
        <w:tc>
          <w:tcPr>
            <w:tcW w:w="3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B487D4" w14:textId="77777777" w:rsidR="00E91D1F" w:rsidRPr="00671ED2" w:rsidRDefault="00E91D1F" w:rsidP="00E702E3">
            <w:pPr>
              <w:suppressAutoHyphens/>
              <w:spacing w:after="0" w:line="240" w:lineRule="auto"/>
            </w:pPr>
            <w:r w:rsidRPr="00671ED2">
              <w:rPr>
                <w:rFonts w:ascii="Times New Roman" w:eastAsia="Times New Roman" w:hAnsi="Times New Roman" w:cs="Times New Roman"/>
              </w:rPr>
              <w:t>Pārtika un bezalkoholiskie dzērieni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CBBD56" w14:textId="6FF29BFF" w:rsidR="00E91D1F" w:rsidRPr="00671ED2" w:rsidRDefault="00E91D1F" w:rsidP="002C1CCE">
            <w:pPr>
              <w:suppressAutoHyphens/>
              <w:spacing w:after="0" w:line="240" w:lineRule="auto"/>
              <w:jc w:val="center"/>
              <w:rPr>
                <w:rFonts w:ascii="Times New Roman" w:eastAsia="Times New Roman" w:hAnsi="Times New Roman" w:cs="Times New Roman"/>
              </w:rPr>
            </w:pPr>
            <w:r w:rsidRPr="00671ED2">
              <w:rPr>
                <w:rFonts w:ascii="Times New Roman" w:eastAsia="Times New Roman" w:hAnsi="Times New Roman" w:cs="Times New Roman"/>
              </w:rPr>
              <w:t>56</w:t>
            </w:r>
            <w:r w:rsidR="002C1CCE">
              <w:rPr>
                <w:rFonts w:ascii="Times New Roman" w:eastAsia="Times New Roman" w:hAnsi="Times New Roman" w:cs="Times New Roman"/>
              </w:rPr>
              <w:t>,</w:t>
            </w:r>
            <w:r w:rsidRPr="00671ED2">
              <w:rPr>
                <w:rFonts w:ascii="Times New Roman" w:eastAsia="Times New Roman" w:hAnsi="Times New Roman" w:cs="Times New Roman"/>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2B669B" w14:textId="3CA26745" w:rsidR="00E91D1F" w:rsidRPr="00671ED2" w:rsidRDefault="00E91D1F" w:rsidP="002C1CCE">
            <w:pPr>
              <w:suppressAutoHyphens/>
              <w:spacing w:after="0" w:line="240" w:lineRule="auto"/>
              <w:jc w:val="center"/>
              <w:rPr>
                <w:rFonts w:ascii="Times New Roman" w:eastAsia="Times New Roman" w:hAnsi="Times New Roman" w:cs="Times New Roman"/>
              </w:rPr>
            </w:pPr>
            <w:r w:rsidRPr="00671ED2">
              <w:rPr>
                <w:rFonts w:ascii="Times New Roman" w:eastAsia="Times New Roman" w:hAnsi="Times New Roman" w:cs="Times New Roman"/>
              </w:rPr>
              <w:t>77</w:t>
            </w:r>
            <w:r w:rsidR="002C1CCE">
              <w:rPr>
                <w:rFonts w:ascii="Times New Roman" w:eastAsia="Times New Roman" w:hAnsi="Times New Roman" w:cs="Times New Roman"/>
              </w:rPr>
              <w:t>,</w:t>
            </w:r>
            <w:r w:rsidRPr="00671ED2">
              <w:rPr>
                <w:rFonts w:ascii="Times New Roman" w:eastAsia="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0C2465" w14:textId="3B50273A" w:rsidR="00E91D1F" w:rsidRPr="00671ED2" w:rsidRDefault="00E91D1F" w:rsidP="002C1CCE">
            <w:pPr>
              <w:suppressAutoHyphens/>
              <w:spacing w:after="0" w:line="240" w:lineRule="auto"/>
              <w:jc w:val="center"/>
              <w:rPr>
                <w:rFonts w:ascii="Times New Roman" w:eastAsia="Times New Roman" w:hAnsi="Times New Roman" w:cs="Times New Roman"/>
              </w:rPr>
            </w:pPr>
            <w:r w:rsidRPr="00671ED2">
              <w:rPr>
                <w:rFonts w:ascii="Times New Roman" w:eastAsia="Times New Roman" w:hAnsi="Times New Roman" w:cs="Times New Roman"/>
              </w:rPr>
              <w:t>88</w:t>
            </w:r>
            <w:r w:rsidR="002C1CCE">
              <w:rPr>
                <w:rFonts w:ascii="Times New Roman" w:eastAsia="Times New Roman" w:hAnsi="Times New Roman" w:cs="Times New Roman"/>
              </w:rPr>
              <w:t>,</w:t>
            </w:r>
            <w:r w:rsidRPr="00671ED2">
              <w:rPr>
                <w:rFonts w:ascii="Times New Roman" w:eastAsia="Times New Roman" w:hAnsi="Times New Roman" w:cs="Times New Roman"/>
              </w:rPr>
              <w:t>3</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DD1998" w14:textId="79168165" w:rsidR="00E91D1F" w:rsidRPr="00671ED2" w:rsidRDefault="00E91D1F" w:rsidP="00FD0162">
            <w:pPr>
              <w:suppressAutoHyphens/>
              <w:spacing w:after="0" w:line="240" w:lineRule="auto"/>
              <w:jc w:val="center"/>
              <w:rPr>
                <w:rFonts w:ascii="Times New Roman" w:eastAsia="Times New Roman" w:hAnsi="Times New Roman" w:cs="Times New Roman"/>
              </w:rPr>
            </w:pPr>
            <w:r w:rsidRPr="00671ED2">
              <w:rPr>
                <w:rFonts w:ascii="Times New Roman" w:eastAsia="Times New Roman" w:hAnsi="Times New Roman" w:cs="Times New Roman"/>
              </w:rPr>
              <w:t>9</w:t>
            </w:r>
            <w:r w:rsidR="002C1CCE">
              <w:rPr>
                <w:rFonts w:ascii="Times New Roman" w:eastAsia="Times New Roman" w:hAnsi="Times New Roman" w:cs="Times New Roman"/>
              </w:rPr>
              <w:t>7,</w:t>
            </w:r>
            <w:r w:rsidRPr="00671ED2">
              <w:rPr>
                <w:rFonts w:ascii="Times New Roman" w:eastAsia="Times New Roman" w:hAnsi="Times New Roman" w:cs="Times New Roman"/>
              </w:rPr>
              <w:t>3</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2BD36E" w14:textId="101F68BB" w:rsidR="00E91D1F" w:rsidRPr="00671ED2" w:rsidRDefault="00E91D1F" w:rsidP="002C1CCE">
            <w:pPr>
              <w:suppressAutoHyphens/>
              <w:spacing w:after="0" w:line="240" w:lineRule="auto"/>
              <w:jc w:val="center"/>
              <w:rPr>
                <w:rFonts w:ascii="Times New Roman" w:eastAsia="Times New Roman" w:hAnsi="Times New Roman" w:cs="Times New Roman"/>
              </w:rPr>
            </w:pPr>
            <w:r w:rsidRPr="00671ED2">
              <w:rPr>
                <w:rFonts w:ascii="Times New Roman" w:eastAsia="Times New Roman" w:hAnsi="Times New Roman" w:cs="Times New Roman"/>
              </w:rPr>
              <w:t>116</w:t>
            </w:r>
            <w:r w:rsidR="002C1CCE">
              <w:rPr>
                <w:rFonts w:ascii="Times New Roman" w:eastAsia="Times New Roman" w:hAnsi="Times New Roman" w:cs="Times New Roman"/>
              </w:rPr>
              <w:t>,</w:t>
            </w:r>
            <w:r w:rsidRPr="00671ED2">
              <w:rPr>
                <w:rFonts w:ascii="Times New Roman" w:eastAsia="Times New Roman" w:hAnsi="Times New Roman" w:cs="Times New Roman"/>
              </w:rPr>
              <w:t>2</w:t>
            </w:r>
          </w:p>
        </w:tc>
      </w:tr>
      <w:tr w:rsidR="00E91D1F" w:rsidRPr="00671ED2" w14:paraId="7D9BCC9A" w14:textId="77777777" w:rsidTr="002917D3">
        <w:trPr>
          <w:tblHeader/>
        </w:trPr>
        <w:tc>
          <w:tcPr>
            <w:tcW w:w="3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92B6CB" w14:textId="77777777" w:rsidR="00E91D1F" w:rsidRPr="00671ED2" w:rsidRDefault="00E91D1F" w:rsidP="00E702E3">
            <w:pPr>
              <w:suppressAutoHyphens/>
              <w:spacing w:after="0" w:line="240" w:lineRule="auto"/>
            </w:pPr>
            <w:r w:rsidRPr="00671ED2">
              <w:rPr>
                <w:rFonts w:ascii="Times New Roman" w:eastAsia="Times New Roman" w:hAnsi="Times New Roman" w:cs="Times New Roman"/>
              </w:rPr>
              <w:t>Alkoholiskie dzērieni, tabaka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7B5161" w14:textId="784F4277" w:rsidR="00E91D1F" w:rsidRPr="00671ED2" w:rsidRDefault="00E91D1F" w:rsidP="002C1CCE">
            <w:pPr>
              <w:suppressAutoHyphens/>
              <w:spacing w:after="0" w:line="240" w:lineRule="auto"/>
              <w:jc w:val="center"/>
            </w:pPr>
            <w:r w:rsidRPr="00671ED2">
              <w:rPr>
                <w:rFonts w:ascii="Times New Roman" w:eastAsia="Times New Roman" w:hAnsi="Times New Roman" w:cs="Times New Roman"/>
              </w:rPr>
              <w:t>6</w:t>
            </w:r>
            <w:r w:rsidR="002C1CCE">
              <w:rPr>
                <w:rFonts w:ascii="Times New Roman" w:eastAsia="Times New Roman" w:hAnsi="Times New Roman" w:cs="Times New Roman"/>
              </w:rPr>
              <w:t>,</w:t>
            </w:r>
            <w:r w:rsidRPr="00671ED2">
              <w:rPr>
                <w:rFonts w:ascii="Times New Roman" w:eastAsia="Times New Roman" w:hAnsi="Times New Roman" w:cs="Times New Roman"/>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EDC297" w14:textId="3DDB89FD" w:rsidR="00E91D1F" w:rsidRPr="00671ED2" w:rsidRDefault="00E91D1F" w:rsidP="00FD0162">
            <w:pPr>
              <w:suppressAutoHyphens/>
              <w:spacing w:after="0" w:line="240" w:lineRule="auto"/>
              <w:jc w:val="center"/>
            </w:pPr>
            <w:r w:rsidRPr="00671ED2">
              <w:rPr>
                <w:rFonts w:ascii="Times New Roman" w:eastAsia="Times New Roman" w:hAnsi="Times New Roman" w:cs="Times New Roman"/>
              </w:rPr>
              <w:t>7</w:t>
            </w:r>
            <w:r w:rsidR="002C1CCE">
              <w:rPr>
                <w:rFonts w:ascii="Times New Roman" w:eastAsia="Times New Roman" w:hAnsi="Times New Roman" w:cs="Times New Roman"/>
              </w:rPr>
              <w:t>,</w:t>
            </w:r>
            <w:r w:rsidRPr="00671ED2">
              <w:rPr>
                <w:rFonts w:ascii="Times New Roman" w:eastAsia="Times New Roman" w:hAnsi="Times New Roman" w:cs="Times New Roman"/>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4EF838" w14:textId="630FD3E9" w:rsidR="00E91D1F" w:rsidRPr="00671ED2" w:rsidRDefault="002C1CCE" w:rsidP="00FD0162">
            <w:pPr>
              <w:suppressAutoHyphens/>
              <w:spacing w:after="0" w:line="240" w:lineRule="auto"/>
              <w:jc w:val="center"/>
            </w:pPr>
            <w:r>
              <w:rPr>
                <w:rFonts w:ascii="Times New Roman" w:eastAsia="Times New Roman" w:hAnsi="Times New Roman" w:cs="Times New Roman"/>
              </w:rPr>
              <w:t>8,</w:t>
            </w:r>
            <w:r w:rsidR="00E91D1F" w:rsidRPr="00671ED2">
              <w:rPr>
                <w:rFonts w:ascii="Times New Roman" w:eastAsia="Times New Roman" w:hAnsi="Times New Roman" w:cs="Times New Roman"/>
              </w:rPr>
              <w:t>0</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953C43" w14:textId="783AC965" w:rsidR="00E91D1F" w:rsidRPr="00671ED2" w:rsidRDefault="002C1CCE" w:rsidP="00FD0162">
            <w:pPr>
              <w:suppressAutoHyphens/>
              <w:spacing w:after="0" w:line="240" w:lineRule="auto"/>
              <w:jc w:val="center"/>
            </w:pPr>
            <w:r>
              <w:rPr>
                <w:rFonts w:ascii="Times New Roman" w:eastAsia="Times New Roman" w:hAnsi="Times New Roman" w:cs="Times New Roman"/>
              </w:rPr>
              <w:t>13,</w:t>
            </w:r>
            <w:r w:rsidR="00E91D1F" w:rsidRPr="00671ED2">
              <w:rPr>
                <w:rFonts w:ascii="Times New Roman" w:eastAsia="Times New Roman" w:hAnsi="Times New Roman" w:cs="Times New Roman"/>
              </w:rPr>
              <w:t>0</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35877F" w14:textId="61ECB15F" w:rsidR="00E91D1F" w:rsidRPr="00671ED2" w:rsidRDefault="002C1CCE" w:rsidP="00FD0162">
            <w:pPr>
              <w:suppressAutoHyphens/>
              <w:spacing w:after="0" w:line="240" w:lineRule="auto"/>
              <w:jc w:val="center"/>
            </w:pPr>
            <w:r>
              <w:rPr>
                <w:rFonts w:ascii="Times New Roman" w:eastAsia="Times New Roman" w:hAnsi="Times New Roman" w:cs="Times New Roman"/>
              </w:rPr>
              <w:t>16,</w:t>
            </w:r>
            <w:r w:rsidR="00E91D1F" w:rsidRPr="00671ED2">
              <w:rPr>
                <w:rFonts w:ascii="Times New Roman" w:eastAsia="Times New Roman" w:hAnsi="Times New Roman" w:cs="Times New Roman"/>
              </w:rPr>
              <w:t>0</w:t>
            </w:r>
          </w:p>
        </w:tc>
      </w:tr>
      <w:tr w:rsidR="00E91D1F" w:rsidRPr="00671ED2" w14:paraId="2FEC34BA" w14:textId="77777777" w:rsidTr="002917D3">
        <w:trPr>
          <w:tblHeader/>
        </w:trPr>
        <w:tc>
          <w:tcPr>
            <w:tcW w:w="3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053C5C" w14:textId="77777777" w:rsidR="00E91D1F" w:rsidRPr="00671ED2" w:rsidRDefault="00E91D1F" w:rsidP="00E702E3">
            <w:pPr>
              <w:suppressAutoHyphens/>
              <w:spacing w:after="0" w:line="240" w:lineRule="auto"/>
            </w:pPr>
            <w:r w:rsidRPr="00671ED2">
              <w:rPr>
                <w:rFonts w:ascii="Times New Roman" w:eastAsia="Times New Roman" w:hAnsi="Times New Roman" w:cs="Times New Roman"/>
              </w:rPr>
              <w:t>Apģērbi un apavi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E989F0" w14:textId="2D319469" w:rsidR="00E91D1F" w:rsidRPr="00671ED2" w:rsidRDefault="00E91D1F" w:rsidP="002C1CCE">
            <w:pPr>
              <w:suppressAutoHyphens/>
              <w:spacing w:after="0" w:line="240" w:lineRule="auto"/>
              <w:jc w:val="center"/>
            </w:pPr>
            <w:r w:rsidRPr="00671ED2">
              <w:rPr>
                <w:rFonts w:ascii="Times New Roman" w:eastAsia="Times New Roman" w:hAnsi="Times New Roman" w:cs="Times New Roman"/>
              </w:rPr>
              <w:t>7</w:t>
            </w:r>
            <w:r w:rsidR="002C1CCE">
              <w:rPr>
                <w:rFonts w:ascii="Times New Roman" w:eastAsia="Times New Roman" w:hAnsi="Times New Roman" w:cs="Times New Roman"/>
              </w:rPr>
              <w:t>,</w:t>
            </w:r>
            <w:r w:rsidRPr="00671ED2">
              <w:rPr>
                <w:rFonts w:ascii="Times New Roman" w:eastAsia="Times New Roman" w:hAnsi="Times New Roman" w:cs="Times New Roman"/>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5D80F9" w14:textId="325A4773" w:rsidR="00E91D1F" w:rsidRPr="00671ED2" w:rsidRDefault="00E91D1F" w:rsidP="002C1CCE">
            <w:pPr>
              <w:suppressAutoHyphens/>
              <w:spacing w:after="0" w:line="240" w:lineRule="auto"/>
              <w:jc w:val="center"/>
            </w:pPr>
            <w:r w:rsidRPr="00671ED2">
              <w:rPr>
                <w:rFonts w:ascii="Times New Roman" w:eastAsia="Times New Roman" w:hAnsi="Times New Roman" w:cs="Times New Roman"/>
              </w:rPr>
              <w:t>11</w:t>
            </w:r>
            <w:r w:rsidR="002C1CCE">
              <w:rPr>
                <w:rFonts w:ascii="Times New Roman" w:eastAsia="Times New Roman" w:hAnsi="Times New Roman" w:cs="Times New Roman"/>
              </w:rPr>
              <w:t>,</w:t>
            </w:r>
            <w:r w:rsidRPr="00671ED2">
              <w:rPr>
                <w:rFonts w:ascii="Times New Roman" w:eastAsia="Times New Roman" w:hAnsi="Times New Roman" w:cs="Times New Roman"/>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29A08F" w14:textId="10440FB3" w:rsidR="00E91D1F" w:rsidRPr="00671ED2" w:rsidRDefault="00E91D1F" w:rsidP="002C1CCE">
            <w:pPr>
              <w:suppressAutoHyphens/>
              <w:spacing w:after="0" w:line="240" w:lineRule="auto"/>
              <w:jc w:val="center"/>
            </w:pPr>
            <w:r w:rsidRPr="00671ED2">
              <w:rPr>
                <w:rFonts w:ascii="Times New Roman" w:eastAsia="Times New Roman" w:hAnsi="Times New Roman" w:cs="Times New Roman"/>
              </w:rPr>
              <w:t>12</w:t>
            </w:r>
            <w:r w:rsidR="002C1CCE">
              <w:rPr>
                <w:rFonts w:ascii="Times New Roman" w:eastAsia="Times New Roman" w:hAnsi="Times New Roman" w:cs="Times New Roman"/>
              </w:rPr>
              <w:t>,</w:t>
            </w:r>
            <w:r w:rsidRPr="00671ED2">
              <w:rPr>
                <w:rFonts w:ascii="Times New Roman" w:eastAsia="Times New Roman" w:hAnsi="Times New Roman" w:cs="Times New Roman"/>
              </w:rPr>
              <w:t>3</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014819" w14:textId="0E104273" w:rsidR="00E91D1F" w:rsidRPr="00671ED2" w:rsidRDefault="00E91D1F" w:rsidP="002C1CCE">
            <w:pPr>
              <w:suppressAutoHyphens/>
              <w:spacing w:after="0" w:line="240" w:lineRule="auto"/>
              <w:jc w:val="center"/>
            </w:pPr>
            <w:r w:rsidRPr="00671ED2">
              <w:rPr>
                <w:rFonts w:ascii="Times New Roman" w:eastAsia="Times New Roman" w:hAnsi="Times New Roman" w:cs="Times New Roman"/>
              </w:rPr>
              <w:t>22</w:t>
            </w:r>
            <w:r w:rsidR="002C1CCE">
              <w:rPr>
                <w:rFonts w:ascii="Times New Roman" w:eastAsia="Times New Roman" w:hAnsi="Times New Roman" w:cs="Times New Roman"/>
              </w:rPr>
              <w:t>,</w:t>
            </w:r>
            <w:r w:rsidRPr="00671ED2">
              <w:rPr>
                <w:rFonts w:ascii="Times New Roman" w:eastAsia="Times New Roman" w:hAnsi="Times New Roman" w:cs="Times New Roman"/>
              </w:rPr>
              <w:t>0</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3798C3" w14:textId="30C8AA75" w:rsidR="00E91D1F" w:rsidRPr="00671ED2" w:rsidRDefault="00E91D1F" w:rsidP="00FD0162">
            <w:pPr>
              <w:suppressAutoHyphens/>
              <w:spacing w:after="0" w:line="240" w:lineRule="auto"/>
              <w:jc w:val="center"/>
            </w:pPr>
            <w:r w:rsidRPr="00671ED2">
              <w:rPr>
                <w:rFonts w:ascii="Times New Roman" w:eastAsia="Times New Roman" w:hAnsi="Times New Roman" w:cs="Times New Roman"/>
              </w:rPr>
              <w:t>3</w:t>
            </w:r>
            <w:r w:rsidR="002C1CCE">
              <w:rPr>
                <w:rFonts w:ascii="Times New Roman" w:eastAsia="Times New Roman" w:hAnsi="Times New Roman" w:cs="Times New Roman"/>
              </w:rPr>
              <w:t>7,</w:t>
            </w:r>
            <w:r w:rsidRPr="00671ED2">
              <w:rPr>
                <w:rFonts w:ascii="Times New Roman" w:eastAsia="Times New Roman" w:hAnsi="Times New Roman" w:cs="Times New Roman"/>
              </w:rPr>
              <w:t>9</w:t>
            </w:r>
          </w:p>
        </w:tc>
      </w:tr>
      <w:tr w:rsidR="00E91D1F" w:rsidRPr="00671ED2" w14:paraId="7F6D1535" w14:textId="77777777" w:rsidTr="002917D3">
        <w:trPr>
          <w:tblHeader/>
        </w:trPr>
        <w:tc>
          <w:tcPr>
            <w:tcW w:w="3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AF8CC7" w14:textId="77777777" w:rsidR="00E91D1F" w:rsidRPr="00671ED2" w:rsidRDefault="00E91D1F" w:rsidP="00E702E3">
            <w:pPr>
              <w:suppressAutoHyphens/>
              <w:spacing w:after="0" w:line="240" w:lineRule="auto"/>
            </w:pPr>
            <w:r w:rsidRPr="00671ED2">
              <w:rPr>
                <w:rFonts w:ascii="Times New Roman" w:eastAsia="Times New Roman" w:hAnsi="Times New Roman" w:cs="Times New Roman"/>
              </w:rPr>
              <w:t>Mājoklis, ūdens, elektroenerģija, gāze un cits kurināmais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B87387" w14:textId="3FBC6148" w:rsidR="00E91D1F" w:rsidRPr="00671ED2" w:rsidRDefault="00E91D1F" w:rsidP="002C1CCE">
            <w:pPr>
              <w:suppressAutoHyphens/>
              <w:spacing w:after="0" w:line="240" w:lineRule="auto"/>
              <w:jc w:val="center"/>
            </w:pPr>
            <w:r w:rsidRPr="00671ED2">
              <w:rPr>
                <w:rFonts w:ascii="Times New Roman" w:eastAsia="Times New Roman" w:hAnsi="Times New Roman" w:cs="Times New Roman"/>
              </w:rPr>
              <w:t>33</w:t>
            </w:r>
            <w:r w:rsidR="002C1CCE">
              <w:rPr>
                <w:rFonts w:ascii="Times New Roman" w:eastAsia="Times New Roman" w:hAnsi="Times New Roman" w:cs="Times New Roman"/>
              </w:rPr>
              <w:t>,</w:t>
            </w:r>
            <w:r w:rsidRPr="00671ED2">
              <w:rPr>
                <w:rFonts w:ascii="Times New Roman" w:eastAsia="Times New Roman" w:hAnsi="Times New Roman" w:cs="Times New Roman"/>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34D596" w14:textId="70867F11" w:rsidR="00E91D1F" w:rsidRPr="00671ED2" w:rsidRDefault="00E91D1F" w:rsidP="002C1CCE">
            <w:pPr>
              <w:suppressAutoHyphens/>
              <w:spacing w:after="0" w:line="240" w:lineRule="auto"/>
              <w:jc w:val="center"/>
            </w:pPr>
            <w:r w:rsidRPr="00671ED2">
              <w:rPr>
                <w:rFonts w:ascii="Times New Roman" w:eastAsia="Times New Roman" w:hAnsi="Times New Roman" w:cs="Times New Roman"/>
              </w:rPr>
              <w:t>45</w:t>
            </w:r>
            <w:r w:rsidR="002C1CCE">
              <w:rPr>
                <w:rFonts w:ascii="Times New Roman" w:eastAsia="Times New Roman" w:hAnsi="Times New Roman" w:cs="Times New Roman"/>
              </w:rPr>
              <w:t>,</w:t>
            </w:r>
            <w:r w:rsidRPr="00671ED2">
              <w:rPr>
                <w:rFonts w:ascii="Times New Roman" w:eastAsia="Times New Roman" w:hAnsi="Times New Roman" w:cs="Times New Roman"/>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F2C9A3" w14:textId="244AB4F8" w:rsidR="00E91D1F" w:rsidRPr="00671ED2" w:rsidRDefault="00E91D1F" w:rsidP="002C1CCE">
            <w:pPr>
              <w:suppressAutoHyphens/>
              <w:spacing w:after="0" w:line="240" w:lineRule="auto"/>
              <w:jc w:val="center"/>
            </w:pPr>
            <w:r w:rsidRPr="00671ED2">
              <w:rPr>
                <w:rFonts w:ascii="Times New Roman" w:eastAsia="Times New Roman" w:hAnsi="Times New Roman" w:cs="Times New Roman"/>
              </w:rPr>
              <w:t>50</w:t>
            </w:r>
            <w:r w:rsidR="002C1CCE">
              <w:rPr>
                <w:rFonts w:ascii="Times New Roman" w:eastAsia="Times New Roman" w:hAnsi="Times New Roman" w:cs="Times New Roman"/>
              </w:rPr>
              <w:t>,</w:t>
            </w:r>
            <w:r w:rsidRPr="00671ED2">
              <w:rPr>
                <w:rFonts w:ascii="Times New Roman" w:eastAsia="Times New Roman" w:hAnsi="Times New Roman" w:cs="Times New Roman"/>
              </w:rPr>
              <w:t>1</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2E4C81" w14:textId="5A30CF4E" w:rsidR="00E91D1F" w:rsidRPr="00671ED2" w:rsidRDefault="00E91D1F" w:rsidP="002C1CCE">
            <w:pPr>
              <w:suppressAutoHyphens/>
              <w:spacing w:after="0" w:line="240" w:lineRule="auto"/>
              <w:jc w:val="center"/>
            </w:pPr>
            <w:r w:rsidRPr="00671ED2">
              <w:rPr>
                <w:rFonts w:ascii="Times New Roman" w:eastAsia="Times New Roman" w:hAnsi="Times New Roman" w:cs="Times New Roman"/>
              </w:rPr>
              <w:t>54</w:t>
            </w:r>
            <w:r w:rsidR="002C1CCE">
              <w:rPr>
                <w:rFonts w:ascii="Times New Roman" w:eastAsia="Times New Roman" w:hAnsi="Times New Roman" w:cs="Times New Roman"/>
              </w:rPr>
              <w:t>,</w:t>
            </w:r>
            <w:r w:rsidRPr="00671ED2">
              <w:rPr>
                <w:rFonts w:ascii="Times New Roman" w:eastAsia="Times New Roman" w:hAnsi="Times New Roman" w:cs="Times New Roman"/>
              </w:rPr>
              <w:t>2</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39C5FB" w14:textId="6473986D" w:rsidR="00E91D1F" w:rsidRPr="00671ED2" w:rsidRDefault="00E91D1F" w:rsidP="002C1CCE">
            <w:pPr>
              <w:suppressAutoHyphens/>
              <w:spacing w:after="0" w:line="240" w:lineRule="auto"/>
              <w:jc w:val="center"/>
            </w:pPr>
            <w:r w:rsidRPr="00671ED2">
              <w:rPr>
                <w:rFonts w:ascii="Times New Roman" w:eastAsia="Times New Roman" w:hAnsi="Times New Roman" w:cs="Times New Roman"/>
              </w:rPr>
              <w:t>70</w:t>
            </w:r>
            <w:r w:rsidR="002C1CCE">
              <w:rPr>
                <w:rFonts w:ascii="Times New Roman" w:eastAsia="Times New Roman" w:hAnsi="Times New Roman" w:cs="Times New Roman"/>
              </w:rPr>
              <w:t>,</w:t>
            </w:r>
            <w:r w:rsidRPr="00671ED2">
              <w:rPr>
                <w:rFonts w:ascii="Times New Roman" w:eastAsia="Times New Roman" w:hAnsi="Times New Roman" w:cs="Times New Roman"/>
              </w:rPr>
              <w:t>9</w:t>
            </w:r>
          </w:p>
        </w:tc>
      </w:tr>
      <w:tr w:rsidR="00E91D1F" w:rsidRPr="00671ED2" w14:paraId="4A9D956D" w14:textId="77777777" w:rsidTr="002917D3">
        <w:trPr>
          <w:tblHeader/>
        </w:trPr>
        <w:tc>
          <w:tcPr>
            <w:tcW w:w="3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D3892B" w14:textId="77777777" w:rsidR="00E91D1F" w:rsidRPr="00671ED2" w:rsidRDefault="00E91D1F" w:rsidP="00E702E3">
            <w:pPr>
              <w:suppressAutoHyphens/>
              <w:spacing w:after="0" w:line="240" w:lineRule="auto"/>
            </w:pPr>
            <w:r w:rsidRPr="00671ED2">
              <w:rPr>
                <w:rFonts w:ascii="Times New Roman" w:eastAsia="Times New Roman" w:hAnsi="Times New Roman" w:cs="Times New Roman"/>
              </w:rPr>
              <w:t>Mājokļa iekārta, mājturības piederumi un mājas uzkopšana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41F449" w14:textId="6CF30893" w:rsidR="00E91D1F" w:rsidRPr="00671ED2" w:rsidRDefault="00E91D1F" w:rsidP="002C1CCE">
            <w:pPr>
              <w:suppressAutoHyphens/>
              <w:spacing w:after="0" w:line="240" w:lineRule="auto"/>
              <w:jc w:val="center"/>
            </w:pPr>
            <w:r w:rsidRPr="00671ED2">
              <w:rPr>
                <w:rFonts w:ascii="Times New Roman" w:eastAsia="Times New Roman" w:hAnsi="Times New Roman" w:cs="Times New Roman"/>
              </w:rPr>
              <w:t>4</w:t>
            </w:r>
            <w:r w:rsidR="002C1CCE">
              <w:rPr>
                <w:rFonts w:ascii="Times New Roman" w:eastAsia="Times New Roman" w:hAnsi="Times New Roman" w:cs="Times New Roman"/>
              </w:rPr>
              <w:t>,</w:t>
            </w:r>
            <w:r w:rsidRPr="00671ED2">
              <w:rPr>
                <w:rFonts w:ascii="Times New Roman" w:eastAsia="Times New Roman" w:hAnsi="Times New Roman" w:cs="Times New Roman"/>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45812B" w14:textId="16C1002A" w:rsidR="00E91D1F" w:rsidRPr="00671ED2" w:rsidRDefault="00E91D1F" w:rsidP="002C1CCE">
            <w:pPr>
              <w:suppressAutoHyphens/>
              <w:spacing w:after="0" w:line="240" w:lineRule="auto"/>
              <w:jc w:val="center"/>
            </w:pPr>
            <w:r w:rsidRPr="00671ED2">
              <w:rPr>
                <w:rFonts w:ascii="Times New Roman" w:eastAsia="Times New Roman" w:hAnsi="Times New Roman" w:cs="Times New Roman"/>
              </w:rPr>
              <w:t>7</w:t>
            </w:r>
            <w:r w:rsidR="002C1CCE">
              <w:rPr>
                <w:rFonts w:ascii="Times New Roman" w:eastAsia="Times New Roman" w:hAnsi="Times New Roman" w:cs="Times New Roman"/>
              </w:rPr>
              <w:t>,</w:t>
            </w:r>
            <w:r w:rsidRPr="00671ED2">
              <w:rPr>
                <w:rFonts w:ascii="Times New Roman" w:eastAsia="Times New Roman" w:hAnsi="Times New Roman" w:cs="Times New Roman"/>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7910A3" w14:textId="2126379D" w:rsidR="00E91D1F" w:rsidRPr="00671ED2" w:rsidRDefault="00E91D1F" w:rsidP="002C1CCE">
            <w:pPr>
              <w:suppressAutoHyphens/>
              <w:spacing w:after="0" w:line="240" w:lineRule="auto"/>
              <w:jc w:val="center"/>
            </w:pPr>
            <w:r w:rsidRPr="00671ED2">
              <w:rPr>
                <w:rFonts w:ascii="Times New Roman" w:eastAsia="Times New Roman" w:hAnsi="Times New Roman" w:cs="Times New Roman"/>
              </w:rPr>
              <w:t>11</w:t>
            </w:r>
            <w:r w:rsidR="002C1CCE">
              <w:rPr>
                <w:rFonts w:ascii="Times New Roman" w:eastAsia="Times New Roman" w:hAnsi="Times New Roman" w:cs="Times New Roman"/>
              </w:rPr>
              <w:t>,</w:t>
            </w:r>
            <w:r w:rsidRPr="00671ED2">
              <w:rPr>
                <w:rFonts w:ascii="Times New Roman" w:eastAsia="Times New Roman" w:hAnsi="Times New Roman" w:cs="Times New Roman"/>
              </w:rPr>
              <w:t>3</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7FF1AA" w14:textId="1F538AD3" w:rsidR="00E91D1F" w:rsidRPr="00671ED2" w:rsidRDefault="00E91D1F" w:rsidP="002C1CCE">
            <w:pPr>
              <w:suppressAutoHyphens/>
              <w:spacing w:after="0" w:line="240" w:lineRule="auto"/>
              <w:jc w:val="center"/>
            </w:pPr>
            <w:r w:rsidRPr="00671ED2">
              <w:rPr>
                <w:rFonts w:ascii="Times New Roman" w:eastAsia="Times New Roman" w:hAnsi="Times New Roman" w:cs="Times New Roman"/>
              </w:rPr>
              <w:t>15</w:t>
            </w:r>
            <w:r w:rsidR="002C1CCE">
              <w:rPr>
                <w:rFonts w:ascii="Times New Roman" w:eastAsia="Times New Roman" w:hAnsi="Times New Roman" w:cs="Times New Roman"/>
              </w:rPr>
              <w:t>,</w:t>
            </w:r>
            <w:r w:rsidRPr="00671ED2">
              <w:rPr>
                <w:rFonts w:ascii="Times New Roman" w:eastAsia="Times New Roman" w:hAnsi="Times New Roman" w:cs="Times New Roman"/>
              </w:rPr>
              <w:t>5</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66E64B" w14:textId="4AA87DF6" w:rsidR="00E91D1F" w:rsidRPr="00671ED2" w:rsidRDefault="00E91D1F" w:rsidP="002C1CCE">
            <w:pPr>
              <w:suppressAutoHyphens/>
              <w:spacing w:after="0" w:line="240" w:lineRule="auto"/>
              <w:jc w:val="center"/>
            </w:pPr>
            <w:r w:rsidRPr="00671ED2">
              <w:rPr>
                <w:rFonts w:ascii="Times New Roman" w:eastAsia="Times New Roman" w:hAnsi="Times New Roman" w:cs="Times New Roman"/>
              </w:rPr>
              <w:t>28</w:t>
            </w:r>
            <w:r w:rsidR="002C1CCE">
              <w:rPr>
                <w:rFonts w:ascii="Times New Roman" w:eastAsia="Times New Roman" w:hAnsi="Times New Roman" w:cs="Times New Roman"/>
              </w:rPr>
              <w:t>,</w:t>
            </w:r>
            <w:r w:rsidRPr="00671ED2">
              <w:rPr>
                <w:rFonts w:ascii="Times New Roman" w:eastAsia="Times New Roman" w:hAnsi="Times New Roman" w:cs="Times New Roman"/>
              </w:rPr>
              <w:t>3</w:t>
            </w:r>
          </w:p>
        </w:tc>
      </w:tr>
      <w:tr w:rsidR="00E91D1F" w:rsidRPr="00671ED2" w14:paraId="68045548" w14:textId="77777777" w:rsidTr="002917D3">
        <w:trPr>
          <w:tblHeader/>
        </w:trPr>
        <w:tc>
          <w:tcPr>
            <w:tcW w:w="3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7A49B2" w14:textId="77777777" w:rsidR="00E91D1F" w:rsidRPr="00671ED2" w:rsidRDefault="00E91D1F" w:rsidP="00E702E3">
            <w:pPr>
              <w:suppressAutoHyphens/>
              <w:spacing w:after="0" w:line="240" w:lineRule="auto"/>
            </w:pPr>
            <w:r w:rsidRPr="00671ED2">
              <w:rPr>
                <w:rFonts w:ascii="Times New Roman" w:eastAsia="Times New Roman" w:hAnsi="Times New Roman" w:cs="Times New Roman"/>
              </w:rPr>
              <w:t>Veselība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69F5FF" w14:textId="227CC774" w:rsidR="00E91D1F" w:rsidRPr="00671ED2" w:rsidRDefault="00E91D1F" w:rsidP="002C1CCE">
            <w:pPr>
              <w:suppressAutoHyphens/>
              <w:spacing w:after="0" w:line="240" w:lineRule="auto"/>
              <w:jc w:val="center"/>
            </w:pPr>
            <w:r w:rsidRPr="00671ED2">
              <w:rPr>
                <w:rFonts w:ascii="Times New Roman" w:eastAsia="Times New Roman" w:hAnsi="Times New Roman" w:cs="Times New Roman"/>
              </w:rPr>
              <w:t>7</w:t>
            </w:r>
            <w:r w:rsidR="002C1CCE">
              <w:rPr>
                <w:rFonts w:ascii="Times New Roman" w:eastAsia="Times New Roman" w:hAnsi="Times New Roman" w:cs="Times New Roman"/>
              </w:rPr>
              <w:t>,</w:t>
            </w:r>
            <w:r w:rsidRPr="00671ED2">
              <w:rPr>
                <w:rFonts w:ascii="Times New Roman" w:eastAsia="Times New Roman" w:hAnsi="Times New Roman" w:cs="Times New Roman"/>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0F2AA6" w14:textId="1C604D8A" w:rsidR="00E91D1F" w:rsidRPr="00671ED2" w:rsidRDefault="00E91D1F" w:rsidP="002C1CCE">
            <w:pPr>
              <w:suppressAutoHyphens/>
              <w:spacing w:after="0" w:line="240" w:lineRule="auto"/>
              <w:jc w:val="center"/>
            </w:pPr>
            <w:r w:rsidRPr="00671ED2">
              <w:rPr>
                <w:rFonts w:ascii="Times New Roman" w:eastAsia="Times New Roman" w:hAnsi="Times New Roman" w:cs="Times New Roman"/>
              </w:rPr>
              <w:t>16</w:t>
            </w:r>
            <w:r w:rsidR="002C1CCE">
              <w:rPr>
                <w:rFonts w:ascii="Times New Roman" w:eastAsia="Times New Roman" w:hAnsi="Times New Roman" w:cs="Times New Roman"/>
              </w:rPr>
              <w:t>,</w:t>
            </w:r>
            <w:r w:rsidRPr="00671ED2">
              <w:rPr>
                <w:rFonts w:ascii="Times New Roman" w:eastAsia="Times New Roman" w:hAnsi="Times New Roman" w:cs="Times New Roman"/>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E41B8A" w14:textId="42FC8C59" w:rsidR="00E91D1F" w:rsidRPr="00671ED2" w:rsidRDefault="00E91D1F" w:rsidP="002C1CCE">
            <w:pPr>
              <w:suppressAutoHyphens/>
              <w:spacing w:after="0" w:line="240" w:lineRule="auto"/>
              <w:jc w:val="center"/>
            </w:pPr>
            <w:r w:rsidRPr="00671ED2">
              <w:rPr>
                <w:rFonts w:ascii="Times New Roman" w:eastAsia="Times New Roman" w:hAnsi="Times New Roman" w:cs="Times New Roman"/>
              </w:rPr>
              <w:t>23</w:t>
            </w:r>
            <w:r w:rsidR="002C1CCE">
              <w:rPr>
                <w:rFonts w:ascii="Times New Roman" w:eastAsia="Times New Roman" w:hAnsi="Times New Roman" w:cs="Times New Roman"/>
              </w:rPr>
              <w:t>,</w:t>
            </w:r>
            <w:r w:rsidRPr="00671ED2">
              <w:rPr>
                <w:rFonts w:ascii="Times New Roman" w:eastAsia="Times New Roman" w:hAnsi="Times New Roman" w:cs="Times New Roman"/>
              </w:rPr>
              <w:t>4</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0152EC" w14:textId="53578872" w:rsidR="00E91D1F" w:rsidRPr="00671ED2" w:rsidRDefault="00E91D1F" w:rsidP="002C1CCE">
            <w:pPr>
              <w:suppressAutoHyphens/>
              <w:spacing w:after="0" w:line="240" w:lineRule="auto"/>
              <w:jc w:val="center"/>
            </w:pPr>
            <w:r w:rsidRPr="00671ED2">
              <w:rPr>
                <w:rFonts w:ascii="Times New Roman" w:eastAsia="Times New Roman" w:hAnsi="Times New Roman" w:cs="Times New Roman"/>
              </w:rPr>
              <w:t>23</w:t>
            </w:r>
            <w:r w:rsidR="002C1CCE">
              <w:rPr>
                <w:rFonts w:ascii="Times New Roman" w:eastAsia="Times New Roman" w:hAnsi="Times New Roman" w:cs="Times New Roman"/>
              </w:rPr>
              <w:t>,</w:t>
            </w:r>
            <w:r w:rsidRPr="00671ED2">
              <w:rPr>
                <w:rFonts w:ascii="Times New Roman" w:eastAsia="Times New Roman" w:hAnsi="Times New Roman" w:cs="Times New Roman"/>
              </w:rPr>
              <w:t>6</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D7271C" w14:textId="6CEB71C9" w:rsidR="00E91D1F" w:rsidRPr="00671ED2" w:rsidRDefault="00E91D1F" w:rsidP="002C1CCE">
            <w:pPr>
              <w:suppressAutoHyphens/>
              <w:spacing w:after="0" w:line="240" w:lineRule="auto"/>
              <w:jc w:val="center"/>
            </w:pPr>
            <w:r w:rsidRPr="00671ED2">
              <w:rPr>
                <w:rFonts w:ascii="Times New Roman" w:eastAsia="Times New Roman" w:hAnsi="Times New Roman" w:cs="Times New Roman"/>
              </w:rPr>
              <w:t>25</w:t>
            </w:r>
            <w:r w:rsidR="002C1CCE">
              <w:rPr>
                <w:rFonts w:ascii="Times New Roman" w:eastAsia="Times New Roman" w:hAnsi="Times New Roman" w:cs="Times New Roman"/>
              </w:rPr>
              <w:t>,</w:t>
            </w:r>
            <w:r w:rsidRPr="00671ED2">
              <w:rPr>
                <w:rFonts w:ascii="Times New Roman" w:eastAsia="Times New Roman" w:hAnsi="Times New Roman" w:cs="Times New Roman"/>
              </w:rPr>
              <w:t>8</w:t>
            </w:r>
          </w:p>
        </w:tc>
      </w:tr>
      <w:tr w:rsidR="00E91D1F" w:rsidRPr="00671ED2" w14:paraId="207F8297" w14:textId="77777777" w:rsidTr="002917D3">
        <w:trPr>
          <w:tblHeader/>
        </w:trPr>
        <w:tc>
          <w:tcPr>
            <w:tcW w:w="3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488B85" w14:textId="77777777" w:rsidR="00E91D1F" w:rsidRPr="00671ED2" w:rsidRDefault="00E91D1F" w:rsidP="00E702E3">
            <w:pPr>
              <w:suppressAutoHyphens/>
              <w:spacing w:after="0" w:line="240" w:lineRule="auto"/>
            </w:pPr>
            <w:r w:rsidRPr="00671ED2">
              <w:rPr>
                <w:rFonts w:ascii="Times New Roman" w:eastAsia="Times New Roman" w:hAnsi="Times New Roman" w:cs="Times New Roman"/>
              </w:rPr>
              <w:t>Transports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1D110F" w14:textId="02248C30" w:rsidR="00E91D1F" w:rsidRPr="00671ED2" w:rsidRDefault="00E91D1F" w:rsidP="002C1CCE">
            <w:pPr>
              <w:suppressAutoHyphens/>
              <w:spacing w:after="0" w:line="240" w:lineRule="auto"/>
              <w:jc w:val="center"/>
            </w:pPr>
            <w:r w:rsidRPr="00671ED2">
              <w:rPr>
                <w:rFonts w:ascii="Times New Roman" w:eastAsia="Times New Roman" w:hAnsi="Times New Roman" w:cs="Times New Roman"/>
              </w:rPr>
              <w:t>15</w:t>
            </w:r>
            <w:r w:rsidR="002C1CCE">
              <w:rPr>
                <w:rFonts w:ascii="Times New Roman" w:eastAsia="Times New Roman" w:hAnsi="Times New Roman" w:cs="Times New Roman"/>
              </w:rPr>
              <w:t>,</w:t>
            </w:r>
            <w:r w:rsidRPr="00671ED2">
              <w:rPr>
                <w:rFonts w:ascii="Times New Roman" w:eastAsia="Times New Roman" w:hAnsi="Times New Roman" w:cs="Times New Roman"/>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243893" w14:textId="041BB981" w:rsidR="00E91D1F" w:rsidRPr="00671ED2" w:rsidRDefault="00E91D1F" w:rsidP="002C1CCE">
            <w:pPr>
              <w:suppressAutoHyphens/>
              <w:spacing w:after="0" w:line="240" w:lineRule="auto"/>
              <w:jc w:val="center"/>
            </w:pPr>
            <w:r w:rsidRPr="00671ED2">
              <w:rPr>
                <w:rFonts w:ascii="Times New Roman" w:eastAsia="Times New Roman" w:hAnsi="Times New Roman" w:cs="Times New Roman"/>
              </w:rPr>
              <w:t>23</w:t>
            </w:r>
            <w:r w:rsidR="002C1CCE">
              <w:rPr>
                <w:rFonts w:ascii="Times New Roman" w:eastAsia="Times New Roman" w:hAnsi="Times New Roman" w:cs="Times New Roman"/>
              </w:rPr>
              <w:t>,</w:t>
            </w:r>
            <w:r w:rsidRPr="00671ED2">
              <w:rPr>
                <w:rFonts w:ascii="Times New Roman" w:eastAsia="Times New Roman" w:hAnsi="Times New Roman" w:cs="Times New Roman"/>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9B4E38" w14:textId="6F0C86DC" w:rsidR="00E91D1F" w:rsidRPr="00671ED2" w:rsidRDefault="00E91D1F" w:rsidP="002C1CCE">
            <w:pPr>
              <w:suppressAutoHyphens/>
              <w:spacing w:after="0" w:line="240" w:lineRule="auto"/>
              <w:jc w:val="center"/>
            </w:pPr>
            <w:r w:rsidRPr="00671ED2">
              <w:rPr>
                <w:rFonts w:ascii="Times New Roman" w:eastAsia="Times New Roman" w:hAnsi="Times New Roman" w:cs="Times New Roman"/>
              </w:rPr>
              <w:t>32</w:t>
            </w:r>
            <w:r w:rsidR="002C1CCE">
              <w:rPr>
                <w:rFonts w:ascii="Times New Roman" w:eastAsia="Times New Roman" w:hAnsi="Times New Roman" w:cs="Times New Roman"/>
              </w:rPr>
              <w:t>,</w:t>
            </w:r>
            <w:r w:rsidRPr="00671ED2">
              <w:rPr>
                <w:rFonts w:ascii="Times New Roman" w:eastAsia="Times New Roman" w:hAnsi="Times New Roman" w:cs="Times New Roman"/>
              </w:rPr>
              <w:t>9</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14ACFC" w14:textId="38212252" w:rsidR="00E91D1F" w:rsidRPr="00671ED2" w:rsidRDefault="00E91D1F" w:rsidP="002C1CCE">
            <w:pPr>
              <w:suppressAutoHyphens/>
              <w:spacing w:after="0" w:line="240" w:lineRule="auto"/>
              <w:jc w:val="center"/>
            </w:pPr>
            <w:r w:rsidRPr="00671ED2">
              <w:rPr>
                <w:rFonts w:ascii="Times New Roman" w:eastAsia="Times New Roman" w:hAnsi="Times New Roman" w:cs="Times New Roman"/>
              </w:rPr>
              <w:t>50</w:t>
            </w:r>
            <w:r w:rsidR="002C1CCE">
              <w:rPr>
                <w:rFonts w:ascii="Times New Roman" w:eastAsia="Times New Roman" w:hAnsi="Times New Roman" w:cs="Times New Roman"/>
              </w:rPr>
              <w:t>,</w:t>
            </w:r>
            <w:r w:rsidRPr="00671ED2">
              <w:rPr>
                <w:rFonts w:ascii="Times New Roman" w:eastAsia="Times New Roman" w:hAnsi="Times New Roman" w:cs="Times New Roman"/>
              </w:rPr>
              <w:t>4</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3D15F0" w14:textId="1293D250" w:rsidR="00E91D1F" w:rsidRPr="00671ED2" w:rsidRDefault="00E91D1F" w:rsidP="002C1CCE">
            <w:pPr>
              <w:suppressAutoHyphens/>
              <w:spacing w:after="0" w:line="240" w:lineRule="auto"/>
              <w:jc w:val="center"/>
            </w:pPr>
            <w:r w:rsidRPr="00671ED2">
              <w:rPr>
                <w:rFonts w:ascii="Times New Roman" w:eastAsia="Times New Roman" w:hAnsi="Times New Roman" w:cs="Times New Roman"/>
              </w:rPr>
              <w:t>86</w:t>
            </w:r>
            <w:r w:rsidR="002C1CCE">
              <w:rPr>
                <w:rFonts w:ascii="Times New Roman" w:eastAsia="Times New Roman" w:hAnsi="Times New Roman" w:cs="Times New Roman"/>
              </w:rPr>
              <w:t>,</w:t>
            </w:r>
            <w:r w:rsidRPr="00671ED2">
              <w:rPr>
                <w:rFonts w:ascii="Times New Roman" w:eastAsia="Times New Roman" w:hAnsi="Times New Roman" w:cs="Times New Roman"/>
              </w:rPr>
              <w:t>3</w:t>
            </w:r>
          </w:p>
        </w:tc>
      </w:tr>
      <w:tr w:rsidR="00E91D1F" w:rsidRPr="00671ED2" w14:paraId="479CF8FC" w14:textId="77777777" w:rsidTr="002917D3">
        <w:trPr>
          <w:tblHeader/>
        </w:trPr>
        <w:tc>
          <w:tcPr>
            <w:tcW w:w="3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C18BA2" w14:textId="77777777" w:rsidR="00E91D1F" w:rsidRPr="00671ED2" w:rsidRDefault="00E91D1F" w:rsidP="00E702E3">
            <w:pPr>
              <w:suppressAutoHyphens/>
              <w:spacing w:after="0" w:line="240" w:lineRule="auto"/>
            </w:pPr>
            <w:r w:rsidRPr="00671ED2">
              <w:rPr>
                <w:rFonts w:ascii="Times New Roman" w:eastAsia="Times New Roman" w:hAnsi="Times New Roman" w:cs="Times New Roman"/>
              </w:rPr>
              <w:t>Sakari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16A935" w14:textId="04926374" w:rsidR="00E91D1F" w:rsidRPr="00671ED2" w:rsidRDefault="00E91D1F" w:rsidP="002C1CCE">
            <w:pPr>
              <w:suppressAutoHyphens/>
              <w:spacing w:after="0" w:line="240" w:lineRule="auto"/>
              <w:jc w:val="center"/>
            </w:pPr>
            <w:r w:rsidRPr="00671ED2">
              <w:rPr>
                <w:rFonts w:ascii="Times New Roman" w:eastAsia="Times New Roman" w:hAnsi="Times New Roman" w:cs="Times New Roman"/>
              </w:rPr>
              <w:t>7</w:t>
            </w:r>
            <w:r w:rsidR="002C1CCE">
              <w:rPr>
                <w:rFonts w:ascii="Times New Roman" w:eastAsia="Times New Roman" w:hAnsi="Times New Roman" w:cs="Times New Roman"/>
              </w:rPr>
              <w:t>,</w:t>
            </w:r>
            <w:r w:rsidRPr="00671ED2">
              <w:rPr>
                <w:rFonts w:ascii="Times New Roman" w:eastAsia="Times New Roman" w:hAnsi="Times New Roman" w:cs="Times New Roman"/>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662A8D" w14:textId="7395B6CD" w:rsidR="00E91D1F" w:rsidRPr="00671ED2" w:rsidRDefault="00E91D1F" w:rsidP="002C1CCE">
            <w:pPr>
              <w:suppressAutoHyphens/>
              <w:spacing w:after="0" w:line="240" w:lineRule="auto"/>
              <w:jc w:val="center"/>
            </w:pPr>
            <w:r w:rsidRPr="00671ED2">
              <w:rPr>
                <w:rFonts w:ascii="Times New Roman" w:eastAsia="Times New Roman" w:hAnsi="Times New Roman" w:cs="Times New Roman"/>
              </w:rPr>
              <w:t>10</w:t>
            </w:r>
            <w:r w:rsidR="002C1CCE">
              <w:rPr>
                <w:rFonts w:ascii="Times New Roman" w:eastAsia="Times New Roman" w:hAnsi="Times New Roman" w:cs="Times New Roman"/>
              </w:rPr>
              <w:t>,</w:t>
            </w:r>
            <w:r w:rsidRPr="00671ED2">
              <w:rPr>
                <w:rFonts w:ascii="Times New Roman" w:eastAsia="Times New Roman" w:hAnsi="Times New Roman" w:cs="Times New Roman"/>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7B23F7" w14:textId="06122154" w:rsidR="00E91D1F" w:rsidRPr="00671ED2" w:rsidRDefault="00E91D1F" w:rsidP="002C1CCE">
            <w:pPr>
              <w:suppressAutoHyphens/>
              <w:spacing w:after="0" w:line="240" w:lineRule="auto"/>
              <w:jc w:val="center"/>
            </w:pPr>
            <w:r w:rsidRPr="00671ED2">
              <w:rPr>
                <w:rFonts w:ascii="Times New Roman" w:eastAsia="Times New Roman" w:hAnsi="Times New Roman" w:cs="Times New Roman"/>
              </w:rPr>
              <w:t>12</w:t>
            </w:r>
            <w:r w:rsidR="002C1CCE">
              <w:rPr>
                <w:rFonts w:ascii="Times New Roman" w:eastAsia="Times New Roman" w:hAnsi="Times New Roman" w:cs="Times New Roman"/>
              </w:rPr>
              <w:t>,</w:t>
            </w:r>
            <w:r w:rsidRPr="00671ED2">
              <w:rPr>
                <w:rFonts w:ascii="Times New Roman" w:eastAsia="Times New Roman" w:hAnsi="Times New Roman" w:cs="Times New Roman"/>
              </w:rPr>
              <w:t>6</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1F6BCF" w14:textId="77F70548" w:rsidR="00E91D1F" w:rsidRPr="00671ED2" w:rsidRDefault="00E91D1F" w:rsidP="002C1CCE">
            <w:pPr>
              <w:suppressAutoHyphens/>
              <w:spacing w:after="0" w:line="240" w:lineRule="auto"/>
              <w:jc w:val="center"/>
            </w:pPr>
            <w:r w:rsidRPr="00671ED2">
              <w:rPr>
                <w:rFonts w:ascii="Times New Roman" w:eastAsia="Times New Roman" w:hAnsi="Times New Roman" w:cs="Times New Roman"/>
              </w:rPr>
              <w:t>14</w:t>
            </w:r>
            <w:r w:rsidR="002C1CCE">
              <w:rPr>
                <w:rFonts w:ascii="Times New Roman" w:eastAsia="Times New Roman" w:hAnsi="Times New Roman" w:cs="Times New Roman"/>
              </w:rPr>
              <w:t>,</w:t>
            </w:r>
            <w:r w:rsidRPr="00671ED2">
              <w:rPr>
                <w:rFonts w:ascii="Times New Roman" w:eastAsia="Times New Roman" w:hAnsi="Times New Roman" w:cs="Times New Roman"/>
              </w:rPr>
              <w:t>8</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77BD10" w14:textId="43B868A5" w:rsidR="00E91D1F" w:rsidRPr="00671ED2" w:rsidRDefault="00E91D1F" w:rsidP="002C1CCE">
            <w:pPr>
              <w:suppressAutoHyphens/>
              <w:spacing w:after="0" w:line="240" w:lineRule="auto"/>
              <w:jc w:val="center"/>
            </w:pPr>
            <w:r w:rsidRPr="00671ED2">
              <w:rPr>
                <w:rFonts w:ascii="Times New Roman" w:eastAsia="Times New Roman" w:hAnsi="Times New Roman" w:cs="Times New Roman"/>
              </w:rPr>
              <w:t>19</w:t>
            </w:r>
            <w:r w:rsidR="002C1CCE">
              <w:rPr>
                <w:rFonts w:ascii="Times New Roman" w:eastAsia="Times New Roman" w:hAnsi="Times New Roman" w:cs="Times New Roman"/>
              </w:rPr>
              <w:t>,</w:t>
            </w:r>
            <w:r w:rsidRPr="00671ED2">
              <w:rPr>
                <w:rFonts w:ascii="Times New Roman" w:eastAsia="Times New Roman" w:hAnsi="Times New Roman" w:cs="Times New Roman"/>
              </w:rPr>
              <w:t>8</w:t>
            </w:r>
          </w:p>
        </w:tc>
      </w:tr>
      <w:tr w:rsidR="00E91D1F" w:rsidRPr="00671ED2" w14:paraId="1E8BAD5E" w14:textId="77777777" w:rsidTr="002917D3">
        <w:trPr>
          <w:tblHeader/>
        </w:trPr>
        <w:tc>
          <w:tcPr>
            <w:tcW w:w="3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08C438" w14:textId="77777777" w:rsidR="00E91D1F" w:rsidRPr="00671ED2" w:rsidRDefault="00E91D1F" w:rsidP="00E702E3">
            <w:pPr>
              <w:suppressAutoHyphens/>
              <w:spacing w:after="0" w:line="240" w:lineRule="auto"/>
            </w:pPr>
            <w:r w:rsidRPr="00671ED2">
              <w:rPr>
                <w:rFonts w:ascii="Times New Roman" w:eastAsia="Times New Roman" w:hAnsi="Times New Roman" w:cs="Times New Roman"/>
              </w:rPr>
              <w:t>Atpūta un kultūra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5C8F08" w14:textId="72C7C9C0" w:rsidR="00E91D1F" w:rsidRPr="00671ED2" w:rsidRDefault="002C1CCE" w:rsidP="00FD0162">
            <w:pPr>
              <w:suppressAutoHyphens/>
              <w:spacing w:after="0" w:line="240" w:lineRule="auto"/>
              <w:jc w:val="center"/>
            </w:pPr>
            <w:r>
              <w:rPr>
                <w:rFonts w:ascii="Times New Roman" w:eastAsia="Times New Roman" w:hAnsi="Times New Roman" w:cs="Times New Roman"/>
              </w:rPr>
              <w:t>7,</w:t>
            </w:r>
            <w:r w:rsidR="00E91D1F" w:rsidRPr="00671ED2">
              <w:rPr>
                <w:rFonts w:ascii="Times New Roman" w:eastAsia="Times New Roman" w:hAnsi="Times New Roman" w:cs="Times New Roman"/>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E7F4F5" w14:textId="3FBE7CE8" w:rsidR="00E91D1F" w:rsidRPr="00671ED2" w:rsidRDefault="00E91D1F" w:rsidP="002C1CCE">
            <w:pPr>
              <w:suppressAutoHyphens/>
              <w:spacing w:after="0" w:line="240" w:lineRule="auto"/>
              <w:jc w:val="center"/>
            </w:pPr>
            <w:r w:rsidRPr="00671ED2">
              <w:rPr>
                <w:rFonts w:ascii="Times New Roman" w:eastAsia="Times New Roman" w:hAnsi="Times New Roman" w:cs="Times New Roman"/>
              </w:rPr>
              <w:t>12</w:t>
            </w:r>
            <w:r w:rsidR="002C1CCE">
              <w:rPr>
                <w:rFonts w:ascii="Times New Roman" w:eastAsia="Times New Roman" w:hAnsi="Times New Roman" w:cs="Times New Roman"/>
              </w:rPr>
              <w:t>,</w:t>
            </w:r>
            <w:r w:rsidRPr="00671ED2">
              <w:rPr>
                <w:rFonts w:ascii="Times New Roman" w:eastAsia="Times New Roman" w:hAnsi="Times New Roman" w:cs="Times New Roman"/>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AD26AE" w14:textId="3CF34FB2" w:rsidR="00E91D1F" w:rsidRPr="00671ED2" w:rsidRDefault="00E91D1F" w:rsidP="002C1CCE">
            <w:pPr>
              <w:suppressAutoHyphens/>
              <w:spacing w:after="0" w:line="240" w:lineRule="auto"/>
              <w:jc w:val="center"/>
            </w:pPr>
            <w:r w:rsidRPr="00671ED2">
              <w:rPr>
                <w:rFonts w:ascii="Times New Roman" w:eastAsia="Times New Roman" w:hAnsi="Times New Roman" w:cs="Times New Roman"/>
              </w:rPr>
              <w:t>16</w:t>
            </w:r>
            <w:r w:rsidR="002C1CCE">
              <w:rPr>
                <w:rFonts w:ascii="Times New Roman" w:eastAsia="Times New Roman" w:hAnsi="Times New Roman" w:cs="Times New Roman"/>
              </w:rPr>
              <w:t>,</w:t>
            </w:r>
            <w:r w:rsidRPr="00671ED2">
              <w:rPr>
                <w:rFonts w:ascii="Times New Roman" w:eastAsia="Times New Roman" w:hAnsi="Times New Roman" w:cs="Times New Roman"/>
              </w:rPr>
              <w:t>6</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B1CC96" w14:textId="4320A285" w:rsidR="00E91D1F" w:rsidRPr="00671ED2" w:rsidRDefault="00E91D1F" w:rsidP="002C1CCE">
            <w:pPr>
              <w:suppressAutoHyphens/>
              <w:spacing w:after="0" w:line="240" w:lineRule="auto"/>
              <w:jc w:val="center"/>
            </w:pPr>
            <w:r w:rsidRPr="00671ED2">
              <w:rPr>
                <w:rFonts w:ascii="Times New Roman" w:eastAsia="Times New Roman" w:hAnsi="Times New Roman" w:cs="Times New Roman"/>
              </w:rPr>
              <w:t>24</w:t>
            </w:r>
            <w:r w:rsidR="002C1CCE">
              <w:rPr>
                <w:rFonts w:ascii="Times New Roman" w:eastAsia="Times New Roman" w:hAnsi="Times New Roman" w:cs="Times New Roman"/>
              </w:rPr>
              <w:t>,</w:t>
            </w:r>
            <w:r w:rsidRPr="00671ED2">
              <w:rPr>
                <w:rFonts w:ascii="Times New Roman" w:eastAsia="Times New Roman" w:hAnsi="Times New Roman" w:cs="Times New Roman"/>
              </w:rPr>
              <w:t>1</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025535" w14:textId="7CAE382B" w:rsidR="00E91D1F" w:rsidRPr="00671ED2" w:rsidRDefault="00E91D1F" w:rsidP="002C1CCE">
            <w:pPr>
              <w:suppressAutoHyphens/>
              <w:spacing w:after="0" w:line="240" w:lineRule="auto"/>
              <w:jc w:val="center"/>
            </w:pPr>
            <w:r w:rsidRPr="00671ED2">
              <w:rPr>
                <w:rFonts w:ascii="Times New Roman" w:eastAsia="Times New Roman" w:hAnsi="Times New Roman" w:cs="Times New Roman"/>
              </w:rPr>
              <w:t>51</w:t>
            </w:r>
            <w:r w:rsidR="002C1CCE">
              <w:rPr>
                <w:rFonts w:ascii="Times New Roman" w:eastAsia="Times New Roman" w:hAnsi="Times New Roman" w:cs="Times New Roman"/>
              </w:rPr>
              <w:t>,</w:t>
            </w:r>
            <w:r w:rsidRPr="00671ED2">
              <w:rPr>
                <w:rFonts w:ascii="Times New Roman" w:eastAsia="Times New Roman" w:hAnsi="Times New Roman" w:cs="Times New Roman"/>
              </w:rPr>
              <w:t>5</w:t>
            </w:r>
          </w:p>
        </w:tc>
      </w:tr>
      <w:tr w:rsidR="00E91D1F" w:rsidRPr="00671ED2" w14:paraId="62CCF4E2" w14:textId="77777777" w:rsidTr="002917D3">
        <w:trPr>
          <w:tblHeader/>
        </w:trPr>
        <w:tc>
          <w:tcPr>
            <w:tcW w:w="3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86C431" w14:textId="77777777" w:rsidR="00E91D1F" w:rsidRPr="00671ED2" w:rsidRDefault="00E91D1F" w:rsidP="00E702E3">
            <w:pPr>
              <w:suppressAutoHyphens/>
              <w:spacing w:after="0" w:line="240" w:lineRule="auto"/>
            </w:pPr>
            <w:r w:rsidRPr="00671ED2">
              <w:rPr>
                <w:rFonts w:ascii="Times New Roman" w:eastAsia="Times New Roman" w:hAnsi="Times New Roman" w:cs="Times New Roman"/>
              </w:rPr>
              <w:t>Izglītība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216BDC" w14:textId="1DC8D08F" w:rsidR="00E91D1F" w:rsidRPr="00671ED2" w:rsidRDefault="00E91D1F" w:rsidP="002C1CCE">
            <w:pPr>
              <w:suppressAutoHyphens/>
              <w:spacing w:after="0" w:line="240" w:lineRule="auto"/>
              <w:jc w:val="center"/>
            </w:pPr>
            <w:r w:rsidRPr="00671ED2">
              <w:rPr>
                <w:rFonts w:ascii="Times New Roman" w:eastAsia="Times New Roman" w:hAnsi="Times New Roman" w:cs="Times New Roman"/>
              </w:rPr>
              <w:t>3</w:t>
            </w:r>
            <w:r w:rsidR="002C1CCE">
              <w:rPr>
                <w:rFonts w:ascii="Times New Roman" w:eastAsia="Times New Roman" w:hAnsi="Times New Roman" w:cs="Times New Roman"/>
              </w:rPr>
              <w:t>,</w:t>
            </w:r>
            <w:r w:rsidRPr="00671ED2">
              <w:rPr>
                <w:rFonts w:ascii="Times New Roman" w:eastAsia="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33ABAB" w14:textId="5FD4A408" w:rsidR="00E91D1F" w:rsidRPr="00671ED2" w:rsidRDefault="00E91D1F" w:rsidP="002C1CCE">
            <w:pPr>
              <w:suppressAutoHyphens/>
              <w:spacing w:after="0" w:line="240" w:lineRule="auto"/>
              <w:jc w:val="center"/>
            </w:pPr>
            <w:r w:rsidRPr="00671ED2">
              <w:rPr>
                <w:rFonts w:ascii="Times New Roman" w:eastAsia="Times New Roman" w:hAnsi="Times New Roman" w:cs="Times New Roman"/>
              </w:rPr>
              <w:t>3</w:t>
            </w:r>
            <w:r w:rsidR="002C1CCE">
              <w:rPr>
                <w:rFonts w:ascii="Times New Roman" w:eastAsia="Times New Roman" w:hAnsi="Times New Roman" w:cs="Times New Roman"/>
              </w:rPr>
              <w:t>,</w:t>
            </w:r>
            <w:r w:rsidRPr="00671ED2">
              <w:rPr>
                <w:rFonts w:ascii="Times New Roman" w:eastAsia="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4D834F" w14:textId="1B9EB65D" w:rsidR="00E91D1F" w:rsidRPr="00671ED2" w:rsidRDefault="00E91D1F" w:rsidP="00FD0162">
            <w:pPr>
              <w:suppressAutoHyphens/>
              <w:spacing w:after="0" w:line="240" w:lineRule="auto"/>
              <w:jc w:val="center"/>
            </w:pPr>
            <w:r w:rsidRPr="00671ED2">
              <w:rPr>
                <w:rFonts w:ascii="Times New Roman" w:eastAsia="Times New Roman" w:hAnsi="Times New Roman" w:cs="Times New Roman"/>
              </w:rPr>
              <w:t>2</w:t>
            </w:r>
            <w:r w:rsidR="002C1CCE">
              <w:rPr>
                <w:rFonts w:ascii="Times New Roman" w:eastAsia="Times New Roman" w:hAnsi="Times New Roman" w:cs="Times New Roman"/>
              </w:rPr>
              <w:t>,</w:t>
            </w:r>
            <w:r w:rsidRPr="00671ED2">
              <w:rPr>
                <w:rFonts w:ascii="Times New Roman" w:eastAsia="Times New Roman" w:hAnsi="Times New Roman" w:cs="Times New Roman"/>
              </w:rPr>
              <w:t>8</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B32C69" w14:textId="10359EE4" w:rsidR="00E91D1F" w:rsidRPr="00671ED2" w:rsidRDefault="002C1CCE" w:rsidP="00FD0162">
            <w:pPr>
              <w:suppressAutoHyphens/>
              <w:spacing w:after="0" w:line="240" w:lineRule="auto"/>
              <w:jc w:val="center"/>
            </w:pPr>
            <w:r>
              <w:rPr>
                <w:rFonts w:ascii="Times New Roman" w:eastAsia="Times New Roman" w:hAnsi="Times New Roman" w:cs="Times New Roman"/>
              </w:rPr>
              <w:t>5,</w:t>
            </w:r>
            <w:r w:rsidR="00E91D1F" w:rsidRPr="00671ED2">
              <w:rPr>
                <w:rFonts w:ascii="Times New Roman" w:eastAsia="Times New Roman" w:hAnsi="Times New Roman" w:cs="Times New Roman"/>
              </w:rPr>
              <w:t>3</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BBB99F" w14:textId="237BA2DF" w:rsidR="00E91D1F" w:rsidRPr="00671ED2" w:rsidRDefault="00E91D1F" w:rsidP="002C1CCE">
            <w:pPr>
              <w:suppressAutoHyphens/>
              <w:spacing w:after="0" w:line="240" w:lineRule="auto"/>
              <w:jc w:val="center"/>
            </w:pPr>
            <w:r w:rsidRPr="00671ED2">
              <w:rPr>
                <w:rFonts w:ascii="Times New Roman" w:eastAsia="Times New Roman" w:hAnsi="Times New Roman" w:cs="Times New Roman"/>
              </w:rPr>
              <w:t>8</w:t>
            </w:r>
            <w:r w:rsidR="002C1CCE">
              <w:rPr>
                <w:rFonts w:ascii="Times New Roman" w:eastAsia="Times New Roman" w:hAnsi="Times New Roman" w:cs="Times New Roman"/>
              </w:rPr>
              <w:t>,</w:t>
            </w:r>
            <w:r w:rsidRPr="00671ED2">
              <w:rPr>
                <w:rFonts w:ascii="Times New Roman" w:eastAsia="Times New Roman" w:hAnsi="Times New Roman" w:cs="Times New Roman"/>
              </w:rPr>
              <w:t>0</w:t>
            </w:r>
          </w:p>
        </w:tc>
      </w:tr>
      <w:tr w:rsidR="00E91D1F" w:rsidRPr="00671ED2" w14:paraId="373DF2A5" w14:textId="77777777" w:rsidTr="002917D3">
        <w:trPr>
          <w:tblHeader/>
        </w:trPr>
        <w:tc>
          <w:tcPr>
            <w:tcW w:w="3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DB600F" w14:textId="77777777" w:rsidR="00E91D1F" w:rsidRPr="00671ED2" w:rsidRDefault="00E91D1F" w:rsidP="00E702E3">
            <w:pPr>
              <w:suppressAutoHyphens/>
              <w:spacing w:after="0" w:line="240" w:lineRule="auto"/>
            </w:pPr>
            <w:r w:rsidRPr="00671ED2">
              <w:rPr>
                <w:rFonts w:ascii="Times New Roman" w:eastAsia="Times New Roman" w:hAnsi="Times New Roman" w:cs="Times New Roman"/>
              </w:rPr>
              <w:t>Restorāni, kafejnīcas un viesnīcas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01171C" w14:textId="548A9EE0" w:rsidR="00E91D1F" w:rsidRPr="00671ED2" w:rsidRDefault="00E91D1F" w:rsidP="002C1CCE">
            <w:pPr>
              <w:suppressAutoHyphens/>
              <w:spacing w:after="0" w:line="240" w:lineRule="auto"/>
              <w:jc w:val="center"/>
            </w:pPr>
            <w:r w:rsidRPr="00671ED2">
              <w:rPr>
                <w:rFonts w:ascii="Times New Roman" w:eastAsia="Times New Roman" w:hAnsi="Times New Roman" w:cs="Times New Roman"/>
              </w:rPr>
              <w:t>5</w:t>
            </w:r>
            <w:r w:rsidR="002C1CCE">
              <w:rPr>
                <w:rFonts w:ascii="Times New Roman" w:eastAsia="Times New Roman" w:hAnsi="Times New Roman" w:cs="Times New Roman"/>
              </w:rPr>
              <w:t>,</w:t>
            </w:r>
            <w:r w:rsidRPr="00671ED2">
              <w:rPr>
                <w:rFonts w:ascii="Times New Roman" w:eastAsia="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E06A28" w14:textId="7758C7C5" w:rsidR="00E91D1F" w:rsidRPr="00671ED2" w:rsidRDefault="00E91D1F" w:rsidP="002C1CCE">
            <w:pPr>
              <w:suppressAutoHyphens/>
              <w:spacing w:after="0" w:line="240" w:lineRule="auto"/>
              <w:jc w:val="center"/>
            </w:pPr>
            <w:r w:rsidRPr="00671ED2">
              <w:rPr>
                <w:rFonts w:ascii="Times New Roman" w:eastAsia="Times New Roman" w:hAnsi="Times New Roman" w:cs="Times New Roman"/>
              </w:rPr>
              <w:t>6</w:t>
            </w:r>
            <w:r w:rsidR="002C1CCE">
              <w:rPr>
                <w:rFonts w:ascii="Times New Roman" w:eastAsia="Times New Roman" w:hAnsi="Times New Roman" w:cs="Times New Roman"/>
              </w:rPr>
              <w:t>,</w:t>
            </w:r>
            <w:r w:rsidRPr="00671ED2">
              <w:rPr>
                <w:rFonts w:ascii="Times New Roman" w:eastAsia="Times New Roman" w:hAnsi="Times New Roman" w:cs="Times New Roman"/>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556A55" w14:textId="03475851" w:rsidR="00E91D1F" w:rsidRPr="00671ED2" w:rsidRDefault="00E91D1F" w:rsidP="002C1CCE">
            <w:pPr>
              <w:suppressAutoHyphens/>
              <w:spacing w:after="0" w:line="240" w:lineRule="auto"/>
              <w:jc w:val="center"/>
            </w:pPr>
            <w:r w:rsidRPr="00671ED2">
              <w:rPr>
                <w:rFonts w:ascii="Times New Roman" w:eastAsia="Times New Roman" w:hAnsi="Times New Roman" w:cs="Times New Roman"/>
              </w:rPr>
              <w:t>8</w:t>
            </w:r>
            <w:r w:rsidR="002C1CCE">
              <w:rPr>
                <w:rFonts w:ascii="Times New Roman" w:eastAsia="Times New Roman" w:hAnsi="Times New Roman" w:cs="Times New Roman"/>
              </w:rPr>
              <w:t>,</w:t>
            </w:r>
            <w:r w:rsidRPr="00671ED2">
              <w:rPr>
                <w:rFonts w:ascii="Times New Roman" w:eastAsia="Times New Roman" w:hAnsi="Times New Roman" w:cs="Times New Roman"/>
              </w:rPr>
              <w:t>1</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DD04A3" w14:textId="0848F8DE" w:rsidR="00E91D1F" w:rsidRPr="00671ED2" w:rsidRDefault="00E91D1F" w:rsidP="002C1CCE">
            <w:pPr>
              <w:suppressAutoHyphens/>
              <w:spacing w:after="0" w:line="240" w:lineRule="auto"/>
              <w:jc w:val="center"/>
            </w:pPr>
            <w:r w:rsidRPr="00671ED2">
              <w:rPr>
                <w:rFonts w:ascii="Times New Roman" w:eastAsia="Times New Roman" w:hAnsi="Times New Roman" w:cs="Times New Roman"/>
              </w:rPr>
              <w:t>14</w:t>
            </w:r>
            <w:r w:rsidR="002C1CCE">
              <w:rPr>
                <w:rFonts w:ascii="Times New Roman" w:eastAsia="Times New Roman" w:hAnsi="Times New Roman" w:cs="Times New Roman"/>
              </w:rPr>
              <w:t>,</w:t>
            </w:r>
            <w:r w:rsidRPr="00671ED2">
              <w:rPr>
                <w:rFonts w:ascii="Times New Roman" w:eastAsia="Times New Roman" w:hAnsi="Times New Roman" w:cs="Times New Roman"/>
              </w:rPr>
              <w:t>6</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07BF2E" w14:textId="33A18833" w:rsidR="00E91D1F" w:rsidRPr="00671ED2" w:rsidRDefault="00E91D1F" w:rsidP="002C1CCE">
            <w:pPr>
              <w:suppressAutoHyphens/>
              <w:spacing w:after="0" w:line="240" w:lineRule="auto"/>
              <w:jc w:val="center"/>
            </w:pPr>
            <w:r w:rsidRPr="00671ED2">
              <w:rPr>
                <w:rFonts w:ascii="Times New Roman" w:eastAsia="Times New Roman" w:hAnsi="Times New Roman" w:cs="Times New Roman"/>
              </w:rPr>
              <w:t>35</w:t>
            </w:r>
            <w:r w:rsidR="002C1CCE">
              <w:rPr>
                <w:rFonts w:ascii="Times New Roman" w:eastAsia="Times New Roman" w:hAnsi="Times New Roman" w:cs="Times New Roman"/>
              </w:rPr>
              <w:t>,</w:t>
            </w:r>
            <w:r w:rsidRPr="00671ED2">
              <w:rPr>
                <w:rFonts w:ascii="Times New Roman" w:eastAsia="Times New Roman" w:hAnsi="Times New Roman" w:cs="Times New Roman"/>
              </w:rPr>
              <w:t>1</w:t>
            </w:r>
          </w:p>
        </w:tc>
      </w:tr>
      <w:tr w:rsidR="00E91D1F" w:rsidRPr="00671ED2" w14:paraId="5D8E971C" w14:textId="77777777" w:rsidTr="002917D3">
        <w:trPr>
          <w:tblHeader/>
        </w:trPr>
        <w:tc>
          <w:tcPr>
            <w:tcW w:w="3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9280DA" w14:textId="77777777" w:rsidR="00E91D1F" w:rsidRPr="00671ED2" w:rsidRDefault="00E91D1F" w:rsidP="00E702E3">
            <w:pPr>
              <w:suppressAutoHyphens/>
              <w:spacing w:after="0" w:line="240" w:lineRule="auto"/>
            </w:pPr>
            <w:r w:rsidRPr="00671ED2">
              <w:rPr>
                <w:rFonts w:ascii="Times New Roman" w:eastAsia="Times New Roman" w:hAnsi="Times New Roman" w:cs="Times New Roman"/>
              </w:rPr>
              <w:t>Dažādas preces un pakalpojumi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660E07" w14:textId="3BAB21CB" w:rsidR="00E91D1F" w:rsidRPr="00671ED2" w:rsidRDefault="00E91D1F" w:rsidP="002C1CCE">
            <w:pPr>
              <w:suppressAutoHyphens/>
              <w:spacing w:after="0" w:line="240" w:lineRule="auto"/>
              <w:jc w:val="center"/>
            </w:pPr>
            <w:r w:rsidRPr="00671ED2">
              <w:rPr>
                <w:rFonts w:ascii="Times New Roman" w:eastAsia="Times New Roman" w:hAnsi="Times New Roman" w:cs="Times New Roman"/>
              </w:rPr>
              <w:t>7</w:t>
            </w:r>
            <w:r w:rsidR="002C1CCE">
              <w:rPr>
                <w:rFonts w:ascii="Times New Roman" w:eastAsia="Times New Roman" w:hAnsi="Times New Roman" w:cs="Times New Roman"/>
              </w:rPr>
              <w:t>,</w:t>
            </w:r>
            <w:r w:rsidRPr="00671ED2">
              <w:rPr>
                <w:rFonts w:ascii="Times New Roman" w:eastAsia="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34EC6D" w14:textId="3304A67F" w:rsidR="00E91D1F" w:rsidRPr="00671ED2" w:rsidRDefault="00E91D1F" w:rsidP="002C1CCE">
            <w:pPr>
              <w:suppressAutoHyphens/>
              <w:spacing w:after="0" w:line="240" w:lineRule="auto"/>
              <w:jc w:val="center"/>
            </w:pPr>
            <w:r w:rsidRPr="00671ED2">
              <w:rPr>
                <w:rFonts w:ascii="Times New Roman" w:eastAsia="Times New Roman" w:hAnsi="Times New Roman" w:cs="Times New Roman"/>
              </w:rPr>
              <w:t>10</w:t>
            </w:r>
            <w:r w:rsidR="002C1CCE">
              <w:rPr>
                <w:rFonts w:ascii="Times New Roman" w:eastAsia="Times New Roman" w:hAnsi="Times New Roman" w:cs="Times New Roman"/>
              </w:rPr>
              <w:t>,</w:t>
            </w:r>
            <w:r w:rsidRPr="00671ED2">
              <w:rPr>
                <w:rFonts w:ascii="Times New Roman" w:eastAsia="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5EC8D2" w14:textId="077B65D8" w:rsidR="00E91D1F" w:rsidRPr="00671ED2" w:rsidRDefault="00E91D1F" w:rsidP="002C1CCE">
            <w:pPr>
              <w:suppressAutoHyphens/>
              <w:spacing w:after="0" w:line="240" w:lineRule="auto"/>
              <w:jc w:val="center"/>
            </w:pPr>
            <w:r w:rsidRPr="00671ED2">
              <w:rPr>
                <w:rFonts w:ascii="Times New Roman" w:eastAsia="Times New Roman" w:hAnsi="Times New Roman" w:cs="Times New Roman"/>
              </w:rPr>
              <w:t>12</w:t>
            </w:r>
            <w:r w:rsidR="002C1CCE">
              <w:rPr>
                <w:rFonts w:ascii="Times New Roman" w:eastAsia="Times New Roman" w:hAnsi="Times New Roman" w:cs="Times New Roman"/>
              </w:rPr>
              <w:t>,</w:t>
            </w:r>
            <w:r w:rsidRPr="00671ED2">
              <w:rPr>
                <w:rFonts w:ascii="Times New Roman" w:eastAsia="Times New Roman" w:hAnsi="Times New Roman" w:cs="Times New Roman"/>
              </w:rPr>
              <w:t>7</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4AF51C" w14:textId="7D226B42" w:rsidR="00E91D1F" w:rsidRPr="00671ED2" w:rsidRDefault="00E91D1F" w:rsidP="002C1CCE">
            <w:pPr>
              <w:suppressAutoHyphens/>
              <w:spacing w:after="0" w:line="240" w:lineRule="auto"/>
              <w:jc w:val="center"/>
            </w:pPr>
            <w:r w:rsidRPr="00671ED2">
              <w:rPr>
                <w:rFonts w:ascii="Times New Roman" w:eastAsia="Times New Roman" w:hAnsi="Times New Roman" w:cs="Times New Roman"/>
              </w:rPr>
              <w:t>19</w:t>
            </w:r>
            <w:r w:rsidR="002C1CCE">
              <w:rPr>
                <w:rFonts w:ascii="Times New Roman" w:eastAsia="Times New Roman" w:hAnsi="Times New Roman" w:cs="Times New Roman"/>
              </w:rPr>
              <w:t>,</w:t>
            </w:r>
            <w:r w:rsidRPr="00671ED2">
              <w:rPr>
                <w:rFonts w:ascii="Times New Roman" w:eastAsia="Times New Roman" w:hAnsi="Times New Roman" w:cs="Times New Roman"/>
              </w:rPr>
              <w:t>4</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A9FE53" w14:textId="561F0F02" w:rsidR="00E91D1F" w:rsidRPr="00671ED2" w:rsidRDefault="00E91D1F" w:rsidP="002C1CCE">
            <w:pPr>
              <w:suppressAutoHyphens/>
              <w:spacing w:after="0" w:line="240" w:lineRule="auto"/>
              <w:jc w:val="center"/>
            </w:pPr>
            <w:r w:rsidRPr="00671ED2">
              <w:rPr>
                <w:rFonts w:ascii="Times New Roman" w:eastAsia="Times New Roman" w:hAnsi="Times New Roman" w:cs="Times New Roman"/>
              </w:rPr>
              <w:t>39</w:t>
            </w:r>
            <w:r w:rsidR="002C1CCE">
              <w:rPr>
                <w:rFonts w:ascii="Times New Roman" w:eastAsia="Times New Roman" w:hAnsi="Times New Roman" w:cs="Times New Roman"/>
              </w:rPr>
              <w:t>,</w:t>
            </w:r>
            <w:r w:rsidRPr="00671ED2">
              <w:rPr>
                <w:rFonts w:ascii="Times New Roman" w:eastAsia="Times New Roman" w:hAnsi="Times New Roman" w:cs="Times New Roman"/>
              </w:rPr>
              <w:t>2</w:t>
            </w:r>
          </w:p>
        </w:tc>
      </w:tr>
    </w:tbl>
    <w:p w14:paraId="4247E8A9" w14:textId="77777777" w:rsidR="00E91D1F" w:rsidRDefault="00E91D1F" w:rsidP="00DC7AC8">
      <w:pPr>
        <w:suppressAutoHyphens/>
        <w:spacing w:after="120" w:line="240" w:lineRule="auto"/>
        <w:ind w:firstLine="720"/>
        <w:jc w:val="both"/>
        <w:rPr>
          <w:rFonts w:ascii="Times New Roman" w:eastAsia="Times New Roman" w:hAnsi="Times New Roman" w:cs="Times New Roman"/>
          <w:i/>
          <w:sz w:val="20"/>
          <w:szCs w:val="20"/>
        </w:rPr>
      </w:pPr>
      <w:r w:rsidRPr="00671ED2">
        <w:rPr>
          <w:rFonts w:ascii="Times New Roman" w:eastAsia="Times New Roman" w:hAnsi="Times New Roman" w:cs="Times New Roman"/>
          <w:i/>
          <w:sz w:val="20"/>
          <w:szCs w:val="20"/>
        </w:rPr>
        <w:t>Avots: CSP</w:t>
      </w:r>
    </w:p>
    <w:p w14:paraId="3E47A750" w14:textId="70247D66" w:rsidR="003F7396" w:rsidRPr="00D928CD" w:rsidRDefault="003F7396" w:rsidP="003F7396">
      <w:pPr>
        <w:suppressAutoHyphens/>
        <w:spacing w:after="0" w:line="240" w:lineRule="auto"/>
        <w:ind w:firstLine="720"/>
        <w:jc w:val="both"/>
        <w:rPr>
          <w:rFonts w:ascii="Times New Roman" w:eastAsia="Times New Roman" w:hAnsi="Times New Roman" w:cs="Times New Roman"/>
          <w:sz w:val="24"/>
          <w:szCs w:val="24"/>
        </w:rPr>
      </w:pPr>
      <w:r w:rsidRPr="00D928CD">
        <w:rPr>
          <w:rFonts w:ascii="Times New Roman" w:eastAsia="Times New Roman" w:hAnsi="Times New Roman" w:cs="Times New Roman"/>
          <w:sz w:val="24"/>
          <w:szCs w:val="24"/>
        </w:rPr>
        <w:lastRenderedPageBreak/>
        <w:t>Lai gan mazturīgākie iedzīvotāji proporcionāli tērē vairāk pārtikai nekā turīgākie iedzīvotāji, rēķinot absolūtos skaitļos</w:t>
      </w:r>
      <w:r w:rsidR="00BA0A04">
        <w:rPr>
          <w:rFonts w:ascii="Times New Roman" w:eastAsia="Times New Roman" w:hAnsi="Times New Roman" w:cs="Times New Roman"/>
          <w:sz w:val="24"/>
          <w:szCs w:val="24"/>
        </w:rPr>
        <w:t>,</w:t>
      </w:r>
      <w:r w:rsidRPr="00D928CD">
        <w:rPr>
          <w:rFonts w:ascii="Times New Roman" w:eastAsia="Times New Roman" w:hAnsi="Times New Roman" w:cs="Times New Roman"/>
          <w:sz w:val="24"/>
          <w:szCs w:val="24"/>
        </w:rPr>
        <w:t xml:space="preserve"> lielāku ieguvumu no samazinātās likmes pārtikas produktiem iegūtu tieši turīgākās mājsaimniecības.</w:t>
      </w:r>
    </w:p>
    <w:p w14:paraId="48B914B2" w14:textId="023BC3BE" w:rsidR="003F7396" w:rsidRPr="00D928CD" w:rsidRDefault="003F7396" w:rsidP="003F7396">
      <w:pPr>
        <w:suppressAutoHyphens/>
        <w:spacing w:after="0" w:line="240" w:lineRule="auto"/>
        <w:ind w:firstLine="720"/>
        <w:jc w:val="both"/>
        <w:rPr>
          <w:rFonts w:ascii="Times New Roman" w:eastAsia="Times New Roman" w:hAnsi="Times New Roman" w:cs="Times New Roman"/>
          <w:sz w:val="24"/>
          <w:szCs w:val="24"/>
        </w:rPr>
      </w:pPr>
      <w:r w:rsidRPr="00D928CD">
        <w:rPr>
          <w:rFonts w:ascii="Times New Roman" w:eastAsia="Times New Roman" w:hAnsi="Times New Roman" w:cs="Times New Roman"/>
          <w:sz w:val="24"/>
          <w:szCs w:val="24"/>
        </w:rPr>
        <w:t>Arī veiktajā PVN sistēmas vērtējumā Nīderlandē</w:t>
      </w:r>
      <w:r w:rsidRPr="00D928CD">
        <w:rPr>
          <w:rStyle w:val="FootnoteReference"/>
          <w:rFonts w:ascii="Times New Roman" w:eastAsia="Times New Roman" w:hAnsi="Times New Roman" w:cs="Times New Roman"/>
          <w:sz w:val="24"/>
          <w:szCs w:val="24"/>
        </w:rPr>
        <w:footnoteReference w:id="9"/>
      </w:r>
      <w:r w:rsidRPr="00D928CD">
        <w:rPr>
          <w:rFonts w:ascii="Times New Roman" w:eastAsia="Times New Roman" w:hAnsi="Times New Roman" w:cs="Times New Roman"/>
          <w:sz w:val="24"/>
          <w:szCs w:val="24"/>
        </w:rPr>
        <w:t xml:space="preserve"> secināts, ka sociāli labāk nodrošinātās mājsaimniecības iegūst vairāk no </w:t>
      </w:r>
      <w:r w:rsidRPr="00924A1C">
        <w:rPr>
          <w:rFonts w:ascii="Times New Roman" w:eastAsia="Times New Roman" w:hAnsi="Times New Roman" w:cs="Times New Roman"/>
          <w:sz w:val="24"/>
          <w:szCs w:val="24"/>
        </w:rPr>
        <w:t xml:space="preserve">samazinātās </w:t>
      </w:r>
      <w:r w:rsidRPr="00D928CD">
        <w:rPr>
          <w:rFonts w:ascii="Times New Roman" w:eastAsia="Times New Roman" w:hAnsi="Times New Roman" w:cs="Times New Roman"/>
          <w:sz w:val="24"/>
          <w:szCs w:val="24"/>
        </w:rPr>
        <w:t xml:space="preserve">PVN likmes, kā mājsaimniecības ar zemākiem ienākumiem. Sociāli labāk nodrošinātās mājsaimniecības iegādājas dārgākus pārtikas produktus, biežāk ēd ārpus mājas un vairāk izmet pārtiku ārā. Tādējādi var secināt, ka samazinātā likme ir neatbilstošs instruments, lai mazinātu PVN slogu </w:t>
      </w:r>
      <w:r w:rsidR="001004E6">
        <w:rPr>
          <w:rFonts w:ascii="Times New Roman" w:eastAsia="Times New Roman" w:hAnsi="Times New Roman" w:cs="Times New Roman"/>
          <w:sz w:val="24"/>
          <w:szCs w:val="24"/>
        </w:rPr>
        <w:t xml:space="preserve">iedzīvotāju </w:t>
      </w:r>
      <w:r w:rsidRPr="00D928CD">
        <w:rPr>
          <w:rFonts w:ascii="Times New Roman" w:eastAsia="Times New Roman" w:hAnsi="Times New Roman" w:cs="Times New Roman"/>
          <w:sz w:val="24"/>
          <w:szCs w:val="24"/>
        </w:rPr>
        <w:t>grupām ar zemu ienākumu līmeni.</w:t>
      </w:r>
    </w:p>
    <w:p w14:paraId="275DAFA1" w14:textId="1AC75D08" w:rsidR="00671433" w:rsidRPr="005F5837" w:rsidRDefault="00671433" w:rsidP="006C2A0C">
      <w:pPr>
        <w:spacing w:after="0"/>
        <w:ind w:firstLine="720"/>
        <w:jc w:val="both"/>
        <w:rPr>
          <w:rFonts w:ascii="Times New Roman" w:eastAsia="Times New Roman" w:hAnsi="Times New Roman" w:cs="Times New Roman"/>
          <w:sz w:val="24"/>
          <w:szCs w:val="24"/>
        </w:rPr>
      </w:pPr>
      <w:r w:rsidRPr="005F5837">
        <w:rPr>
          <w:rFonts w:ascii="Times New Roman" w:eastAsia="Times New Roman" w:hAnsi="Times New Roman" w:cs="Times New Roman"/>
          <w:sz w:val="24"/>
          <w:szCs w:val="24"/>
        </w:rPr>
        <w:t xml:space="preserve">Savukārt </w:t>
      </w:r>
      <w:r w:rsidR="0094262A" w:rsidRPr="005F5837">
        <w:rPr>
          <w:rFonts w:ascii="Times New Roman" w:eastAsia="Times New Roman" w:hAnsi="Times New Roman" w:cs="Times New Roman"/>
          <w:sz w:val="24"/>
          <w:szCs w:val="24"/>
        </w:rPr>
        <w:t xml:space="preserve">pakalpojumiem, </w:t>
      </w:r>
      <w:r w:rsidRPr="005F5837">
        <w:rPr>
          <w:rFonts w:ascii="Times New Roman" w:eastAsia="Times New Roman" w:hAnsi="Times New Roman" w:cs="Times New Roman"/>
          <w:sz w:val="24"/>
          <w:szCs w:val="24"/>
        </w:rPr>
        <w:t xml:space="preserve">kam tiek piemērota samazinātā PVN likme vai </w:t>
      </w:r>
      <w:r w:rsidR="00BE4EE4" w:rsidRPr="005F5837">
        <w:rPr>
          <w:rFonts w:ascii="Times New Roman" w:eastAsia="Times New Roman" w:hAnsi="Times New Roman" w:cs="Times New Roman"/>
          <w:sz w:val="24"/>
          <w:szCs w:val="24"/>
        </w:rPr>
        <w:t>pi</w:t>
      </w:r>
      <w:r w:rsidR="00F14DC1" w:rsidRPr="005F5837">
        <w:rPr>
          <w:rFonts w:ascii="Times New Roman" w:eastAsia="Times New Roman" w:hAnsi="Times New Roman" w:cs="Times New Roman"/>
          <w:sz w:val="24"/>
          <w:szCs w:val="24"/>
        </w:rPr>
        <w:t>e</w:t>
      </w:r>
      <w:r w:rsidR="00BE4EE4" w:rsidRPr="005F5837">
        <w:rPr>
          <w:rFonts w:ascii="Times New Roman" w:eastAsia="Times New Roman" w:hAnsi="Times New Roman" w:cs="Times New Roman"/>
          <w:sz w:val="24"/>
          <w:szCs w:val="24"/>
        </w:rPr>
        <w:t>mērots nodokļa atvieglojums</w:t>
      </w:r>
      <w:r w:rsidR="0094262A" w:rsidRPr="005F5837">
        <w:rPr>
          <w:rFonts w:ascii="Times New Roman" w:eastAsia="Times New Roman" w:hAnsi="Times New Roman" w:cs="Times New Roman"/>
          <w:sz w:val="24"/>
          <w:szCs w:val="24"/>
        </w:rPr>
        <w:t xml:space="preserve"> - mājokļa uzturēšanai, transporta pakalpojumiem, veselībai, </w:t>
      </w:r>
      <w:r w:rsidRPr="005F5837">
        <w:rPr>
          <w:rFonts w:ascii="Times New Roman" w:eastAsia="Times New Roman" w:hAnsi="Times New Roman" w:cs="Times New Roman"/>
          <w:sz w:val="24"/>
          <w:szCs w:val="24"/>
        </w:rPr>
        <w:t xml:space="preserve"> </w:t>
      </w:r>
      <w:r w:rsidR="005F6911" w:rsidRPr="005F5837">
        <w:rPr>
          <w:rFonts w:ascii="Times New Roman" w:eastAsia="Times New Roman" w:hAnsi="Times New Roman" w:cs="Times New Roman"/>
          <w:sz w:val="24"/>
          <w:szCs w:val="24"/>
        </w:rPr>
        <w:t xml:space="preserve">kas ir arī mājsaimniecību </w:t>
      </w:r>
      <w:r w:rsidR="00DB3C26" w:rsidRPr="005F5837">
        <w:rPr>
          <w:rFonts w:ascii="Times New Roman" w:eastAsia="Times New Roman" w:hAnsi="Times New Roman" w:cs="Times New Roman"/>
          <w:sz w:val="24"/>
          <w:szCs w:val="24"/>
        </w:rPr>
        <w:t xml:space="preserve">vieni no </w:t>
      </w:r>
      <w:r w:rsidR="005F6911" w:rsidRPr="005F5837">
        <w:rPr>
          <w:rFonts w:ascii="Times New Roman" w:eastAsia="Times New Roman" w:hAnsi="Times New Roman" w:cs="Times New Roman"/>
          <w:sz w:val="24"/>
          <w:szCs w:val="24"/>
        </w:rPr>
        <w:t>primār</w:t>
      </w:r>
      <w:r w:rsidR="00DB3C26" w:rsidRPr="005F5837">
        <w:rPr>
          <w:rFonts w:ascii="Times New Roman" w:eastAsia="Times New Roman" w:hAnsi="Times New Roman" w:cs="Times New Roman"/>
          <w:sz w:val="24"/>
          <w:szCs w:val="24"/>
        </w:rPr>
        <w:t>aj</w:t>
      </w:r>
      <w:r w:rsidR="005F6911" w:rsidRPr="005F5837">
        <w:rPr>
          <w:rFonts w:ascii="Times New Roman" w:eastAsia="Times New Roman" w:hAnsi="Times New Roman" w:cs="Times New Roman"/>
          <w:sz w:val="24"/>
          <w:szCs w:val="24"/>
        </w:rPr>
        <w:t>ie</w:t>
      </w:r>
      <w:r w:rsidR="00DB3C26" w:rsidRPr="005F5837">
        <w:rPr>
          <w:rFonts w:ascii="Times New Roman" w:eastAsia="Times New Roman" w:hAnsi="Times New Roman" w:cs="Times New Roman"/>
          <w:sz w:val="24"/>
          <w:szCs w:val="24"/>
        </w:rPr>
        <w:t>m</w:t>
      </w:r>
      <w:r w:rsidR="005F6911" w:rsidRPr="005F5837">
        <w:rPr>
          <w:rFonts w:ascii="Times New Roman" w:eastAsia="Times New Roman" w:hAnsi="Times New Roman" w:cs="Times New Roman"/>
          <w:sz w:val="24"/>
          <w:szCs w:val="24"/>
        </w:rPr>
        <w:t xml:space="preserve"> izdevumi</w:t>
      </w:r>
      <w:r w:rsidR="00DB3C26" w:rsidRPr="005F5837">
        <w:rPr>
          <w:rFonts w:ascii="Times New Roman" w:eastAsia="Times New Roman" w:hAnsi="Times New Roman" w:cs="Times New Roman"/>
          <w:sz w:val="24"/>
          <w:szCs w:val="24"/>
        </w:rPr>
        <w:t>em</w:t>
      </w:r>
      <w:r w:rsidR="005F6911" w:rsidRPr="005F5837">
        <w:rPr>
          <w:rFonts w:ascii="Times New Roman" w:eastAsia="Times New Roman" w:hAnsi="Times New Roman" w:cs="Times New Roman"/>
          <w:sz w:val="24"/>
          <w:szCs w:val="24"/>
        </w:rPr>
        <w:t xml:space="preserve">, </w:t>
      </w:r>
      <w:r w:rsidR="00F14DC1" w:rsidRPr="005F5837">
        <w:rPr>
          <w:rFonts w:ascii="Times New Roman" w:eastAsia="Times New Roman" w:hAnsi="Times New Roman" w:cs="Times New Roman"/>
          <w:sz w:val="24"/>
          <w:szCs w:val="24"/>
        </w:rPr>
        <w:t xml:space="preserve">mazturīgās </w:t>
      </w:r>
      <w:r w:rsidR="0094262A" w:rsidRPr="005F5837">
        <w:rPr>
          <w:rFonts w:ascii="Times New Roman" w:eastAsia="Times New Roman" w:hAnsi="Times New Roman" w:cs="Times New Roman"/>
          <w:sz w:val="24"/>
          <w:szCs w:val="24"/>
        </w:rPr>
        <w:t xml:space="preserve">un turīgākās </w:t>
      </w:r>
      <w:r w:rsidR="00F14DC1" w:rsidRPr="005F5837">
        <w:rPr>
          <w:rFonts w:ascii="Times New Roman" w:eastAsia="Times New Roman" w:hAnsi="Times New Roman" w:cs="Times New Roman"/>
          <w:sz w:val="24"/>
          <w:szCs w:val="24"/>
        </w:rPr>
        <w:t xml:space="preserve">mājsaimniecības </w:t>
      </w:r>
      <w:r w:rsidR="0094262A" w:rsidRPr="005F5837">
        <w:rPr>
          <w:rFonts w:ascii="Times New Roman" w:eastAsia="Times New Roman" w:hAnsi="Times New Roman" w:cs="Times New Roman"/>
          <w:sz w:val="24"/>
          <w:szCs w:val="24"/>
        </w:rPr>
        <w:t xml:space="preserve">proporcionāli </w:t>
      </w:r>
      <w:r w:rsidR="00F14DC1" w:rsidRPr="005F5837">
        <w:rPr>
          <w:rFonts w:ascii="Times New Roman" w:eastAsia="Times New Roman" w:hAnsi="Times New Roman" w:cs="Times New Roman"/>
          <w:sz w:val="24"/>
          <w:szCs w:val="24"/>
        </w:rPr>
        <w:t xml:space="preserve">tērē </w:t>
      </w:r>
      <w:r w:rsidR="0094262A" w:rsidRPr="005F5837">
        <w:rPr>
          <w:rFonts w:ascii="Times New Roman" w:eastAsia="Times New Roman" w:hAnsi="Times New Roman" w:cs="Times New Roman"/>
          <w:sz w:val="24"/>
          <w:szCs w:val="24"/>
        </w:rPr>
        <w:t xml:space="preserve">vienlīdzīgi (attiecīgi </w:t>
      </w:r>
      <w:r w:rsidRPr="005F5837">
        <w:rPr>
          <w:rFonts w:ascii="Times New Roman" w:eastAsia="Times New Roman" w:hAnsi="Times New Roman" w:cs="Times New Roman"/>
          <w:sz w:val="24"/>
          <w:szCs w:val="24"/>
        </w:rPr>
        <w:t>34,7%</w:t>
      </w:r>
      <w:r w:rsidR="00F14DC1" w:rsidRPr="005F5837">
        <w:rPr>
          <w:rFonts w:ascii="Times New Roman" w:eastAsia="Times New Roman" w:hAnsi="Times New Roman" w:cs="Times New Roman"/>
          <w:sz w:val="24"/>
          <w:szCs w:val="24"/>
        </w:rPr>
        <w:t xml:space="preserve">, </w:t>
      </w:r>
      <w:r w:rsidR="0094262A" w:rsidRPr="005F5837">
        <w:rPr>
          <w:rFonts w:ascii="Times New Roman" w:eastAsia="Times New Roman" w:hAnsi="Times New Roman" w:cs="Times New Roman"/>
          <w:sz w:val="24"/>
          <w:szCs w:val="24"/>
        </w:rPr>
        <w:t>un</w:t>
      </w:r>
      <w:r w:rsidR="00F14DC1" w:rsidRPr="005F5837">
        <w:rPr>
          <w:rFonts w:ascii="Times New Roman" w:eastAsia="Times New Roman" w:hAnsi="Times New Roman" w:cs="Times New Roman"/>
          <w:sz w:val="24"/>
          <w:szCs w:val="24"/>
        </w:rPr>
        <w:t xml:space="preserve"> 34,2%</w:t>
      </w:r>
      <w:r w:rsidR="0094262A" w:rsidRPr="005F5837">
        <w:rPr>
          <w:rFonts w:ascii="Times New Roman" w:eastAsia="Times New Roman" w:hAnsi="Times New Roman" w:cs="Times New Roman"/>
          <w:sz w:val="24"/>
          <w:szCs w:val="24"/>
        </w:rPr>
        <w:t>)</w:t>
      </w:r>
      <w:r w:rsidR="00F14DC1" w:rsidRPr="005F5837">
        <w:rPr>
          <w:rFonts w:ascii="Times New Roman" w:eastAsia="Times New Roman" w:hAnsi="Times New Roman" w:cs="Times New Roman"/>
          <w:sz w:val="24"/>
          <w:szCs w:val="24"/>
        </w:rPr>
        <w:t>.</w:t>
      </w:r>
      <w:r w:rsidR="00E37800" w:rsidRPr="005F5837">
        <w:rPr>
          <w:rFonts w:ascii="Times New Roman" w:eastAsia="Times New Roman" w:hAnsi="Times New Roman" w:cs="Times New Roman"/>
          <w:sz w:val="24"/>
          <w:szCs w:val="24"/>
        </w:rPr>
        <w:t xml:space="preserve"> Taču</w:t>
      </w:r>
      <w:r w:rsidR="004A3D63">
        <w:rPr>
          <w:rFonts w:ascii="Times New Roman" w:eastAsia="Times New Roman" w:hAnsi="Times New Roman" w:cs="Times New Roman"/>
          <w:sz w:val="24"/>
          <w:szCs w:val="24"/>
        </w:rPr>
        <w:t>,</w:t>
      </w:r>
      <w:r w:rsidR="00E37800" w:rsidRPr="005F5837">
        <w:rPr>
          <w:rFonts w:ascii="Times New Roman" w:eastAsia="Times New Roman" w:hAnsi="Times New Roman" w:cs="Times New Roman"/>
          <w:sz w:val="24"/>
          <w:szCs w:val="24"/>
        </w:rPr>
        <w:t xml:space="preserve"> rēķinot absolūtos skaitļos</w:t>
      </w:r>
      <w:r w:rsidR="004A3D63">
        <w:rPr>
          <w:rFonts w:ascii="Times New Roman" w:eastAsia="Times New Roman" w:hAnsi="Times New Roman" w:cs="Times New Roman"/>
          <w:sz w:val="24"/>
          <w:szCs w:val="24"/>
        </w:rPr>
        <w:t>,</w:t>
      </w:r>
      <w:r w:rsidR="00E37800" w:rsidRPr="005F5837">
        <w:rPr>
          <w:rFonts w:ascii="Times New Roman" w:eastAsia="Times New Roman" w:hAnsi="Times New Roman" w:cs="Times New Roman"/>
          <w:sz w:val="24"/>
          <w:szCs w:val="24"/>
        </w:rPr>
        <w:t xml:space="preserve"> </w:t>
      </w:r>
      <w:r w:rsidR="00F65183" w:rsidRPr="005F5837">
        <w:rPr>
          <w:rFonts w:ascii="Times New Roman" w:eastAsia="Times New Roman" w:hAnsi="Times New Roman" w:cs="Times New Roman"/>
          <w:sz w:val="24"/>
          <w:szCs w:val="24"/>
        </w:rPr>
        <w:t>turīgākās mājsaimniecības patērē vairāk kā mazāk nodrošinātās m</w:t>
      </w:r>
      <w:r w:rsidR="00DC1106">
        <w:rPr>
          <w:rFonts w:ascii="Times New Roman" w:eastAsia="Times New Roman" w:hAnsi="Times New Roman" w:cs="Times New Roman"/>
          <w:sz w:val="24"/>
          <w:szCs w:val="24"/>
        </w:rPr>
        <w:t>ājsai</w:t>
      </w:r>
      <w:r w:rsidR="00F65183" w:rsidRPr="005F5837">
        <w:rPr>
          <w:rFonts w:ascii="Times New Roman" w:eastAsia="Times New Roman" w:hAnsi="Times New Roman" w:cs="Times New Roman"/>
          <w:sz w:val="24"/>
          <w:szCs w:val="24"/>
        </w:rPr>
        <w:t>mniec</w:t>
      </w:r>
      <w:r w:rsidR="008E5A95" w:rsidRPr="005F5837">
        <w:rPr>
          <w:rFonts w:ascii="Times New Roman" w:eastAsia="Times New Roman" w:hAnsi="Times New Roman" w:cs="Times New Roman"/>
          <w:sz w:val="24"/>
          <w:szCs w:val="24"/>
        </w:rPr>
        <w:t>ības, kas ļauj secināt, ka turīgākie iedzīvotāji</w:t>
      </w:r>
      <w:r w:rsidR="00DC1106">
        <w:rPr>
          <w:rFonts w:ascii="Times New Roman" w:eastAsia="Times New Roman" w:hAnsi="Times New Roman" w:cs="Times New Roman"/>
          <w:sz w:val="24"/>
          <w:szCs w:val="24"/>
        </w:rPr>
        <w:t>,</w:t>
      </w:r>
      <w:r w:rsidR="008E5A95" w:rsidRPr="005F5837">
        <w:rPr>
          <w:rFonts w:ascii="Times New Roman" w:eastAsia="Times New Roman" w:hAnsi="Times New Roman" w:cs="Times New Roman"/>
          <w:sz w:val="24"/>
          <w:szCs w:val="24"/>
        </w:rPr>
        <w:t xml:space="preserve"> visticamāk</w:t>
      </w:r>
      <w:r w:rsidR="00DC1106">
        <w:rPr>
          <w:rFonts w:ascii="Times New Roman" w:eastAsia="Times New Roman" w:hAnsi="Times New Roman" w:cs="Times New Roman"/>
          <w:sz w:val="24"/>
          <w:szCs w:val="24"/>
        </w:rPr>
        <w:t>,</w:t>
      </w:r>
      <w:r w:rsidR="008E5A95" w:rsidRPr="005F5837">
        <w:rPr>
          <w:rFonts w:ascii="Times New Roman" w:eastAsia="Times New Roman" w:hAnsi="Times New Roman" w:cs="Times New Roman"/>
          <w:sz w:val="24"/>
          <w:szCs w:val="24"/>
        </w:rPr>
        <w:t xml:space="preserve"> iegādājas dārgākas preces un pakalpojumus.</w:t>
      </w:r>
    </w:p>
    <w:p w14:paraId="6E3CC465" w14:textId="4F370E0A" w:rsidR="006C2A0C" w:rsidRDefault="00A92BFE" w:rsidP="006C2A0C">
      <w:pPr>
        <w:spacing w:after="0"/>
        <w:ind w:firstLine="720"/>
        <w:jc w:val="both"/>
        <w:rPr>
          <w:rFonts w:ascii="Times New Roman" w:hAnsi="Times New Roman" w:cs="Times New Roman"/>
          <w:sz w:val="24"/>
          <w:szCs w:val="24"/>
        </w:rPr>
      </w:pPr>
      <w:r>
        <w:rPr>
          <w:rFonts w:ascii="Times New Roman" w:eastAsia="Times New Roman" w:hAnsi="Times New Roman" w:cs="Times New Roman"/>
          <w:sz w:val="24"/>
          <w:szCs w:val="24"/>
          <w:u w:val="single"/>
        </w:rPr>
        <w:t>Mājokļa uzturēšanai</w:t>
      </w:r>
      <w:r>
        <w:rPr>
          <w:rStyle w:val="FootnoteReference"/>
          <w:rFonts w:ascii="Times New Roman" w:eastAsia="Times New Roman" w:hAnsi="Times New Roman" w:cs="Times New Roman"/>
          <w:sz w:val="24"/>
          <w:szCs w:val="24"/>
          <w:u w:val="single"/>
        </w:rPr>
        <w:footnoteReference w:id="10"/>
      </w:r>
      <w:r w:rsidR="004A3F3E" w:rsidRPr="004A3F3E">
        <w:rPr>
          <w:rFonts w:ascii="Times New Roman" w:eastAsia="Times New Roman" w:hAnsi="Times New Roman" w:cs="Times New Roman"/>
          <w:sz w:val="24"/>
          <w:szCs w:val="24"/>
        </w:rPr>
        <w:t xml:space="preserve">pirmā </w:t>
      </w:r>
      <w:proofErr w:type="spellStart"/>
      <w:r w:rsidR="004A3F3E" w:rsidRPr="004A3F3E">
        <w:rPr>
          <w:rFonts w:ascii="Times New Roman" w:eastAsia="Times New Roman" w:hAnsi="Times New Roman" w:cs="Times New Roman"/>
          <w:sz w:val="24"/>
          <w:szCs w:val="24"/>
        </w:rPr>
        <w:t>kvintiļu</w:t>
      </w:r>
      <w:proofErr w:type="spellEnd"/>
      <w:r w:rsidR="004A3F3E" w:rsidRPr="004A3F3E">
        <w:rPr>
          <w:rFonts w:ascii="Times New Roman" w:eastAsia="Times New Roman" w:hAnsi="Times New Roman" w:cs="Times New Roman"/>
          <w:sz w:val="24"/>
          <w:szCs w:val="24"/>
        </w:rPr>
        <w:t xml:space="preserve"> grupa novirzīja 20,5%. Savukārt piektā </w:t>
      </w:r>
      <w:proofErr w:type="spellStart"/>
      <w:r w:rsidR="004A3F3E" w:rsidRPr="004A3F3E">
        <w:rPr>
          <w:rFonts w:ascii="Times New Roman" w:eastAsia="Times New Roman" w:hAnsi="Times New Roman" w:cs="Times New Roman"/>
          <w:sz w:val="24"/>
          <w:szCs w:val="24"/>
        </w:rPr>
        <w:t>kvintiļu</w:t>
      </w:r>
      <w:proofErr w:type="spellEnd"/>
      <w:r w:rsidR="004A3F3E" w:rsidRPr="004A3F3E">
        <w:rPr>
          <w:rFonts w:ascii="Times New Roman" w:eastAsia="Times New Roman" w:hAnsi="Times New Roman" w:cs="Times New Roman"/>
          <w:sz w:val="24"/>
          <w:szCs w:val="24"/>
        </w:rPr>
        <w:t xml:space="preserve"> grupa mēnesī mājokļa uzturēšanai novirzīja 13,3%. </w:t>
      </w:r>
      <w:r w:rsidR="006C2A0C" w:rsidRPr="00D928CD">
        <w:rPr>
          <w:rFonts w:ascii="Times New Roman" w:eastAsia="Times New Roman" w:hAnsi="Times New Roman" w:cs="Times New Roman"/>
          <w:sz w:val="24"/>
          <w:szCs w:val="24"/>
        </w:rPr>
        <w:t xml:space="preserve">Tā kā izdevumi par mājokli veido proporcionāli lielāku daļu no rīcībā esošiem ienākumiem tieši mazturīgāko iedzīvotāju grupā, atvieglojums par mājokļa uzturēšanu veic arī daļēji sociālu funkciju. Vienlaicīgi gan jāatzīmē, ka šajā gadījumā turīgāki iedzīvotāji, visticamāk, dzīvo lielākos un uzturēšanā dārgākos mājokļos, tādējādi gūstot lielāku labumu absolūtos skaitļos, nekā mazturīgie iedzīvotāji. </w:t>
      </w:r>
    </w:p>
    <w:p w14:paraId="7C3C1FA9" w14:textId="4154B1A8" w:rsidR="004A3F3E" w:rsidRDefault="0079786A" w:rsidP="004A3F3E">
      <w:pPr>
        <w:suppressAutoHyphen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w:t>
      </w:r>
      <w:r w:rsidRPr="00D928CD">
        <w:rPr>
          <w:rFonts w:ascii="Times New Roman" w:eastAsia="Times New Roman" w:hAnsi="Times New Roman" w:cs="Times New Roman"/>
          <w:sz w:val="24"/>
          <w:szCs w:val="24"/>
          <w:u w:val="single"/>
        </w:rPr>
        <w:t>ransporta pakalpojumiem</w:t>
      </w:r>
      <w:r w:rsidRPr="00D928CD">
        <w:rPr>
          <w:rFonts w:ascii="Times New Roman" w:eastAsia="Times New Roman" w:hAnsi="Times New Roman" w:cs="Times New Roman"/>
          <w:sz w:val="24"/>
          <w:szCs w:val="24"/>
        </w:rPr>
        <w:t xml:space="preserve"> </w:t>
      </w:r>
      <w:r w:rsidR="004A3F3E" w:rsidRPr="00D928CD">
        <w:rPr>
          <w:rFonts w:ascii="Times New Roman" w:eastAsia="Times New Roman" w:hAnsi="Times New Roman" w:cs="Times New Roman"/>
          <w:sz w:val="24"/>
          <w:szCs w:val="24"/>
        </w:rPr>
        <w:t>1. </w:t>
      </w:r>
      <w:proofErr w:type="spellStart"/>
      <w:r w:rsidR="004A3F3E" w:rsidRPr="00D928CD">
        <w:rPr>
          <w:rFonts w:ascii="Times New Roman" w:eastAsia="Times New Roman" w:hAnsi="Times New Roman" w:cs="Times New Roman"/>
          <w:sz w:val="24"/>
          <w:szCs w:val="24"/>
        </w:rPr>
        <w:t>kvintilē</w:t>
      </w:r>
      <w:proofErr w:type="spellEnd"/>
      <w:r w:rsidR="004A3F3E" w:rsidRPr="00D928CD">
        <w:rPr>
          <w:rFonts w:ascii="Times New Roman" w:eastAsia="Times New Roman" w:hAnsi="Times New Roman" w:cs="Times New Roman"/>
          <w:sz w:val="24"/>
          <w:szCs w:val="24"/>
        </w:rPr>
        <w:t xml:space="preserve"> klasificētie iedzīvotāji mēnesī tērē vidēji 15,6 </w:t>
      </w:r>
      <w:proofErr w:type="spellStart"/>
      <w:r w:rsidR="004A3F3E" w:rsidRPr="00D928CD">
        <w:rPr>
          <w:rFonts w:ascii="Times New Roman" w:eastAsia="Times New Roman" w:hAnsi="Times New Roman" w:cs="Times New Roman"/>
          <w:i/>
          <w:sz w:val="24"/>
          <w:szCs w:val="24"/>
        </w:rPr>
        <w:t>euro</w:t>
      </w:r>
      <w:proofErr w:type="spellEnd"/>
      <w:r w:rsidR="004A3F3E" w:rsidRPr="00D928CD">
        <w:rPr>
          <w:rFonts w:ascii="Times New Roman" w:eastAsia="Times New Roman" w:hAnsi="Times New Roman" w:cs="Times New Roman"/>
          <w:sz w:val="24"/>
          <w:szCs w:val="24"/>
        </w:rPr>
        <w:t>, salīdzinājumam 5. </w:t>
      </w:r>
      <w:proofErr w:type="spellStart"/>
      <w:r w:rsidR="004A3F3E" w:rsidRPr="00D928CD">
        <w:rPr>
          <w:rFonts w:ascii="Times New Roman" w:eastAsia="Times New Roman" w:hAnsi="Times New Roman" w:cs="Times New Roman"/>
          <w:sz w:val="24"/>
          <w:szCs w:val="24"/>
        </w:rPr>
        <w:t>kvintilē</w:t>
      </w:r>
      <w:proofErr w:type="spellEnd"/>
      <w:r w:rsidR="004A3F3E" w:rsidRPr="00D928CD">
        <w:rPr>
          <w:rFonts w:ascii="Times New Roman" w:eastAsia="Times New Roman" w:hAnsi="Times New Roman" w:cs="Times New Roman"/>
          <w:sz w:val="24"/>
          <w:szCs w:val="24"/>
        </w:rPr>
        <w:t xml:space="preserve"> vidējās transporta izmaksas ir 5,5 reizes augstākas, sasniedzot 86,3 </w:t>
      </w:r>
      <w:proofErr w:type="spellStart"/>
      <w:r w:rsidR="004A3F3E" w:rsidRPr="00D928CD">
        <w:rPr>
          <w:rFonts w:ascii="Times New Roman" w:eastAsia="Times New Roman" w:hAnsi="Times New Roman" w:cs="Times New Roman"/>
          <w:i/>
          <w:sz w:val="24"/>
          <w:szCs w:val="24"/>
        </w:rPr>
        <w:t>euro</w:t>
      </w:r>
      <w:proofErr w:type="spellEnd"/>
      <w:r w:rsidR="00A05513">
        <w:rPr>
          <w:rFonts w:ascii="Times New Roman" w:eastAsia="Times New Roman" w:hAnsi="Times New Roman" w:cs="Times New Roman"/>
          <w:sz w:val="24"/>
          <w:szCs w:val="24"/>
        </w:rPr>
        <w:t xml:space="preserve"> mēnesī. </w:t>
      </w:r>
      <w:r w:rsidR="004A3F3E" w:rsidRPr="00D928CD">
        <w:rPr>
          <w:rFonts w:ascii="Times New Roman" w:eastAsia="Times New Roman" w:hAnsi="Times New Roman" w:cs="Times New Roman"/>
          <w:sz w:val="24"/>
          <w:szCs w:val="24"/>
        </w:rPr>
        <w:t>Taču jāpiebilst, ka augstāku ienākumu mājsaimniecībās sabiedriskā transporta pakalpojumi</w:t>
      </w:r>
      <w:r w:rsidR="004A3F3E">
        <w:rPr>
          <w:rFonts w:ascii="Times New Roman" w:eastAsia="Times New Roman" w:hAnsi="Times New Roman" w:cs="Times New Roman"/>
          <w:sz w:val="24"/>
          <w:szCs w:val="24"/>
        </w:rPr>
        <w:t>,</w:t>
      </w:r>
      <w:r w:rsidR="004A3F3E" w:rsidRPr="00D928CD">
        <w:rPr>
          <w:rFonts w:ascii="Times New Roman" w:eastAsia="Times New Roman" w:hAnsi="Times New Roman" w:cs="Times New Roman"/>
          <w:sz w:val="24"/>
          <w:szCs w:val="24"/>
        </w:rPr>
        <w:t xml:space="preserve"> </w:t>
      </w:r>
      <w:r w:rsidR="00A05513">
        <w:rPr>
          <w:rFonts w:ascii="Times New Roman" w:eastAsia="Times New Roman" w:hAnsi="Times New Roman" w:cs="Times New Roman"/>
          <w:sz w:val="24"/>
          <w:szCs w:val="24"/>
        </w:rPr>
        <w:t xml:space="preserve">kam tiek piemērota samazinātā PVN likme, </w:t>
      </w:r>
      <w:r w:rsidR="004A3F3E" w:rsidRPr="00D928CD">
        <w:rPr>
          <w:rFonts w:ascii="Times New Roman" w:eastAsia="Times New Roman" w:hAnsi="Times New Roman" w:cs="Times New Roman"/>
          <w:sz w:val="24"/>
          <w:szCs w:val="24"/>
        </w:rPr>
        <w:t>visticamāk</w:t>
      </w:r>
      <w:r w:rsidR="004A3F3E">
        <w:rPr>
          <w:rFonts w:ascii="Times New Roman" w:eastAsia="Times New Roman" w:hAnsi="Times New Roman" w:cs="Times New Roman"/>
          <w:sz w:val="24"/>
          <w:szCs w:val="24"/>
        </w:rPr>
        <w:t>,</w:t>
      </w:r>
      <w:r w:rsidR="004A3F3E" w:rsidRPr="00D928CD">
        <w:rPr>
          <w:rFonts w:ascii="Times New Roman" w:eastAsia="Times New Roman" w:hAnsi="Times New Roman" w:cs="Times New Roman"/>
          <w:sz w:val="24"/>
          <w:szCs w:val="24"/>
        </w:rPr>
        <w:t xml:space="preserve"> tiek izmantoti retāk, biežāk pārvietojoties ar privātajiem auto, kam</w:t>
      </w:r>
      <w:r w:rsidR="00A05513">
        <w:rPr>
          <w:rFonts w:ascii="Times New Roman" w:eastAsia="Times New Roman" w:hAnsi="Times New Roman" w:cs="Times New Roman"/>
          <w:sz w:val="24"/>
          <w:szCs w:val="24"/>
        </w:rPr>
        <w:t>, savukārt,</w:t>
      </w:r>
      <w:r w:rsidR="004A3F3E" w:rsidRPr="00D928CD">
        <w:rPr>
          <w:rFonts w:ascii="Times New Roman" w:eastAsia="Times New Roman" w:hAnsi="Times New Roman" w:cs="Times New Roman"/>
          <w:sz w:val="24"/>
          <w:szCs w:val="24"/>
        </w:rPr>
        <w:t xml:space="preserve"> netiek piemērota samazinātā PVN likme. Līdz ar to varētu uzskatīt, ka šajā gadījumā mājsaimniecības ar zemākiem ienākumiem saņem lielāku labumu, kā mājsaimniecības ar augstiem ieņēmumiem.</w:t>
      </w:r>
    </w:p>
    <w:p w14:paraId="350C5944" w14:textId="1C1C57E1" w:rsidR="004A3F3E" w:rsidRDefault="004A3F3E" w:rsidP="0030056D">
      <w:pPr>
        <w:suppressAutoHyphen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Veselības izdevumiem </w:t>
      </w:r>
      <w:r w:rsidRPr="00D928CD">
        <w:rPr>
          <w:rFonts w:ascii="Times New Roman" w:eastAsia="Times New Roman" w:hAnsi="Times New Roman" w:cs="Times New Roman"/>
          <w:sz w:val="24"/>
          <w:szCs w:val="24"/>
        </w:rPr>
        <w:t>1. </w:t>
      </w:r>
      <w:proofErr w:type="spellStart"/>
      <w:r w:rsidRPr="00D928CD">
        <w:rPr>
          <w:rFonts w:ascii="Times New Roman" w:eastAsia="Times New Roman" w:hAnsi="Times New Roman" w:cs="Times New Roman"/>
          <w:sz w:val="24"/>
          <w:szCs w:val="24"/>
        </w:rPr>
        <w:t>kvintilē</w:t>
      </w:r>
      <w:proofErr w:type="spellEnd"/>
      <w:r w:rsidRPr="00D928CD">
        <w:rPr>
          <w:rFonts w:ascii="Times New Roman" w:eastAsia="Times New Roman" w:hAnsi="Times New Roman" w:cs="Times New Roman"/>
          <w:sz w:val="24"/>
          <w:szCs w:val="24"/>
        </w:rPr>
        <w:t xml:space="preserve"> klasificētie iedzīvotāji mēnesī tērē 7,4 </w:t>
      </w:r>
      <w:proofErr w:type="spellStart"/>
      <w:r w:rsidRPr="00D928CD">
        <w:rPr>
          <w:rFonts w:ascii="Times New Roman" w:eastAsia="Times New Roman" w:hAnsi="Times New Roman" w:cs="Times New Roman"/>
          <w:i/>
          <w:sz w:val="24"/>
          <w:szCs w:val="24"/>
        </w:rPr>
        <w:t>euro</w:t>
      </w:r>
      <w:proofErr w:type="spellEnd"/>
      <w:r w:rsidRPr="00D928CD">
        <w:rPr>
          <w:rFonts w:ascii="Times New Roman" w:eastAsia="Times New Roman" w:hAnsi="Times New Roman" w:cs="Times New Roman"/>
          <w:sz w:val="24"/>
          <w:szCs w:val="24"/>
        </w:rPr>
        <w:t xml:space="preserve">, salīdzinot </w:t>
      </w:r>
      <w:r>
        <w:rPr>
          <w:rFonts w:ascii="Times New Roman" w:eastAsia="Times New Roman" w:hAnsi="Times New Roman" w:cs="Times New Roman"/>
          <w:sz w:val="24"/>
          <w:szCs w:val="24"/>
        </w:rPr>
        <w:t xml:space="preserve">ar </w:t>
      </w:r>
      <w:r w:rsidRPr="00D928CD">
        <w:rPr>
          <w:rFonts w:ascii="Times New Roman" w:eastAsia="Times New Roman" w:hAnsi="Times New Roman" w:cs="Times New Roman"/>
          <w:sz w:val="24"/>
          <w:szCs w:val="24"/>
        </w:rPr>
        <w:t>5. </w:t>
      </w:r>
      <w:proofErr w:type="spellStart"/>
      <w:r w:rsidRPr="00D928CD">
        <w:rPr>
          <w:rFonts w:ascii="Times New Roman" w:eastAsia="Times New Roman" w:hAnsi="Times New Roman" w:cs="Times New Roman"/>
          <w:sz w:val="24"/>
          <w:szCs w:val="24"/>
        </w:rPr>
        <w:t>kvintili</w:t>
      </w:r>
      <w:proofErr w:type="spellEnd"/>
      <w:r w:rsidRPr="00D928CD">
        <w:rPr>
          <w:rFonts w:ascii="Times New Roman" w:eastAsia="Times New Roman" w:hAnsi="Times New Roman" w:cs="Times New Roman"/>
          <w:sz w:val="24"/>
          <w:szCs w:val="24"/>
        </w:rPr>
        <w:t>, kas vidēji tērē 25,7 </w:t>
      </w:r>
      <w:proofErr w:type="spellStart"/>
      <w:r w:rsidRPr="00D928CD">
        <w:rPr>
          <w:rFonts w:ascii="Times New Roman" w:eastAsia="Times New Roman" w:hAnsi="Times New Roman" w:cs="Times New Roman"/>
          <w:i/>
          <w:sz w:val="24"/>
          <w:szCs w:val="24"/>
        </w:rPr>
        <w:t>euro</w:t>
      </w:r>
      <w:proofErr w:type="spellEnd"/>
      <w:r w:rsidRPr="00D928CD">
        <w:rPr>
          <w:rFonts w:ascii="Times New Roman" w:eastAsia="Times New Roman" w:hAnsi="Times New Roman" w:cs="Times New Roman"/>
          <w:sz w:val="24"/>
          <w:szCs w:val="24"/>
        </w:rPr>
        <w:t>.</w:t>
      </w:r>
      <w:r w:rsidR="001B71CB">
        <w:rPr>
          <w:rFonts w:ascii="Times New Roman" w:eastAsia="Times New Roman" w:hAnsi="Times New Roman" w:cs="Times New Roman"/>
          <w:sz w:val="24"/>
          <w:szCs w:val="24"/>
        </w:rPr>
        <w:t xml:space="preserve"> Savukārt</w:t>
      </w:r>
      <w:r w:rsidR="00901BD2">
        <w:rPr>
          <w:rFonts w:ascii="Times New Roman" w:eastAsia="Times New Roman" w:hAnsi="Times New Roman" w:cs="Times New Roman"/>
          <w:sz w:val="24"/>
          <w:szCs w:val="24"/>
        </w:rPr>
        <w:t>,</w:t>
      </w:r>
      <w:r w:rsidR="001B71CB">
        <w:rPr>
          <w:rFonts w:ascii="Times New Roman" w:eastAsia="Times New Roman" w:hAnsi="Times New Roman" w:cs="Times New Roman"/>
          <w:sz w:val="24"/>
          <w:szCs w:val="24"/>
        </w:rPr>
        <w:t xml:space="preserve"> rēķinot proporcionāli </w:t>
      </w:r>
      <w:r w:rsidR="00901BD2">
        <w:rPr>
          <w:rFonts w:ascii="Times New Roman" w:eastAsia="Times New Roman" w:hAnsi="Times New Roman" w:cs="Times New Roman"/>
          <w:sz w:val="24"/>
          <w:szCs w:val="24"/>
        </w:rPr>
        <w:t xml:space="preserve">no kopējiem mēneša vidējiem izdevumiem, </w:t>
      </w:r>
      <w:r w:rsidR="001B71CB">
        <w:rPr>
          <w:rFonts w:ascii="Times New Roman" w:eastAsia="Times New Roman" w:hAnsi="Times New Roman" w:cs="Times New Roman"/>
          <w:sz w:val="24"/>
          <w:szCs w:val="24"/>
        </w:rPr>
        <w:t xml:space="preserve">abas mājsaimniecību grupas novirzīja līdzvērtīgi, tas ir, 4,6% un 4,8%. </w:t>
      </w:r>
    </w:p>
    <w:p w14:paraId="32FDEB6B" w14:textId="109F2796" w:rsidR="00765229" w:rsidRPr="00D928CD" w:rsidRDefault="003D06E7" w:rsidP="00D473CC">
      <w:pPr>
        <w:suppressAutoHyphens/>
        <w:spacing w:after="0" w:line="240" w:lineRule="auto"/>
        <w:ind w:firstLine="720"/>
        <w:jc w:val="both"/>
        <w:rPr>
          <w:rFonts w:ascii="Times New Roman" w:eastAsia="Times New Roman" w:hAnsi="Times New Roman" w:cs="Times New Roman"/>
          <w:sz w:val="24"/>
          <w:szCs w:val="24"/>
        </w:rPr>
      </w:pPr>
      <w:r w:rsidRPr="00D928CD">
        <w:rPr>
          <w:rFonts w:ascii="Times New Roman" w:eastAsia="Times New Roman" w:hAnsi="Times New Roman" w:cs="Times New Roman"/>
          <w:sz w:val="24"/>
          <w:szCs w:val="24"/>
        </w:rPr>
        <w:t xml:space="preserve">Esošās samazinātās PVN likmes un atvieglojumi - ar nodokli neapliekamie pakalpojumi un preces, ir nozīmīgs atbalsts mājsaimniecībām ar zemiem </w:t>
      </w:r>
      <w:r w:rsidR="00A008D8">
        <w:rPr>
          <w:rFonts w:ascii="Times New Roman" w:eastAsia="Times New Roman" w:hAnsi="Times New Roman" w:cs="Times New Roman"/>
          <w:sz w:val="24"/>
          <w:szCs w:val="24"/>
        </w:rPr>
        <w:t>ieņēmumiem</w:t>
      </w:r>
      <w:r w:rsidR="00EE5884">
        <w:rPr>
          <w:rFonts w:ascii="Times New Roman" w:eastAsia="Times New Roman" w:hAnsi="Times New Roman" w:cs="Times New Roman"/>
          <w:sz w:val="24"/>
          <w:szCs w:val="24"/>
        </w:rPr>
        <w:t>.</w:t>
      </w:r>
      <w:r w:rsidR="00A008D8">
        <w:rPr>
          <w:rFonts w:ascii="Times New Roman" w:eastAsia="Times New Roman" w:hAnsi="Times New Roman" w:cs="Times New Roman"/>
          <w:sz w:val="24"/>
          <w:szCs w:val="24"/>
        </w:rPr>
        <w:t xml:space="preserve"> </w:t>
      </w:r>
      <w:r w:rsidR="00EB5F81">
        <w:rPr>
          <w:rFonts w:ascii="Times New Roman" w:eastAsia="Times New Roman" w:hAnsi="Times New Roman" w:cs="Times New Roman"/>
          <w:sz w:val="24"/>
          <w:szCs w:val="24"/>
        </w:rPr>
        <w:t>Taču jāatzīmē, kā</w:t>
      </w:r>
      <w:r w:rsidR="00DA1765" w:rsidRPr="00D928CD">
        <w:rPr>
          <w:rFonts w:ascii="Times New Roman" w:eastAsia="Times New Roman" w:hAnsi="Times New Roman" w:cs="Times New Roman"/>
          <w:sz w:val="24"/>
          <w:szCs w:val="24"/>
        </w:rPr>
        <w:t xml:space="preserve"> Ekonomiskās sadarbības un attīstības organizācija</w:t>
      </w:r>
      <w:r w:rsidR="006324E0" w:rsidRPr="00D928CD">
        <w:rPr>
          <w:rFonts w:ascii="Times New Roman" w:eastAsia="Times New Roman" w:hAnsi="Times New Roman" w:cs="Times New Roman"/>
          <w:sz w:val="24"/>
          <w:szCs w:val="24"/>
        </w:rPr>
        <w:t>s darba dokumentā</w:t>
      </w:r>
      <w:r w:rsidR="0047583D" w:rsidRPr="00D928CD">
        <w:rPr>
          <w:rFonts w:ascii="Times New Roman" w:eastAsia="Times New Roman" w:hAnsi="Times New Roman" w:cs="Times New Roman"/>
          <w:sz w:val="24"/>
          <w:szCs w:val="24"/>
        </w:rPr>
        <w:t xml:space="preserve"> secināts</w:t>
      </w:r>
      <w:r w:rsidR="00DA1765" w:rsidRPr="00D928CD">
        <w:rPr>
          <w:rStyle w:val="FootnoteReference"/>
          <w:rFonts w:ascii="Times New Roman" w:eastAsia="Times New Roman" w:hAnsi="Times New Roman" w:cs="Times New Roman"/>
          <w:sz w:val="24"/>
          <w:szCs w:val="24"/>
        </w:rPr>
        <w:footnoteReference w:id="11"/>
      </w:r>
      <w:r w:rsidR="004A0259" w:rsidRPr="00D928CD">
        <w:rPr>
          <w:rFonts w:ascii="Times New Roman" w:eastAsia="Times New Roman" w:hAnsi="Times New Roman" w:cs="Times New Roman"/>
          <w:sz w:val="24"/>
          <w:szCs w:val="24"/>
        </w:rPr>
        <w:t>, ka</w:t>
      </w:r>
      <w:r w:rsidR="00DA1765" w:rsidRPr="00D928CD">
        <w:rPr>
          <w:rFonts w:ascii="Times New Roman" w:eastAsia="Times New Roman" w:hAnsi="Times New Roman" w:cs="Times New Roman"/>
          <w:sz w:val="24"/>
          <w:szCs w:val="24"/>
        </w:rPr>
        <w:t xml:space="preserve"> </w:t>
      </w:r>
      <w:r w:rsidR="004A0259" w:rsidRPr="00D928CD">
        <w:rPr>
          <w:rFonts w:ascii="Times New Roman" w:eastAsia="Times New Roman" w:hAnsi="Times New Roman" w:cs="Times New Roman"/>
          <w:sz w:val="24"/>
          <w:szCs w:val="24"/>
        </w:rPr>
        <w:t>s</w:t>
      </w:r>
      <w:r w:rsidR="00765229" w:rsidRPr="00D928CD">
        <w:rPr>
          <w:rFonts w:ascii="Times New Roman" w:eastAsia="Times New Roman" w:hAnsi="Times New Roman" w:cs="Times New Roman"/>
          <w:sz w:val="24"/>
          <w:szCs w:val="24"/>
        </w:rPr>
        <w:t xml:space="preserve">ociāli labāk nodrošinātās mājsaimniecības iegūst ievērojami vairāk kā mazāk nodrošinātās mājsaimniecības, </w:t>
      </w:r>
      <w:r w:rsidR="00395382" w:rsidRPr="00D928CD">
        <w:rPr>
          <w:rFonts w:ascii="Times New Roman" w:eastAsia="Times New Roman" w:hAnsi="Times New Roman" w:cs="Times New Roman"/>
          <w:sz w:val="24"/>
          <w:szCs w:val="24"/>
        </w:rPr>
        <w:t>dažkārt</w:t>
      </w:r>
      <w:r w:rsidR="00765229" w:rsidRPr="00D928CD">
        <w:rPr>
          <w:rFonts w:ascii="Times New Roman" w:eastAsia="Times New Roman" w:hAnsi="Times New Roman" w:cs="Times New Roman"/>
          <w:sz w:val="24"/>
          <w:szCs w:val="24"/>
        </w:rPr>
        <w:t xml:space="preserve"> nodrošināto mājsaimniecību ieguvums ir tik liels</w:t>
      </w:r>
      <w:r w:rsidR="00FE0AD1" w:rsidRPr="00D928CD">
        <w:rPr>
          <w:rFonts w:ascii="Times New Roman" w:eastAsia="Times New Roman" w:hAnsi="Times New Roman" w:cs="Times New Roman"/>
          <w:sz w:val="24"/>
          <w:szCs w:val="24"/>
        </w:rPr>
        <w:t xml:space="preserve">, ka </w:t>
      </w:r>
      <w:r w:rsidR="006C2570" w:rsidRPr="00D928CD">
        <w:rPr>
          <w:rFonts w:ascii="Times New Roman" w:eastAsia="Times New Roman" w:hAnsi="Times New Roman" w:cs="Times New Roman"/>
          <w:sz w:val="24"/>
          <w:szCs w:val="24"/>
        </w:rPr>
        <w:t xml:space="preserve">samazinātai </w:t>
      </w:r>
      <w:r w:rsidR="00FE0AD1" w:rsidRPr="00D928CD">
        <w:rPr>
          <w:rFonts w:ascii="Times New Roman" w:eastAsia="Times New Roman" w:hAnsi="Times New Roman" w:cs="Times New Roman"/>
          <w:sz w:val="24"/>
          <w:szCs w:val="24"/>
        </w:rPr>
        <w:t>PVN likmei ir regresīva ietekme – nodrošināt</w:t>
      </w:r>
      <w:r w:rsidR="00E93C2A">
        <w:rPr>
          <w:rFonts w:ascii="Times New Roman" w:eastAsia="Times New Roman" w:hAnsi="Times New Roman" w:cs="Times New Roman"/>
          <w:sz w:val="24"/>
          <w:szCs w:val="24"/>
        </w:rPr>
        <w:t>ās</w:t>
      </w:r>
      <w:r w:rsidR="00FE0AD1" w:rsidRPr="00D928CD">
        <w:rPr>
          <w:rFonts w:ascii="Times New Roman" w:eastAsia="Times New Roman" w:hAnsi="Times New Roman" w:cs="Times New Roman"/>
          <w:sz w:val="24"/>
          <w:szCs w:val="24"/>
        </w:rPr>
        <w:t xml:space="preserve"> mājsaimniecīb</w:t>
      </w:r>
      <w:r w:rsidR="007106F7">
        <w:rPr>
          <w:rFonts w:ascii="Times New Roman" w:eastAsia="Times New Roman" w:hAnsi="Times New Roman" w:cs="Times New Roman"/>
          <w:sz w:val="24"/>
          <w:szCs w:val="24"/>
        </w:rPr>
        <w:t>as</w:t>
      </w:r>
      <w:r w:rsidR="00FE0AD1" w:rsidRPr="00D928CD">
        <w:rPr>
          <w:rFonts w:ascii="Times New Roman" w:eastAsia="Times New Roman" w:hAnsi="Times New Roman" w:cs="Times New Roman"/>
          <w:sz w:val="24"/>
          <w:szCs w:val="24"/>
        </w:rPr>
        <w:t xml:space="preserve"> </w:t>
      </w:r>
      <w:r w:rsidR="00BC12C0" w:rsidRPr="00D928CD">
        <w:rPr>
          <w:rFonts w:ascii="Times New Roman" w:eastAsia="Times New Roman" w:hAnsi="Times New Roman" w:cs="Times New Roman"/>
          <w:sz w:val="24"/>
          <w:szCs w:val="24"/>
        </w:rPr>
        <w:t>iegūst</w:t>
      </w:r>
      <w:r w:rsidR="00FE0AD1" w:rsidRPr="00D928CD">
        <w:rPr>
          <w:rFonts w:ascii="Times New Roman" w:eastAsia="Times New Roman" w:hAnsi="Times New Roman" w:cs="Times New Roman"/>
          <w:sz w:val="24"/>
          <w:szCs w:val="24"/>
        </w:rPr>
        <w:t xml:space="preserve"> gan absolūtā izteiksmē, gan no </w:t>
      </w:r>
      <w:r w:rsidR="006324E0" w:rsidRPr="00D928CD">
        <w:rPr>
          <w:rFonts w:ascii="Times New Roman" w:eastAsia="Times New Roman" w:hAnsi="Times New Roman" w:cs="Times New Roman"/>
          <w:sz w:val="24"/>
          <w:szCs w:val="24"/>
        </w:rPr>
        <w:t>izdevumu proporciju aspekta</w:t>
      </w:r>
      <w:r w:rsidR="00FE0AD1" w:rsidRPr="00D928CD">
        <w:rPr>
          <w:rFonts w:ascii="Times New Roman" w:eastAsia="Times New Roman" w:hAnsi="Times New Roman" w:cs="Times New Roman"/>
          <w:sz w:val="24"/>
          <w:szCs w:val="24"/>
        </w:rPr>
        <w:t>.</w:t>
      </w:r>
    </w:p>
    <w:p w14:paraId="66AC9F43" w14:textId="181BB6C5" w:rsidR="006A75E8" w:rsidRPr="00D928CD" w:rsidRDefault="004D2EAF" w:rsidP="004376D5">
      <w:pPr>
        <w:suppressAutoHyphens/>
        <w:spacing w:after="0" w:line="240" w:lineRule="auto"/>
        <w:ind w:firstLine="720"/>
        <w:jc w:val="both"/>
        <w:rPr>
          <w:rFonts w:ascii="Times New Roman" w:hAnsi="Times New Roman"/>
          <w:sz w:val="24"/>
          <w:szCs w:val="24"/>
        </w:rPr>
      </w:pPr>
      <w:r w:rsidRPr="00D928CD">
        <w:rPr>
          <w:rFonts w:ascii="Times New Roman" w:eastAsia="Times New Roman" w:hAnsi="Times New Roman" w:cs="Times New Roman"/>
          <w:sz w:val="24"/>
          <w:szCs w:val="24"/>
        </w:rPr>
        <w:t xml:space="preserve">Apkopojot PVN atvieglojumu ietekmi uz dažādām mājsaimniecību grupām, jāsecina, ka absolūtos skaitļos lielāku labumu gūst tās mājsaimniecības, kurās ir lielāki ienākumi uz vienu </w:t>
      </w:r>
      <w:r w:rsidR="007D57A3">
        <w:rPr>
          <w:rFonts w:ascii="Times New Roman" w:eastAsia="Times New Roman" w:hAnsi="Times New Roman" w:cs="Times New Roman"/>
          <w:sz w:val="24"/>
          <w:szCs w:val="24"/>
        </w:rPr>
        <w:t xml:space="preserve">mājsaimniecības </w:t>
      </w:r>
      <w:r w:rsidRPr="00D928CD">
        <w:rPr>
          <w:rFonts w:ascii="Times New Roman" w:eastAsia="Times New Roman" w:hAnsi="Times New Roman" w:cs="Times New Roman"/>
          <w:sz w:val="24"/>
          <w:szCs w:val="24"/>
        </w:rPr>
        <w:t xml:space="preserve">locekli. Kaut arī zemo ienākumu mājsaimniecībām absolūtos skaitļos </w:t>
      </w:r>
      <w:r w:rsidRPr="00D928CD">
        <w:rPr>
          <w:rFonts w:ascii="Times New Roman" w:eastAsia="Times New Roman" w:hAnsi="Times New Roman" w:cs="Times New Roman"/>
          <w:sz w:val="24"/>
          <w:szCs w:val="24"/>
        </w:rPr>
        <w:lastRenderedPageBreak/>
        <w:t xml:space="preserve">mazākais ieguvums no PVN atvieglojuma sastāda lielāku daļu no to rīcībā esošā ienākuma, jāsecina, ka lielāko daļu no valsts budžetā negūtajiem ieņēmumiem veido PVN atvieglojumu piemērošana augstāko </w:t>
      </w:r>
      <w:proofErr w:type="spellStart"/>
      <w:r w:rsidRPr="00D928CD">
        <w:rPr>
          <w:rFonts w:ascii="Times New Roman" w:eastAsia="Times New Roman" w:hAnsi="Times New Roman" w:cs="Times New Roman"/>
          <w:sz w:val="24"/>
          <w:szCs w:val="24"/>
        </w:rPr>
        <w:t>kvintiļu</w:t>
      </w:r>
      <w:proofErr w:type="spellEnd"/>
      <w:r w:rsidRPr="00D928CD">
        <w:rPr>
          <w:rFonts w:ascii="Times New Roman" w:eastAsia="Times New Roman" w:hAnsi="Times New Roman" w:cs="Times New Roman"/>
          <w:sz w:val="24"/>
          <w:szCs w:val="24"/>
        </w:rPr>
        <w:t xml:space="preserve"> mājsaimniecībām, tādējādi samazinot valsts rīcībā esošo finansējumu</w:t>
      </w:r>
      <w:r w:rsidR="009630F3" w:rsidRPr="00D928CD">
        <w:rPr>
          <w:rFonts w:ascii="Times New Roman" w:eastAsia="Times New Roman" w:hAnsi="Times New Roman" w:cs="Times New Roman"/>
          <w:sz w:val="24"/>
          <w:szCs w:val="24"/>
        </w:rPr>
        <w:t xml:space="preserve">, piemēram, </w:t>
      </w:r>
      <w:r w:rsidRPr="00D928CD">
        <w:rPr>
          <w:rFonts w:ascii="Times New Roman" w:eastAsia="Times New Roman" w:hAnsi="Times New Roman" w:cs="Times New Roman"/>
          <w:sz w:val="24"/>
          <w:szCs w:val="24"/>
        </w:rPr>
        <w:t>sociālām, veselības un drošības funkcijām.</w:t>
      </w:r>
    </w:p>
    <w:p w14:paraId="53D603FB" w14:textId="03393346" w:rsidR="002D4172" w:rsidRPr="00D928CD" w:rsidRDefault="003859D9" w:rsidP="008E680D">
      <w:pPr>
        <w:spacing w:after="0" w:line="240" w:lineRule="auto"/>
        <w:ind w:firstLine="720"/>
        <w:jc w:val="both"/>
        <w:rPr>
          <w:rFonts w:ascii="Times New Roman" w:eastAsia="Times New Roman" w:hAnsi="Times New Roman" w:cs="Times New Roman"/>
          <w:sz w:val="24"/>
          <w:szCs w:val="24"/>
        </w:rPr>
      </w:pPr>
      <w:r w:rsidRPr="008E680D">
        <w:rPr>
          <w:rFonts w:ascii="Times New Roman" w:eastAsia="Times New Roman" w:hAnsi="Times New Roman" w:cs="Times New Roman"/>
          <w:sz w:val="24"/>
          <w:szCs w:val="24"/>
        </w:rPr>
        <w:t xml:space="preserve">Līdz ar to secināms, ka </w:t>
      </w:r>
      <w:r w:rsidR="00A50DCB" w:rsidRPr="008E680D">
        <w:rPr>
          <w:rFonts w:ascii="Times New Roman" w:eastAsia="Times New Roman" w:hAnsi="Times New Roman" w:cs="Times New Roman"/>
          <w:sz w:val="24"/>
          <w:szCs w:val="24"/>
        </w:rPr>
        <w:t>samazinātās PVN likmes piemērošana pārtikas produktiem</w:t>
      </w:r>
      <w:r w:rsidR="008E7365" w:rsidRPr="008E680D">
        <w:rPr>
          <w:rFonts w:ascii="Times New Roman" w:eastAsia="Times New Roman" w:hAnsi="Times New Roman" w:cs="Times New Roman"/>
          <w:sz w:val="24"/>
          <w:szCs w:val="24"/>
        </w:rPr>
        <w:t>, lai atbalstītu mazāk turīgo iedzīvotāju grupu</w:t>
      </w:r>
      <w:r w:rsidR="009E3DD5" w:rsidRPr="008E680D">
        <w:rPr>
          <w:rFonts w:ascii="Times New Roman" w:eastAsia="Times New Roman" w:hAnsi="Times New Roman" w:cs="Times New Roman"/>
          <w:sz w:val="24"/>
          <w:szCs w:val="24"/>
        </w:rPr>
        <w:t>,</w:t>
      </w:r>
      <w:r w:rsidR="009E3DD5">
        <w:rPr>
          <w:rFonts w:ascii="Times New Roman" w:eastAsia="Times New Roman" w:hAnsi="Times New Roman" w:cs="Times New Roman"/>
          <w:sz w:val="24"/>
          <w:szCs w:val="24"/>
        </w:rPr>
        <w:t xml:space="preserve"> nav efektīvs instruments, jo</w:t>
      </w:r>
      <w:r w:rsidR="00A50DCB">
        <w:rPr>
          <w:rFonts w:ascii="Times New Roman" w:eastAsia="Times New Roman" w:hAnsi="Times New Roman" w:cs="Times New Roman"/>
          <w:sz w:val="24"/>
          <w:szCs w:val="24"/>
        </w:rPr>
        <w:t xml:space="preserve"> </w:t>
      </w:r>
      <w:r w:rsidR="007D57A3" w:rsidRPr="007D57A3">
        <w:rPr>
          <w:rFonts w:ascii="Times New Roman" w:eastAsia="Times New Roman" w:hAnsi="Times New Roman" w:cs="Times New Roman"/>
          <w:sz w:val="24"/>
          <w:szCs w:val="24"/>
        </w:rPr>
        <w:t>lielāku ieguvumu no samazinātās likmes pārtikas produktiem iegūtu tieši turīgākās mājsaimniecības</w:t>
      </w:r>
      <w:r w:rsidR="008E680D">
        <w:rPr>
          <w:rFonts w:ascii="Times New Roman" w:eastAsia="Times New Roman" w:hAnsi="Times New Roman" w:cs="Times New Roman"/>
          <w:sz w:val="24"/>
          <w:szCs w:val="24"/>
        </w:rPr>
        <w:t>.</w:t>
      </w:r>
    </w:p>
    <w:p w14:paraId="105DFC46" w14:textId="3102782D" w:rsidR="006A75E8" w:rsidRPr="006A4073" w:rsidRDefault="004D2EAF" w:rsidP="005E13A0">
      <w:pPr>
        <w:pStyle w:val="ListParagraph"/>
        <w:numPr>
          <w:ilvl w:val="0"/>
          <w:numId w:val="6"/>
        </w:numPr>
        <w:spacing w:before="480"/>
        <w:ind w:left="714" w:hanging="357"/>
        <w:contextualSpacing w:val="0"/>
        <w:jc w:val="both"/>
        <w:rPr>
          <w:rFonts w:ascii="Calibri" w:eastAsia="Calibri" w:hAnsi="Calibri" w:cs="Calibri"/>
          <w:sz w:val="28"/>
          <w:szCs w:val="28"/>
        </w:rPr>
      </w:pPr>
      <w:r w:rsidRPr="006A4073">
        <w:rPr>
          <w:rFonts w:ascii="Times New Roman" w:eastAsia="Times New Roman" w:hAnsi="Times New Roman" w:cs="Times New Roman"/>
          <w:b/>
          <w:sz w:val="28"/>
          <w:szCs w:val="28"/>
        </w:rPr>
        <w:t>PVN likmes ES</w:t>
      </w:r>
    </w:p>
    <w:p w14:paraId="00A3C886" w14:textId="780AA3CF" w:rsidR="006A75E8" w:rsidRPr="00D928CD" w:rsidRDefault="004D2EAF" w:rsidP="00A6790D">
      <w:pPr>
        <w:suppressAutoHyphens/>
        <w:spacing w:after="100" w:afterAutospacing="1" w:line="240" w:lineRule="auto"/>
        <w:ind w:firstLine="720"/>
        <w:jc w:val="both"/>
        <w:rPr>
          <w:rFonts w:ascii="Times New Roman" w:eastAsia="Times New Roman" w:hAnsi="Times New Roman" w:cs="Times New Roman"/>
          <w:sz w:val="24"/>
          <w:szCs w:val="24"/>
        </w:rPr>
      </w:pPr>
      <w:r w:rsidRPr="00D928CD">
        <w:rPr>
          <w:rFonts w:ascii="Times New Roman" w:eastAsia="Times New Roman" w:hAnsi="Times New Roman" w:cs="Times New Roman"/>
          <w:sz w:val="24"/>
          <w:szCs w:val="24"/>
        </w:rPr>
        <w:t>PVN ir viens no visvairāk regulētajiem nodokļiem ES, tomēr</w:t>
      </w:r>
      <w:r w:rsidR="00074886" w:rsidRPr="00D928CD">
        <w:rPr>
          <w:rFonts w:ascii="Times New Roman" w:eastAsia="Times New Roman" w:hAnsi="Times New Roman" w:cs="Times New Roman"/>
          <w:sz w:val="24"/>
          <w:szCs w:val="24"/>
        </w:rPr>
        <w:t>,</w:t>
      </w:r>
      <w:r w:rsidRPr="00D928CD">
        <w:rPr>
          <w:rFonts w:ascii="Times New Roman" w:eastAsia="Times New Roman" w:hAnsi="Times New Roman" w:cs="Times New Roman"/>
          <w:sz w:val="24"/>
          <w:szCs w:val="24"/>
        </w:rPr>
        <w:t xml:space="preserve"> analizējot likmes dalībvalstīs, jāsecina, ka pastāv ievērojamas atšķirības gan </w:t>
      </w:r>
      <w:r w:rsidR="00666C7B" w:rsidRPr="00D928CD">
        <w:rPr>
          <w:rFonts w:ascii="Times New Roman" w:eastAsia="Times New Roman" w:hAnsi="Times New Roman" w:cs="Times New Roman"/>
          <w:sz w:val="24"/>
          <w:szCs w:val="24"/>
        </w:rPr>
        <w:t>likmēs</w:t>
      </w:r>
      <w:r w:rsidRPr="00D928CD">
        <w:rPr>
          <w:rFonts w:ascii="Times New Roman" w:eastAsia="Times New Roman" w:hAnsi="Times New Roman" w:cs="Times New Roman"/>
          <w:sz w:val="24"/>
          <w:szCs w:val="24"/>
        </w:rPr>
        <w:t xml:space="preserve">, gan samazināto </w:t>
      </w:r>
      <w:r w:rsidR="006D78BA" w:rsidRPr="00D928CD">
        <w:rPr>
          <w:rFonts w:ascii="Times New Roman" w:eastAsia="Times New Roman" w:hAnsi="Times New Roman" w:cs="Times New Roman"/>
          <w:sz w:val="24"/>
          <w:szCs w:val="24"/>
        </w:rPr>
        <w:t>PVN</w:t>
      </w:r>
      <w:r w:rsidRPr="00D928CD">
        <w:rPr>
          <w:rFonts w:ascii="Times New Roman" w:eastAsia="Times New Roman" w:hAnsi="Times New Roman" w:cs="Times New Roman"/>
          <w:sz w:val="24"/>
          <w:szCs w:val="24"/>
        </w:rPr>
        <w:t xml:space="preserve"> likmju lietojumā.</w:t>
      </w:r>
    </w:p>
    <w:p w14:paraId="63EC5729" w14:textId="77777777" w:rsidR="006A75E8" w:rsidRPr="00391150" w:rsidRDefault="0094323B" w:rsidP="00CD430E">
      <w:pPr>
        <w:suppressAutoHyphens/>
        <w:spacing w:after="0" w:line="240" w:lineRule="auto"/>
        <w:rPr>
          <w:rFonts w:ascii="Calibri" w:eastAsia="Calibri" w:hAnsi="Calibri" w:cs="Calibri"/>
          <w:sz w:val="24"/>
          <w:szCs w:val="24"/>
        </w:rPr>
      </w:pPr>
      <w:r w:rsidRPr="00391150">
        <w:rPr>
          <w:rFonts w:ascii="Times New Roman" w:hAnsi="Times New Roman" w:cs="Times New Roman"/>
          <w:noProof/>
          <w:sz w:val="24"/>
          <w:szCs w:val="24"/>
        </w:rPr>
        <w:drawing>
          <wp:inline distT="0" distB="0" distL="0" distR="0" wp14:anchorId="7CD8BE72" wp14:editId="220F139A">
            <wp:extent cx="5230089" cy="2318919"/>
            <wp:effectExtent l="0" t="0" r="8890"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84E803B" w14:textId="77777777" w:rsidR="006A75E8" w:rsidRPr="001A229B" w:rsidRDefault="004D2EAF" w:rsidP="00C5082A">
      <w:pPr>
        <w:suppressAutoHyphens/>
        <w:spacing w:after="240" w:line="240" w:lineRule="auto"/>
        <w:rPr>
          <w:rFonts w:ascii="Calibri" w:eastAsia="Calibri" w:hAnsi="Calibri" w:cs="Calibri"/>
          <w:sz w:val="20"/>
          <w:szCs w:val="20"/>
        </w:rPr>
      </w:pPr>
      <w:r w:rsidRPr="001A229B">
        <w:rPr>
          <w:rFonts w:ascii="Times New Roman" w:eastAsia="Times New Roman" w:hAnsi="Times New Roman" w:cs="Times New Roman"/>
          <w:i/>
          <w:sz w:val="20"/>
          <w:szCs w:val="20"/>
        </w:rPr>
        <w:t xml:space="preserve">Datu avots: VAT </w:t>
      </w:r>
      <w:proofErr w:type="spellStart"/>
      <w:r w:rsidRPr="001A229B">
        <w:rPr>
          <w:rFonts w:ascii="Times New Roman" w:eastAsia="Times New Roman" w:hAnsi="Times New Roman" w:cs="Times New Roman"/>
          <w:i/>
          <w:sz w:val="20"/>
          <w:szCs w:val="20"/>
        </w:rPr>
        <w:t>Rates</w:t>
      </w:r>
      <w:proofErr w:type="spellEnd"/>
      <w:r w:rsidRPr="001A229B">
        <w:rPr>
          <w:rFonts w:ascii="Times New Roman" w:eastAsia="Times New Roman" w:hAnsi="Times New Roman" w:cs="Times New Roman"/>
          <w:i/>
          <w:sz w:val="20"/>
          <w:szCs w:val="20"/>
        </w:rPr>
        <w:t xml:space="preserve"> </w:t>
      </w:r>
      <w:proofErr w:type="spellStart"/>
      <w:r w:rsidRPr="001A229B">
        <w:rPr>
          <w:rFonts w:ascii="Times New Roman" w:eastAsia="Times New Roman" w:hAnsi="Times New Roman" w:cs="Times New Roman"/>
          <w:i/>
          <w:sz w:val="20"/>
          <w:szCs w:val="20"/>
        </w:rPr>
        <w:t>Applied</w:t>
      </w:r>
      <w:proofErr w:type="spellEnd"/>
      <w:r w:rsidRPr="001A229B">
        <w:rPr>
          <w:rFonts w:ascii="Times New Roman" w:eastAsia="Times New Roman" w:hAnsi="Times New Roman" w:cs="Times New Roman"/>
          <w:i/>
          <w:sz w:val="20"/>
          <w:szCs w:val="20"/>
        </w:rPr>
        <w:t xml:space="preserve"> </w:t>
      </w:r>
      <w:proofErr w:type="spellStart"/>
      <w:r w:rsidRPr="001A229B">
        <w:rPr>
          <w:rFonts w:ascii="Times New Roman" w:eastAsia="Times New Roman" w:hAnsi="Times New Roman" w:cs="Times New Roman"/>
          <w:i/>
          <w:sz w:val="20"/>
          <w:szCs w:val="20"/>
        </w:rPr>
        <w:t>in</w:t>
      </w:r>
      <w:proofErr w:type="spellEnd"/>
      <w:r w:rsidRPr="001A229B">
        <w:rPr>
          <w:rFonts w:ascii="Times New Roman" w:eastAsia="Times New Roman" w:hAnsi="Times New Roman" w:cs="Times New Roman"/>
          <w:i/>
          <w:sz w:val="20"/>
          <w:szCs w:val="20"/>
        </w:rPr>
        <w:t xml:space="preserve"> </w:t>
      </w:r>
      <w:proofErr w:type="spellStart"/>
      <w:r w:rsidRPr="001A229B">
        <w:rPr>
          <w:rFonts w:ascii="Times New Roman" w:eastAsia="Times New Roman" w:hAnsi="Times New Roman" w:cs="Times New Roman"/>
          <w:i/>
          <w:sz w:val="20"/>
          <w:szCs w:val="20"/>
        </w:rPr>
        <w:t>the</w:t>
      </w:r>
      <w:proofErr w:type="spellEnd"/>
      <w:r w:rsidRPr="001A229B">
        <w:rPr>
          <w:rFonts w:ascii="Times New Roman" w:eastAsia="Times New Roman" w:hAnsi="Times New Roman" w:cs="Times New Roman"/>
          <w:i/>
          <w:sz w:val="20"/>
          <w:szCs w:val="20"/>
        </w:rPr>
        <w:t xml:space="preserve"> </w:t>
      </w:r>
      <w:proofErr w:type="spellStart"/>
      <w:r w:rsidRPr="001A229B">
        <w:rPr>
          <w:rFonts w:ascii="Times New Roman" w:eastAsia="Times New Roman" w:hAnsi="Times New Roman" w:cs="Times New Roman"/>
          <w:i/>
          <w:sz w:val="20"/>
          <w:szCs w:val="20"/>
        </w:rPr>
        <w:t>Member</w:t>
      </w:r>
      <w:proofErr w:type="spellEnd"/>
      <w:r w:rsidRPr="001A229B">
        <w:rPr>
          <w:rFonts w:ascii="Times New Roman" w:eastAsia="Times New Roman" w:hAnsi="Times New Roman" w:cs="Times New Roman"/>
          <w:i/>
          <w:sz w:val="20"/>
          <w:szCs w:val="20"/>
        </w:rPr>
        <w:t xml:space="preserve"> </w:t>
      </w:r>
      <w:proofErr w:type="spellStart"/>
      <w:r w:rsidRPr="001A229B">
        <w:rPr>
          <w:rFonts w:ascii="Times New Roman" w:eastAsia="Times New Roman" w:hAnsi="Times New Roman" w:cs="Times New Roman"/>
          <w:i/>
          <w:sz w:val="20"/>
          <w:szCs w:val="20"/>
        </w:rPr>
        <w:t>States</w:t>
      </w:r>
      <w:proofErr w:type="spellEnd"/>
      <w:r w:rsidRPr="001A229B">
        <w:rPr>
          <w:rFonts w:ascii="Times New Roman" w:eastAsia="Times New Roman" w:hAnsi="Times New Roman" w:cs="Times New Roman"/>
          <w:i/>
          <w:sz w:val="20"/>
          <w:szCs w:val="20"/>
        </w:rPr>
        <w:t xml:space="preserve"> </w:t>
      </w:r>
      <w:proofErr w:type="spellStart"/>
      <w:r w:rsidRPr="001A229B">
        <w:rPr>
          <w:rFonts w:ascii="Times New Roman" w:eastAsia="Times New Roman" w:hAnsi="Times New Roman" w:cs="Times New Roman"/>
          <w:i/>
          <w:sz w:val="20"/>
          <w:szCs w:val="20"/>
        </w:rPr>
        <w:t>of</w:t>
      </w:r>
      <w:proofErr w:type="spellEnd"/>
      <w:r w:rsidRPr="001A229B">
        <w:rPr>
          <w:rFonts w:ascii="Times New Roman" w:eastAsia="Times New Roman" w:hAnsi="Times New Roman" w:cs="Times New Roman"/>
          <w:i/>
          <w:sz w:val="20"/>
          <w:szCs w:val="20"/>
        </w:rPr>
        <w:t xml:space="preserve"> </w:t>
      </w:r>
      <w:proofErr w:type="spellStart"/>
      <w:r w:rsidRPr="001A229B">
        <w:rPr>
          <w:rFonts w:ascii="Times New Roman" w:eastAsia="Times New Roman" w:hAnsi="Times New Roman" w:cs="Times New Roman"/>
          <w:i/>
          <w:sz w:val="20"/>
          <w:szCs w:val="20"/>
        </w:rPr>
        <w:t>the</w:t>
      </w:r>
      <w:proofErr w:type="spellEnd"/>
      <w:r w:rsidRPr="001A229B">
        <w:rPr>
          <w:rFonts w:ascii="Times New Roman" w:eastAsia="Times New Roman" w:hAnsi="Times New Roman" w:cs="Times New Roman"/>
          <w:i/>
          <w:sz w:val="20"/>
          <w:szCs w:val="20"/>
        </w:rPr>
        <w:t xml:space="preserve"> </w:t>
      </w:r>
      <w:proofErr w:type="spellStart"/>
      <w:r w:rsidRPr="001A229B">
        <w:rPr>
          <w:rFonts w:ascii="Times New Roman" w:eastAsia="Times New Roman" w:hAnsi="Times New Roman" w:cs="Times New Roman"/>
          <w:i/>
          <w:sz w:val="20"/>
          <w:szCs w:val="20"/>
        </w:rPr>
        <w:t>European</w:t>
      </w:r>
      <w:proofErr w:type="spellEnd"/>
      <w:r w:rsidRPr="001A229B">
        <w:rPr>
          <w:rFonts w:ascii="Times New Roman" w:eastAsia="Times New Roman" w:hAnsi="Times New Roman" w:cs="Times New Roman"/>
          <w:i/>
          <w:sz w:val="20"/>
          <w:szCs w:val="20"/>
        </w:rPr>
        <w:t xml:space="preserve"> </w:t>
      </w:r>
      <w:proofErr w:type="spellStart"/>
      <w:r w:rsidRPr="001A229B">
        <w:rPr>
          <w:rFonts w:ascii="Times New Roman" w:eastAsia="Times New Roman" w:hAnsi="Times New Roman" w:cs="Times New Roman"/>
          <w:i/>
          <w:sz w:val="20"/>
          <w:szCs w:val="20"/>
        </w:rPr>
        <w:t>Union</w:t>
      </w:r>
      <w:proofErr w:type="spellEnd"/>
      <w:r w:rsidRPr="001A229B">
        <w:rPr>
          <w:rFonts w:ascii="Times New Roman" w:eastAsia="Times New Roman" w:hAnsi="Times New Roman" w:cs="Times New Roman"/>
          <w:i/>
          <w:sz w:val="20"/>
          <w:szCs w:val="20"/>
        </w:rPr>
        <w:t xml:space="preserve">, </w:t>
      </w:r>
      <w:proofErr w:type="spellStart"/>
      <w:r w:rsidRPr="001A229B">
        <w:rPr>
          <w:rFonts w:ascii="Times New Roman" w:eastAsia="Times New Roman" w:hAnsi="Times New Roman" w:cs="Times New Roman"/>
          <w:i/>
          <w:sz w:val="20"/>
          <w:szCs w:val="20"/>
        </w:rPr>
        <w:t>European</w:t>
      </w:r>
      <w:proofErr w:type="spellEnd"/>
      <w:r w:rsidRPr="001A229B">
        <w:rPr>
          <w:rFonts w:ascii="Times New Roman" w:eastAsia="Times New Roman" w:hAnsi="Times New Roman" w:cs="Times New Roman"/>
          <w:i/>
          <w:sz w:val="20"/>
          <w:szCs w:val="20"/>
        </w:rPr>
        <w:t xml:space="preserve"> </w:t>
      </w:r>
      <w:proofErr w:type="spellStart"/>
      <w:r w:rsidRPr="001A229B">
        <w:rPr>
          <w:rFonts w:ascii="Times New Roman" w:eastAsia="Times New Roman" w:hAnsi="Times New Roman" w:cs="Times New Roman"/>
          <w:i/>
          <w:sz w:val="20"/>
          <w:szCs w:val="20"/>
        </w:rPr>
        <w:t>Commission</w:t>
      </w:r>
      <w:proofErr w:type="spellEnd"/>
      <w:r w:rsidRPr="001A229B">
        <w:rPr>
          <w:rFonts w:ascii="Times New Roman" w:eastAsia="Times New Roman" w:hAnsi="Times New Roman" w:cs="Times New Roman"/>
          <w:i/>
          <w:sz w:val="20"/>
          <w:szCs w:val="20"/>
        </w:rPr>
        <w:t>, taxud.c.1(2014)2276174</w:t>
      </w:r>
    </w:p>
    <w:p w14:paraId="769A4547" w14:textId="77777777" w:rsidR="006A75E8" w:rsidRPr="00391150" w:rsidRDefault="006A75E8">
      <w:pPr>
        <w:suppressAutoHyphens/>
        <w:spacing w:after="0" w:line="240" w:lineRule="auto"/>
        <w:rPr>
          <w:rFonts w:ascii="Calibri" w:eastAsia="Calibri" w:hAnsi="Calibri" w:cs="Calibri"/>
          <w:sz w:val="24"/>
          <w:szCs w:val="24"/>
        </w:rPr>
      </w:pPr>
    </w:p>
    <w:p w14:paraId="176099B9" w14:textId="3FF96A86" w:rsidR="006A75E8" w:rsidRPr="00D928CD" w:rsidRDefault="004D2EAF">
      <w:pPr>
        <w:suppressAutoHyphens/>
        <w:spacing w:after="0" w:line="240" w:lineRule="auto"/>
        <w:ind w:firstLine="720"/>
        <w:jc w:val="both"/>
        <w:rPr>
          <w:rFonts w:ascii="Calibri" w:eastAsia="Calibri" w:hAnsi="Calibri" w:cs="Calibri"/>
          <w:sz w:val="24"/>
          <w:szCs w:val="24"/>
        </w:rPr>
      </w:pPr>
      <w:r w:rsidRPr="00D928CD">
        <w:rPr>
          <w:rFonts w:ascii="Times New Roman" w:eastAsia="Times New Roman" w:hAnsi="Times New Roman" w:cs="Times New Roman"/>
          <w:sz w:val="24"/>
          <w:szCs w:val="24"/>
        </w:rPr>
        <w:t xml:space="preserve">Visās ES dalībvalstīs, izņemot Dāniju, tiek piemērotas samazinātās PVN likmes 5% - 18% dažādām preču un pakalpojumu grupām. Piecas “vecās” dalībvalstis (Spānija, Francija, Īrija, Itālija un Luksemburga) piemēro arī </w:t>
      </w:r>
      <w:r w:rsidR="00A63133" w:rsidRPr="00D928CD">
        <w:rPr>
          <w:rFonts w:ascii="Times New Roman" w:eastAsia="Times New Roman" w:hAnsi="Times New Roman" w:cs="Times New Roman"/>
          <w:sz w:val="24"/>
          <w:szCs w:val="24"/>
        </w:rPr>
        <w:t>īpaši samazinātās</w:t>
      </w:r>
      <w:r w:rsidRPr="00D928CD">
        <w:rPr>
          <w:rFonts w:ascii="Times New Roman" w:eastAsia="Times New Roman" w:hAnsi="Times New Roman" w:cs="Times New Roman"/>
          <w:sz w:val="24"/>
          <w:szCs w:val="24"/>
        </w:rPr>
        <w:t xml:space="preserve"> PVN likmes no 2,1% (Francija avīzēm un žurnāliem) līdz 4,8% (Īrijā pārtikas produktiem). Vēsturiski saglabājusies arī tā sauktā “</w:t>
      </w:r>
      <w:proofErr w:type="spellStart"/>
      <w:r w:rsidRPr="00D928CD">
        <w:rPr>
          <w:rFonts w:ascii="Times New Roman" w:eastAsia="Times New Roman" w:hAnsi="Times New Roman" w:cs="Times New Roman"/>
          <w:sz w:val="24"/>
          <w:szCs w:val="24"/>
        </w:rPr>
        <w:t>Parking</w:t>
      </w:r>
      <w:proofErr w:type="spellEnd"/>
      <w:r w:rsidRPr="00D928CD">
        <w:rPr>
          <w:rFonts w:ascii="Times New Roman" w:eastAsia="Times New Roman" w:hAnsi="Times New Roman" w:cs="Times New Roman"/>
          <w:sz w:val="24"/>
          <w:szCs w:val="24"/>
        </w:rPr>
        <w:t xml:space="preserve"> </w:t>
      </w:r>
      <w:proofErr w:type="spellStart"/>
      <w:r w:rsidRPr="00D928CD">
        <w:rPr>
          <w:rFonts w:ascii="Times New Roman" w:eastAsia="Times New Roman" w:hAnsi="Times New Roman" w:cs="Times New Roman"/>
          <w:sz w:val="24"/>
          <w:szCs w:val="24"/>
        </w:rPr>
        <w:t>rate</w:t>
      </w:r>
      <w:proofErr w:type="spellEnd"/>
      <w:r w:rsidRPr="00D928CD">
        <w:rPr>
          <w:rFonts w:ascii="Times New Roman" w:eastAsia="Times New Roman" w:hAnsi="Times New Roman" w:cs="Times New Roman"/>
          <w:sz w:val="24"/>
          <w:szCs w:val="24"/>
        </w:rPr>
        <w:t>” 12% – 13</w:t>
      </w:r>
      <w:r w:rsidR="0019012D" w:rsidRPr="00D928CD">
        <w:rPr>
          <w:rFonts w:ascii="Times New Roman" w:eastAsia="Times New Roman" w:hAnsi="Times New Roman" w:cs="Times New Roman"/>
          <w:sz w:val="24"/>
          <w:szCs w:val="24"/>
        </w:rPr>
        <w:t>,</w:t>
      </w:r>
      <w:r w:rsidRPr="00D928CD">
        <w:rPr>
          <w:rFonts w:ascii="Times New Roman" w:eastAsia="Times New Roman" w:hAnsi="Times New Roman" w:cs="Times New Roman"/>
          <w:sz w:val="24"/>
          <w:szCs w:val="24"/>
        </w:rPr>
        <w:t>5%, ko piemēro piecas dalībvalstis (Beļģija, Īrija, Luksemburga, Austrija, Portugāle), kas tika panākta kā kompromisa risināj</w:t>
      </w:r>
      <w:r w:rsidR="00B15774" w:rsidRPr="00D928CD">
        <w:rPr>
          <w:rFonts w:ascii="Times New Roman" w:eastAsia="Times New Roman" w:hAnsi="Times New Roman" w:cs="Times New Roman"/>
          <w:sz w:val="24"/>
          <w:szCs w:val="24"/>
        </w:rPr>
        <w:t xml:space="preserve">ums </w:t>
      </w:r>
      <w:r w:rsidR="00B6687A" w:rsidRPr="00D928CD">
        <w:rPr>
          <w:rFonts w:ascii="Times New Roman" w:eastAsia="Times New Roman" w:hAnsi="Times New Roman" w:cs="Times New Roman"/>
          <w:sz w:val="24"/>
          <w:szCs w:val="24"/>
        </w:rPr>
        <w:t xml:space="preserve">pārejai no samazinātās uz </w:t>
      </w:r>
      <w:proofErr w:type="spellStart"/>
      <w:r w:rsidR="00B6687A" w:rsidRPr="00D928CD">
        <w:rPr>
          <w:rFonts w:ascii="Times New Roman" w:eastAsia="Times New Roman" w:hAnsi="Times New Roman" w:cs="Times New Roman"/>
          <w:sz w:val="24"/>
          <w:szCs w:val="24"/>
        </w:rPr>
        <w:t>standartlikmi</w:t>
      </w:r>
      <w:proofErr w:type="spellEnd"/>
      <w:r w:rsidR="00B6687A" w:rsidRPr="00D928CD">
        <w:rPr>
          <w:rFonts w:ascii="Times New Roman" w:eastAsia="Times New Roman" w:hAnsi="Times New Roman" w:cs="Times New Roman"/>
          <w:sz w:val="24"/>
          <w:szCs w:val="24"/>
        </w:rPr>
        <w:t xml:space="preserve"> </w:t>
      </w:r>
      <w:r w:rsidRPr="00D928CD">
        <w:rPr>
          <w:rFonts w:ascii="Times New Roman" w:eastAsia="Times New Roman" w:hAnsi="Times New Roman" w:cs="Times New Roman"/>
          <w:sz w:val="24"/>
          <w:szCs w:val="24"/>
        </w:rPr>
        <w:t>90</w:t>
      </w:r>
      <w:r w:rsidR="00E96DD3" w:rsidRPr="00D928CD">
        <w:rPr>
          <w:rFonts w:ascii="Times New Roman" w:eastAsia="Times New Roman" w:hAnsi="Times New Roman" w:cs="Times New Roman"/>
          <w:sz w:val="24"/>
          <w:szCs w:val="24"/>
        </w:rPr>
        <w:t>.</w:t>
      </w:r>
      <w:r w:rsidRPr="00D928CD">
        <w:rPr>
          <w:rFonts w:ascii="Times New Roman" w:eastAsia="Times New Roman" w:hAnsi="Times New Roman" w:cs="Times New Roman"/>
          <w:sz w:val="24"/>
          <w:szCs w:val="24"/>
        </w:rPr>
        <w:t>gados.</w:t>
      </w:r>
    </w:p>
    <w:p w14:paraId="6FF61B75" w14:textId="4564CE50" w:rsidR="006A75E8" w:rsidRPr="00D928CD" w:rsidRDefault="00DF2402" w:rsidP="002771F2">
      <w:pPr>
        <w:suppressAutoHyphens/>
        <w:spacing w:after="0" w:line="240" w:lineRule="auto"/>
        <w:ind w:firstLine="720"/>
        <w:jc w:val="both"/>
        <w:rPr>
          <w:rFonts w:ascii="Times New Roman" w:eastAsia="Times New Roman" w:hAnsi="Times New Roman" w:cs="Times New Roman"/>
          <w:sz w:val="24"/>
          <w:szCs w:val="24"/>
        </w:rPr>
      </w:pPr>
      <w:r w:rsidRPr="00D928CD">
        <w:rPr>
          <w:rFonts w:ascii="Times New Roman" w:eastAsia="Times New Roman" w:hAnsi="Times New Roman" w:cs="Times New Roman"/>
          <w:sz w:val="24"/>
          <w:szCs w:val="24"/>
        </w:rPr>
        <w:t>P</w:t>
      </w:r>
      <w:r w:rsidR="004D2EAF" w:rsidRPr="00D928CD">
        <w:rPr>
          <w:rFonts w:ascii="Times New Roman" w:eastAsia="Times New Roman" w:hAnsi="Times New Roman" w:cs="Times New Roman"/>
          <w:sz w:val="24"/>
          <w:szCs w:val="24"/>
        </w:rPr>
        <w:t xml:space="preserve">ārtikas produktiem </w:t>
      </w:r>
      <w:r w:rsidRPr="00D928CD">
        <w:rPr>
          <w:rFonts w:ascii="Times New Roman" w:eastAsia="Times New Roman" w:hAnsi="Times New Roman" w:cs="Times New Roman"/>
          <w:sz w:val="24"/>
          <w:szCs w:val="24"/>
        </w:rPr>
        <w:t xml:space="preserve">piemērotā PVN likme </w:t>
      </w:r>
      <w:r w:rsidR="004D2EAF" w:rsidRPr="00D928CD">
        <w:rPr>
          <w:rFonts w:ascii="Times New Roman" w:eastAsia="Times New Roman" w:hAnsi="Times New Roman" w:cs="Times New Roman"/>
          <w:sz w:val="24"/>
          <w:szCs w:val="24"/>
        </w:rPr>
        <w:t>dalībvalst</w:t>
      </w:r>
      <w:r w:rsidRPr="00D928CD">
        <w:rPr>
          <w:rFonts w:ascii="Times New Roman" w:eastAsia="Times New Roman" w:hAnsi="Times New Roman" w:cs="Times New Roman"/>
          <w:sz w:val="24"/>
          <w:szCs w:val="24"/>
        </w:rPr>
        <w:t>īs ir ļoti atšķirīga -</w:t>
      </w:r>
      <w:r w:rsidR="004D2EAF" w:rsidRPr="00D928CD">
        <w:rPr>
          <w:rFonts w:ascii="Times New Roman" w:eastAsia="Times New Roman" w:hAnsi="Times New Roman" w:cs="Times New Roman"/>
          <w:sz w:val="24"/>
          <w:szCs w:val="24"/>
        </w:rPr>
        <w:t xml:space="preserve"> no 0% likmes</w:t>
      </w:r>
      <w:r w:rsidR="00170E28" w:rsidRPr="00D928CD">
        <w:rPr>
          <w:rStyle w:val="FootnoteReference"/>
          <w:rFonts w:ascii="Times New Roman" w:eastAsia="Times New Roman" w:hAnsi="Times New Roman" w:cs="Times New Roman"/>
          <w:sz w:val="24"/>
          <w:szCs w:val="24"/>
        </w:rPr>
        <w:footnoteReference w:id="12"/>
      </w:r>
      <w:r w:rsidR="004D2EAF" w:rsidRPr="00D928CD">
        <w:rPr>
          <w:rFonts w:ascii="Times New Roman" w:eastAsia="Times New Roman" w:hAnsi="Times New Roman" w:cs="Times New Roman"/>
          <w:sz w:val="24"/>
          <w:szCs w:val="24"/>
        </w:rPr>
        <w:t xml:space="preserve"> Apvienotajā Karalistē, Īrijā un Maltā (izņemot atsevišķus konditorejas izstrādājumus, kam tiek piemērota 5% likme) līdz pat </w:t>
      </w:r>
      <w:r w:rsidR="004C5118" w:rsidRPr="00D928CD">
        <w:rPr>
          <w:rFonts w:ascii="Times New Roman" w:eastAsia="Times New Roman" w:hAnsi="Times New Roman" w:cs="Times New Roman"/>
          <w:sz w:val="24"/>
          <w:szCs w:val="24"/>
        </w:rPr>
        <w:t>2</w:t>
      </w:r>
      <w:r w:rsidR="0024654C" w:rsidRPr="00D928CD">
        <w:rPr>
          <w:rFonts w:ascii="Times New Roman" w:eastAsia="Times New Roman" w:hAnsi="Times New Roman" w:cs="Times New Roman"/>
          <w:sz w:val="24"/>
          <w:szCs w:val="24"/>
        </w:rPr>
        <w:t>7</w:t>
      </w:r>
      <w:r w:rsidR="004D2EAF" w:rsidRPr="00D928CD">
        <w:rPr>
          <w:rFonts w:ascii="Times New Roman" w:eastAsia="Times New Roman" w:hAnsi="Times New Roman" w:cs="Times New Roman"/>
          <w:sz w:val="24"/>
          <w:szCs w:val="24"/>
        </w:rPr>
        <w:t>% likmei Ungārijā, kas piemēro samazināto PVN likmi 18% apmērā pienam un piena produktiem un produktiem, kas satur graudus, miltus, cieti vai pienu.</w:t>
      </w:r>
      <w:r w:rsidR="00170E28" w:rsidRPr="00D928CD">
        <w:rPr>
          <w:rFonts w:ascii="Times New Roman" w:eastAsia="Times New Roman" w:hAnsi="Times New Roman" w:cs="Times New Roman"/>
          <w:sz w:val="24"/>
          <w:szCs w:val="24"/>
        </w:rPr>
        <w:t xml:space="preserve"> </w:t>
      </w:r>
    </w:p>
    <w:p w14:paraId="114C903E" w14:textId="556264AD" w:rsidR="008C566C" w:rsidRDefault="002E42BA" w:rsidP="00D928CD">
      <w:pPr>
        <w:suppressAutoHyphens/>
        <w:spacing w:after="120" w:line="240" w:lineRule="auto"/>
        <w:ind w:firstLine="720"/>
        <w:jc w:val="both"/>
        <w:rPr>
          <w:rFonts w:ascii="Times New Roman" w:eastAsia="Times New Roman" w:hAnsi="Times New Roman" w:cs="Times New Roman"/>
          <w:sz w:val="24"/>
          <w:szCs w:val="24"/>
        </w:rPr>
      </w:pPr>
      <w:r w:rsidRPr="00D928CD">
        <w:rPr>
          <w:rFonts w:ascii="Times New Roman" w:eastAsia="Times New Roman" w:hAnsi="Times New Roman" w:cs="Times New Roman"/>
          <w:sz w:val="24"/>
          <w:szCs w:val="24"/>
        </w:rPr>
        <w:t>D</w:t>
      </w:r>
      <w:r w:rsidR="004D2EAF" w:rsidRPr="00D928CD">
        <w:rPr>
          <w:rFonts w:ascii="Times New Roman" w:eastAsia="Times New Roman" w:hAnsi="Times New Roman" w:cs="Times New Roman"/>
          <w:sz w:val="24"/>
          <w:szCs w:val="24"/>
        </w:rPr>
        <w:t xml:space="preserve">ažādām pārtikas produktu grupām ES valstīs tiek </w:t>
      </w:r>
      <w:r w:rsidR="00D931D9">
        <w:rPr>
          <w:rFonts w:ascii="Times New Roman" w:eastAsia="Times New Roman" w:hAnsi="Times New Roman" w:cs="Times New Roman"/>
          <w:sz w:val="24"/>
          <w:szCs w:val="24"/>
        </w:rPr>
        <w:t>piemērot</w:t>
      </w:r>
      <w:r w:rsidR="002749A8">
        <w:rPr>
          <w:rFonts w:ascii="Times New Roman" w:eastAsia="Times New Roman" w:hAnsi="Times New Roman" w:cs="Times New Roman"/>
          <w:sz w:val="24"/>
          <w:szCs w:val="24"/>
        </w:rPr>
        <w:t>as arī šādas PVN likmes (skat. 6</w:t>
      </w:r>
      <w:r w:rsidR="00D931D9">
        <w:rPr>
          <w:rFonts w:ascii="Times New Roman" w:eastAsia="Times New Roman" w:hAnsi="Times New Roman" w:cs="Times New Roman"/>
          <w:sz w:val="24"/>
          <w:szCs w:val="24"/>
        </w:rPr>
        <w:t>. tabulu).</w:t>
      </w:r>
    </w:p>
    <w:p w14:paraId="3ABD319E" w14:textId="77777777" w:rsidR="008C566C" w:rsidRDefault="008C566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8D68D84" w14:textId="19B387FB" w:rsidR="00D931D9" w:rsidRDefault="009875E7" w:rsidP="00D931D9">
      <w:pPr>
        <w:pStyle w:val="ListParagraph"/>
        <w:suppressAutoHyphens/>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D931D9" w:rsidRPr="00D931D9">
        <w:rPr>
          <w:rFonts w:ascii="Times New Roman" w:eastAsia="Times New Roman" w:hAnsi="Times New Roman" w:cs="Times New Roman"/>
          <w:sz w:val="24"/>
          <w:szCs w:val="24"/>
        </w:rPr>
        <w:t>. tabula</w:t>
      </w:r>
    </w:p>
    <w:p w14:paraId="05829265" w14:textId="27D8C629" w:rsidR="00537609" w:rsidRPr="00DB3022" w:rsidRDefault="00537609" w:rsidP="00537609">
      <w:pPr>
        <w:pStyle w:val="ListParagraph"/>
        <w:suppressAutoHyphens/>
        <w:spacing w:after="120" w:line="240" w:lineRule="auto"/>
        <w:rPr>
          <w:rFonts w:ascii="Times New Roman" w:eastAsia="Times New Roman" w:hAnsi="Times New Roman" w:cs="Times New Roman"/>
          <w:b/>
          <w:sz w:val="24"/>
          <w:szCs w:val="24"/>
        </w:rPr>
      </w:pPr>
      <w:r w:rsidRPr="00DB3022">
        <w:rPr>
          <w:rFonts w:ascii="Times New Roman" w:eastAsia="Times New Roman" w:hAnsi="Times New Roman" w:cs="Times New Roman"/>
          <w:b/>
          <w:sz w:val="24"/>
          <w:szCs w:val="24"/>
        </w:rPr>
        <w:t>PVN likmes dažādām pārtikas produktu grupām ES valstīs, %</w:t>
      </w:r>
    </w:p>
    <w:tbl>
      <w:tblPr>
        <w:tblW w:w="0" w:type="auto"/>
        <w:jc w:val="center"/>
        <w:tblCellMar>
          <w:left w:w="10" w:type="dxa"/>
          <w:right w:w="10" w:type="dxa"/>
        </w:tblCellMar>
        <w:tblLook w:val="04A0" w:firstRow="1" w:lastRow="0" w:firstColumn="1" w:lastColumn="0" w:noHBand="0" w:noVBand="1"/>
      </w:tblPr>
      <w:tblGrid>
        <w:gridCol w:w="1838"/>
        <w:gridCol w:w="6458"/>
      </w:tblGrid>
      <w:tr w:rsidR="006A75E8" w:rsidRPr="00D928CD" w14:paraId="6302C63E" w14:textId="77777777" w:rsidTr="00900CB6">
        <w:trPr>
          <w:cantSplit/>
          <w:trHeight w:val="1"/>
          <w:tblHeade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464635" w14:textId="33EAAB62" w:rsidR="006A75E8" w:rsidRPr="00D928CD" w:rsidRDefault="004D2EAF">
            <w:pPr>
              <w:suppressAutoHyphens/>
              <w:spacing w:after="0" w:line="240" w:lineRule="auto"/>
              <w:jc w:val="center"/>
              <w:rPr>
                <w:sz w:val="24"/>
                <w:szCs w:val="24"/>
              </w:rPr>
            </w:pPr>
            <w:r w:rsidRPr="00D928CD">
              <w:rPr>
                <w:rFonts w:ascii="Times New Roman" w:eastAsia="Times New Roman" w:hAnsi="Times New Roman" w:cs="Times New Roman"/>
                <w:b/>
                <w:sz w:val="24"/>
                <w:szCs w:val="24"/>
              </w:rPr>
              <w:t>Likme</w:t>
            </w:r>
            <w:r w:rsidR="00032360" w:rsidRPr="00D928CD">
              <w:rPr>
                <w:rFonts w:ascii="Times New Roman" w:eastAsia="Times New Roman" w:hAnsi="Times New Roman" w:cs="Times New Roman"/>
                <w:b/>
                <w:sz w:val="24"/>
                <w:szCs w:val="24"/>
              </w:rPr>
              <w:t>*</w:t>
            </w:r>
          </w:p>
        </w:tc>
        <w:tc>
          <w:tcPr>
            <w:tcW w:w="6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0351F" w14:textId="77777777" w:rsidR="006A75E8" w:rsidRPr="00D928CD" w:rsidRDefault="004D2EAF">
            <w:pPr>
              <w:suppressAutoHyphens/>
              <w:spacing w:after="0" w:line="240" w:lineRule="auto"/>
              <w:jc w:val="center"/>
              <w:rPr>
                <w:sz w:val="24"/>
                <w:szCs w:val="24"/>
              </w:rPr>
            </w:pPr>
            <w:r w:rsidRPr="00D928CD">
              <w:rPr>
                <w:rFonts w:ascii="Times New Roman" w:eastAsia="Times New Roman" w:hAnsi="Times New Roman" w:cs="Times New Roman"/>
                <w:b/>
                <w:sz w:val="24"/>
                <w:szCs w:val="24"/>
              </w:rPr>
              <w:t>Valsts</w:t>
            </w:r>
          </w:p>
        </w:tc>
      </w:tr>
      <w:tr w:rsidR="006A75E8" w:rsidRPr="00D928CD" w14:paraId="072EFCD0" w14:textId="77777777" w:rsidTr="00900CB6">
        <w:trPr>
          <w:cantSplit/>
          <w:trHeight w:val="1"/>
          <w:tblHeade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7C2C82" w14:textId="77777777" w:rsidR="006A75E8" w:rsidRPr="00D928CD" w:rsidRDefault="004D2EAF">
            <w:pPr>
              <w:suppressAutoHyphens/>
              <w:spacing w:after="0" w:line="240" w:lineRule="auto"/>
              <w:jc w:val="both"/>
              <w:rPr>
                <w:sz w:val="24"/>
                <w:szCs w:val="24"/>
              </w:rPr>
            </w:pPr>
            <w:r w:rsidRPr="00D928CD">
              <w:rPr>
                <w:rFonts w:ascii="Times New Roman" w:eastAsia="Times New Roman" w:hAnsi="Times New Roman" w:cs="Times New Roman"/>
                <w:sz w:val="24"/>
                <w:szCs w:val="24"/>
              </w:rPr>
              <w:t>27%</w:t>
            </w:r>
          </w:p>
        </w:tc>
        <w:tc>
          <w:tcPr>
            <w:tcW w:w="6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C47E53" w14:textId="77777777" w:rsidR="006A75E8" w:rsidRPr="00D928CD" w:rsidRDefault="004D2EAF">
            <w:pPr>
              <w:suppressAutoHyphens/>
              <w:spacing w:after="0" w:line="240" w:lineRule="auto"/>
              <w:jc w:val="both"/>
              <w:rPr>
                <w:sz w:val="24"/>
                <w:szCs w:val="24"/>
              </w:rPr>
            </w:pPr>
            <w:r w:rsidRPr="00D928CD">
              <w:rPr>
                <w:rFonts w:ascii="Times New Roman" w:eastAsia="Times New Roman" w:hAnsi="Times New Roman" w:cs="Times New Roman"/>
                <w:sz w:val="24"/>
                <w:szCs w:val="24"/>
              </w:rPr>
              <w:t xml:space="preserve">Ungārija, </w:t>
            </w:r>
          </w:p>
        </w:tc>
      </w:tr>
      <w:tr w:rsidR="006A75E8" w:rsidRPr="00D928CD" w14:paraId="08A0C7A8" w14:textId="77777777" w:rsidTr="00900CB6">
        <w:trPr>
          <w:cantSplit/>
          <w:trHeight w:val="1"/>
          <w:tblHeade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A5760E" w14:textId="77777777" w:rsidR="006A75E8" w:rsidRPr="00D928CD" w:rsidRDefault="004D2EAF">
            <w:pPr>
              <w:suppressAutoHyphens/>
              <w:spacing w:after="0" w:line="240" w:lineRule="auto"/>
              <w:jc w:val="both"/>
              <w:rPr>
                <w:sz w:val="24"/>
                <w:szCs w:val="24"/>
              </w:rPr>
            </w:pPr>
            <w:r w:rsidRPr="00D928CD">
              <w:rPr>
                <w:rFonts w:ascii="Times New Roman" w:eastAsia="Times New Roman" w:hAnsi="Times New Roman" w:cs="Times New Roman"/>
                <w:sz w:val="24"/>
                <w:szCs w:val="24"/>
              </w:rPr>
              <w:t>25%</w:t>
            </w:r>
          </w:p>
        </w:tc>
        <w:tc>
          <w:tcPr>
            <w:tcW w:w="6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AEBD4B" w14:textId="77777777" w:rsidR="006A75E8" w:rsidRPr="00D928CD" w:rsidRDefault="004D2EAF">
            <w:pPr>
              <w:suppressAutoHyphens/>
              <w:spacing w:after="0" w:line="240" w:lineRule="auto"/>
              <w:jc w:val="both"/>
              <w:rPr>
                <w:sz w:val="24"/>
                <w:szCs w:val="24"/>
              </w:rPr>
            </w:pPr>
            <w:r w:rsidRPr="00D928CD">
              <w:rPr>
                <w:rFonts w:ascii="Times New Roman" w:eastAsia="Times New Roman" w:hAnsi="Times New Roman" w:cs="Times New Roman"/>
                <w:sz w:val="24"/>
                <w:szCs w:val="24"/>
              </w:rPr>
              <w:t>Dānija, Horvātija, Zviedrija</w:t>
            </w:r>
          </w:p>
        </w:tc>
      </w:tr>
      <w:tr w:rsidR="006A75E8" w:rsidRPr="00D928CD" w14:paraId="3E9FD082" w14:textId="77777777" w:rsidTr="00900CB6">
        <w:trPr>
          <w:cantSplit/>
          <w:trHeight w:val="1"/>
          <w:tblHeade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18309B" w14:textId="77777777" w:rsidR="006A75E8" w:rsidRPr="00D928CD" w:rsidRDefault="004D2EAF">
            <w:pPr>
              <w:suppressAutoHyphens/>
              <w:spacing w:after="0" w:line="240" w:lineRule="auto"/>
              <w:jc w:val="both"/>
              <w:rPr>
                <w:sz w:val="24"/>
                <w:szCs w:val="24"/>
              </w:rPr>
            </w:pPr>
            <w:r w:rsidRPr="00D928CD">
              <w:rPr>
                <w:rFonts w:ascii="Times New Roman" w:eastAsia="Times New Roman" w:hAnsi="Times New Roman" w:cs="Times New Roman"/>
                <w:sz w:val="24"/>
                <w:szCs w:val="24"/>
              </w:rPr>
              <w:t>24%</w:t>
            </w:r>
          </w:p>
        </w:tc>
        <w:tc>
          <w:tcPr>
            <w:tcW w:w="6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0D631C" w14:textId="77777777" w:rsidR="006A75E8" w:rsidRPr="00D928CD" w:rsidRDefault="004D2EAF">
            <w:pPr>
              <w:suppressAutoHyphens/>
              <w:spacing w:after="0" w:line="240" w:lineRule="auto"/>
              <w:jc w:val="both"/>
              <w:rPr>
                <w:sz w:val="24"/>
                <w:szCs w:val="24"/>
              </w:rPr>
            </w:pPr>
            <w:r w:rsidRPr="00D928CD">
              <w:rPr>
                <w:rFonts w:ascii="Times New Roman" w:eastAsia="Times New Roman" w:hAnsi="Times New Roman" w:cs="Times New Roman"/>
                <w:sz w:val="24"/>
                <w:szCs w:val="24"/>
              </w:rPr>
              <w:t xml:space="preserve">Ungārija, Rumānija, </w:t>
            </w:r>
          </w:p>
        </w:tc>
      </w:tr>
      <w:tr w:rsidR="006A75E8" w:rsidRPr="00D928CD" w14:paraId="02357A00" w14:textId="77777777" w:rsidTr="00900CB6">
        <w:trPr>
          <w:cantSplit/>
          <w:trHeight w:val="1"/>
          <w:tblHeade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0EF2EE" w14:textId="77777777" w:rsidR="006A75E8" w:rsidRPr="00D928CD" w:rsidRDefault="004D2EAF">
            <w:pPr>
              <w:suppressAutoHyphens/>
              <w:spacing w:after="0" w:line="240" w:lineRule="auto"/>
              <w:jc w:val="both"/>
              <w:rPr>
                <w:sz w:val="24"/>
                <w:szCs w:val="24"/>
              </w:rPr>
            </w:pPr>
            <w:r w:rsidRPr="00D928CD">
              <w:rPr>
                <w:rFonts w:ascii="Times New Roman" w:eastAsia="Times New Roman" w:hAnsi="Times New Roman" w:cs="Times New Roman"/>
                <w:sz w:val="24"/>
                <w:szCs w:val="24"/>
              </w:rPr>
              <w:t>23%</w:t>
            </w:r>
          </w:p>
        </w:tc>
        <w:tc>
          <w:tcPr>
            <w:tcW w:w="6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8A56ED" w14:textId="77777777" w:rsidR="006A75E8" w:rsidRPr="00D928CD" w:rsidRDefault="004D2EAF">
            <w:pPr>
              <w:suppressAutoHyphens/>
              <w:spacing w:after="0" w:line="240" w:lineRule="auto"/>
              <w:jc w:val="both"/>
              <w:rPr>
                <w:sz w:val="24"/>
                <w:szCs w:val="24"/>
              </w:rPr>
            </w:pPr>
            <w:r w:rsidRPr="00D928CD">
              <w:rPr>
                <w:rFonts w:ascii="Times New Roman" w:eastAsia="Times New Roman" w:hAnsi="Times New Roman" w:cs="Times New Roman"/>
                <w:sz w:val="24"/>
                <w:szCs w:val="24"/>
              </w:rPr>
              <w:t xml:space="preserve">Īrija, Polija, </w:t>
            </w:r>
          </w:p>
        </w:tc>
      </w:tr>
      <w:tr w:rsidR="006A75E8" w:rsidRPr="00D928CD" w14:paraId="33D2F270" w14:textId="77777777" w:rsidTr="00900CB6">
        <w:trPr>
          <w:cantSplit/>
          <w:trHeight w:val="1"/>
          <w:tblHeade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95F271" w14:textId="77777777" w:rsidR="006A75E8" w:rsidRPr="00D928CD" w:rsidRDefault="004D2EAF">
            <w:pPr>
              <w:suppressAutoHyphens/>
              <w:spacing w:after="0" w:line="240" w:lineRule="auto"/>
              <w:jc w:val="both"/>
              <w:rPr>
                <w:sz w:val="24"/>
                <w:szCs w:val="24"/>
              </w:rPr>
            </w:pPr>
            <w:r w:rsidRPr="00D928CD">
              <w:rPr>
                <w:rFonts w:ascii="Times New Roman" w:eastAsia="Times New Roman" w:hAnsi="Times New Roman" w:cs="Times New Roman"/>
                <w:sz w:val="24"/>
                <w:szCs w:val="24"/>
              </w:rPr>
              <w:t>21%</w:t>
            </w:r>
          </w:p>
        </w:tc>
        <w:tc>
          <w:tcPr>
            <w:tcW w:w="6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82CBD9" w14:textId="77777777" w:rsidR="006A75E8" w:rsidRPr="00D928CD" w:rsidRDefault="004D2EAF">
            <w:pPr>
              <w:suppressAutoHyphens/>
              <w:spacing w:after="0" w:line="240" w:lineRule="auto"/>
              <w:jc w:val="both"/>
              <w:rPr>
                <w:sz w:val="24"/>
                <w:szCs w:val="24"/>
              </w:rPr>
            </w:pPr>
            <w:r w:rsidRPr="00D928CD">
              <w:rPr>
                <w:rFonts w:ascii="Times New Roman" w:eastAsia="Times New Roman" w:hAnsi="Times New Roman" w:cs="Times New Roman"/>
                <w:sz w:val="24"/>
                <w:szCs w:val="24"/>
              </w:rPr>
              <w:t xml:space="preserve">Beļģija, Latvija, Lietuva, </w:t>
            </w:r>
          </w:p>
        </w:tc>
      </w:tr>
      <w:tr w:rsidR="006A75E8" w:rsidRPr="00D928CD" w14:paraId="5E3E6AF6" w14:textId="77777777" w:rsidTr="00900CB6">
        <w:trPr>
          <w:cantSplit/>
          <w:trHeight w:val="1"/>
          <w:tblHeade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AB8BC7" w14:textId="77777777" w:rsidR="006A75E8" w:rsidRPr="00D928CD" w:rsidRDefault="004D2EAF">
            <w:pPr>
              <w:suppressAutoHyphens/>
              <w:spacing w:after="0" w:line="240" w:lineRule="auto"/>
              <w:jc w:val="both"/>
              <w:rPr>
                <w:sz w:val="24"/>
                <w:szCs w:val="24"/>
              </w:rPr>
            </w:pPr>
            <w:r w:rsidRPr="00D928CD">
              <w:rPr>
                <w:rFonts w:ascii="Times New Roman" w:eastAsia="Times New Roman" w:hAnsi="Times New Roman" w:cs="Times New Roman"/>
                <w:sz w:val="24"/>
                <w:szCs w:val="24"/>
              </w:rPr>
              <w:t>20%</w:t>
            </w:r>
          </w:p>
        </w:tc>
        <w:tc>
          <w:tcPr>
            <w:tcW w:w="6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1E2A02" w14:textId="77777777" w:rsidR="006A75E8" w:rsidRPr="00D928CD" w:rsidRDefault="004D2EAF">
            <w:pPr>
              <w:suppressAutoHyphens/>
              <w:spacing w:after="0" w:line="240" w:lineRule="auto"/>
              <w:jc w:val="both"/>
              <w:rPr>
                <w:sz w:val="24"/>
                <w:szCs w:val="24"/>
              </w:rPr>
            </w:pPr>
            <w:r w:rsidRPr="00D928CD">
              <w:rPr>
                <w:rFonts w:ascii="Times New Roman" w:eastAsia="Times New Roman" w:hAnsi="Times New Roman" w:cs="Times New Roman"/>
                <w:sz w:val="24"/>
                <w:szCs w:val="24"/>
              </w:rPr>
              <w:t>Bulgārija, Igaunija, Francija, Slovākija, Apvienotā Karaliste</w:t>
            </w:r>
          </w:p>
        </w:tc>
      </w:tr>
      <w:tr w:rsidR="006A75E8" w:rsidRPr="00D928CD" w14:paraId="542394EB" w14:textId="77777777" w:rsidTr="00900CB6">
        <w:trPr>
          <w:cantSplit/>
          <w:trHeight w:val="1"/>
          <w:tblHeade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9A5036" w14:textId="77777777" w:rsidR="006A75E8" w:rsidRPr="00D928CD" w:rsidRDefault="004D2EAF">
            <w:pPr>
              <w:suppressAutoHyphens/>
              <w:spacing w:after="0" w:line="240" w:lineRule="auto"/>
              <w:jc w:val="both"/>
              <w:rPr>
                <w:sz w:val="24"/>
                <w:szCs w:val="24"/>
              </w:rPr>
            </w:pPr>
            <w:r w:rsidRPr="00D928CD">
              <w:rPr>
                <w:rFonts w:ascii="Times New Roman" w:eastAsia="Times New Roman" w:hAnsi="Times New Roman" w:cs="Times New Roman"/>
                <w:sz w:val="24"/>
                <w:szCs w:val="24"/>
              </w:rPr>
              <w:t>19%</w:t>
            </w:r>
          </w:p>
        </w:tc>
        <w:tc>
          <w:tcPr>
            <w:tcW w:w="6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03F03A" w14:textId="77777777" w:rsidR="006A75E8" w:rsidRPr="00D928CD" w:rsidRDefault="004D2EAF">
            <w:pPr>
              <w:suppressAutoHyphens/>
              <w:spacing w:after="0" w:line="240" w:lineRule="auto"/>
              <w:jc w:val="both"/>
              <w:rPr>
                <w:sz w:val="24"/>
                <w:szCs w:val="24"/>
              </w:rPr>
            </w:pPr>
            <w:r w:rsidRPr="00D928CD">
              <w:rPr>
                <w:rFonts w:ascii="Times New Roman" w:eastAsia="Times New Roman" w:hAnsi="Times New Roman" w:cs="Times New Roman"/>
                <w:sz w:val="24"/>
                <w:szCs w:val="24"/>
              </w:rPr>
              <w:t xml:space="preserve">Vācija, Kipra, </w:t>
            </w:r>
          </w:p>
        </w:tc>
      </w:tr>
      <w:tr w:rsidR="006A75E8" w:rsidRPr="00D928CD" w14:paraId="56CE137F" w14:textId="77777777" w:rsidTr="00900CB6">
        <w:trPr>
          <w:cantSplit/>
          <w:trHeight w:val="1"/>
          <w:tblHeade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14EFE2" w14:textId="77777777" w:rsidR="006A75E8" w:rsidRPr="00D928CD" w:rsidRDefault="004D2EAF">
            <w:pPr>
              <w:suppressAutoHyphens/>
              <w:spacing w:after="0" w:line="240" w:lineRule="auto"/>
              <w:jc w:val="both"/>
              <w:rPr>
                <w:sz w:val="24"/>
                <w:szCs w:val="24"/>
              </w:rPr>
            </w:pPr>
            <w:r w:rsidRPr="00D928CD">
              <w:rPr>
                <w:rFonts w:ascii="Times New Roman" w:eastAsia="Times New Roman" w:hAnsi="Times New Roman" w:cs="Times New Roman"/>
                <w:sz w:val="24"/>
                <w:szCs w:val="24"/>
              </w:rPr>
              <w:t>18%</w:t>
            </w:r>
          </w:p>
        </w:tc>
        <w:tc>
          <w:tcPr>
            <w:tcW w:w="6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439C3F" w14:textId="77777777" w:rsidR="006A75E8" w:rsidRPr="00D928CD" w:rsidRDefault="004D2EAF">
            <w:pPr>
              <w:suppressAutoHyphens/>
              <w:spacing w:after="0" w:line="240" w:lineRule="auto"/>
              <w:jc w:val="both"/>
              <w:rPr>
                <w:sz w:val="24"/>
                <w:szCs w:val="24"/>
              </w:rPr>
            </w:pPr>
            <w:r w:rsidRPr="00D928CD">
              <w:rPr>
                <w:rFonts w:ascii="Times New Roman" w:eastAsia="Times New Roman" w:hAnsi="Times New Roman" w:cs="Times New Roman"/>
                <w:sz w:val="24"/>
                <w:szCs w:val="24"/>
              </w:rPr>
              <w:t xml:space="preserve">Ungārija, </w:t>
            </w:r>
          </w:p>
        </w:tc>
      </w:tr>
      <w:tr w:rsidR="006A75E8" w:rsidRPr="00D928CD" w14:paraId="76BAAB18" w14:textId="77777777" w:rsidTr="00900CB6">
        <w:trPr>
          <w:cantSplit/>
          <w:trHeight w:val="1"/>
          <w:tblHeade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EDD95" w14:textId="77777777" w:rsidR="006A75E8" w:rsidRPr="00D928CD" w:rsidRDefault="004D2EAF">
            <w:pPr>
              <w:suppressAutoHyphens/>
              <w:spacing w:after="0" w:line="240" w:lineRule="auto"/>
              <w:jc w:val="both"/>
              <w:rPr>
                <w:sz w:val="24"/>
                <w:szCs w:val="24"/>
              </w:rPr>
            </w:pPr>
            <w:r w:rsidRPr="00D928CD">
              <w:rPr>
                <w:rFonts w:ascii="Times New Roman" w:eastAsia="Times New Roman" w:hAnsi="Times New Roman" w:cs="Times New Roman"/>
                <w:sz w:val="24"/>
                <w:szCs w:val="24"/>
              </w:rPr>
              <w:t>15%</w:t>
            </w:r>
          </w:p>
        </w:tc>
        <w:tc>
          <w:tcPr>
            <w:tcW w:w="6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176CEE" w14:textId="77777777" w:rsidR="006A75E8" w:rsidRPr="00D928CD" w:rsidRDefault="004D2EAF">
            <w:pPr>
              <w:suppressAutoHyphens/>
              <w:spacing w:after="0" w:line="240" w:lineRule="auto"/>
              <w:jc w:val="both"/>
              <w:rPr>
                <w:sz w:val="24"/>
                <w:szCs w:val="24"/>
              </w:rPr>
            </w:pPr>
            <w:r w:rsidRPr="00D928CD">
              <w:rPr>
                <w:rFonts w:ascii="Times New Roman" w:eastAsia="Times New Roman" w:hAnsi="Times New Roman" w:cs="Times New Roman"/>
                <w:sz w:val="24"/>
                <w:szCs w:val="24"/>
              </w:rPr>
              <w:t xml:space="preserve">Čehija, </w:t>
            </w:r>
          </w:p>
        </w:tc>
      </w:tr>
      <w:tr w:rsidR="006A75E8" w:rsidRPr="00D928CD" w14:paraId="042C5BAC" w14:textId="77777777" w:rsidTr="00900CB6">
        <w:trPr>
          <w:cantSplit/>
          <w:trHeight w:val="1"/>
          <w:tblHeade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42A03E" w14:textId="77777777" w:rsidR="006A75E8" w:rsidRPr="00D928CD" w:rsidRDefault="004D2EAF">
            <w:pPr>
              <w:suppressAutoHyphens/>
              <w:spacing w:after="0" w:line="240" w:lineRule="auto"/>
              <w:jc w:val="both"/>
              <w:rPr>
                <w:sz w:val="24"/>
                <w:szCs w:val="24"/>
              </w:rPr>
            </w:pPr>
            <w:r w:rsidRPr="00D928CD">
              <w:rPr>
                <w:rFonts w:ascii="Times New Roman" w:eastAsia="Times New Roman" w:hAnsi="Times New Roman" w:cs="Times New Roman"/>
                <w:sz w:val="24"/>
                <w:szCs w:val="24"/>
              </w:rPr>
              <w:t>14%</w:t>
            </w:r>
          </w:p>
        </w:tc>
        <w:tc>
          <w:tcPr>
            <w:tcW w:w="6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10A535A" w14:textId="77777777" w:rsidR="006A75E8" w:rsidRPr="00D928CD" w:rsidRDefault="004D2EAF">
            <w:pPr>
              <w:suppressAutoHyphens/>
              <w:spacing w:after="0" w:line="240" w:lineRule="auto"/>
              <w:jc w:val="both"/>
              <w:rPr>
                <w:sz w:val="24"/>
                <w:szCs w:val="24"/>
              </w:rPr>
            </w:pPr>
            <w:r w:rsidRPr="00D928CD">
              <w:rPr>
                <w:rFonts w:ascii="Times New Roman" w:eastAsia="Times New Roman" w:hAnsi="Times New Roman" w:cs="Times New Roman"/>
                <w:sz w:val="24"/>
                <w:szCs w:val="24"/>
              </w:rPr>
              <w:t xml:space="preserve">Somija, </w:t>
            </w:r>
          </w:p>
        </w:tc>
      </w:tr>
      <w:tr w:rsidR="006A75E8" w:rsidRPr="00D928CD" w14:paraId="400529C5" w14:textId="77777777" w:rsidTr="00900CB6">
        <w:trPr>
          <w:cantSplit/>
          <w:trHeight w:val="1"/>
          <w:tblHeade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C57CE6" w14:textId="77777777" w:rsidR="006A75E8" w:rsidRPr="00D928CD" w:rsidRDefault="004D2EAF">
            <w:pPr>
              <w:suppressAutoHyphens/>
              <w:spacing w:after="0" w:line="240" w:lineRule="auto"/>
              <w:jc w:val="both"/>
              <w:rPr>
                <w:sz w:val="24"/>
                <w:szCs w:val="24"/>
              </w:rPr>
            </w:pPr>
            <w:r w:rsidRPr="00D928CD">
              <w:rPr>
                <w:rFonts w:ascii="Times New Roman" w:eastAsia="Times New Roman" w:hAnsi="Times New Roman" w:cs="Times New Roman"/>
                <w:sz w:val="24"/>
                <w:szCs w:val="24"/>
              </w:rPr>
              <w:t>13,5%</w:t>
            </w:r>
          </w:p>
        </w:tc>
        <w:tc>
          <w:tcPr>
            <w:tcW w:w="6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5575C" w14:textId="77777777" w:rsidR="006A75E8" w:rsidRPr="00D928CD" w:rsidRDefault="004D2EAF">
            <w:pPr>
              <w:suppressAutoHyphens/>
              <w:spacing w:after="0" w:line="240" w:lineRule="auto"/>
              <w:jc w:val="both"/>
              <w:rPr>
                <w:sz w:val="24"/>
                <w:szCs w:val="24"/>
              </w:rPr>
            </w:pPr>
            <w:r w:rsidRPr="00D928CD">
              <w:rPr>
                <w:rFonts w:ascii="Times New Roman" w:eastAsia="Times New Roman" w:hAnsi="Times New Roman" w:cs="Times New Roman"/>
                <w:sz w:val="24"/>
                <w:szCs w:val="24"/>
              </w:rPr>
              <w:t xml:space="preserve">Īrija, </w:t>
            </w:r>
          </w:p>
        </w:tc>
      </w:tr>
      <w:tr w:rsidR="006A75E8" w:rsidRPr="00D928CD" w14:paraId="5E1E8B63" w14:textId="77777777" w:rsidTr="00900CB6">
        <w:trPr>
          <w:cantSplit/>
          <w:trHeight w:val="1"/>
          <w:tblHeade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203562" w14:textId="77777777" w:rsidR="006A75E8" w:rsidRPr="00D928CD" w:rsidRDefault="004D2EAF">
            <w:pPr>
              <w:suppressAutoHyphens/>
              <w:spacing w:after="0" w:line="240" w:lineRule="auto"/>
              <w:jc w:val="both"/>
              <w:rPr>
                <w:sz w:val="24"/>
                <w:szCs w:val="24"/>
              </w:rPr>
            </w:pPr>
            <w:r w:rsidRPr="00D928CD">
              <w:rPr>
                <w:rFonts w:ascii="Times New Roman" w:eastAsia="Times New Roman" w:hAnsi="Times New Roman" w:cs="Times New Roman"/>
                <w:sz w:val="24"/>
                <w:szCs w:val="24"/>
              </w:rPr>
              <w:t>13%</w:t>
            </w:r>
          </w:p>
        </w:tc>
        <w:tc>
          <w:tcPr>
            <w:tcW w:w="6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ACC56B" w14:textId="77777777" w:rsidR="006A75E8" w:rsidRPr="00D928CD" w:rsidRDefault="004D2EAF">
            <w:pPr>
              <w:suppressAutoHyphens/>
              <w:spacing w:after="0" w:line="240" w:lineRule="auto"/>
              <w:jc w:val="both"/>
              <w:rPr>
                <w:sz w:val="24"/>
                <w:szCs w:val="24"/>
              </w:rPr>
            </w:pPr>
            <w:r w:rsidRPr="00D928CD">
              <w:rPr>
                <w:rFonts w:ascii="Times New Roman" w:eastAsia="Times New Roman" w:hAnsi="Times New Roman" w:cs="Times New Roman"/>
                <w:sz w:val="24"/>
                <w:szCs w:val="24"/>
              </w:rPr>
              <w:t>Grieķija, Horvātija, Portugāle (</w:t>
            </w:r>
            <w:proofErr w:type="spellStart"/>
            <w:r w:rsidRPr="00D928CD">
              <w:rPr>
                <w:rFonts w:ascii="Times New Roman" w:eastAsia="Times New Roman" w:hAnsi="Times New Roman" w:cs="Times New Roman"/>
                <w:sz w:val="24"/>
                <w:szCs w:val="24"/>
              </w:rPr>
              <w:t>Parking</w:t>
            </w:r>
            <w:proofErr w:type="spellEnd"/>
            <w:r w:rsidRPr="00D928CD">
              <w:rPr>
                <w:rFonts w:ascii="Times New Roman" w:eastAsia="Times New Roman" w:hAnsi="Times New Roman" w:cs="Times New Roman"/>
                <w:sz w:val="24"/>
                <w:szCs w:val="24"/>
              </w:rPr>
              <w:t xml:space="preserve"> </w:t>
            </w:r>
            <w:proofErr w:type="spellStart"/>
            <w:r w:rsidRPr="00D928CD">
              <w:rPr>
                <w:rFonts w:ascii="Times New Roman" w:eastAsia="Times New Roman" w:hAnsi="Times New Roman" w:cs="Times New Roman"/>
                <w:sz w:val="24"/>
                <w:szCs w:val="24"/>
              </w:rPr>
              <w:t>rate</w:t>
            </w:r>
            <w:proofErr w:type="spellEnd"/>
            <w:r w:rsidRPr="00D928CD">
              <w:rPr>
                <w:rFonts w:ascii="Times New Roman" w:eastAsia="Times New Roman" w:hAnsi="Times New Roman" w:cs="Times New Roman"/>
                <w:sz w:val="24"/>
                <w:szCs w:val="24"/>
              </w:rPr>
              <w:t xml:space="preserve"> vīnam)</w:t>
            </w:r>
          </w:p>
        </w:tc>
      </w:tr>
      <w:tr w:rsidR="006A75E8" w:rsidRPr="00D928CD" w14:paraId="5EA7181E" w14:textId="77777777" w:rsidTr="00900CB6">
        <w:trPr>
          <w:cantSplit/>
          <w:trHeight w:val="1"/>
          <w:tblHeade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D635FF" w14:textId="77777777" w:rsidR="006A75E8" w:rsidRPr="00D928CD" w:rsidRDefault="004D2EAF">
            <w:pPr>
              <w:suppressAutoHyphens/>
              <w:spacing w:after="0" w:line="240" w:lineRule="auto"/>
              <w:jc w:val="both"/>
              <w:rPr>
                <w:sz w:val="24"/>
                <w:szCs w:val="24"/>
              </w:rPr>
            </w:pPr>
            <w:r w:rsidRPr="00D928CD">
              <w:rPr>
                <w:rFonts w:ascii="Times New Roman" w:eastAsia="Times New Roman" w:hAnsi="Times New Roman" w:cs="Times New Roman"/>
                <w:sz w:val="24"/>
                <w:szCs w:val="24"/>
              </w:rPr>
              <w:t>12%</w:t>
            </w:r>
          </w:p>
        </w:tc>
        <w:tc>
          <w:tcPr>
            <w:tcW w:w="6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E25A18" w14:textId="77777777" w:rsidR="006A75E8" w:rsidRPr="00D928CD" w:rsidRDefault="004D2EAF">
            <w:pPr>
              <w:suppressAutoHyphens/>
              <w:spacing w:after="0" w:line="240" w:lineRule="auto"/>
              <w:jc w:val="both"/>
              <w:rPr>
                <w:sz w:val="24"/>
                <w:szCs w:val="24"/>
              </w:rPr>
            </w:pPr>
            <w:r w:rsidRPr="00D928CD">
              <w:rPr>
                <w:rFonts w:ascii="Times New Roman" w:eastAsia="Times New Roman" w:hAnsi="Times New Roman" w:cs="Times New Roman"/>
                <w:sz w:val="24"/>
                <w:szCs w:val="24"/>
              </w:rPr>
              <w:t>Beļģija, Latvija, Zviedrija, Austrija (</w:t>
            </w:r>
            <w:proofErr w:type="spellStart"/>
            <w:r w:rsidRPr="00D928CD">
              <w:rPr>
                <w:rFonts w:ascii="Times New Roman" w:eastAsia="Times New Roman" w:hAnsi="Times New Roman" w:cs="Times New Roman"/>
                <w:sz w:val="24"/>
                <w:szCs w:val="24"/>
              </w:rPr>
              <w:t>Parking</w:t>
            </w:r>
            <w:proofErr w:type="spellEnd"/>
            <w:r w:rsidRPr="00D928CD">
              <w:rPr>
                <w:rFonts w:ascii="Times New Roman" w:eastAsia="Times New Roman" w:hAnsi="Times New Roman" w:cs="Times New Roman"/>
                <w:sz w:val="24"/>
                <w:szCs w:val="24"/>
              </w:rPr>
              <w:t xml:space="preserve"> </w:t>
            </w:r>
            <w:proofErr w:type="spellStart"/>
            <w:r w:rsidRPr="00D928CD">
              <w:rPr>
                <w:rFonts w:ascii="Times New Roman" w:eastAsia="Times New Roman" w:hAnsi="Times New Roman" w:cs="Times New Roman"/>
                <w:sz w:val="24"/>
                <w:szCs w:val="24"/>
              </w:rPr>
              <w:t>rate</w:t>
            </w:r>
            <w:proofErr w:type="spellEnd"/>
            <w:r w:rsidRPr="00D928CD">
              <w:rPr>
                <w:rFonts w:ascii="Times New Roman" w:eastAsia="Times New Roman" w:hAnsi="Times New Roman" w:cs="Times New Roman"/>
                <w:sz w:val="24"/>
                <w:szCs w:val="24"/>
              </w:rPr>
              <w:t xml:space="preserve"> vīnam), Luksemburga (</w:t>
            </w:r>
            <w:proofErr w:type="spellStart"/>
            <w:r w:rsidRPr="00D928CD">
              <w:rPr>
                <w:rFonts w:ascii="Times New Roman" w:eastAsia="Times New Roman" w:hAnsi="Times New Roman" w:cs="Times New Roman"/>
                <w:sz w:val="24"/>
                <w:szCs w:val="24"/>
              </w:rPr>
              <w:t>Parking</w:t>
            </w:r>
            <w:proofErr w:type="spellEnd"/>
            <w:r w:rsidRPr="00D928CD">
              <w:rPr>
                <w:rFonts w:ascii="Times New Roman" w:eastAsia="Times New Roman" w:hAnsi="Times New Roman" w:cs="Times New Roman"/>
                <w:sz w:val="24"/>
                <w:szCs w:val="24"/>
              </w:rPr>
              <w:t xml:space="preserve"> </w:t>
            </w:r>
            <w:proofErr w:type="spellStart"/>
            <w:r w:rsidRPr="00D928CD">
              <w:rPr>
                <w:rFonts w:ascii="Times New Roman" w:eastAsia="Times New Roman" w:hAnsi="Times New Roman" w:cs="Times New Roman"/>
                <w:sz w:val="24"/>
                <w:szCs w:val="24"/>
              </w:rPr>
              <w:t>rate</w:t>
            </w:r>
            <w:proofErr w:type="spellEnd"/>
            <w:r w:rsidRPr="00D928CD">
              <w:rPr>
                <w:rFonts w:ascii="Times New Roman" w:eastAsia="Times New Roman" w:hAnsi="Times New Roman" w:cs="Times New Roman"/>
                <w:sz w:val="24"/>
                <w:szCs w:val="24"/>
              </w:rPr>
              <w:t xml:space="preserve"> vīnam)</w:t>
            </w:r>
          </w:p>
        </w:tc>
      </w:tr>
      <w:tr w:rsidR="006A75E8" w:rsidRPr="00D928CD" w14:paraId="7661A8BB" w14:textId="77777777" w:rsidTr="00900CB6">
        <w:trPr>
          <w:cantSplit/>
          <w:trHeight w:val="1"/>
          <w:tblHeade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552917" w14:textId="77777777" w:rsidR="006A75E8" w:rsidRPr="00D928CD" w:rsidRDefault="004D2EAF">
            <w:pPr>
              <w:suppressAutoHyphens/>
              <w:spacing w:after="0" w:line="240" w:lineRule="auto"/>
              <w:jc w:val="both"/>
              <w:rPr>
                <w:sz w:val="24"/>
                <w:szCs w:val="24"/>
              </w:rPr>
            </w:pPr>
            <w:r w:rsidRPr="00D928CD">
              <w:rPr>
                <w:rFonts w:ascii="Times New Roman" w:eastAsia="Times New Roman" w:hAnsi="Times New Roman" w:cs="Times New Roman"/>
                <w:sz w:val="24"/>
                <w:szCs w:val="24"/>
              </w:rPr>
              <w:t>10%</w:t>
            </w:r>
          </w:p>
        </w:tc>
        <w:tc>
          <w:tcPr>
            <w:tcW w:w="6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162A4E" w14:textId="77777777" w:rsidR="006A75E8" w:rsidRPr="00D928CD" w:rsidRDefault="004D2EAF">
            <w:pPr>
              <w:suppressAutoHyphens/>
              <w:spacing w:after="0" w:line="240" w:lineRule="auto"/>
              <w:jc w:val="both"/>
              <w:rPr>
                <w:sz w:val="24"/>
                <w:szCs w:val="24"/>
              </w:rPr>
            </w:pPr>
            <w:r w:rsidRPr="00D928CD">
              <w:rPr>
                <w:rFonts w:ascii="Times New Roman" w:eastAsia="Times New Roman" w:hAnsi="Times New Roman" w:cs="Times New Roman"/>
                <w:sz w:val="24"/>
                <w:szCs w:val="24"/>
              </w:rPr>
              <w:t xml:space="preserve">Spānija, Francija, Itālija, Austrija, </w:t>
            </w:r>
          </w:p>
        </w:tc>
      </w:tr>
      <w:tr w:rsidR="006A75E8" w:rsidRPr="00D928CD" w14:paraId="5AB31071" w14:textId="77777777" w:rsidTr="00900CB6">
        <w:trPr>
          <w:cantSplit/>
          <w:trHeight w:val="1"/>
          <w:tblHeade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930931" w14:textId="77777777" w:rsidR="006A75E8" w:rsidRPr="00D928CD" w:rsidRDefault="004D2EAF">
            <w:pPr>
              <w:suppressAutoHyphens/>
              <w:spacing w:after="0" w:line="240" w:lineRule="auto"/>
              <w:jc w:val="both"/>
              <w:rPr>
                <w:sz w:val="24"/>
                <w:szCs w:val="24"/>
              </w:rPr>
            </w:pPr>
            <w:r w:rsidRPr="00D928CD">
              <w:rPr>
                <w:rFonts w:ascii="Times New Roman" w:eastAsia="Times New Roman" w:hAnsi="Times New Roman" w:cs="Times New Roman"/>
                <w:sz w:val="24"/>
                <w:szCs w:val="24"/>
              </w:rPr>
              <w:t>9,5%</w:t>
            </w:r>
          </w:p>
        </w:tc>
        <w:tc>
          <w:tcPr>
            <w:tcW w:w="6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D46EFF" w14:textId="77777777" w:rsidR="006A75E8" w:rsidRPr="00D928CD" w:rsidRDefault="004D2EAF">
            <w:pPr>
              <w:suppressAutoHyphens/>
              <w:spacing w:after="0" w:line="240" w:lineRule="auto"/>
              <w:jc w:val="both"/>
              <w:rPr>
                <w:sz w:val="24"/>
                <w:szCs w:val="24"/>
              </w:rPr>
            </w:pPr>
            <w:r w:rsidRPr="00D928CD">
              <w:rPr>
                <w:rFonts w:ascii="Times New Roman" w:eastAsia="Times New Roman" w:hAnsi="Times New Roman" w:cs="Times New Roman"/>
                <w:sz w:val="24"/>
                <w:szCs w:val="24"/>
              </w:rPr>
              <w:t>Slovēnija</w:t>
            </w:r>
          </w:p>
        </w:tc>
      </w:tr>
      <w:tr w:rsidR="006A75E8" w:rsidRPr="00D928CD" w14:paraId="3DEF56F4" w14:textId="77777777" w:rsidTr="00900CB6">
        <w:trPr>
          <w:cantSplit/>
          <w:trHeight w:val="1"/>
          <w:tblHeade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8A96CB" w14:textId="77777777" w:rsidR="006A75E8" w:rsidRPr="00D928CD" w:rsidRDefault="004D2EAF">
            <w:pPr>
              <w:suppressAutoHyphens/>
              <w:spacing w:after="0" w:line="240" w:lineRule="auto"/>
              <w:jc w:val="both"/>
              <w:rPr>
                <w:sz w:val="24"/>
                <w:szCs w:val="24"/>
              </w:rPr>
            </w:pPr>
            <w:r w:rsidRPr="00D928CD">
              <w:rPr>
                <w:rFonts w:ascii="Times New Roman" w:eastAsia="Times New Roman" w:hAnsi="Times New Roman" w:cs="Times New Roman"/>
                <w:sz w:val="24"/>
                <w:szCs w:val="24"/>
              </w:rPr>
              <w:t>9%</w:t>
            </w:r>
          </w:p>
        </w:tc>
        <w:tc>
          <w:tcPr>
            <w:tcW w:w="6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C7B81F" w14:textId="77777777" w:rsidR="006A75E8" w:rsidRPr="00D928CD" w:rsidRDefault="004D2EAF">
            <w:pPr>
              <w:suppressAutoHyphens/>
              <w:spacing w:after="0" w:line="240" w:lineRule="auto"/>
              <w:jc w:val="both"/>
              <w:rPr>
                <w:sz w:val="24"/>
                <w:szCs w:val="24"/>
              </w:rPr>
            </w:pPr>
            <w:r w:rsidRPr="00D928CD">
              <w:rPr>
                <w:rFonts w:ascii="Times New Roman" w:eastAsia="Times New Roman" w:hAnsi="Times New Roman" w:cs="Times New Roman"/>
                <w:sz w:val="24"/>
                <w:szCs w:val="24"/>
              </w:rPr>
              <w:t xml:space="preserve">Rumānija, </w:t>
            </w:r>
          </w:p>
        </w:tc>
      </w:tr>
      <w:tr w:rsidR="006A75E8" w:rsidRPr="00D928CD" w14:paraId="03BB9EB5" w14:textId="77777777" w:rsidTr="00900CB6">
        <w:trPr>
          <w:cantSplit/>
          <w:trHeight w:val="1"/>
          <w:tblHeade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E79261" w14:textId="77777777" w:rsidR="006A75E8" w:rsidRPr="00D928CD" w:rsidRDefault="004D2EAF">
            <w:pPr>
              <w:suppressAutoHyphens/>
              <w:spacing w:after="0" w:line="240" w:lineRule="auto"/>
              <w:jc w:val="both"/>
              <w:rPr>
                <w:sz w:val="24"/>
                <w:szCs w:val="24"/>
              </w:rPr>
            </w:pPr>
            <w:r w:rsidRPr="00D928CD">
              <w:rPr>
                <w:rFonts w:ascii="Times New Roman" w:eastAsia="Times New Roman" w:hAnsi="Times New Roman" w:cs="Times New Roman"/>
                <w:sz w:val="24"/>
                <w:szCs w:val="24"/>
              </w:rPr>
              <w:t>8%</w:t>
            </w:r>
          </w:p>
        </w:tc>
        <w:tc>
          <w:tcPr>
            <w:tcW w:w="6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E74E82" w14:textId="77777777" w:rsidR="006A75E8" w:rsidRPr="00D928CD" w:rsidRDefault="004D2EAF">
            <w:pPr>
              <w:suppressAutoHyphens/>
              <w:spacing w:after="0" w:line="240" w:lineRule="auto"/>
              <w:jc w:val="both"/>
              <w:rPr>
                <w:sz w:val="24"/>
                <w:szCs w:val="24"/>
              </w:rPr>
            </w:pPr>
            <w:r w:rsidRPr="00D928CD">
              <w:rPr>
                <w:rFonts w:ascii="Times New Roman" w:eastAsia="Times New Roman" w:hAnsi="Times New Roman" w:cs="Times New Roman"/>
                <w:sz w:val="24"/>
                <w:szCs w:val="24"/>
              </w:rPr>
              <w:t xml:space="preserve">Polija, </w:t>
            </w:r>
          </w:p>
        </w:tc>
      </w:tr>
      <w:tr w:rsidR="006A75E8" w:rsidRPr="00D928CD" w14:paraId="3150297A" w14:textId="77777777" w:rsidTr="00900CB6">
        <w:trPr>
          <w:cantSplit/>
          <w:trHeight w:val="1"/>
          <w:tblHeade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C43230" w14:textId="77777777" w:rsidR="006A75E8" w:rsidRPr="00D928CD" w:rsidRDefault="004D2EAF">
            <w:pPr>
              <w:suppressAutoHyphens/>
              <w:spacing w:after="0" w:line="240" w:lineRule="auto"/>
              <w:jc w:val="both"/>
              <w:rPr>
                <w:sz w:val="24"/>
                <w:szCs w:val="24"/>
              </w:rPr>
            </w:pPr>
            <w:r w:rsidRPr="00D928CD">
              <w:rPr>
                <w:rFonts w:ascii="Times New Roman" w:eastAsia="Times New Roman" w:hAnsi="Times New Roman" w:cs="Times New Roman"/>
                <w:sz w:val="24"/>
                <w:szCs w:val="24"/>
              </w:rPr>
              <w:t>7%</w:t>
            </w:r>
          </w:p>
        </w:tc>
        <w:tc>
          <w:tcPr>
            <w:tcW w:w="6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C62A43" w14:textId="77777777" w:rsidR="006A75E8" w:rsidRPr="00D928CD" w:rsidRDefault="004D2EAF">
            <w:pPr>
              <w:suppressAutoHyphens/>
              <w:spacing w:after="0" w:line="240" w:lineRule="auto"/>
              <w:jc w:val="both"/>
              <w:rPr>
                <w:sz w:val="24"/>
                <w:szCs w:val="24"/>
              </w:rPr>
            </w:pPr>
            <w:r w:rsidRPr="00D928CD">
              <w:rPr>
                <w:rFonts w:ascii="Times New Roman" w:eastAsia="Times New Roman" w:hAnsi="Times New Roman" w:cs="Times New Roman"/>
                <w:sz w:val="24"/>
                <w:szCs w:val="24"/>
              </w:rPr>
              <w:t xml:space="preserve">Vācija, </w:t>
            </w:r>
          </w:p>
        </w:tc>
      </w:tr>
      <w:tr w:rsidR="006A75E8" w:rsidRPr="00D928CD" w14:paraId="1B99B37F" w14:textId="77777777" w:rsidTr="00900CB6">
        <w:trPr>
          <w:cantSplit/>
          <w:trHeight w:val="1"/>
          <w:tblHeade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53FEB1" w14:textId="77777777" w:rsidR="006A75E8" w:rsidRPr="00D928CD" w:rsidRDefault="004D2EAF">
            <w:pPr>
              <w:suppressAutoHyphens/>
              <w:spacing w:after="0" w:line="240" w:lineRule="auto"/>
              <w:jc w:val="both"/>
              <w:rPr>
                <w:sz w:val="24"/>
                <w:szCs w:val="24"/>
              </w:rPr>
            </w:pPr>
            <w:r w:rsidRPr="00D928CD">
              <w:rPr>
                <w:rFonts w:ascii="Times New Roman" w:eastAsia="Times New Roman" w:hAnsi="Times New Roman" w:cs="Times New Roman"/>
                <w:sz w:val="24"/>
                <w:szCs w:val="24"/>
              </w:rPr>
              <w:t>6%</w:t>
            </w:r>
          </w:p>
        </w:tc>
        <w:tc>
          <w:tcPr>
            <w:tcW w:w="6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EB02F" w14:textId="77777777" w:rsidR="006A75E8" w:rsidRPr="00D928CD" w:rsidRDefault="004D2EAF">
            <w:pPr>
              <w:suppressAutoHyphens/>
              <w:spacing w:after="0" w:line="240" w:lineRule="auto"/>
              <w:jc w:val="both"/>
              <w:rPr>
                <w:sz w:val="24"/>
                <w:szCs w:val="24"/>
              </w:rPr>
            </w:pPr>
            <w:r w:rsidRPr="00D928CD">
              <w:rPr>
                <w:rFonts w:ascii="Times New Roman" w:eastAsia="Times New Roman" w:hAnsi="Times New Roman" w:cs="Times New Roman"/>
                <w:sz w:val="24"/>
                <w:szCs w:val="24"/>
              </w:rPr>
              <w:t xml:space="preserve">Beļģija, Nīderlande, </w:t>
            </w:r>
          </w:p>
        </w:tc>
      </w:tr>
      <w:tr w:rsidR="006A75E8" w:rsidRPr="00D928CD" w14:paraId="446F79D0" w14:textId="77777777" w:rsidTr="00900CB6">
        <w:trPr>
          <w:cantSplit/>
          <w:trHeight w:val="1"/>
          <w:tblHeade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87E05B" w14:textId="77777777" w:rsidR="006A75E8" w:rsidRPr="00D928CD" w:rsidRDefault="004D2EAF">
            <w:pPr>
              <w:suppressAutoHyphens/>
              <w:spacing w:after="0" w:line="240" w:lineRule="auto"/>
              <w:jc w:val="both"/>
              <w:rPr>
                <w:sz w:val="24"/>
                <w:szCs w:val="24"/>
              </w:rPr>
            </w:pPr>
            <w:r w:rsidRPr="00D928CD">
              <w:rPr>
                <w:rFonts w:ascii="Times New Roman" w:eastAsia="Times New Roman" w:hAnsi="Times New Roman" w:cs="Times New Roman"/>
                <w:sz w:val="24"/>
                <w:szCs w:val="24"/>
              </w:rPr>
              <w:t>5,5%</w:t>
            </w:r>
          </w:p>
        </w:tc>
        <w:tc>
          <w:tcPr>
            <w:tcW w:w="6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B6FF5D" w14:textId="77777777" w:rsidR="006A75E8" w:rsidRPr="00D928CD" w:rsidRDefault="004D2EAF">
            <w:pPr>
              <w:suppressAutoHyphens/>
              <w:spacing w:after="0" w:line="240" w:lineRule="auto"/>
              <w:jc w:val="both"/>
              <w:rPr>
                <w:sz w:val="24"/>
                <w:szCs w:val="24"/>
              </w:rPr>
            </w:pPr>
            <w:r w:rsidRPr="00D928CD">
              <w:rPr>
                <w:rFonts w:ascii="Times New Roman" w:eastAsia="Times New Roman" w:hAnsi="Times New Roman" w:cs="Times New Roman"/>
                <w:sz w:val="24"/>
                <w:szCs w:val="24"/>
              </w:rPr>
              <w:t xml:space="preserve">Francija, </w:t>
            </w:r>
          </w:p>
        </w:tc>
      </w:tr>
      <w:tr w:rsidR="006A75E8" w:rsidRPr="00D928CD" w14:paraId="058E7E6A" w14:textId="77777777" w:rsidTr="00900CB6">
        <w:trPr>
          <w:cantSplit/>
          <w:trHeight w:val="1"/>
          <w:tblHeade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A0F10A" w14:textId="77777777" w:rsidR="006A75E8" w:rsidRPr="00D928CD" w:rsidRDefault="004D2EAF">
            <w:pPr>
              <w:suppressAutoHyphens/>
              <w:spacing w:after="0" w:line="240" w:lineRule="auto"/>
              <w:jc w:val="both"/>
              <w:rPr>
                <w:sz w:val="24"/>
                <w:szCs w:val="24"/>
              </w:rPr>
            </w:pPr>
            <w:r w:rsidRPr="00D928CD">
              <w:rPr>
                <w:rFonts w:ascii="Times New Roman" w:eastAsia="Times New Roman" w:hAnsi="Times New Roman" w:cs="Times New Roman"/>
                <w:sz w:val="24"/>
                <w:szCs w:val="24"/>
              </w:rPr>
              <w:t>5%</w:t>
            </w:r>
          </w:p>
        </w:tc>
        <w:tc>
          <w:tcPr>
            <w:tcW w:w="6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4BC341" w14:textId="77777777" w:rsidR="006A75E8" w:rsidRPr="00D928CD" w:rsidRDefault="004D2EAF">
            <w:pPr>
              <w:suppressAutoHyphens/>
              <w:spacing w:after="0" w:line="240" w:lineRule="auto"/>
              <w:jc w:val="both"/>
              <w:rPr>
                <w:sz w:val="24"/>
                <w:szCs w:val="24"/>
              </w:rPr>
            </w:pPr>
            <w:r w:rsidRPr="00D928CD">
              <w:rPr>
                <w:rFonts w:ascii="Times New Roman" w:eastAsia="Times New Roman" w:hAnsi="Times New Roman" w:cs="Times New Roman"/>
                <w:sz w:val="24"/>
                <w:szCs w:val="24"/>
              </w:rPr>
              <w:t xml:space="preserve">Horvātija, Kipra, Polija, </w:t>
            </w:r>
          </w:p>
        </w:tc>
      </w:tr>
      <w:tr w:rsidR="006A75E8" w:rsidRPr="00D928CD" w14:paraId="705ABF0D" w14:textId="77777777" w:rsidTr="00900CB6">
        <w:trPr>
          <w:cantSplit/>
          <w:trHeight w:val="1"/>
          <w:tblHeade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946E44" w14:textId="77777777" w:rsidR="006A75E8" w:rsidRPr="00D928CD" w:rsidRDefault="004D2EAF">
            <w:pPr>
              <w:suppressAutoHyphens/>
              <w:spacing w:after="0" w:line="240" w:lineRule="auto"/>
              <w:jc w:val="both"/>
              <w:rPr>
                <w:sz w:val="24"/>
                <w:szCs w:val="24"/>
              </w:rPr>
            </w:pPr>
            <w:r w:rsidRPr="00D928CD">
              <w:rPr>
                <w:rFonts w:ascii="Times New Roman" w:eastAsia="Times New Roman" w:hAnsi="Times New Roman" w:cs="Times New Roman"/>
                <w:sz w:val="24"/>
                <w:szCs w:val="24"/>
              </w:rPr>
              <w:t>4,8%</w:t>
            </w:r>
          </w:p>
        </w:tc>
        <w:tc>
          <w:tcPr>
            <w:tcW w:w="6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5704AA" w14:textId="77777777" w:rsidR="006A75E8" w:rsidRPr="00D928CD" w:rsidRDefault="004D2EAF">
            <w:pPr>
              <w:suppressAutoHyphens/>
              <w:spacing w:after="0" w:line="240" w:lineRule="auto"/>
              <w:jc w:val="both"/>
              <w:rPr>
                <w:sz w:val="24"/>
                <w:szCs w:val="24"/>
              </w:rPr>
            </w:pPr>
            <w:r w:rsidRPr="00D928CD">
              <w:rPr>
                <w:rFonts w:ascii="Times New Roman" w:eastAsia="Times New Roman" w:hAnsi="Times New Roman" w:cs="Times New Roman"/>
                <w:sz w:val="24"/>
                <w:szCs w:val="24"/>
              </w:rPr>
              <w:t>Īrija</w:t>
            </w:r>
          </w:p>
        </w:tc>
      </w:tr>
      <w:tr w:rsidR="006A75E8" w:rsidRPr="00D928CD" w14:paraId="2B01F27A" w14:textId="77777777" w:rsidTr="00900CB6">
        <w:trPr>
          <w:cantSplit/>
          <w:trHeight w:val="1"/>
          <w:tblHeade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6058FF" w14:textId="77777777" w:rsidR="006A75E8" w:rsidRPr="00D928CD" w:rsidRDefault="004D2EAF">
            <w:pPr>
              <w:suppressAutoHyphens/>
              <w:spacing w:after="0" w:line="240" w:lineRule="auto"/>
              <w:jc w:val="both"/>
              <w:rPr>
                <w:sz w:val="24"/>
                <w:szCs w:val="24"/>
              </w:rPr>
            </w:pPr>
            <w:r w:rsidRPr="00D928CD">
              <w:rPr>
                <w:rFonts w:ascii="Times New Roman" w:eastAsia="Times New Roman" w:hAnsi="Times New Roman" w:cs="Times New Roman"/>
                <w:sz w:val="24"/>
                <w:szCs w:val="24"/>
              </w:rPr>
              <w:t>4%</w:t>
            </w:r>
          </w:p>
        </w:tc>
        <w:tc>
          <w:tcPr>
            <w:tcW w:w="6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431177" w14:textId="77777777" w:rsidR="006A75E8" w:rsidRPr="00D928CD" w:rsidRDefault="004D2EAF">
            <w:pPr>
              <w:suppressAutoHyphens/>
              <w:spacing w:after="0" w:line="240" w:lineRule="auto"/>
              <w:jc w:val="both"/>
              <w:rPr>
                <w:sz w:val="24"/>
                <w:szCs w:val="24"/>
              </w:rPr>
            </w:pPr>
            <w:r w:rsidRPr="00D928CD">
              <w:rPr>
                <w:rFonts w:ascii="Times New Roman" w:eastAsia="Times New Roman" w:hAnsi="Times New Roman" w:cs="Times New Roman"/>
                <w:sz w:val="24"/>
                <w:szCs w:val="24"/>
              </w:rPr>
              <w:t>Spānija, Itālija</w:t>
            </w:r>
          </w:p>
        </w:tc>
      </w:tr>
      <w:tr w:rsidR="006A75E8" w:rsidRPr="00D928CD" w14:paraId="361C4494" w14:textId="77777777" w:rsidTr="00900CB6">
        <w:trPr>
          <w:cantSplit/>
          <w:trHeight w:val="1"/>
          <w:tblHeade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BFE98C" w14:textId="77777777" w:rsidR="006A75E8" w:rsidRPr="00D928CD" w:rsidRDefault="004D2EAF">
            <w:pPr>
              <w:suppressAutoHyphens/>
              <w:spacing w:after="0" w:line="240" w:lineRule="auto"/>
              <w:jc w:val="both"/>
              <w:rPr>
                <w:sz w:val="24"/>
                <w:szCs w:val="24"/>
              </w:rPr>
            </w:pPr>
            <w:r w:rsidRPr="00D928CD">
              <w:rPr>
                <w:rFonts w:ascii="Times New Roman" w:eastAsia="Times New Roman" w:hAnsi="Times New Roman" w:cs="Times New Roman"/>
                <w:sz w:val="24"/>
                <w:szCs w:val="24"/>
              </w:rPr>
              <w:t>3%</w:t>
            </w:r>
          </w:p>
        </w:tc>
        <w:tc>
          <w:tcPr>
            <w:tcW w:w="6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6F4E50" w14:textId="77777777" w:rsidR="006A75E8" w:rsidRPr="00D928CD" w:rsidRDefault="004D2EAF">
            <w:pPr>
              <w:suppressAutoHyphens/>
              <w:spacing w:after="0" w:line="240" w:lineRule="auto"/>
              <w:jc w:val="both"/>
              <w:rPr>
                <w:sz w:val="24"/>
                <w:szCs w:val="24"/>
              </w:rPr>
            </w:pPr>
            <w:r w:rsidRPr="00D928CD">
              <w:rPr>
                <w:rFonts w:ascii="Times New Roman" w:eastAsia="Times New Roman" w:hAnsi="Times New Roman" w:cs="Times New Roman"/>
                <w:sz w:val="24"/>
                <w:szCs w:val="24"/>
              </w:rPr>
              <w:t xml:space="preserve">Luksemburga, </w:t>
            </w:r>
          </w:p>
        </w:tc>
      </w:tr>
      <w:tr w:rsidR="006A75E8" w:rsidRPr="00D928CD" w14:paraId="50669443" w14:textId="77777777" w:rsidTr="00900CB6">
        <w:trPr>
          <w:cantSplit/>
          <w:trHeight w:val="1"/>
          <w:tblHeade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7FC2B8" w14:textId="77777777" w:rsidR="006A75E8" w:rsidRPr="00D928CD" w:rsidRDefault="004D2EAF">
            <w:pPr>
              <w:suppressAutoHyphens/>
              <w:spacing w:after="0" w:line="240" w:lineRule="auto"/>
              <w:jc w:val="both"/>
              <w:rPr>
                <w:sz w:val="24"/>
                <w:szCs w:val="24"/>
              </w:rPr>
            </w:pPr>
            <w:r w:rsidRPr="00D928CD">
              <w:rPr>
                <w:rFonts w:ascii="Times New Roman" w:eastAsia="Times New Roman" w:hAnsi="Times New Roman" w:cs="Times New Roman"/>
                <w:sz w:val="24"/>
                <w:szCs w:val="24"/>
              </w:rPr>
              <w:t>0%</w:t>
            </w:r>
          </w:p>
        </w:tc>
        <w:tc>
          <w:tcPr>
            <w:tcW w:w="6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5E0EB2" w14:textId="77777777" w:rsidR="006A75E8" w:rsidRPr="00D928CD" w:rsidRDefault="004D2EAF">
            <w:pPr>
              <w:suppressAutoHyphens/>
              <w:spacing w:after="0" w:line="240" w:lineRule="auto"/>
              <w:jc w:val="both"/>
              <w:rPr>
                <w:sz w:val="24"/>
                <w:szCs w:val="24"/>
              </w:rPr>
            </w:pPr>
            <w:r w:rsidRPr="00D928CD">
              <w:rPr>
                <w:rFonts w:ascii="Times New Roman" w:eastAsia="Times New Roman" w:hAnsi="Times New Roman" w:cs="Times New Roman"/>
                <w:sz w:val="24"/>
                <w:szCs w:val="24"/>
              </w:rPr>
              <w:t>Īrija, Malta, Apvienotā Karaliste</w:t>
            </w:r>
          </w:p>
        </w:tc>
      </w:tr>
    </w:tbl>
    <w:p w14:paraId="0A52A0C4" w14:textId="34CFAF92" w:rsidR="006A75E8" w:rsidRPr="00032360" w:rsidRDefault="00032360" w:rsidP="00D928CD">
      <w:pPr>
        <w:suppressAutoHyphens/>
        <w:spacing w:after="240" w:line="240" w:lineRule="auto"/>
        <w:ind w:left="720"/>
        <w:jc w:val="both"/>
        <w:rPr>
          <w:rFonts w:ascii="Calibri" w:eastAsia="Calibri" w:hAnsi="Calibri" w:cs="Calibri"/>
          <w:i/>
          <w:sz w:val="20"/>
          <w:szCs w:val="20"/>
        </w:rPr>
      </w:pPr>
      <w:r w:rsidRPr="00032360">
        <w:rPr>
          <w:rFonts w:ascii="Calibri" w:eastAsia="Calibri" w:hAnsi="Calibri" w:cs="Calibri"/>
          <w:i/>
          <w:sz w:val="20"/>
          <w:szCs w:val="20"/>
        </w:rPr>
        <w:t>*</w:t>
      </w:r>
      <w:r w:rsidRPr="006511BB">
        <w:rPr>
          <w:rFonts w:ascii="Times New Roman" w:eastAsia="Times New Roman" w:hAnsi="Times New Roman" w:cs="Times New Roman"/>
          <w:i/>
          <w:sz w:val="20"/>
          <w:szCs w:val="20"/>
        </w:rPr>
        <w:t xml:space="preserve"> </w:t>
      </w:r>
      <w:r w:rsidR="008E0850" w:rsidRPr="008E0850">
        <w:rPr>
          <w:rFonts w:ascii="Times New Roman" w:eastAsia="Times New Roman" w:hAnsi="Times New Roman" w:cs="Times New Roman"/>
          <w:i/>
          <w:sz w:val="20"/>
          <w:szCs w:val="20"/>
        </w:rPr>
        <w:t xml:space="preserve">Datu avots: VAT </w:t>
      </w:r>
      <w:proofErr w:type="spellStart"/>
      <w:r w:rsidR="008E0850" w:rsidRPr="008E0850">
        <w:rPr>
          <w:rFonts w:ascii="Times New Roman" w:eastAsia="Times New Roman" w:hAnsi="Times New Roman" w:cs="Times New Roman"/>
          <w:i/>
          <w:sz w:val="20"/>
          <w:szCs w:val="20"/>
        </w:rPr>
        <w:t>Rates</w:t>
      </w:r>
      <w:proofErr w:type="spellEnd"/>
      <w:r w:rsidR="008E0850" w:rsidRPr="008E0850">
        <w:rPr>
          <w:rFonts w:ascii="Times New Roman" w:eastAsia="Times New Roman" w:hAnsi="Times New Roman" w:cs="Times New Roman"/>
          <w:i/>
          <w:sz w:val="20"/>
          <w:szCs w:val="20"/>
        </w:rPr>
        <w:t xml:space="preserve"> </w:t>
      </w:r>
      <w:proofErr w:type="spellStart"/>
      <w:r w:rsidR="008E0850" w:rsidRPr="008E0850">
        <w:rPr>
          <w:rFonts w:ascii="Times New Roman" w:eastAsia="Times New Roman" w:hAnsi="Times New Roman" w:cs="Times New Roman"/>
          <w:i/>
          <w:sz w:val="20"/>
          <w:szCs w:val="20"/>
        </w:rPr>
        <w:t>Applied</w:t>
      </w:r>
      <w:proofErr w:type="spellEnd"/>
      <w:r w:rsidR="008E0850" w:rsidRPr="008E0850">
        <w:rPr>
          <w:rFonts w:ascii="Times New Roman" w:eastAsia="Times New Roman" w:hAnsi="Times New Roman" w:cs="Times New Roman"/>
          <w:i/>
          <w:sz w:val="20"/>
          <w:szCs w:val="20"/>
        </w:rPr>
        <w:t xml:space="preserve"> </w:t>
      </w:r>
      <w:proofErr w:type="spellStart"/>
      <w:r w:rsidR="008E0850" w:rsidRPr="008E0850">
        <w:rPr>
          <w:rFonts w:ascii="Times New Roman" w:eastAsia="Times New Roman" w:hAnsi="Times New Roman" w:cs="Times New Roman"/>
          <w:i/>
          <w:sz w:val="20"/>
          <w:szCs w:val="20"/>
        </w:rPr>
        <w:t>in</w:t>
      </w:r>
      <w:proofErr w:type="spellEnd"/>
      <w:r w:rsidR="008E0850" w:rsidRPr="008E0850">
        <w:rPr>
          <w:rFonts w:ascii="Times New Roman" w:eastAsia="Times New Roman" w:hAnsi="Times New Roman" w:cs="Times New Roman"/>
          <w:i/>
          <w:sz w:val="20"/>
          <w:szCs w:val="20"/>
        </w:rPr>
        <w:t xml:space="preserve"> </w:t>
      </w:r>
      <w:proofErr w:type="spellStart"/>
      <w:r w:rsidR="008E0850" w:rsidRPr="008E0850">
        <w:rPr>
          <w:rFonts w:ascii="Times New Roman" w:eastAsia="Times New Roman" w:hAnsi="Times New Roman" w:cs="Times New Roman"/>
          <w:i/>
          <w:sz w:val="20"/>
          <w:szCs w:val="20"/>
        </w:rPr>
        <w:t>the</w:t>
      </w:r>
      <w:proofErr w:type="spellEnd"/>
      <w:r w:rsidR="008E0850" w:rsidRPr="008E0850">
        <w:rPr>
          <w:rFonts w:ascii="Times New Roman" w:eastAsia="Times New Roman" w:hAnsi="Times New Roman" w:cs="Times New Roman"/>
          <w:i/>
          <w:sz w:val="20"/>
          <w:szCs w:val="20"/>
        </w:rPr>
        <w:t xml:space="preserve"> </w:t>
      </w:r>
      <w:proofErr w:type="spellStart"/>
      <w:r w:rsidR="008E0850" w:rsidRPr="008E0850">
        <w:rPr>
          <w:rFonts w:ascii="Times New Roman" w:eastAsia="Times New Roman" w:hAnsi="Times New Roman" w:cs="Times New Roman"/>
          <w:i/>
          <w:sz w:val="20"/>
          <w:szCs w:val="20"/>
        </w:rPr>
        <w:t>Member</w:t>
      </w:r>
      <w:proofErr w:type="spellEnd"/>
      <w:r w:rsidR="008E0850" w:rsidRPr="008E0850">
        <w:rPr>
          <w:rFonts w:ascii="Times New Roman" w:eastAsia="Times New Roman" w:hAnsi="Times New Roman" w:cs="Times New Roman"/>
          <w:i/>
          <w:sz w:val="20"/>
          <w:szCs w:val="20"/>
        </w:rPr>
        <w:t xml:space="preserve"> </w:t>
      </w:r>
      <w:proofErr w:type="spellStart"/>
      <w:r w:rsidR="008E0850" w:rsidRPr="008E0850">
        <w:rPr>
          <w:rFonts w:ascii="Times New Roman" w:eastAsia="Times New Roman" w:hAnsi="Times New Roman" w:cs="Times New Roman"/>
          <w:i/>
          <w:sz w:val="20"/>
          <w:szCs w:val="20"/>
        </w:rPr>
        <w:t>States</w:t>
      </w:r>
      <w:proofErr w:type="spellEnd"/>
      <w:r w:rsidR="008E0850" w:rsidRPr="008E0850">
        <w:rPr>
          <w:rFonts w:ascii="Times New Roman" w:eastAsia="Times New Roman" w:hAnsi="Times New Roman" w:cs="Times New Roman"/>
          <w:i/>
          <w:sz w:val="20"/>
          <w:szCs w:val="20"/>
        </w:rPr>
        <w:t xml:space="preserve"> </w:t>
      </w:r>
      <w:proofErr w:type="spellStart"/>
      <w:r w:rsidR="008E0850" w:rsidRPr="008E0850">
        <w:rPr>
          <w:rFonts w:ascii="Times New Roman" w:eastAsia="Times New Roman" w:hAnsi="Times New Roman" w:cs="Times New Roman"/>
          <w:i/>
          <w:sz w:val="20"/>
          <w:szCs w:val="20"/>
        </w:rPr>
        <w:t>of</w:t>
      </w:r>
      <w:proofErr w:type="spellEnd"/>
      <w:r w:rsidR="008E0850" w:rsidRPr="008E0850">
        <w:rPr>
          <w:rFonts w:ascii="Times New Roman" w:eastAsia="Times New Roman" w:hAnsi="Times New Roman" w:cs="Times New Roman"/>
          <w:i/>
          <w:sz w:val="20"/>
          <w:szCs w:val="20"/>
        </w:rPr>
        <w:t xml:space="preserve"> </w:t>
      </w:r>
      <w:proofErr w:type="spellStart"/>
      <w:r w:rsidR="008E0850" w:rsidRPr="008E0850">
        <w:rPr>
          <w:rFonts w:ascii="Times New Roman" w:eastAsia="Times New Roman" w:hAnsi="Times New Roman" w:cs="Times New Roman"/>
          <w:i/>
          <w:sz w:val="20"/>
          <w:szCs w:val="20"/>
        </w:rPr>
        <w:t>the</w:t>
      </w:r>
      <w:proofErr w:type="spellEnd"/>
      <w:r w:rsidR="008E0850" w:rsidRPr="008E0850">
        <w:rPr>
          <w:rFonts w:ascii="Times New Roman" w:eastAsia="Times New Roman" w:hAnsi="Times New Roman" w:cs="Times New Roman"/>
          <w:i/>
          <w:sz w:val="20"/>
          <w:szCs w:val="20"/>
        </w:rPr>
        <w:t xml:space="preserve"> </w:t>
      </w:r>
      <w:proofErr w:type="spellStart"/>
      <w:r w:rsidR="008E0850" w:rsidRPr="008E0850">
        <w:rPr>
          <w:rFonts w:ascii="Times New Roman" w:eastAsia="Times New Roman" w:hAnsi="Times New Roman" w:cs="Times New Roman"/>
          <w:i/>
          <w:sz w:val="20"/>
          <w:szCs w:val="20"/>
        </w:rPr>
        <w:t>European</w:t>
      </w:r>
      <w:proofErr w:type="spellEnd"/>
      <w:r w:rsidR="008E0850" w:rsidRPr="008E0850">
        <w:rPr>
          <w:rFonts w:ascii="Times New Roman" w:eastAsia="Times New Roman" w:hAnsi="Times New Roman" w:cs="Times New Roman"/>
          <w:i/>
          <w:sz w:val="20"/>
          <w:szCs w:val="20"/>
        </w:rPr>
        <w:t xml:space="preserve"> </w:t>
      </w:r>
      <w:proofErr w:type="spellStart"/>
      <w:r w:rsidR="008E0850" w:rsidRPr="008E0850">
        <w:rPr>
          <w:rFonts w:ascii="Times New Roman" w:eastAsia="Times New Roman" w:hAnsi="Times New Roman" w:cs="Times New Roman"/>
          <w:i/>
          <w:sz w:val="20"/>
          <w:szCs w:val="20"/>
        </w:rPr>
        <w:t>Union</w:t>
      </w:r>
      <w:proofErr w:type="spellEnd"/>
      <w:r w:rsidR="008E0850" w:rsidRPr="008E0850">
        <w:rPr>
          <w:rFonts w:ascii="Times New Roman" w:eastAsia="Times New Roman" w:hAnsi="Times New Roman" w:cs="Times New Roman"/>
          <w:i/>
          <w:sz w:val="20"/>
          <w:szCs w:val="20"/>
        </w:rPr>
        <w:t xml:space="preserve">, </w:t>
      </w:r>
      <w:proofErr w:type="spellStart"/>
      <w:r w:rsidR="008E0850" w:rsidRPr="008E0850">
        <w:rPr>
          <w:rFonts w:ascii="Times New Roman" w:eastAsia="Times New Roman" w:hAnsi="Times New Roman" w:cs="Times New Roman"/>
          <w:i/>
          <w:sz w:val="20"/>
          <w:szCs w:val="20"/>
        </w:rPr>
        <w:t>European</w:t>
      </w:r>
      <w:proofErr w:type="spellEnd"/>
      <w:r w:rsidR="008E0850" w:rsidRPr="008E0850">
        <w:rPr>
          <w:rFonts w:ascii="Times New Roman" w:eastAsia="Times New Roman" w:hAnsi="Times New Roman" w:cs="Times New Roman"/>
          <w:i/>
          <w:sz w:val="20"/>
          <w:szCs w:val="20"/>
        </w:rPr>
        <w:t xml:space="preserve"> </w:t>
      </w:r>
      <w:proofErr w:type="spellStart"/>
      <w:r w:rsidR="008E0850" w:rsidRPr="008E0850">
        <w:rPr>
          <w:rFonts w:ascii="Times New Roman" w:eastAsia="Times New Roman" w:hAnsi="Times New Roman" w:cs="Times New Roman"/>
          <w:i/>
          <w:sz w:val="20"/>
          <w:szCs w:val="20"/>
        </w:rPr>
        <w:t>Commission</w:t>
      </w:r>
      <w:proofErr w:type="spellEnd"/>
      <w:r w:rsidR="008E0850" w:rsidRPr="008E0850">
        <w:rPr>
          <w:rFonts w:ascii="Times New Roman" w:eastAsia="Times New Roman" w:hAnsi="Times New Roman" w:cs="Times New Roman"/>
          <w:i/>
          <w:sz w:val="20"/>
          <w:szCs w:val="20"/>
        </w:rPr>
        <w:t>, taxud.c.1(2014)2276174</w:t>
      </w:r>
    </w:p>
    <w:p w14:paraId="65157F39" w14:textId="04BE9EED" w:rsidR="00303C14" w:rsidRPr="00D928CD" w:rsidRDefault="00303C14">
      <w:pPr>
        <w:suppressAutoHyphens/>
        <w:spacing w:after="0" w:line="240" w:lineRule="auto"/>
        <w:ind w:firstLine="720"/>
        <w:jc w:val="both"/>
        <w:rPr>
          <w:rFonts w:ascii="Times New Roman" w:eastAsia="Times New Roman" w:hAnsi="Times New Roman" w:cs="Times New Roman"/>
          <w:sz w:val="24"/>
          <w:szCs w:val="24"/>
          <w:u w:val="single"/>
        </w:rPr>
      </w:pPr>
      <w:r w:rsidRPr="00D928CD">
        <w:rPr>
          <w:rFonts w:ascii="Times New Roman" w:eastAsia="Times New Roman" w:hAnsi="Times New Roman" w:cs="Times New Roman"/>
          <w:sz w:val="24"/>
          <w:szCs w:val="24"/>
        </w:rPr>
        <w:t xml:space="preserve">Analizējot PVN likmju attīstības tendences ES dalībvalstīs, jāsecina, ka ir vērojama stabila tendence palielināt gan PVN </w:t>
      </w:r>
      <w:proofErr w:type="spellStart"/>
      <w:r w:rsidRPr="00D928CD">
        <w:rPr>
          <w:rFonts w:ascii="Times New Roman" w:eastAsia="Times New Roman" w:hAnsi="Times New Roman" w:cs="Times New Roman"/>
          <w:sz w:val="24"/>
          <w:szCs w:val="24"/>
        </w:rPr>
        <w:t>standartlikmes</w:t>
      </w:r>
      <w:proofErr w:type="spellEnd"/>
      <w:r w:rsidRPr="00D928CD">
        <w:rPr>
          <w:rFonts w:ascii="Times New Roman" w:eastAsia="Times New Roman" w:hAnsi="Times New Roman" w:cs="Times New Roman"/>
          <w:sz w:val="24"/>
          <w:szCs w:val="24"/>
        </w:rPr>
        <w:t>, gan arī samazinātās likmes.</w:t>
      </w:r>
    </w:p>
    <w:p w14:paraId="1EEE2B30" w14:textId="77777777" w:rsidR="006A75E8" w:rsidRPr="00D928CD" w:rsidRDefault="004D2EAF">
      <w:pPr>
        <w:suppressAutoHyphens/>
        <w:spacing w:after="0" w:line="240" w:lineRule="auto"/>
        <w:ind w:firstLine="720"/>
        <w:jc w:val="both"/>
        <w:rPr>
          <w:rFonts w:ascii="Calibri" w:eastAsia="Calibri" w:hAnsi="Calibri" w:cs="Calibri"/>
          <w:sz w:val="24"/>
          <w:szCs w:val="24"/>
        </w:rPr>
      </w:pPr>
      <w:r w:rsidRPr="00D928CD">
        <w:rPr>
          <w:rFonts w:ascii="Times New Roman" w:eastAsia="Times New Roman" w:hAnsi="Times New Roman" w:cs="Times New Roman"/>
          <w:sz w:val="24"/>
          <w:szCs w:val="24"/>
          <w:u w:val="single"/>
        </w:rPr>
        <w:t>Čehijā</w:t>
      </w:r>
      <w:r w:rsidRPr="00D928CD">
        <w:rPr>
          <w:rFonts w:ascii="Times New Roman" w:eastAsia="Times New Roman" w:hAnsi="Times New Roman" w:cs="Times New Roman"/>
          <w:sz w:val="24"/>
          <w:szCs w:val="24"/>
        </w:rPr>
        <w:t xml:space="preserve"> no 2011.gada tika palielināta PVN likme pārtikas produktiem no 5% līdz 14</w:t>
      </w:r>
      <w:r w:rsidR="00E83EF6" w:rsidRPr="00D928CD">
        <w:rPr>
          <w:rFonts w:ascii="Times New Roman" w:eastAsia="Times New Roman" w:hAnsi="Times New Roman" w:cs="Times New Roman"/>
          <w:sz w:val="24"/>
          <w:szCs w:val="24"/>
        </w:rPr>
        <w:t> </w:t>
      </w:r>
      <w:r w:rsidR="005330FA" w:rsidRPr="00D928CD">
        <w:rPr>
          <w:rFonts w:ascii="Times New Roman" w:eastAsia="Times New Roman" w:hAnsi="Times New Roman" w:cs="Times New Roman"/>
          <w:sz w:val="24"/>
          <w:szCs w:val="24"/>
        </w:rPr>
        <w:t>%</w:t>
      </w:r>
      <w:r w:rsidRPr="00D928CD">
        <w:rPr>
          <w:rFonts w:ascii="Times New Roman" w:eastAsia="Times New Roman" w:hAnsi="Times New Roman" w:cs="Times New Roman"/>
          <w:sz w:val="24"/>
          <w:szCs w:val="24"/>
        </w:rPr>
        <w:t>.</w:t>
      </w:r>
    </w:p>
    <w:p w14:paraId="31FB9BD1" w14:textId="0C25EC99" w:rsidR="006A75E8" w:rsidRPr="00D928CD" w:rsidRDefault="004D2EAF">
      <w:pPr>
        <w:suppressAutoHyphens/>
        <w:spacing w:after="0" w:line="240" w:lineRule="auto"/>
        <w:ind w:firstLine="720"/>
        <w:jc w:val="both"/>
        <w:rPr>
          <w:rFonts w:ascii="Calibri" w:eastAsia="Calibri" w:hAnsi="Calibri" w:cs="Calibri"/>
          <w:sz w:val="24"/>
          <w:szCs w:val="24"/>
        </w:rPr>
      </w:pPr>
      <w:r w:rsidRPr="00D928CD">
        <w:rPr>
          <w:rFonts w:ascii="Times New Roman" w:eastAsia="Times New Roman" w:hAnsi="Times New Roman" w:cs="Times New Roman"/>
          <w:sz w:val="24"/>
          <w:szCs w:val="24"/>
          <w:u w:val="single"/>
        </w:rPr>
        <w:t>Grieķijā</w:t>
      </w:r>
      <w:r w:rsidRPr="00D928CD">
        <w:rPr>
          <w:rFonts w:ascii="Times New Roman" w:eastAsia="Times New Roman" w:hAnsi="Times New Roman" w:cs="Times New Roman"/>
          <w:sz w:val="24"/>
          <w:szCs w:val="24"/>
        </w:rPr>
        <w:t xml:space="preserve"> kopš 2005.gada PVN likme pārtikai tikusi pakāpeniski palielināta no 8% līdz 13%, vienlaicīgi samazinot arī samazinātās likmes bāzi – 2011. gada septembrī tika atcelta samazinātā </w:t>
      </w:r>
      <w:r w:rsidR="007831E2" w:rsidRPr="00D928CD">
        <w:rPr>
          <w:rFonts w:ascii="Times New Roman" w:eastAsia="Times New Roman" w:hAnsi="Times New Roman" w:cs="Times New Roman"/>
          <w:sz w:val="24"/>
          <w:szCs w:val="24"/>
        </w:rPr>
        <w:t>PVN</w:t>
      </w:r>
      <w:r w:rsidRPr="00D928CD">
        <w:rPr>
          <w:rFonts w:ascii="Times New Roman" w:eastAsia="Times New Roman" w:hAnsi="Times New Roman" w:cs="Times New Roman"/>
          <w:sz w:val="24"/>
          <w:szCs w:val="24"/>
        </w:rPr>
        <w:t xml:space="preserve"> likme bezalkoholiskajiem dzērieniem un ēdināšanas pakalpojumiem.</w:t>
      </w:r>
    </w:p>
    <w:p w14:paraId="1C95706D" w14:textId="2B0133FB" w:rsidR="005455F5" w:rsidRPr="00D928CD" w:rsidRDefault="005455F5" w:rsidP="005455F5">
      <w:pPr>
        <w:suppressAutoHyphens/>
        <w:spacing w:after="0" w:line="240" w:lineRule="auto"/>
        <w:ind w:firstLine="720"/>
        <w:jc w:val="both"/>
        <w:rPr>
          <w:rFonts w:ascii="Times New Roman" w:eastAsia="Times New Roman" w:hAnsi="Times New Roman" w:cs="Times New Roman"/>
          <w:sz w:val="24"/>
          <w:szCs w:val="24"/>
        </w:rPr>
      </w:pPr>
      <w:r w:rsidRPr="00D928CD">
        <w:rPr>
          <w:rFonts w:ascii="Times New Roman" w:eastAsia="Times New Roman" w:hAnsi="Times New Roman" w:cs="Times New Roman"/>
          <w:sz w:val="24"/>
          <w:szCs w:val="24"/>
          <w:u w:val="single"/>
        </w:rPr>
        <w:t>Spānijā</w:t>
      </w:r>
      <w:r w:rsidRPr="00D928CD">
        <w:rPr>
          <w:rFonts w:ascii="Times New Roman" w:eastAsia="Times New Roman" w:hAnsi="Times New Roman" w:cs="Times New Roman"/>
          <w:sz w:val="24"/>
          <w:szCs w:val="24"/>
        </w:rPr>
        <w:t xml:space="preserve"> PVN </w:t>
      </w:r>
      <w:proofErr w:type="spellStart"/>
      <w:r w:rsidR="007831E2" w:rsidRPr="00D928CD">
        <w:rPr>
          <w:rFonts w:ascii="Times New Roman" w:eastAsia="Times New Roman" w:hAnsi="Times New Roman" w:cs="Times New Roman"/>
          <w:sz w:val="24"/>
          <w:szCs w:val="24"/>
        </w:rPr>
        <w:t>standartlikme</w:t>
      </w:r>
      <w:proofErr w:type="spellEnd"/>
      <w:r w:rsidRPr="00D928CD">
        <w:rPr>
          <w:rFonts w:ascii="Times New Roman" w:eastAsia="Times New Roman" w:hAnsi="Times New Roman" w:cs="Times New Roman"/>
          <w:sz w:val="24"/>
          <w:szCs w:val="24"/>
        </w:rPr>
        <w:t xml:space="preserve"> pēdējo gadu laikā ir palielināta divreiz – no 16% uz </w:t>
      </w:r>
      <w:r w:rsidR="003611AC" w:rsidRPr="00D928CD">
        <w:rPr>
          <w:rFonts w:ascii="Times New Roman" w:eastAsia="Times New Roman" w:hAnsi="Times New Roman" w:cs="Times New Roman"/>
          <w:sz w:val="24"/>
          <w:szCs w:val="24"/>
        </w:rPr>
        <w:t xml:space="preserve">18% kopš 2010.gada 1.jūlija un </w:t>
      </w:r>
      <w:r w:rsidRPr="00D928CD">
        <w:rPr>
          <w:rFonts w:ascii="Times New Roman" w:eastAsia="Times New Roman" w:hAnsi="Times New Roman" w:cs="Times New Roman"/>
          <w:sz w:val="24"/>
          <w:szCs w:val="24"/>
        </w:rPr>
        <w:t>kopš 2012.</w:t>
      </w:r>
      <w:r w:rsidR="0087545C" w:rsidRPr="00D928CD">
        <w:rPr>
          <w:rFonts w:ascii="Times New Roman" w:eastAsia="Times New Roman" w:hAnsi="Times New Roman" w:cs="Times New Roman"/>
          <w:sz w:val="24"/>
          <w:szCs w:val="24"/>
        </w:rPr>
        <w:t> </w:t>
      </w:r>
      <w:r w:rsidRPr="00D928CD">
        <w:rPr>
          <w:rFonts w:ascii="Times New Roman" w:eastAsia="Times New Roman" w:hAnsi="Times New Roman" w:cs="Times New Roman"/>
          <w:sz w:val="24"/>
          <w:szCs w:val="24"/>
        </w:rPr>
        <w:t xml:space="preserve">gada 1.septembra uz 21%. Arī </w:t>
      </w:r>
      <w:r w:rsidR="007831E2" w:rsidRPr="00D928CD">
        <w:rPr>
          <w:rFonts w:ascii="Times New Roman" w:eastAsia="Times New Roman" w:hAnsi="Times New Roman" w:cs="Times New Roman"/>
          <w:sz w:val="24"/>
          <w:szCs w:val="24"/>
        </w:rPr>
        <w:t>samazinātā</w:t>
      </w:r>
      <w:r w:rsidRPr="00D928CD">
        <w:rPr>
          <w:rFonts w:ascii="Times New Roman" w:eastAsia="Times New Roman" w:hAnsi="Times New Roman" w:cs="Times New Roman"/>
          <w:sz w:val="24"/>
          <w:szCs w:val="24"/>
        </w:rPr>
        <w:t xml:space="preserve"> PVN likme pārtikas produktiem piedzīvoja pakāpenisku palielinājumu </w:t>
      </w:r>
      <w:r w:rsidR="00C8036B" w:rsidRPr="00D928CD">
        <w:rPr>
          <w:rFonts w:ascii="Times New Roman" w:eastAsia="Times New Roman" w:hAnsi="Times New Roman" w:cs="Times New Roman"/>
          <w:sz w:val="24"/>
          <w:szCs w:val="24"/>
        </w:rPr>
        <w:t xml:space="preserve">- </w:t>
      </w:r>
      <w:r w:rsidRPr="00D928CD">
        <w:rPr>
          <w:rFonts w:ascii="Times New Roman" w:eastAsia="Times New Roman" w:hAnsi="Times New Roman" w:cs="Times New Roman"/>
          <w:sz w:val="24"/>
          <w:szCs w:val="24"/>
        </w:rPr>
        <w:t>2010.</w:t>
      </w:r>
      <w:r w:rsidR="0087545C" w:rsidRPr="00D928CD">
        <w:rPr>
          <w:rFonts w:ascii="Times New Roman" w:eastAsia="Times New Roman" w:hAnsi="Times New Roman" w:cs="Times New Roman"/>
          <w:sz w:val="24"/>
          <w:szCs w:val="24"/>
        </w:rPr>
        <w:t> </w:t>
      </w:r>
      <w:r w:rsidRPr="00D928CD">
        <w:rPr>
          <w:rFonts w:ascii="Times New Roman" w:eastAsia="Times New Roman" w:hAnsi="Times New Roman" w:cs="Times New Roman"/>
          <w:sz w:val="24"/>
          <w:szCs w:val="24"/>
        </w:rPr>
        <w:t>gad</w:t>
      </w:r>
      <w:r w:rsidR="00C8036B" w:rsidRPr="00D928CD">
        <w:rPr>
          <w:rFonts w:ascii="Times New Roman" w:eastAsia="Times New Roman" w:hAnsi="Times New Roman" w:cs="Times New Roman"/>
          <w:sz w:val="24"/>
          <w:szCs w:val="24"/>
        </w:rPr>
        <w:t>ā no 7% uz</w:t>
      </w:r>
      <w:r w:rsidRPr="00D928CD">
        <w:rPr>
          <w:rFonts w:ascii="Times New Roman" w:eastAsia="Times New Roman" w:hAnsi="Times New Roman" w:cs="Times New Roman"/>
          <w:sz w:val="24"/>
          <w:szCs w:val="24"/>
        </w:rPr>
        <w:t xml:space="preserve"> 8%</w:t>
      </w:r>
      <w:r w:rsidR="00C8036B" w:rsidRPr="00D928CD">
        <w:rPr>
          <w:rFonts w:ascii="Times New Roman" w:eastAsia="Times New Roman" w:hAnsi="Times New Roman" w:cs="Times New Roman"/>
          <w:sz w:val="24"/>
          <w:szCs w:val="24"/>
        </w:rPr>
        <w:t>, savukārt</w:t>
      </w:r>
      <w:r w:rsidRPr="00D928CD">
        <w:rPr>
          <w:rFonts w:ascii="Times New Roman" w:eastAsia="Times New Roman" w:hAnsi="Times New Roman" w:cs="Times New Roman"/>
          <w:sz w:val="24"/>
          <w:szCs w:val="24"/>
        </w:rPr>
        <w:t xml:space="preserve"> </w:t>
      </w:r>
      <w:r w:rsidR="0045086C" w:rsidRPr="00D928CD">
        <w:rPr>
          <w:rFonts w:ascii="Times New Roman" w:eastAsia="Times New Roman" w:hAnsi="Times New Roman" w:cs="Times New Roman"/>
          <w:sz w:val="24"/>
          <w:szCs w:val="24"/>
        </w:rPr>
        <w:t xml:space="preserve">no </w:t>
      </w:r>
      <w:r w:rsidRPr="00D928CD">
        <w:rPr>
          <w:rFonts w:ascii="Times New Roman" w:eastAsia="Times New Roman" w:hAnsi="Times New Roman" w:cs="Times New Roman"/>
          <w:sz w:val="24"/>
          <w:szCs w:val="24"/>
        </w:rPr>
        <w:t>2014</w:t>
      </w:r>
      <w:r w:rsidR="0045086C" w:rsidRPr="00D928CD">
        <w:rPr>
          <w:rFonts w:ascii="Times New Roman" w:eastAsia="Times New Roman" w:hAnsi="Times New Roman" w:cs="Times New Roman"/>
          <w:sz w:val="24"/>
          <w:szCs w:val="24"/>
        </w:rPr>
        <w:t> </w:t>
      </w:r>
      <w:r w:rsidRPr="00D928CD">
        <w:rPr>
          <w:rFonts w:ascii="Times New Roman" w:eastAsia="Times New Roman" w:hAnsi="Times New Roman" w:cs="Times New Roman"/>
          <w:sz w:val="24"/>
          <w:szCs w:val="24"/>
        </w:rPr>
        <w:t>.gada 1.</w:t>
      </w:r>
      <w:r w:rsidR="0045086C" w:rsidRPr="00D928CD">
        <w:rPr>
          <w:rFonts w:ascii="Times New Roman" w:eastAsia="Times New Roman" w:hAnsi="Times New Roman" w:cs="Times New Roman"/>
          <w:sz w:val="24"/>
          <w:szCs w:val="24"/>
        </w:rPr>
        <w:t xml:space="preserve"> jūlija </w:t>
      </w:r>
      <w:r w:rsidR="00F145A6" w:rsidRPr="00D928CD">
        <w:rPr>
          <w:rFonts w:ascii="Times New Roman" w:eastAsia="Times New Roman" w:hAnsi="Times New Roman" w:cs="Times New Roman"/>
          <w:sz w:val="24"/>
          <w:szCs w:val="24"/>
        </w:rPr>
        <w:t xml:space="preserve">tā </w:t>
      </w:r>
      <w:r w:rsidRPr="00D928CD">
        <w:rPr>
          <w:rFonts w:ascii="Times New Roman" w:eastAsia="Times New Roman" w:hAnsi="Times New Roman" w:cs="Times New Roman"/>
          <w:sz w:val="24"/>
          <w:szCs w:val="24"/>
        </w:rPr>
        <w:t>palielināta līdz 10%.</w:t>
      </w:r>
    </w:p>
    <w:p w14:paraId="2C06D4B9" w14:textId="7E6212C3" w:rsidR="005455F5" w:rsidRPr="00D928CD" w:rsidRDefault="005455F5" w:rsidP="005455F5">
      <w:pPr>
        <w:suppressAutoHyphens/>
        <w:spacing w:after="0" w:line="240" w:lineRule="auto"/>
        <w:ind w:firstLine="720"/>
        <w:jc w:val="both"/>
        <w:rPr>
          <w:rFonts w:ascii="Times New Roman" w:eastAsia="Times New Roman" w:hAnsi="Times New Roman" w:cs="Times New Roman"/>
          <w:sz w:val="24"/>
          <w:szCs w:val="24"/>
        </w:rPr>
      </w:pPr>
      <w:r w:rsidRPr="00D928CD">
        <w:rPr>
          <w:rFonts w:ascii="Times New Roman" w:eastAsia="Times New Roman" w:hAnsi="Times New Roman" w:cs="Times New Roman"/>
          <w:sz w:val="24"/>
          <w:szCs w:val="24"/>
          <w:u w:val="single"/>
        </w:rPr>
        <w:t>Francijā</w:t>
      </w:r>
      <w:r w:rsidRPr="00D928CD">
        <w:rPr>
          <w:rFonts w:ascii="Times New Roman" w:eastAsia="Times New Roman" w:hAnsi="Times New Roman" w:cs="Times New Roman"/>
          <w:sz w:val="24"/>
          <w:szCs w:val="24"/>
        </w:rPr>
        <w:t xml:space="preserve"> no 2014.</w:t>
      </w:r>
      <w:r w:rsidR="0087545C" w:rsidRPr="00D928CD">
        <w:rPr>
          <w:rFonts w:ascii="Times New Roman" w:eastAsia="Times New Roman" w:hAnsi="Times New Roman" w:cs="Times New Roman"/>
          <w:sz w:val="24"/>
          <w:szCs w:val="24"/>
        </w:rPr>
        <w:t> </w:t>
      </w:r>
      <w:r w:rsidRPr="00D928CD">
        <w:rPr>
          <w:rFonts w:ascii="Times New Roman" w:eastAsia="Times New Roman" w:hAnsi="Times New Roman" w:cs="Times New Roman"/>
          <w:sz w:val="24"/>
          <w:szCs w:val="24"/>
        </w:rPr>
        <w:t>gada 1.</w:t>
      </w:r>
      <w:r w:rsidR="0087545C" w:rsidRPr="00D928CD">
        <w:rPr>
          <w:rFonts w:ascii="Times New Roman" w:eastAsia="Times New Roman" w:hAnsi="Times New Roman" w:cs="Times New Roman"/>
          <w:sz w:val="24"/>
          <w:szCs w:val="24"/>
        </w:rPr>
        <w:t> </w:t>
      </w:r>
      <w:r w:rsidRPr="00D928CD">
        <w:rPr>
          <w:rFonts w:ascii="Times New Roman" w:eastAsia="Times New Roman" w:hAnsi="Times New Roman" w:cs="Times New Roman"/>
          <w:sz w:val="24"/>
          <w:szCs w:val="24"/>
        </w:rPr>
        <w:t xml:space="preserve">janvāra ir palielināta PVN </w:t>
      </w:r>
      <w:proofErr w:type="spellStart"/>
      <w:r w:rsidR="007831E2" w:rsidRPr="00D928CD">
        <w:rPr>
          <w:rFonts w:ascii="Times New Roman" w:eastAsia="Times New Roman" w:hAnsi="Times New Roman" w:cs="Times New Roman"/>
          <w:sz w:val="24"/>
          <w:szCs w:val="24"/>
        </w:rPr>
        <w:t>standartlikme</w:t>
      </w:r>
      <w:proofErr w:type="spellEnd"/>
      <w:r w:rsidR="003611AC" w:rsidRPr="00D928CD">
        <w:rPr>
          <w:rFonts w:ascii="Times New Roman" w:eastAsia="Times New Roman" w:hAnsi="Times New Roman" w:cs="Times New Roman"/>
          <w:sz w:val="24"/>
          <w:szCs w:val="24"/>
        </w:rPr>
        <w:t xml:space="preserve"> no 19,</w:t>
      </w:r>
      <w:r w:rsidRPr="00D928CD">
        <w:rPr>
          <w:rFonts w:ascii="Times New Roman" w:eastAsia="Times New Roman" w:hAnsi="Times New Roman" w:cs="Times New Roman"/>
          <w:sz w:val="24"/>
          <w:szCs w:val="24"/>
        </w:rPr>
        <w:t>6% uz 20%, kā arī samazinātā</w:t>
      </w:r>
      <w:r w:rsidR="00815A38" w:rsidRPr="00D928CD">
        <w:rPr>
          <w:rFonts w:ascii="Times New Roman" w:eastAsia="Times New Roman" w:hAnsi="Times New Roman" w:cs="Times New Roman"/>
          <w:sz w:val="24"/>
          <w:szCs w:val="24"/>
        </w:rPr>
        <w:t xml:space="preserve"> PVN</w:t>
      </w:r>
      <w:r w:rsidRPr="00D928CD">
        <w:rPr>
          <w:rFonts w:ascii="Times New Roman" w:eastAsia="Times New Roman" w:hAnsi="Times New Roman" w:cs="Times New Roman"/>
          <w:sz w:val="24"/>
          <w:szCs w:val="24"/>
        </w:rPr>
        <w:t xml:space="preserve"> likme no 7% uz 10% attiecībā uz transporta pakalpojumiem, viesnīcām, sabiedrisko ēdināšanu, saglabājot 5,5% samazināto PVN likmi pārtikas produktiem.</w:t>
      </w:r>
    </w:p>
    <w:p w14:paraId="1D1B8FDB" w14:textId="298F7C53" w:rsidR="006A75E8" w:rsidRPr="00D928CD" w:rsidRDefault="004D2EAF">
      <w:pPr>
        <w:suppressAutoHyphens/>
        <w:spacing w:after="0" w:line="240" w:lineRule="auto"/>
        <w:ind w:firstLine="720"/>
        <w:jc w:val="both"/>
        <w:rPr>
          <w:rFonts w:ascii="Times New Roman" w:hAnsi="Times New Roman"/>
          <w:sz w:val="24"/>
          <w:szCs w:val="24"/>
        </w:rPr>
      </w:pPr>
      <w:r w:rsidRPr="00D928CD">
        <w:rPr>
          <w:rFonts w:ascii="Times New Roman" w:eastAsia="Times New Roman" w:hAnsi="Times New Roman" w:cs="Times New Roman"/>
          <w:sz w:val="24"/>
          <w:szCs w:val="24"/>
          <w:u w:val="single"/>
        </w:rPr>
        <w:t>Īrijā</w:t>
      </w:r>
      <w:r w:rsidRPr="00D928CD">
        <w:rPr>
          <w:rFonts w:ascii="Times New Roman" w:hAnsi="Times New Roman"/>
          <w:sz w:val="24"/>
          <w:szCs w:val="24"/>
          <w:u w:val="single"/>
        </w:rPr>
        <w:t xml:space="preserve"> </w:t>
      </w:r>
      <w:r w:rsidR="007831E2" w:rsidRPr="00D928CD">
        <w:rPr>
          <w:rFonts w:ascii="Times New Roman" w:eastAsia="Times New Roman" w:hAnsi="Times New Roman" w:cs="Times New Roman"/>
          <w:sz w:val="24"/>
          <w:szCs w:val="24"/>
        </w:rPr>
        <w:t>PVN</w:t>
      </w:r>
      <w:r w:rsidRPr="00D928CD">
        <w:rPr>
          <w:rFonts w:ascii="Times New Roman" w:eastAsia="Times New Roman" w:hAnsi="Times New Roman" w:cs="Times New Roman"/>
          <w:sz w:val="24"/>
          <w:szCs w:val="24"/>
        </w:rPr>
        <w:t xml:space="preserve"> </w:t>
      </w:r>
      <w:proofErr w:type="spellStart"/>
      <w:r w:rsidR="007831E2" w:rsidRPr="00D928CD">
        <w:rPr>
          <w:rFonts w:ascii="Times New Roman" w:eastAsia="Times New Roman" w:hAnsi="Times New Roman" w:cs="Times New Roman"/>
          <w:sz w:val="24"/>
          <w:szCs w:val="24"/>
        </w:rPr>
        <w:t>standartlikme</w:t>
      </w:r>
      <w:proofErr w:type="spellEnd"/>
      <w:r w:rsidRPr="00D928CD">
        <w:rPr>
          <w:rFonts w:ascii="Times New Roman" w:eastAsia="Times New Roman" w:hAnsi="Times New Roman" w:cs="Times New Roman"/>
          <w:sz w:val="24"/>
          <w:szCs w:val="24"/>
        </w:rPr>
        <w:t xml:space="preserve"> kopš 2012. gada 1. janvāra ir palielināta no 21% uz 23%, </w:t>
      </w:r>
      <w:r w:rsidR="007831E2" w:rsidRPr="00D928CD">
        <w:rPr>
          <w:rFonts w:ascii="Times New Roman" w:eastAsia="Times New Roman" w:hAnsi="Times New Roman" w:cs="Times New Roman"/>
          <w:sz w:val="24"/>
          <w:szCs w:val="24"/>
        </w:rPr>
        <w:t xml:space="preserve">samazinātā PVN </w:t>
      </w:r>
      <w:r w:rsidRPr="00D928CD">
        <w:rPr>
          <w:rFonts w:ascii="Times New Roman" w:eastAsia="Times New Roman" w:hAnsi="Times New Roman" w:cs="Times New Roman"/>
          <w:sz w:val="24"/>
          <w:szCs w:val="24"/>
        </w:rPr>
        <w:t xml:space="preserve">9% likme tiek piemērota ēdināšanas pakalpojumiem, savukārt pārtikas produktiem piemērota </w:t>
      </w:r>
      <w:r w:rsidR="007831E2" w:rsidRPr="00D928CD">
        <w:rPr>
          <w:rFonts w:ascii="Times New Roman" w:eastAsia="Times New Roman" w:hAnsi="Times New Roman" w:cs="Times New Roman"/>
          <w:sz w:val="24"/>
          <w:szCs w:val="24"/>
        </w:rPr>
        <w:t>PVN</w:t>
      </w:r>
      <w:r w:rsidRPr="00D928CD">
        <w:rPr>
          <w:rFonts w:ascii="Times New Roman" w:eastAsia="Times New Roman" w:hAnsi="Times New Roman" w:cs="Times New Roman"/>
          <w:sz w:val="24"/>
          <w:szCs w:val="24"/>
        </w:rPr>
        <w:t xml:space="preserve"> 0% likme.</w:t>
      </w:r>
      <w:r w:rsidR="008A5948" w:rsidRPr="00D928CD">
        <w:rPr>
          <w:sz w:val="24"/>
          <w:szCs w:val="24"/>
        </w:rPr>
        <w:t xml:space="preserve"> </w:t>
      </w:r>
      <w:r w:rsidR="008A5948" w:rsidRPr="00D928CD">
        <w:rPr>
          <w:rFonts w:ascii="Times New Roman" w:eastAsia="Times New Roman" w:hAnsi="Times New Roman" w:cs="Times New Roman"/>
          <w:sz w:val="24"/>
          <w:szCs w:val="24"/>
        </w:rPr>
        <w:t xml:space="preserve">Taču, jāatzīmē, ka 0% likmi piemēro </w:t>
      </w:r>
      <w:r w:rsidR="004310D3" w:rsidRPr="00D928CD">
        <w:rPr>
          <w:rFonts w:ascii="Times New Roman" w:eastAsia="Times New Roman" w:hAnsi="Times New Roman" w:cs="Times New Roman"/>
          <w:sz w:val="24"/>
          <w:szCs w:val="24"/>
        </w:rPr>
        <w:t xml:space="preserve">tādiem </w:t>
      </w:r>
      <w:r w:rsidR="004310D3" w:rsidRPr="00D928CD">
        <w:rPr>
          <w:rFonts w:ascii="Times New Roman" w:eastAsia="Times New Roman" w:hAnsi="Times New Roman" w:cs="Times New Roman"/>
          <w:sz w:val="24"/>
          <w:szCs w:val="24"/>
        </w:rPr>
        <w:lastRenderedPageBreak/>
        <w:t>produktiem</w:t>
      </w:r>
      <w:r w:rsidR="008A5948" w:rsidRPr="00D928CD">
        <w:rPr>
          <w:rFonts w:ascii="Times New Roman" w:eastAsia="Times New Roman" w:hAnsi="Times New Roman" w:cs="Times New Roman"/>
          <w:sz w:val="24"/>
          <w:szCs w:val="24"/>
        </w:rPr>
        <w:t xml:space="preserve">, kā maize, sviests, tēja, cukurs, gaļa, piens, dārzeņi </w:t>
      </w:r>
      <w:proofErr w:type="spellStart"/>
      <w:r w:rsidR="008A5948" w:rsidRPr="00D928CD">
        <w:rPr>
          <w:rFonts w:ascii="Times New Roman" w:eastAsia="Times New Roman" w:hAnsi="Times New Roman" w:cs="Times New Roman"/>
          <w:sz w:val="24"/>
          <w:szCs w:val="24"/>
        </w:rPr>
        <w:t>utml</w:t>
      </w:r>
      <w:proofErr w:type="spellEnd"/>
      <w:r w:rsidR="008A5948" w:rsidRPr="00D928CD">
        <w:rPr>
          <w:rFonts w:ascii="Times New Roman" w:eastAsia="Times New Roman" w:hAnsi="Times New Roman" w:cs="Times New Roman"/>
          <w:sz w:val="24"/>
          <w:szCs w:val="24"/>
        </w:rPr>
        <w:t xml:space="preserve">. Savukārt </w:t>
      </w:r>
      <w:r w:rsidR="0059246C" w:rsidRPr="00D928CD">
        <w:rPr>
          <w:rFonts w:ascii="Times New Roman" w:eastAsia="Times New Roman" w:hAnsi="Times New Roman" w:cs="Times New Roman"/>
          <w:sz w:val="24"/>
          <w:szCs w:val="24"/>
        </w:rPr>
        <w:t xml:space="preserve">pārējiem </w:t>
      </w:r>
      <w:r w:rsidR="008A5948" w:rsidRPr="00D928CD">
        <w:rPr>
          <w:rFonts w:ascii="Times New Roman" w:eastAsia="Times New Roman" w:hAnsi="Times New Roman" w:cs="Times New Roman"/>
          <w:sz w:val="24"/>
          <w:szCs w:val="24"/>
        </w:rPr>
        <w:t xml:space="preserve">pārtikas produktiem piemēro </w:t>
      </w:r>
      <w:proofErr w:type="spellStart"/>
      <w:r w:rsidR="008A5948" w:rsidRPr="00D928CD">
        <w:rPr>
          <w:rFonts w:ascii="Times New Roman" w:eastAsia="Times New Roman" w:hAnsi="Times New Roman" w:cs="Times New Roman"/>
          <w:sz w:val="24"/>
          <w:szCs w:val="24"/>
        </w:rPr>
        <w:t>stan</w:t>
      </w:r>
      <w:r w:rsidR="007204E4" w:rsidRPr="00D928CD">
        <w:rPr>
          <w:rFonts w:ascii="Times New Roman" w:eastAsia="Times New Roman" w:hAnsi="Times New Roman" w:cs="Times New Roman"/>
          <w:sz w:val="24"/>
          <w:szCs w:val="24"/>
        </w:rPr>
        <w:t>dartlikmi</w:t>
      </w:r>
      <w:proofErr w:type="spellEnd"/>
      <w:r w:rsidR="007204E4" w:rsidRPr="00D928CD">
        <w:rPr>
          <w:rFonts w:ascii="Times New Roman" w:eastAsia="Times New Roman" w:hAnsi="Times New Roman" w:cs="Times New Roman"/>
          <w:sz w:val="24"/>
          <w:szCs w:val="24"/>
        </w:rPr>
        <w:t xml:space="preserve"> vai samazināto likmi.</w:t>
      </w:r>
    </w:p>
    <w:p w14:paraId="456A8572" w14:textId="6439C770" w:rsidR="006A75E8" w:rsidRPr="00D928CD" w:rsidRDefault="004D2EAF">
      <w:pPr>
        <w:suppressAutoHyphens/>
        <w:spacing w:after="0" w:line="240" w:lineRule="auto"/>
        <w:ind w:firstLine="720"/>
        <w:jc w:val="both"/>
        <w:rPr>
          <w:rFonts w:ascii="Calibri" w:eastAsia="Calibri" w:hAnsi="Calibri" w:cs="Calibri"/>
          <w:sz w:val="24"/>
          <w:szCs w:val="24"/>
        </w:rPr>
      </w:pPr>
      <w:r w:rsidRPr="00D928CD">
        <w:rPr>
          <w:rFonts w:ascii="Times New Roman" w:eastAsia="Times New Roman" w:hAnsi="Times New Roman" w:cs="Times New Roman"/>
          <w:sz w:val="24"/>
          <w:szCs w:val="24"/>
          <w:u w:val="single"/>
        </w:rPr>
        <w:t>Itālijā</w:t>
      </w:r>
      <w:r w:rsidRPr="00D928CD">
        <w:rPr>
          <w:rFonts w:ascii="Times New Roman" w:hAnsi="Times New Roman"/>
          <w:sz w:val="24"/>
          <w:szCs w:val="24"/>
          <w:u w:val="single"/>
        </w:rPr>
        <w:t xml:space="preserve"> </w:t>
      </w:r>
      <w:r w:rsidR="007831E2" w:rsidRPr="00D928CD">
        <w:rPr>
          <w:rFonts w:ascii="Times New Roman" w:eastAsia="Times New Roman" w:hAnsi="Times New Roman" w:cs="Times New Roman"/>
          <w:sz w:val="24"/>
          <w:szCs w:val="24"/>
        </w:rPr>
        <w:t>PVN</w:t>
      </w:r>
      <w:r w:rsidRPr="00D928CD">
        <w:rPr>
          <w:rFonts w:ascii="Times New Roman" w:eastAsia="Times New Roman" w:hAnsi="Times New Roman" w:cs="Times New Roman"/>
          <w:sz w:val="24"/>
          <w:szCs w:val="24"/>
        </w:rPr>
        <w:t xml:space="preserve"> </w:t>
      </w:r>
      <w:proofErr w:type="spellStart"/>
      <w:r w:rsidR="007831E2" w:rsidRPr="00D928CD">
        <w:rPr>
          <w:rFonts w:ascii="Times New Roman" w:eastAsia="Times New Roman" w:hAnsi="Times New Roman" w:cs="Times New Roman"/>
          <w:sz w:val="24"/>
          <w:szCs w:val="24"/>
        </w:rPr>
        <w:t>standartlikme</w:t>
      </w:r>
      <w:proofErr w:type="spellEnd"/>
      <w:r w:rsidRPr="00D928CD">
        <w:rPr>
          <w:rFonts w:ascii="Times New Roman" w:eastAsia="Times New Roman" w:hAnsi="Times New Roman" w:cs="Times New Roman"/>
          <w:sz w:val="24"/>
          <w:szCs w:val="24"/>
        </w:rPr>
        <w:t xml:space="preserve"> kopš 2011. gada 1. septembra tika palielināta no 20% uz 21% un kopš 2013. gada 1. oktobra tika atkārtoti palielināta uz 22 </w:t>
      </w:r>
      <w:r w:rsidR="005330FA" w:rsidRPr="00D928CD">
        <w:rPr>
          <w:rFonts w:ascii="Times New Roman" w:eastAsia="Times New Roman" w:hAnsi="Times New Roman" w:cs="Times New Roman"/>
          <w:sz w:val="24"/>
          <w:szCs w:val="24"/>
        </w:rPr>
        <w:t>%</w:t>
      </w:r>
      <w:r w:rsidR="007F31DB" w:rsidRPr="00D928CD">
        <w:rPr>
          <w:rFonts w:ascii="Times New Roman" w:eastAsia="Times New Roman" w:hAnsi="Times New Roman" w:cs="Times New Roman"/>
          <w:sz w:val="24"/>
          <w:szCs w:val="24"/>
        </w:rPr>
        <w:t>.</w:t>
      </w:r>
      <w:r w:rsidRPr="00D928CD">
        <w:rPr>
          <w:rFonts w:ascii="Times New Roman" w:eastAsia="Times New Roman" w:hAnsi="Times New Roman" w:cs="Times New Roman"/>
          <w:sz w:val="24"/>
          <w:szCs w:val="24"/>
        </w:rPr>
        <w:t xml:space="preserve"> </w:t>
      </w:r>
      <w:r w:rsidR="00815A38" w:rsidRPr="00D928CD">
        <w:rPr>
          <w:rFonts w:ascii="Times New Roman" w:eastAsia="Times New Roman" w:hAnsi="Times New Roman" w:cs="Times New Roman"/>
          <w:sz w:val="24"/>
          <w:szCs w:val="24"/>
        </w:rPr>
        <w:t>S</w:t>
      </w:r>
      <w:r w:rsidRPr="00D928CD">
        <w:rPr>
          <w:rFonts w:ascii="Times New Roman" w:eastAsia="Times New Roman" w:hAnsi="Times New Roman" w:cs="Times New Roman"/>
          <w:sz w:val="24"/>
          <w:szCs w:val="24"/>
        </w:rPr>
        <w:t>amazinātā</w:t>
      </w:r>
      <w:r w:rsidR="00815A38" w:rsidRPr="00D928CD">
        <w:rPr>
          <w:rFonts w:ascii="Times New Roman" w:eastAsia="Times New Roman" w:hAnsi="Times New Roman" w:cs="Times New Roman"/>
          <w:sz w:val="24"/>
          <w:szCs w:val="24"/>
        </w:rPr>
        <w:t xml:space="preserve"> PVN</w:t>
      </w:r>
      <w:r w:rsidRPr="00D928CD">
        <w:rPr>
          <w:rFonts w:ascii="Times New Roman" w:eastAsia="Times New Roman" w:hAnsi="Times New Roman" w:cs="Times New Roman"/>
          <w:sz w:val="24"/>
          <w:szCs w:val="24"/>
        </w:rPr>
        <w:t xml:space="preserve"> 10%</w:t>
      </w:r>
      <w:r w:rsidR="00242D75" w:rsidRPr="00D928CD">
        <w:rPr>
          <w:rFonts w:ascii="Times New Roman" w:eastAsia="Times New Roman" w:hAnsi="Times New Roman" w:cs="Times New Roman"/>
          <w:sz w:val="24"/>
          <w:szCs w:val="24"/>
        </w:rPr>
        <w:t xml:space="preserve"> likme</w:t>
      </w:r>
      <w:r w:rsidRPr="00D928CD">
        <w:rPr>
          <w:rFonts w:ascii="Times New Roman" w:eastAsia="Times New Roman" w:hAnsi="Times New Roman" w:cs="Times New Roman"/>
          <w:sz w:val="24"/>
          <w:szCs w:val="24"/>
        </w:rPr>
        <w:t xml:space="preserve"> piemērojama tādām bāzēm kā ne</w:t>
      </w:r>
      <w:r w:rsidR="00904E06" w:rsidRPr="00D928CD">
        <w:rPr>
          <w:rFonts w:ascii="Times New Roman" w:eastAsia="Times New Roman" w:hAnsi="Times New Roman" w:cs="Times New Roman"/>
          <w:sz w:val="24"/>
          <w:szCs w:val="24"/>
        </w:rPr>
        <w:t>-</w:t>
      </w:r>
      <w:r w:rsidRPr="00D928CD">
        <w:rPr>
          <w:rFonts w:ascii="Times New Roman" w:eastAsia="Times New Roman" w:hAnsi="Times New Roman" w:cs="Times New Roman"/>
          <w:sz w:val="24"/>
          <w:szCs w:val="24"/>
        </w:rPr>
        <w:t>luksus</w:t>
      </w:r>
      <w:r w:rsidR="00904E06" w:rsidRPr="00D928CD">
        <w:rPr>
          <w:rFonts w:ascii="Times New Roman" w:eastAsia="Times New Roman" w:hAnsi="Times New Roman" w:cs="Times New Roman"/>
          <w:sz w:val="24"/>
          <w:szCs w:val="24"/>
        </w:rPr>
        <w:t xml:space="preserve">s </w:t>
      </w:r>
      <w:r w:rsidRPr="00D928CD">
        <w:rPr>
          <w:rFonts w:ascii="Times New Roman" w:eastAsia="Times New Roman" w:hAnsi="Times New Roman" w:cs="Times New Roman"/>
          <w:sz w:val="24"/>
          <w:szCs w:val="24"/>
        </w:rPr>
        <w:t>klases mājokļi, pārtikas produkti, elektrība, medikamenti</w:t>
      </w:r>
      <w:r w:rsidR="0063773D" w:rsidRPr="00D928CD">
        <w:rPr>
          <w:rFonts w:ascii="Times New Roman" w:eastAsia="Times New Roman" w:hAnsi="Times New Roman" w:cs="Times New Roman"/>
          <w:sz w:val="24"/>
          <w:szCs w:val="24"/>
        </w:rPr>
        <w:t xml:space="preserve"> u.c.</w:t>
      </w:r>
    </w:p>
    <w:p w14:paraId="228E4BCB" w14:textId="0CB06390" w:rsidR="006A75E8" w:rsidRPr="00D928CD" w:rsidRDefault="004D2EAF">
      <w:pPr>
        <w:suppressAutoHyphens/>
        <w:spacing w:after="0" w:line="240" w:lineRule="auto"/>
        <w:ind w:firstLine="720"/>
        <w:jc w:val="both"/>
        <w:rPr>
          <w:rFonts w:ascii="Calibri" w:eastAsia="Calibri" w:hAnsi="Calibri" w:cs="Calibri"/>
          <w:sz w:val="24"/>
          <w:szCs w:val="24"/>
        </w:rPr>
      </w:pPr>
      <w:r w:rsidRPr="00D928CD">
        <w:rPr>
          <w:rFonts w:ascii="Times New Roman" w:eastAsia="Times New Roman" w:hAnsi="Times New Roman" w:cs="Times New Roman"/>
          <w:sz w:val="24"/>
          <w:szCs w:val="24"/>
          <w:u w:val="single"/>
        </w:rPr>
        <w:t>Kiprā</w:t>
      </w:r>
      <w:r w:rsidRPr="00D928CD">
        <w:rPr>
          <w:rFonts w:ascii="Times New Roman" w:eastAsia="Times New Roman" w:hAnsi="Times New Roman" w:cs="Times New Roman"/>
          <w:sz w:val="24"/>
          <w:szCs w:val="24"/>
        </w:rPr>
        <w:t xml:space="preserve"> </w:t>
      </w:r>
      <w:r w:rsidR="007831E2" w:rsidRPr="00D928CD">
        <w:rPr>
          <w:rFonts w:ascii="Times New Roman" w:eastAsia="Times New Roman" w:hAnsi="Times New Roman" w:cs="Times New Roman"/>
          <w:sz w:val="24"/>
          <w:szCs w:val="24"/>
        </w:rPr>
        <w:t xml:space="preserve">PVN </w:t>
      </w:r>
      <w:proofErr w:type="spellStart"/>
      <w:r w:rsidR="007831E2" w:rsidRPr="00D928CD">
        <w:rPr>
          <w:rFonts w:ascii="Times New Roman" w:eastAsia="Times New Roman" w:hAnsi="Times New Roman" w:cs="Times New Roman"/>
          <w:sz w:val="24"/>
          <w:szCs w:val="24"/>
        </w:rPr>
        <w:t>standartlikme</w:t>
      </w:r>
      <w:proofErr w:type="spellEnd"/>
      <w:r w:rsidRPr="00D928CD">
        <w:rPr>
          <w:rFonts w:ascii="Times New Roman" w:eastAsia="Times New Roman" w:hAnsi="Times New Roman" w:cs="Times New Roman"/>
          <w:sz w:val="24"/>
          <w:szCs w:val="24"/>
        </w:rPr>
        <w:t xml:space="preserve"> kopš 2014. gada 13. janvāra ir palielināta no 18% uz 19%</w:t>
      </w:r>
      <w:r w:rsidR="00815A38" w:rsidRPr="00D928CD">
        <w:rPr>
          <w:rFonts w:ascii="Times New Roman" w:eastAsia="Times New Roman" w:hAnsi="Times New Roman" w:cs="Times New Roman"/>
          <w:sz w:val="24"/>
          <w:szCs w:val="24"/>
        </w:rPr>
        <w:t>, arī</w:t>
      </w:r>
      <w:r w:rsidR="00352AFB" w:rsidRPr="00D928CD">
        <w:rPr>
          <w:rFonts w:ascii="Times New Roman" w:eastAsia="Times New Roman" w:hAnsi="Times New Roman" w:cs="Times New Roman"/>
          <w:sz w:val="24"/>
          <w:szCs w:val="24"/>
        </w:rPr>
        <w:t xml:space="preserve"> </w:t>
      </w:r>
      <w:r w:rsidR="00FA7072" w:rsidRPr="00D928CD">
        <w:rPr>
          <w:rFonts w:ascii="Times New Roman" w:eastAsia="Times New Roman" w:hAnsi="Times New Roman" w:cs="Times New Roman"/>
          <w:sz w:val="24"/>
          <w:szCs w:val="24"/>
        </w:rPr>
        <w:t>s</w:t>
      </w:r>
      <w:r w:rsidRPr="00D928CD">
        <w:rPr>
          <w:rFonts w:ascii="Times New Roman" w:eastAsia="Times New Roman" w:hAnsi="Times New Roman" w:cs="Times New Roman"/>
          <w:sz w:val="24"/>
          <w:szCs w:val="24"/>
        </w:rPr>
        <w:t xml:space="preserve">amazinātā </w:t>
      </w:r>
      <w:r w:rsidR="00815A38" w:rsidRPr="00D928CD">
        <w:rPr>
          <w:rFonts w:ascii="Times New Roman" w:eastAsia="Times New Roman" w:hAnsi="Times New Roman" w:cs="Times New Roman"/>
          <w:sz w:val="24"/>
          <w:szCs w:val="24"/>
        </w:rPr>
        <w:t>PVN</w:t>
      </w:r>
      <w:r w:rsidRPr="00D928CD">
        <w:rPr>
          <w:rFonts w:ascii="Times New Roman" w:eastAsia="Times New Roman" w:hAnsi="Times New Roman" w:cs="Times New Roman"/>
          <w:sz w:val="24"/>
          <w:szCs w:val="24"/>
        </w:rPr>
        <w:t xml:space="preserve"> likme sabiedriskās ēdināšanas pakalpojumiem tika palielināta no 8% uz 9 </w:t>
      </w:r>
      <w:r w:rsidR="00351184" w:rsidRPr="00D928CD">
        <w:rPr>
          <w:rFonts w:ascii="Times New Roman" w:eastAsia="Times New Roman" w:hAnsi="Times New Roman" w:cs="Times New Roman"/>
          <w:sz w:val="24"/>
          <w:szCs w:val="24"/>
        </w:rPr>
        <w:t>%</w:t>
      </w:r>
      <w:r w:rsidRPr="00D928CD">
        <w:rPr>
          <w:rFonts w:ascii="Times New Roman" w:eastAsia="Times New Roman" w:hAnsi="Times New Roman" w:cs="Times New Roman"/>
          <w:sz w:val="24"/>
          <w:szCs w:val="24"/>
        </w:rPr>
        <w:t>. Kopš 2011. gada pārtikas produktiem piemērotā 0% PVN likme tika palielināta uz 5 </w:t>
      </w:r>
      <w:r w:rsidR="00351184" w:rsidRPr="00D928CD">
        <w:rPr>
          <w:rFonts w:ascii="Times New Roman" w:eastAsia="Times New Roman" w:hAnsi="Times New Roman" w:cs="Times New Roman"/>
          <w:sz w:val="24"/>
          <w:szCs w:val="24"/>
        </w:rPr>
        <w:t>%</w:t>
      </w:r>
      <w:r w:rsidRPr="00D928CD">
        <w:rPr>
          <w:rFonts w:ascii="Times New Roman" w:eastAsia="Times New Roman" w:hAnsi="Times New Roman" w:cs="Times New Roman"/>
          <w:sz w:val="24"/>
          <w:szCs w:val="24"/>
        </w:rPr>
        <w:t>.</w:t>
      </w:r>
    </w:p>
    <w:p w14:paraId="2EC4F3D4" w14:textId="2EC9A64C" w:rsidR="00191F3A" w:rsidRPr="00D928CD" w:rsidRDefault="004D2EAF" w:rsidP="00CE2A7F">
      <w:pPr>
        <w:spacing w:after="0" w:line="240" w:lineRule="auto"/>
        <w:ind w:firstLine="720"/>
        <w:jc w:val="both"/>
        <w:rPr>
          <w:rFonts w:ascii="Times New Roman" w:eastAsia="Times New Roman" w:hAnsi="Times New Roman" w:cs="Times New Roman"/>
          <w:sz w:val="24"/>
          <w:szCs w:val="24"/>
        </w:rPr>
      </w:pPr>
      <w:r w:rsidRPr="00D928CD">
        <w:rPr>
          <w:rFonts w:ascii="Times New Roman" w:eastAsia="Times New Roman" w:hAnsi="Times New Roman" w:cs="Times New Roman"/>
          <w:sz w:val="24"/>
          <w:szCs w:val="24"/>
          <w:u w:val="single"/>
        </w:rPr>
        <w:t>Lietuvā</w:t>
      </w:r>
      <w:r w:rsidRPr="00D928CD">
        <w:rPr>
          <w:rFonts w:ascii="Times New Roman" w:eastAsia="Times New Roman" w:hAnsi="Times New Roman" w:cs="Times New Roman"/>
          <w:sz w:val="24"/>
          <w:szCs w:val="24"/>
        </w:rPr>
        <w:t xml:space="preserve"> kopš 2009. gada 1. septembra </w:t>
      </w:r>
      <w:r w:rsidR="00815A38" w:rsidRPr="00D928CD">
        <w:rPr>
          <w:rFonts w:ascii="Times New Roman" w:eastAsia="Times New Roman" w:hAnsi="Times New Roman" w:cs="Times New Roman"/>
          <w:sz w:val="24"/>
          <w:szCs w:val="24"/>
        </w:rPr>
        <w:t xml:space="preserve">PVN </w:t>
      </w:r>
      <w:proofErr w:type="spellStart"/>
      <w:r w:rsidR="00815A38" w:rsidRPr="00D928CD">
        <w:rPr>
          <w:rFonts w:ascii="Times New Roman" w:eastAsia="Times New Roman" w:hAnsi="Times New Roman" w:cs="Times New Roman"/>
          <w:sz w:val="24"/>
          <w:szCs w:val="24"/>
        </w:rPr>
        <w:t>standartlikme</w:t>
      </w:r>
      <w:proofErr w:type="spellEnd"/>
      <w:r w:rsidR="00352AFB" w:rsidRPr="00D928CD">
        <w:rPr>
          <w:rFonts w:ascii="Times New Roman" w:eastAsia="Times New Roman" w:hAnsi="Times New Roman" w:cs="Times New Roman"/>
          <w:sz w:val="24"/>
          <w:szCs w:val="24"/>
        </w:rPr>
        <w:t xml:space="preserve"> </w:t>
      </w:r>
      <w:r w:rsidRPr="00D928CD">
        <w:rPr>
          <w:rFonts w:ascii="Times New Roman" w:eastAsia="Times New Roman" w:hAnsi="Times New Roman" w:cs="Times New Roman"/>
          <w:sz w:val="24"/>
          <w:szCs w:val="24"/>
        </w:rPr>
        <w:t xml:space="preserve">ir 21%, kas tiek piemērota arī pārtikas produktiem, kam pirms tam tika piemērota </w:t>
      </w:r>
      <w:r w:rsidR="00FC40BD" w:rsidRPr="00D928CD">
        <w:rPr>
          <w:rFonts w:ascii="Times New Roman" w:eastAsia="Times New Roman" w:hAnsi="Times New Roman" w:cs="Times New Roman"/>
          <w:sz w:val="24"/>
          <w:szCs w:val="24"/>
        </w:rPr>
        <w:t>samazinātā PVN likme 5 </w:t>
      </w:r>
      <w:r w:rsidR="00351184" w:rsidRPr="00D928CD">
        <w:rPr>
          <w:rFonts w:ascii="Times New Roman" w:eastAsia="Times New Roman" w:hAnsi="Times New Roman" w:cs="Times New Roman"/>
          <w:sz w:val="24"/>
          <w:szCs w:val="24"/>
        </w:rPr>
        <w:t>%</w:t>
      </w:r>
      <w:r w:rsidRPr="00D928CD">
        <w:rPr>
          <w:rFonts w:ascii="Times New Roman" w:eastAsia="Times New Roman" w:hAnsi="Times New Roman" w:cs="Times New Roman"/>
          <w:sz w:val="24"/>
          <w:szCs w:val="24"/>
        </w:rPr>
        <w:t xml:space="preserve">. </w:t>
      </w:r>
      <w:r w:rsidR="00CE31E6" w:rsidRPr="00D928CD">
        <w:rPr>
          <w:rFonts w:ascii="Times New Roman" w:eastAsia="Times New Roman" w:hAnsi="Times New Roman" w:cs="Times New Roman"/>
          <w:sz w:val="24"/>
          <w:szCs w:val="24"/>
        </w:rPr>
        <w:t>Samazinātā PVN likme 5% tika piemērota svaigi atdzesētai gaļai un subproduktiem, svaigi saldētai un sasaldētai mājputnu gaļai un subproduktiem, dzīv</w:t>
      </w:r>
      <w:r w:rsidR="00316D78" w:rsidRPr="00D928CD">
        <w:rPr>
          <w:rFonts w:ascii="Times New Roman" w:eastAsia="Times New Roman" w:hAnsi="Times New Roman" w:cs="Times New Roman"/>
          <w:sz w:val="24"/>
          <w:szCs w:val="24"/>
        </w:rPr>
        <w:t>ām, svaigām un saldētām zivīm.</w:t>
      </w:r>
      <w:r w:rsidR="00843BD6" w:rsidRPr="00D928CD">
        <w:rPr>
          <w:rFonts w:ascii="Times New Roman" w:eastAsia="Times New Roman" w:hAnsi="Times New Roman" w:cs="Times New Roman"/>
          <w:sz w:val="24"/>
          <w:szCs w:val="24"/>
        </w:rPr>
        <w:t xml:space="preserve"> Lietuvas Valsts kontroles Valsts audita ziņojumā par </w:t>
      </w:r>
      <w:r w:rsidR="00CE7E52" w:rsidRPr="00D928CD">
        <w:rPr>
          <w:rFonts w:ascii="Times New Roman" w:eastAsia="Times New Roman" w:hAnsi="Times New Roman" w:cs="Times New Roman"/>
          <w:sz w:val="24"/>
          <w:szCs w:val="24"/>
        </w:rPr>
        <w:t xml:space="preserve">samazinātām </w:t>
      </w:r>
      <w:r w:rsidR="00843BD6" w:rsidRPr="00D928CD">
        <w:rPr>
          <w:rFonts w:ascii="Times New Roman" w:eastAsia="Times New Roman" w:hAnsi="Times New Roman" w:cs="Times New Roman"/>
          <w:sz w:val="24"/>
          <w:szCs w:val="24"/>
        </w:rPr>
        <w:t>PVN likmēm</w:t>
      </w:r>
      <w:r w:rsidR="00843BD6" w:rsidRPr="00D928CD">
        <w:rPr>
          <w:rStyle w:val="FootnoteReference"/>
          <w:rFonts w:ascii="Times New Roman" w:eastAsia="Times New Roman" w:hAnsi="Times New Roman" w:cs="Times New Roman"/>
          <w:sz w:val="24"/>
          <w:szCs w:val="24"/>
        </w:rPr>
        <w:footnoteReference w:id="13"/>
      </w:r>
      <w:r w:rsidR="00843BD6" w:rsidRPr="00D928CD">
        <w:rPr>
          <w:rFonts w:ascii="Times New Roman" w:eastAsia="Times New Roman" w:hAnsi="Times New Roman" w:cs="Times New Roman"/>
          <w:sz w:val="24"/>
          <w:szCs w:val="24"/>
        </w:rPr>
        <w:t xml:space="preserve"> secināts, ka </w:t>
      </w:r>
      <w:r w:rsidR="006D5089" w:rsidRPr="00D928CD">
        <w:rPr>
          <w:rFonts w:ascii="Times New Roman" w:eastAsia="Times New Roman" w:hAnsi="Times New Roman" w:cs="Times New Roman"/>
          <w:sz w:val="24"/>
          <w:szCs w:val="24"/>
        </w:rPr>
        <w:t>samazinātai PVN likmei nav tiešas ietekmes uz preču cenu un pakalpojumiem, tādējādi neradot tiešu labumu lietotājiem par saņemtajām precēm un pakalpojumiem, turklāt revīzijā tika konstatēts, ka no samazinātās PVN likmes piemērošanas, tiek radīti būtiski zaudējumi valsts budžetam.</w:t>
      </w:r>
      <w:r w:rsidR="00191F3A" w:rsidRPr="00D928CD">
        <w:rPr>
          <w:rFonts w:ascii="Times New Roman" w:eastAsia="Times New Roman" w:hAnsi="Times New Roman" w:cs="Times New Roman"/>
          <w:sz w:val="24"/>
          <w:szCs w:val="24"/>
        </w:rPr>
        <w:t xml:space="preserve"> </w:t>
      </w:r>
      <w:r w:rsidR="001709D1" w:rsidRPr="00D928CD">
        <w:rPr>
          <w:rFonts w:ascii="Times New Roman" w:eastAsia="Times New Roman" w:hAnsi="Times New Roman" w:cs="Times New Roman"/>
          <w:sz w:val="24"/>
          <w:szCs w:val="24"/>
        </w:rPr>
        <w:t>Tur</w:t>
      </w:r>
      <w:r w:rsidR="00D90354" w:rsidRPr="00D928CD">
        <w:rPr>
          <w:rFonts w:ascii="Times New Roman" w:eastAsia="Times New Roman" w:hAnsi="Times New Roman" w:cs="Times New Roman"/>
          <w:sz w:val="24"/>
          <w:szCs w:val="24"/>
        </w:rPr>
        <w:t>pretī</w:t>
      </w:r>
      <w:r w:rsidR="00191F3A" w:rsidRPr="00D928CD">
        <w:rPr>
          <w:rFonts w:ascii="Times New Roman" w:eastAsia="Times New Roman" w:hAnsi="Times New Roman" w:cs="Times New Roman"/>
          <w:sz w:val="24"/>
          <w:szCs w:val="24"/>
        </w:rPr>
        <w:t xml:space="preserve"> piemērojot PVN standarta likmi visiem nodokļu maksātājiem un patērētājiem ir vienādi konkurences nosacījum</w:t>
      </w:r>
      <w:r w:rsidR="00112BC2" w:rsidRPr="00D928CD">
        <w:rPr>
          <w:rFonts w:ascii="Times New Roman" w:eastAsia="Times New Roman" w:hAnsi="Times New Roman" w:cs="Times New Roman"/>
          <w:sz w:val="24"/>
          <w:szCs w:val="24"/>
        </w:rPr>
        <w:t>i</w:t>
      </w:r>
      <w:r w:rsidR="00191F3A" w:rsidRPr="00D928CD">
        <w:rPr>
          <w:rFonts w:ascii="Times New Roman" w:eastAsia="Times New Roman" w:hAnsi="Times New Roman" w:cs="Times New Roman"/>
          <w:sz w:val="24"/>
          <w:szCs w:val="24"/>
        </w:rPr>
        <w:t>, neatkarīgi no atsevišķām nozarēm vai uzņēmumiem. Turklāt tiek atvieglota PVN administrēšana.</w:t>
      </w:r>
    </w:p>
    <w:p w14:paraId="47FE7B5E" w14:textId="1A600E50" w:rsidR="006A75E8" w:rsidRPr="00D928CD" w:rsidRDefault="00B459F3">
      <w:pPr>
        <w:suppressAutoHyphens/>
        <w:spacing w:after="0" w:line="240" w:lineRule="auto"/>
        <w:ind w:firstLine="720"/>
        <w:jc w:val="both"/>
        <w:rPr>
          <w:rFonts w:ascii="Times New Roman" w:eastAsia="Times New Roman" w:hAnsi="Times New Roman" w:cs="Times New Roman"/>
          <w:sz w:val="24"/>
          <w:szCs w:val="24"/>
        </w:rPr>
      </w:pPr>
      <w:r w:rsidRPr="00D928CD">
        <w:rPr>
          <w:rFonts w:ascii="Times New Roman" w:eastAsia="Times New Roman" w:hAnsi="Times New Roman" w:cs="Times New Roman"/>
          <w:sz w:val="24"/>
          <w:szCs w:val="24"/>
        </w:rPr>
        <w:t>Šobrīd s</w:t>
      </w:r>
      <w:r w:rsidR="004D2EAF" w:rsidRPr="00D928CD">
        <w:rPr>
          <w:rFonts w:ascii="Times New Roman" w:eastAsia="Times New Roman" w:hAnsi="Times New Roman" w:cs="Times New Roman"/>
          <w:sz w:val="24"/>
          <w:szCs w:val="24"/>
        </w:rPr>
        <w:t>amazinātās PVN likmes 9% apmērā tiek piemērotas viesnīcu pakalpojumiem un regulārajiem transporta pārvadājumiem, atvieglojums tiek katru gadu pārskatīts.</w:t>
      </w:r>
    </w:p>
    <w:p w14:paraId="08CFB013" w14:textId="0AAB5F3C" w:rsidR="006A75E8" w:rsidRPr="00D928CD" w:rsidRDefault="004D2EAF">
      <w:pPr>
        <w:suppressAutoHyphens/>
        <w:spacing w:after="0" w:line="240" w:lineRule="auto"/>
        <w:ind w:firstLine="720"/>
        <w:jc w:val="both"/>
        <w:rPr>
          <w:rFonts w:ascii="Calibri" w:eastAsia="Calibri" w:hAnsi="Calibri" w:cs="Calibri"/>
          <w:sz w:val="24"/>
          <w:szCs w:val="24"/>
        </w:rPr>
      </w:pPr>
      <w:r w:rsidRPr="00D928CD">
        <w:rPr>
          <w:rFonts w:ascii="Times New Roman" w:eastAsia="Times New Roman" w:hAnsi="Times New Roman" w:cs="Times New Roman"/>
          <w:sz w:val="24"/>
          <w:szCs w:val="24"/>
          <w:u w:val="single"/>
        </w:rPr>
        <w:t>Luksemburgā</w:t>
      </w:r>
      <w:r w:rsidRPr="00D928CD">
        <w:rPr>
          <w:rFonts w:ascii="Times New Roman" w:eastAsia="Times New Roman" w:hAnsi="Times New Roman" w:cs="Times New Roman"/>
          <w:sz w:val="24"/>
          <w:szCs w:val="24"/>
        </w:rPr>
        <w:t xml:space="preserve"> </w:t>
      </w:r>
      <w:r w:rsidR="005872A2" w:rsidRPr="00D928CD">
        <w:rPr>
          <w:rFonts w:ascii="Times New Roman" w:eastAsia="Times New Roman" w:hAnsi="Times New Roman" w:cs="Times New Roman"/>
          <w:sz w:val="24"/>
          <w:szCs w:val="24"/>
        </w:rPr>
        <w:t>ir</w:t>
      </w:r>
      <w:r w:rsidRPr="00D928CD">
        <w:rPr>
          <w:rFonts w:ascii="Times New Roman" w:eastAsia="Times New Roman" w:hAnsi="Times New Roman" w:cs="Times New Roman"/>
          <w:sz w:val="24"/>
          <w:szCs w:val="24"/>
        </w:rPr>
        <w:t xml:space="preserve"> viena no zemākajām </w:t>
      </w:r>
      <w:r w:rsidRPr="00D928CD">
        <w:rPr>
          <w:rFonts w:ascii="Times New Roman" w:hAnsi="Times New Roman"/>
          <w:sz w:val="24"/>
          <w:szCs w:val="24"/>
        </w:rPr>
        <w:t>PVN</w:t>
      </w:r>
      <w:r w:rsidRPr="00D928CD">
        <w:rPr>
          <w:rFonts w:ascii="Times New Roman" w:eastAsia="Times New Roman" w:hAnsi="Times New Roman" w:cs="Times New Roman"/>
          <w:sz w:val="24"/>
          <w:szCs w:val="24"/>
        </w:rPr>
        <w:t xml:space="preserve"> </w:t>
      </w:r>
      <w:proofErr w:type="spellStart"/>
      <w:r w:rsidR="00815A38" w:rsidRPr="00D928CD">
        <w:rPr>
          <w:rFonts w:ascii="Times New Roman" w:eastAsia="Times New Roman" w:hAnsi="Times New Roman" w:cs="Times New Roman"/>
          <w:sz w:val="24"/>
          <w:szCs w:val="24"/>
        </w:rPr>
        <w:t>standartlikmēm</w:t>
      </w:r>
      <w:proofErr w:type="spellEnd"/>
      <w:r w:rsidR="00815A38" w:rsidRPr="00D928CD">
        <w:rPr>
          <w:rFonts w:ascii="Times New Roman" w:eastAsia="Times New Roman" w:hAnsi="Times New Roman" w:cs="Times New Roman"/>
          <w:sz w:val="24"/>
          <w:szCs w:val="24"/>
        </w:rPr>
        <w:t xml:space="preserve"> - </w:t>
      </w:r>
      <w:r w:rsidRPr="00D928CD">
        <w:rPr>
          <w:rFonts w:ascii="Times New Roman" w:eastAsia="Times New Roman" w:hAnsi="Times New Roman" w:cs="Times New Roman"/>
          <w:sz w:val="24"/>
          <w:szCs w:val="24"/>
        </w:rPr>
        <w:t>15%</w:t>
      </w:r>
      <w:r w:rsidR="003576BE" w:rsidRPr="00D928CD">
        <w:rPr>
          <w:rStyle w:val="FootnoteReference"/>
          <w:rFonts w:ascii="Times New Roman" w:eastAsia="Times New Roman" w:hAnsi="Times New Roman" w:cs="Times New Roman"/>
          <w:sz w:val="24"/>
          <w:szCs w:val="24"/>
        </w:rPr>
        <w:footnoteReference w:id="14"/>
      </w:r>
      <w:r w:rsidR="003576BE" w:rsidRPr="00D928CD">
        <w:rPr>
          <w:rFonts w:ascii="Times New Roman" w:eastAsia="Times New Roman" w:hAnsi="Times New Roman" w:cs="Times New Roman"/>
          <w:sz w:val="24"/>
          <w:szCs w:val="24"/>
        </w:rPr>
        <w:t>.</w:t>
      </w:r>
      <w:r w:rsidRPr="00D928CD">
        <w:rPr>
          <w:rFonts w:ascii="Times New Roman" w:eastAsia="Times New Roman" w:hAnsi="Times New Roman" w:cs="Times New Roman"/>
          <w:sz w:val="24"/>
          <w:szCs w:val="24"/>
        </w:rPr>
        <w:t xml:space="preserve"> Pārtikas produktiem piemēro 3% īpaši </w:t>
      </w:r>
      <w:r w:rsidR="00815A38" w:rsidRPr="00D928CD">
        <w:rPr>
          <w:rFonts w:ascii="Times New Roman" w:eastAsia="Times New Roman" w:hAnsi="Times New Roman" w:cs="Times New Roman"/>
          <w:sz w:val="24"/>
          <w:szCs w:val="24"/>
        </w:rPr>
        <w:t>samazināto PVN</w:t>
      </w:r>
      <w:r w:rsidRPr="00D928CD">
        <w:rPr>
          <w:rFonts w:ascii="Times New Roman" w:eastAsia="Times New Roman" w:hAnsi="Times New Roman" w:cs="Times New Roman"/>
          <w:sz w:val="24"/>
          <w:szCs w:val="24"/>
        </w:rPr>
        <w:t xml:space="preserve"> likmi.</w:t>
      </w:r>
    </w:p>
    <w:p w14:paraId="22A28419" w14:textId="6D4C8F78" w:rsidR="006A75E8" w:rsidRPr="00D928CD" w:rsidRDefault="004D2EAF">
      <w:pPr>
        <w:suppressAutoHyphens/>
        <w:spacing w:after="0" w:line="240" w:lineRule="auto"/>
        <w:ind w:firstLine="720"/>
        <w:jc w:val="both"/>
        <w:rPr>
          <w:rFonts w:ascii="Calibri" w:eastAsia="Calibri" w:hAnsi="Calibri" w:cs="Calibri"/>
          <w:sz w:val="24"/>
          <w:szCs w:val="24"/>
        </w:rPr>
      </w:pPr>
      <w:r w:rsidRPr="00D928CD">
        <w:rPr>
          <w:rFonts w:ascii="Times New Roman" w:eastAsia="Times New Roman" w:hAnsi="Times New Roman" w:cs="Times New Roman"/>
          <w:sz w:val="24"/>
          <w:szCs w:val="24"/>
          <w:u w:val="single"/>
        </w:rPr>
        <w:t>Ungārijā</w:t>
      </w:r>
      <w:r w:rsidRPr="00D928CD">
        <w:rPr>
          <w:rFonts w:ascii="Times New Roman" w:eastAsia="Times New Roman" w:hAnsi="Times New Roman" w:cs="Times New Roman"/>
          <w:sz w:val="24"/>
          <w:szCs w:val="24"/>
        </w:rPr>
        <w:t xml:space="preserve"> PVN </w:t>
      </w:r>
      <w:proofErr w:type="spellStart"/>
      <w:r w:rsidR="00815A38" w:rsidRPr="00D928CD">
        <w:rPr>
          <w:rFonts w:ascii="Times New Roman" w:eastAsia="Times New Roman" w:hAnsi="Times New Roman" w:cs="Times New Roman"/>
          <w:sz w:val="24"/>
          <w:szCs w:val="24"/>
        </w:rPr>
        <w:t>standartlikme</w:t>
      </w:r>
      <w:proofErr w:type="spellEnd"/>
      <w:r w:rsidRPr="00D928CD">
        <w:rPr>
          <w:rFonts w:ascii="Times New Roman" w:eastAsia="Times New Roman" w:hAnsi="Times New Roman" w:cs="Times New Roman"/>
          <w:sz w:val="24"/>
          <w:szCs w:val="24"/>
        </w:rPr>
        <w:t xml:space="preserve"> 2009. gadā tika palielināta no 20% uz 25% un uz 27% 2012. gadā, pārtikas produktiem tiek piemērota samazinātā PVN likme 18% apmērā, kas ir visaugstākā samazinātā likme E</w:t>
      </w:r>
      <w:r w:rsidR="00E658D2" w:rsidRPr="00D928CD">
        <w:rPr>
          <w:rFonts w:ascii="Times New Roman" w:eastAsia="Times New Roman" w:hAnsi="Times New Roman" w:cs="Times New Roman"/>
          <w:sz w:val="24"/>
          <w:szCs w:val="24"/>
        </w:rPr>
        <w:t>S un pārsniedz pat Luksemburgas</w:t>
      </w:r>
      <w:r w:rsidRPr="00D928CD">
        <w:rPr>
          <w:rFonts w:ascii="Times New Roman" w:eastAsia="Times New Roman" w:hAnsi="Times New Roman" w:cs="Times New Roman"/>
          <w:sz w:val="24"/>
          <w:szCs w:val="24"/>
        </w:rPr>
        <w:t xml:space="preserve"> </w:t>
      </w:r>
      <w:r w:rsidR="00815A38" w:rsidRPr="00D928CD">
        <w:rPr>
          <w:rFonts w:ascii="Times New Roman" w:eastAsia="Times New Roman" w:hAnsi="Times New Roman" w:cs="Times New Roman"/>
          <w:sz w:val="24"/>
          <w:szCs w:val="24"/>
        </w:rPr>
        <w:t xml:space="preserve">PVN </w:t>
      </w:r>
      <w:proofErr w:type="spellStart"/>
      <w:r w:rsidR="00815A38" w:rsidRPr="00D928CD">
        <w:rPr>
          <w:rFonts w:ascii="Times New Roman" w:eastAsia="Times New Roman" w:hAnsi="Times New Roman" w:cs="Times New Roman"/>
          <w:sz w:val="24"/>
          <w:szCs w:val="24"/>
        </w:rPr>
        <w:t>standartlikmi</w:t>
      </w:r>
      <w:proofErr w:type="spellEnd"/>
      <w:r w:rsidRPr="00D928CD">
        <w:rPr>
          <w:rFonts w:ascii="Times New Roman" w:eastAsia="Times New Roman" w:hAnsi="Times New Roman" w:cs="Times New Roman"/>
          <w:sz w:val="24"/>
          <w:szCs w:val="24"/>
        </w:rPr>
        <w:t>.</w:t>
      </w:r>
    </w:p>
    <w:p w14:paraId="4FB27997" w14:textId="3A3D9E9F" w:rsidR="006A75E8" w:rsidRPr="00D928CD" w:rsidRDefault="004D2EAF">
      <w:pPr>
        <w:suppressAutoHyphens/>
        <w:spacing w:after="0" w:line="240" w:lineRule="auto"/>
        <w:ind w:firstLine="720"/>
        <w:jc w:val="both"/>
        <w:rPr>
          <w:rFonts w:ascii="Calibri" w:eastAsia="Calibri" w:hAnsi="Calibri" w:cs="Calibri"/>
          <w:sz w:val="24"/>
          <w:szCs w:val="24"/>
        </w:rPr>
      </w:pPr>
      <w:r w:rsidRPr="00D928CD">
        <w:rPr>
          <w:rFonts w:ascii="Times New Roman" w:eastAsia="Times New Roman" w:hAnsi="Times New Roman" w:cs="Times New Roman"/>
          <w:sz w:val="24"/>
          <w:szCs w:val="24"/>
          <w:u w:val="single"/>
        </w:rPr>
        <w:t>Maltā</w:t>
      </w:r>
      <w:r w:rsidRPr="00D928CD">
        <w:rPr>
          <w:rFonts w:ascii="Times New Roman" w:eastAsia="Times New Roman" w:hAnsi="Times New Roman" w:cs="Times New Roman"/>
          <w:sz w:val="24"/>
          <w:szCs w:val="24"/>
        </w:rPr>
        <w:t xml:space="preserve"> PVN </w:t>
      </w:r>
      <w:proofErr w:type="spellStart"/>
      <w:r w:rsidR="00815A38" w:rsidRPr="00D928CD">
        <w:rPr>
          <w:rFonts w:ascii="Times New Roman" w:eastAsia="Times New Roman" w:hAnsi="Times New Roman" w:cs="Times New Roman"/>
          <w:sz w:val="24"/>
          <w:szCs w:val="24"/>
        </w:rPr>
        <w:t>standartlikme</w:t>
      </w:r>
      <w:proofErr w:type="spellEnd"/>
      <w:r w:rsidRPr="00D928CD">
        <w:rPr>
          <w:rFonts w:ascii="Times New Roman" w:eastAsia="Times New Roman" w:hAnsi="Times New Roman" w:cs="Times New Roman"/>
          <w:sz w:val="24"/>
          <w:szCs w:val="24"/>
        </w:rPr>
        <w:t xml:space="preserve"> ir 18%</w:t>
      </w:r>
      <w:r w:rsidR="00815A38" w:rsidRPr="00D928CD">
        <w:rPr>
          <w:rFonts w:ascii="Times New Roman" w:eastAsia="Times New Roman" w:hAnsi="Times New Roman" w:cs="Times New Roman"/>
          <w:sz w:val="24"/>
          <w:szCs w:val="24"/>
        </w:rPr>
        <w:t>.</w:t>
      </w:r>
      <w:r w:rsidRPr="00D928CD">
        <w:rPr>
          <w:rFonts w:ascii="Times New Roman" w:eastAsia="Times New Roman" w:hAnsi="Times New Roman" w:cs="Times New Roman"/>
          <w:sz w:val="24"/>
          <w:szCs w:val="24"/>
        </w:rPr>
        <w:t xml:space="preserve"> </w:t>
      </w:r>
      <w:r w:rsidR="00815A38" w:rsidRPr="00D928CD">
        <w:rPr>
          <w:rFonts w:ascii="Times New Roman" w:eastAsia="Times New Roman" w:hAnsi="Times New Roman" w:cs="Times New Roman"/>
          <w:sz w:val="24"/>
          <w:szCs w:val="24"/>
        </w:rPr>
        <w:t>P</w:t>
      </w:r>
      <w:r w:rsidRPr="00D928CD">
        <w:rPr>
          <w:rFonts w:ascii="Times New Roman" w:eastAsia="Times New Roman" w:hAnsi="Times New Roman" w:cs="Times New Roman"/>
          <w:sz w:val="24"/>
          <w:szCs w:val="24"/>
        </w:rPr>
        <w:t>ārtikas produktiem pārsvarā tiek piemērota 0% likme.</w:t>
      </w:r>
    </w:p>
    <w:p w14:paraId="0CEF6CC7" w14:textId="682C277F" w:rsidR="006A75E8" w:rsidRPr="00D928CD" w:rsidRDefault="004D2EAF">
      <w:pPr>
        <w:suppressAutoHyphens/>
        <w:spacing w:after="0" w:line="240" w:lineRule="auto"/>
        <w:ind w:firstLine="720"/>
        <w:jc w:val="both"/>
        <w:rPr>
          <w:rFonts w:ascii="Calibri" w:eastAsia="Calibri" w:hAnsi="Calibri" w:cs="Calibri"/>
          <w:sz w:val="24"/>
          <w:szCs w:val="24"/>
        </w:rPr>
      </w:pPr>
      <w:r w:rsidRPr="00D928CD">
        <w:rPr>
          <w:rFonts w:ascii="Times New Roman" w:eastAsia="Times New Roman" w:hAnsi="Times New Roman" w:cs="Times New Roman"/>
          <w:sz w:val="24"/>
          <w:szCs w:val="24"/>
          <w:u w:val="single"/>
        </w:rPr>
        <w:t>Nīderlandē</w:t>
      </w:r>
      <w:r w:rsidRPr="00D928CD">
        <w:rPr>
          <w:rFonts w:ascii="Times New Roman" w:eastAsia="Times New Roman" w:hAnsi="Times New Roman" w:cs="Times New Roman"/>
          <w:sz w:val="24"/>
          <w:szCs w:val="24"/>
        </w:rPr>
        <w:t xml:space="preserve"> kopš 2012. gada 1. oktobra PVN </w:t>
      </w:r>
      <w:proofErr w:type="spellStart"/>
      <w:r w:rsidR="00815A38" w:rsidRPr="00D928CD">
        <w:rPr>
          <w:rFonts w:ascii="Times New Roman" w:eastAsia="Times New Roman" w:hAnsi="Times New Roman" w:cs="Times New Roman"/>
          <w:sz w:val="24"/>
          <w:szCs w:val="24"/>
        </w:rPr>
        <w:t>standartlikme</w:t>
      </w:r>
      <w:proofErr w:type="spellEnd"/>
      <w:r w:rsidRPr="00D928CD">
        <w:rPr>
          <w:rFonts w:ascii="Times New Roman" w:eastAsia="Times New Roman" w:hAnsi="Times New Roman" w:cs="Times New Roman"/>
          <w:sz w:val="24"/>
          <w:szCs w:val="24"/>
        </w:rPr>
        <w:t xml:space="preserve"> ir palielināta no 19% uz 21%. Pārtikas produktiem tiek piemērota samazinātā PVN likme 6%.</w:t>
      </w:r>
    </w:p>
    <w:p w14:paraId="582CB661" w14:textId="611835FA" w:rsidR="006A75E8" w:rsidRPr="00D928CD" w:rsidRDefault="004D2EAF">
      <w:pPr>
        <w:suppressAutoHyphens/>
        <w:spacing w:after="0" w:line="240" w:lineRule="auto"/>
        <w:ind w:firstLine="720"/>
        <w:jc w:val="both"/>
        <w:rPr>
          <w:rFonts w:ascii="Calibri" w:eastAsia="Calibri" w:hAnsi="Calibri" w:cs="Calibri"/>
          <w:sz w:val="24"/>
          <w:szCs w:val="24"/>
        </w:rPr>
      </w:pPr>
      <w:r w:rsidRPr="00D928CD">
        <w:rPr>
          <w:rFonts w:ascii="Times New Roman" w:eastAsia="Times New Roman" w:hAnsi="Times New Roman" w:cs="Times New Roman"/>
          <w:sz w:val="24"/>
          <w:szCs w:val="24"/>
          <w:u w:val="single"/>
        </w:rPr>
        <w:t>Slovēnijā</w:t>
      </w:r>
      <w:r w:rsidRPr="00D928CD">
        <w:rPr>
          <w:rFonts w:ascii="Times New Roman" w:eastAsia="Times New Roman" w:hAnsi="Times New Roman" w:cs="Times New Roman"/>
          <w:sz w:val="24"/>
          <w:szCs w:val="24"/>
        </w:rPr>
        <w:t xml:space="preserve"> 2013. gadā tika palielināta PVN </w:t>
      </w:r>
      <w:proofErr w:type="spellStart"/>
      <w:r w:rsidR="00815A38" w:rsidRPr="00D928CD">
        <w:rPr>
          <w:rFonts w:ascii="Times New Roman" w:eastAsia="Times New Roman" w:hAnsi="Times New Roman" w:cs="Times New Roman"/>
          <w:sz w:val="24"/>
          <w:szCs w:val="24"/>
        </w:rPr>
        <w:t>standartlikme</w:t>
      </w:r>
      <w:proofErr w:type="spellEnd"/>
      <w:r w:rsidRPr="00D928CD">
        <w:rPr>
          <w:rFonts w:ascii="Times New Roman" w:eastAsia="Times New Roman" w:hAnsi="Times New Roman" w:cs="Times New Roman"/>
          <w:sz w:val="24"/>
          <w:szCs w:val="24"/>
        </w:rPr>
        <w:t xml:space="preserve"> no 20% uz 22% un samazinātās PVN likmes no 8</w:t>
      </w:r>
      <w:r w:rsidR="0035009E" w:rsidRPr="00D928CD">
        <w:rPr>
          <w:rFonts w:ascii="Times New Roman" w:eastAsia="Times New Roman" w:hAnsi="Times New Roman" w:cs="Times New Roman"/>
          <w:sz w:val="24"/>
          <w:szCs w:val="24"/>
        </w:rPr>
        <w:t>,</w:t>
      </w:r>
      <w:r w:rsidRPr="00D928CD">
        <w:rPr>
          <w:rFonts w:ascii="Times New Roman" w:eastAsia="Times New Roman" w:hAnsi="Times New Roman" w:cs="Times New Roman"/>
          <w:sz w:val="24"/>
          <w:szCs w:val="24"/>
        </w:rPr>
        <w:t>5% uz 9,5%, kas tiek piemērotas pārtikas produktiem.</w:t>
      </w:r>
    </w:p>
    <w:p w14:paraId="465D87E5" w14:textId="565DCF93" w:rsidR="006A75E8" w:rsidRPr="00D928CD" w:rsidRDefault="004D2EAF">
      <w:pPr>
        <w:suppressAutoHyphens/>
        <w:spacing w:after="0" w:line="240" w:lineRule="auto"/>
        <w:ind w:firstLine="720"/>
        <w:jc w:val="both"/>
        <w:rPr>
          <w:rFonts w:ascii="Calibri" w:eastAsia="Calibri" w:hAnsi="Calibri" w:cs="Calibri"/>
          <w:sz w:val="24"/>
          <w:szCs w:val="24"/>
        </w:rPr>
      </w:pPr>
      <w:r w:rsidRPr="00D928CD">
        <w:rPr>
          <w:rFonts w:ascii="Times New Roman" w:eastAsia="Times New Roman" w:hAnsi="Times New Roman" w:cs="Times New Roman"/>
          <w:sz w:val="24"/>
          <w:szCs w:val="24"/>
          <w:u w:val="single"/>
        </w:rPr>
        <w:t>Somijā</w:t>
      </w:r>
      <w:r w:rsidRPr="00D928CD">
        <w:rPr>
          <w:rFonts w:ascii="Times New Roman" w:eastAsia="Times New Roman" w:hAnsi="Times New Roman" w:cs="Times New Roman"/>
          <w:sz w:val="24"/>
          <w:szCs w:val="24"/>
        </w:rPr>
        <w:t xml:space="preserve"> 2010. gada jūlijā PVN </w:t>
      </w:r>
      <w:proofErr w:type="spellStart"/>
      <w:r w:rsidR="00815A38" w:rsidRPr="00D928CD">
        <w:rPr>
          <w:rFonts w:ascii="Times New Roman" w:eastAsia="Times New Roman" w:hAnsi="Times New Roman" w:cs="Times New Roman"/>
          <w:sz w:val="24"/>
          <w:szCs w:val="24"/>
        </w:rPr>
        <w:t>standartlikme</w:t>
      </w:r>
      <w:proofErr w:type="spellEnd"/>
      <w:r w:rsidRPr="00D928CD">
        <w:rPr>
          <w:rFonts w:ascii="Times New Roman" w:eastAsia="Times New Roman" w:hAnsi="Times New Roman" w:cs="Times New Roman"/>
          <w:sz w:val="24"/>
          <w:szCs w:val="24"/>
        </w:rPr>
        <w:t xml:space="preserve"> tika palielināta no 22% uz 23%, un kopš 2013. gada janvāra atkārtoti palielināta uz 24 </w:t>
      </w:r>
      <w:r w:rsidR="00351184" w:rsidRPr="00D928CD">
        <w:rPr>
          <w:rFonts w:ascii="Times New Roman" w:eastAsia="Times New Roman" w:hAnsi="Times New Roman" w:cs="Times New Roman"/>
          <w:sz w:val="24"/>
          <w:szCs w:val="24"/>
        </w:rPr>
        <w:t>%</w:t>
      </w:r>
      <w:r w:rsidRPr="00D928CD">
        <w:rPr>
          <w:rFonts w:ascii="Times New Roman" w:eastAsia="Times New Roman" w:hAnsi="Times New Roman" w:cs="Times New Roman"/>
          <w:sz w:val="24"/>
          <w:szCs w:val="24"/>
        </w:rPr>
        <w:t>. Jāpiebilst, ka no 2013. gada janvāra tika palielinātas arī samazinātās PVN likmes attiecīgi no 9% uz 10% viesnīcu un medicīnas pakalpojumiem un no 13% uz 14% pārtikas produktiem un sabiedriskās ēdināšanas pakalpojumiem.</w:t>
      </w:r>
    </w:p>
    <w:p w14:paraId="0D33422C" w14:textId="67790FF6" w:rsidR="00ED2CC4" w:rsidRPr="00D928CD" w:rsidRDefault="00ED2CC4" w:rsidP="00ED2CC4">
      <w:pPr>
        <w:suppressAutoHyphens/>
        <w:spacing w:after="0" w:line="240" w:lineRule="auto"/>
        <w:ind w:firstLine="720"/>
        <w:jc w:val="both"/>
        <w:rPr>
          <w:rFonts w:ascii="Calibri" w:eastAsia="Calibri" w:hAnsi="Calibri" w:cs="Calibri"/>
          <w:sz w:val="24"/>
          <w:szCs w:val="24"/>
        </w:rPr>
      </w:pPr>
      <w:r w:rsidRPr="00D928CD">
        <w:rPr>
          <w:rFonts w:ascii="Times New Roman" w:eastAsia="Times New Roman" w:hAnsi="Times New Roman" w:cs="Times New Roman"/>
          <w:sz w:val="24"/>
          <w:szCs w:val="24"/>
          <w:u w:val="single"/>
        </w:rPr>
        <w:t>Latvijā</w:t>
      </w:r>
      <w:r w:rsidRPr="00D928CD">
        <w:rPr>
          <w:rFonts w:ascii="Times New Roman" w:eastAsia="Times New Roman" w:hAnsi="Times New Roman" w:cs="Times New Roman"/>
          <w:sz w:val="24"/>
          <w:szCs w:val="24"/>
        </w:rPr>
        <w:t xml:space="preserve"> pārtikas produktiem tiek piemērota PVN </w:t>
      </w:r>
      <w:proofErr w:type="spellStart"/>
      <w:r w:rsidR="00815A38" w:rsidRPr="00D928CD">
        <w:rPr>
          <w:rFonts w:ascii="Times New Roman" w:eastAsia="Times New Roman" w:hAnsi="Times New Roman" w:cs="Times New Roman"/>
          <w:sz w:val="24"/>
          <w:szCs w:val="24"/>
        </w:rPr>
        <w:t>standart</w:t>
      </w:r>
      <w:r w:rsidRPr="00D928CD">
        <w:rPr>
          <w:rFonts w:ascii="Times New Roman" w:eastAsia="Times New Roman" w:hAnsi="Times New Roman" w:cs="Times New Roman"/>
          <w:sz w:val="24"/>
          <w:szCs w:val="24"/>
        </w:rPr>
        <w:t>likme</w:t>
      </w:r>
      <w:proofErr w:type="spellEnd"/>
      <w:r w:rsidRPr="00D928CD">
        <w:rPr>
          <w:rFonts w:ascii="Times New Roman" w:eastAsia="Times New Roman" w:hAnsi="Times New Roman" w:cs="Times New Roman"/>
          <w:sz w:val="24"/>
          <w:szCs w:val="24"/>
        </w:rPr>
        <w:t xml:space="preserve"> 21%, izņemot zīdaiņu pārtiku, kam tiek piemērota samazinātā likme 12% apmērā.</w:t>
      </w:r>
    </w:p>
    <w:p w14:paraId="027E4DA2" w14:textId="48742339" w:rsidR="006A75E8" w:rsidRPr="00D928CD" w:rsidRDefault="00C23E3D" w:rsidP="00E83945">
      <w:pPr>
        <w:spacing w:after="0" w:line="240" w:lineRule="auto"/>
        <w:ind w:firstLine="720"/>
        <w:jc w:val="both"/>
        <w:rPr>
          <w:rFonts w:ascii="Times New Roman" w:eastAsia="Times New Roman" w:hAnsi="Times New Roman" w:cs="Times New Roman"/>
          <w:sz w:val="24"/>
          <w:szCs w:val="24"/>
        </w:rPr>
      </w:pPr>
      <w:r w:rsidRPr="00D928CD">
        <w:rPr>
          <w:rFonts w:ascii="Times New Roman" w:eastAsia="Times New Roman" w:hAnsi="Times New Roman" w:cs="Times New Roman"/>
          <w:sz w:val="24"/>
          <w:szCs w:val="24"/>
        </w:rPr>
        <w:t xml:space="preserve">Jāatzīmē, ka </w:t>
      </w:r>
      <w:r w:rsidR="004D2EAF" w:rsidRPr="00D928CD">
        <w:rPr>
          <w:rFonts w:ascii="Times New Roman" w:eastAsia="Times New Roman" w:hAnsi="Times New Roman" w:cs="Times New Roman"/>
          <w:sz w:val="24"/>
          <w:szCs w:val="24"/>
        </w:rPr>
        <w:t xml:space="preserve">Latvijā samazinātā PVN likme tiek piemērota </w:t>
      </w:r>
      <w:r w:rsidR="00815A38" w:rsidRPr="00D928CD">
        <w:rPr>
          <w:rFonts w:ascii="Times New Roman" w:eastAsia="Times New Roman" w:hAnsi="Times New Roman" w:cs="Times New Roman"/>
          <w:sz w:val="24"/>
          <w:szCs w:val="24"/>
        </w:rPr>
        <w:t>tādiem</w:t>
      </w:r>
      <w:r w:rsidR="004D2EAF" w:rsidRPr="00D928CD">
        <w:rPr>
          <w:rFonts w:ascii="Times New Roman" w:eastAsia="Times New Roman" w:hAnsi="Times New Roman" w:cs="Times New Roman"/>
          <w:sz w:val="24"/>
          <w:szCs w:val="24"/>
        </w:rPr>
        <w:t xml:space="preserve"> </w:t>
      </w:r>
      <w:r w:rsidRPr="00D928CD">
        <w:rPr>
          <w:rFonts w:ascii="Times New Roman" w:eastAsia="Times New Roman" w:hAnsi="Times New Roman" w:cs="Times New Roman"/>
          <w:sz w:val="24"/>
          <w:szCs w:val="24"/>
        </w:rPr>
        <w:t>pakalpojumiem un produktiem, kam citās ES dalībvalstīs</w:t>
      </w:r>
      <w:r w:rsidR="00525B1E" w:rsidRPr="00D928CD">
        <w:rPr>
          <w:rFonts w:ascii="Times New Roman" w:eastAsia="Times New Roman" w:hAnsi="Times New Roman" w:cs="Times New Roman"/>
          <w:sz w:val="24"/>
          <w:szCs w:val="24"/>
        </w:rPr>
        <w:t xml:space="preserve"> tiek piemērota lielāka likme, </w:t>
      </w:r>
      <w:r w:rsidRPr="00D928CD">
        <w:rPr>
          <w:rFonts w:ascii="Times New Roman" w:eastAsia="Times New Roman" w:hAnsi="Times New Roman" w:cs="Times New Roman"/>
          <w:sz w:val="24"/>
          <w:szCs w:val="24"/>
        </w:rPr>
        <w:t>piemēram</w:t>
      </w:r>
      <w:r w:rsidR="00815A38" w:rsidRPr="00D928CD">
        <w:rPr>
          <w:rFonts w:ascii="Times New Roman" w:eastAsia="Times New Roman" w:hAnsi="Times New Roman" w:cs="Times New Roman"/>
          <w:sz w:val="24"/>
          <w:szCs w:val="24"/>
        </w:rPr>
        <w:t>,</w:t>
      </w:r>
      <w:r w:rsidRPr="00D928CD">
        <w:rPr>
          <w:rFonts w:ascii="Times New Roman" w:eastAsia="Times New Roman" w:hAnsi="Times New Roman" w:cs="Times New Roman"/>
          <w:sz w:val="24"/>
          <w:szCs w:val="24"/>
        </w:rPr>
        <w:t xml:space="preserve"> </w:t>
      </w:r>
      <w:r w:rsidR="004D2EAF" w:rsidRPr="00D928CD">
        <w:rPr>
          <w:rFonts w:ascii="Times New Roman" w:eastAsia="Times New Roman" w:hAnsi="Times New Roman" w:cs="Times New Roman"/>
          <w:sz w:val="24"/>
          <w:szCs w:val="24"/>
        </w:rPr>
        <w:t>medikamentiem un medicīnas pakalpojumiem, regulārajiem transporta pārvadājumiem, kā arī preses izdevumiem.</w:t>
      </w:r>
    </w:p>
    <w:p w14:paraId="4274E371" w14:textId="77777777" w:rsidR="006A75E8" w:rsidRPr="00D928CD" w:rsidRDefault="004D2EAF">
      <w:pPr>
        <w:suppressAutoHyphens/>
        <w:spacing w:after="0" w:line="240" w:lineRule="auto"/>
        <w:ind w:firstLine="720"/>
        <w:jc w:val="both"/>
        <w:rPr>
          <w:rFonts w:ascii="Calibri" w:eastAsia="Calibri" w:hAnsi="Calibri" w:cs="Calibri"/>
          <w:sz w:val="24"/>
          <w:szCs w:val="24"/>
        </w:rPr>
      </w:pPr>
      <w:r w:rsidRPr="00D928CD">
        <w:rPr>
          <w:rFonts w:ascii="Times New Roman" w:eastAsia="Times New Roman" w:hAnsi="Times New Roman" w:cs="Times New Roman"/>
          <w:sz w:val="24"/>
          <w:szCs w:val="24"/>
        </w:rPr>
        <w:t xml:space="preserve">Medikamentiem un medicīnas pakalpojumiem </w:t>
      </w:r>
      <w:r w:rsidR="005330FA" w:rsidRPr="00D928CD">
        <w:rPr>
          <w:rFonts w:ascii="Times New Roman" w:eastAsia="Times New Roman" w:hAnsi="Times New Roman" w:cs="Times New Roman"/>
          <w:sz w:val="24"/>
          <w:szCs w:val="24"/>
        </w:rPr>
        <w:t>tiek piemērotas šādas PVN likmes:</w:t>
      </w:r>
      <w:r w:rsidRPr="00D928CD">
        <w:rPr>
          <w:rFonts w:ascii="Times New Roman" w:eastAsia="Times New Roman" w:hAnsi="Times New Roman" w:cs="Times New Roman"/>
          <w:sz w:val="24"/>
          <w:szCs w:val="24"/>
        </w:rPr>
        <w:t xml:space="preserve"> Bulgārijā  </w:t>
      </w:r>
      <w:r w:rsidR="005330FA" w:rsidRPr="00D928CD">
        <w:rPr>
          <w:rFonts w:ascii="Times New Roman" w:eastAsia="Times New Roman" w:hAnsi="Times New Roman" w:cs="Times New Roman"/>
          <w:sz w:val="24"/>
          <w:szCs w:val="24"/>
        </w:rPr>
        <w:t>-</w:t>
      </w:r>
      <w:r w:rsidRPr="00D928CD">
        <w:rPr>
          <w:rFonts w:ascii="Times New Roman" w:eastAsia="Times New Roman" w:hAnsi="Times New Roman" w:cs="Times New Roman"/>
          <w:sz w:val="24"/>
          <w:szCs w:val="24"/>
        </w:rPr>
        <w:t xml:space="preserve"> 20% , Čehijā</w:t>
      </w:r>
      <w:r w:rsidR="005330FA" w:rsidRPr="00D928CD">
        <w:rPr>
          <w:rFonts w:ascii="Times New Roman" w:eastAsia="Times New Roman" w:hAnsi="Times New Roman" w:cs="Times New Roman"/>
          <w:sz w:val="24"/>
          <w:szCs w:val="24"/>
        </w:rPr>
        <w:t xml:space="preserve"> – 15%</w:t>
      </w:r>
      <w:r w:rsidRPr="00D928CD">
        <w:rPr>
          <w:rFonts w:ascii="Times New Roman" w:eastAsia="Times New Roman" w:hAnsi="Times New Roman" w:cs="Times New Roman"/>
          <w:sz w:val="24"/>
          <w:szCs w:val="24"/>
        </w:rPr>
        <w:t>, Dānijā</w:t>
      </w:r>
      <w:r w:rsidR="005330FA" w:rsidRPr="00D928CD">
        <w:rPr>
          <w:rFonts w:ascii="Times New Roman" w:eastAsia="Times New Roman" w:hAnsi="Times New Roman" w:cs="Times New Roman"/>
          <w:sz w:val="24"/>
          <w:szCs w:val="24"/>
        </w:rPr>
        <w:t xml:space="preserve"> – 25%</w:t>
      </w:r>
      <w:r w:rsidRPr="00D928CD">
        <w:rPr>
          <w:rFonts w:ascii="Times New Roman" w:eastAsia="Times New Roman" w:hAnsi="Times New Roman" w:cs="Times New Roman"/>
          <w:sz w:val="24"/>
          <w:szCs w:val="24"/>
        </w:rPr>
        <w:t xml:space="preserve">, Vācijā </w:t>
      </w:r>
      <w:r w:rsidR="005330FA" w:rsidRPr="00D928CD">
        <w:rPr>
          <w:rFonts w:ascii="Times New Roman" w:eastAsia="Times New Roman" w:hAnsi="Times New Roman" w:cs="Times New Roman"/>
          <w:sz w:val="24"/>
          <w:szCs w:val="24"/>
        </w:rPr>
        <w:t>– 19%</w:t>
      </w:r>
      <w:r w:rsidRPr="00D928CD">
        <w:rPr>
          <w:rFonts w:ascii="Times New Roman" w:eastAsia="Times New Roman" w:hAnsi="Times New Roman" w:cs="Times New Roman"/>
          <w:sz w:val="24"/>
          <w:szCs w:val="24"/>
        </w:rPr>
        <w:t xml:space="preserve"> un Zviedrijā</w:t>
      </w:r>
      <w:r w:rsidR="005330FA" w:rsidRPr="00D928CD">
        <w:rPr>
          <w:rFonts w:ascii="Times New Roman" w:eastAsia="Times New Roman" w:hAnsi="Times New Roman" w:cs="Times New Roman"/>
          <w:sz w:val="24"/>
          <w:szCs w:val="24"/>
        </w:rPr>
        <w:t xml:space="preserve"> – 25%</w:t>
      </w:r>
      <w:r w:rsidRPr="00D928CD">
        <w:rPr>
          <w:rFonts w:ascii="Times New Roman" w:eastAsia="Times New Roman" w:hAnsi="Times New Roman" w:cs="Times New Roman"/>
          <w:sz w:val="24"/>
          <w:szCs w:val="24"/>
        </w:rPr>
        <w:t xml:space="preserve">, </w:t>
      </w:r>
      <w:r w:rsidRPr="00D928CD">
        <w:rPr>
          <w:rFonts w:ascii="Times New Roman" w:eastAsia="Times New Roman" w:hAnsi="Times New Roman" w:cs="Times New Roman"/>
          <w:sz w:val="24"/>
          <w:szCs w:val="24"/>
        </w:rPr>
        <w:lastRenderedPageBreak/>
        <w:t>salīdzinājumam, Latvijā šai preču un pakalpojumu grupai tiek piemērota samazinātā PVN likme 12%.</w:t>
      </w:r>
    </w:p>
    <w:p w14:paraId="19464A9C" w14:textId="2B3CDF2C" w:rsidR="006A75E8" w:rsidRPr="00D928CD" w:rsidRDefault="004D2EAF">
      <w:pPr>
        <w:suppressAutoHyphens/>
        <w:spacing w:after="0" w:line="240" w:lineRule="auto"/>
        <w:ind w:firstLine="720"/>
        <w:jc w:val="both"/>
        <w:rPr>
          <w:rFonts w:ascii="Calibri" w:eastAsia="Calibri" w:hAnsi="Calibri" w:cs="Calibri"/>
          <w:sz w:val="24"/>
          <w:szCs w:val="24"/>
        </w:rPr>
      </w:pPr>
      <w:r w:rsidRPr="00D928CD">
        <w:rPr>
          <w:rFonts w:ascii="Times New Roman" w:eastAsia="Times New Roman" w:hAnsi="Times New Roman" w:cs="Times New Roman"/>
          <w:sz w:val="24"/>
          <w:szCs w:val="24"/>
        </w:rPr>
        <w:t xml:space="preserve">Regulārajiem transporta pārvadājumiem </w:t>
      </w:r>
      <w:r w:rsidR="00351184" w:rsidRPr="00D928CD">
        <w:rPr>
          <w:rFonts w:ascii="Times New Roman" w:eastAsia="Times New Roman" w:hAnsi="Times New Roman" w:cs="Times New Roman"/>
          <w:sz w:val="24"/>
          <w:szCs w:val="24"/>
        </w:rPr>
        <w:t>tiek piemērotas šādas PVN likmes:</w:t>
      </w:r>
      <w:r w:rsidRPr="00D928CD">
        <w:rPr>
          <w:rFonts w:ascii="Times New Roman" w:eastAsia="Times New Roman" w:hAnsi="Times New Roman" w:cs="Times New Roman"/>
          <w:sz w:val="24"/>
          <w:szCs w:val="24"/>
        </w:rPr>
        <w:t xml:space="preserve"> Bulgārijā </w:t>
      </w:r>
      <w:r w:rsidR="00351184" w:rsidRPr="00D928CD">
        <w:rPr>
          <w:rFonts w:ascii="Times New Roman" w:eastAsia="Times New Roman" w:hAnsi="Times New Roman" w:cs="Times New Roman"/>
          <w:sz w:val="24"/>
          <w:szCs w:val="24"/>
        </w:rPr>
        <w:t xml:space="preserve">- </w:t>
      </w:r>
      <w:r w:rsidR="00A63133" w:rsidRPr="00D928CD">
        <w:rPr>
          <w:rFonts w:ascii="Times New Roman" w:eastAsia="Times New Roman" w:hAnsi="Times New Roman" w:cs="Times New Roman"/>
          <w:sz w:val="24"/>
          <w:szCs w:val="24"/>
        </w:rPr>
        <w:t>20%</w:t>
      </w:r>
      <w:r w:rsidRPr="00D928CD">
        <w:rPr>
          <w:rFonts w:ascii="Times New Roman" w:eastAsia="Times New Roman" w:hAnsi="Times New Roman" w:cs="Times New Roman"/>
          <w:sz w:val="24"/>
          <w:szCs w:val="24"/>
        </w:rPr>
        <w:t xml:space="preserve">, Čehijā </w:t>
      </w:r>
      <w:r w:rsidR="00351184" w:rsidRPr="00D928CD">
        <w:rPr>
          <w:rFonts w:ascii="Times New Roman" w:eastAsia="Times New Roman" w:hAnsi="Times New Roman" w:cs="Times New Roman"/>
          <w:sz w:val="24"/>
          <w:szCs w:val="24"/>
        </w:rPr>
        <w:t xml:space="preserve">- </w:t>
      </w:r>
      <w:r w:rsidRPr="00D928CD">
        <w:rPr>
          <w:rFonts w:ascii="Times New Roman" w:eastAsia="Times New Roman" w:hAnsi="Times New Roman" w:cs="Times New Roman"/>
          <w:sz w:val="24"/>
          <w:szCs w:val="24"/>
        </w:rPr>
        <w:t xml:space="preserve">15%, Igaunijā </w:t>
      </w:r>
      <w:r w:rsidR="00351184" w:rsidRPr="00D928CD">
        <w:rPr>
          <w:rFonts w:ascii="Times New Roman" w:eastAsia="Times New Roman" w:hAnsi="Times New Roman" w:cs="Times New Roman"/>
          <w:sz w:val="24"/>
          <w:szCs w:val="24"/>
        </w:rPr>
        <w:t>-</w:t>
      </w:r>
      <w:r w:rsidRPr="00D928CD">
        <w:rPr>
          <w:rFonts w:ascii="Times New Roman" w:eastAsia="Times New Roman" w:hAnsi="Times New Roman" w:cs="Times New Roman"/>
          <w:sz w:val="24"/>
          <w:szCs w:val="24"/>
        </w:rPr>
        <w:t xml:space="preserve"> 20%, Grieķijā </w:t>
      </w:r>
      <w:r w:rsidR="00351184" w:rsidRPr="00D928CD">
        <w:rPr>
          <w:rFonts w:ascii="Times New Roman" w:eastAsia="Times New Roman" w:hAnsi="Times New Roman" w:cs="Times New Roman"/>
          <w:sz w:val="24"/>
          <w:szCs w:val="24"/>
        </w:rPr>
        <w:t>-</w:t>
      </w:r>
      <w:r w:rsidRPr="00D928CD">
        <w:rPr>
          <w:rFonts w:ascii="Times New Roman" w:eastAsia="Times New Roman" w:hAnsi="Times New Roman" w:cs="Times New Roman"/>
          <w:sz w:val="24"/>
          <w:szCs w:val="24"/>
        </w:rPr>
        <w:t xml:space="preserve"> 13%, Horvātijā </w:t>
      </w:r>
      <w:r w:rsidR="00351184" w:rsidRPr="00D928CD">
        <w:rPr>
          <w:rFonts w:ascii="Times New Roman" w:eastAsia="Times New Roman" w:hAnsi="Times New Roman" w:cs="Times New Roman"/>
          <w:sz w:val="24"/>
          <w:szCs w:val="24"/>
        </w:rPr>
        <w:t xml:space="preserve"> - </w:t>
      </w:r>
      <w:r w:rsidRPr="00D928CD">
        <w:rPr>
          <w:rFonts w:ascii="Times New Roman" w:eastAsia="Times New Roman" w:hAnsi="Times New Roman" w:cs="Times New Roman"/>
          <w:sz w:val="24"/>
          <w:szCs w:val="24"/>
        </w:rPr>
        <w:t>25%, Rumānijā</w:t>
      </w:r>
      <w:r w:rsidR="00351184" w:rsidRPr="00D928CD">
        <w:rPr>
          <w:rFonts w:ascii="Times New Roman" w:eastAsia="Times New Roman" w:hAnsi="Times New Roman" w:cs="Times New Roman"/>
          <w:sz w:val="24"/>
          <w:szCs w:val="24"/>
        </w:rPr>
        <w:t xml:space="preserve"> -</w:t>
      </w:r>
      <w:r w:rsidRPr="00D928CD">
        <w:rPr>
          <w:rFonts w:ascii="Times New Roman" w:eastAsia="Times New Roman" w:hAnsi="Times New Roman" w:cs="Times New Roman"/>
          <w:sz w:val="24"/>
          <w:szCs w:val="24"/>
        </w:rPr>
        <w:t xml:space="preserve"> 24%, kamēr Latvijā, lai veicinātu transporta pieejamību un iedzīvotāju mobilitāti, šiem pakalpojumiem tiek piemērota </w:t>
      </w:r>
      <w:r w:rsidR="004343D2" w:rsidRPr="00D928CD">
        <w:rPr>
          <w:rFonts w:ascii="Times New Roman" w:eastAsia="Times New Roman" w:hAnsi="Times New Roman" w:cs="Times New Roman"/>
          <w:sz w:val="24"/>
          <w:szCs w:val="24"/>
        </w:rPr>
        <w:t xml:space="preserve">samazinātā </w:t>
      </w:r>
      <w:r w:rsidRPr="00D928CD">
        <w:rPr>
          <w:rFonts w:ascii="Times New Roman" w:eastAsia="Times New Roman" w:hAnsi="Times New Roman" w:cs="Times New Roman"/>
          <w:sz w:val="24"/>
          <w:szCs w:val="24"/>
        </w:rPr>
        <w:t>PVN 12% likme.</w:t>
      </w:r>
    </w:p>
    <w:p w14:paraId="38A90403" w14:textId="10F790E8" w:rsidR="006A75E8" w:rsidRPr="00D928CD" w:rsidRDefault="004D2EAF">
      <w:pPr>
        <w:suppressAutoHyphens/>
        <w:spacing w:after="0" w:line="240" w:lineRule="auto"/>
        <w:ind w:firstLine="720"/>
        <w:jc w:val="both"/>
        <w:rPr>
          <w:rFonts w:ascii="Times New Roman" w:eastAsia="Times New Roman" w:hAnsi="Times New Roman" w:cs="Times New Roman"/>
          <w:sz w:val="24"/>
          <w:szCs w:val="24"/>
        </w:rPr>
      </w:pPr>
      <w:r w:rsidRPr="00D928CD">
        <w:rPr>
          <w:rFonts w:ascii="Times New Roman" w:eastAsia="Times New Roman" w:hAnsi="Times New Roman" w:cs="Times New Roman"/>
          <w:sz w:val="24"/>
          <w:szCs w:val="24"/>
        </w:rPr>
        <w:t xml:space="preserve">Preses izdevumiem un avīzēm </w:t>
      </w:r>
      <w:r w:rsidR="00351184" w:rsidRPr="00D928CD">
        <w:rPr>
          <w:rFonts w:ascii="Times New Roman" w:eastAsia="Times New Roman" w:hAnsi="Times New Roman" w:cs="Times New Roman"/>
          <w:sz w:val="24"/>
          <w:szCs w:val="24"/>
        </w:rPr>
        <w:t xml:space="preserve">tiek piemērotas šādas PVN likmes: </w:t>
      </w:r>
      <w:r w:rsidR="00FB1CAF" w:rsidRPr="00D928CD">
        <w:rPr>
          <w:rFonts w:ascii="Times New Roman" w:eastAsia="Times New Roman" w:hAnsi="Times New Roman" w:cs="Times New Roman"/>
          <w:sz w:val="24"/>
          <w:szCs w:val="24"/>
        </w:rPr>
        <w:t>Bulgārijā</w:t>
      </w:r>
      <w:r w:rsidRPr="00D928CD">
        <w:rPr>
          <w:rFonts w:ascii="Times New Roman" w:eastAsia="Times New Roman" w:hAnsi="Times New Roman" w:cs="Times New Roman"/>
          <w:sz w:val="24"/>
          <w:szCs w:val="24"/>
        </w:rPr>
        <w:t xml:space="preserve"> </w:t>
      </w:r>
      <w:r w:rsidR="00351184" w:rsidRPr="00D928CD">
        <w:rPr>
          <w:rFonts w:ascii="Times New Roman" w:eastAsia="Times New Roman" w:hAnsi="Times New Roman" w:cs="Times New Roman"/>
          <w:sz w:val="24"/>
          <w:szCs w:val="24"/>
        </w:rPr>
        <w:t xml:space="preserve">- </w:t>
      </w:r>
      <w:r w:rsidR="00A63133" w:rsidRPr="00D928CD">
        <w:rPr>
          <w:rFonts w:ascii="Times New Roman" w:eastAsia="Times New Roman" w:hAnsi="Times New Roman" w:cs="Times New Roman"/>
          <w:sz w:val="24"/>
          <w:szCs w:val="24"/>
        </w:rPr>
        <w:t>20%</w:t>
      </w:r>
      <w:r w:rsidRPr="00D928CD">
        <w:rPr>
          <w:rFonts w:ascii="Times New Roman" w:eastAsia="Times New Roman" w:hAnsi="Times New Roman" w:cs="Times New Roman"/>
          <w:sz w:val="24"/>
          <w:szCs w:val="24"/>
        </w:rPr>
        <w:t xml:space="preserve">, Čehijā </w:t>
      </w:r>
      <w:r w:rsidR="00351184" w:rsidRPr="00D928CD">
        <w:rPr>
          <w:rFonts w:ascii="Times New Roman" w:eastAsia="Times New Roman" w:hAnsi="Times New Roman" w:cs="Times New Roman"/>
          <w:sz w:val="24"/>
          <w:szCs w:val="24"/>
        </w:rPr>
        <w:t xml:space="preserve">- </w:t>
      </w:r>
      <w:r w:rsidRPr="00D928CD">
        <w:rPr>
          <w:rFonts w:ascii="Times New Roman" w:eastAsia="Times New Roman" w:hAnsi="Times New Roman" w:cs="Times New Roman"/>
          <w:sz w:val="24"/>
          <w:szCs w:val="24"/>
        </w:rPr>
        <w:t>15%, Dānijā</w:t>
      </w:r>
      <w:r w:rsidR="00351184" w:rsidRPr="00D928CD">
        <w:rPr>
          <w:rFonts w:ascii="Times New Roman" w:eastAsia="Times New Roman" w:hAnsi="Times New Roman" w:cs="Times New Roman"/>
          <w:sz w:val="24"/>
          <w:szCs w:val="24"/>
        </w:rPr>
        <w:t xml:space="preserve"> -</w:t>
      </w:r>
      <w:r w:rsidRPr="00D928CD">
        <w:rPr>
          <w:rFonts w:ascii="Times New Roman" w:eastAsia="Times New Roman" w:hAnsi="Times New Roman" w:cs="Times New Roman"/>
          <w:sz w:val="24"/>
          <w:szCs w:val="24"/>
        </w:rPr>
        <w:t xml:space="preserve"> 25%, kamēr Latvijā tiek piemērota </w:t>
      </w:r>
      <w:r w:rsidR="004343D2" w:rsidRPr="00D928CD">
        <w:rPr>
          <w:rFonts w:ascii="Times New Roman" w:eastAsia="Times New Roman" w:hAnsi="Times New Roman" w:cs="Times New Roman"/>
          <w:sz w:val="24"/>
          <w:szCs w:val="24"/>
        </w:rPr>
        <w:t xml:space="preserve">samazinātā </w:t>
      </w:r>
      <w:r w:rsidRPr="00D928CD">
        <w:rPr>
          <w:rFonts w:ascii="Times New Roman" w:eastAsia="Times New Roman" w:hAnsi="Times New Roman" w:cs="Times New Roman"/>
          <w:sz w:val="24"/>
          <w:szCs w:val="24"/>
        </w:rPr>
        <w:t>PVN 12% likme.</w:t>
      </w:r>
    </w:p>
    <w:p w14:paraId="470BA98D" w14:textId="47A60A58" w:rsidR="006A75E8" w:rsidRPr="00D928CD" w:rsidRDefault="004D2EAF" w:rsidP="008562CB">
      <w:pPr>
        <w:suppressAutoHyphens/>
        <w:spacing w:after="480" w:line="240" w:lineRule="auto"/>
        <w:ind w:firstLine="720"/>
        <w:jc w:val="both"/>
        <w:rPr>
          <w:rFonts w:ascii="Calibri" w:eastAsia="Calibri" w:hAnsi="Calibri" w:cs="Calibri"/>
          <w:sz w:val="24"/>
          <w:szCs w:val="24"/>
        </w:rPr>
      </w:pPr>
      <w:r w:rsidRPr="00D928CD">
        <w:rPr>
          <w:rFonts w:ascii="Times New Roman" w:eastAsia="Times New Roman" w:hAnsi="Times New Roman" w:cs="Times New Roman"/>
          <w:sz w:val="24"/>
          <w:szCs w:val="24"/>
        </w:rPr>
        <w:t xml:space="preserve">Salīdzinot PVN likmes ES valstīs 2012.gada 1.jūlijā un 2014.gada 1.jūlijā, </w:t>
      </w:r>
      <w:r w:rsidR="00815A38" w:rsidRPr="00D928CD">
        <w:rPr>
          <w:rFonts w:ascii="Times New Roman" w:eastAsia="Times New Roman" w:hAnsi="Times New Roman" w:cs="Times New Roman"/>
          <w:sz w:val="24"/>
          <w:szCs w:val="24"/>
        </w:rPr>
        <w:t xml:space="preserve">PVN </w:t>
      </w:r>
      <w:proofErr w:type="spellStart"/>
      <w:r w:rsidR="00815A38" w:rsidRPr="00D928CD">
        <w:rPr>
          <w:rFonts w:ascii="Times New Roman" w:eastAsia="Times New Roman" w:hAnsi="Times New Roman" w:cs="Times New Roman"/>
          <w:sz w:val="24"/>
          <w:szCs w:val="24"/>
        </w:rPr>
        <w:t>standartlikmes</w:t>
      </w:r>
      <w:proofErr w:type="spellEnd"/>
      <w:r w:rsidRPr="00D928CD">
        <w:rPr>
          <w:rFonts w:ascii="Times New Roman" w:eastAsia="Times New Roman" w:hAnsi="Times New Roman" w:cs="Times New Roman"/>
          <w:sz w:val="24"/>
          <w:szCs w:val="24"/>
        </w:rPr>
        <w:t xml:space="preserve"> palielinājums ir novērojams 8 dalībvalstīs, savukārt </w:t>
      </w:r>
      <w:r w:rsidR="00815A38" w:rsidRPr="00D928CD">
        <w:rPr>
          <w:rFonts w:ascii="Times New Roman" w:eastAsia="Times New Roman" w:hAnsi="Times New Roman" w:cs="Times New Roman"/>
          <w:sz w:val="24"/>
          <w:szCs w:val="24"/>
        </w:rPr>
        <w:t>samazinātās PVN</w:t>
      </w:r>
      <w:r w:rsidRPr="00D928CD">
        <w:rPr>
          <w:rFonts w:ascii="Times New Roman" w:eastAsia="Times New Roman" w:hAnsi="Times New Roman" w:cs="Times New Roman"/>
          <w:sz w:val="24"/>
          <w:szCs w:val="24"/>
        </w:rPr>
        <w:t xml:space="preserve"> likmes palielinājums – 6 dalībvalstīs. Neviena no 28 ES dalībvalstīm </w:t>
      </w:r>
      <w:r w:rsidR="001E20D1" w:rsidRPr="00D928CD">
        <w:rPr>
          <w:rFonts w:ascii="Times New Roman" w:eastAsia="Times New Roman" w:hAnsi="Times New Roman" w:cs="Times New Roman"/>
          <w:sz w:val="24"/>
          <w:szCs w:val="24"/>
        </w:rPr>
        <w:t xml:space="preserve">minētajā periodā </w:t>
      </w:r>
      <w:r w:rsidRPr="00D928CD">
        <w:rPr>
          <w:rFonts w:ascii="Times New Roman" w:eastAsia="Times New Roman" w:hAnsi="Times New Roman" w:cs="Times New Roman"/>
          <w:sz w:val="24"/>
          <w:szCs w:val="24"/>
        </w:rPr>
        <w:t xml:space="preserve">nav veikusi ne </w:t>
      </w:r>
      <w:r w:rsidR="00815A38" w:rsidRPr="00D928CD">
        <w:rPr>
          <w:rFonts w:ascii="Times New Roman" w:eastAsia="Times New Roman" w:hAnsi="Times New Roman" w:cs="Times New Roman"/>
          <w:sz w:val="24"/>
          <w:szCs w:val="24"/>
        </w:rPr>
        <w:t xml:space="preserve">PVN </w:t>
      </w:r>
      <w:proofErr w:type="spellStart"/>
      <w:r w:rsidR="00815A38" w:rsidRPr="00D928CD">
        <w:rPr>
          <w:rFonts w:ascii="Times New Roman" w:eastAsia="Times New Roman" w:hAnsi="Times New Roman" w:cs="Times New Roman"/>
          <w:sz w:val="24"/>
          <w:szCs w:val="24"/>
        </w:rPr>
        <w:t>standartlikmes</w:t>
      </w:r>
      <w:proofErr w:type="spellEnd"/>
      <w:r w:rsidR="006517B0" w:rsidRPr="00D928CD">
        <w:rPr>
          <w:rFonts w:ascii="Times New Roman" w:eastAsia="Times New Roman" w:hAnsi="Times New Roman" w:cs="Times New Roman"/>
          <w:sz w:val="24"/>
          <w:szCs w:val="24"/>
        </w:rPr>
        <w:t xml:space="preserve">, ne arī </w:t>
      </w:r>
      <w:r w:rsidR="008C3D86" w:rsidRPr="00D928CD">
        <w:rPr>
          <w:rFonts w:ascii="Times New Roman" w:eastAsia="Times New Roman" w:hAnsi="Times New Roman" w:cs="Times New Roman"/>
          <w:sz w:val="24"/>
          <w:szCs w:val="24"/>
        </w:rPr>
        <w:t>samazināto PVN</w:t>
      </w:r>
      <w:r w:rsidRPr="00D928CD">
        <w:rPr>
          <w:rFonts w:ascii="Times New Roman" w:eastAsia="Times New Roman" w:hAnsi="Times New Roman" w:cs="Times New Roman"/>
          <w:sz w:val="24"/>
          <w:szCs w:val="24"/>
        </w:rPr>
        <w:t xml:space="preserve"> likmju samazināšanu. </w:t>
      </w:r>
    </w:p>
    <w:p w14:paraId="2574647C" w14:textId="53C8B49F" w:rsidR="006A75E8" w:rsidRPr="00377EF5" w:rsidRDefault="00631B39" w:rsidP="002917D3">
      <w:pPr>
        <w:pStyle w:val="ListParagraph"/>
        <w:numPr>
          <w:ilvl w:val="0"/>
          <w:numId w:val="6"/>
        </w:numPr>
        <w:suppressAutoHyphens/>
        <w:spacing w:before="480" w:line="240" w:lineRule="auto"/>
        <w:ind w:left="714" w:hanging="357"/>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S</w:t>
      </w:r>
      <w:r w:rsidRPr="00377EF5">
        <w:rPr>
          <w:rFonts w:ascii="Times New Roman" w:eastAsia="Times New Roman" w:hAnsi="Times New Roman" w:cs="Times New Roman"/>
          <w:b/>
          <w:sz w:val="28"/>
          <w:szCs w:val="28"/>
        </w:rPr>
        <w:t xml:space="preserve">amazinātās </w:t>
      </w:r>
      <w:r w:rsidR="004D2EAF" w:rsidRPr="00377EF5">
        <w:rPr>
          <w:rFonts w:ascii="Times New Roman" w:eastAsia="Times New Roman" w:hAnsi="Times New Roman" w:cs="Times New Roman"/>
          <w:b/>
          <w:sz w:val="28"/>
          <w:szCs w:val="28"/>
        </w:rPr>
        <w:t>PVN likme</w:t>
      </w:r>
      <w:r w:rsidR="00E71814" w:rsidRPr="00377EF5">
        <w:rPr>
          <w:rFonts w:ascii="Times New Roman" w:eastAsia="Times New Roman" w:hAnsi="Times New Roman" w:cs="Times New Roman"/>
          <w:b/>
          <w:sz w:val="28"/>
          <w:szCs w:val="28"/>
        </w:rPr>
        <w:t>s</w:t>
      </w:r>
      <w:r w:rsidR="004D2EAF" w:rsidRPr="00377EF5">
        <w:rPr>
          <w:rFonts w:ascii="Times New Roman" w:eastAsia="Times New Roman" w:hAnsi="Times New Roman" w:cs="Times New Roman"/>
          <w:b/>
          <w:sz w:val="28"/>
          <w:szCs w:val="28"/>
        </w:rPr>
        <w:t xml:space="preserve"> pārtikai fiskālā ietekme uz valsts budžetu</w:t>
      </w:r>
    </w:p>
    <w:p w14:paraId="7D3FAFDA" w14:textId="009AA099" w:rsidR="00105529" w:rsidRPr="00D928CD" w:rsidRDefault="00BE5210" w:rsidP="00105529">
      <w:pPr>
        <w:suppressAutoHyphens/>
        <w:spacing w:after="0" w:line="240" w:lineRule="auto"/>
        <w:ind w:firstLine="720"/>
        <w:jc w:val="both"/>
        <w:rPr>
          <w:rFonts w:ascii="Times New Roman" w:eastAsia="Times New Roman" w:hAnsi="Times New Roman" w:cs="Times New Roman"/>
          <w:sz w:val="24"/>
          <w:szCs w:val="24"/>
        </w:rPr>
      </w:pPr>
      <w:r w:rsidRPr="00D928CD">
        <w:rPr>
          <w:rFonts w:ascii="Times New Roman" w:eastAsia="Times New Roman" w:hAnsi="Times New Roman" w:cs="Times New Roman"/>
          <w:sz w:val="24"/>
          <w:szCs w:val="24"/>
        </w:rPr>
        <w:t>Finanšu ministrija jau vair</w:t>
      </w:r>
      <w:r w:rsidR="00ED2CC4" w:rsidRPr="00D928CD">
        <w:rPr>
          <w:rFonts w:ascii="Times New Roman" w:eastAsia="Times New Roman" w:hAnsi="Times New Roman" w:cs="Times New Roman"/>
          <w:sz w:val="24"/>
          <w:szCs w:val="24"/>
        </w:rPr>
        <w:t>ā</w:t>
      </w:r>
      <w:r w:rsidRPr="00D928CD">
        <w:rPr>
          <w:rFonts w:ascii="Times New Roman" w:eastAsia="Times New Roman" w:hAnsi="Times New Roman" w:cs="Times New Roman"/>
          <w:sz w:val="24"/>
          <w:szCs w:val="24"/>
        </w:rPr>
        <w:t xml:space="preserve">kkārt ir vērtējusi PVN likmes </w:t>
      </w:r>
      <w:r w:rsidR="008C3D86" w:rsidRPr="00D928CD">
        <w:rPr>
          <w:rFonts w:ascii="Times New Roman" w:eastAsia="Times New Roman" w:hAnsi="Times New Roman" w:cs="Times New Roman"/>
          <w:sz w:val="24"/>
          <w:szCs w:val="24"/>
        </w:rPr>
        <w:t>samazināšanas</w:t>
      </w:r>
      <w:r w:rsidRPr="00D928CD">
        <w:rPr>
          <w:rFonts w:ascii="Times New Roman" w:eastAsia="Times New Roman" w:hAnsi="Times New Roman" w:cs="Times New Roman"/>
          <w:sz w:val="24"/>
          <w:szCs w:val="24"/>
        </w:rPr>
        <w:t xml:space="preserve"> pārtikas produktiem iespējamo ietekmi, un ir nonākusi pie slēdziena, ka tas rada būtisku negatīvu ietekmi uz valsts budžeta ieņēmumiem</w:t>
      </w:r>
      <w:r w:rsidR="001348B7" w:rsidRPr="00D928CD">
        <w:rPr>
          <w:rFonts w:ascii="Times New Roman" w:eastAsia="Times New Roman" w:hAnsi="Times New Roman" w:cs="Times New Roman"/>
          <w:sz w:val="24"/>
          <w:szCs w:val="24"/>
        </w:rPr>
        <w:t xml:space="preserve"> un rada papildus administratīvo slogu</w:t>
      </w:r>
      <w:r w:rsidRPr="00D928CD">
        <w:rPr>
          <w:rFonts w:ascii="Times New Roman" w:eastAsia="Times New Roman" w:hAnsi="Times New Roman" w:cs="Times New Roman"/>
          <w:sz w:val="24"/>
          <w:szCs w:val="24"/>
        </w:rPr>
        <w:t>.</w:t>
      </w:r>
    </w:p>
    <w:p w14:paraId="54F80CF3" w14:textId="5413FEE6" w:rsidR="00AC50BE" w:rsidRPr="00D928CD" w:rsidRDefault="00352AFB" w:rsidP="00666AC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928CD">
        <w:rPr>
          <w:rFonts w:ascii="Times New Roman" w:eastAsia="Times New Roman" w:hAnsi="Times New Roman" w:cs="Times New Roman"/>
          <w:sz w:val="24"/>
          <w:szCs w:val="24"/>
        </w:rPr>
        <w:t xml:space="preserve">Arī </w:t>
      </w:r>
      <w:r w:rsidR="00501344" w:rsidRPr="00D928CD">
        <w:rPr>
          <w:rFonts w:ascii="Times New Roman" w:eastAsia="Times New Roman" w:hAnsi="Times New Roman" w:cs="Times New Roman"/>
          <w:sz w:val="24"/>
          <w:szCs w:val="24"/>
        </w:rPr>
        <w:t>Rīgas Starptautiskā ekonomikas un biznesa administrācijas augstskolas (turpmāk – RSEBA) pētījumā</w:t>
      </w:r>
      <w:r w:rsidR="00501344" w:rsidRPr="00D928CD">
        <w:rPr>
          <w:rFonts w:ascii="Times New Roman" w:eastAsia="Times New Roman" w:hAnsi="Times New Roman" w:cs="Times New Roman"/>
          <w:sz w:val="24"/>
          <w:szCs w:val="24"/>
          <w:vertAlign w:val="superscript"/>
        </w:rPr>
        <w:footnoteReference w:id="15"/>
      </w:r>
      <w:r w:rsidR="00DF297D">
        <w:rPr>
          <w:rFonts w:ascii="Times New Roman" w:eastAsia="Times New Roman" w:hAnsi="Times New Roman" w:cs="Times New Roman"/>
          <w:sz w:val="24"/>
          <w:szCs w:val="24"/>
        </w:rPr>
        <w:t>,</w:t>
      </w:r>
      <w:r w:rsidR="00501344" w:rsidRPr="00D928CD">
        <w:rPr>
          <w:rFonts w:ascii="Times New Roman" w:eastAsia="Times New Roman" w:hAnsi="Times New Roman" w:cs="Times New Roman"/>
          <w:sz w:val="24"/>
          <w:szCs w:val="24"/>
        </w:rPr>
        <w:t xml:space="preserve"> nosakot iespējamo ietekmi no PVN likmes samazināšanas pārtikas produktiem no 21% uz 12%, secināts, ka PVN likmes pārtikas produktiem samazināšanas rezultātā samazināsies PVN ieņēmumi valsts budžetā. Lai gan pētījuma aprēķinu rezultāti ļauj secināt, ka PVN likmes pārtikas produktiem samazināšanas rezultātā samazināsies pārtikas preču cenas, tās nesamazināsies proporcionāli PVN likmes samazināšanai, bet vidēji tas varētu būt 5,5% - 5,6%, rēķinot pret bāzes līmeni (situāciju, ja PVN likme netiek samazināta).</w:t>
      </w:r>
      <w:r w:rsidR="00224257" w:rsidRPr="00D928CD">
        <w:rPr>
          <w:rFonts w:ascii="Times New Roman" w:eastAsia="Times New Roman" w:hAnsi="Times New Roman" w:cs="Times New Roman"/>
          <w:sz w:val="24"/>
          <w:szCs w:val="24"/>
        </w:rPr>
        <w:t xml:space="preserve"> Rezultātā tas</w:t>
      </w:r>
      <w:r w:rsidR="001368F7" w:rsidRPr="00D928CD">
        <w:rPr>
          <w:rFonts w:ascii="Times New Roman" w:eastAsia="Times New Roman" w:hAnsi="Times New Roman" w:cs="Times New Roman"/>
          <w:sz w:val="24"/>
          <w:szCs w:val="24"/>
        </w:rPr>
        <w:t xml:space="preserve"> minimāli ietekmētu pārtikas preču cenu iedzīvotājiem. </w:t>
      </w:r>
    </w:p>
    <w:p w14:paraId="0F4A30FD" w14:textId="3946F98E" w:rsidR="001368F7" w:rsidRPr="00D928CD" w:rsidRDefault="001368F7" w:rsidP="00666AC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928CD">
        <w:rPr>
          <w:rFonts w:ascii="Times New Roman" w:eastAsia="Times New Roman" w:hAnsi="Times New Roman" w:cs="Times New Roman"/>
          <w:sz w:val="24"/>
          <w:szCs w:val="24"/>
        </w:rPr>
        <w:t>Samazinot PVN likmes, attiecīgo preču un pakalpojumu cen</w:t>
      </w:r>
      <w:r w:rsidR="007368E2" w:rsidRPr="00D928CD">
        <w:rPr>
          <w:rFonts w:ascii="Times New Roman" w:eastAsia="Times New Roman" w:hAnsi="Times New Roman" w:cs="Times New Roman"/>
          <w:sz w:val="24"/>
          <w:szCs w:val="24"/>
        </w:rPr>
        <w:t>a</w:t>
      </w:r>
      <w:r w:rsidRPr="00D928CD">
        <w:rPr>
          <w:rFonts w:ascii="Times New Roman" w:eastAsia="Times New Roman" w:hAnsi="Times New Roman" w:cs="Times New Roman"/>
          <w:sz w:val="24"/>
          <w:szCs w:val="24"/>
        </w:rPr>
        <w:t xml:space="preserve"> samazinās lēnāk, jo daļai pārtikas produktu vienas vienības cena ir zema, tādējādi PVN likmes samazinājuma ietekme iespējama zem viena </w:t>
      </w:r>
      <w:r w:rsidR="00F67CC4" w:rsidRPr="00D928CD">
        <w:rPr>
          <w:rFonts w:ascii="Times New Roman" w:eastAsia="Times New Roman" w:hAnsi="Times New Roman" w:cs="Times New Roman"/>
          <w:sz w:val="24"/>
          <w:szCs w:val="24"/>
        </w:rPr>
        <w:t>centa</w:t>
      </w:r>
      <w:r w:rsidRPr="00D928CD">
        <w:rPr>
          <w:rFonts w:ascii="Times New Roman" w:eastAsia="Times New Roman" w:hAnsi="Times New Roman" w:cs="Times New Roman"/>
          <w:sz w:val="24"/>
          <w:szCs w:val="24"/>
        </w:rPr>
        <w:t>, ko pārdevējs neatspoguļos reālā cenas samazinājumā pircējam, kā arī daži uzņēmēji varētu izmantot iespēju palielināt savu peļņas daļu.</w:t>
      </w:r>
    </w:p>
    <w:p w14:paraId="2C4617E1" w14:textId="4955885A" w:rsidR="001368F7" w:rsidRPr="00D928CD" w:rsidRDefault="0013212F" w:rsidP="001368F7">
      <w:pPr>
        <w:suppressAutoHyphens/>
        <w:spacing w:after="0" w:line="240" w:lineRule="auto"/>
        <w:ind w:firstLine="720"/>
        <w:jc w:val="both"/>
        <w:rPr>
          <w:rFonts w:ascii="Times New Roman" w:eastAsia="Times New Roman" w:hAnsi="Times New Roman" w:cs="Times New Roman"/>
          <w:sz w:val="24"/>
          <w:szCs w:val="24"/>
        </w:rPr>
      </w:pPr>
      <w:r w:rsidRPr="00D928CD">
        <w:rPr>
          <w:rFonts w:ascii="Times New Roman" w:eastAsia="Times New Roman" w:hAnsi="Times New Roman" w:cs="Times New Roman"/>
          <w:sz w:val="24"/>
          <w:szCs w:val="24"/>
        </w:rPr>
        <w:t>Arī</w:t>
      </w:r>
      <w:r w:rsidR="001368F7" w:rsidRPr="00D928CD">
        <w:rPr>
          <w:rFonts w:ascii="Times New Roman" w:eastAsia="Times New Roman" w:hAnsi="Times New Roman" w:cs="Times New Roman"/>
          <w:sz w:val="24"/>
          <w:szCs w:val="24"/>
        </w:rPr>
        <w:t xml:space="preserve"> </w:t>
      </w:r>
      <w:proofErr w:type="spellStart"/>
      <w:r w:rsidR="001368F7" w:rsidRPr="00D928CD">
        <w:rPr>
          <w:rFonts w:ascii="Times New Roman" w:eastAsia="Times New Roman" w:hAnsi="Times New Roman" w:cs="Times New Roman"/>
          <w:sz w:val="24"/>
          <w:szCs w:val="24"/>
        </w:rPr>
        <w:t>Copenh</w:t>
      </w:r>
      <w:r w:rsidR="0000791B" w:rsidRPr="00D928CD">
        <w:rPr>
          <w:rFonts w:ascii="Times New Roman" w:eastAsia="Times New Roman" w:hAnsi="Times New Roman" w:cs="Times New Roman"/>
          <w:sz w:val="24"/>
          <w:szCs w:val="24"/>
        </w:rPr>
        <w:t>agen</w:t>
      </w:r>
      <w:proofErr w:type="spellEnd"/>
      <w:r w:rsidR="0000791B" w:rsidRPr="00D928CD">
        <w:rPr>
          <w:rFonts w:ascii="Times New Roman" w:eastAsia="Times New Roman" w:hAnsi="Times New Roman" w:cs="Times New Roman"/>
          <w:sz w:val="24"/>
          <w:szCs w:val="24"/>
        </w:rPr>
        <w:t xml:space="preserve"> </w:t>
      </w:r>
      <w:proofErr w:type="spellStart"/>
      <w:r w:rsidR="0000791B" w:rsidRPr="00D928CD">
        <w:rPr>
          <w:rFonts w:ascii="Times New Roman" w:eastAsia="Times New Roman" w:hAnsi="Times New Roman" w:cs="Times New Roman"/>
          <w:sz w:val="24"/>
          <w:szCs w:val="24"/>
        </w:rPr>
        <w:t>Economics</w:t>
      </w:r>
      <w:proofErr w:type="spellEnd"/>
      <w:r w:rsidR="0000791B" w:rsidRPr="00D928CD">
        <w:rPr>
          <w:rFonts w:ascii="Times New Roman" w:eastAsia="Times New Roman" w:hAnsi="Times New Roman" w:cs="Times New Roman"/>
          <w:sz w:val="24"/>
          <w:szCs w:val="24"/>
        </w:rPr>
        <w:t xml:space="preserve"> veiktajā pētījum</w:t>
      </w:r>
      <w:r w:rsidR="00084FDE" w:rsidRPr="00D928CD">
        <w:rPr>
          <w:rFonts w:ascii="Times New Roman" w:eastAsia="Times New Roman" w:hAnsi="Times New Roman" w:cs="Times New Roman"/>
          <w:sz w:val="24"/>
          <w:szCs w:val="24"/>
        </w:rPr>
        <w:t>ā</w:t>
      </w:r>
      <w:r w:rsidR="001368F7" w:rsidRPr="00D928CD">
        <w:rPr>
          <w:rStyle w:val="FootnoteReference"/>
          <w:rFonts w:ascii="Times New Roman" w:eastAsia="Times New Roman" w:hAnsi="Times New Roman" w:cs="Times New Roman"/>
          <w:sz w:val="24"/>
          <w:szCs w:val="24"/>
        </w:rPr>
        <w:footnoteReference w:id="16"/>
      </w:r>
      <w:r w:rsidR="001368F7" w:rsidRPr="00D928CD">
        <w:rPr>
          <w:rFonts w:ascii="Times New Roman" w:eastAsia="Times New Roman" w:hAnsi="Times New Roman" w:cs="Times New Roman"/>
          <w:sz w:val="24"/>
          <w:szCs w:val="24"/>
        </w:rPr>
        <w:t xml:space="preserve"> secinā</w:t>
      </w:r>
      <w:r w:rsidRPr="00D928CD">
        <w:rPr>
          <w:rFonts w:ascii="Times New Roman" w:eastAsia="Times New Roman" w:hAnsi="Times New Roman" w:cs="Times New Roman"/>
          <w:sz w:val="24"/>
          <w:szCs w:val="24"/>
        </w:rPr>
        <w:t>ts</w:t>
      </w:r>
      <w:r w:rsidR="001368F7" w:rsidRPr="00D928CD">
        <w:rPr>
          <w:rFonts w:ascii="Times New Roman" w:eastAsia="Times New Roman" w:hAnsi="Times New Roman" w:cs="Times New Roman"/>
          <w:sz w:val="24"/>
          <w:szCs w:val="24"/>
        </w:rPr>
        <w:t xml:space="preserve"> par to, ka būtībā samazinātās </w:t>
      </w:r>
      <w:r w:rsidR="006D78BA" w:rsidRPr="00D928CD">
        <w:rPr>
          <w:rFonts w:ascii="Times New Roman" w:eastAsia="Times New Roman" w:hAnsi="Times New Roman" w:cs="Times New Roman"/>
          <w:sz w:val="24"/>
          <w:szCs w:val="24"/>
        </w:rPr>
        <w:t>PVN</w:t>
      </w:r>
      <w:r w:rsidR="001368F7" w:rsidRPr="00D928CD">
        <w:rPr>
          <w:rFonts w:ascii="Times New Roman" w:eastAsia="Times New Roman" w:hAnsi="Times New Roman" w:cs="Times New Roman"/>
          <w:sz w:val="24"/>
          <w:szCs w:val="24"/>
        </w:rPr>
        <w:t xml:space="preserve"> likmes nav labākais fiskālais instruments, lai sasniegtu minētos mērķus, jo ne vienmēr</w:t>
      </w:r>
      <w:r w:rsidR="00166B63" w:rsidRPr="00D928CD">
        <w:rPr>
          <w:rFonts w:ascii="Times New Roman" w:eastAsia="Times New Roman" w:hAnsi="Times New Roman" w:cs="Times New Roman"/>
          <w:sz w:val="24"/>
          <w:szCs w:val="24"/>
        </w:rPr>
        <w:t xml:space="preserve"> PVN</w:t>
      </w:r>
      <w:r w:rsidR="001368F7" w:rsidRPr="00D928CD">
        <w:rPr>
          <w:rFonts w:ascii="Times New Roman" w:eastAsia="Times New Roman" w:hAnsi="Times New Roman" w:cs="Times New Roman"/>
          <w:sz w:val="24"/>
          <w:szCs w:val="24"/>
        </w:rPr>
        <w:t xml:space="preserve"> likmju samazināšanas rezultātā tiek samazinātas konkrēto preču vai pakalpojumu cenas, kā rezultātā zaudē valsts budžets, bet sabiedrība nav saņēmusi gaidīto cenu sa</w:t>
      </w:r>
      <w:r w:rsidR="003F5C98" w:rsidRPr="00D928CD">
        <w:rPr>
          <w:rFonts w:ascii="Times New Roman" w:eastAsia="Times New Roman" w:hAnsi="Times New Roman" w:cs="Times New Roman"/>
          <w:sz w:val="24"/>
          <w:szCs w:val="24"/>
        </w:rPr>
        <w:t xml:space="preserve">mazinājumu </w:t>
      </w:r>
      <w:r w:rsidR="001368F7" w:rsidRPr="00D928CD">
        <w:rPr>
          <w:rFonts w:ascii="Times New Roman" w:eastAsia="Times New Roman" w:hAnsi="Times New Roman" w:cs="Times New Roman"/>
          <w:sz w:val="24"/>
          <w:szCs w:val="24"/>
        </w:rPr>
        <w:t>un nav sasniegts valsts noteiktais mērķis.</w:t>
      </w:r>
    </w:p>
    <w:p w14:paraId="180ECE89" w14:textId="7097C7DC" w:rsidR="0093473F" w:rsidRPr="00D928CD" w:rsidRDefault="001368F7" w:rsidP="001368F7">
      <w:pPr>
        <w:suppressAutoHyphens/>
        <w:spacing w:after="0" w:line="240" w:lineRule="auto"/>
        <w:ind w:firstLine="720"/>
        <w:jc w:val="both"/>
        <w:rPr>
          <w:rFonts w:ascii="Times New Roman" w:eastAsia="Times New Roman" w:hAnsi="Times New Roman" w:cs="Times New Roman"/>
          <w:sz w:val="24"/>
          <w:szCs w:val="24"/>
        </w:rPr>
      </w:pPr>
      <w:r w:rsidRPr="00D928CD">
        <w:rPr>
          <w:rFonts w:ascii="Times New Roman" w:eastAsia="Times New Roman" w:hAnsi="Times New Roman" w:cs="Times New Roman"/>
          <w:sz w:val="24"/>
          <w:szCs w:val="24"/>
        </w:rPr>
        <w:t xml:space="preserve">Saskaņā ar ekonomikas teoriju pieprasījums pēc pirmās nepieciešamības precēm (tai skaitā pārtikas produktiem) ir neelastīgs, respektīvi, </w:t>
      </w:r>
      <w:r w:rsidR="004620BC" w:rsidRPr="00D928CD">
        <w:rPr>
          <w:rFonts w:ascii="Times New Roman" w:eastAsia="Times New Roman" w:hAnsi="Times New Roman" w:cs="Times New Roman"/>
          <w:sz w:val="24"/>
          <w:szCs w:val="24"/>
        </w:rPr>
        <w:t xml:space="preserve">sagaidāms, ka </w:t>
      </w:r>
      <w:r w:rsidRPr="00D928CD">
        <w:rPr>
          <w:rFonts w:ascii="Times New Roman" w:eastAsia="Times New Roman" w:hAnsi="Times New Roman" w:cs="Times New Roman"/>
          <w:sz w:val="24"/>
          <w:szCs w:val="24"/>
        </w:rPr>
        <w:t>izmaiņas produkta cenā radīs minimālu ietekmi uz daudzumu, kādu cilvēks vēl</w:t>
      </w:r>
      <w:r w:rsidR="00ED2CC4" w:rsidRPr="00D928CD">
        <w:rPr>
          <w:rFonts w:ascii="Times New Roman" w:eastAsia="Times New Roman" w:hAnsi="Times New Roman" w:cs="Times New Roman"/>
          <w:sz w:val="24"/>
          <w:szCs w:val="24"/>
        </w:rPr>
        <w:t>a</w:t>
      </w:r>
      <w:r w:rsidRPr="00D928CD">
        <w:rPr>
          <w:rFonts w:ascii="Times New Roman" w:eastAsia="Times New Roman" w:hAnsi="Times New Roman" w:cs="Times New Roman"/>
          <w:sz w:val="24"/>
          <w:szCs w:val="24"/>
        </w:rPr>
        <w:t>s pirkt. Šis princips darboj</w:t>
      </w:r>
      <w:r w:rsidR="00ED2CC4" w:rsidRPr="00D928CD">
        <w:rPr>
          <w:rFonts w:ascii="Times New Roman" w:eastAsia="Times New Roman" w:hAnsi="Times New Roman" w:cs="Times New Roman"/>
          <w:sz w:val="24"/>
          <w:szCs w:val="24"/>
        </w:rPr>
        <w:t>a</w:t>
      </w:r>
      <w:r w:rsidRPr="00D928CD">
        <w:rPr>
          <w:rFonts w:ascii="Times New Roman" w:eastAsia="Times New Roman" w:hAnsi="Times New Roman" w:cs="Times New Roman"/>
          <w:sz w:val="24"/>
          <w:szCs w:val="24"/>
        </w:rPr>
        <w:t>s gan cenas palielināšanas, gan samazināšanas gadījumā. Piemēram, ja ģimene nedēļā patērē 5 kilogramus kartupeļu, samazinot cenu par 10%, patēriņš</w:t>
      </w:r>
      <w:r w:rsidR="00833C3D">
        <w:rPr>
          <w:rFonts w:ascii="Times New Roman" w:eastAsia="Times New Roman" w:hAnsi="Times New Roman" w:cs="Times New Roman"/>
          <w:sz w:val="24"/>
          <w:szCs w:val="24"/>
        </w:rPr>
        <w:t>,</w:t>
      </w:r>
      <w:r w:rsidRPr="00D928CD">
        <w:rPr>
          <w:rFonts w:ascii="Times New Roman" w:eastAsia="Times New Roman" w:hAnsi="Times New Roman" w:cs="Times New Roman"/>
          <w:sz w:val="24"/>
          <w:szCs w:val="24"/>
        </w:rPr>
        <w:t xml:space="preserve"> visticamāk</w:t>
      </w:r>
      <w:r w:rsidR="00833C3D">
        <w:rPr>
          <w:rFonts w:ascii="Times New Roman" w:eastAsia="Times New Roman" w:hAnsi="Times New Roman" w:cs="Times New Roman"/>
          <w:sz w:val="24"/>
          <w:szCs w:val="24"/>
        </w:rPr>
        <w:t>,</w:t>
      </w:r>
      <w:r w:rsidRPr="00D928CD">
        <w:rPr>
          <w:rFonts w:ascii="Times New Roman" w:eastAsia="Times New Roman" w:hAnsi="Times New Roman" w:cs="Times New Roman"/>
          <w:sz w:val="24"/>
          <w:szCs w:val="24"/>
        </w:rPr>
        <w:t xml:space="preserve"> nepieaugs, vai pieaugs minimāli. Tā</w:t>
      </w:r>
      <w:r w:rsidR="00A07002" w:rsidRPr="00D928CD">
        <w:rPr>
          <w:rFonts w:ascii="Times New Roman" w:eastAsia="Times New Roman" w:hAnsi="Times New Roman" w:cs="Times New Roman"/>
          <w:sz w:val="24"/>
          <w:szCs w:val="24"/>
        </w:rPr>
        <w:t xml:space="preserve"> vietā ir </w:t>
      </w:r>
      <w:r w:rsidRPr="00D928CD">
        <w:rPr>
          <w:rFonts w:ascii="Times New Roman" w:eastAsia="Times New Roman" w:hAnsi="Times New Roman" w:cs="Times New Roman"/>
          <w:sz w:val="24"/>
          <w:szCs w:val="24"/>
        </w:rPr>
        <w:t xml:space="preserve">sagaidāms ievērojams valsts budžeta ieņēmumu samazinājums un jāņem vērā, ka ražotāja vai pārdevēja ieguvums šeit </w:t>
      </w:r>
      <w:r w:rsidR="00A07002" w:rsidRPr="00D928CD">
        <w:rPr>
          <w:rFonts w:ascii="Times New Roman" w:eastAsia="Times New Roman" w:hAnsi="Times New Roman" w:cs="Times New Roman"/>
          <w:sz w:val="24"/>
          <w:szCs w:val="24"/>
        </w:rPr>
        <w:t>arī</w:t>
      </w:r>
      <w:r w:rsidRPr="00D928CD">
        <w:rPr>
          <w:rFonts w:ascii="Times New Roman" w:eastAsia="Times New Roman" w:hAnsi="Times New Roman" w:cs="Times New Roman"/>
          <w:sz w:val="24"/>
          <w:szCs w:val="24"/>
        </w:rPr>
        <w:t xml:space="preserve"> būtu minimāls. </w:t>
      </w:r>
    </w:p>
    <w:p w14:paraId="0B160F4D" w14:textId="51159A2A" w:rsidR="001368F7" w:rsidRPr="00D928CD" w:rsidRDefault="001368F7" w:rsidP="001368F7">
      <w:pPr>
        <w:suppressAutoHyphens/>
        <w:spacing w:after="0" w:line="240" w:lineRule="auto"/>
        <w:ind w:firstLine="720"/>
        <w:jc w:val="both"/>
        <w:rPr>
          <w:rFonts w:ascii="Times New Roman" w:eastAsia="Times New Roman" w:hAnsi="Times New Roman" w:cs="Times New Roman"/>
          <w:sz w:val="24"/>
          <w:szCs w:val="24"/>
        </w:rPr>
      </w:pPr>
      <w:r w:rsidRPr="00D928CD">
        <w:rPr>
          <w:rFonts w:ascii="Times New Roman" w:eastAsia="Times New Roman" w:hAnsi="Times New Roman" w:cs="Times New Roman"/>
          <w:sz w:val="24"/>
          <w:szCs w:val="24"/>
        </w:rPr>
        <w:t xml:space="preserve">Ja samazinātā PVN likme ir vērsta uz precēm, kas veido lielāko daļu no maznodrošināto mājsaimniecību izdevumiem, nevis </w:t>
      </w:r>
      <w:r w:rsidR="00E931CA" w:rsidRPr="00D928CD">
        <w:rPr>
          <w:rFonts w:ascii="Times New Roman" w:eastAsia="Times New Roman" w:hAnsi="Times New Roman" w:cs="Times New Roman"/>
          <w:sz w:val="24"/>
          <w:szCs w:val="24"/>
        </w:rPr>
        <w:t xml:space="preserve">sociāli labāk nodrošināto </w:t>
      </w:r>
      <w:r w:rsidRPr="00D928CD">
        <w:rPr>
          <w:rFonts w:ascii="Times New Roman" w:eastAsia="Times New Roman" w:hAnsi="Times New Roman" w:cs="Times New Roman"/>
          <w:sz w:val="24"/>
          <w:szCs w:val="24"/>
        </w:rPr>
        <w:t xml:space="preserve">mājsaimniecību izdevumiem, tad </w:t>
      </w:r>
      <w:r w:rsidRPr="00D928CD">
        <w:rPr>
          <w:rFonts w:ascii="Times New Roman" w:eastAsia="Times New Roman" w:hAnsi="Times New Roman" w:cs="Times New Roman"/>
          <w:sz w:val="24"/>
          <w:szCs w:val="24"/>
        </w:rPr>
        <w:lastRenderedPageBreak/>
        <w:t xml:space="preserve">var sagaidīt, ka </w:t>
      </w:r>
      <w:r w:rsidR="004F6B07" w:rsidRPr="00D928CD">
        <w:rPr>
          <w:rFonts w:ascii="Times New Roman" w:eastAsia="Times New Roman" w:hAnsi="Times New Roman" w:cs="Times New Roman"/>
          <w:sz w:val="24"/>
          <w:szCs w:val="24"/>
        </w:rPr>
        <w:t>tā</w:t>
      </w:r>
      <w:r w:rsidRPr="00D928CD">
        <w:rPr>
          <w:rFonts w:ascii="Times New Roman" w:eastAsia="Times New Roman" w:hAnsi="Times New Roman" w:cs="Times New Roman"/>
          <w:sz w:val="24"/>
          <w:szCs w:val="24"/>
        </w:rPr>
        <w:t xml:space="preserve"> varētu </w:t>
      </w:r>
      <w:r w:rsidR="007505A8" w:rsidRPr="00D928CD">
        <w:rPr>
          <w:rFonts w:ascii="Times New Roman" w:eastAsia="Times New Roman" w:hAnsi="Times New Roman" w:cs="Times New Roman"/>
          <w:sz w:val="24"/>
          <w:szCs w:val="24"/>
        </w:rPr>
        <w:t>sni</w:t>
      </w:r>
      <w:r w:rsidR="001250FD" w:rsidRPr="00D928CD">
        <w:rPr>
          <w:rFonts w:ascii="Times New Roman" w:eastAsia="Times New Roman" w:hAnsi="Times New Roman" w:cs="Times New Roman"/>
          <w:sz w:val="24"/>
          <w:szCs w:val="24"/>
        </w:rPr>
        <w:t>e</w:t>
      </w:r>
      <w:r w:rsidR="007505A8" w:rsidRPr="00D928CD">
        <w:rPr>
          <w:rFonts w:ascii="Times New Roman" w:eastAsia="Times New Roman" w:hAnsi="Times New Roman" w:cs="Times New Roman"/>
          <w:sz w:val="24"/>
          <w:szCs w:val="24"/>
        </w:rPr>
        <w:t xml:space="preserve">gt </w:t>
      </w:r>
      <w:r w:rsidRPr="00D928CD">
        <w:rPr>
          <w:rFonts w:ascii="Times New Roman" w:eastAsia="Times New Roman" w:hAnsi="Times New Roman" w:cs="Times New Roman"/>
          <w:sz w:val="24"/>
          <w:szCs w:val="24"/>
        </w:rPr>
        <w:t>pozitīvu efektu</w:t>
      </w:r>
      <w:r w:rsidR="007505A8" w:rsidRPr="00D928CD">
        <w:rPr>
          <w:rFonts w:ascii="Times New Roman" w:eastAsia="Times New Roman" w:hAnsi="Times New Roman" w:cs="Times New Roman"/>
          <w:sz w:val="24"/>
          <w:szCs w:val="24"/>
        </w:rPr>
        <w:t xml:space="preserve">, </w:t>
      </w:r>
      <w:r w:rsidRPr="00D928CD">
        <w:rPr>
          <w:rFonts w:ascii="Times New Roman" w:eastAsia="Times New Roman" w:hAnsi="Times New Roman" w:cs="Times New Roman"/>
          <w:sz w:val="24"/>
          <w:szCs w:val="24"/>
        </w:rPr>
        <w:t>do</w:t>
      </w:r>
      <w:r w:rsidR="007505A8" w:rsidRPr="00D928CD">
        <w:rPr>
          <w:rFonts w:ascii="Times New Roman" w:eastAsia="Times New Roman" w:hAnsi="Times New Roman" w:cs="Times New Roman"/>
          <w:sz w:val="24"/>
          <w:szCs w:val="24"/>
        </w:rPr>
        <w:t>dot</w:t>
      </w:r>
      <w:r w:rsidRPr="00D928CD">
        <w:rPr>
          <w:rFonts w:ascii="Times New Roman" w:eastAsia="Times New Roman" w:hAnsi="Times New Roman" w:cs="Times New Roman"/>
          <w:sz w:val="24"/>
          <w:szCs w:val="24"/>
        </w:rPr>
        <w:t xml:space="preserve"> lielāku </w:t>
      </w:r>
      <w:r w:rsidR="006D5AEF" w:rsidRPr="00D928CD">
        <w:rPr>
          <w:rFonts w:ascii="Times New Roman" w:eastAsia="Times New Roman" w:hAnsi="Times New Roman" w:cs="Times New Roman"/>
          <w:sz w:val="24"/>
          <w:szCs w:val="24"/>
        </w:rPr>
        <w:t xml:space="preserve">atbalstu </w:t>
      </w:r>
      <w:r w:rsidRPr="00D928CD">
        <w:rPr>
          <w:rFonts w:ascii="Times New Roman" w:eastAsia="Times New Roman" w:hAnsi="Times New Roman" w:cs="Times New Roman"/>
          <w:sz w:val="24"/>
          <w:szCs w:val="24"/>
        </w:rPr>
        <w:t>maznodrošinātām mājsaimniecībām. Tomēr, ja situēt</w:t>
      </w:r>
      <w:r w:rsidR="00CD7A5C" w:rsidRPr="00D928CD">
        <w:rPr>
          <w:rFonts w:ascii="Times New Roman" w:eastAsia="Times New Roman" w:hAnsi="Times New Roman" w:cs="Times New Roman"/>
          <w:sz w:val="24"/>
          <w:szCs w:val="24"/>
        </w:rPr>
        <w:t>o</w:t>
      </w:r>
      <w:r w:rsidRPr="00D928CD">
        <w:rPr>
          <w:rFonts w:ascii="Times New Roman" w:eastAsia="Times New Roman" w:hAnsi="Times New Roman" w:cs="Times New Roman"/>
          <w:sz w:val="24"/>
          <w:szCs w:val="24"/>
        </w:rPr>
        <w:t xml:space="preserve"> mājsaimniecīb</w:t>
      </w:r>
      <w:r w:rsidR="00CD7A5C" w:rsidRPr="00D928CD">
        <w:rPr>
          <w:rFonts w:ascii="Times New Roman" w:eastAsia="Times New Roman" w:hAnsi="Times New Roman" w:cs="Times New Roman"/>
          <w:sz w:val="24"/>
          <w:szCs w:val="24"/>
        </w:rPr>
        <w:t>u</w:t>
      </w:r>
      <w:r w:rsidRPr="00D928CD">
        <w:rPr>
          <w:rFonts w:ascii="Times New Roman" w:eastAsia="Times New Roman" w:hAnsi="Times New Roman" w:cs="Times New Roman"/>
          <w:sz w:val="24"/>
          <w:szCs w:val="24"/>
        </w:rPr>
        <w:t xml:space="preserve"> </w:t>
      </w:r>
      <w:r w:rsidR="00CD7A5C" w:rsidRPr="00D928CD">
        <w:rPr>
          <w:rFonts w:ascii="Times New Roman" w:eastAsia="Times New Roman" w:hAnsi="Times New Roman" w:cs="Times New Roman"/>
          <w:sz w:val="24"/>
          <w:szCs w:val="24"/>
        </w:rPr>
        <w:t>kopēj</w:t>
      </w:r>
      <w:r w:rsidR="00D22E86" w:rsidRPr="00D928CD">
        <w:rPr>
          <w:rFonts w:ascii="Times New Roman" w:eastAsia="Times New Roman" w:hAnsi="Times New Roman" w:cs="Times New Roman"/>
          <w:sz w:val="24"/>
          <w:szCs w:val="24"/>
        </w:rPr>
        <w:t>ie</w:t>
      </w:r>
      <w:r w:rsidR="00CD7A5C" w:rsidRPr="00D928CD">
        <w:rPr>
          <w:rFonts w:ascii="Times New Roman" w:eastAsia="Times New Roman" w:hAnsi="Times New Roman" w:cs="Times New Roman"/>
          <w:sz w:val="24"/>
          <w:szCs w:val="24"/>
        </w:rPr>
        <w:t xml:space="preserve"> </w:t>
      </w:r>
      <w:r w:rsidRPr="00D928CD">
        <w:rPr>
          <w:rFonts w:ascii="Times New Roman" w:eastAsia="Times New Roman" w:hAnsi="Times New Roman" w:cs="Times New Roman"/>
          <w:sz w:val="24"/>
          <w:szCs w:val="24"/>
        </w:rPr>
        <w:t>patēr</w:t>
      </w:r>
      <w:r w:rsidR="00CD7A5C" w:rsidRPr="00D928CD">
        <w:rPr>
          <w:rFonts w:ascii="Times New Roman" w:eastAsia="Times New Roman" w:hAnsi="Times New Roman" w:cs="Times New Roman"/>
          <w:sz w:val="24"/>
          <w:szCs w:val="24"/>
        </w:rPr>
        <w:t>iņ</w:t>
      </w:r>
      <w:r w:rsidR="00D22E86" w:rsidRPr="00D928CD">
        <w:rPr>
          <w:rFonts w:ascii="Times New Roman" w:eastAsia="Times New Roman" w:hAnsi="Times New Roman" w:cs="Times New Roman"/>
          <w:sz w:val="24"/>
          <w:szCs w:val="24"/>
        </w:rPr>
        <w:t>a</w:t>
      </w:r>
      <w:r w:rsidR="00CD7A5C" w:rsidRPr="00D928CD">
        <w:rPr>
          <w:rFonts w:ascii="Times New Roman" w:eastAsia="Times New Roman" w:hAnsi="Times New Roman" w:cs="Times New Roman"/>
          <w:sz w:val="24"/>
          <w:szCs w:val="24"/>
        </w:rPr>
        <w:t xml:space="preserve"> </w:t>
      </w:r>
      <w:r w:rsidR="00D22E86" w:rsidRPr="00D928CD">
        <w:rPr>
          <w:rFonts w:ascii="Times New Roman" w:eastAsia="Times New Roman" w:hAnsi="Times New Roman" w:cs="Times New Roman"/>
          <w:sz w:val="24"/>
          <w:szCs w:val="24"/>
        </w:rPr>
        <w:t xml:space="preserve">izdevumi </w:t>
      </w:r>
      <w:r w:rsidR="00CD7A5C" w:rsidRPr="00D928CD">
        <w:rPr>
          <w:rFonts w:ascii="Times New Roman" w:eastAsia="Times New Roman" w:hAnsi="Times New Roman" w:cs="Times New Roman"/>
          <w:sz w:val="24"/>
          <w:szCs w:val="24"/>
        </w:rPr>
        <w:t xml:space="preserve">ir </w:t>
      </w:r>
      <w:r w:rsidR="00D22E86" w:rsidRPr="00D928CD">
        <w:rPr>
          <w:rFonts w:ascii="Times New Roman" w:eastAsia="Times New Roman" w:hAnsi="Times New Roman" w:cs="Times New Roman"/>
          <w:sz w:val="24"/>
          <w:szCs w:val="24"/>
        </w:rPr>
        <w:t>augstāki</w:t>
      </w:r>
      <w:r w:rsidRPr="00D928CD">
        <w:rPr>
          <w:rFonts w:ascii="Times New Roman" w:eastAsia="Times New Roman" w:hAnsi="Times New Roman" w:cs="Times New Roman"/>
          <w:sz w:val="24"/>
          <w:szCs w:val="24"/>
        </w:rPr>
        <w:t>, tās gū</w:t>
      </w:r>
      <w:r w:rsidR="006B5549" w:rsidRPr="00D928CD">
        <w:rPr>
          <w:rFonts w:ascii="Times New Roman" w:eastAsia="Times New Roman" w:hAnsi="Times New Roman" w:cs="Times New Roman"/>
          <w:sz w:val="24"/>
          <w:szCs w:val="24"/>
        </w:rPr>
        <w:t>s</w:t>
      </w:r>
      <w:r w:rsidRPr="00D928CD">
        <w:rPr>
          <w:rFonts w:ascii="Times New Roman" w:eastAsia="Times New Roman" w:hAnsi="Times New Roman" w:cs="Times New Roman"/>
          <w:sz w:val="24"/>
          <w:szCs w:val="24"/>
        </w:rPr>
        <w:t>t lielāku ieguvumu kā maznodrošinātās mājsaimniecības</w:t>
      </w:r>
      <w:r w:rsidR="00CD7A5C" w:rsidRPr="00D928CD">
        <w:rPr>
          <w:rFonts w:ascii="Times New Roman" w:eastAsia="Times New Roman" w:hAnsi="Times New Roman" w:cs="Times New Roman"/>
          <w:sz w:val="24"/>
          <w:szCs w:val="24"/>
        </w:rPr>
        <w:t>, kuru kopēj</w:t>
      </w:r>
      <w:r w:rsidR="00D22E86" w:rsidRPr="00D928CD">
        <w:rPr>
          <w:rFonts w:ascii="Times New Roman" w:eastAsia="Times New Roman" w:hAnsi="Times New Roman" w:cs="Times New Roman"/>
          <w:sz w:val="24"/>
          <w:szCs w:val="24"/>
        </w:rPr>
        <w:t>ie</w:t>
      </w:r>
      <w:r w:rsidR="00CD7A5C" w:rsidRPr="00D928CD">
        <w:rPr>
          <w:rFonts w:ascii="Times New Roman" w:eastAsia="Times New Roman" w:hAnsi="Times New Roman" w:cs="Times New Roman"/>
          <w:sz w:val="24"/>
          <w:szCs w:val="24"/>
        </w:rPr>
        <w:t xml:space="preserve"> patēriņ</w:t>
      </w:r>
      <w:r w:rsidR="00D22E86" w:rsidRPr="00D928CD">
        <w:rPr>
          <w:rFonts w:ascii="Times New Roman" w:eastAsia="Times New Roman" w:hAnsi="Times New Roman" w:cs="Times New Roman"/>
          <w:sz w:val="24"/>
          <w:szCs w:val="24"/>
        </w:rPr>
        <w:t>a</w:t>
      </w:r>
      <w:r w:rsidR="00CD7A5C" w:rsidRPr="00D928CD">
        <w:rPr>
          <w:rFonts w:ascii="Times New Roman" w:eastAsia="Times New Roman" w:hAnsi="Times New Roman" w:cs="Times New Roman"/>
          <w:sz w:val="24"/>
          <w:szCs w:val="24"/>
        </w:rPr>
        <w:t xml:space="preserve"> </w:t>
      </w:r>
      <w:r w:rsidR="00D22E86" w:rsidRPr="00D928CD">
        <w:rPr>
          <w:rFonts w:ascii="Times New Roman" w:eastAsia="Times New Roman" w:hAnsi="Times New Roman" w:cs="Times New Roman"/>
          <w:sz w:val="24"/>
          <w:szCs w:val="24"/>
        </w:rPr>
        <w:t xml:space="preserve">izdevumi </w:t>
      </w:r>
      <w:r w:rsidR="00CD7A5C" w:rsidRPr="00D928CD">
        <w:rPr>
          <w:rFonts w:ascii="Times New Roman" w:eastAsia="Times New Roman" w:hAnsi="Times New Roman" w:cs="Times New Roman"/>
          <w:sz w:val="24"/>
          <w:szCs w:val="24"/>
        </w:rPr>
        <w:t>ir zemāk</w:t>
      </w:r>
      <w:r w:rsidR="00D22E86" w:rsidRPr="00D928CD">
        <w:rPr>
          <w:rFonts w:ascii="Times New Roman" w:eastAsia="Times New Roman" w:hAnsi="Times New Roman" w:cs="Times New Roman"/>
          <w:sz w:val="24"/>
          <w:szCs w:val="24"/>
        </w:rPr>
        <w:t>i</w:t>
      </w:r>
      <w:r w:rsidR="00CD7A5C" w:rsidRPr="00D928CD">
        <w:rPr>
          <w:rFonts w:ascii="Times New Roman" w:eastAsia="Times New Roman" w:hAnsi="Times New Roman" w:cs="Times New Roman"/>
          <w:sz w:val="24"/>
          <w:szCs w:val="24"/>
        </w:rPr>
        <w:t>.</w:t>
      </w:r>
      <w:r w:rsidRPr="00D928CD">
        <w:rPr>
          <w:rFonts w:ascii="Times New Roman" w:eastAsia="Times New Roman" w:hAnsi="Times New Roman" w:cs="Times New Roman"/>
          <w:sz w:val="24"/>
          <w:szCs w:val="24"/>
        </w:rPr>
        <w:t xml:space="preserve"> </w:t>
      </w:r>
    </w:p>
    <w:p w14:paraId="2861B205" w14:textId="3A33E724" w:rsidR="00E61C52" w:rsidRPr="00D928CD" w:rsidRDefault="00E61C52" w:rsidP="00401ED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928CD">
        <w:rPr>
          <w:rFonts w:ascii="Times New Roman" w:eastAsia="Times New Roman" w:hAnsi="Times New Roman" w:cs="Times New Roman"/>
          <w:sz w:val="24"/>
          <w:szCs w:val="24"/>
        </w:rPr>
        <w:t>Turklāt jāatzīmē, kā secināts RSEBA pētījumā</w:t>
      </w:r>
      <w:r w:rsidR="00CC39D4" w:rsidRPr="00D928CD">
        <w:rPr>
          <w:rStyle w:val="FootnoteReference"/>
          <w:rFonts w:ascii="Times New Roman" w:eastAsia="Times New Roman" w:hAnsi="Times New Roman" w:cs="Times New Roman"/>
          <w:sz w:val="24"/>
          <w:szCs w:val="24"/>
        </w:rPr>
        <w:footnoteReference w:id="17"/>
      </w:r>
      <w:r w:rsidRPr="00D928CD">
        <w:rPr>
          <w:rFonts w:ascii="Times New Roman" w:eastAsia="Times New Roman" w:hAnsi="Times New Roman" w:cs="Times New Roman"/>
          <w:sz w:val="24"/>
          <w:szCs w:val="24"/>
        </w:rPr>
        <w:t>, analizējot ietekmi uz sociāli mazāk nodrošinātajiem iedzīvotājiem, PVN samazināšana visiem pārtikas produktiem var vairāk veicināt tādu produktu iegādi, kuri no uztura viedokļa ir mazāk veselīgi.</w:t>
      </w:r>
      <w:r w:rsidR="0021555E" w:rsidRPr="00D928CD">
        <w:rPr>
          <w:rFonts w:ascii="Times New Roman" w:eastAsia="Times New Roman" w:hAnsi="Times New Roman" w:cs="Times New Roman"/>
          <w:sz w:val="24"/>
          <w:szCs w:val="24"/>
        </w:rPr>
        <w:t xml:space="preserve"> Samazinot PVN likmi visiem pārtikas produktiem, vairāk par vidējo palielināsies ne pirmās nepieciešamība pārtikas patēriņš (piemēram, saldumi, dzērieni). No sociāla un ekonomiskā viedokļa nebūtu racionāli samazināt PVN likmi ne pirmās nepieciešamības pārtikas produktiem.</w:t>
      </w:r>
    </w:p>
    <w:p w14:paraId="11E0BBB4" w14:textId="5CD58EB4" w:rsidR="006602EF" w:rsidRPr="00D928CD" w:rsidRDefault="004D2EAF" w:rsidP="00002FB4">
      <w:pPr>
        <w:suppressAutoHyphens/>
        <w:spacing w:after="120" w:line="240" w:lineRule="auto"/>
        <w:ind w:firstLine="720"/>
        <w:jc w:val="both"/>
        <w:rPr>
          <w:rFonts w:ascii="Times New Roman" w:eastAsia="Times New Roman" w:hAnsi="Times New Roman" w:cs="Times New Roman"/>
          <w:sz w:val="24"/>
          <w:szCs w:val="24"/>
        </w:rPr>
      </w:pPr>
      <w:r w:rsidRPr="00D928CD">
        <w:rPr>
          <w:rFonts w:ascii="Times New Roman" w:eastAsia="Times New Roman" w:hAnsi="Times New Roman" w:cs="Times New Roman"/>
          <w:sz w:val="24"/>
          <w:szCs w:val="24"/>
        </w:rPr>
        <w:t xml:space="preserve">Izvērtējot iespēju samazināt PVN likmi pārtikas produktiem no standarta likmes 21% uz samazināto likmi 12%, fiskālā ietekme uz valsts budžeta ieņēmumiem </w:t>
      </w:r>
      <w:r w:rsidR="00516E9F" w:rsidRPr="00D928CD">
        <w:rPr>
          <w:rFonts w:ascii="Times New Roman" w:eastAsia="Times New Roman" w:hAnsi="Times New Roman" w:cs="Times New Roman"/>
          <w:sz w:val="24"/>
          <w:szCs w:val="24"/>
        </w:rPr>
        <w:t>201</w:t>
      </w:r>
      <w:r w:rsidR="005E20ED" w:rsidRPr="00D928CD">
        <w:rPr>
          <w:rFonts w:ascii="Times New Roman" w:eastAsia="Times New Roman" w:hAnsi="Times New Roman" w:cs="Times New Roman"/>
          <w:sz w:val="24"/>
          <w:szCs w:val="24"/>
        </w:rPr>
        <w:t>5</w:t>
      </w:r>
      <w:r w:rsidR="00516E9F" w:rsidRPr="00D928CD">
        <w:rPr>
          <w:rFonts w:ascii="Times New Roman" w:eastAsia="Times New Roman" w:hAnsi="Times New Roman" w:cs="Times New Roman"/>
          <w:sz w:val="24"/>
          <w:szCs w:val="24"/>
        </w:rPr>
        <w:t xml:space="preserve">.gadam </w:t>
      </w:r>
      <w:r w:rsidRPr="00D928CD">
        <w:rPr>
          <w:rFonts w:ascii="Times New Roman" w:eastAsia="Times New Roman" w:hAnsi="Times New Roman" w:cs="Times New Roman"/>
          <w:sz w:val="24"/>
          <w:szCs w:val="24"/>
        </w:rPr>
        <w:t>ir novērtēta negatīva -</w:t>
      </w:r>
      <w:r w:rsidR="00516E9F" w:rsidRPr="00D928CD">
        <w:rPr>
          <w:rFonts w:ascii="Times New Roman" w:eastAsia="Times New Roman" w:hAnsi="Times New Roman" w:cs="Times New Roman"/>
          <w:sz w:val="24"/>
          <w:szCs w:val="24"/>
        </w:rPr>
        <w:t>1</w:t>
      </w:r>
      <w:r w:rsidR="005E20ED" w:rsidRPr="00D928CD">
        <w:rPr>
          <w:rFonts w:ascii="Times New Roman" w:eastAsia="Times New Roman" w:hAnsi="Times New Roman" w:cs="Times New Roman"/>
          <w:sz w:val="24"/>
          <w:szCs w:val="24"/>
        </w:rPr>
        <w:t>9</w:t>
      </w:r>
      <w:r w:rsidR="00516E9F" w:rsidRPr="00D928CD">
        <w:rPr>
          <w:rFonts w:ascii="Times New Roman" w:eastAsia="Times New Roman" w:hAnsi="Times New Roman" w:cs="Times New Roman"/>
          <w:sz w:val="24"/>
          <w:szCs w:val="24"/>
        </w:rPr>
        <w:t>4,</w:t>
      </w:r>
      <w:r w:rsidR="005E20ED" w:rsidRPr="00D928CD">
        <w:rPr>
          <w:rFonts w:ascii="Times New Roman" w:eastAsia="Times New Roman" w:hAnsi="Times New Roman" w:cs="Times New Roman"/>
          <w:sz w:val="24"/>
          <w:szCs w:val="24"/>
        </w:rPr>
        <w:t>8</w:t>
      </w:r>
      <w:r w:rsidR="00516E9F" w:rsidRPr="00D928CD">
        <w:rPr>
          <w:rFonts w:ascii="Times New Roman" w:eastAsia="Times New Roman" w:hAnsi="Times New Roman" w:cs="Times New Roman"/>
          <w:sz w:val="24"/>
          <w:szCs w:val="24"/>
        </w:rPr>
        <w:t> </w:t>
      </w:r>
      <w:r w:rsidRPr="00D928CD">
        <w:rPr>
          <w:rFonts w:ascii="Times New Roman" w:eastAsia="Times New Roman" w:hAnsi="Times New Roman" w:cs="Times New Roman"/>
          <w:sz w:val="24"/>
          <w:szCs w:val="24"/>
        </w:rPr>
        <w:t xml:space="preserve">milj. </w:t>
      </w:r>
      <w:proofErr w:type="spellStart"/>
      <w:r w:rsidR="0027145F" w:rsidRPr="00D928CD">
        <w:rPr>
          <w:rFonts w:ascii="Times New Roman" w:eastAsia="Times New Roman" w:hAnsi="Times New Roman" w:cs="Times New Roman"/>
          <w:i/>
          <w:sz w:val="24"/>
          <w:szCs w:val="24"/>
        </w:rPr>
        <w:t>euro</w:t>
      </w:r>
      <w:proofErr w:type="spellEnd"/>
      <w:r w:rsidR="0027145F" w:rsidRPr="00D928CD">
        <w:rPr>
          <w:rFonts w:ascii="Times New Roman" w:eastAsia="Times New Roman" w:hAnsi="Times New Roman" w:cs="Times New Roman"/>
          <w:sz w:val="24"/>
          <w:szCs w:val="24"/>
        </w:rPr>
        <w:t xml:space="preserve"> </w:t>
      </w:r>
      <w:r w:rsidRPr="00D928CD">
        <w:rPr>
          <w:rFonts w:ascii="Times New Roman" w:eastAsia="Times New Roman" w:hAnsi="Times New Roman" w:cs="Times New Roman"/>
          <w:sz w:val="24"/>
          <w:szCs w:val="24"/>
        </w:rPr>
        <w:t>(</w:t>
      </w:r>
      <w:r w:rsidR="00306761" w:rsidRPr="00D928CD">
        <w:rPr>
          <w:rFonts w:ascii="Times New Roman" w:eastAsia="Times New Roman" w:hAnsi="Times New Roman" w:cs="Times New Roman"/>
          <w:sz w:val="24"/>
          <w:szCs w:val="24"/>
        </w:rPr>
        <w:t>skat.</w:t>
      </w:r>
      <w:r w:rsidR="00363C14">
        <w:rPr>
          <w:rFonts w:ascii="Times New Roman" w:eastAsia="Times New Roman" w:hAnsi="Times New Roman" w:cs="Times New Roman"/>
          <w:sz w:val="24"/>
          <w:szCs w:val="24"/>
        </w:rPr>
        <w:t xml:space="preserve"> </w:t>
      </w:r>
      <w:r w:rsidR="00B12C5A">
        <w:rPr>
          <w:rFonts w:ascii="Times New Roman" w:eastAsia="Times New Roman" w:hAnsi="Times New Roman" w:cs="Times New Roman"/>
          <w:sz w:val="24"/>
          <w:szCs w:val="24"/>
        </w:rPr>
        <w:t>7</w:t>
      </w:r>
      <w:r w:rsidR="00AB7E86" w:rsidRPr="00D928CD">
        <w:rPr>
          <w:rFonts w:ascii="Times New Roman" w:eastAsia="Times New Roman" w:hAnsi="Times New Roman" w:cs="Times New Roman"/>
          <w:sz w:val="24"/>
          <w:szCs w:val="24"/>
        </w:rPr>
        <w:t>.</w:t>
      </w:r>
      <w:r w:rsidR="00D3361A" w:rsidRPr="00D928CD">
        <w:rPr>
          <w:rFonts w:ascii="Times New Roman" w:eastAsia="Times New Roman" w:hAnsi="Times New Roman" w:cs="Times New Roman"/>
          <w:sz w:val="24"/>
          <w:szCs w:val="24"/>
        </w:rPr>
        <w:t> </w:t>
      </w:r>
      <w:r w:rsidR="00AB7E86" w:rsidRPr="00D928CD">
        <w:rPr>
          <w:rFonts w:ascii="Times New Roman" w:eastAsia="Times New Roman" w:hAnsi="Times New Roman" w:cs="Times New Roman"/>
          <w:sz w:val="24"/>
          <w:szCs w:val="24"/>
        </w:rPr>
        <w:t>tabulu</w:t>
      </w:r>
      <w:r w:rsidRPr="00D928CD">
        <w:rPr>
          <w:rFonts w:ascii="Times New Roman" w:eastAsia="Times New Roman" w:hAnsi="Times New Roman" w:cs="Times New Roman"/>
          <w:sz w:val="24"/>
          <w:szCs w:val="24"/>
        </w:rPr>
        <w:t xml:space="preserve">). </w:t>
      </w:r>
    </w:p>
    <w:p w14:paraId="2041A490" w14:textId="523F158F" w:rsidR="00FD1953" w:rsidRPr="00D57F79" w:rsidRDefault="00B12C5A" w:rsidP="006A65BD">
      <w:pPr>
        <w:suppressAutoHyphens/>
        <w:spacing w:after="0" w:line="240" w:lineRule="auto"/>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B7E86" w:rsidRPr="00D57F79">
        <w:rPr>
          <w:rFonts w:ascii="Times New Roman" w:eastAsia="Times New Roman" w:hAnsi="Times New Roman" w:cs="Times New Roman"/>
          <w:sz w:val="24"/>
          <w:szCs w:val="24"/>
        </w:rPr>
        <w:t>. t</w:t>
      </w:r>
      <w:r w:rsidR="00FD1953" w:rsidRPr="00D57F79">
        <w:rPr>
          <w:rFonts w:ascii="Times New Roman" w:eastAsia="Times New Roman" w:hAnsi="Times New Roman" w:cs="Times New Roman"/>
          <w:sz w:val="24"/>
          <w:szCs w:val="24"/>
        </w:rPr>
        <w:t xml:space="preserve">abula </w:t>
      </w:r>
    </w:p>
    <w:p w14:paraId="1152DC8A" w14:textId="73B180FD" w:rsidR="00264E09" w:rsidRPr="00391150" w:rsidRDefault="00A07002" w:rsidP="001510EE">
      <w:pPr>
        <w:suppressAutoHyphens/>
        <w:spacing w:after="120" w:line="240" w:lineRule="auto"/>
        <w:rPr>
          <w:rFonts w:ascii="Times New Roman" w:eastAsia="Times New Roman" w:hAnsi="Times New Roman" w:cs="Times New Roman"/>
          <w:b/>
          <w:sz w:val="24"/>
          <w:szCs w:val="24"/>
        </w:rPr>
      </w:pPr>
      <w:r w:rsidRPr="00391150">
        <w:rPr>
          <w:rFonts w:ascii="Times New Roman" w:eastAsia="Times New Roman" w:hAnsi="Times New Roman" w:cs="Times New Roman"/>
          <w:b/>
          <w:sz w:val="24"/>
          <w:szCs w:val="24"/>
        </w:rPr>
        <w:t>S</w:t>
      </w:r>
      <w:r w:rsidR="00264E09" w:rsidRPr="00391150">
        <w:rPr>
          <w:rFonts w:ascii="Times New Roman" w:eastAsia="Times New Roman" w:hAnsi="Times New Roman" w:cs="Times New Roman"/>
          <w:b/>
          <w:sz w:val="24"/>
          <w:szCs w:val="24"/>
        </w:rPr>
        <w:t>amazinātā</w:t>
      </w:r>
      <w:r w:rsidRPr="00391150">
        <w:rPr>
          <w:rFonts w:ascii="Times New Roman" w:eastAsia="Times New Roman" w:hAnsi="Times New Roman" w:cs="Times New Roman"/>
          <w:b/>
          <w:sz w:val="24"/>
          <w:szCs w:val="24"/>
        </w:rPr>
        <w:t xml:space="preserve"> PVN</w:t>
      </w:r>
      <w:r w:rsidR="00264E09" w:rsidRPr="00391150">
        <w:rPr>
          <w:rFonts w:ascii="Times New Roman" w:eastAsia="Times New Roman" w:hAnsi="Times New Roman" w:cs="Times New Roman"/>
          <w:b/>
          <w:sz w:val="24"/>
          <w:szCs w:val="24"/>
        </w:rPr>
        <w:t xml:space="preserve"> likme pārtikai un fiskālā ietekme uz valsts budžetu</w:t>
      </w:r>
      <w:r w:rsidR="006A5E6E" w:rsidRPr="00391150">
        <w:rPr>
          <w:rFonts w:ascii="Times New Roman" w:eastAsia="Times New Roman" w:hAnsi="Times New Roman" w:cs="Times New Roman"/>
          <w:b/>
          <w:sz w:val="24"/>
          <w:szCs w:val="24"/>
        </w:rPr>
        <w:t xml:space="preserve"> 2015.g.</w:t>
      </w:r>
      <w:r w:rsidR="000620C7" w:rsidRPr="00391150">
        <w:rPr>
          <w:rFonts w:ascii="Times New Roman" w:eastAsia="Times New Roman" w:hAnsi="Times New Roman" w:cs="Times New Roman"/>
          <w:b/>
          <w:sz w:val="24"/>
          <w:szCs w:val="24"/>
        </w:rPr>
        <w:t xml:space="preserve">, </w:t>
      </w:r>
      <w:r w:rsidR="006A5E6E" w:rsidRPr="00391150">
        <w:rPr>
          <w:rFonts w:ascii="Times New Roman" w:eastAsia="Times New Roman" w:hAnsi="Times New Roman" w:cs="Times New Roman"/>
          <w:b/>
          <w:sz w:val="24"/>
          <w:szCs w:val="24"/>
        </w:rPr>
        <w:t>milj</w:t>
      </w:r>
      <w:r w:rsidR="009C234C" w:rsidRPr="00391150">
        <w:rPr>
          <w:rFonts w:ascii="Times New Roman" w:eastAsia="Times New Roman" w:hAnsi="Times New Roman" w:cs="Times New Roman"/>
          <w:b/>
          <w:sz w:val="24"/>
          <w:szCs w:val="24"/>
        </w:rPr>
        <w:t>.</w:t>
      </w:r>
      <w:r w:rsidR="000620C7" w:rsidRPr="00391150">
        <w:rPr>
          <w:rFonts w:ascii="Times New Roman" w:eastAsia="Times New Roman" w:hAnsi="Times New Roman" w:cs="Times New Roman"/>
          <w:b/>
          <w:sz w:val="24"/>
          <w:szCs w:val="24"/>
        </w:rPr>
        <w:t xml:space="preserve"> </w:t>
      </w:r>
      <w:proofErr w:type="spellStart"/>
      <w:r w:rsidR="00E66113" w:rsidRPr="00E66113">
        <w:rPr>
          <w:rFonts w:ascii="Times New Roman" w:eastAsia="Times New Roman" w:hAnsi="Times New Roman" w:cs="Times New Roman"/>
          <w:b/>
          <w:i/>
          <w:sz w:val="24"/>
          <w:szCs w:val="24"/>
        </w:rPr>
        <w:t>euro</w:t>
      </w:r>
      <w:proofErr w:type="spellEnd"/>
    </w:p>
    <w:tbl>
      <w:tblPr>
        <w:tblStyle w:val="TableGrid"/>
        <w:tblW w:w="8926" w:type="dxa"/>
        <w:tblLayout w:type="fixed"/>
        <w:tblLook w:val="04A0" w:firstRow="1" w:lastRow="0" w:firstColumn="1" w:lastColumn="0" w:noHBand="0" w:noVBand="1"/>
      </w:tblPr>
      <w:tblGrid>
        <w:gridCol w:w="3114"/>
        <w:gridCol w:w="1701"/>
        <w:gridCol w:w="1417"/>
        <w:gridCol w:w="1418"/>
        <w:gridCol w:w="1276"/>
      </w:tblGrid>
      <w:tr w:rsidR="006A5E6E" w:rsidRPr="00904464" w14:paraId="26402085" w14:textId="77777777" w:rsidTr="005B247B">
        <w:trPr>
          <w:trHeight w:val="1125"/>
        </w:trPr>
        <w:tc>
          <w:tcPr>
            <w:tcW w:w="3114" w:type="dxa"/>
            <w:vAlign w:val="center"/>
            <w:hideMark/>
          </w:tcPr>
          <w:p w14:paraId="32E364C3" w14:textId="77777777" w:rsidR="006A5E6E" w:rsidRPr="00904464" w:rsidRDefault="006A5E6E" w:rsidP="00ED2CC4">
            <w:pPr>
              <w:suppressAutoHyphens/>
              <w:jc w:val="center"/>
              <w:rPr>
                <w:rFonts w:ascii="Times New Roman" w:eastAsia="Times New Roman" w:hAnsi="Times New Roman" w:cs="Times New Roman"/>
                <w:bCs/>
                <w:iCs/>
              </w:rPr>
            </w:pPr>
            <w:r w:rsidRPr="00904464">
              <w:rPr>
                <w:rFonts w:ascii="Times New Roman" w:eastAsia="Times New Roman" w:hAnsi="Times New Roman" w:cs="Times New Roman"/>
                <w:bCs/>
                <w:iCs/>
              </w:rPr>
              <w:t>Pārtikas produktu sadalījums pēc COICOP koda</w:t>
            </w:r>
          </w:p>
        </w:tc>
        <w:tc>
          <w:tcPr>
            <w:tcW w:w="1701" w:type="dxa"/>
            <w:vAlign w:val="center"/>
            <w:hideMark/>
          </w:tcPr>
          <w:p w14:paraId="589D6361" w14:textId="77777777" w:rsidR="006A5E6E" w:rsidRPr="00904464" w:rsidRDefault="00ED2CC4" w:rsidP="00ED2CC4">
            <w:pPr>
              <w:suppressAutoHyphens/>
              <w:jc w:val="center"/>
              <w:rPr>
                <w:rFonts w:ascii="Times New Roman" w:eastAsia="Times New Roman" w:hAnsi="Times New Roman" w:cs="Times New Roman"/>
                <w:bCs/>
              </w:rPr>
            </w:pPr>
            <w:r w:rsidRPr="00904464">
              <w:rPr>
                <w:rFonts w:ascii="Times New Roman" w:eastAsia="Times New Roman" w:hAnsi="Times New Roman" w:cs="Times New Roman"/>
                <w:bCs/>
              </w:rPr>
              <w:t xml:space="preserve">Mājsaimniecību </w:t>
            </w:r>
            <w:proofErr w:type="spellStart"/>
            <w:r w:rsidRPr="00904464">
              <w:rPr>
                <w:rFonts w:ascii="Times New Roman" w:eastAsia="Times New Roman" w:hAnsi="Times New Roman" w:cs="Times New Roman"/>
                <w:bCs/>
              </w:rPr>
              <w:t>galapatēriņa</w:t>
            </w:r>
            <w:proofErr w:type="spellEnd"/>
            <w:r w:rsidRPr="00904464">
              <w:rPr>
                <w:rFonts w:ascii="Times New Roman" w:eastAsia="Times New Roman" w:hAnsi="Times New Roman" w:cs="Times New Roman"/>
                <w:bCs/>
              </w:rPr>
              <w:t xml:space="preserve"> izdevumu a</w:t>
            </w:r>
            <w:r w:rsidR="006A5E6E" w:rsidRPr="00904464">
              <w:rPr>
                <w:rFonts w:ascii="Times New Roman" w:eastAsia="Times New Roman" w:hAnsi="Times New Roman" w:cs="Times New Roman"/>
                <w:bCs/>
              </w:rPr>
              <w:t>prēķinātā vērtība</w:t>
            </w:r>
          </w:p>
        </w:tc>
        <w:tc>
          <w:tcPr>
            <w:tcW w:w="1417" w:type="dxa"/>
            <w:vAlign w:val="center"/>
            <w:hideMark/>
          </w:tcPr>
          <w:p w14:paraId="28FA7893" w14:textId="58B50689" w:rsidR="006A5E6E" w:rsidRPr="00904464" w:rsidRDefault="004217EF" w:rsidP="00ED2CC4">
            <w:pPr>
              <w:suppressAutoHyphens/>
              <w:jc w:val="center"/>
              <w:rPr>
                <w:rFonts w:ascii="Times New Roman" w:eastAsia="Times New Roman" w:hAnsi="Times New Roman" w:cs="Times New Roman"/>
                <w:bCs/>
              </w:rPr>
            </w:pPr>
            <w:r>
              <w:rPr>
                <w:rFonts w:ascii="Times New Roman" w:eastAsia="Times New Roman" w:hAnsi="Times New Roman" w:cs="Times New Roman"/>
                <w:bCs/>
              </w:rPr>
              <w:t xml:space="preserve">Aprēķinātais PVN </w:t>
            </w:r>
            <w:r w:rsidR="006A5E6E" w:rsidRPr="00904464">
              <w:rPr>
                <w:rFonts w:ascii="Times New Roman" w:eastAsia="Times New Roman" w:hAnsi="Times New Roman" w:cs="Times New Roman"/>
                <w:bCs/>
              </w:rPr>
              <w:t>21%</w:t>
            </w:r>
          </w:p>
        </w:tc>
        <w:tc>
          <w:tcPr>
            <w:tcW w:w="1418" w:type="dxa"/>
            <w:vAlign w:val="center"/>
            <w:hideMark/>
          </w:tcPr>
          <w:p w14:paraId="2BF06E4E" w14:textId="3264EC63" w:rsidR="006A5E6E" w:rsidRPr="00904464" w:rsidRDefault="006A5E6E" w:rsidP="00ED2CC4">
            <w:pPr>
              <w:suppressAutoHyphens/>
              <w:jc w:val="center"/>
              <w:rPr>
                <w:rFonts w:ascii="Times New Roman" w:eastAsia="Times New Roman" w:hAnsi="Times New Roman" w:cs="Times New Roman"/>
                <w:bCs/>
              </w:rPr>
            </w:pPr>
            <w:r w:rsidRPr="00904464">
              <w:rPr>
                <w:rFonts w:ascii="Times New Roman" w:eastAsia="Times New Roman" w:hAnsi="Times New Roman" w:cs="Times New Roman"/>
                <w:bCs/>
              </w:rPr>
              <w:t>A</w:t>
            </w:r>
            <w:r w:rsidR="004217EF">
              <w:rPr>
                <w:rFonts w:ascii="Times New Roman" w:eastAsia="Times New Roman" w:hAnsi="Times New Roman" w:cs="Times New Roman"/>
                <w:bCs/>
              </w:rPr>
              <w:t xml:space="preserve">prēķinātais PVN </w:t>
            </w:r>
            <w:r w:rsidRPr="00904464">
              <w:rPr>
                <w:rFonts w:ascii="Times New Roman" w:eastAsia="Times New Roman" w:hAnsi="Times New Roman" w:cs="Times New Roman"/>
                <w:bCs/>
              </w:rPr>
              <w:t>12%</w:t>
            </w:r>
          </w:p>
        </w:tc>
        <w:tc>
          <w:tcPr>
            <w:tcW w:w="1276" w:type="dxa"/>
            <w:vAlign w:val="center"/>
            <w:hideMark/>
          </w:tcPr>
          <w:p w14:paraId="41C46414" w14:textId="77777777" w:rsidR="006A5E6E" w:rsidRPr="00904464" w:rsidRDefault="006A5E6E" w:rsidP="00ED2CC4">
            <w:pPr>
              <w:suppressAutoHyphens/>
              <w:jc w:val="center"/>
              <w:rPr>
                <w:rFonts w:ascii="Times New Roman" w:eastAsia="Times New Roman" w:hAnsi="Times New Roman" w:cs="Times New Roman"/>
                <w:bCs/>
              </w:rPr>
            </w:pPr>
            <w:r w:rsidRPr="00904464">
              <w:rPr>
                <w:rFonts w:ascii="Times New Roman" w:eastAsia="Times New Roman" w:hAnsi="Times New Roman" w:cs="Times New Roman"/>
                <w:bCs/>
              </w:rPr>
              <w:t>Fiskālā ietekme</w:t>
            </w:r>
          </w:p>
        </w:tc>
      </w:tr>
      <w:tr w:rsidR="006A5E6E" w:rsidRPr="00904464" w14:paraId="3A2925CE" w14:textId="77777777" w:rsidTr="005B247B">
        <w:trPr>
          <w:trHeight w:val="560"/>
        </w:trPr>
        <w:tc>
          <w:tcPr>
            <w:tcW w:w="3114" w:type="dxa"/>
            <w:vAlign w:val="center"/>
            <w:hideMark/>
          </w:tcPr>
          <w:p w14:paraId="052C4C36" w14:textId="77777777" w:rsidR="006A5E6E" w:rsidRPr="00904464" w:rsidRDefault="006A5E6E" w:rsidP="00ED2CC4">
            <w:pPr>
              <w:suppressAutoHyphens/>
              <w:rPr>
                <w:rFonts w:ascii="Times New Roman" w:eastAsia="Times New Roman" w:hAnsi="Times New Roman" w:cs="Times New Roman"/>
              </w:rPr>
            </w:pPr>
            <w:r w:rsidRPr="00904464">
              <w:rPr>
                <w:rFonts w:ascii="Times New Roman" w:eastAsia="Times New Roman" w:hAnsi="Times New Roman" w:cs="Times New Roman"/>
              </w:rPr>
              <w:t>01.1.1. maize un graudaugu izstrādājumi</w:t>
            </w:r>
          </w:p>
        </w:tc>
        <w:tc>
          <w:tcPr>
            <w:tcW w:w="1701" w:type="dxa"/>
            <w:noWrap/>
            <w:vAlign w:val="center"/>
            <w:hideMark/>
          </w:tcPr>
          <w:p w14:paraId="0F746872" w14:textId="77777777" w:rsidR="006A5E6E" w:rsidRPr="00904464" w:rsidRDefault="006A5E6E" w:rsidP="00ED2CC4">
            <w:pPr>
              <w:suppressAutoHyphens/>
              <w:jc w:val="right"/>
              <w:rPr>
                <w:rFonts w:ascii="Times New Roman" w:eastAsia="Times New Roman" w:hAnsi="Times New Roman" w:cs="Times New Roman"/>
              </w:rPr>
            </w:pPr>
            <w:r w:rsidRPr="00904464">
              <w:rPr>
                <w:rFonts w:ascii="Times New Roman" w:eastAsia="Times New Roman" w:hAnsi="Times New Roman" w:cs="Times New Roman"/>
              </w:rPr>
              <w:t>314,0</w:t>
            </w:r>
          </w:p>
        </w:tc>
        <w:tc>
          <w:tcPr>
            <w:tcW w:w="1417" w:type="dxa"/>
            <w:noWrap/>
            <w:vAlign w:val="center"/>
            <w:hideMark/>
          </w:tcPr>
          <w:p w14:paraId="7FD7930F" w14:textId="77777777" w:rsidR="006A5E6E" w:rsidRPr="00904464" w:rsidRDefault="006A5E6E" w:rsidP="00ED2CC4">
            <w:pPr>
              <w:suppressAutoHyphens/>
              <w:jc w:val="right"/>
              <w:rPr>
                <w:rFonts w:ascii="Times New Roman" w:eastAsia="Times New Roman" w:hAnsi="Times New Roman" w:cs="Times New Roman"/>
              </w:rPr>
            </w:pPr>
            <w:r w:rsidRPr="00904464">
              <w:rPr>
                <w:rFonts w:ascii="Times New Roman" w:eastAsia="Times New Roman" w:hAnsi="Times New Roman" w:cs="Times New Roman"/>
              </w:rPr>
              <w:t>65,9</w:t>
            </w:r>
          </w:p>
        </w:tc>
        <w:tc>
          <w:tcPr>
            <w:tcW w:w="1418" w:type="dxa"/>
            <w:noWrap/>
            <w:vAlign w:val="center"/>
            <w:hideMark/>
          </w:tcPr>
          <w:p w14:paraId="0C31A8C1" w14:textId="77777777" w:rsidR="006A5E6E" w:rsidRPr="00904464" w:rsidRDefault="006A5E6E" w:rsidP="00ED2CC4">
            <w:pPr>
              <w:suppressAutoHyphens/>
              <w:jc w:val="right"/>
              <w:rPr>
                <w:rFonts w:ascii="Times New Roman" w:eastAsia="Times New Roman" w:hAnsi="Times New Roman" w:cs="Times New Roman"/>
              </w:rPr>
            </w:pPr>
            <w:r w:rsidRPr="00904464">
              <w:rPr>
                <w:rFonts w:ascii="Times New Roman" w:eastAsia="Times New Roman" w:hAnsi="Times New Roman" w:cs="Times New Roman"/>
              </w:rPr>
              <w:t>37,7</w:t>
            </w:r>
          </w:p>
        </w:tc>
        <w:tc>
          <w:tcPr>
            <w:tcW w:w="1276" w:type="dxa"/>
            <w:shd w:val="clear" w:color="auto" w:fill="auto"/>
            <w:noWrap/>
            <w:vAlign w:val="center"/>
            <w:hideMark/>
          </w:tcPr>
          <w:p w14:paraId="6823A2CB" w14:textId="77777777" w:rsidR="006A5E6E" w:rsidRPr="00904464" w:rsidRDefault="006A5E6E" w:rsidP="00ED2CC4">
            <w:pPr>
              <w:suppressAutoHyphens/>
              <w:jc w:val="right"/>
              <w:rPr>
                <w:rFonts w:ascii="Times New Roman" w:eastAsia="Times New Roman" w:hAnsi="Times New Roman" w:cs="Times New Roman"/>
              </w:rPr>
            </w:pPr>
            <w:r w:rsidRPr="00904464">
              <w:rPr>
                <w:rFonts w:ascii="Times New Roman" w:eastAsia="Times New Roman" w:hAnsi="Times New Roman" w:cs="Times New Roman"/>
              </w:rPr>
              <w:t>-28,3</w:t>
            </w:r>
          </w:p>
        </w:tc>
      </w:tr>
      <w:tr w:rsidR="006A5E6E" w:rsidRPr="00904464" w14:paraId="1C294AB7" w14:textId="77777777" w:rsidTr="005B247B">
        <w:trPr>
          <w:trHeight w:val="315"/>
        </w:trPr>
        <w:tc>
          <w:tcPr>
            <w:tcW w:w="3114" w:type="dxa"/>
            <w:vAlign w:val="center"/>
            <w:hideMark/>
          </w:tcPr>
          <w:p w14:paraId="579C246E" w14:textId="77777777" w:rsidR="006A5E6E" w:rsidRPr="00904464" w:rsidRDefault="006A5E6E" w:rsidP="00ED2CC4">
            <w:pPr>
              <w:suppressAutoHyphens/>
              <w:rPr>
                <w:rFonts w:ascii="Times New Roman" w:eastAsia="Times New Roman" w:hAnsi="Times New Roman" w:cs="Times New Roman"/>
              </w:rPr>
            </w:pPr>
            <w:r w:rsidRPr="00904464">
              <w:rPr>
                <w:rFonts w:ascii="Times New Roman" w:eastAsia="Times New Roman" w:hAnsi="Times New Roman" w:cs="Times New Roman"/>
              </w:rPr>
              <w:t>01.1.2. gaļa</w:t>
            </w:r>
          </w:p>
        </w:tc>
        <w:tc>
          <w:tcPr>
            <w:tcW w:w="1701" w:type="dxa"/>
            <w:noWrap/>
            <w:vAlign w:val="center"/>
            <w:hideMark/>
          </w:tcPr>
          <w:p w14:paraId="1C2E6C93" w14:textId="77777777" w:rsidR="006A5E6E" w:rsidRPr="00904464" w:rsidRDefault="006A5E6E" w:rsidP="00ED2CC4">
            <w:pPr>
              <w:suppressAutoHyphens/>
              <w:jc w:val="right"/>
              <w:rPr>
                <w:rFonts w:ascii="Times New Roman" w:eastAsia="Times New Roman" w:hAnsi="Times New Roman" w:cs="Times New Roman"/>
              </w:rPr>
            </w:pPr>
            <w:r w:rsidRPr="00904464">
              <w:rPr>
                <w:rFonts w:ascii="Times New Roman" w:eastAsia="Times New Roman" w:hAnsi="Times New Roman" w:cs="Times New Roman"/>
              </w:rPr>
              <w:t>537,7</w:t>
            </w:r>
          </w:p>
        </w:tc>
        <w:tc>
          <w:tcPr>
            <w:tcW w:w="1417" w:type="dxa"/>
            <w:noWrap/>
            <w:vAlign w:val="center"/>
            <w:hideMark/>
          </w:tcPr>
          <w:p w14:paraId="3C080A5C" w14:textId="77777777" w:rsidR="006A5E6E" w:rsidRPr="00904464" w:rsidRDefault="006A5E6E" w:rsidP="00ED2CC4">
            <w:pPr>
              <w:suppressAutoHyphens/>
              <w:jc w:val="right"/>
              <w:rPr>
                <w:rFonts w:ascii="Times New Roman" w:eastAsia="Times New Roman" w:hAnsi="Times New Roman" w:cs="Times New Roman"/>
              </w:rPr>
            </w:pPr>
            <w:r w:rsidRPr="00904464">
              <w:rPr>
                <w:rFonts w:ascii="Times New Roman" w:eastAsia="Times New Roman" w:hAnsi="Times New Roman" w:cs="Times New Roman"/>
              </w:rPr>
              <w:t>112,9</w:t>
            </w:r>
          </w:p>
        </w:tc>
        <w:tc>
          <w:tcPr>
            <w:tcW w:w="1418" w:type="dxa"/>
            <w:noWrap/>
            <w:vAlign w:val="center"/>
            <w:hideMark/>
          </w:tcPr>
          <w:p w14:paraId="1B8245CA" w14:textId="77777777" w:rsidR="006A5E6E" w:rsidRPr="00904464" w:rsidRDefault="006A5E6E" w:rsidP="00ED2CC4">
            <w:pPr>
              <w:suppressAutoHyphens/>
              <w:jc w:val="right"/>
              <w:rPr>
                <w:rFonts w:ascii="Times New Roman" w:eastAsia="Times New Roman" w:hAnsi="Times New Roman" w:cs="Times New Roman"/>
              </w:rPr>
            </w:pPr>
            <w:r w:rsidRPr="00904464">
              <w:rPr>
                <w:rFonts w:ascii="Times New Roman" w:eastAsia="Times New Roman" w:hAnsi="Times New Roman" w:cs="Times New Roman"/>
              </w:rPr>
              <w:t>64,5</w:t>
            </w:r>
          </w:p>
        </w:tc>
        <w:tc>
          <w:tcPr>
            <w:tcW w:w="1276" w:type="dxa"/>
            <w:shd w:val="clear" w:color="auto" w:fill="auto"/>
            <w:noWrap/>
            <w:vAlign w:val="center"/>
            <w:hideMark/>
          </w:tcPr>
          <w:p w14:paraId="6FBC0C1B" w14:textId="77777777" w:rsidR="006A5E6E" w:rsidRPr="00904464" w:rsidRDefault="006A5E6E" w:rsidP="00ED2CC4">
            <w:pPr>
              <w:suppressAutoHyphens/>
              <w:jc w:val="right"/>
              <w:rPr>
                <w:rFonts w:ascii="Times New Roman" w:eastAsia="Times New Roman" w:hAnsi="Times New Roman" w:cs="Times New Roman"/>
              </w:rPr>
            </w:pPr>
            <w:r w:rsidRPr="00904464">
              <w:rPr>
                <w:rFonts w:ascii="Times New Roman" w:eastAsia="Times New Roman" w:hAnsi="Times New Roman" w:cs="Times New Roman"/>
              </w:rPr>
              <w:t>-48,4</w:t>
            </w:r>
          </w:p>
        </w:tc>
      </w:tr>
      <w:tr w:rsidR="006A5E6E" w:rsidRPr="00904464" w14:paraId="07D6C4A1" w14:textId="77777777" w:rsidTr="005B247B">
        <w:trPr>
          <w:trHeight w:val="315"/>
        </w:trPr>
        <w:tc>
          <w:tcPr>
            <w:tcW w:w="3114" w:type="dxa"/>
            <w:vAlign w:val="center"/>
            <w:hideMark/>
          </w:tcPr>
          <w:p w14:paraId="77241F53" w14:textId="77777777" w:rsidR="006A5E6E" w:rsidRPr="00904464" w:rsidRDefault="006A5E6E" w:rsidP="00ED2CC4">
            <w:pPr>
              <w:suppressAutoHyphens/>
              <w:rPr>
                <w:rFonts w:ascii="Times New Roman" w:eastAsia="Times New Roman" w:hAnsi="Times New Roman" w:cs="Times New Roman"/>
              </w:rPr>
            </w:pPr>
            <w:r w:rsidRPr="00904464">
              <w:rPr>
                <w:rFonts w:ascii="Times New Roman" w:eastAsia="Times New Roman" w:hAnsi="Times New Roman" w:cs="Times New Roman"/>
              </w:rPr>
              <w:t>01.1.3. zivis</w:t>
            </w:r>
          </w:p>
        </w:tc>
        <w:tc>
          <w:tcPr>
            <w:tcW w:w="1701" w:type="dxa"/>
            <w:noWrap/>
            <w:vAlign w:val="center"/>
            <w:hideMark/>
          </w:tcPr>
          <w:p w14:paraId="3FD2B2FB" w14:textId="77777777" w:rsidR="006A5E6E" w:rsidRPr="00904464" w:rsidRDefault="006A5E6E" w:rsidP="00ED2CC4">
            <w:pPr>
              <w:suppressAutoHyphens/>
              <w:jc w:val="right"/>
              <w:rPr>
                <w:rFonts w:ascii="Times New Roman" w:eastAsia="Times New Roman" w:hAnsi="Times New Roman" w:cs="Times New Roman"/>
              </w:rPr>
            </w:pPr>
            <w:r w:rsidRPr="00904464">
              <w:rPr>
                <w:rFonts w:ascii="Times New Roman" w:eastAsia="Times New Roman" w:hAnsi="Times New Roman" w:cs="Times New Roman"/>
              </w:rPr>
              <w:t>94,3</w:t>
            </w:r>
          </w:p>
        </w:tc>
        <w:tc>
          <w:tcPr>
            <w:tcW w:w="1417" w:type="dxa"/>
            <w:noWrap/>
            <w:vAlign w:val="center"/>
            <w:hideMark/>
          </w:tcPr>
          <w:p w14:paraId="11291C88" w14:textId="77777777" w:rsidR="006A5E6E" w:rsidRPr="00904464" w:rsidRDefault="006A5E6E" w:rsidP="00ED2CC4">
            <w:pPr>
              <w:suppressAutoHyphens/>
              <w:jc w:val="right"/>
              <w:rPr>
                <w:rFonts w:ascii="Times New Roman" w:eastAsia="Times New Roman" w:hAnsi="Times New Roman" w:cs="Times New Roman"/>
              </w:rPr>
            </w:pPr>
            <w:r w:rsidRPr="00904464">
              <w:rPr>
                <w:rFonts w:ascii="Times New Roman" w:eastAsia="Times New Roman" w:hAnsi="Times New Roman" w:cs="Times New Roman"/>
              </w:rPr>
              <w:t>19,8</w:t>
            </w:r>
          </w:p>
        </w:tc>
        <w:tc>
          <w:tcPr>
            <w:tcW w:w="1418" w:type="dxa"/>
            <w:noWrap/>
            <w:vAlign w:val="center"/>
            <w:hideMark/>
          </w:tcPr>
          <w:p w14:paraId="71383C9C" w14:textId="77777777" w:rsidR="006A5E6E" w:rsidRPr="00904464" w:rsidRDefault="006A5E6E" w:rsidP="00ED2CC4">
            <w:pPr>
              <w:suppressAutoHyphens/>
              <w:jc w:val="right"/>
              <w:rPr>
                <w:rFonts w:ascii="Times New Roman" w:eastAsia="Times New Roman" w:hAnsi="Times New Roman" w:cs="Times New Roman"/>
              </w:rPr>
            </w:pPr>
            <w:r w:rsidRPr="00904464">
              <w:rPr>
                <w:rFonts w:ascii="Times New Roman" w:eastAsia="Times New Roman" w:hAnsi="Times New Roman" w:cs="Times New Roman"/>
              </w:rPr>
              <w:t>11,3</w:t>
            </w:r>
          </w:p>
        </w:tc>
        <w:tc>
          <w:tcPr>
            <w:tcW w:w="1276" w:type="dxa"/>
            <w:noWrap/>
            <w:vAlign w:val="center"/>
            <w:hideMark/>
          </w:tcPr>
          <w:p w14:paraId="157A1726" w14:textId="77777777" w:rsidR="006A5E6E" w:rsidRPr="00904464" w:rsidRDefault="006A5E6E" w:rsidP="00ED2CC4">
            <w:pPr>
              <w:suppressAutoHyphens/>
              <w:jc w:val="right"/>
              <w:rPr>
                <w:rFonts w:ascii="Times New Roman" w:eastAsia="Times New Roman" w:hAnsi="Times New Roman" w:cs="Times New Roman"/>
              </w:rPr>
            </w:pPr>
            <w:r w:rsidRPr="00904464">
              <w:rPr>
                <w:rFonts w:ascii="Times New Roman" w:eastAsia="Times New Roman" w:hAnsi="Times New Roman" w:cs="Times New Roman"/>
              </w:rPr>
              <w:t>-8,5</w:t>
            </w:r>
          </w:p>
        </w:tc>
      </w:tr>
      <w:tr w:rsidR="006A5E6E" w:rsidRPr="00904464" w14:paraId="1421D83D" w14:textId="77777777" w:rsidTr="005B247B">
        <w:trPr>
          <w:trHeight w:val="365"/>
        </w:trPr>
        <w:tc>
          <w:tcPr>
            <w:tcW w:w="3114" w:type="dxa"/>
            <w:vAlign w:val="center"/>
            <w:hideMark/>
          </w:tcPr>
          <w:p w14:paraId="55421454" w14:textId="77777777" w:rsidR="006A5E6E" w:rsidRPr="00904464" w:rsidRDefault="006A5E6E" w:rsidP="00ED2CC4">
            <w:pPr>
              <w:suppressAutoHyphens/>
              <w:rPr>
                <w:rFonts w:ascii="Times New Roman" w:eastAsia="Times New Roman" w:hAnsi="Times New Roman" w:cs="Times New Roman"/>
              </w:rPr>
            </w:pPr>
            <w:r w:rsidRPr="00904464">
              <w:rPr>
                <w:rFonts w:ascii="Times New Roman" w:eastAsia="Times New Roman" w:hAnsi="Times New Roman" w:cs="Times New Roman"/>
              </w:rPr>
              <w:t>01.1.4. piens, siers un olas</w:t>
            </w:r>
          </w:p>
        </w:tc>
        <w:tc>
          <w:tcPr>
            <w:tcW w:w="1701" w:type="dxa"/>
            <w:noWrap/>
            <w:vAlign w:val="center"/>
            <w:hideMark/>
          </w:tcPr>
          <w:p w14:paraId="6312AB10" w14:textId="77777777" w:rsidR="006A5E6E" w:rsidRPr="00904464" w:rsidRDefault="006A5E6E" w:rsidP="00ED2CC4">
            <w:pPr>
              <w:suppressAutoHyphens/>
              <w:jc w:val="right"/>
              <w:rPr>
                <w:rFonts w:ascii="Times New Roman" w:eastAsia="Times New Roman" w:hAnsi="Times New Roman" w:cs="Times New Roman"/>
              </w:rPr>
            </w:pPr>
            <w:r w:rsidRPr="00904464">
              <w:rPr>
                <w:rFonts w:ascii="Times New Roman" w:eastAsia="Times New Roman" w:hAnsi="Times New Roman" w:cs="Times New Roman"/>
              </w:rPr>
              <w:t>415,2</w:t>
            </w:r>
          </w:p>
        </w:tc>
        <w:tc>
          <w:tcPr>
            <w:tcW w:w="1417" w:type="dxa"/>
            <w:noWrap/>
            <w:vAlign w:val="center"/>
            <w:hideMark/>
          </w:tcPr>
          <w:p w14:paraId="5E3968C4" w14:textId="77777777" w:rsidR="006A5E6E" w:rsidRPr="00904464" w:rsidRDefault="006A5E6E" w:rsidP="00ED2CC4">
            <w:pPr>
              <w:suppressAutoHyphens/>
              <w:jc w:val="right"/>
              <w:rPr>
                <w:rFonts w:ascii="Times New Roman" w:eastAsia="Times New Roman" w:hAnsi="Times New Roman" w:cs="Times New Roman"/>
              </w:rPr>
            </w:pPr>
            <w:r w:rsidRPr="00904464">
              <w:rPr>
                <w:rFonts w:ascii="Times New Roman" w:eastAsia="Times New Roman" w:hAnsi="Times New Roman" w:cs="Times New Roman"/>
              </w:rPr>
              <w:t>87,2</w:t>
            </w:r>
          </w:p>
        </w:tc>
        <w:tc>
          <w:tcPr>
            <w:tcW w:w="1418" w:type="dxa"/>
            <w:noWrap/>
            <w:vAlign w:val="center"/>
            <w:hideMark/>
          </w:tcPr>
          <w:p w14:paraId="5B750CE1" w14:textId="77777777" w:rsidR="006A5E6E" w:rsidRPr="00904464" w:rsidRDefault="006A5E6E" w:rsidP="00ED2CC4">
            <w:pPr>
              <w:suppressAutoHyphens/>
              <w:jc w:val="right"/>
              <w:rPr>
                <w:rFonts w:ascii="Times New Roman" w:eastAsia="Times New Roman" w:hAnsi="Times New Roman" w:cs="Times New Roman"/>
              </w:rPr>
            </w:pPr>
            <w:r w:rsidRPr="00904464">
              <w:rPr>
                <w:rFonts w:ascii="Times New Roman" w:eastAsia="Times New Roman" w:hAnsi="Times New Roman" w:cs="Times New Roman"/>
              </w:rPr>
              <w:t>49,8</w:t>
            </w:r>
          </w:p>
        </w:tc>
        <w:tc>
          <w:tcPr>
            <w:tcW w:w="1276" w:type="dxa"/>
            <w:shd w:val="clear" w:color="auto" w:fill="auto"/>
            <w:noWrap/>
            <w:vAlign w:val="center"/>
            <w:hideMark/>
          </w:tcPr>
          <w:p w14:paraId="347C003C" w14:textId="77777777" w:rsidR="006A5E6E" w:rsidRPr="00904464" w:rsidRDefault="006A5E6E" w:rsidP="00ED2CC4">
            <w:pPr>
              <w:suppressAutoHyphens/>
              <w:jc w:val="right"/>
              <w:rPr>
                <w:rFonts w:ascii="Times New Roman" w:eastAsia="Times New Roman" w:hAnsi="Times New Roman" w:cs="Times New Roman"/>
              </w:rPr>
            </w:pPr>
            <w:r w:rsidRPr="00904464">
              <w:rPr>
                <w:rFonts w:ascii="Times New Roman" w:eastAsia="Times New Roman" w:hAnsi="Times New Roman" w:cs="Times New Roman"/>
              </w:rPr>
              <w:t>-37,4</w:t>
            </w:r>
          </w:p>
        </w:tc>
      </w:tr>
      <w:tr w:rsidR="006A5E6E" w:rsidRPr="00904464" w14:paraId="69F6D8AD" w14:textId="77777777" w:rsidTr="005B247B">
        <w:trPr>
          <w:trHeight w:val="315"/>
        </w:trPr>
        <w:tc>
          <w:tcPr>
            <w:tcW w:w="3114" w:type="dxa"/>
            <w:vAlign w:val="center"/>
            <w:hideMark/>
          </w:tcPr>
          <w:p w14:paraId="717158D9" w14:textId="77777777" w:rsidR="006A5E6E" w:rsidRPr="00904464" w:rsidRDefault="006A5E6E" w:rsidP="00ED2CC4">
            <w:pPr>
              <w:suppressAutoHyphens/>
              <w:rPr>
                <w:rFonts w:ascii="Times New Roman" w:eastAsia="Times New Roman" w:hAnsi="Times New Roman" w:cs="Times New Roman"/>
              </w:rPr>
            </w:pPr>
            <w:r w:rsidRPr="00904464">
              <w:rPr>
                <w:rFonts w:ascii="Times New Roman" w:eastAsia="Times New Roman" w:hAnsi="Times New Roman" w:cs="Times New Roman"/>
              </w:rPr>
              <w:t>01.1.5. eļļas un taukvielas</w:t>
            </w:r>
          </w:p>
        </w:tc>
        <w:tc>
          <w:tcPr>
            <w:tcW w:w="1701" w:type="dxa"/>
            <w:noWrap/>
            <w:vAlign w:val="center"/>
            <w:hideMark/>
          </w:tcPr>
          <w:p w14:paraId="246A81FB" w14:textId="77777777" w:rsidR="006A5E6E" w:rsidRPr="00904464" w:rsidRDefault="006A5E6E" w:rsidP="00ED2CC4">
            <w:pPr>
              <w:suppressAutoHyphens/>
              <w:jc w:val="right"/>
              <w:rPr>
                <w:rFonts w:ascii="Times New Roman" w:eastAsia="Times New Roman" w:hAnsi="Times New Roman" w:cs="Times New Roman"/>
              </w:rPr>
            </w:pPr>
            <w:r w:rsidRPr="00904464">
              <w:rPr>
                <w:rFonts w:ascii="Times New Roman" w:eastAsia="Times New Roman" w:hAnsi="Times New Roman" w:cs="Times New Roman"/>
              </w:rPr>
              <w:t>76,7</w:t>
            </w:r>
          </w:p>
        </w:tc>
        <w:tc>
          <w:tcPr>
            <w:tcW w:w="1417" w:type="dxa"/>
            <w:noWrap/>
            <w:vAlign w:val="center"/>
            <w:hideMark/>
          </w:tcPr>
          <w:p w14:paraId="25094B7C" w14:textId="77777777" w:rsidR="006A5E6E" w:rsidRPr="00904464" w:rsidRDefault="006A5E6E" w:rsidP="00ED2CC4">
            <w:pPr>
              <w:suppressAutoHyphens/>
              <w:jc w:val="right"/>
              <w:rPr>
                <w:rFonts w:ascii="Times New Roman" w:eastAsia="Times New Roman" w:hAnsi="Times New Roman" w:cs="Times New Roman"/>
              </w:rPr>
            </w:pPr>
            <w:r w:rsidRPr="00904464">
              <w:rPr>
                <w:rFonts w:ascii="Times New Roman" w:eastAsia="Times New Roman" w:hAnsi="Times New Roman" w:cs="Times New Roman"/>
              </w:rPr>
              <w:t>16,1</w:t>
            </w:r>
          </w:p>
        </w:tc>
        <w:tc>
          <w:tcPr>
            <w:tcW w:w="1418" w:type="dxa"/>
            <w:noWrap/>
            <w:vAlign w:val="center"/>
            <w:hideMark/>
          </w:tcPr>
          <w:p w14:paraId="70A18A98" w14:textId="77777777" w:rsidR="006A5E6E" w:rsidRPr="00904464" w:rsidRDefault="006A5E6E" w:rsidP="00ED2CC4">
            <w:pPr>
              <w:suppressAutoHyphens/>
              <w:jc w:val="right"/>
              <w:rPr>
                <w:rFonts w:ascii="Times New Roman" w:eastAsia="Times New Roman" w:hAnsi="Times New Roman" w:cs="Times New Roman"/>
              </w:rPr>
            </w:pPr>
            <w:r w:rsidRPr="00904464">
              <w:rPr>
                <w:rFonts w:ascii="Times New Roman" w:eastAsia="Times New Roman" w:hAnsi="Times New Roman" w:cs="Times New Roman"/>
              </w:rPr>
              <w:t>9,2</w:t>
            </w:r>
          </w:p>
        </w:tc>
        <w:tc>
          <w:tcPr>
            <w:tcW w:w="1276" w:type="dxa"/>
            <w:noWrap/>
            <w:vAlign w:val="center"/>
            <w:hideMark/>
          </w:tcPr>
          <w:p w14:paraId="004ECC0E" w14:textId="77777777" w:rsidR="006A5E6E" w:rsidRPr="00904464" w:rsidRDefault="006A5E6E" w:rsidP="00ED2CC4">
            <w:pPr>
              <w:suppressAutoHyphens/>
              <w:jc w:val="right"/>
              <w:rPr>
                <w:rFonts w:ascii="Times New Roman" w:eastAsia="Times New Roman" w:hAnsi="Times New Roman" w:cs="Times New Roman"/>
              </w:rPr>
            </w:pPr>
            <w:r w:rsidRPr="00904464">
              <w:rPr>
                <w:rFonts w:ascii="Times New Roman" w:eastAsia="Times New Roman" w:hAnsi="Times New Roman" w:cs="Times New Roman"/>
              </w:rPr>
              <w:t>-6,9</w:t>
            </w:r>
          </w:p>
        </w:tc>
      </w:tr>
      <w:tr w:rsidR="006A5E6E" w:rsidRPr="00904464" w14:paraId="40272469" w14:textId="77777777" w:rsidTr="005B247B">
        <w:trPr>
          <w:trHeight w:val="279"/>
        </w:trPr>
        <w:tc>
          <w:tcPr>
            <w:tcW w:w="3114" w:type="dxa"/>
            <w:vAlign w:val="center"/>
            <w:hideMark/>
          </w:tcPr>
          <w:p w14:paraId="3DE34967" w14:textId="77777777" w:rsidR="006A5E6E" w:rsidRPr="00904464" w:rsidRDefault="006A5E6E" w:rsidP="00ED2CC4">
            <w:pPr>
              <w:suppressAutoHyphens/>
              <w:rPr>
                <w:rFonts w:ascii="Times New Roman" w:eastAsia="Times New Roman" w:hAnsi="Times New Roman" w:cs="Times New Roman"/>
              </w:rPr>
            </w:pPr>
            <w:r w:rsidRPr="00904464">
              <w:rPr>
                <w:rFonts w:ascii="Times New Roman" w:eastAsia="Times New Roman" w:hAnsi="Times New Roman" w:cs="Times New Roman"/>
              </w:rPr>
              <w:t>01.1.6. augļi un ogas</w:t>
            </w:r>
          </w:p>
        </w:tc>
        <w:tc>
          <w:tcPr>
            <w:tcW w:w="1701" w:type="dxa"/>
            <w:noWrap/>
            <w:vAlign w:val="center"/>
            <w:hideMark/>
          </w:tcPr>
          <w:p w14:paraId="5383D380" w14:textId="77777777" w:rsidR="006A5E6E" w:rsidRPr="00904464" w:rsidRDefault="006A5E6E" w:rsidP="00ED2CC4">
            <w:pPr>
              <w:suppressAutoHyphens/>
              <w:jc w:val="right"/>
              <w:rPr>
                <w:rFonts w:ascii="Times New Roman" w:eastAsia="Times New Roman" w:hAnsi="Times New Roman" w:cs="Times New Roman"/>
              </w:rPr>
            </w:pPr>
            <w:r w:rsidRPr="00904464">
              <w:rPr>
                <w:rFonts w:ascii="Times New Roman" w:eastAsia="Times New Roman" w:hAnsi="Times New Roman" w:cs="Times New Roman"/>
              </w:rPr>
              <w:t>159,3</w:t>
            </w:r>
          </w:p>
        </w:tc>
        <w:tc>
          <w:tcPr>
            <w:tcW w:w="1417" w:type="dxa"/>
            <w:noWrap/>
            <w:vAlign w:val="center"/>
            <w:hideMark/>
          </w:tcPr>
          <w:p w14:paraId="0355C29A" w14:textId="77777777" w:rsidR="006A5E6E" w:rsidRPr="00904464" w:rsidRDefault="006A5E6E" w:rsidP="00ED2CC4">
            <w:pPr>
              <w:suppressAutoHyphens/>
              <w:jc w:val="right"/>
              <w:rPr>
                <w:rFonts w:ascii="Times New Roman" w:eastAsia="Times New Roman" w:hAnsi="Times New Roman" w:cs="Times New Roman"/>
              </w:rPr>
            </w:pPr>
            <w:r w:rsidRPr="00904464">
              <w:rPr>
                <w:rFonts w:ascii="Times New Roman" w:eastAsia="Times New Roman" w:hAnsi="Times New Roman" w:cs="Times New Roman"/>
              </w:rPr>
              <w:t>33,4</w:t>
            </w:r>
          </w:p>
        </w:tc>
        <w:tc>
          <w:tcPr>
            <w:tcW w:w="1418" w:type="dxa"/>
            <w:noWrap/>
            <w:vAlign w:val="center"/>
            <w:hideMark/>
          </w:tcPr>
          <w:p w14:paraId="0C172D0B" w14:textId="77777777" w:rsidR="006A5E6E" w:rsidRPr="00904464" w:rsidRDefault="006A5E6E" w:rsidP="00ED2CC4">
            <w:pPr>
              <w:suppressAutoHyphens/>
              <w:jc w:val="right"/>
              <w:rPr>
                <w:rFonts w:ascii="Times New Roman" w:eastAsia="Times New Roman" w:hAnsi="Times New Roman" w:cs="Times New Roman"/>
              </w:rPr>
            </w:pPr>
            <w:r w:rsidRPr="00904464">
              <w:rPr>
                <w:rFonts w:ascii="Times New Roman" w:eastAsia="Times New Roman" w:hAnsi="Times New Roman" w:cs="Times New Roman"/>
              </w:rPr>
              <w:t>19,1</w:t>
            </w:r>
          </w:p>
        </w:tc>
        <w:tc>
          <w:tcPr>
            <w:tcW w:w="1276" w:type="dxa"/>
            <w:noWrap/>
            <w:vAlign w:val="center"/>
            <w:hideMark/>
          </w:tcPr>
          <w:p w14:paraId="7027C115" w14:textId="77777777" w:rsidR="006A5E6E" w:rsidRPr="00904464" w:rsidRDefault="006A5E6E" w:rsidP="00ED2CC4">
            <w:pPr>
              <w:suppressAutoHyphens/>
              <w:jc w:val="right"/>
              <w:rPr>
                <w:rFonts w:ascii="Times New Roman" w:eastAsia="Times New Roman" w:hAnsi="Times New Roman" w:cs="Times New Roman"/>
              </w:rPr>
            </w:pPr>
            <w:r w:rsidRPr="00904464">
              <w:rPr>
                <w:rFonts w:ascii="Times New Roman" w:eastAsia="Times New Roman" w:hAnsi="Times New Roman" w:cs="Times New Roman"/>
              </w:rPr>
              <w:t>-14,3</w:t>
            </w:r>
          </w:p>
        </w:tc>
      </w:tr>
      <w:tr w:rsidR="006A5E6E" w:rsidRPr="00904464" w14:paraId="601C233E" w14:textId="77777777" w:rsidTr="005B247B">
        <w:trPr>
          <w:trHeight w:val="257"/>
        </w:trPr>
        <w:tc>
          <w:tcPr>
            <w:tcW w:w="3114" w:type="dxa"/>
            <w:shd w:val="clear" w:color="auto" w:fill="auto"/>
            <w:vAlign w:val="center"/>
            <w:hideMark/>
          </w:tcPr>
          <w:p w14:paraId="38ACABA2" w14:textId="77777777" w:rsidR="006A5E6E" w:rsidRPr="00904464" w:rsidRDefault="006A5E6E" w:rsidP="00ED2CC4">
            <w:pPr>
              <w:suppressAutoHyphens/>
              <w:rPr>
                <w:rFonts w:ascii="Times New Roman" w:eastAsia="Times New Roman" w:hAnsi="Times New Roman" w:cs="Times New Roman"/>
              </w:rPr>
            </w:pPr>
            <w:r w:rsidRPr="00904464">
              <w:rPr>
                <w:rFonts w:ascii="Times New Roman" w:eastAsia="Times New Roman" w:hAnsi="Times New Roman" w:cs="Times New Roman"/>
              </w:rPr>
              <w:t>01.1.7. dārzeņi</w:t>
            </w:r>
          </w:p>
        </w:tc>
        <w:tc>
          <w:tcPr>
            <w:tcW w:w="1701" w:type="dxa"/>
            <w:shd w:val="clear" w:color="auto" w:fill="auto"/>
            <w:noWrap/>
            <w:vAlign w:val="center"/>
            <w:hideMark/>
          </w:tcPr>
          <w:p w14:paraId="5341375F" w14:textId="77777777" w:rsidR="006A5E6E" w:rsidRPr="00904464" w:rsidRDefault="006A5E6E" w:rsidP="00ED2CC4">
            <w:pPr>
              <w:suppressAutoHyphens/>
              <w:jc w:val="right"/>
              <w:rPr>
                <w:rFonts w:ascii="Times New Roman" w:eastAsia="Times New Roman" w:hAnsi="Times New Roman" w:cs="Times New Roman"/>
              </w:rPr>
            </w:pPr>
            <w:r w:rsidRPr="00904464">
              <w:rPr>
                <w:rFonts w:ascii="Times New Roman" w:eastAsia="Times New Roman" w:hAnsi="Times New Roman" w:cs="Times New Roman"/>
              </w:rPr>
              <w:t>316,7</w:t>
            </w:r>
          </w:p>
        </w:tc>
        <w:tc>
          <w:tcPr>
            <w:tcW w:w="1417" w:type="dxa"/>
            <w:shd w:val="clear" w:color="auto" w:fill="auto"/>
            <w:noWrap/>
            <w:vAlign w:val="center"/>
            <w:hideMark/>
          </w:tcPr>
          <w:p w14:paraId="07F62955" w14:textId="77777777" w:rsidR="006A5E6E" w:rsidRPr="00904464" w:rsidRDefault="006A5E6E" w:rsidP="00ED2CC4">
            <w:pPr>
              <w:suppressAutoHyphens/>
              <w:jc w:val="right"/>
              <w:rPr>
                <w:rFonts w:ascii="Times New Roman" w:eastAsia="Times New Roman" w:hAnsi="Times New Roman" w:cs="Times New Roman"/>
              </w:rPr>
            </w:pPr>
            <w:r w:rsidRPr="00904464">
              <w:rPr>
                <w:rFonts w:ascii="Times New Roman" w:eastAsia="Times New Roman" w:hAnsi="Times New Roman" w:cs="Times New Roman"/>
              </w:rPr>
              <w:t>66,5</w:t>
            </w:r>
          </w:p>
        </w:tc>
        <w:tc>
          <w:tcPr>
            <w:tcW w:w="1418" w:type="dxa"/>
            <w:shd w:val="clear" w:color="auto" w:fill="auto"/>
            <w:noWrap/>
            <w:vAlign w:val="center"/>
            <w:hideMark/>
          </w:tcPr>
          <w:p w14:paraId="099C51FD" w14:textId="77777777" w:rsidR="006A5E6E" w:rsidRPr="00904464" w:rsidRDefault="006A5E6E" w:rsidP="00ED2CC4">
            <w:pPr>
              <w:suppressAutoHyphens/>
              <w:jc w:val="right"/>
              <w:rPr>
                <w:rFonts w:ascii="Times New Roman" w:eastAsia="Times New Roman" w:hAnsi="Times New Roman" w:cs="Times New Roman"/>
              </w:rPr>
            </w:pPr>
            <w:r w:rsidRPr="00904464">
              <w:rPr>
                <w:rFonts w:ascii="Times New Roman" w:eastAsia="Times New Roman" w:hAnsi="Times New Roman" w:cs="Times New Roman"/>
              </w:rPr>
              <w:t>38,0</w:t>
            </w:r>
          </w:p>
        </w:tc>
        <w:tc>
          <w:tcPr>
            <w:tcW w:w="1276" w:type="dxa"/>
            <w:shd w:val="clear" w:color="auto" w:fill="auto"/>
            <w:noWrap/>
            <w:vAlign w:val="center"/>
            <w:hideMark/>
          </w:tcPr>
          <w:p w14:paraId="4D01FB8D" w14:textId="77777777" w:rsidR="006A5E6E" w:rsidRPr="00904464" w:rsidRDefault="00D34ADA" w:rsidP="00ED2CC4">
            <w:pPr>
              <w:tabs>
                <w:tab w:val="center" w:pos="388"/>
              </w:tabs>
              <w:suppressAutoHyphens/>
              <w:jc w:val="right"/>
              <w:rPr>
                <w:rFonts w:ascii="Times New Roman" w:eastAsia="Times New Roman" w:hAnsi="Times New Roman" w:cs="Times New Roman"/>
              </w:rPr>
            </w:pPr>
            <w:r w:rsidRPr="00904464">
              <w:rPr>
                <w:rFonts w:ascii="Times New Roman" w:eastAsia="Times New Roman" w:hAnsi="Times New Roman" w:cs="Times New Roman"/>
              </w:rPr>
              <w:tab/>
            </w:r>
            <w:r w:rsidR="006A5E6E" w:rsidRPr="00904464">
              <w:rPr>
                <w:rFonts w:ascii="Times New Roman" w:eastAsia="Times New Roman" w:hAnsi="Times New Roman" w:cs="Times New Roman"/>
              </w:rPr>
              <w:t>-28,5</w:t>
            </w:r>
          </w:p>
        </w:tc>
      </w:tr>
      <w:tr w:rsidR="006A5E6E" w:rsidRPr="00904464" w14:paraId="4AAFD5C1" w14:textId="77777777" w:rsidTr="005B247B">
        <w:trPr>
          <w:trHeight w:val="505"/>
        </w:trPr>
        <w:tc>
          <w:tcPr>
            <w:tcW w:w="3114" w:type="dxa"/>
            <w:vAlign w:val="center"/>
            <w:hideMark/>
          </w:tcPr>
          <w:p w14:paraId="3280E541" w14:textId="77777777" w:rsidR="006A5E6E" w:rsidRPr="00904464" w:rsidRDefault="006A5E6E" w:rsidP="00ED2CC4">
            <w:pPr>
              <w:suppressAutoHyphens/>
              <w:rPr>
                <w:rFonts w:ascii="Times New Roman" w:eastAsia="Times New Roman" w:hAnsi="Times New Roman" w:cs="Times New Roman"/>
              </w:rPr>
            </w:pPr>
            <w:r w:rsidRPr="00904464">
              <w:rPr>
                <w:rFonts w:ascii="Times New Roman" w:eastAsia="Times New Roman" w:hAnsi="Times New Roman" w:cs="Times New Roman"/>
              </w:rPr>
              <w:t>01.1.8. cukurs, medus, džems, šokolāde un citi saldumi</w:t>
            </w:r>
          </w:p>
        </w:tc>
        <w:tc>
          <w:tcPr>
            <w:tcW w:w="1701" w:type="dxa"/>
            <w:noWrap/>
            <w:vAlign w:val="center"/>
            <w:hideMark/>
          </w:tcPr>
          <w:p w14:paraId="15E7BF64" w14:textId="77777777" w:rsidR="006A5E6E" w:rsidRPr="00904464" w:rsidRDefault="006A5E6E" w:rsidP="00ED2CC4">
            <w:pPr>
              <w:suppressAutoHyphens/>
              <w:jc w:val="right"/>
              <w:rPr>
                <w:rFonts w:ascii="Times New Roman" w:eastAsia="Times New Roman" w:hAnsi="Times New Roman" w:cs="Times New Roman"/>
              </w:rPr>
            </w:pPr>
            <w:r w:rsidRPr="00904464">
              <w:rPr>
                <w:rFonts w:ascii="Times New Roman" w:eastAsia="Times New Roman" w:hAnsi="Times New Roman" w:cs="Times New Roman"/>
              </w:rPr>
              <w:t>177,9</w:t>
            </w:r>
          </w:p>
        </w:tc>
        <w:tc>
          <w:tcPr>
            <w:tcW w:w="1417" w:type="dxa"/>
            <w:noWrap/>
            <w:vAlign w:val="center"/>
            <w:hideMark/>
          </w:tcPr>
          <w:p w14:paraId="76A60B75" w14:textId="77777777" w:rsidR="006A5E6E" w:rsidRPr="00904464" w:rsidRDefault="006A5E6E" w:rsidP="00ED2CC4">
            <w:pPr>
              <w:suppressAutoHyphens/>
              <w:jc w:val="right"/>
              <w:rPr>
                <w:rFonts w:ascii="Times New Roman" w:eastAsia="Times New Roman" w:hAnsi="Times New Roman" w:cs="Times New Roman"/>
              </w:rPr>
            </w:pPr>
            <w:r w:rsidRPr="00904464">
              <w:rPr>
                <w:rFonts w:ascii="Times New Roman" w:eastAsia="Times New Roman" w:hAnsi="Times New Roman" w:cs="Times New Roman"/>
              </w:rPr>
              <w:t>37,4</w:t>
            </w:r>
          </w:p>
        </w:tc>
        <w:tc>
          <w:tcPr>
            <w:tcW w:w="1418" w:type="dxa"/>
            <w:noWrap/>
            <w:vAlign w:val="center"/>
            <w:hideMark/>
          </w:tcPr>
          <w:p w14:paraId="5B12872E" w14:textId="77777777" w:rsidR="006A5E6E" w:rsidRPr="00904464" w:rsidRDefault="006A5E6E" w:rsidP="00ED2CC4">
            <w:pPr>
              <w:suppressAutoHyphens/>
              <w:jc w:val="right"/>
              <w:rPr>
                <w:rFonts w:ascii="Times New Roman" w:eastAsia="Times New Roman" w:hAnsi="Times New Roman" w:cs="Times New Roman"/>
              </w:rPr>
            </w:pPr>
            <w:r w:rsidRPr="00904464">
              <w:rPr>
                <w:rFonts w:ascii="Times New Roman" w:eastAsia="Times New Roman" w:hAnsi="Times New Roman" w:cs="Times New Roman"/>
              </w:rPr>
              <w:t>21,4</w:t>
            </w:r>
          </w:p>
        </w:tc>
        <w:tc>
          <w:tcPr>
            <w:tcW w:w="1276" w:type="dxa"/>
            <w:noWrap/>
            <w:vAlign w:val="center"/>
            <w:hideMark/>
          </w:tcPr>
          <w:p w14:paraId="70D8DD54" w14:textId="77777777" w:rsidR="006A5E6E" w:rsidRPr="00904464" w:rsidRDefault="006A5E6E" w:rsidP="00ED2CC4">
            <w:pPr>
              <w:suppressAutoHyphens/>
              <w:jc w:val="right"/>
              <w:rPr>
                <w:rFonts w:ascii="Times New Roman" w:eastAsia="Times New Roman" w:hAnsi="Times New Roman" w:cs="Times New Roman"/>
              </w:rPr>
            </w:pPr>
            <w:r w:rsidRPr="00904464">
              <w:rPr>
                <w:rFonts w:ascii="Times New Roman" w:eastAsia="Times New Roman" w:hAnsi="Times New Roman" w:cs="Times New Roman"/>
              </w:rPr>
              <w:t>-16,0</w:t>
            </w:r>
          </w:p>
        </w:tc>
      </w:tr>
      <w:tr w:rsidR="006A5E6E" w:rsidRPr="00904464" w14:paraId="5662127C" w14:textId="77777777" w:rsidTr="005B247B">
        <w:trPr>
          <w:trHeight w:val="543"/>
        </w:trPr>
        <w:tc>
          <w:tcPr>
            <w:tcW w:w="3114" w:type="dxa"/>
            <w:vAlign w:val="center"/>
            <w:hideMark/>
          </w:tcPr>
          <w:p w14:paraId="56A818DD" w14:textId="77777777" w:rsidR="006A5E6E" w:rsidRPr="00904464" w:rsidRDefault="006A5E6E" w:rsidP="00ED2CC4">
            <w:pPr>
              <w:suppressAutoHyphens/>
              <w:rPr>
                <w:rFonts w:ascii="Times New Roman" w:eastAsia="Times New Roman" w:hAnsi="Times New Roman" w:cs="Times New Roman"/>
                <w:iCs/>
              </w:rPr>
            </w:pPr>
            <w:r w:rsidRPr="00904464">
              <w:rPr>
                <w:rFonts w:ascii="Times New Roman" w:eastAsia="Times New Roman" w:hAnsi="Times New Roman" w:cs="Times New Roman"/>
                <w:iCs/>
              </w:rPr>
              <w:t>01.1.9. pārtikas produkti, citur neklasificēti</w:t>
            </w:r>
          </w:p>
        </w:tc>
        <w:tc>
          <w:tcPr>
            <w:tcW w:w="1701" w:type="dxa"/>
            <w:noWrap/>
            <w:vAlign w:val="center"/>
            <w:hideMark/>
          </w:tcPr>
          <w:p w14:paraId="09CEC8A1" w14:textId="77777777" w:rsidR="006A5E6E" w:rsidRPr="00904464" w:rsidRDefault="006A5E6E" w:rsidP="00ED2CC4">
            <w:pPr>
              <w:suppressAutoHyphens/>
              <w:jc w:val="right"/>
              <w:rPr>
                <w:rFonts w:ascii="Times New Roman" w:eastAsia="Times New Roman" w:hAnsi="Times New Roman" w:cs="Times New Roman"/>
              </w:rPr>
            </w:pPr>
            <w:r w:rsidRPr="00904464">
              <w:rPr>
                <w:rFonts w:ascii="Times New Roman" w:eastAsia="Times New Roman" w:hAnsi="Times New Roman" w:cs="Times New Roman"/>
              </w:rPr>
              <w:t>72,2</w:t>
            </w:r>
          </w:p>
        </w:tc>
        <w:tc>
          <w:tcPr>
            <w:tcW w:w="1417" w:type="dxa"/>
            <w:noWrap/>
            <w:vAlign w:val="center"/>
            <w:hideMark/>
          </w:tcPr>
          <w:p w14:paraId="5CF38301" w14:textId="77777777" w:rsidR="006A5E6E" w:rsidRPr="00904464" w:rsidRDefault="006A5E6E" w:rsidP="00ED2CC4">
            <w:pPr>
              <w:suppressAutoHyphens/>
              <w:jc w:val="right"/>
              <w:rPr>
                <w:rFonts w:ascii="Times New Roman" w:eastAsia="Times New Roman" w:hAnsi="Times New Roman" w:cs="Times New Roman"/>
              </w:rPr>
            </w:pPr>
            <w:r w:rsidRPr="00904464">
              <w:rPr>
                <w:rFonts w:ascii="Times New Roman" w:eastAsia="Times New Roman" w:hAnsi="Times New Roman" w:cs="Times New Roman"/>
              </w:rPr>
              <w:t>15,2</w:t>
            </w:r>
          </w:p>
        </w:tc>
        <w:tc>
          <w:tcPr>
            <w:tcW w:w="1418" w:type="dxa"/>
            <w:noWrap/>
            <w:vAlign w:val="center"/>
            <w:hideMark/>
          </w:tcPr>
          <w:p w14:paraId="04F5B840" w14:textId="77777777" w:rsidR="006A5E6E" w:rsidRPr="00904464" w:rsidRDefault="006A5E6E" w:rsidP="00ED2CC4">
            <w:pPr>
              <w:suppressAutoHyphens/>
              <w:jc w:val="right"/>
              <w:rPr>
                <w:rFonts w:ascii="Times New Roman" w:eastAsia="Times New Roman" w:hAnsi="Times New Roman" w:cs="Times New Roman"/>
              </w:rPr>
            </w:pPr>
            <w:r w:rsidRPr="00904464">
              <w:rPr>
                <w:rFonts w:ascii="Times New Roman" w:eastAsia="Times New Roman" w:hAnsi="Times New Roman" w:cs="Times New Roman"/>
              </w:rPr>
              <w:t>8,7</w:t>
            </w:r>
          </w:p>
        </w:tc>
        <w:tc>
          <w:tcPr>
            <w:tcW w:w="1276" w:type="dxa"/>
            <w:noWrap/>
            <w:vAlign w:val="center"/>
            <w:hideMark/>
          </w:tcPr>
          <w:p w14:paraId="61AA1E87" w14:textId="77777777" w:rsidR="006A5E6E" w:rsidRPr="00904464" w:rsidRDefault="006A5E6E" w:rsidP="00ED2CC4">
            <w:pPr>
              <w:suppressAutoHyphens/>
              <w:jc w:val="right"/>
              <w:rPr>
                <w:rFonts w:ascii="Times New Roman" w:eastAsia="Times New Roman" w:hAnsi="Times New Roman" w:cs="Times New Roman"/>
              </w:rPr>
            </w:pPr>
            <w:r w:rsidRPr="00904464">
              <w:rPr>
                <w:rFonts w:ascii="Times New Roman" w:eastAsia="Times New Roman" w:hAnsi="Times New Roman" w:cs="Times New Roman"/>
              </w:rPr>
              <w:t>-6,5</w:t>
            </w:r>
          </w:p>
        </w:tc>
      </w:tr>
      <w:tr w:rsidR="006A5E6E" w:rsidRPr="00904464" w14:paraId="192EA470" w14:textId="77777777" w:rsidTr="005B247B">
        <w:trPr>
          <w:trHeight w:val="315"/>
        </w:trPr>
        <w:tc>
          <w:tcPr>
            <w:tcW w:w="3114" w:type="dxa"/>
            <w:vAlign w:val="center"/>
            <w:hideMark/>
          </w:tcPr>
          <w:p w14:paraId="0B6BF90A" w14:textId="77777777" w:rsidR="006A5E6E" w:rsidRPr="00904464" w:rsidRDefault="006A5E6E" w:rsidP="00ED2CC4">
            <w:pPr>
              <w:suppressAutoHyphens/>
              <w:rPr>
                <w:rFonts w:ascii="Times New Roman" w:eastAsia="Times New Roman" w:hAnsi="Times New Roman" w:cs="Times New Roman"/>
                <w:b/>
                <w:bCs/>
              </w:rPr>
            </w:pPr>
            <w:r w:rsidRPr="00904464">
              <w:rPr>
                <w:rFonts w:ascii="Times New Roman" w:eastAsia="Times New Roman" w:hAnsi="Times New Roman" w:cs="Times New Roman"/>
                <w:b/>
                <w:bCs/>
              </w:rPr>
              <w:t>Summa</w:t>
            </w:r>
          </w:p>
        </w:tc>
        <w:tc>
          <w:tcPr>
            <w:tcW w:w="1701" w:type="dxa"/>
            <w:noWrap/>
            <w:vAlign w:val="center"/>
            <w:hideMark/>
          </w:tcPr>
          <w:p w14:paraId="483DADE1" w14:textId="77777777" w:rsidR="006A5E6E" w:rsidRPr="00904464" w:rsidRDefault="006A5E6E" w:rsidP="00ED2CC4">
            <w:pPr>
              <w:suppressAutoHyphens/>
              <w:jc w:val="right"/>
              <w:rPr>
                <w:rFonts w:ascii="Times New Roman" w:eastAsia="Times New Roman" w:hAnsi="Times New Roman" w:cs="Times New Roman"/>
                <w:b/>
                <w:bCs/>
                <w:i/>
                <w:iCs/>
              </w:rPr>
            </w:pPr>
            <w:r w:rsidRPr="00904464">
              <w:rPr>
                <w:rFonts w:ascii="Times New Roman" w:eastAsia="Times New Roman" w:hAnsi="Times New Roman" w:cs="Times New Roman"/>
                <w:b/>
                <w:bCs/>
                <w:i/>
                <w:iCs/>
              </w:rPr>
              <w:t>2 164,0</w:t>
            </w:r>
          </w:p>
        </w:tc>
        <w:tc>
          <w:tcPr>
            <w:tcW w:w="1417" w:type="dxa"/>
            <w:noWrap/>
            <w:vAlign w:val="center"/>
            <w:hideMark/>
          </w:tcPr>
          <w:p w14:paraId="014461E4" w14:textId="77777777" w:rsidR="006A5E6E" w:rsidRPr="00904464" w:rsidRDefault="006A5E6E" w:rsidP="00ED2CC4">
            <w:pPr>
              <w:suppressAutoHyphens/>
              <w:jc w:val="right"/>
              <w:rPr>
                <w:rFonts w:ascii="Times New Roman" w:eastAsia="Times New Roman" w:hAnsi="Times New Roman" w:cs="Times New Roman"/>
                <w:b/>
                <w:bCs/>
                <w:i/>
                <w:iCs/>
              </w:rPr>
            </w:pPr>
            <w:r w:rsidRPr="00904464">
              <w:rPr>
                <w:rFonts w:ascii="Times New Roman" w:eastAsia="Times New Roman" w:hAnsi="Times New Roman" w:cs="Times New Roman"/>
                <w:b/>
                <w:bCs/>
                <w:i/>
                <w:iCs/>
              </w:rPr>
              <w:t>454,4</w:t>
            </w:r>
          </w:p>
        </w:tc>
        <w:tc>
          <w:tcPr>
            <w:tcW w:w="1418" w:type="dxa"/>
            <w:noWrap/>
            <w:vAlign w:val="center"/>
            <w:hideMark/>
          </w:tcPr>
          <w:p w14:paraId="376C1071" w14:textId="77777777" w:rsidR="006A5E6E" w:rsidRPr="00904464" w:rsidRDefault="006A5E6E" w:rsidP="00ED2CC4">
            <w:pPr>
              <w:suppressAutoHyphens/>
              <w:jc w:val="right"/>
              <w:rPr>
                <w:rFonts w:ascii="Times New Roman" w:eastAsia="Times New Roman" w:hAnsi="Times New Roman" w:cs="Times New Roman"/>
                <w:b/>
                <w:bCs/>
                <w:i/>
                <w:iCs/>
              </w:rPr>
            </w:pPr>
            <w:r w:rsidRPr="00904464">
              <w:rPr>
                <w:rFonts w:ascii="Times New Roman" w:eastAsia="Times New Roman" w:hAnsi="Times New Roman" w:cs="Times New Roman"/>
                <w:b/>
                <w:bCs/>
                <w:i/>
                <w:iCs/>
              </w:rPr>
              <w:t>259,7</w:t>
            </w:r>
          </w:p>
        </w:tc>
        <w:tc>
          <w:tcPr>
            <w:tcW w:w="1276" w:type="dxa"/>
            <w:noWrap/>
            <w:vAlign w:val="center"/>
            <w:hideMark/>
          </w:tcPr>
          <w:p w14:paraId="47BF83C3" w14:textId="77777777" w:rsidR="006A5E6E" w:rsidRPr="00904464" w:rsidRDefault="006A5E6E" w:rsidP="00ED2CC4">
            <w:pPr>
              <w:suppressAutoHyphens/>
              <w:jc w:val="right"/>
              <w:rPr>
                <w:rFonts w:ascii="Times New Roman" w:eastAsia="Times New Roman" w:hAnsi="Times New Roman" w:cs="Times New Roman"/>
                <w:b/>
                <w:bCs/>
                <w:i/>
                <w:iCs/>
              </w:rPr>
            </w:pPr>
            <w:r w:rsidRPr="00904464">
              <w:rPr>
                <w:rFonts w:ascii="Times New Roman" w:eastAsia="Times New Roman" w:hAnsi="Times New Roman" w:cs="Times New Roman"/>
                <w:b/>
                <w:bCs/>
                <w:i/>
                <w:iCs/>
              </w:rPr>
              <w:t>-194,8</w:t>
            </w:r>
          </w:p>
        </w:tc>
      </w:tr>
    </w:tbl>
    <w:p w14:paraId="2D6712F0" w14:textId="77777777" w:rsidR="009B73A3" w:rsidRPr="00904464" w:rsidRDefault="00737F85" w:rsidP="001317BF">
      <w:pPr>
        <w:suppressAutoHyphens/>
        <w:spacing w:after="240" w:line="240" w:lineRule="auto"/>
        <w:rPr>
          <w:rFonts w:ascii="Times New Roman" w:eastAsia="Times New Roman" w:hAnsi="Times New Roman" w:cs="Times New Roman"/>
          <w:i/>
          <w:sz w:val="20"/>
          <w:szCs w:val="20"/>
        </w:rPr>
      </w:pPr>
      <w:r w:rsidRPr="00904464">
        <w:rPr>
          <w:rFonts w:ascii="Times New Roman" w:eastAsia="Times New Roman" w:hAnsi="Times New Roman" w:cs="Times New Roman"/>
          <w:i/>
          <w:sz w:val="20"/>
          <w:szCs w:val="20"/>
        </w:rPr>
        <w:t>Finanšu ministrijas aprēķins</w:t>
      </w:r>
    </w:p>
    <w:p w14:paraId="664E4825" w14:textId="4D19D6FE" w:rsidR="00DD1F0B" w:rsidRPr="00D928CD" w:rsidRDefault="00264E09" w:rsidP="004376D5">
      <w:pPr>
        <w:suppressAutoHyphens/>
        <w:spacing w:after="0" w:line="240" w:lineRule="auto"/>
        <w:ind w:firstLine="720"/>
        <w:jc w:val="both"/>
        <w:rPr>
          <w:rFonts w:ascii="Times New Roman" w:eastAsia="Times New Roman" w:hAnsi="Times New Roman" w:cs="Times New Roman"/>
          <w:sz w:val="24"/>
          <w:szCs w:val="24"/>
        </w:rPr>
      </w:pPr>
      <w:r w:rsidRPr="00D928CD">
        <w:rPr>
          <w:rFonts w:ascii="Times New Roman" w:eastAsia="Times New Roman" w:hAnsi="Times New Roman" w:cs="Times New Roman"/>
          <w:sz w:val="24"/>
          <w:szCs w:val="24"/>
        </w:rPr>
        <w:t xml:space="preserve">Fiskālās ietekmes aprēķins balstās uz Centrālās statistikas pārvaldes (turpmāk - CSP) datiem par mājsaimniecības </w:t>
      </w:r>
      <w:proofErr w:type="spellStart"/>
      <w:r w:rsidRPr="00D928CD">
        <w:rPr>
          <w:rFonts w:ascii="Times New Roman" w:eastAsia="Times New Roman" w:hAnsi="Times New Roman" w:cs="Times New Roman"/>
          <w:sz w:val="24"/>
          <w:szCs w:val="24"/>
        </w:rPr>
        <w:t>galapatēriņ</w:t>
      </w:r>
      <w:r w:rsidR="00033B97" w:rsidRPr="00D928CD">
        <w:rPr>
          <w:rFonts w:ascii="Times New Roman" w:eastAsia="Times New Roman" w:hAnsi="Times New Roman" w:cs="Times New Roman"/>
          <w:sz w:val="24"/>
          <w:szCs w:val="24"/>
        </w:rPr>
        <w:t>a</w:t>
      </w:r>
      <w:proofErr w:type="spellEnd"/>
      <w:r w:rsidR="00033B97" w:rsidRPr="00D928CD">
        <w:rPr>
          <w:rFonts w:ascii="Times New Roman" w:eastAsia="Times New Roman" w:hAnsi="Times New Roman" w:cs="Times New Roman"/>
          <w:sz w:val="24"/>
          <w:szCs w:val="24"/>
        </w:rPr>
        <w:t xml:space="preserve"> izdevumiem par pārtiku (2011. </w:t>
      </w:r>
      <w:r w:rsidRPr="00D928CD">
        <w:rPr>
          <w:rFonts w:ascii="Times New Roman" w:eastAsia="Times New Roman" w:hAnsi="Times New Roman" w:cs="Times New Roman"/>
          <w:sz w:val="24"/>
          <w:szCs w:val="24"/>
        </w:rPr>
        <w:t>gada cenās)</w:t>
      </w:r>
      <w:r w:rsidR="00FE2964" w:rsidRPr="00D928CD">
        <w:rPr>
          <w:rFonts w:ascii="Times New Roman" w:eastAsia="Times New Roman" w:hAnsi="Times New Roman" w:cs="Times New Roman"/>
          <w:sz w:val="24"/>
          <w:szCs w:val="24"/>
        </w:rPr>
        <w:t xml:space="preserve"> un </w:t>
      </w:r>
      <w:r w:rsidR="00C1394E" w:rsidRPr="00D928CD">
        <w:rPr>
          <w:rFonts w:ascii="Times New Roman" w:eastAsia="Times New Roman" w:hAnsi="Times New Roman" w:cs="Times New Roman"/>
          <w:sz w:val="24"/>
          <w:szCs w:val="24"/>
        </w:rPr>
        <w:t xml:space="preserve"> </w:t>
      </w:r>
      <w:r w:rsidR="00FE2964" w:rsidRPr="00D928CD">
        <w:rPr>
          <w:rFonts w:ascii="Times New Roman" w:eastAsia="Times New Roman" w:hAnsi="Times New Roman" w:cs="Times New Roman"/>
          <w:sz w:val="24"/>
          <w:szCs w:val="24"/>
        </w:rPr>
        <w:t>mājsaimniecības patēriņa izdevumi</w:t>
      </w:r>
      <w:r w:rsidR="007E7475" w:rsidRPr="00D928CD">
        <w:rPr>
          <w:rFonts w:ascii="Times New Roman" w:eastAsia="Times New Roman" w:hAnsi="Times New Roman" w:cs="Times New Roman"/>
          <w:sz w:val="24"/>
          <w:szCs w:val="24"/>
        </w:rPr>
        <w:t>em</w:t>
      </w:r>
      <w:r w:rsidR="00FE2964" w:rsidRPr="00D928CD">
        <w:rPr>
          <w:rFonts w:ascii="Times New Roman" w:eastAsia="Times New Roman" w:hAnsi="Times New Roman" w:cs="Times New Roman"/>
          <w:sz w:val="24"/>
          <w:szCs w:val="24"/>
        </w:rPr>
        <w:t xml:space="preserve"> pārtikai vidēji uz vienu mājsaimniecības locekli gadā. </w:t>
      </w:r>
      <w:r w:rsidR="00410631" w:rsidRPr="00D928CD">
        <w:rPr>
          <w:rFonts w:ascii="Times New Roman" w:eastAsia="Times New Roman" w:hAnsi="Times New Roman" w:cs="Times New Roman"/>
          <w:sz w:val="24"/>
          <w:szCs w:val="24"/>
        </w:rPr>
        <w:t>201</w:t>
      </w:r>
      <w:r w:rsidR="002611D9" w:rsidRPr="00D928CD">
        <w:rPr>
          <w:rFonts w:ascii="Times New Roman" w:eastAsia="Times New Roman" w:hAnsi="Times New Roman" w:cs="Times New Roman"/>
          <w:sz w:val="24"/>
          <w:szCs w:val="24"/>
        </w:rPr>
        <w:t>5</w:t>
      </w:r>
      <w:r w:rsidR="00410631" w:rsidRPr="00D928CD">
        <w:rPr>
          <w:rFonts w:ascii="Times New Roman" w:eastAsia="Times New Roman" w:hAnsi="Times New Roman" w:cs="Times New Roman"/>
          <w:sz w:val="24"/>
          <w:szCs w:val="24"/>
        </w:rPr>
        <w:t>. </w:t>
      </w:r>
      <w:r w:rsidR="00C1394E" w:rsidRPr="00D928CD">
        <w:rPr>
          <w:rFonts w:ascii="Times New Roman" w:eastAsia="Times New Roman" w:hAnsi="Times New Roman" w:cs="Times New Roman"/>
          <w:sz w:val="24"/>
          <w:szCs w:val="24"/>
        </w:rPr>
        <w:t>gada aprēķinātā vērtība iegūta</w:t>
      </w:r>
      <w:r w:rsidR="006B14CF" w:rsidRPr="00D928CD">
        <w:rPr>
          <w:rFonts w:ascii="Times New Roman" w:eastAsia="Times New Roman" w:hAnsi="Times New Roman" w:cs="Times New Roman"/>
          <w:sz w:val="24"/>
          <w:szCs w:val="24"/>
        </w:rPr>
        <w:t>,</w:t>
      </w:r>
      <w:r w:rsidR="00C1394E" w:rsidRPr="00D928CD">
        <w:rPr>
          <w:rFonts w:ascii="Times New Roman" w:eastAsia="Times New Roman" w:hAnsi="Times New Roman" w:cs="Times New Roman"/>
          <w:sz w:val="24"/>
          <w:szCs w:val="24"/>
        </w:rPr>
        <w:t xml:space="preserve"> piemērojot </w:t>
      </w:r>
      <w:r w:rsidRPr="00D928CD">
        <w:rPr>
          <w:rFonts w:ascii="Times New Roman" w:eastAsia="Times New Roman" w:hAnsi="Times New Roman" w:cs="Times New Roman"/>
          <w:sz w:val="24"/>
          <w:szCs w:val="24"/>
        </w:rPr>
        <w:t xml:space="preserve">mājsaimniecības patēriņa izdevumiem pārtikai vidēji uz vienu mājsaimniecības locekli </w:t>
      </w:r>
      <w:r w:rsidR="00BA63CA" w:rsidRPr="00D928CD">
        <w:rPr>
          <w:rFonts w:ascii="Times New Roman" w:eastAsia="Times New Roman" w:hAnsi="Times New Roman" w:cs="Times New Roman"/>
          <w:sz w:val="24"/>
          <w:szCs w:val="24"/>
        </w:rPr>
        <w:t xml:space="preserve">mēnesī </w:t>
      </w:r>
      <w:r w:rsidR="00C1394E" w:rsidRPr="00D928CD">
        <w:rPr>
          <w:rFonts w:ascii="Times New Roman" w:eastAsia="Times New Roman" w:hAnsi="Times New Roman" w:cs="Times New Roman"/>
          <w:sz w:val="24"/>
          <w:szCs w:val="24"/>
        </w:rPr>
        <w:t>vidējā pieauguma izmaiņas</w:t>
      </w:r>
      <w:r w:rsidRPr="00D928CD">
        <w:rPr>
          <w:rFonts w:ascii="Times New Roman" w:eastAsia="Times New Roman" w:hAnsi="Times New Roman" w:cs="Times New Roman"/>
          <w:sz w:val="24"/>
          <w:szCs w:val="24"/>
        </w:rPr>
        <w:t>. Piemērojot mājsaimniecības gala patēriņam PVN likmi 21%, tiek iegūti PVN ieņēmumi par pārtikas produktiem</w:t>
      </w:r>
      <w:r w:rsidR="006B14CF" w:rsidRPr="00D928CD">
        <w:rPr>
          <w:rFonts w:ascii="Times New Roman" w:eastAsia="Times New Roman" w:hAnsi="Times New Roman" w:cs="Times New Roman"/>
          <w:sz w:val="24"/>
          <w:szCs w:val="24"/>
        </w:rPr>
        <w:t xml:space="preserve"> pie </w:t>
      </w:r>
      <w:r w:rsidR="00A07002" w:rsidRPr="00D928CD">
        <w:rPr>
          <w:rFonts w:ascii="Times New Roman" w:eastAsia="Times New Roman" w:hAnsi="Times New Roman" w:cs="Times New Roman"/>
          <w:sz w:val="24"/>
          <w:szCs w:val="24"/>
        </w:rPr>
        <w:t>PVN</w:t>
      </w:r>
      <w:r w:rsidR="006B14CF" w:rsidRPr="00D928CD">
        <w:rPr>
          <w:rFonts w:ascii="Times New Roman" w:eastAsia="Times New Roman" w:hAnsi="Times New Roman" w:cs="Times New Roman"/>
          <w:sz w:val="24"/>
          <w:szCs w:val="24"/>
        </w:rPr>
        <w:t xml:space="preserve"> </w:t>
      </w:r>
      <w:proofErr w:type="spellStart"/>
      <w:r w:rsidR="006B14CF" w:rsidRPr="00D928CD">
        <w:rPr>
          <w:rFonts w:ascii="Times New Roman" w:eastAsia="Times New Roman" w:hAnsi="Times New Roman" w:cs="Times New Roman"/>
          <w:sz w:val="24"/>
          <w:szCs w:val="24"/>
        </w:rPr>
        <w:t>standartlikmes</w:t>
      </w:r>
      <w:proofErr w:type="spellEnd"/>
      <w:r w:rsidRPr="00D928CD">
        <w:rPr>
          <w:rFonts w:ascii="Times New Roman" w:eastAsia="Times New Roman" w:hAnsi="Times New Roman" w:cs="Times New Roman"/>
          <w:sz w:val="24"/>
          <w:szCs w:val="24"/>
        </w:rPr>
        <w:t>. Savukārt</w:t>
      </w:r>
      <w:r w:rsidR="00A07002" w:rsidRPr="00D928CD">
        <w:rPr>
          <w:rFonts w:ascii="Times New Roman" w:eastAsia="Times New Roman" w:hAnsi="Times New Roman" w:cs="Times New Roman"/>
          <w:sz w:val="24"/>
          <w:szCs w:val="24"/>
        </w:rPr>
        <w:t>,</w:t>
      </w:r>
      <w:r w:rsidRPr="00D928CD">
        <w:rPr>
          <w:rFonts w:ascii="Times New Roman" w:eastAsia="Times New Roman" w:hAnsi="Times New Roman" w:cs="Times New Roman"/>
          <w:sz w:val="24"/>
          <w:szCs w:val="24"/>
        </w:rPr>
        <w:t xml:space="preserve"> piemērojot  samazināto </w:t>
      </w:r>
      <w:r w:rsidR="00A07002" w:rsidRPr="00D928CD">
        <w:rPr>
          <w:rFonts w:ascii="Times New Roman" w:eastAsia="Times New Roman" w:hAnsi="Times New Roman" w:cs="Times New Roman"/>
          <w:sz w:val="24"/>
          <w:szCs w:val="24"/>
        </w:rPr>
        <w:t xml:space="preserve">PVN </w:t>
      </w:r>
      <w:r w:rsidRPr="00D928CD">
        <w:rPr>
          <w:rFonts w:ascii="Times New Roman" w:eastAsia="Times New Roman" w:hAnsi="Times New Roman" w:cs="Times New Roman"/>
          <w:sz w:val="24"/>
          <w:szCs w:val="24"/>
        </w:rPr>
        <w:t>likmi 12%</w:t>
      </w:r>
      <w:r w:rsidR="00A07002" w:rsidRPr="00D928CD">
        <w:rPr>
          <w:rFonts w:ascii="Times New Roman" w:eastAsia="Times New Roman" w:hAnsi="Times New Roman" w:cs="Times New Roman"/>
          <w:sz w:val="24"/>
          <w:szCs w:val="24"/>
        </w:rPr>
        <w:t xml:space="preserve"> apmērā</w:t>
      </w:r>
      <w:r w:rsidRPr="00D928CD">
        <w:rPr>
          <w:rFonts w:ascii="Times New Roman" w:eastAsia="Times New Roman" w:hAnsi="Times New Roman" w:cs="Times New Roman"/>
          <w:sz w:val="24"/>
          <w:szCs w:val="24"/>
        </w:rPr>
        <w:t xml:space="preserve">, tiek iegūti PVN ieņēmumi pārtikas produktiem pie samazinātās </w:t>
      </w:r>
      <w:r w:rsidR="00A07002" w:rsidRPr="00D928CD">
        <w:rPr>
          <w:rFonts w:ascii="Times New Roman" w:eastAsia="Times New Roman" w:hAnsi="Times New Roman" w:cs="Times New Roman"/>
          <w:sz w:val="24"/>
          <w:szCs w:val="24"/>
        </w:rPr>
        <w:t xml:space="preserve">PVN </w:t>
      </w:r>
      <w:r w:rsidRPr="00D928CD">
        <w:rPr>
          <w:rFonts w:ascii="Times New Roman" w:eastAsia="Times New Roman" w:hAnsi="Times New Roman" w:cs="Times New Roman"/>
          <w:sz w:val="24"/>
          <w:szCs w:val="24"/>
        </w:rPr>
        <w:t>likmes</w:t>
      </w:r>
      <w:r w:rsidR="003D6E8A" w:rsidRPr="00D928CD">
        <w:rPr>
          <w:rFonts w:ascii="Times New Roman" w:eastAsia="Times New Roman" w:hAnsi="Times New Roman" w:cs="Times New Roman"/>
          <w:sz w:val="24"/>
          <w:szCs w:val="24"/>
        </w:rPr>
        <w:t>.</w:t>
      </w:r>
      <w:r w:rsidR="00ED24CD" w:rsidRPr="00D928CD">
        <w:rPr>
          <w:rFonts w:ascii="Times New Roman" w:eastAsia="Times New Roman" w:hAnsi="Times New Roman" w:cs="Times New Roman"/>
          <w:sz w:val="24"/>
          <w:szCs w:val="24"/>
        </w:rPr>
        <w:t xml:space="preserve"> Iegūtā starpība veido PVN ieņēmumus, kas netiktu saņemti valsts budžetā</w:t>
      </w:r>
      <w:r w:rsidR="006B14CF" w:rsidRPr="00D928CD">
        <w:rPr>
          <w:rFonts w:ascii="Times New Roman" w:eastAsia="Times New Roman" w:hAnsi="Times New Roman" w:cs="Times New Roman"/>
          <w:sz w:val="24"/>
          <w:szCs w:val="24"/>
        </w:rPr>
        <w:t>,</w:t>
      </w:r>
      <w:r w:rsidR="00ED24CD" w:rsidRPr="00D928CD">
        <w:rPr>
          <w:rFonts w:ascii="Times New Roman" w:eastAsia="Times New Roman" w:hAnsi="Times New Roman" w:cs="Times New Roman"/>
          <w:sz w:val="24"/>
          <w:szCs w:val="24"/>
        </w:rPr>
        <w:t xml:space="preserve"> piemērojot </w:t>
      </w:r>
      <w:r w:rsidR="00A07002" w:rsidRPr="00D928CD">
        <w:rPr>
          <w:rFonts w:ascii="Times New Roman" w:eastAsia="Times New Roman" w:hAnsi="Times New Roman" w:cs="Times New Roman"/>
          <w:sz w:val="24"/>
          <w:szCs w:val="24"/>
        </w:rPr>
        <w:t>pārtikas produktiem</w:t>
      </w:r>
      <w:r w:rsidR="00ED24CD" w:rsidRPr="00D928CD">
        <w:rPr>
          <w:rFonts w:ascii="Times New Roman" w:eastAsia="Times New Roman" w:hAnsi="Times New Roman" w:cs="Times New Roman"/>
          <w:sz w:val="24"/>
          <w:szCs w:val="24"/>
        </w:rPr>
        <w:t xml:space="preserve"> samazināto </w:t>
      </w:r>
      <w:r w:rsidR="00A07002" w:rsidRPr="00D928CD">
        <w:rPr>
          <w:rFonts w:ascii="Times New Roman" w:eastAsia="Times New Roman" w:hAnsi="Times New Roman" w:cs="Times New Roman"/>
          <w:sz w:val="24"/>
          <w:szCs w:val="24"/>
        </w:rPr>
        <w:t>PVN likmi</w:t>
      </w:r>
      <w:r w:rsidR="00ED24CD" w:rsidRPr="00D928CD">
        <w:rPr>
          <w:rFonts w:ascii="Times New Roman" w:eastAsia="Times New Roman" w:hAnsi="Times New Roman" w:cs="Times New Roman"/>
          <w:sz w:val="24"/>
          <w:szCs w:val="24"/>
        </w:rPr>
        <w:t xml:space="preserve"> 12% </w:t>
      </w:r>
      <w:r w:rsidR="00A07002" w:rsidRPr="00D928CD">
        <w:rPr>
          <w:rFonts w:ascii="Times New Roman" w:eastAsia="Times New Roman" w:hAnsi="Times New Roman" w:cs="Times New Roman"/>
          <w:sz w:val="24"/>
          <w:szCs w:val="24"/>
        </w:rPr>
        <w:t>apmērā</w:t>
      </w:r>
      <w:r w:rsidR="00ED24CD" w:rsidRPr="00D928CD">
        <w:rPr>
          <w:rFonts w:ascii="Times New Roman" w:eastAsia="Times New Roman" w:hAnsi="Times New Roman" w:cs="Times New Roman"/>
          <w:sz w:val="24"/>
          <w:szCs w:val="24"/>
        </w:rPr>
        <w:t>.</w:t>
      </w:r>
    </w:p>
    <w:p w14:paraId="64328DCE" w14:textId="79F66B69" w:rsidR="003243FB" w:rsidRPr="00D928CD" w:rsidRDefault="003243FB" w:rsidP="004376D5">
      <w:pPr>
        <w:suppressAutoHyphens/>
        <w:spacing w:after="0" w:line="240" w:lineRule="auto"/>
        <w:ind w:firstLine="720"/>
        <w:jc w:val="both"/>
        <w:rPr>
          <w:rFonts w:ascii="Times New Roman" w:eastAsia="Times New Roman" w:hAnsi="Times New Roman" w:cs="Times New Roman"/>
          <w:sz w:val="24"/>
          <w:szCs w:val="24"/>
        </w:rPr>
      </w:pPr>
      <w:r w:rsidRPr="00D928CD">
        <w:rPr>
          <w:rFonts w:ascii="Times New Roman" w:eastAsia="Times New Roman" w:hAnsi="Times New Roman" w:cs="Times New Roman"/>
          <w:sz w:val="24"/>
          <w:szCs w:val="24"/>
        </w:rPr>
        <w:lastRenderedPageBreak/>
        <w:t xml:space="preserve">Analizējot </w:t>
      </w:r>
      <w:r w:rsidR="005B09F1" w:rsidRPr="00D928CD">
        <w:rPr>
          <w:rFonts w:ascii="Times New Roman" w:eastAsia="Times New Roman" w:hAnsi="Times New Roman" w:cs="Times New Roman"/>
          <w:sz w:val="24"/>
          <w:szCs w:val="24"/>
        </w:rPr>
        <w:t>aprē</w:t>
      </w:r>
      <w:r w:rsidRPr="00D928CD">
        <w:rPr>
          <w:rFonts w:ascii="Times New Roman" w:eastAsia="Times New Roman" w:hAnsi="Times New Roman" w:cs="Times New Roman"/>
          <w:sz w:val="24"/>
          <w:szCs w:val="24"/>
        </w:rPr>
        <w:t xml:space="preserve">ķina datus </w:t>
      </w:r>
      <w:r w:rsidR="005B09F1" w:rsidRPr="00D928CD">
        <w:rPr>
          <w:rFonts w:ascii="Times New Roman" w:eastAsia="Times New Roman" w:hAnsi="Times New Roman" w:cs="Times New Roman"/>
          <w:sz w:val="24"/>
          <w:szCs w:val="24"/>
        </w:rPr>
        <w:t>pa pārtikas produktu grupām, redzams, ka lielāko fiskālo ietekmi uz valsts budžeta ieņēmumiem veido PVN ieņēmumi no gaļas, pien</w:t>
      </w:r>
      <w:r w:rsidR="006B14CF" w:rsidRPr="00D928CD">
        <w:rPr>
          <w:rFonts w:ascii="Times New Roman" w:eastAsia="Times New Roman" w:hAnsi="Times New Roman" w:cs="Times New Roman"/>
          <w:sz w:val="24"/>
          <w:szCs w:val="24"/>
        </w:rPr>
        <w:t>a</w:t>
      </w:r>
      <w:r w:rsidR="005B09F1" w:rsidRPr="00D928CD">
        <w:rPr>
          <w:rFonts w:ascii="Times New Roman" w:eastAsia="Times New Roman" w:hAnsi="Times New Roman" w:cs="Times New Roman"/>
          <w:sz w:val="24"/>
          <w:szCs w:val="24"/>
        </w:rPr>
        <w:t>, sier</w:t>
      </w:r>
      <w:r w:rsidR="006B14CF" w:rsidRPr="00D928CD">
        <w:rPr>
          <w:rFonts w:ascii="Times New Roman" w:eastAsia="Times New Roman" w:hAnsi="Times New Roman" w:cs="Times New Roman"/>
          <w:sz w:val="24"/>
          <w:szCs w:val="24"/>
        </w:rPr>
        <w:t>a</w:t>
      </w:r>
      <w:r w:rsidR="005B09F1" w:rsidRPr="00D928CD">
        <w:rPr>
          <w:rFonts w:ascii="Times New Roman" w:eastAsia="Times New Roman" w:hAnsi="Times New Roman" w:cs="Times New Roman"/>
          <w:sz w:val="24"/>
          <w:szCs w:val="24"/>
        </w:rPr>
        <w:t xml:space="preserve"> un ol</w:t>
      </w:r>
      <w:r w:rsidR="006B14CF" w:rsidRPr="00D928CD">
        <w:rPr>
          <w:rFonts w:ascii="Times New Roman" w:eastAsia="Times New Roman" w:hAnsi="Times New Roman" w:cs="Times New Roman"/>
          <w:sz w:val="24"/>
          <w:szCs w:val="24"/>
        </w:rPr>
        <w:t>u</w:t>
      </w:r>
      <w:r w:rsidR="005B09F1" w:rsidRPr="00D928CD">
        <w:rPr>
          <w:rFonts w:ascii="Times New Roman" w:eastAsia="Times New Roman" w:hAnsi="Times New Roman" w:cs="Times New Roman"/>
          <w:sz w:val="24"/>
          <w:szCs w:val="24"/>
        </w:rPr>
        <w:t xml:space="preserve">, </w:t>
      </w:r>
      <w:r w:rsidR="006B14CF" w:rsidRPr="00D928CD">
        <w:rPr>
          <w:rFonts w:ascii="Times New Roman" w:eastAsia="Times New Roman" w:hAnsi="Times New Roman" w:cs="Times New Roman"/>
          <w:sz w:val="24"/>
          <w:szCs w:val="24"/>
        </w:rPr>
        <w:t xml:space="preserve">kā arī </w:t>
      </w:r>
      <w:r w:rsidR="005B09F1" w:rsidRPr="00D928CD">
        <w:rPr>
          <w:rFonts w:ascii="Times New Roman" w:eastAsia="Times New Roman" w:hAnsi="Times New Roman" w:cs="Times New Roman"/>
          <w:sz w:val="24"/>
          <w:szCs w:val="24"/>
        </w:rPr>
        <w:t>dārzeņ</w:t>
      </w:r>
      <w:r w:rsidR="006B14CF" w:rsidRPr="00D928CD">
        <w:rPr>
          <w:rFonts w:ascii="Times New Roman" w:eastAsia="Times New Roman" w:hAnsi="Times New Roman" w:cs="Times New Roman"/>
          <w:sz w:val="24"/>
          <w:szCs w:val="24"/>
        </w:rPr>
        <w:t>u,</w:t>
      </w:r>
      <w:r w:rsidR="005B09F1" w:rsidRPr="00D928CD">
        <w:rPr>
          <w:rFonts w:ascii="Times New Roman" w:eastAsia="Times New Roman" w:hAnsi="Times New Roman" w:cs="Times New Roman"/>
          <w:sz w:val="24"/>
          <w:szCs w:val="24"/>
        </w:rPr>
        <w:t xml:space="preserve"> maize</w:t>
      </w:r>
      <w:r w:rsidR="006B14CF" w:rsidRPr="00D928CD">
        <w:rPr>
          <w:rFonts w:ascii="Times New Roman" w:eastAsia="Times New Roman" w:hAnsi="Times New Roman" w:cs="Times New Roman"/>
          <w:sz w:val="24"/>
          <w:szCs w:val="24"/>
        </w:rPr>
        <w:t>s</w:t>
      </w:r>
      <w:r w:rsidR="005B09F1" w:rsidRPr="00D928CD">
        <w:rPr>
          <w:rFonts w:ascii="Times New Roman" w:eastAsia="Times New Roman" w:hAnsi="Times New Roman" w:cs="Times New Roman"/>
          <w:sz w:val="24"/>
          <w:szCs w:val="24"/>
        </w:rPr>
        <w:t xml:space="preserve"> un graudaugu izstrād</w:t>
      </w:r>
      <w:r w:rsidR="00566572" w:rsidRPr="00D928CD">
        <w:rPr>
          <w:rFonts w:ascii="Times New Roman" w:eastAsia="Times New Roman" w:hAnsi="Times New Roman" w:cs="Times New Roman"/>
          <w:sz w:val="24"/>
          <w:szCs w:val="24"/>
        </w:rPr>
        <w:t>ājum</w:t>
      </w:r>
      <w:r w:rsidR="006B14CF" w:rsidRPr="00D928CD">
        <w:rPr>
          <w:rFonts w:ascii="Times New Roman" w:eastAsia="Times New Roman" w:hAnsi="Times New Roman" w:cs="Times New Roman"/>
          <w:sz w:val="24"/>
          <w:szCs w:val="24"/>
        </w:rPr>
        <w:t>u realizācijas</w:t>
      </w:r>
      <w:r w:rsidR="00566572" w:rsidRPr="00D928CD">
        <w:rPr>
          <w:rFonts w:ascii="Times New Roman" w:eastAsia="Times New Roman" w:hAnsi="Times New Roman" w:cs="Times New Roman"/>
          <w:sz w:val="24"/>
          <w:szCs w:val="24"/>
        </w:rPr>
        <w:t>, kas tiek uzskatīti ar</w:t>
      </w:r>
      <w:r w:rsidR="006B14CF" w:rsidRPr="00D928CD">
        <w:rPr>
          <w:rFonts w:ascii="Times New Roman" w:eastAsia="Times New Roman" w:hAnsi="Times New Roman" w:cs="Times New Roman"/>
          <w:sz w:val="24"/>
          <w:szCs w:val="24"/>
        </w:rPr>
        <w:t>ī</w:t>
      </w:r>
      <w:r w:rsidR="00566572" w:rsidRPr="00D928CD">
        <w:rPr>
          <w:rFonts w:ascii="Times New Roman" w:eastAsia="Times New Roman" w:hAnsi="Times New Roman" w:cs="Times New Roman"/>
          <w:sz w:val="24"/>
          <w:szCs w:val="24"/>
        </w:rPr>
        <w:t xml:space="preserve"> par pirmās nepieciešamības pārtikas produktiem, ar kopējo fiskālo ietekmi -142,5</w:t>
      </w:r>
      <w:r w:rsidR="0010121C" w:rsidRPr="00D928CD">
        <w:rPr>
          <w:rFonts w:ascii="Times New Roman" w:eastAsia="Times New Roman" w:hAnsi="Times New Roman" w:cs="Times New Roman"/>
          <w:sz w:val="24"/>
          <w:szCs w:val="24"/>
        </w:rPr>
        <w:t> </w:t>
      </w:r>
      <w:r w:rsidR="00566572" w:rsidRPr="00D928CD">
        <w:rPr>
          <w:rFonts w:ascii="Times New Roman" w:eastAsia="Times New Roman" w:hAnsi="Times New Roman" w:cs="Times New Roman"/>
          <w:sz w:val="24"/>
          <w:szCs w:val="24"/>
        </w:rPr>
        <w:t xml:space="preserve">milj. </w:t>
      </w:r>
      <w:proofErr w:type="spellStart"/>
      <w:r w:rsidR="0024189A" w:rsidRPr="00D928CD">
        <w:rPr>
          <w:rFonts w:ascii="Times New Roman" w:eastAsia="Times New Roman" w:hAnsi="Times New Roman" w:cs="Times New Roman"/>
          <w:i/>
          <w:sz w:val="24"/>
          <w:szCs w:val="24"/>
        </w:rPr>
        <w:t>euro</w:t>
      </w:r>
      <w:proofErr w:type="spellEnd"/>
      <w:r w:rsidR="00566572" w:rsidRPr="00D928CD">
        <w:rPr>
          <w:rFonts w:ascii="Times New Roman" w:eastAsia="Times New Roman" w:hAnsi="Times New Roman" w:cs="Times New Roman"/>
          <w:sz w:val="24"/>
          <w:szCs w:val="24"/>
        </w:rPr>
        <w:t>.</w:t>
      </w:r>
    </w:p>
    <w:p w14:paraId="0276F3ED" w14:textId="081C88BE" w:rsidR="008562CB" w:rsidRPr="00D928CD" w:rsidRDefault="00105529" w:rsidP="009421D9">
      <w:pPr>
        <w:tabs>
          <w:tab w:val="left" w:pos="709"/>
        </w:tabs>
        <w:spacing w:after="480" w:line="240" w:lineRule="auto"/>
        <w:ind w:firstLine="709"/>
        <w:jc w:val="both"/>
        <w:rPr>
          <w:rFonts w:ascii="Times New Roman" w:eastAsia="Times New Roman" w:hAnsi="Times New Roman" w:cs="Times New Roman"/>
          <w:sz w:val="24"/>
          <w:szCs w:val="24"/>
        </w:rPr>
      </w:pPr>
      <w:r w:rsidRPr="00D928CD">
        <w:rPr>
          <w:rFonts w:ascii="Times New Roman" w:eastAsia="Times New Roman" w:hAnsi="Times New Roman" w:cs="Times New Roman"/>
          <w:sz w:val="24"/>
          <w:szCs w:val="24"/>
        </w:rPr>
        <w:t>Turklāt</w:t>
      </w:r>
      <w:r w:rsidR="006B14CF" w:rsidRPr="00D928CD">
        <w:rPr>
          <w:rFonts w:ascii="Times New Roman" w:eastAsia="Times New Roman" w:hAnsi="Times New Roman" w:cs="Times New Roman"/>
          <w:sz w:val="24"/>
          <w:szCs w:val="24"/>
        </w:rPr>
        <w:t>,</w:t>
      </w:r>
      <w:r w:rsidRPr="00D928CD">
        <w:rPr>
          <w:rFonts w:ascii="Times New Roman" w:eastAsia="Times New Roman" w:hAnsi="Times New Roman" w:cs="Times New Roman"/>
          <w:sz w:val="24"/>
          <w:szCs w:val="24"/>
        </w:rPr>
        <w:t xml:space="preserve"> nosakot atsevišķu vai tikai vienas </w:t>
      </w:r>
      <w:r w:rsidRPr="00D928CD">
        <w:rPr>
          <w:rFonts w:ascii="Times New Roman" w:hAnsi="Times New Roman"/>
          <w:sz w:val="24"/>
          <w:szCs w:val="24"/>
        </w:rPr>
        <w:t>pārtikas produktu</w:t>
      </w:r>
      <w:r w:rsidRPr="00D928CD">
        <w:rPr>
          <w:rFonts w:ascii="Times New Roman" w:eastAsia="Times New Roman" w:hAnsi="Times New Roman" w:cs="Times New Roman"/>
          <w:sz w:val="24"/>
          <w:szCs w:val="24"/>
        </w:rPr>
        <w:t xml:space="preserve"> </w:t>
      </w:r>
      <w:r w:rsidR="00E7114B" w:rsidRPr="00D928CD">
        <w:rPr>
          <w:rFonts w:ascii="Times New Roman" w:eastAsia="Times New Roman" w:hAnsi="Times New Roman" w:cs="Times New Roman"/>
          <w:sz w:val="24"/>
          <w:szCs w:val="24"/>
        </w:rPr>
        <w:t xml:space="preserve">grupas </w:t>
      </w:r>
      <w:r w:rsidRPr="00D928CD">
        <w:rPr>
          <w:rFonts w:ascii="Times New Roman" w:eastAsia="Times New Roman" w:hAnsi="Times New Roman" w:cs="Times New Roman"/>
          <w:sz w:val="24"/>
          <w:szCs w:val="24"/>
        </w:rPr>
        <w:t xml:space="preserve">piegādēm samazināto PVN likmi, šo likmju administrēšanai tiktu radīts </w:t>
      </w:r>
      <w:r w:rsidR="008B70CF" w:rsidRPr="00D928CD">
        <w:rPr>
          <w:rFonts w:ascii="Times New Roman" w:eastAsia="Times New Roman" w:hAnsi="Times New Roman" w:cs="Times New Roman"/>
          <w:sz w:val="24"/>
          <w:szCs w:val="24"/>
        </w:rPr>
        <w:t xml:space="preserve">papildus </w:t>
      </w:r>
      <w:r w:rsidRPr="00D928CD">
        <w:rPr>
          <w:rFonts w:ascii="Times New Roman" w:eastAsia="Times New Roman" w:hAnsi="Times New Roman" w:cs="Times New Roman"/>
          <w:sz w:val="24"/>
          <w:szCs w:val="24"/>
        </w:rPr>
        <w:t>slogs</w:t>
      </w:r>
      <w:r w:rsidR="008B70CF" w:rsidRPr="00D928CD">
        <w:rPr>
          <w:rFonts w:ascii="Times New Roman" w:eastAsia="Times New Roman" w:hAnsi="Times New Roman" w:cs="Times New Roman"/>
          <w:sz w:val="24"/>
          <w:szCs w:val="24"/>
        </w:rPr>
        <w:t xml:space="preserve"> un izmaksas</w:t>
      </w:r>
      <w:r w:rsidRPr="00D928CD">
        <w:rPr>
          <w:rFonts w:ascii="Times New Roman" w:eastAsia="Times New Roman" w:hAnsi="Times New Roman" w:cs="Times New Roman"/>
          <w:sz w:val="24"/>
          <w:szCs w:val="24"/>
        </w:rPr>
        <w:t xml:space="preserve"> gan valsts iestādēm, gan uzņēm</w:t>
      </w:r>
      <w:r w:rsidR="00177F62" w:rsidRPr="00D928CD">
        <w:rPr>
          <w:rFonts w:ascii="Times New Roman" w:eastAsia="Times New Roman" w:hAnsi="Times New Roman" w:cs="Times New Roman"/>
          <w:sz w:val="24"/>
          <w:szCs w:val="24"/>
        </w:rPr>
        <w:t>umie</w:t>
      </w:r>
      <w:r w:rsidR="007F00E0" w:rsidRPr="00D928CD">
        <w:rPr>
          <w:rFonts w:ascii="Times New Roman" w:eastAsia="Times New Roman" w:hAnsi="Times New Roman" w:cs="Times New Roman"/>
          <w:sz w:val="24"/>
          <w:szCs w:val="24"/>
        </w:rPr>
        <w:t>m</w:t>
      </w:r>
      <w:r w:rsidR="00177F62" w:rsidRPr="00D928CD">
        <w:rPr>
          <w:rFonts w:ascii="Times New Roman" w:eastAsia="Times New Roman" w:hAnsi="Times New Roman" w:cs="Times New Roman"/>
          <w:sz w:val="24"/>
          <w:szCs w:val="24"/>
        </w:rPr>
        <w:t>.</w:t>
      </w:r>
    </w:p>
    <w:p w14:paraId="7FD79910" w14:textId="6D51E023" w:rsidR="006A75E8" w:rsidRPr="00404C83" w:rsidRDefault="004D2EAF" w:rsidP="008562CB">
      <w:pPr>
        <w:suppressAutoHyphens/>
        <w:spacing w:before="120" w:after="480" w:line="240" w:lineRule="auto"/>
        <w:jc w:val="both"/>
        <w:rPr>
          <w:rFonts w:ascii="Times New Roman" w:eastAsia="Times New Roman" w:hAnsi="Times New Roman" w:cs="Times New Roman"/>
          <w:b/>
          <w:sz w:val="28"/>
          <w:szCs w:val="28"/>
        </w:rPr>
      </w:pPr>
      <w:r w:rsidRPr="00404C83">
        <w:rPr>
          <w:rFonts w:ascii="Times New Roman" w:eastAsia="Times New Roman" w:hAnsi="Times New Roman" w:cs="Times New Roman"/>
          <w:b/>
          <w:sz w:val="28"/>
          <w:szCs w:val="28"/>
        </w:rPr>
        <w:t>Secinājumi</w:t>
      </w:r>
    </w:p>
    <w:p w14:paraId="0D17ED4E" w14:textId="1EF53651" w:rsidR="00704E70" w:rsidRPr="00D928CD" w:rsidRDefault="00704E70" w:rsidP="00B13EA0">
      <w:pPr>
        <w:pStyle w:val="ListParagraph"/>
        <w:numPr>
          <w:ilvl w:val="0"/>
          <w:numId w:val="9"/>
        </w:numPr>
        <w:tabs>
          <w:tab w:val="left" w:pos="709"/>
        </w:tabs>
        <w:spacing w:after="0" w:line="240" w:lineRule="auto"/>
        <w:ind w:left="0" w:firstLine="454"/>
        <w:jc w:val="both"/>
        <w:rPr>
          <w:rFonts w:ascii="Times New Roman" w:eastAsia="Times New Roman" w:hAnsi="Times New Roman" w:cs="Times New Roman"/>
          <w:sz w:val="24"/>
          <w:szCs w:val="24"/>
        </w:rPr>
      </w:pPr>
      <w:r w:rsidRPr="00D928CD">
        <w:rPr>
          <w:rFonts w:ascii="Times New Roman" w:eastAsia="Times New Roman" w:hAnsi="Times New Roman" w:cs="Times New Roman"/>
          <w:sz w:val="24"/>
          <w:szCs w:val="24"/>
        </w:rPr>
        <w:t xml:space="preserve">Izvērtējot iespēju samazināt PVN likmi pārtikas produktiem no standarta likmes 21% uz samazināto likmi 12%, fiskālā ietekme uz valsts budžeta ieņēmumiem 2015.gadam ir novērtēta negatīva -194,8 milj. </w:t>
      </w:r>
      <w:proofErr w:type="spellStart"/>
      <w:r w:rsidR="005C1E8D" w:rsidRPr="00D928CD">
        <w:rPr>
          <w:rFonts w:ascii="Times New Roman" w:eastAsia="Times New Roman" w:hAnsi="Times New Roman" w:cs="Times New Roman"/>
          <w:i/>
          <w:sz w:val="24"/>
          <w:szCs w:val="24"/>
        </w:rPr>
        <w:t>euro</w:t>
      </w:r>
      <w:proofErr w:type="spellEnd"/>
      <w:r w:rsidRPr="00D928CD">
        <w:rPr>
          <w:rFonts w:ascii="Times New Roman" w:eastAsia="Times New Roman" w:hAnsi="Times New Roman" w:cs="Times New Roman"/>
          <w:sz w:val="24"/>
          <w:szCs w:val="24"/>
        </w:rPr>
        <w:t xml:space="preserve">. Lielāko fiskālo ietekmi uz valsts budžeta ieņēmumiem veido PVN ieņēmumi no gaļas, piena, siera un </w:t>
      </w:r>
      <w:r w:rsidRPr="00D928CD">
        <w:rPr>
          <w:rFonts w:ascii="Times New Roman" w:hAnsi="Times New Roman"/>
          <w:sz w:val="24"/>
          <w:szCs w:val="24"/>
        </w:rPr>
        <w:t>olu</w:t>
      </w:r>
      <w:r w:rsidRPr="00D928CD">
        <w:rPr>
          <w:rFonts w:ascii="Times New Roman" w:eastAsia="Times New Roman" w:hAnsi="Times New Roman" w:cs="Times New Roman"/>
          <w:sz w:val="24"/>
          <w:szCs w:val="24"/>
        </w:rPr>
        <w:t xml:space="preserve">, kā arī dārzeņu, maizes un graudaugu izstrādājumu realizācijas (-142,5 milj. </w:t>
      </w:r>
      <w:proofErr w:type="spellStart"/>
      <w:r w:rsidR="00627A28" w:rsidRPr="00D928CD">
        <w:rPr>
          <w:rFonts w:ascii="Times New Roman" w:eastAsia="Times New Roman" w:hAnsi="Times New Roman" w:cs="Times New Roman"/>
          <w:i/>
          <w:sz w:val="24"/>
          <w:szCs w:val="24"/>
        </w:rPr>
        <w:t>euro</w:t>
      </w:r>
      <w:proofErr w:type="spellEnd"/>
      <w:r w:rsidRPr="00D928CD">
        <w:rPr>
          <w:rFonts w:ascii="Times New Roman" w:eastAsia="Times New Roman" w:hAnsi="Times New Roman" w:cs="Times New Roman"/>
          <w:sz w:val="24"/>
          <w:szCs w:val="24"/>
        </w:rPr>
        <w:t>).</w:t>
      </w:r>
    </w:p>
    <w:p w14:paraId="69F791CA" w14:textId="4BBFB924" w:rsidR="006A75E8" w:rsidRPr="00D928CD" w:rsidRDefault="004D2EAF" w:rsidP="00B13EA0">
      <w:pPr>
        <w:pStyle w:val="ListParagraph"/>
        <w:numPr>
          <w:ilvl w:val="0"/>
          <w:numId w:val="9"/>
        </w:numPr>
        <w:tabs>
          <w:tab w:val="left" w:pos="709"/>
        </w:tabs>
        <w:spacing w:after="0" w:line="240" w:lineRule="auto"/>
        <w:ind w:left="0" w:firstLine="426"/>
        <w:jc w:val="both"/>
        <w:rPr>
          <w:rFonts w:ascii="Times New Roman" w:eastAsia="Times New Roman" w:hAnsi="Times New Roman" w:cs="Times New Roman"/>
          <w:sz w:val="24"/>
          <w:szCs w:val="24"/>
        </w:rPr>
      </w:pPr>
      <w:r w:rsidRPr="00D928CD">
        <w:rPr>
          <w:rFonts w:ascii="Times New Roman" w:eastAsia="Times New Roman" w:hAnsi="Times New Roman" w:cs="Times New Roman"/>
          <w:sz w:val="24"/>
          <w:szCs w:val="24"/>
        </w:rPr>
        <w:t>Ņemot vērā, ka samazināto</w:t>
      </w:r>
      <w:r w:rsidR="008C3D86" w:rsidRPr="00D928CD">
        <w:rPr>
          <w:rFonts w:ascii="Times New Roman" w:eastAsia="Times New Roman" w:hAnsi="Times New Roman" w:cs="Times New Roman"/>
          <w:sz w:val="24"/>
          <w:szCs w:val="24"/>
        </w:rPr>
        <w:t xml:space="preserve"> PVN</w:t>
      </w:r>
      <w:r w:rsidRPr="00D928CD">
        <w:rPr>
          <w:rFonts w:ascii="Times New Roman" w:eastAsia="Times New Roman" w:hAnsi="Times New Roman" w:cs="Times New Roman"/>
          <w:sz w:val="24"/>
          <w:szCs w:val="24"/>
        </w:rPr>
        <w:t xml:space="preserve"> likmju ieviešana samazina valsts budžetā iemaksājamo PVN summu, valstij ir jābūt skaidram virzienam, kādiem mērķiem un ar kādu nolūku tiek izmantotas šīs valsts budžetā neiegūtā (vai no valsts budžeta atmaksātā) PVN summa. Tātad samazinātā PVN likme ir </w:t>
      </w:r>
      <w:r w:rsidR="00E9666A" w:rsidRPr="00D928CD">
        <w:rPr>
          <w:rFonts w:ascii="Times New Roman" w:eastAsia="Times New Roman" w:hAnsi="Times New Roman" w:cs="Times New Roman"/>
          <w:sz w:val="24"/>
          <w:szCs w:val="24"/>
        </w:rPr>
        <w:t xml:space="preserve">jāizmanto </w:t>
      </w:r>
      <w:r w:rsidRPr="00D928CD">
        <w:rPr>
          <w:rFonts w:ascii="Times New Roman" w:eastAsia="Times New Roman" w:hAnsi="Times New Roman" w:cs="Times New Roman"/>
          <w:sz w:val="24"/>
          <w:szCs w:val="24"/>
        </w:rPr>
        <w:t>mērķtiecīgi, t.i., precīzi nosakot ekonomisko rezultātu, ko ar šo likmju ieviešanu ir domāts sasniegt</w:t>
      </w:r>
      <w:r w:rsidR="00933F22" w:rsidRPr="00D928CD">
        <w:rPr>
          <w:rFonts w:ascii="Times New Roman" w:eastAsia="Times New Roman" w:hAnsi="Times New Roman" w:cs="Times New Roman"/>
          <w:sz w:val="24"/>
          <w:szCs w:val="24"/>
        </w:rPr>
        <w:t>.</w:t>
      </w:r>
    </w:p>
    <w:p w14:paraId="65C0B228" w14:textId="7817FDB7" w:rsidR="007518E8" w:rsidRPr="00D928CD" w:rsidRDefault="007518E8" w:rsidP="007518E8">
      <w:pPr>
        <w:pStyle w:val="ListParagraph"/>
        <w:numPr>
          <w:ilvl w:val="0"/>
          <w:numId w:val="9"/>
        </w:numPr>
        <w:tabs>
          <w:tab w:val="left" w:pos="709"/>
        </w:tabs>
        <w:spacing w:after="0" w:line="240" w:lineRule="auto"/>
        <w:ind w:left="0" w:firstLine="426"/>
        <w:jc w:val="both"/>
        <w:rPr>
          <w:rFonts w:ascii="Times New Roman" w:eastAsia="Times New Roman" w:hAnsi="Times New Roman" w:cs="Times New Roman"/>
          <w:sz w:val="24"/>
          <w:szCs w:val="24"/>
        </w:rPr>
      </w:pPr>
      <w:r w:rsidRPr="00D928CD">
        <w:rPr>
          <w:rFonts w:ascii="Times New Roman" w:eastAsia="Times New Roman" w:hAnsi="Times New Roman" w:cs="Times New Roman"/>
          <w:sz w:val="24"/>
          <w:szCs w:val="24"/>
        </w:rPr>
        <w:t>Pastāv risks, ka nodokļ</w:t>
      </w:r>
      <w:r w:rsidR="00081365" w:rsidRPr="00D928CD">
        <w:rPr>
          <w:rFonts w:ascii="Times New Roman" w:eastAsia="Times New Roman" w:hAnsi="Times New Roman" w:cs="Times New Roman"/>
          <w:sz w:val="24"/>
          <w:szCs w:val="24"/>
        </w:rPr>
        <w:t>a</w:t>
      </w:r>
      <w:r w:rsidRPr="00D928CD">
        <w:rPr>
          <w:rFonts w:ascii="Times New Roman" w:eastAsia="Times New Roman" w:hAnsi="Times New Roman" w:cs="Times New Roman"/>
          <w:sz w:val="24"/>
          <w:szCs w:val="24"/>
        </w:rPr>
        <w:t xml:space="preserve"> atvieglojumi var traucēt nodokļu sistēmu, samazinot tās pārskatāmību un </w:t>
      </w:r>
      <w:proofErr w:type="spellStart"/>
      <w:r w:rsidR="00081365" w:rsidRPr="00D928CD">
        <w:rPr>
          <w:rFonts w:ascii="Times New Roman" w:eastAsia="Times New Roman" w:hAnsi="Times New Roman" w:cs="Times New Roman"/>
          <w:sz w:val="24"/>
          <w:szCs w:val="24"/>
        </w:rPr>
        <w:t>sarežģ</w:t>
      </w:r>
      <w:r w:rsidR="00D31B80" w:rsidRPr="00D928CD">
        <w:rPr>
          <w:rFonts w:ascii="Times New Roman" w:eastAsia="Times New Roman" w:hAnsi="Times New Roman" w:cs="Times New Roman"/>
          <w:sz w:val="24"/>
          <w:szCs w:val="24"/>
        </w:rPr>
        <w:t>ī</w:t>
      </w:r>
      <w:r w:rsidR="00081365" w:rsidRPr="00D928CD">
        <w:rPr>
          <w:rFonts w:ascii="Times New Roman" w:eastAsia="Times New Roman" w:hAnsi="Times New Roman" w:cs="Times New Roman"/>
          <w:sz w:val="24"/>
          <w:szCs w:val="24"/>
        </w:rPr>
        <w:t>jot</w:t>
      </w:r>
      <w:proofErr w:type="spellEnd"/>
      <w:r w:rsidR="00081365" w:rsidRPr="00D928CD">
        <w:rPr>
          <w:rFonts w:ascii="Times New Roman" w:eastAsia="Times New Roman" w:hAnsi="Times New Roman" w:cs="Times New Roman"/>
          <w:sz w:val="24"/>
          <w:szCs w:val="24"/>
        </w:rPr>
        <w:t xml:space="preserve"> PVN administrēšanu</w:t>
      </w:r>
      <w:r w:rsidR="00AA72D0" w:rsidRPr="00D928CD">
        <w:rPr>
          <w:rFonts w:ascii="Times New Roman" w:eastAsia="Times New Roman" w:hAnsi="Times New Roman" w:cs="Times New Roman"/>
          <w:sz w:val="24"/>
          <w:szCs w:val="24"/>
        </w:rPr>
        <w:t>.</w:t>
      </w:r>
    </w:p>
    <w:p w14:paraId="59A0E506" w14:textId="630227E6" w:rsidR="00933F22" w:rsidRPr="00D928CD" w:rsidRDefault="00933F22" w:rsidP="00B13EA0">
      <w:pPr>
        <w:pStyle w:val="ListParagraph"/>
        <w:numPr>
          <w:ilvl w:val="0"/>
          <w:numId w:val="9"/>
        </w:numPr>
        <w:tabs>
          <w:tab w:val="left" w:pos="709"/>
        </w:tabs>
        <w:spacing w:after="0" w:line="240" w:lineRule="auto"/>
        <w:ind w:left="0" w:firstLine="454"/>
        <w:jc w:val="both"/>
        <w:rPr>
          <w:rFonts w:ascii="Times New Roman" w:eastAsia="Times New Roman" w:hAnsi="Times New Roman" w:cs="Times New Roman"/>
          <w:sz w:val="24"/>
          <w:szCs w:val="24"/>
        </w:rPr>
      </w:pPr>
      <w:r w:rsidRPr="00D928CD">
        <w:rPr>
          <w:rFonts w:ascii="Times New Roman" w:eastAsia="Times New Roman" w:hAnsi="Times New Roman" w:cs="Times New Roman"/>
          <w:sz w:val="24"/>
          <w:szCs w:val="24"/>
        </w:rPr>
        <w:t xml:space="preserve">Iespējamā PVN likmes pārtikas precēm samazināšana ir vērtēta jau vairākkārt un secināts, ka PVN likmes samazināšana praktiski neietekmētu pārtikas preču cenu un līdz ar to nedotu vēlamo efektu iedzīvotāju maksātspējas uzlabošanā. Turklāt </w:t>
      </w:r>
      <w:r w:rsidR="00BD1123" w:rsidRPr="00D928CD">
        <w:rPr>
          <w:rFonts w:ascii="Times New Roman" w:eastAsia="Times New Roman" w:hAnsi="Times New Roman" w:cs="Times New Roman"/>
          <w:sz w:val="24"/>
          <w:szCs w:val="24"/>
        </w:rPr>
        <w:t xml:space="preserve">nosakot </w:t>
      </w:r>
      <w:r w:rsidRPr="00D928CD">
        <w:rPr>
          <w:rFonts w:ascii="Times New Roman" w:eastAsia="Times New Roman" w:hAnsi="Times New Roman" w:cs="Times New Roman"/>
          <w:sz w:val="24"/>
          <w:szCs w:val="24"/>
        </w:rPr>
        <w:t>tikai vienas pārtikas grupas produktu piegādēm samazināto PVN likmi, šo likmju administrēšan</w:t>
      </w:r>
      <w:r w:rsidRPr="00D928CD">
        <w:rPr>
          <w:rFonts w:ascii="Times New Roman" w:hAnsi="Times New Roman"/>
          <w:sz w:val="24"/>
          <w:szCs w:val="24"/>
        </w:rPr>
        <w:t>a</w:t>
      </w:r>
      <w:r w:rsidRPr="00D928CD">
        <w:rPr>
          <w:rFonts w:ascii="Times New Roman" w:eastAsia="Times New Roman" w:hAnsi="Times New Roman" w:cs="Times New Roman"/>
          <w:sz w:val="24"/>
          <w:szCs w:val="24"/>
        </w:rPr>
        <w:t xml:space="preserve"> </w:t>
      </w:r>
      <w:r w:rsidR="00BD1123" w:rsidRPr="00D928CD">
        <w:rPr>
          <w:rFonts w:ascii="Times New Roman" w:eastAsia="Times New Roman" w:hAnsi="Times New Roman" w:cs="Times New Roman"/>
          <w:sz w:val="24"/>
          <w:szCs w:val="24"/>
        </w:rPr>
        <w:t xml:space="preserve">radītu papildus slogu </w:t>
      </w:r>
      <w:r w:rsidRPr="00D928CD">
        <w:rPr>
          <w:rFonts w:ascii="Times New Roman" w:eastAsia="Times New Roman" w:hAnsi="Times New Roman" w:cs="Times New Roman"/>
          <w:sz w:val="24"/>
          <w:szCs w:val="24"/>
        </w:rPr>
        <w:t>gan valsts iestādēm, gan uzņēmējiem.</w:t>
      </w:r>
    </w:p>
    <w:p w14:paraId="7C6CE46F" w14:textId="2AA4294D" w:rsidR="006A75E8" w:rsidRPr="00D928CD" w:rsidRDefault="00212B27" w:rsidP="00B13EA0">
      <w:pPr>
        <w:pStyle w:val="ListParagraph"/>
        <w:numPr>
          <w:ilvl w:val="0"/>
          <w:numId w:val="9"/>
        </w:numPr>
        <w:tabs>
          <w:tab w:val="left" w:pos="709"/>
        </w:tabs>
        <w:spacing w:after="0" w:line="240" w:lineRule="auto"/>
        <w:ind w:left="0" w:firstLine="454"/>
        <w:jc w:val="both"/>
        <w:rPr>
          <w:rFonts w:ascii="Times New Roman" w:eastAsia="Times New Roman" w:hAnsi="Times New Roman" w:cs="Times New Roman"/>
          <w:sz w:val="24"/>
          <w:szCs w:val="24"/>
        </w:rPr>
      </w:pPr>
      <w:r w:rsidRPr="00D928CD">
        <w:rPr>
          <w:rFonts w:ascii="Times New Roman" w:eastAsia="Times New Roman" w:hAnsi="Times New Roman" w:cs="Times New Roman"/>
          <w:sz w:val="24"/>
          <w:szCs w:val="24"/>
        </w:rPr>
        <w:t xml:space="preserve">Finanšu ministrija uzskata, </w:t>
      </w:r>
      <w:r w:rsidR="00933F22" w:rsidRPr="00D928CD">
        <w:rPr>
          <w:rFonts w:ascii="Times New Roman" w:eastAsia="Times New Roman" w:hAnsi="Times New Roman" w:cs="Times New Roman"/>
          <w:sz w:val="24"/>
          <w:szCs w:val="24"/>
        </w:rPr>
        <w:t xml:space="preserve">ka, </w:t>
      </w:r>
      <w:r w:rsidRPr="00D928CD">
        <w:rPr>
          <w:rFonts w:ascii="Times New Roman" w:eastAsia="Times New Roman" w:hAnsi="Times New Roman" w:cs="Times New Roman"/>
          <w:sz w:val="24"/>
          <w:szCs w:val="24"/>
        </w:rPr>
        <w:t xml:space="preserve">ņemot vērā līdzšinējo </w:t>
      </w:r>
      <w:r w:rsidR="004A4A3C" w:rsidRPr="00D928CD">
        <w:rPr>
          <w:rFonts w:ascii="Times New Roman" w:eastAsia="Times New Roman" w:hAnsi="Times New Roman" w:cs="Times New Roman"/>
          <w:sz w:val="24"/>
          <w:szCs w:val="24"/>
        </w:rPr>
        <w:t>starptautisko</w:t>
      </w:r>
      <w:r w:rsidRPr="00D928CD">
        <w:rPr>
          <w:rFonts w:ascii="Times New Roman" w:eastAsia="Times New Roman" w:hAnsi="Times New Roman" w:cs="Times New Roman"/>
          <w:sz w:val="24"/>
          <w:szCs w:val="24"/>
        </w:rPr>
        <w:t xml:space="preserve"> pieredzi, </w:t>
      </w:r>
      <w:r w:rsidRPr="00D928CD">
        <w:rPr>
          <w:rFonts w:ascii="Times New Roman" w:hAnsi="Times New Roman"/>
          <w:sz w:val="24"/>
          <w:szCs w:val="24"/>
        </w:rPr>
        <w:t>samazinātā PVN likme nav efektīvākais veids sociālo jautājumu risināšanai</w:t>
      </w:r>
      <w:r w:rsidRPr="00D928CD">
        <w:rPr>
          <w:rFonts w:ascii="Times New Roman" w:eastAsia="Times New Roman" w:hAnsi="Times New Roman" w:cs="Times New Roman"/>
          <w:sz w:val="24"/>
          <w:szCs w:val="24"/>
        </w:rPr>
        <w:t xml:space="preserve">. Mazāk turīgo iedzīvotāju grupa daudz efektīvāk ir atbalstāma ar </w:t>
      </w:r>
      <w:r w:rsidR="00763296" w:rsidRPr="00D928CD">
        <w:rPr>
          <w:rFonts w:ascii="Times New Roman" w:eastAsia="Times New Roman" w:hAnsi="Times New Roman" w:cs="Times New Roman"/>
          <w:sz w:val="24"/>
          <w:szCs w:val="24"/>
        </w:rPr>
        <w:t>tiešo nodokļu</w:t>
      </w:r>
      <w:r w:rsidRPr="00D928CD">
        <w:rPr>
          <w:rFonts w:ascii="Times New Roman" w:eastAsia="Times New Roman" w:hAnsi="Times New Roman" w:cs="Times New Roman"/>
          <w:sz w:val="24"/>
          <w:szCs w:val="24"/>
        </w:rPr>
        <w:t xml:space="preserve"> </w:t>
      </w:r>
      <w:r w:rsidR="00763296" w:rsidRPr="00D928CD">
        <w:rPr>
          <w:rFonts w:ascii="Times New Roman" w:eastAsia="Times New Roman" w:hAnsi="Times New Roman" w:cs="Times New Roman"/>
          <w:sz w:val="24"/>
          <w:szCs w:val="24"/>
        </w:rPr>
        <w:t>atvi</w:t>
      </w:r>
      <w:r w:rsidR="00D566CA" w:rsidRPr="00D928CD">
        <w:rPr>
          <w:rFonts w:ascii="Times New Roman" w:eastAsia="Times New Roman" w:hAnsi="Times New Roman" w:cs="Times New Roman"/>
          <w:sz w:val="24"/>
          <w:szCs w:val="24"/>
        </w:rPr>
        <w:t>e</w:t>
      </w:r>
      <w:r w:rsidR="00763296" w:rsidRPr="00D928CD">
        <w:rPr>
          <w:rFonts w:ascii="Times New Roman" w:eastAsia="Times New Roman" w:hAnsi="Times New Roman" w:cs="Times New Roman"/>
          <w:sz w:val="24"/>
          <w:szCs w:val="24"/>
        </w:rPr>
        <w:t>glojumiem</w:t>
      </w:r>
      <w:r w:rsidRPr="00D928CD">
        <w:rPr>
          <w:rFonts w:ascii="Times New Roman" w:eastAsia="Times New Roman" w:hAnsi="Times New Roman" w:cs="Times New Roman"/>
          <w:sz w:val="24"/>
          <w:szCs w:val="24"/>
        </w:rPr>
        <w:t xml:space="preserve">, jo personas ar lielākiem ienākumiem no samazinātās PVN likmes piemērošanas gūst tādus pašus fiskālos labumus, kādus gūst personas ar maziem ienākumiem. Jāpiebilst, ka personām ar lielākiem ienākumiem ir tendence izvēlēties dārgākus pārtikas produktus, tādējādi </w:t>
      </w:r>
      <w:r w:rsidR="00933F22" w:rsidRPr="00D928CD">
        <w:rPr>
          <w:rFonts w:ascii="Times New Roman" w:eastAsia="Times New Roman" w:hAnsi="Times New Roman" w:cs="Times New Roman"/>
          <w:sz w:val="24"/>
          <w:szCs w:val="24"/>
        </w:rPr>
        <w:t xml:space="preserve">šai iedzīvotāju kategorijai </w:t>
      </w:r>
      <w:r w:rsidRPr="00D928CD">
        <w:rPr>
          <w:rFonts w:ascii="Times New Roman" w:eastAsia="Times New Roman" w:hAnsi="Times New Roman" w:cs="Times New Roman"/>
          <w:sz w:val="24"/>
          <w:szCs w:val="24"/>
        </w:rPr>
        <w:t>ieguvums no PVN likmes samazinājuma pārtikas produktiem būtu lielāks.</w:t>
      </w:r>
    </w:p>
    <w:p w14:paraId="788473D3" w14:textId="77777777" w:rsidR="006F0CE6" w:rsidRPr="00D928CD" w:rsidRDefault="006F0CE6" w:rsidP="004376D5">
      <w:pPr>
        <w:spacing w:after="0" w:line="240" w:lineRule="auto"/>
        <w:ind w:firstLine="709"/>
        <w:jc w:val="both"/>
        <w:rPr>
          <w:rFonts w:ascii="Times New Roman" w:eastAsia="Times New Roman" w:hAnsi="Times New Roman" w:cs="Times New Roman"/>
          <w:sz w:val="24"/>
          <w:szCs w:val="24"/>
        </w:rPr>
      </w:pPr>
    </w:p>
    <w:p w14:paraId="5C3C1C65" w14:textId="77777777" w:rsidR="00B13EA0" w:rsidRPr="00D928CD" w:rsidRDefault="00B13EA0" w:rsidP="004376D5">
      <w:pPr>
        <w:spacing w:after="0" w:line="240" w:lineRule="auto"/>
        <w:ind w:firstLine="709"/>
        <w:jc w:val="both"/>
        <w:rPr>
          <w:rFonts w:ascii="Times New Roman" w:eastAsia="Times New Roman" w:hAnsi="Times New Roman" w:cs="Times New Roman"/>
          <w:sz w:val="24"/>
          <w:szCs w:val="24"/>
        </w:rPr>
      </w:pPr>
    </w:p>
    <w:p w14:paraId="5E96CF42" w14:textId="77777777" w:rsidR="008F5DCB" w:rsidRPr="00D928CD" w:rsidRDefault="008F5DCB" w:rsidP="00A6790D">
      <w:pPr>
        <w:spacing w:after="120"/>
        <w:rPr>
          <w:rFonts w:ascii="Times New Roman" w:hAnsi="Times New Roman" w:cs="Times New Roman"/>
          <w:sz w:val="24"/>
          <w:szCs w:val="24"/>
        </w:rPr>
      </w:pPr>
    </w:p>
    <w:p w14:paraId="5FB8DA3A" w14:textId="5198BD95" w:rsidR="00F75A49" w:rsidRPr="00D928CD" w:rsidRDefault="00A6790D" w:rsidP="00F75A49">
      <w:pPr>
        <w:spacing w:after="480"/>
        <w:ind w:firstLine="720"/>
        <w:rPr>
          <w:rFonts w:ascii="Times New Roman" w:hAnsi="Times New Roman" w:cs="Times New Roman"/>
          <w:sz w:val="24"/>
          <w:szCs w:val="24"/>
        </w:rPr>
      </w:pPr>
      <w:r w:rsidRPr="00D928CD">
        <w:rPr>
          <w:rFonts w:ascii="Times New Roman" w:hAnsi="Times New Roman" w:cs="Times New Roman"/>
          <w:sz w:val="24"/>
          <w:szCs w:val="24"/>
        </w:rPr>
        <w:t xml:space="preserve">Finanšu ministrs </w:t>
      </w:r>
      <w:r w:rsidRPr="00D928CD">
        <w:rPr>
          <w:rFonts w:ascii="Times New Roman" w:hAnsi="Times New Roman" w:cs="Times New Roman"/>
          <w:sz w:val="24"/>
          <w:szCs w:val="24"/>
        </w:rPr>
        <w:tab/>
      </w:r>
      <w:r w:rsidRPr="00D928CD">
        <w:rPr>
          <w:rFonts w:ascii="Times New Roman" w:hAnsi="Times New Roman" w:cs="Times New Roman"/>
          <w:sz w:val="24"/>
          <w:szCs w:val="24"/>
        </w:rPr>
        <w:tab/>
      </w:r>
      <w:r w:rsidRPr="00D928CD">
        <w:rPr>
          <w:rFonts w:ascii="Times New Roman" w:hAnsi="Times New Roman" w:cs="Times New Roman"/>
          <w:sz w:val="24"/>
          <w:szCs w:val="24"/>
        </w:rPr>
        <w:tab/>
      </w:r>
      <w:r w:rsidRPr="00D928CD">
        <w:rPr>
          <w:rFonts w:ascii="Times New Roman" w:hAnsi="Times New Roman" w:cs="Times New Roman"/>
          <w:sz w:val="24"/>
          <w:szCs w:val="24"/>
        </w:rPr>
        <w:tab/>
      </w:r>
      <w:r w:rsidRPr="00D928CD">
        <w:rPr>
          <w:rFonts w:ascii="Times New Roman" w:hAnsi="Times New Roman" w:cs="Times New Roman"/>
          <w:sz w:val="24"/>
          <w:szCs w:val="24"/>
        </w:rPr>
        <w:tab/>
      </w:r>
      <w:r w:rsidRPr="00D928CD">
        <w:rPr>
          <w:rFonts w:ascii="Times New Roman" w:hAnsi="Times New Roman" w:cs="Times New Roman"/>
          <w:sz w:val="24"/>
          <w:szCs w:val="24"/>
        </w:rPr>
        <w:tab/>
      </w:r>
      <w:r w:rsidRPr="00D928CD">
        <w:rPr>
          <w:rFonts w:ascii="Times New Roman" w:hAnsi="Times New Roman" w:cs="Times New Roman"/>
          <w:sz w:val="24"/>
          <w:szCs w:val="24"/>
        </w:rPr>
        <w:tab/>
      </w:r>
      <w:r w:rsidRPr="00D928CD">
        <w:rPr>
          <w:rFonts w:ascii="Times New Roman" w:hAnsi="Times New Roman" w:cs="Times New Roman"/>
          <w:sz w:val="24"/>
          <w:szCs w:val="24"/>
        </w:rPr>
        <w:tab/>
      </w:r>
      <w:proofErr w:type="spellStart"/>
      <w:r w:rsidR="00AC34A3" w:rsidRPr="00D928CD">
        <w:rPr>
          <w:rFonts w:ascii="Times New Roman" w:hAnsi="Times New Roman" w:cs="Times New Roman"/>
          <w:sz w:val="24"/>
          <w:szCs w:val="24"/>
        </w:rPr>
        <w:t>J</w:t>
      </w:r>
      <w:r w:rsidRPr="00D928CD">
        <w:rPr>
          <w:rFonts w:ascii="Times New Roman" w:hAnsi="Times New Roman" w:cs="Times New Roman"/>
          <w:sz w:val="24"/>
          <w:szCs w:val="24"/>
        </w:rPr>
        <w:t>.</w:t>
      </w:r>
      <w:r w:rsidR="00AC34A3" w:rsidRPr="00D928CD">
        <w:rPr>
          <w:rFonts w:ascii="Times New Roman" w:hAnsi="Times New Roman" w:cs="Times New Roman"/>
          <w:sz w:val="24"/>
          <w:szCs w:val="24"/>
        </w:rPr>
        <w:t>Reirs</w:t>
      </w:r>
      <w:proofErr w:type="spellEnd"/>
    </w:p>
    <w:p w14:paraId="6BADE726" w14:textId="77777777" w:rsidR="00F75A49" w:rsidRDefault="00F75A49" w:rsidP="00F75A49">
      <w:pPr>
        <w:spacing w:after="480"/>
        <w:ind w:firstLine="720"/>
        <w:rPr>
          <w:rFonts w:ascii="Times New Roman" w:hAnsi="Times New Roman" w:cs="Times New Roman"/>
          <w:sz w:val="26"/>
          <w:szCs w:val="26"/>
        </w:rPr>
      </w:pPr>
    </w:p>
    <w:p w14:paraId="5538E6F4" w14:textId="2EFB624D" w:rsidR="008D1297" w:rsidRDefault="0096044B" w:rsidP="007C20A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15.01.2015 </w:t>
      </w:r>
      <w:r w:rsidR="00A70FAD">
        <w:rPr>
          <w:rFonts w:ascii="Times New Roman" w:eastAsia="Times New Roman" w:hAnsi="Times New Roman" w:cs="Times New Roman"/>
          <w:sz w:val="18"/>
          <w:szCs w:val="18"/>
        </w:rPr>
        <w:t>13:11</w:t>
      </w:r>
    </w:p>
    <w:p w14:paraId="45604763" w14:textId="649C1FCD" w:rsidR="0083226B" w:rsidRPr="00945D31" w:rsidRDefault="0083226B" w:rsidP="007C20A7">
      <w:pPr>
        <w:spacing w:after="0" w:line="240" w:lineRule="auto"/>
        <w:jc w:val="both"/>
        <w:rPr>
          <w:rFonts w:ascii="Times New Roman" w:eastAsia="Times New Roman" w:hAnsi="Times New Roman" w:cs="Times New Roman"/>
          <w:sz w:val="18"/>
          <w:szCs w:val="18"/>
        </w:rPr>
      </w:pPr>
      <w:r w:rsidRPr="00945D31">
        <w:rPr>
          <w:rFonts w:ascii="Times New Roman" w:eastAsia="Times New Roman" w:hAnsi="Times New Roman" w:cs="Times New Roman"/>
          <w:sz w:val="18"/>
          <w:szCs w:val="18"/>
        </w:rPr>
        <w:fldChar w:fldCharType="begin"/>
      </w:r>
      <w:r w:rsidRPr="00945D31">
        <w:rPr>
          <w:rFonts w:ascii="Times New Roman" w:eastAsia="Times New Roman" w:hAnsi="Times New Roman" w:cs="Times New Roman"/>
          <w:sz w:val="18"/>
          <w:szCs w:val="18"/>
        </w:rPr>
        <w:instrText xml:space="preserve"> NUMWORDS  \* Arabic  \* MERGEFORMAT </w:instrText>
      </w:r>
      <w:r w:rsidRPr="00945D31">
        <w:rPr>
          <w:rFonts w:ascii="Times New Roman" w:eastAsia="Times New Roman" w:hAnsi="Times New Roman" w:cs="Times New Roman"/>
          <w:sz w:val="18"/>
          <w:szCs w:val="18"/>
        </w:rPr>
        <w:fldChar w:fldCharType="separate"/>
      </w:r>
      <w:r w:rsidR="00EC1FB8">
        <w:rPr>
          <w:rFonts w:ascii="Times New Roman" w:eastAsia="Times New Roman" w:hAnsi="Times New Roman" w:cs="Times New Roman"/>
          <w:noProof/>
          <w:sz w:val="18"/>
          <w:szCs w:val="18"/>
        </w:rPr>
        <w:t>4493</w:t>
      </w:r>
      <w:r w:rsidRPr="00945D31">
        <w:rPr>
          <w:rFonts w:ascii="Times New Roman" w:eastAsia="Times New Roman" w:hAnsi="Times New Roman" w:cs="Times New Roman"/>
          <w:sz w:val="18"/>
          <w:szCs w:val="18"/>
        </w:rPr>
        <w:fldChar w:fldCharType="end"/>
      </w:r>
    </w:p>
    <w:p w14:paraId="199F8380" w14:textId="286B9DA5" w:rsidR="0083226B" w:rsidRPr="00945D31" w:rsidRDefault="0083226B" w:rsidP="007C20A7">
      <w:pPr>
        <w:spacing w:after="0" w:line="240" w:lineRule="auto"/>
        <w:jc w:val="both"/>
        <w:rPr>
          <w:rFonts w:ascii="Times New Roman" w:eastAsia="Times New Roman" w:hAnsi="Times New Roman" w:cs="Times New Roman"/>
          <w:sz w:val="18"/>
          <w:szCs w:val="18"/>
        </w:rPr>
      </w:pPr>
      <w:r w:rsidRPr="00945D31">
        <w:rPr>
          <w:rFonts w:ascii="Times New Roman" w:eastAsia="Times New Roman" w:hAnsi="Times New Roman" w:cs="Times New Roman"/>
          <w:sz w:val="18"/>
          <w:szCs w:val="18"/>
        </w:rPr>
        <w:t>A.</w:t>
      </w:r>
      <w:r w:rsidR="0096044B">
        <w:rPr>
          <w:rFonts w:ascii="Times New Roman" w:eastAsia="Times New Roman" w:hAnsi="Times New Roman" w:cs="Times New Roman"/>
          <w:sz w:val="18"/>
          <w:szCs w:val="18"/>
        </w:rPr>
        <w:t xml:space="preserve"> </w:t>
      </w:r>
      <w:r w:rsidRPr="00945D31">
        <w:rPr>
          <w:rFonts w:ascii="Times New Roman" w:eastAsia="Times New Roman" w:hAnsi="Times New Roman" w:cs="Times New Roman"/>
          <w:sz w:val="18"/>
          <w:szCs w:val="18"/>
        </w:rPr>
        <w:t>Nika</w:t>
      </w:r>
    </w:p>
    <w:p w14:paraId="17847382" w14:textId="77777777" w:rsidR="0083226B" w:rsidRPr="00945D31" w:rsidRDefault="0083226B" w:rsidP="007C20A7">
      <w:pPr>
        <w:spacing w:after="0" w:line="240" w:lineRule="auto"/>
        <w:jc w:val="both"/>
        <w:rPr>
          <w:rFonts w:ascii="Times New Roman" w:eastAsia="Times New Roman" w:hAnsi="Times New Roman" w:cs="Times New Roman"/>
          <w:sz w:val="18"/>
          <w:szCs w:val="18"/>
        </w:rPr>
      </w:pPr>
      <w:r w:rsidRPr="00945D31">
        <w:rPr>
          <w:rFonts w:ascii="Times New Roman" w:eastAsia="Times New Roman" w:hAnsi="Times New Roman" w:cs="Times New Roman"/>
          <w:sz w:val="18"/>
          <w:szCs w:val="18"/>
        </w:rPr>
        <w:t>Nodokļu analīzes departamenta</w:t>
      </w:r>
    </w:p>
    <w:p w14:paraId="4F5009EF" w14:textId="77777777" w:rsidR="0083226B" w:rsidRPr="00945D31" w:rsidRDefault="0083226B" w:rsidP="007C20A7">
      <w:pPr>
        <w:spacing w:after="0" w:line="240" w:lineRule="auto"/>
        <w:jc w:val="both"/>
        <w:rPr>
          <w:rFonts w:ascii="Times New Roman" w:eastAsia="Times New Roman" w:hAnsi="Times New Roman" w:cs="Times New Roman"/>
          <w:sz w:val="18"/>
          <w:szCs w:val="18"/>
        </w:rPr>
      </w:pPr>
      <w:r w:rsidRPr="00945D31">
        <w:rPr>
          <w:rFonts w:ascii="Times New Roman" w:eastAsia="Times New Roman" w:hAnsi="Times New Roman" w:cs="Times New Roman"/>
          <w:sz w:val="18"/>
          <w:szCs w:val="18"/>
        </w:rPr>
        <w:t>Ieņēmumu analīzes un prognozēšanas nodaļas vecākā referente</w:t>
      </w:r>
    </w:p>
    <w:p w14:paraId="4C99E925" w14:textId="3C002D66" w:rsidR="0083226B" w:rsidRPr="00945D31" w:rsidRDefault="005B3388" w:rsidP="007C20A7">
      <w:pPr>
        <w:spacing w:after="0" w:line="240" w:lineRule="auto"/>
        <w:jc w:val="both"/>
        <w:rPr>
          <w:rFonts w:ascii="Times New Roman" w:eastAsia="Times New Roman" w:hAnsi="Times New Roman" w:cs="Times New Roman"/>
          <w:sz w:val="18"/>
          <w:szCs w:val="18"/>
        </w:rPr>
      </w:pPr>
      <w:r w:rsidRPr="00945D31">
        <w:rPr>
          <w:rFonts w:ascii="Times New Roman" w:eastAsia="Times New Roman" w:hAnsi="Times New Roman" w:cs="Times New Roman"/>
          <w:sz w:val="18"/>
          <w:szCs w:val="18"/>
        </w:rPr>
        <w:t>Agija.Nika@fm.gov.lv; t: 670839</w:t>
      </w:r>
      <w:r w:rsidR="0083226B" w:rsidRPr="00945D31">
        <w:rPr>
          <w:rFonts w:ascii="Times New Roman" w:eastAsia="Times New Roman" w:hAnsi="Times New Roman" w:cs="Times New Roman"/>
          <w:sz w:val="18"/>
          <w:szCs w:val="18"/>
        </w:rPr>
        <w:t>68</w:t>
      </w:r>
    </w:p>
    <w:sectPr w:rsidR="0083226B" w:rsidRPr="00945D31" w:rsidSect="00AC34A3">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F0939" w14:textId="77777777" w:rsidR="00DA37A1" w:rsidRDefault="00DA37A1" w:rsidP="004A07E1">
      <w:pPr>
        <w:spacing w:after="0" w:line="240" w:lineRule="auto"/>
      </w:pPr>
      <w:r>
        <w:separator/>
      </w:r>
    </w:p>
  </w:endnote>
  <w:endnote w:type="continuationSeparator" w:id="0">
    <w:p w14:paraId="3BFCADDB" w14:textId="77777777" w:rsidR="00DA37A1" w:rsidRDefault="00DA37A1" w:rsidP="004A07E1">
      <w:pPr>
        <w:spacing w:after="0" w:line="240" w:lineRule="auto"/>
      </w:pPr>
      <w:r>
        <w:continuationSeparator/>
      </w:r>
    </w:p>
  </w:endnote>
  <w:endnote w:type="continuationNotice" w:id="1">
    <w:p w14:paraId="77692ECC" w14:textId="77777777" w:rsidR="00DA37A1" w:rsidRDefault="00DA37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ltTimesRoman">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715CC" w14:textId="77777777" w:rsidR="00271765" w:rsidRDefault="002717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9D5EE" w14:textId="48737F5A" w:rsidR="00987D52" w:rsidRPr="002D4CB4" w:rsidRDefault="00987D52">
    <w:pPr>
      <w:pStyle w:val="Footer"/>
      <w:rPr>
        <w:rFonts w:ascii="Times New Roman" w:hAnsi="Times New Roman" w:cs="Times New Roman"/>
        <w:sz w:val="20"/>
        <w:szCs w:val="20"/>
      </w:rPr>
    </w:pPr>
    <w:r w:rsidRPr="002D4CB4">
      <w:rPr>
        <w:rFonts w:ascii="Times New Roman" w:hAnsi="Times New Roman" w:cs="Times New Roman"/>
        <w:sz w:val="20"/>
        <w:szCs w:val="20"/>
      </w:rPr>
      <w:t>FMzino_PVN_</w:t>
    </w:r>
    <w:r w:rsidR="00271765">
      <w:rPr>
        <w:rFonts w:ascii="Times New Roman" w:hAnsi="Times New Roman" w:cs="Times New Roman"/>
        <w:sz w:val="20"/>
        <w:szCs w:val="20"/>
      </w:rPr>
      <w:t>15</w:t>
    </w:r>
    <w:r>
      <w:rPr>
        <w:rFonts w:ascii="Times New Roman" w:hAnsi="Times New Roman" w:cs="Times New Roman"/>
        <w:sz w:val="20"/>
        <w:szCs w:val="20"/>
      </w:rPr>
      <w:t>012015</w:t>
    </w:r>
    <w:r w:rsidRPr="002D4CB4">
      <w:rPr>
        <w:rFonts w:ascii="Times New Roman" w:hAnsi="Times New Roman" w:cs="Times New Roman"/>
        <w:sz w:val="20"/>
        <w:szCs w:val="20"/>
      </w:rPr>
      <w:t>; Informatīvais ziņojums “Par samazināto pievienotās vērtības nodokļa likmi pārtikai vai atsevišķām pārtikas preču grupām un fiskālo ietekmi uz valsts budžetu”</w:t>
    </w:r>
  </w:p>
  <w:p w14:paraId="31B0CD53" w14:textId="77777777" w:rsidR="00987D52" w:rsidRDefault="00987D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9564D" w14:textId="77777777" w:rsidR="00271765" w:rsidRDefault="00271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9CF86" w14:textId="77777777" w:rsidR="00DA37A1" w:rsidRDefault="00DA37A1" w:rsidP="004A07E1">
      <w:pPr>
        <w:spacing w:after="0" w:line="240" w:lineRule="auto"/>
      </w:pPr>
      <w:r>
        <w:separator/>
      </w:r>
    </w:p>
  </w:footnote>
  <w:footnote w:type="continuationSeparator" w:id="0">
    <w:p w14:paraId="7982E141" w14:textId="77777777" w:rsidR="00DA37A1" w:rsidRDefault="00DA37A1" w:rsidP="004A07E1">
      <w:pPr>
        <w:spacing w:after="0" w:line="240" w:lineRule="auto"/>
      </w:pPr>
      <w:r>
        <w:continuationSeparator/>
      </w:r>
    </w:p>
  </w:footnote>
  <w:footnote w:type="continuationNotice" w:id="1">
    <w:p w14:paraId="36AD7482" w14:textId="77777777" w:rsidR="00DA37A1" w:rsidRDefault="00DA37A1">
      <w:pPr>
        <w:spacing w:after="0" w:line="240" w:lineRule="auto"/>
      </w:pPr>
    </w:p>
  </w:footnote>
  <w:footnote w:id="2">
    <w:p w14:paraId="479209AE" w14:textId="77777777" w:rsidR="00987D52" w:rsidRPr="00535EFB" w:rsidRDefault="00987D52" w:rsidP="00BC7E73">
      <w:pPr>
        <w:pStyle w:val="FootnoteText"/>
        <w:jc w:val="both"/>
        <w:rPr>
          <w:rFonts w:ascii="Times New Roman" w:hAnsi="Times New Roman" w:cs="Times New Roman"/>
        </w:rPr>
      </w:pPr>
      <w:r>
        <w:rPr>
          <w:rStyle w:val="FootnoteReference"/>
        </w:rPr>
        <w:footnoteRef/>
      </w:r>
      <w:r>
        <w:t xml:space="preserve"> </w:t>
      </w:r>
      <w:r w:rsidRPr="00535EFB">
        <w:rPr>
          <w:rFonts w:ascii="Times New Roman" w:hAnsi="Times New Roman" w:cs="Times New Roman"/>
        </w:rPr>
        <w:t>Privātā mājsaimniecība (mājsaimniecība) ir vairākas personas, kuras dzīvo vienā mājoklī un kopīgi sedz izdevumus, vai viena persona, kura saimnieko atsevišķi (CSP).</w:t>
      </w:r>
    </w:p>
  </w:footnote>
  <w:footnote w:id="3">
    <w:p w14:paraId="14D70183" w14:textId="70953912" w:rsidR="00987D52" w:rsidRPr="0048640B" w:rsidRDefault="00987D52">
      <w:pPr>
        <w:pStyle w:val="FootnoteText"/>
        <w:rPr>
          <w:rFonts w:ascii="Times New Roman" w:hAnsi="Times New Roman" w:cs="Times New Roman"/>
        </w:rPr>
      </w:pPr>
      <w:r>
        <w:rPr>
          <w:rStyle w:val="FootnoteReference"/>
        </w:rPr>
        <w:footnoteRef/>
      </w:r>
      <w:r>
        <w:t xml:space="preserve"> </w:t>
      </w:r>
      <w:r w:rsidRPr="0048640B">
        <w:rPr>
          <w:rFonts w:ascii="Times New Roman" w:hAnsi="Times New Roman" w:cs="Times New Roman"/>
        </w:rPr>
        <w:t>Starptautiskā Valūtas fonda rokasgrāmata „</w:t>
      </w:r>
      <w:proofErr w:type="spellStart"/>
      <w:r w:rsidRPr="0048640B">
        <w:rPr>
          <w:rFonts w:ascii="Times New Roman" w:hAnsi="Times New Roman" w:cs="Times New Roman"/>
        </w:rPr>
        <w:t>Manual</w:t>
      </w:r>
      <w:proofErr w:type="spellEnd"/>
      <w:r w:rsidRPr="0048640B">
        <w:rPr>
          <w:rFonts w:ascii="Times New Roman" w:hAnsi="Times New Roman" w:cs="Times New Roman"/>
        </w:rPr>
        <w:t xml:space="preserve"> </w:t>
      </w:r>
      <w:proofErr w:type="spellStart"/>
      <w:r w:rsidRPr="0048640B">
        <w:rPr>
          <w:rFonts w:ascii="Times New Roman" w:hAnsi="Times New Roman" w:cs="Times New Roman"/>
        </w:rPr>
        <w:t>on</w:t>
      </w:r>
      <w:proofErr w:type="spellEnd"/>
      <w:r w:rsidRPr="0048640B">
        <w:rPr>
          <w:rFonts w:ascii="Times New Roman" w:hAnsi="Times New Roman" w:cs="Times New Roman"/>
        </w:rPr>
        <w:t xml:space="preserve"> </w:t>
      </w:r>
      <w:proofErr w:type="spellStart"/>
      <w:r w:rsidRPr="0048640B">
        <w:rPr>
          <w:rFonts w:ascii="Times New Roman" w:hAnsi="Times New Roman" w:cs="Times New Roman"/>
        </w:rPr>
        <w:t>Fiscal</w:t>
      </w:r>
      <w:proofErr w:type="spellEnd"/>
      <w:r w:rsidRPr="0048640B">
        <w:rPr>
          <w:rFonts w:ascii="Times New Roman" w:hAnsi="Times New Roman" w:cs="Times New Roman"/>
        </w:rPr>
        <w:t xml:space="preserve"> </w:t>
      </w:r>
      <w:proofErr w:type="spellStart"/>
      <w:r w:rsidRPr="0048640B">
        <w:rPr>
          <w:rFonts w:ascii="Times New Roman" w:hAnsi="Times New Roman" w:cs="Times New Roman"/>
        </w:rPr>
        <w:t>Transparency</w:t>
      </w:r>
      <w:proofErr w:type="spellEnd"/>
      <w:r w:rsidRPr="0048640B">
        <w:rPr>
          <w:rFonts w:ascii="Times New Roman" w:hAnsi="Times New Roman" w:cs="Times New Roman"/>
        </w:rPr>
        <w:t xml:space="preserve">”, 2007, www.imf.org  </w:t>
      </w:r>
    </w:p>
  </w:footnote>
  <w:footnote w:id="4">
    <w:p w14:paraId="656B381F" w14:textId="2DC7C2CC" w:rsidR="00987D52" w:rsidRDefault="00987D52" w:rsidP="0021155E">
      <w:pPr>
        <w:pStyle w:val="FootnoteText"/>
        <w:jc w:val="both"/>
      </w:pPr>
      <w:r>
        <w:rPr>
          <w:rStyle w:val="FootnoteReference"/>
        </w:rPr>
        <w:footnoteRef/>
      </w:r>
      <w:r>
        <w:t xml:space="preserve"> </w:t>
      </w:r>
      <w:r w:rsidRPr="00FE1B95">
        <w:rPr>
          <w:rFonts w:ascii="Times New Roman" w:hAnsi="Times New Roman" w:cs="Times New Roman"/>
        </w:rPr>
        <w:t xml:space="preserve">Piemēram, direktīvas 2006/112/EK  105. pants nosaka, ka Portugāle darījumiem, ko veic Azoru salu un Madeiras autonomajos apgabalos, un tiešam importam šajos reģionos var piemērot likmes, kuras ir zemākas nekā tās, ko piemēro </w:t>
      </w:r>
      <w:r>
        <w:rPr>
          <w:rFonts w:ascii="Times New Roman" w:hAnsi="Times New Roman" w:cs="Times New Roman"/>
        </w:rPr>
        <w:t>sauszemē</w:t>
      </w:r>
      <w:r w:rsidRPr="00FE1B95">
        <w:rPr>
          <w:rFonts w:ascii="Times New Roman" w:hAnsi="Times New Roman" w:cs="Times New Roman"/>
        </w:rPr>
        <w:t>.</w:t>
      </w:r>
    </w:p>
  </w:footnote>
  <w:footnote w:id="5">
    <w:p w14:paraId="52E146BC" w14:textId="633EB015" w:rsidR="00987D52" w:rsidRPr="00B55511" w:rsidRDefault="00987D52" w:rsidP="0079004E">
      <w:pPr>
        <w:pStyle w:val="FootnoteText"/>
        <w:jc w:val="both"/>
        <w:rPr>
          <w:rFonts w:ascii="Times New Roman" w:eastAsia="Times New Roman" w:hAnsi="Times New Roman" w:cs="Times New Roman"/>
        </w:rPr>
      </w:pPr>
      <w:r>
        <w:rPr>
          <w:rStyle w:val="FootnoteReference"/>
        </w:rPr>
        <w:footnoteRef/>
      </w:r>
      <w:r>
        <w:t xml:space="preserve"> </w:t>
      </w:r>
      <w:r w:rsidRPr="00B55511">
        <w:rPr>
          <w:rFonts w:ascii="Times New Roman" w:eastAsia="Times New Roman" w:hAnsi="Times New Roman" w:cs="Times New Roman"/>
        </w:rPr>
        <w:t>Pamatojoties uz Eiropas Komisijas informācijas pieprasījumu EU PILOT lietā 6103/14/TAXU par dzīvojamās mājas pārvaldīšanas pakalpojuma atbrīvojumu no pievienotās vērtības nodokļa, Finanšu ministrijai būs jāizstrādā grozījumi Pievienotās vērtības nodokļa likumā, izslēdzot no likuma nosacījumu, kas paredz, ka ar PVN neapliek dzīvojamās mājas pārvaldīšanas pakalpojumu saskaņā ar pārvaldīšanas līgumā iekļautajiem maksājumiem.</w:t>
      </w:r>
    </w:p>
  </w:footnote>
  <w:footnote w:id="6">
    <w:p w14:paraId="73D5DF39" w14:textId="6B5CC8C2" w:rsidR="00987D52" w:rsidRDefault="00987D52">
      <w:pPr>
        <w:pStyle w:val="FootnoteText"/>
      </w:pPr>
      <w:r>
        <w:rPr>
          <w:rStyle w:val="FootnoteReference"/>
        </w:rPr>
        <w:footnoteRef/>
      </w:r>
      <w:r>
        <w:t xml:space="preserve"> </w:t>
      </w:r>
      <w:r w:rsidRPr="00A17448">
        <w:rPr>
          <w:rFonts w:ascii="Times New Roman" w:eastAsia="Times New Roman" w:hAnsi="Times New Roman" w:cs="Times New Roman"/>
        </w:rPr>
        <w:t>Direktīva 2006/112/EK</w:t>
      </w:r>
    </w:p>
  </w:footnote>
  <w:footnote w:id="7">
    <w:p w14:paraId="1A8C8B45" w14:textId="7881E1AB" w:rsidR="00987D52" w:rsidRPr="00EC1693" w:rsidRDefault="00987D52" w:rsidP="00EC1693">
      <w:pPr>
        <w:pStyle w:val="FootnoteText"/>
        <w:jc w:val="both"/>
        <w:rPr>
          <w:rFonts w:ascii="Times New Roman" w:eastAsia="Times New Roman" w:hAnsi="Times New Roman" w:cs="Times New Roman"/>
        </w:rPr>
      </w:pPr>
      <w:r w:rsidRPr="00EC1693">
        <w:rPr>
          <w:rStyle w:val="FootnoteReference"/>
        </w:rPr>
        <w:footnoteRef/>
      </w:r>
      <w:r w:rsidRPr="00EC1693">
        <w:rPr>
          <w:rStyle w:val="FootnoteReference"/>
        </w:rPr>
        <w:t xml:space="preserve"> </w:t>
      </w:r>
      <w:r w:rsidRPr="00F94316">
        <w:rPr>
          <w:rFonts w:ascii="Times New Roman" w:eastAsia="Times New Roman" w:hAnsi="Times New Roman" w:cs="Times New Roman"/>
        </w:rPr>
        <w:t>PVN resurss tiek maksāts kā noteikts procents (0,3%) no dalībvalstu aprēķinātās t.s. harmonizētās PVN bāzes – faktiskajiem PVN ieņēmumiem, kas tiek koriģēti balstoties uz dalībvalstu PVN likumdošanas atšķirībām no ES direktīvām</w:t>
      </w:r>
      <w:r>
        <w:rPr>
          <w:rFonts w:ascii="Times New Roman" w:eastAsia="Times New Roman" w:hAnsi="Times New Roman" w:cs="Times New Roman"/>
        </w:rPr>
        <w:t>.</w:t>
      </w:r>
      <w:r w:rsidRPr="00F94316">
        <w:rPr>
          <w:rFonts w:ascii="Times New Roman" w:eastAsia="Times New Roman" w:hAnsi="Times New Roman" w:cs="Times New Roman"/>
        </w:rPr>
        <w:t xml:space="preserve"> </w:t>
      </w:r>
    </w:p>
  </w:footnote>
  <w:footnote w:id="8">
    <w:p w14:paraId="47FE1401" w14:textId="48166229" w:rsidR="00C368B6" w:rsidRDefault="00C368B6">
      <w:pPr>
        <w:pStyle w:val="FootnoteText"/>
      </w:pPr>
      <w:r>
        <w:rPr>
          <w:rStyle w:val="FootnoteReference"/>
        </w:rPr>
        <w:footnoteRef/>
      </w:r>
      <w:r>
        <w:t xml:space="preserve"> </w:t>
      </w:r>
      <w:r w:rsidRPr="00C368B6">
        <w:rPr>
          <w:rFonts w:ascii="Times New Roman" w:hAnsi="Times New Roman" w:cs="Times New Roman"/>
        </w:rPr>
        <w:t xml:space="preserve">“Mājsaimniecību budžetu </w:t>
      </w:r>
      <w:proofErr w:type="spellStart"/>
      <w:r w:rsidRPr="00C368B6">
        <w:rPr>
          <w:rFonts w:ascii="Times New Roman" w:hAnsi="Times New Roman" w:cs="Times New Roman"/>
        </w:rPr>
        <w:t>apsekojuma</w:t>
      </w:r>
      <w:proofErr w:type="spellEnd"/>
      <w:r w:rsidRPr="00C368B6">
        <w:rPr>
          <w:rFonts w:ascii="Times New Roman" w:hAnsi="Times New Roman" w:cs="Times New Roman"/>
        </w:rPr>
        <w:t xml:space="preserve"> galvenie rezultāti 2013.g.”, CS</w:t>
      </w:r>
      <w:r w:rsidR="00BA4C6D">
        <w:rPr>
          <w:rFonts w:ascii="Times New Roman" w:hAnsi="Times New Roman" w:cs="Times New Roman"/>
        </w:rPr>
        <w:t>P</w:t>
      </w:r>
      <w:r w:rsidRPr="00C368B6">
        <w:rPr>
          <w:rFonts w:ascii="Times New Roman" w:hAnsi="Times New Roman" w:cs="Times New Roman"/>
        </w:rPr>
        <w:t>, 2014</w:t>
      </w:r>
      <w:r>
        <w:t xml:space="preserve"> </w:t>
      </w:r>
    </w:p>
  </w:footnote>
  <w:footnote w:id="9">
    <w:p w14:paraId="7F5BCDDF" w14:textId="77777777" w:rsidR="003F7396" w:rsidRPr="00195D26" w:rsidRDefault="003F7396" w:rsidP="003F7396">
      <w:pPr>
        <w:pStyle w:val="FootnoteText"/>
        <w:jc w:val="both"/>
        <w:rPr>
          <w:rFonts w:ascii="Times New Roman" w:eastAsia="Times New Roman" w:hAnsi="Times New Roman" w:cs="Times New Roman"/>
          <w:lang w:val="en-GB"/>
        </w:rPr>
      </w:pPr>
      <w:r>
        <w:rPr>
          <w:rStyle w:val="FootnoteReference"/>
        </w:rPr>
        <w:footnoteRef/>
      </w:r>
      <w:r>
        <w:t xml:space="preserve"> </w:t>
      </w:r>
      <w:r w:rsidRPr="00195D26">
        <w:rPr>
          <w:rFonts w:ascii="Times New Roman" w:eastAsia="Times New Roman" w:hAnsi="Times New Roman" w:cs="Times New Roman"/>
          <w:lang w:val="en-GB"/>
        </w:rPr>
        <w:t xml:space="preserve">“The Long Arm of the European VAT, Exemplified by the Dutch Experience”, L. Bettendorf, S. </w:t>
      </w:r>
      <w:proofErr w:type="spellStart"/>
      <w:r w:rsidRPr="00195D26">
        <w:rPr>
          <w:rFonts w:ascii="Times New Roman" w:eastAsia="Times New Roman" w:hAnsi="Times New Roman" w:cs="Times New Roman"/>
          <w:lang w:val="en-GB"/>
        </w:rPr>
        <w:t>Cnossen</w:t>
      </w:r>
      <w:proofErr w:type="spellEnd"/>
      <w:r w:rsidRPr="00195D26">
        <w:rPr>
          <w:rFonts w:ascii="Times New Roman" w:eastAsia="Times New Roman" w:hAnsi="Times New Roman" w:cs="Times New Roman"/>
          <w:lang w:val="en-GB"/>
        </w:rPr>
        <w:t>, CESIFO, Working paper No. 4730, Category 1: Public finance, March 2014</w:t>
      </w:r>
    </w:p>
  </w:footnote>
  <w:footnote w:id="10">
    <w:p w14:paraId="441E0D00" w14:textId="026E2C83" w:rsidR="00A92BFE" w:rsidRPr="00A92BFE" w:rsidRDefault="00A92BFE" w:rsidP="00A92BFE">
      <w:pPr>
        <w:pStyle w:val="FootnoteText"/>
        <w:jc w:val="both"/>
        <w:rPr>
          <w:rFonts w:ascii="Times New Roman" w:eastAsia="Times New Roman" w:hAnsi="Times New Roman" w:cs="Times New Roman"/>
          <w:lang w:val="en-GB"/>
        </w:rPr>
      </w:pPr>
      <w:r>
        <w:rPr>
          <w:rStyle w:val="FootnoteReference"/>
        </w:rPr>
        <w:footnoteRef/>
      </w:r>
      <w:r>
        <w:t xml:space="preserve"> </w:t>
      </w:r>
      <w:r w:rsidRPr="00A92BFE">
        <w:rPr>
          <w:rFonts w:ascii="Times New Roman" w:eastAsia="Times New Roman" w:hAnsi="Times New Roman" w:cs="Times New Roman"/>
          <w:lang w:val="en-GB"/>
        </w:rPr>
        <w:t>Atbrīvojumu no PVN nepiemēro iedzīvotāju maksājumiem par pakalpojumiem (tai skaitā par dzīvojamās mājas remontu), kas nav iekļauti dzīvojamās mājas pārvaldīšanas līgumā un netiek segti no ikmēneša maksājumiem par dzīvojamās mājas pārvaldīšanu, kā arī mākslinieku darbnīcu un neapdzīvojamo telpu pārvaldīšanas pakalpojumiem.</w:t>
      </w:r>
    </w:p>
  </w:footnote>
  <w:footnote w:id="11">
    <w:p w14:paraId="23A0C3B9" w14:textId="21ED6DF0" w:rsidR="00987D52" w:rsidRPr="00195D26" w:rsidRDefault="00987D52" w:rsidP="00195D26">
      <w:pPr>
        <w:spacing w:after="0" w:line="240" w:lineRule="auto"/>
        <w:jc w:val="both"/>
        <w:rPr>
          <w:rFonts w:ascii="Times New Roman" w:eastAsia="Times New Roman" w:hAnsi="Times New Roman" w:cs="Times New Roman"/>
          <w:sz w:val="20"/>
          <w:szCs w:val="20"/>
        </w:rPr>
      </w:pPr>
      <w:r w:rsidRPr="00195D26">
        <w:rPr>
          <w:rStyle w:val="FootnoteReference"/>
          <w:lang w:val="en-GB"/>
        </w:rPr>
        <w:footnoteRef/>
      </w:r>
      <w:r w:rsidRPr="00195D26">
        <w:rPr>
          <w:lang w:val="en-GB"/>
        </w:rPr>
        <w:t xml:space="preserve"> </w:t>
      </w:r>
      <w:r w:rsidRPr="00195D26">
        <w:rPr>
          <w:rFonts w:ascii="Times New Roman" w:eastAsia="Times New Roman" w:hAnsi="Times New Roman" w:cs="Times New Roman"/>
          <w:sz w:val="20"/>
          <w:szCs w:val="20"/>
          <w:lang w:val="en-GB"/>
        </w:rPr>
        <w:t>“The distributional effects of consumption taxes in Finland, France and Switzerland” Working party No. 2 on Tax Policy Analysis and Tax Statistics, Meeting: 18-20 November, 2014, Organisation for Economic Co-operation and Development</w:t>
      </w:r>
    </w:p>
  </w:footnote>
  <w:footnote w:id="12">
    <w:p w14:paraId="474BBBBD" w14:textId="661478E1" w:rsidR="00987D52" w:rsidRDefault="00987D52">
      <w:pPr>
        <w:pStyle w:val="FootnoteText"/>
      </w:pPr>
      <w:r>
        <w:rPr>
          <w:rStyle w:val="FootnoteReference"/>
        </w:rPr>
        <w:footnoteRef/>
      </w:r>
      <w:r>
        <w:t xml:space="preserve"> </w:t>
      </w:r>
      <w:r w:rsidRPr="00801610">
        <w:rPr>
          <w:rFonts w:ascii="Times New Roman" w:hAnsi="Times New Roman" w:cs="Times New Roman"/>
        </w:rPr>
        <w:t xml:space="preserve">Atsevišķas dalībvalstis var </w:t>
      </w:r>
      <w:r>
        <w:rPr>
          <w:rFonts w:ascii="Times New Roman" w:hAnsi="Times New Roman" w:cs="Times New Roman"/>
        </w:rPr>
        <w:t xml:space="preserve">turpināt </w:t>
      </w:r>
      <w:r w:rsidRPr="00801610">
        <w:rPr>
          <w:rFonts w:ascii="Times New Roman" w:hAnsi="Times New Roman" w:cs="Times New Roman"/>
        </w:rPr>
        <w:t xml:space="preserve">piemērot </w:t>
      </w:r>
      <w:r w:rsidRPr="00170E28">
        <w:rPr>
          <w:rFonts w:ascii="Times New Roman" w:hAnsi="Times New Roman" w:cs="Times New Roman"/>
        </w:rPr>
        <w:t>0% likm</w:t>
      </w:r>
      <w:r>
        <w:rPr>
          <w:rFonts w:ascii="Times New Roman" w:hAnsi="Times New Roman" w:cs="Times New Roman"/>
        </w:rPr>
        <w:t>i, pamatojoties uz panākto vienošanos</w:t>
      </w:r>
      <w:r w:rsidRPr="00170E28">
        <w:rPr>
          <w:rFonts w:ascii="Times New Roman" w:hAnsi="Times New Roman" w:cs="Times New Roman"/>
        </w:rPr>
        <w:t xml:space="preserve"> pievienošanās aktos.</w:t>
      </w:r>
      <w:r>
        <w:t xml:space="preserve"> </w:t>
      </w:r>
    </w:p>
  </w:footnote>
  <w:footnote w:id="13">
    <w:p w14:paraId="0599BF67" w14:textId="79E62CF7" w:rsidR="00987D52" w:rsidRPr="00330250" w:rsidRDefault="00987D52">
      <w:pPr>
        <w:pStyle w:val="FootnoteText"/>
        <w:rPr>
          <w:rFonts w:ascii="Times New Roman" w:eastAsia="Times New Roman" w:hAnsi="Times New Roman" w:cs="Times New Roman"/>
          <w:sz w:val="16"/>
          <w:szCs w:val="16"/>
          <w:lang w:val="en-GB"/>
        </w:rPr>
      </w:pPr>
      <w:r>
        <w:rPr>
          <w:rStyle w:val="FootnoteReference"/>
        </w:rPr>
        <w:footnoteRef/>
      </w:r>
      <w:r>
        <w:t xml:space="preserve"> </w:t>
      </w:r>
      <w:r w:rsidRPr="00330250">
        <w:rPr>
          <w:rFonts w:ascii="Times New Roman" w:eastAsia="Times New Roman" w:hAnsi="Times New Roman" w:cs="Times New Roman"/>
          <w:sz w:val="16"/>
          <w:szCs w:val="16"/>
          <w:lang w:val="en-GB"/>
        </w:rPr>
        <w:t xml:space="preserve">“DĖL PRIDĖTINĖS VERTĖS MOKESČIO LENGVATINIŲ TARIFŲ TAIKYMO”, VALSTYBINIO AUDITO ATASKAITA,  LIETUVOS RESPUBLIKOS VALSTYBĖS KONTROLĖ, 2006 m. </w:t>
      </w:r>
      <w:proofErr w:type="spellStart"/>
      <w:r w:rsidRPr="00330250">
        <w:rPr>
          <w:rFonts w:ascii="Times New Roman" w:eastAsia="Times New Roman" w:hAnsi="Times New Roman" w:cs="Times New Roman"/>
          <w:sz w:val="16"/>
          <w:szCs w:val="16"/>
          <w:lang w:val="en-GB"/>
        </w:rPr>
        <w:t>gruodžio</w:t>
      </w:r>
      <w:proofErr w:type="spellEnd"/>
      <w:r w:rsidRPr="00330250">
        <w:rPr>
          <w:rFonts w:ascii="Times New Roman" w:eastAsia="Times New Roman" w:hAnsi="Times New Roman" w:cs="Times New Roman"/>
          <w:sz w:val="16"/>
          <w:szCs w:val="16"/>
          <w:lang w:val="en-GB"/>
        </w:rPr>
        <w:t xml:space="preserve"> 19 d. Nr. 8000-7P-31</w:t>
      </w:r>
    </w:p>
  </w:footnote>
  <w:footnote w:id="14">
    <w:p w14:paraId="55C8619A" w14:textId="7DDB1F30" w:rsidR="00987D52" w:rsidRDefault="00987D52">
      <w:pPr>
        <w:pStyle w:val="FootnoteText"/>
      </w:pPr>
      <w:r>
        <w:rPr>
          <w:rStyle w:val="FootnoteReference"/>
        </w:rPr>
        <w:footnoteRef/>
      </w:r>
      <w:r>
        <w:t xml:space="preserve"> </w:t>
      </w:r>
      <w:r>
        <w:rPr>
          <w:rFonts w:ascii="Times New Roman" w:eastAsia="Times New Roman" w:hAnsi="Times New Roman" w:cs="Times New Roman"/>
          <w:lang w:val="en-GB"/>
        </w:rPr>
        <w:t xml:space="preserve">Ar 2015. gada 1. </w:t>
      </w:r>
      <w:proofErr w:type="spellStart"/>
      <w:r>
        <w:rPr>
          <w:rFonts w:ascii="Times New Roman" w:eastAsia="Times New Roman" w:hAnsi="Times New Roman" w:cs="Times New Roman"/>
          <w:lang w:val="en-GB"/>
        </w:rPr>
        <w:t>janvāri</w:t>
      </w:r>
      <w:proofErr w:type="spellEnd"/>
      <w:r>
        <w:rPr>
          <w:rFonts w:ascii="Times New Roman" w:eastAsia="Times New Roman" w:hAnsi="Times New Roman" w:cs="Times New Roman"/>
          <w:lang w:val="en-GB"/>
        </w:rPr>
        <w:t xml:space="preserve"> </w:t>
      </w:r>
      <w:r w:rsidR="000E38B6">
        <w:rPr>
          <w:rFonts w:ascii="Times New Roman" w:eastAsia="Times New Roman" w:hAnsi="Times New Roman" w:cs="Times New Roman"/>
          <w:lang w:val="en-GB"/>
        </w:rPr>
        <w:t xml:space="preserve">PVN </w:t>
      </w:r>
      <w:proofErr w:type="spellStart"/>
      <w:r w:rsidR="009B7FD9">
        <w:rPr>
          <w:rFonts w:ascii="Times New Roman" w:eastAsia="Times New Roman" w:hAnsi="Times New Roman" w:cs="Times New Roman"/>
          <w:lang w:val="en-GB"/>
        </w:rPr>
        <w:t>standart</w:t>
      </w:r>
      <w:r w:rsidR="000E38B6">
        <w:rPr>
          <w:rFonts w:ascii="Times New Roman" w:eastAsia="Times New Roman" w:hAnsi="Times New Roman" w:cs="Times New Roman"/>
          <w:lang w:val="en-GB"/>
        </w:rPr>
        <w:t>likme</w:t>
      </w:r>
      <w:proofErr w:type="spellEnd"/>
      <w:r w:rsidR="000E38B6">
        <w:rPr>
          <w:rFonts w:ascii="Times New Roman" w:eastAsia="Times New Roman" w:hAnsi="Times New Roman" w:cs="Times New Roman"/>
          <w:lang w:val="en-GB"/>
        </w:rPr>
        <w:t xml:space="preserve"> 17%</w:t>
      </w:r>
    </w:p>
  </w:footnote>
  <w:footnote w:id="15">
    <w:p w14:paraId="379F5581" w14:textId="5E197E86" w:rsidR="00987D52" w:rsidRPr="006E6C06" w:rsidRDefault="00987D52" w:rsidP="005F0EFA">
      <w:pPr>
        <w:autoSpaceDE w:val="0"/>
        <w:autoSpaceDN w:val="0"/>
        <w:adjustRightInd w:val="0"/>
        <w:spacing w:after="0" w:line="240" w:lineRule="auto"/>
        <w:jc w:val="both"/>
        <w:rPr>
          <w:rFonts w:ascii="Times New Roman" w:hAnsi="Times New Roman" w:cs="Times New Roman"/>
          <w:sz w:val="20"/>
          <w:szCs w:val="20"/>
          <w:lang w:val="en-GB"/>
        </w:rPr>
      </w:pPr>
      <w:r>
        <w:rPr>
          <w:rStyle w:val="FootnoteReference"/>
        </w:rPr>
        <w:footnoteRef/>
      </w:r>
      <w:r>
        <w:t xml:space="preserve"> </w:t>
      </w:r>
      <w:r w:rsidRPr="005F0EFA">
        <w:rPr>
          <w:rFonts w:ascii="Times New Roman" w:hAnsi="Times New Roman" w:cs="Times New Roman"/>
          <w:sz w:val="20"/>
          <w:szCs w:val="20"/>
        </w:rPr>
        <w:t>Rīgas Starptautiskā ekonomikas un biznesa administrācijas augstskolas pētījums “Samazinātās PVN likmes piemērošanas pārtikas produktu grupām ietekme Latvijas tautsaimniecībā”,</w:t>
      </w:r>
      <w:r w:rsidRPr="006E6C06">
        <w:rPr>
          <w:rFonts w:ascii="Times New Roman" w:hAnsi="Times New Roman" w:cs="Times New Roman"/>
          <w:sz w:val="20"/>
          <w:szCs w:val="20"/>
          <w:lang w:val="en-GB"/>
        </w:rPr>
        <w:t xml:space="preserve"> 2012</w:t>
      </w:r>
    </w:p>
  </w:footnote>
  <w:footnote w:id="16">
    <w:p w14:paraId="13052D63" w14:textId="77777777" w:rsidR="00987D52" w:rsidRDefault="00987D52" w:rsidP="005F0EFA">
      <w:pPr>
        <w:pStyle w:val="FootnoteText"/>
        <w:jc w:val="both"/>
      </w:pPr>
      <w:r>
        <w:rPr>
          <w:rStyle w:val="FootnoteReference"/>
        </w:rPr>
        <w:footnoteRef/>
      </w:r>
      <w:r>
        <w:t xml:space="preserve"> </w:t>
      </w:r>
      <w:r w:rsidRPr="00F64128">
        <w:rPr>
          <w:rFonts w:ascii="Times New Roman" w:hAnsi="Times New Roman" w:cs="Times New Roman"/>
          <w:lang w:val="en-GB"/>
        </w:rPr>
        <w:t>Copenhagen Economics (2007) ”Study on reduced VAT applied to goods and services in the member states of the European Union, final report”, 6503 DG TAXUD</w:t>
      </w:r>
    </w:p>
  </w:footnote>
  <w:footnote w:id="17">
    <w:p w14:paraId="74371E3A" w14:textId="1B5D651F" w:rsidR="00987D52" w:rsidRDefault="00987D52">
      <w:pPr>
        <w:pStyle w:val="FootnoteText"/>
      </w:pPr>
      <w:r>
        <w:rPr>
          <w:rStyle w:val="FootnoteReference"/>
        </w:rPr>
        <w:footnoteRef/>
      </w:r>
      <w:r>
        <w:t xml:space="preserve"> </w:t>
      </w:r>
      <w:r w:rsidRPr="00B87B38">
        <w:rPr>
          <w:rFonts w:ascii="Times New Roman" w:hAnsi="Times New Roman" w:cs="Times New Roman"/>
        </w:rPr>
        <w:t>Rīgas Starptautiskā ekonomikas un biznesa administrācijas augstskolas pētījums “Samazinātās PVN likmes piemērošanas pārtikas produktu grupām ietekme Latvijas tautsaimniecībā”,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AC513" w14:textId="77777777" w:rsidR="00271765" w:rsidRDefault="002717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408394"/>
      <w:docPartObj>
        <w:docPartGallery w:val="Page Numbers (Top of Page)"/>
        <w:docPartUnique/>
      </w:docPartObj>
    </w:sdtPr>
    <w:sdtEndPr>
      <w:rPr>
        <w:rFonts w:ascii="Times New Roman" w:hAnsi="Times New Roman" w:cs="Times New Roman"/>
        <w:noProof/>
        <w:sz w:val="24"/>
        <w:szCs w:val="24"/>
      </w:rPr>
    </w:sdtEndPr>
    <w:sdtContent>
      <w:p w14:paraId="48AAF087" w14:textId="77777777" w:rsidR="00987D52" w:rsidRPr="003A6B57" w:rsidRDefault="00987D52">
        <w:pPr>
          <w:pStyle w:val="Header"/>
          <w:jc w:val="center"/>
          <w:rPr>
            <w:rFonts w:ascii="Times New Roman" w:hAnsi="Times New Roman" w:cs="Times New Roman"/>
            <w:sz w:val="24"/>
            <w:szCs w:val="24"/>
          </w:rPr>
        </w:pPr>
        <w:r w:rsidRPr="003A6B57">
          <w:rPr>
            <w:rFonts w:ascii="Times New Roman" w:hAnsi="Times New Roman" w:cs="Times New Roman"/>
            <w:sz w:val="24"/>
            <w:szCs w:val="24"/>
          </w:rPr>
          <w:fldChar w:fldCharType="begin"/>
        </w:r>
        <w:r w:rsidRPr="003A6B57">
          <w:rPr>
            <w:rFonts w:ascii="Times New Roman" w:hAnsi="Times New Roman" w:cs="Times New Roman"/>
            <w:sz w:val="24"/>
            <w:szCs w:val="24"/>
          </w:rPr>
          <w:instrText xml:space="preserve"> PAGE   \* MERGEFORMAT </w:instrText>
        </w:r>
        <w:r w:rsidRPr="003A6B57">
          <w:rPr>
            <w:rFonts w:ascii="Times New Roman" w:hAnsi="Times New Roman" w:cs="Times New Roman"/>
            <w:sz w:val="24"/>
            <w:szCs w:val="24"/>
          </w:rPr>
          <w:fldChar w:fldCharType="separate"/>
        </w:r>
        <w:r w:rsidR="00953B83">
          <w:rPr>
            <w:rFonts w:ascii="Times New Roman" w:hAnsi="Times New Roman" w:cs="Times New Roman"/>
            <w:noProof/>
            <w:sz w:val="24"/>
            <w:szCs w:val="24"/>
          </w:rPr>
          <w:t>1</w:t>
        </w:r>
        <w:r w:rsidRPr="003A6B57">
          <w:rPr>
            <w:rFonts w:ascii="Times New Roman" w:hAnsi="Times New Roman" w:cs="Times New Roman"/>
            <w:noProof/>
            <w:sz w:val="24"/>
            <w:szCs w:val="24"/>
          </w:rPr>
          <w:fldChar w:fldCharType="end"/>
        </w:r>
      </w:p>
    </w:sdtContent>
  </w:sdt>
  <w:p w14:paraId="60DA4268" w14:textId="77777777" w:rsidR="00987D52" w:rsidRDefault="00987D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4D0F8" w14:textId="77777777" w:rsidR="00271765" w:rsidRDefault="002717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41E80"/>
    <w:multiLevelType w:val="multilevel"/>
    <w:tmpl w:val="B2863E76"/>
    <w:lvl w:ilvl="0">
      <w:start w:val="2"/>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A896AF0"/>
    <w:multiLevelType w:val="multilevel"/>
    <w:tmpl w:val="A3521B56"/>
    <w:lvl w:ilvl="0">
      <w:start w:val="1"/>
      <w:numFmt w:val="decimal"/>
      <w:lvlText w:val="%1."/>
      <w:lvlJc w:val="left"/>
      <w:pPr>
        <w:ind w:left="720" w:hanging="360"/>
      </w:pPr>
      <w:rPr>
        <w:rFonts w:ascii="Times New Roman" w:eastAsia="Times New Roman" w:hAnsi="Times New Roman" w:cs="Times New Roman" w:hint="default"/>
        <w:b/>
        <w:sz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CE2467A"/>
    <w:multiLevelType w:val="hybridMultilevel"/>
    <w:tmpl w:val="189EC17A"/>
    <w:lvl w:ilvl="0" w:tplc="5D88A3C2">
      <w:start w:val="1"/>
      <w:numFmt w:val="decimal"/>
      <w:lvlText w:val="%1."/>
      <w:lvlJc w:val="left"/>
      <w:pPr>
        <w:ind w:left="7448" w:hanging="360"/>
      </w:pPr>
      <w:rPr>
        <w:rFonts w:hint="default"/>
      </w:rPr>
    </w:lvl>
    <w:lvl w:ilvl="1" w:tplc="04260019" w:tentative="1">
      <w:start w:val="1"/>
      <w:numFmt w:val="lowerLetter"/>
      <w:lvlText w:val="%2."/>
      <w:lvlJc w:val="left"/>
      <w:pPr>
        <w:ind w:left="7819" w:hanging="360"/>
      </w:pPr>
    </w:lvl>
    <w:lvl w:ilvl="2" w:tplc="0426001B" w:tentative="1">
      <w:start w:val="1"/>
      <w:numFmt w:val="lowerRoman"/>
      <w:lvlText w:val="%3."/>
      <w:lvlJc w:val="right"/>
      <w:pPr>
        <w:ind w:left="8539" w:hanging="180"/>
      </w:pPr>
    </w:lvl>
    <w:lvl w:ilvl="3" w:tplc="0426000F" w:tentative="1">
      <w:start w:val="1"/>
      <w:numFmt w:val="decimal"/>
      <w:lvlText w:val="%4."/>
      <w:lvlJc w:val="left"/>
      <w:pPr>
        <w:ind w:left="9259" w:hanging="360"/>
      </w:pPr>
    </w:lvl>
    <w:lvl w:ilvl="4" w:tplc="04260019" w:tentative="1">
      <w:start w:val="1"/>
      <w:numFmt w:val="lowerLetter"/>
      <w:lvlText w:val="%5."/>
      <w:lvlJc w:val="left"/>
      <w:pPr>
        <w:ind w:left="9979" w:hanging="360"/>
      </w:pPr>
    </w:lvl>
    <w:lvl w:ilvl="5" w:tplc="0426001B" w:tentative="1">
      <w:start w:val="1"/>
      <w:numFmt w:val="lowerRoman"/>
      <w:lvlText w:val="%6."/>
      <w:lvlJc w:val="right"/>
      <w:pPr>
        <w:ind w:left="10699" w:hanging="180"/>
      </w:pPr>
    </w:lvl>
    <w:lvl w:ilvl="6" w:tplc="0426000F" w:tentative="1">
      <w:start w:val="1"/>
      <w:numFmt w:val="decimal"/>
      <w:lvlText w:val="%7."/>
      <w:lvlJc w:val="left"/>
      <w:pPr>
        <w:ind w:left="11419" w:hanging="360"/>
      </w:pPr>
    </w:lvl>
    <w:lvl w:ilvl="7" w:tplc="04260019" w:tentative="1">
      <w:start w:val="1"/>
      <w:numFmt w:val="lowerLetter"/>
      <w:lvlText w:val="%8."/>
      <w:lvlJc w:val="left"/>
      <w:pPr>
        <w:ind w:left="12139" w:hanging="360"/>
      </w:pPr>
    </w:lvl>
    <w:lvl w:ilvl="8" w:tplc="0426001B" w:tentative="1">
      <w:start w:val="1"/>
      <w:numFmt w:val="lowerRoman"/>
      <w:lvlText w:val="%9."/>
      <w:lvlJc w:val="right"/>
      <w:pPr>
        <w:ind w:left="12859" w:hanging="180"/>
      </w:pPr>
    </w:lvl>
  </w:abstractNum>
  <w:abstractNum w:abstractNumId="3">
    <w:nsid w:val="203D6EC7"/>
    <w:multiLevelType w:val="multilevel"/>
    <w:tmpl w:val="322623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0B5E7E"/>
    <w:multiLevelType w:val="multilevel"/>
    <w:tmpl w:val="BAFC08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767D74"/>
    <w:multiLevelType w:val="hybridMultilevel"/>
    <w:tmpl w:val="19067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A950562"/>
    <w:multiLevelType w:val="multilevel"/>
    <w:tmpl w:val="BAFC08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7F606D"/>
    <w:multiLevelType w:val="multilevel"/>
    <w:tmpl w:val="257A0D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727081"/>
    <w:multiLevelType w:val="hybridMultilevel"/>
    <w:tmpl w:val="C01695A0"/>
    <w:lvl w:ilvl="0" w:tplc="5D88A3C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7"/>
  </w:num>
  <w:num w:numId="2">
    <w:abstractNumId w:val="3"/>
  </w:num>
  <w:num w:numId="3">
    <w:abstractNumId w:val="4"/>
  </w:num>
  <w:num w:numId="4">
    <w:abstractNumId w:val="6"/>
  </w:num>
  <w:num w:numId="5">
    <w:abstractNumId w:val="5"/>
  </w:num>
  <w:num w:numId="6">
    <w:abstractNumId w:val="1"/>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5E8"/>
    <w:rsid w:val="00000D59"/>
    <w:rsid w:val="00002FB4"/>
    <w:rsid w:val="000054EB"/>
    <w:rsid w:val="0000791B"/>
    <w:rsid w:val="000151AF"/>
    <w:rsid w:val="00017414"/>
    <w:rsid w:val="00023D48"/>
    <w:rsid w:val="00026DC1"/>
    <w:rsid w:val="0002703B"/>
    <w:rsid w:val="00027802"/>
    <w:rsid w:val="00031E5F"/>
    <w:rsid w:val="00032360"/>
    <w:rsid w:val="0003322C"/>
    <w:rsid w:val="00033B97"/>
    <w:rsid w:val="00035093"/>
    <w:rsid w:val="0003564B"/>
    <w:rsid w:val="00035CF6"/>
    <w:rsid w:val="00041764"/>
    <w:rsid w:val="000451BF"/>
    <w:rsid w:val="0004537B"/>
    <w:rsid w:val="000468E7"/>
    <w:rsid w:val="00047B04"/>
    <w:rsid w:val="00047D54"/>
    <w:rsid w:val="000528AC"/>
    <w:rsid w:val="0005457A"/>
    <w:rsid w:val="00060086"/>
    <w:rsid w:val="000620C7"/>
    <w:rsid w:val="00062B7C"/>
    <w:rsid w:val="000648D9"/>
    <w:rsid w:val="000656B4"/>
    <w:rsid w:val="00070C7B"/>
    <w:rsid w:val="00072B23"/>
    <w:rsid w:val="00074886"/>
    <w:rsid w:val="000764C4"/>
    <w:rsid w:val="00081365"/>
    <w:rsid w:val="00084FDE"/>
    <w:rsid w:val="00085E15"/>
    <w:rsid w:val="000860BC"/>
    <w:rsid w:val="00092700"/>
    <w:rsid w:val="0009789F"/>
    <w:rsid w:val="000A352D"/>
    <w:rsid w:val="000A3E16"/>
    <w:rsid w:val="000A463A"/>
    <w:rsid w:val="000A495A"/>
    <w:rsid w:val="000A4C49"/>
    <w:rsid w:val="000A6A06"/>
    <w:rsid w:val="000B29B3"/>
    <w:rsid w:val="000B2DB4"/>
    <w:rsid w:val="000B4C38"/>
    <w:rsid w:val="000B7393"/>
    <w:rsid w:val="000B7DA8"/>
    <w:rsid w:val="000C1AB8"/>
    <w:rsid w:val="000C5BD7"/>
    <w:rsid w:val="000C6DAD"/>
    <w:rsid w:val="000D15D1"/>
    <w:rsid w:val="000D3930"/>
    <w:rsid w:val="000D3E72"/>
    <w:rsid w:val="000D5FB3"/>
    <w:rsid w:val="000D7962"/>
    <w:rsid w:val="000E38B6"/>
    <w:rsid w:val="000F2A86"/>
    <w:rsid w:val="000F719A"/>
    <w:rsid w:val="001004E6"/>
    <w:rsid w:val="0010121C"/>
    <w:rsid w:val="00102B5D"/>
    <w:rsid w:val="00102FE2"/>
    <w:rsid w:val="0010310C"/>
    <w:rsid w:val="00104D1B"/>
    <w:rsid w:val="00105529"/>
    <w:rsid w:val="00106281"/>
    <w:rsid w:val="00107319"/>
    <w:rsid w:val="0011006B"/>
    <w:rsid w:val="00110095"/>
    <w:rsid w:val="00112BC2"/>
    <w:rsid w:val="00113A92"/>
    <w:rsid w:val="00121913"/>
    <w:rsid w:val="00122D72"/>
    <w:rsid w:val="001250FD"/>
    <w:rsid w:val="001261B2"/>
    <w:rsid w:val="001317BF"/>
    <w:rsid w:val="0013212F"/>
    <w:rsid w:val="00132510"/>
    <w:rsid w:val="00134159"/>
    <w:rsid w:val="0013424A"/>
    <w:rsid w:val="001348B7"/>
    <w:rsid w:val="001354E9"/>
    <w:rsid w:val="00136292"/>
    <w:rsid w:val="001368F7"/>
    <w:rsid w:val="0013713A"/>
    <w:rsid w:val="0014158A"/>
    <w:rsid w:val="0014216B"/>
    <w:rsid w:val="0014237F"/>
    <w:rsid w:val="001424E9"/>
    <w:rsid w:val="0015031B"/>
    <w:rsid w:val="0015061D"/>
    <w:rsid w:val="001510EE"/>
    <w:rsid w:val="00154EF3"/>
    <w:rsid w:val="00156FC3"/>
    <w:rsid w:val="001573EC"/>
    <w:rsid w:val="00160B21"/>
    <w:rsid w:val="00160D60"/>
    <w:rsid w:val="00163CA1"/>
    <w:rsid w:val="00164A40"/>
    <w:rsid w:val="00166B63"/>
    <w:rsid w:val="001709D1"/>
    <w:rsid w:val="00170E28"/>
    <w:rsid w:val="00172D3A"/>
    <w:rsid w:val="001755AC"/>
    <w:rsid w:val="00177F62"/>
    <w:rsid w:val="00180BD3"/>
    <w:rsid w:val="0018234D"/>
    <w:rsid w:val="001854E3"/>
    <w:rsid w:val="001856EF"/>
    <w:rsid w:val="00186A73"/>
    <w:rsid w:val="00186E71"/>
    <w:rsid w:val="0019012D"/>
    <w:rsid w:val="00191D5D"/>
    <w:rsid w:val="00191F3A"/>
    <w:rsid w:val="00195D26"/>
    <w:rsid w:val="001967A1"/>
    <w:rsid w:val="001968AA"/>
    <w:rsid w:val="00197520"/>
    <w:rsid w:val="001A18E9"/>
    <w:rsid w:val="001A229B"/>
    <w:rsid w:val="001A643D"/>
    <w:rsid w:val="001B08A4"/>
    <w:rsid w:val="001B2511"/>
    <w:rsid w:val="001B37A1"/>
    <w:rsid w:val="001B4AAB"/>
    <w:rsid w:val="001B71CB"/>
    <w:rsid w:val="001B7CCC"/>
    <w:rsid w:val="001C0050"/>
    <w:rsid w:val="001C2D09"/>
    <w:rsid w:val="001C7CD8"/>
    <w:rsid w:val="001D4A9A"/>
    <w:rsid w:val="001D5438"/>
    <w:rsid w:val="001D61AC"/>
    <w:rsid w:val="001D74A2"/>
    <w:rsid w:val="001E20D1"/>
    <w:rsid w:val="001E45B1"/>
    <w:rsid w:val="001E6595"/>
    <w:rsid w:val="001E6D11"/>
    <w:rsid w:val="001E732D"/>
    <w:rsid w:val="001F0852"/>
    <w:rsid w:val="001F1623"/>
    <w:rsid w:val="001F2428"/>
    <w:rsid w:val="001F2740"/>
    <w:rsid w:val="001F3B12"/>
    <w:rsid w:val="001F7180"/>
    <w:rsid w:val="001F7E62"/>
    <w:rsid w:val="00202818"/>
    <w:rsid w:val="0021155E"/>
    <w:rsid w:val="00212B27"/>
    <w:rsid w:val="0021555E"/>
    <w:rsid w:val="002157D3"/>
    <w:rsid w:val="0021625F"/>
    <w:rsid w:val="00221034"/>
    <w:rsid w:val="00221333"/>
    <w:rsid w:val="00221A75"/>
    <w:rsid w:val="002232A8"/>
    <w:rsid w:val="00223F9C"/>
    <w:rsid w:val="00224051"/>
    <w:rsid w:val="00224257"/>
    <w:rsid w:val="00226777"/>
    <w:rsid w:val="0023108D"/>
    <w:rsid w:val="00235D9D"/>
    <w:rsid w:val="0024154B"/>
    <w:rsid w:val="0024189A"/>
    <w:rsid w:val="002425B5"/>
    <w:rsid w:val="00242D75"/>
    <w:rsid w:val="00243B68"/>
    <w:rsid w:val="00243B7C"/>
    <w:rsid w:val="0024404B"/>
    <w:rsid w:val="0024654C"/>
    <w:rsid w:val="00251B1E"/>
    <w:rsid w:val="002611D9"/>
    <w:rsid w:val="00264E09"/>
    <w:rsid w:val="00266020"/>
    <w:rsid w:val="00266051"/>
    <w:rsid w:val="0026644C"/>
    <w:rsid w:val="00267CA4"/>
    <w:rsid w:val="0027145F"/>
    <w:rsid w:val="00271765"/>
    <w:rsid w:val="00272F7E"/>
    <w:rsid w:val="002748ED"/>
    <w:rsid w:val="002749A8"/>
    <w:rsid w:val="002771F2"/>
    <w:rsid w:val="002809AC"/>
    <w:rsid w:val="00284635"/>
    <w:rsid w:val="002917D3"/>
    <w:rsid w:val="00293097"/>
    <w:rsid w:val="002951D3"/>
    <w:rsid w:val="00295C5D"/>
    <w:rsid w:val="00296D3C"/>
    <w:rsid w:val="002A1DFD"/>
    <w:rsid w:val="002A2EF0"/>
    <w:rsid w:val="002A3FB2"/>
    <w:rsid w:val="002A7154"/>
    <w:rsid w:val="002B4429"/>
    <w:rsid w:val="002B4869"/>
    <w:rsid w:val="002C1CCE"/>
    <w:rsid w:val="002C33CE"/>
    <w:rsid w:val="002C59F7"/>
    <w:rsid w:val="002C5CA4"/>
    <w:rsid w:val="002C7946"/>
    <w:rsid w:val="002D1F69"/>
    <w:rsid w:val="002D335E"/>
    <w:rsid w:val="002D4172"/>
    <w:rsid w:val="002D4942"/>
    <w:rsid w:val="002D4CB4"/>
    <w:rsid w:val="002D52A2"/>
    <w:rsid w:val="002E092B"/>
    <w:rsid w:val="002E155A"/>
    <w:rsid w:val="002E2605"/>
    <w:rsid w:val="002E3572"/>
    <w:rsid w:val="002E42BA"/>
    <w:rsid w:val="002E6152"/>
    <w:rsid w:val="002F12AF"/>
    <w:rsid w:val="002F1C8F"/>
    <w:rsid w:val="002F202B"/>
    <w:rsid w:val="002F32BF"/>
    <w:rsid w:val="002F4155"/>
    <w:rsid w:val="002F46BC"/>
    <w:rsid w:val="0030056D"/>
    <w:rsid w:val="00302A87"/>
    <w:rsid w:val="00303C14"/>
    <w:rsid w:val="00304CA9"/>
    <w:rsid w:val="00306761"/>
    <w:rsid w:val="00307BD5"/>
    <w:rsid w:val="003111EF"/>
    <w:rsid w:val="00311B62"/>
    <w:rsid w:val="00314712"/>
    <w:rsid w:val="00314CFE"/>
    <w:rsid w:val="00316D78"/>
    <w:rsid w:val="00323BC6"/>
    <w:rsid w:val="003243FB"/>
    <w:rsid w:val="00324912"/>
    <w:rsid w:val="00326A71"/>
    <w:rsid w:val="00330250"/>
    <w:rsid w:val="003308CE"/>
    <w:rsid w:val="0033114B"/>
    <w:rsid w:val="003323D0"/>
    <w:rsid w:val="003327EA"/>
    <w:rsid w:val="00332C15"/>
    <w:rsid w:val="00334C85"/>
    <w:rsid w:val="00340200"/>
    <w:rsid w:val="00340E72"/>
    <w:rsid w:val="003427B0"/>
    <w:rsid w:val="00342AB8"/>
    <w:rsid w:val="0034480A"/>
    <w:rsid w:val="00345011"/>
    <w:rsid w:val="00345237"/>
    <w:rsid w:val="00345247"/>
    <w:rsid w:val="0035009E"/>
    <w:rsid w:val="00351184"/>
    <w:rsid w:val="00352AFB"/>
    <w:rsid w:val="003576BE"/>
    <w:rsid w:val="003604F1"/>
    <w:rsid w:val="003611AC"/>
    <w:rsid w:val="003612D4"/>
    <w:rsid w:val="00362DB7"/>
    <w:rsid w:val="00363C14"/>
    <w:rsid w:val="003649C2"/>
    <w:rsid w:val="00366BFD"/>
    <w:rsid w:val="003723C3"/>
    <w:rsid w:val="003724A9"/>
    <w:rsid w:val="00373225"/>
    <w:rsid w:val="003754FD"/>
    <w:rsid w:val="00377EF5"/>
    <w:rsid w:val="00380612"/>
    <w:rsid w:val="003859D9"/>
    <w:rsid w:val="00391150"/>
    <w:rsid w:val="003922A3"/>
    <w:rsid w:val="00392C71"/>
    <w:rsid w:val="00393016"/>
    <w:rsid w:val="00395382"/>
    <w:rsid w:val="00397F6A"/>
    <w:rsid w:val="003A0216"/>
    <w:rsid w:val="003A27CC"/>
    <w:rsid w:val="003A3242"/>
    <w:rsid w:val="003A456E"/>
    <w:rsid w:val="003A4F0B"/>
    <w:rsid w:val="003A5DC5"/>
    <w:rsid w:val="003A6B57"/>
    <w:rsid w:val="003B312C"/>
    <w:rsid w:val="003C41A3"/>
    <w:rsid w:val="003C4B12"/>
    <w:rsid w:val="003C509A"/>
    <w:rsid w:val="003D06E7"/>
    <w:rsid w:val="003D6E8A"/>
    <w:rsid w:val="003E083D"/>
    <w:rsid w:val="003E21E7"/>
    <w:rsid w:val="003E2420"/>
    <w:rsid w:val="003E37FF"/>
    <w:rsid w:val="003E5F2C"/>
    <w:rsid w:val="003F1627"/>
    <w:rsid w:val="003F5C98"/>
    <w:rsid w:val="003F6BB5"/>
    <w:rsid w:val="003F7396"/>
    <w:rsid w:val="00401631"/>
    <w:rsid w:val="00401ED3"/>
    <w:rsid w:val="004039CF"/>
    <w:rsid w:val="00404C83"/>
    <w:rsid w:val="00405B2D"/>
    <w:rsid w:val="0040685B"/>
    <w:rsid w:val="00410277"/>
    <w:rsid w:val="00410631"/>
    <w:rsid w:val="00413642"/>
    <w:rsid w:val="00414ED3"/>
    <w:rsid w:val="004150A6"/>
    <w:rsid w:val="0041566C"/>
    <w:rsid w:val="00421576"/>
    <w:rsid w:val="004216BE"/>
    <w:rsid w:val="004217EF"/>
    <w:rsid w:val="004222B4"/>
    <w:rsid w:val="00422438"/>
    <w:rsid w:val="004247AC"/>
    <w:rsid w:val="004270BB"/>
    <w:rsid w:val="004310D3"/>
    <w:rsid w:val="00431BB1"/>
    <w:rsid w:val="0043418E"/>
    <w:rsid w:val="004343D2"/>
    <w:rsid w:val="00435902"/>
    <w:rsid w:val="00435F39"/>
    <w:rsid w:val="004376D5"/>
    <w:rsid w:val="00440544"/>
    <w:rsid w:val="00443311"/>
    <w:rsid w:val="0044477A"/>
    <w:rsid w:val="0045086C"/>
    <w:rsid w:val="00453232"/>
    <w:rsid w:val="004540A1"/>
    <w:rsid w:val="0045627E"/>
    <w:rsid w:val="004620BC"/>
    <w:rsid w:val="004626E2"/>
    <w:rsid w:val="00463E6E"/>
    <w:rsid w:val="004664F1"/>
    <w:rsid w:val="00467895"/>
    <w:rsid w:val="004716E7"/>
    <w:rsid w:val="00472403"/>
    <w:rsid w:val="0047482C"/>
    <w:rsid w:val="0047583D"/>
    <w:rsid w:val="004819D0"/>
    <w:rsid w:val="00482BAC"/>
    <w:rsid w:val="00483B26"/>
    <w:rsid w:val="00483E94"/>
    <w:rsid w:val="00484604"/>
    <w:rsid w:val="00485B47"/>
    <w:rsid w:val="0048640B"/>
    <w:rsid w:val="00491B3F"/>
    <w:rsid w:val="00492183"/>
    <w:rsid w:val="004936CF"/>
    <w:rsid w:val="00493C79"/>
    <w:rsid w:val="00493EC6"/>
    <w:rsid w:val="004A0217"/>
    <w:rsid w:val="004A0259"/>
    <w:rsid w:val="004A07E1"/>
    <w:rsid w:val="004A08A0"/>
    <w:rsid w:val="004A3D63"/>
    <w:rsid w:val="004A3F3E"/>
    <w:rsid w:val="004A4895"/>
    <w:rsid w:val="004A4A3C"/>
    <w:rsid w:val="004A72D0"/>
    <w:rsid w:val="004B0D85"/>
    <w:rsid w:val="004B11DA"/>
    <w:rsid w:val="004B3950"/>
    <w:rsid w:val="004C0331"/>
    <w:rsid w:val="004C5118"/>
    <w:rsid w:val="004C6489"/>
    <w:rsid w:val="004D2EAF"/>
    <w:rsid w:val="004D4C65"/>
    <w:rsid w:val="004D7F30"/>
    <w:rsid w:val="004E2042"/>
    <w:rsid w:val="004E255D"/>
    <w:rsid w:val="004E301F"/>
    <w:rsid w:val="004E35A4"/>
    <w:rsid w:val="004E5DD9"/>
    <w:rsid w:val="004E7377"/>
    <w:rsid w:val="004E7382"/>
    <w:rsid w:val="004F002C"/>
    <w:rsid w:val="004F0D32"/>
    <w:rsid w:val="004F355C"/>
    <w:rsid w:val="004F39DC"/>
    <w:rsid w:val="004F6B07"/>
    <w:rsid w:val="00501344"/>
    <w:rsid w:val="0050138C"/>
    <w:rsid w:val="00501591"/>
    <w:rsid w:val="005115F8"/>
    <w:rsid w:val="00515411"/>
    <w:rsid w:val="00516CED"/>
    <w:rsid w:val="00516E9F"/>
    <w:rsid w:val="00520D3F"/>
    <w:rsid w:val="00522AF9"/>
    <w:rsid w:val="00524B79"/>
    <w:rsid w:val="00525B1E"/>
    <w:rsid w:val="005330FA"/>
    <w:rsid w:val="00534162"/>
    <w:rsid w:val="00534733"/>
    <w:rsid w:val="0053475B"/>
    <w:rsid w:val="00535EFB"/>
    <w:rsid w:val="00536D24"/>
    <w:rsid w:val="00537609"/>
    <w:rsid w:val="00537880"/>
    <w:rsid w:val="0054092D"/>
    <w:rsid w:val="00540A01"/>
    <w:rsid w:val="00541DA4"/>
    <w:rsid w:val="0054248D"/>
    <w:rsid w:val="005430AA"/>
    <w:rsid w:val="00544DEA"/>
    <w:rsid w:val="005455F5"/>
    <w:rsid w:val="00546471"/>
    <w:rsid w:val="00550A83"/>
    <w:rsid w:val="00550E1C"/>
    <w:rsid w:val="005514E7"/>
    <w:rsid w:val="005531D4"/>
    <w:rsid w:val="005606BA"/>
    <w:rsid w:val="005622CE"/>
    <w:rsid w:val="005639A5"/>
    <w:rsid w:val="00563BE4"/>
    <w:rsid w:val="00564CA7"/>
    <w:rsid w:val="00566572"/>
    <w:rsid w:val="005676FD"/>
    <w:rsid w:val="00567F3A"/>
    <w:rsid w:val="00570CBE"/>
    <w:rsid w:val="00572C58"/>
    <w:rsid w:val="00573B54"/>
    <w:rsid w:val="00574656"/>
    <w:rsid w:val="005751EF"/>
    <w:rsid w:val="0057600D"/>
    <w:rsid w:val="00581DBD"/>
    <w:rsid w:val="005831B1"/>
    <w:rsid w:val="00584B8F"/>
    <w:rsid w:val="005872A2"/>
    <w:rsid w:val="00587BB9"/>
    <w:rsid w:val="00590CA6"/>
    <w:rsid w:val="0059246C"/>
    <w:rsid w:val="005951E4"/>
    <w:rsid w:val="00595CA0"/>
    <w:rsid w:val="0059711F"/>
    <w:rsid w:val="005A0786"/>
    <w:rsid w:val="005A099E"/>
    <w:rsid w:val="005A1A3E"/>
    <w:rsid w:val="005A4535"/>
    <w:rsid w:val="005A5504"/>
    <w:rsid w:val="005A65D5"/>
    <w:rsid w:val="005B09F1"/>
    <w:rsid w:val="005B221E"/>
    <w:rsid w:val="005B247B"/>
    <w:rsid w:val="005B3388"/>
    <w:rsid w:val="005C0266"/>
    <w:rsid w:val="005C1E8D"/>
    <w:rsid w:val="005C2585"/>
    <w:rsid w:val="005C2792"/>
    <w:rsid w:val="005C4E63"/>
    <w:rsid w:val="005D10E8"/>
    <w:rsid w:val="005D4100"/>
    <w:rsid w:val="005D606D"/>
    <w:rsid w:val="005D7D62"/>
    <w:rsid w:val="005E13A0"/>
    <w:rsid w:val="005E20ED"/>
    <w:rsid w:val="005E36AF"/>
    <w:rsid w:val="005E3EDB"/>
    <w:rsid w:val="005E5201"/>
    <w:rsid w:val="005E701F"/>
    <w:rsid w:val="005F0EFA"/>
    <w:rsid w:val="005F420E"/>
    <w:rsid w:val="005F5837"/>
    <w:rsid w:val="005F6461"/>
    <w:rsid w:val="005F6683"/>
    <w:rsid w:val="005F6911"/>
    <w:rsid w:val="005F6EF9"/>
    <w:rsid w:val="005F750F"/>
    <w:rsid w:val="00602317"/>
    <w:rsid w:val="00604084"/>
    <w:rsid w:val="006040C5"/>
    <w:rsid w:val="00604A62"/>
    <w:rsid w:val="00605B24"/>
    <w:rsid w:val="0061008B"/>
    <w:rsid w:val="00611380"/>
    <w:rsid w:val="006114C6"/>
    <w:rsid w:val="00613D1D"/>
    <w:rsid w:val="00616BBE"/>
    <w:rsid w:val="0061708F"/>
    <w:rsid w:val="00624901"/>
    <w:rsid w:val="0062587D"/>
    <w:rsid w:val="0062597E"/>
    <w:rsid w:val="00627A28"/>
    <w:rsid w:val="00627AE0"/>
    <w:rsid w:val="00631B39"/>
    <w:rsid w:val="006324E0"/>
    <w:rsid w:val="006346F1"/>
    <w:rsid w:val="00636EEA"/>
    <w:rsid w:val="0063773D"/>
    <w:rsid w:val="00644A09"/>
    <w:rsid w:val="00645869"/>
    <w:rsid w:val="006511BB"/>
    <w:rsid w:val="0065128D"/>
    <w:rsid w:val="006517B0"/>
    <w:rsid w:val="0065434E"/>
    <w:rsid w:val="006556D0"/>
    <w:rsid w:val="00656F3C"/>
    <w:rsid w:val="00656FBC"/>
    <w:rsid w:val="00657908"/>
    <w:rsid w:val="006602EF"/>
    <w:rsid w:val="00663961"/>
    <w:rsid w:val="00664B5D"/>
    <w:rsid w:val="00664C62"/>
    <w:rsid w:val="00666ACF"/>
    <w:rsid w:val="00666C7B"/>
    <w:rsid w:val="00667107"/>
    <w:rsid w:val="00667C91"/>
    <w:rsid w:val="00670DA1"/>
    <w:rsid w:val="00671433"/>
    <w:rsid w:val="00671B7C"/>
    <w:rsid w:val="00671ED2"/>
    <w:rsid w:val="00677EA9"/>
    <w:rsid w:val="006809C9"/>
    <w:rsid w:val="0068166C"/>
    <w:rsid w:val="006820D5"/>
    <w:rsid w:val="00687C39"/>
    <w:rsid w:val="00691551"/>
    <w:rsid w:val="00691D34"/>
    <w:rsid w:val="00696F15"/>
    <w:rsid w:val="006A3486"/>
    <w:rsid w:val="006A3522"/>
    <w:rsid w:val="006A4073"/>
    <w:rsid w:val="006A44AD"/>
    <w:rsid w:val="006A5E6E"/>
    <w:rsid w:val="006A65BD"/>
    <w:rsid w:val="006A671C"/>
    <w:rsid w:val="006A7304"/>
    <w:rsid w:val="006A75E8"/>
    <w:rsid w:val="006B14CF"/>
    <w:rsid w:val="006B5549"/>
    <w:rsid w:val="006B7674"/>
    <w:rsid w:val="006C2570"/>
    <w:rsid w:val="006C2A0C"/>
    <w:rsid w:val="006C5C8D"/>
    <w:rsid w:val="006C6A1D"/>
    <w:rsid w:val="006D0A5F"/>
    <w:rsid w:val="006D5089"/>
    <w:rsid w:val="006D5AEF"/>
    <w:rsid w:val="006D63E4"/>
    <w:rsid w:val="006D64B0"/>
    <w:rsid w:val="006D78BA"/>
    <w:rsid w:val="006E3B3C"/>
    <w:rsid w:val="006E4AC3"/>
    <w:rsid w:val="006E68DE"/>
    <w:rsid w:val="006E6C06"/>
    <w:rsid w:val="006F0CE6"/>
    <w:rsid w:val="006F2D95"/>
    <w:rsid w:val="006F3BD6"/>
    <w:rsid w:val="006F3D7E"/>
    <w:rsid w:val="006F4089"/>
    <w:rsid w:val="006F4B0C"/>
    <w:rsid w:val="006F57A7"/>
    <w:rsid w:val="007034A0"/>
    <w:rsid w:val="007034E1"/>
    <w:rsid w:val="00704525"/>
    <w:rsid w:val="00704B06"/>
    <w:rsid w:val="00704BE9"/>
    <w:rsid w:val="00704E70"/>
    <w:rsid w:val="0070575F"/>
    <w:rsid w:val="007106F7"/>
    <w:rsid w:val="00714DE7"/>
    <w:rsid w:val="00717AE1"/>
    <w:rsid w:val="007204E4"/>
    <w:rsid w:val="00725E21"/>
    <w:rsid w:val="00730B1F"/>
    <w:rsid w:val="00733805"/>
    <w:rsid w:val="007368E2"/>
    <w:rsid w:val="00737F85"/>
    <w:rsid w:val="00741445"/>
    <w:rsid w:val="00744C63"/>
    <w:rsid w:val="00745B1B"/>
    <w:rsid w:val="00746F31"/>
    <w:rsid w:val="00746F9E"/>
    <w:rsid w:val="007505A8"/>
    <w:rsid w:val="007518E8"/>
    <w:rsid w:val="007525AA"/>
    <w:rsid w:val="0075403F"/>
    <w:rsid w:val="007550AE"/>
    <w:rsid w:val="007551C0"/>
    <w:rsid w:val="00756032"/>
    <w:rsid w:val="00760EBD"/>
    <w:rsid w:val="0076264F"/>
    <w:rsid w:val="00763296"/>
    <w:rsid w:val="0076369B"/>
    <w:rsid w:val="00765229"/>
    <w:rsid w:val="00766584"/>
    <w:rsid w:val="00770997"/>
    <w:rsid w:val="007717C4"/>
    <w:rsid w:val="0077224E"/>
    <w:rsid w:val="00772D03"/>
    <w:rsid w:val="00773584"/>
    <w:rsid w:val="007738A8"/>
    <w:rsid w:val="00774B73"/>
    <w:rsid w:val="00775FF3"/>
    <w:rsid w:val="00776664"/>
    <w:rsid w:val="0078123F"/>
    <w:rsid w:val="007824C8"/>
    <w:rsid w:val="00782BE7"/>
    <w:rsid w:val="007831E2"/>
    <w:rsid w:val="0078572B"/>
    <w:rsid w:val="0079004E"/>
    <w:rsid w:val="00794A15"/>
    <w:rsid w:val="00795242"/>
    <w:rsid w:val="00796683"/>
    <w:rsid w:val="0079786A"/>
    <w:rsid w:val="007A15D8"/>
    <w:rsid w:val="007A1A63"/>
    <w:rsid w:val="007A572A"/>
    <w:rsid w:val="007A5938"/>
    <w:rsid w:val="007A69D4"/>
    <w:rsid w:val="007B1873"/>
    <w:rsid w:val="007B20CF"/>
    <w:rsid w:val="007B7E68"/>
    <w:rsid w:val="007C0511"/>
    <w:rsid w:val="007C0AC7"/>
    <w:rsid w:val="007C1C04"/>
    <w:rsid w:val="007C20A7"/>
    <w:rsid w:val="007C2258"/>
    <w:rsid w:val="007C44CF"/>
    <w:rsid w:val="007C48A6"/>
    <w:rsid w:val="007C4AAC"/>
    <w:rsid w:val="007C4E4E"/>
    <w:rsid w:val="007D05A7"/>
    <w:rsid w:val="007D57A3"/>
    <w:rsid w:val="007D7959"/>
    <w:rsid w:val="007E01D2"/>
    <w:rsid w:val="007E0409"/>
    <w:rsid w:val="007E20F8"/>
    <w:rsid w:val="007E498F"/>
    <w:rsid w:val="007E5355"/>
    <w:rsid w:val="007E5C20"/>
    <w:rsid w:val="007E7475"/>
    <w:rsid w:val="007E7638"/>
    <w:rsid w:val="007F00E0"/>
    <w:rsid w:val="007F2FBF"/>
    <w:rsid w:val="007F31DB"/>
    <w:rsid w:val="007F3FC1"/>
    <w:rsid w:val="007F620D"/>
    <w:rsid w:val="00801610"/>
    <w:rsid w:val="00801898"/>
    <w:rsid w:val="00804115"/>
    <w:rsid w:val="008042C3"/>
    <w:rsid w:val="0080507A"/>
    <w:rsid w:val="008065CF"/>
    <w:rsid w:val="00813772"/>
    <w:rsid w:val="00813914"/>
    <w:rsid w:val="00814F48"/>
    <w:rsid w:val="00815556"/>
    <w:rsid w:val="00815A38"/>
    <w:rsid w:val="00815D15"/>
    <w:rsid w:val="00816CA4"/>
    <w:rsid w:val="00820A92"/>
    <w:rsid w:val="00822893"/>
    <w:rsid w:val="00822C7B"/>
    <w:rsid w:val="00822D56"/>
    <w:rsid w:val="00824A73"/>
    <w:rsid w:val="00830B25"/>
    <w:rsid w:val="0083226B"/>
    <w:rsid w:val="00832CBB"/>
    <w:rsid w:val="00832F10"/>
    <w:rsid w:val="00833C3D"/>
    <w:rsid w:val="00834B38"/>
    <w:rsid w:val="00837F60"/>
    <w:rsid w:val="00843BD6"/>
    <w:rsid w:val="00845B58"/>
    <w:rsid w:val="00846246"/>
    <w:rsid w:val="00851E0D"/>
    <w:rsid w:val="00855EA5"/>
    <w:rsid w:val="008562CB"/>
    <w:rsid w:val="00863E6F"/>
    <w:rsid w:val="00864817"/>
    <w:rsid w:val="008726CC"/>
    <w:rsid w:val="0087545C"/>
    <w:rsid w:val="00877FE9"/>
    <w:rsid w:val="00881533"/>
    <w:rsid w:val="00884133"/>
    <w:rsid w:val="0088489A"/>
    <w:rsid w:val="00884ECB"/>
    <w:rsid w:val="00890BF3"/>
    <w:rsid w:val="00891D90"/>
    <w:rsid w:val="00894C1D"/>
    <w:rsid w:val="0089599B"/>
    <w:rsid w:val="00895E14"/>
    <w:rsid w:val="008A222C"/>
    <w:rsid w:val="008A5948"/>
    <w:rsid w:val="008B3604"/>
    <w:rsid w:val="008B40CC"/>
    <w:rsid w:val="008B70CF"/>
    <w:rsid w:val="008B794D"/>
    <w:rsid w:val="008C1F3E"/>
    <w:rsid w:val="008C321B"/>
    <w:rsid w:val="008C3D86"/>
    <w:rsid w:val="008C4F14"/>
    <w:rsid w:val="008C566C"/>
    <w:rsid w:val="008C7FC0"/>
    <w:rsid w:val="008D0A5F"/>
    <w:rsid w:val="008D1297"/>
    <w:rsid w:val="008D46F4"/>
    <w:rsid w:val="008D4758"/>
    <w:rsid w:val="008D64A2"/>
    <w:rsid w:val="008E03C7"/>
    <w:rsid w:val="008E0850"/>
    <w:rsid w:val="008E15EE"/>
    <w:rsid w:val="008E37EE"/>
    <w:rsid w:val="008E501E"/>
    <w:rsid w:val="008E51C5"/>
    <w:rsid w:val="008E5A95"/>
    <w:rsid w:val="008E680D"/>
    <w:rsid w:val="008E6F57"/>
    <w:rsid w:val="008E7365"/>
    <w:rsid w:val="008F430B"/>
    <w:rsid w:val="008F4AE4"/>
    <w:rsid w:val="008F5DCB"/>
    <w:rsid w:val="00900CB6"/>
    <w:rsid w:val="00901BD2"/>
    <w:rsid w:val="00904464"/>
    <w:rsid w:val="00904E06"/>
    <w:rsid w:val="009055D1"/>
    <w:rsid w:val="00905C5D"/>
    <w:rsid w:val="009114C1"/>
    <w:rsid w:val="00916228"/>
    <w:rsid w:val="00916ED1"/>
    <w:rsid w:val="0092007B"/>
    <w:rsid w:val="00924A1C"/>
    <w:rsid w:val="0092524B"/>
    <w:rsid w:val="00927680"/>
    <w:rsid w:val="0093156C"/>
    <w:rsid w:val="00933F22"/>
    <w:rsid w:val="0093473F"/>
    <w:rsid w:val="00936900"/>
    <w:rsid w:val="00937DB3"/>
    <w:rsid w:val="009421D9"/>
    <w:rsid w:val="0094262A"/>
    <w:rsid w:val="0094323B"/>
    <w:rsid w:val="00944FFD"/>
    <w:rsid w:val="00945D31"/>
    <w:rsid w:val="0095232A"/>
    <w:rsid w:val="00953B83"/>
    <w:rsid w:val="0096044B"/>
    <w:rsid w:val="00960FD5"/>
    <w:rsid w:val="00961316"/>
    <w:rsid w:val="00962C93"/>
    <w:rsid w:val="009630F3"/>
    <w:rsid w:val="00963E21"/>
    <w:rsid w:val="009652F8"/>
    <w:rsid w:val="00970C94"/>
    <w:rsid w:val="00972402"/>
    <w:rsid w:val="00975363"/>
    <w:rsid w:val="00981EB1"/>
    <w:rsid w:val="009820C9"/>
    <w:rsid w:val="009822D0"/>
    <w:rsid w:val="0098264E"/>
    <w:rsid w:val="009847FE"/>
    <w:rsid w:val="00985CE1"/>
    <w:rsid w:val="009875E7"/>
    <w:rsid w:val="00987D52"/>
    <w:rsid w:val="00990536"/>
    <w:rsid w:val="00990FCB"/>
    <w:rsid w:val="009917AA"/>
    <w:rsid w:val="009928F8"/>
    <w:rsid w:val="00993E33"/>
    <w:rsid w:val="00993FBC"/>
    <w:rsid w:val="00994C12"/>
    <w:rsid w:val="009A20E4"/>
    <w:rsid w:val="009A28F4"/>
    <w:rsid w:val="009A516F"/>
    <w:rsid w:val="009A59AF"/>
    <w:rsid w:val="009A5B4F"/>
    <w:rsid w:val="009A622F"/>
    <w:rsid w:val="009B1715"/>
    <w:rsid w:val="009B546D"/>
    <w:rsid w:val="009B5728"/>
    <w:rsid w:val="009B5925"/>
    <w:rsid w:val="009B5B60"/>
    <w:rsid w:val="009B6BA3"/>
    <w:rsid w:val="009B719F"/>
    <w:rsid w:val="009B73A3"/>
    <w:rsid w:val="009B7FD9"/>
    <w:rsid w:val="009C05A4"/>
    <w:rsid w:val="009C0F0A"/>
    <w:rsid w:val="009C234C"/>
    <w:rsid w:val="009C2FA1"/>
    <w:rsid w:val="009C4C43"/>
    <w:rsid w:val="009C4F4B"/>
    <w:rsid w:val="009C7074"/>
    <w:rsid w:val="009D147D"/>
    <w:rsid w:val="009D1A1C"/>
    <w:rsid w:val="009D2E27"/>
    <w:rsid w:val="009D30CA"/>
    <w:rsid w:val="009D3FD0"/>
    <w:rsid w:val="009D760E"/>
    <w:rsid w:val="009D7B2D"/>
    <w:rsid w:val="009E0BBD"/>
    <w:rsid w:val="009E3CBE"/>
    <w:rsid w:val="009E3DD5"/>
    <w:rsid w:val="009E7D05"/>
    <w:rsid w:val="009E7F2D"/>
    <w:rsid w:val="009F36C4"/>
    <w:rsid w:val="009F431A"/>
    <w:rsid w:val="009F58D0"/>
    <w:rsid w:val="009F666E"/>
    <w:rsid w:val="009F7C07"/>
    <w:rsid w:val="00A008D8"/>
    <w:rsid w:val="00A05513"/>
    <w:rsid w:val="00A07002"/>
    <w:rsid w:val="00A070E6"/>
    <w:rsid w:val="00A11159"/>
    <w:rsid w:val="00A11812"/>
    <w:rsid w:val="00A11DED"/>
    <w:rsid w:val="00A13455"/>
    <w:rsid w:val="00A17448"/>
    <w:rsid w:val="00A22577"/>
    <w:rsid w:val="00A22C77"/>
    <w:rsid w:val="00A24ABE"/>
    <w:rsid w:val="00A301AF"/>
    <w:rsid w:val="00A352BC"/>
    <w:rsid w:val="00A365AB"/>
    <w:rsid w:val="00A412A6"/>
    <w:rsid w:val="00A421AE"/>
    <w:rsid w:val="00A42273"/>
    <w:rsid w:val="00A42486"/>
    <w:rsid w:val="00A42609"/>
    <w:rsid w:val="00A45322"/>
    <w:rsid w:val="00A46765"/>
    <w:rsid w:val="00A46A94"/>
    <w:rsid w:val="00A47730"/>
    <w:rsid w:val="00A50DCB"/>
    <w:rsid w:val="00A5159E"/>
    <w:rsid w:val="00A53F94"/>
    <w:rsid w:val="00A548D3"/>
    <w:rsid w:val="00A55C19"/>
    <w:rsid w:val="00A60219"/>
    <w:rsid w:val="00A615BE"/>
    <w:rsid w:val="00A62611"/>
    <w:rsid w:val="00A63133"/>
    <w:rsid w:val="00A64559"/>
    <w:rsid w:val="00A6790D"/>
    <w:rsid w:val="00A702CF"/>
    <w:rsid w:val="00A70FAD"/>
    <w:rsid w:val="00A768CE"/>
    <w:rsid w:val="00A76D27"/>
    <w:rsid w:val="00A8014F"/>
    <w:rsid w:val="00A82865"/>
    <w:rsid w:val="00A8491D"/>
    <w:rsid w:val="00A85FB5"/>
    <w:rsid w:val="00A860DE"/>
    <w:rsid w:val="00A92BFE"/>
    <w:rsid w:val="00A92F07"/>
    <w:rsid w:val="00A950BC"/>
    <w:rsid w:val="00A958E4"/>
    <w:rsid w:val="00AA0CFB"/>
    <w:rsid w:val="00AA12CF"/>
    <w:rsid w:val="00AA6056"/>
    <w:rsid w:val="00AA72D0"/>
    <w:rsid w:val="00AB1877"/>
    <w:rsid w:val="00AB278E"/>
    <w:rsid w:val="00AB2F05"/>
    <w:rsid w:val="00AB3171"/>
    <w:rsid w:val="00AB33AF"/>
    <w:rsid w:val="00AB4DC8"/>
    <w:rsid w:val="00AB6C20"/>
    <w:rsid w:val="00AB7E86"/>
    <w:rsid w:val="00AC20A2"/>
    <w:rsid w:val="00AC34A3"/>
    <w:rsid w:val="00AC369C"/>
    <w:rsid w:val="00AC4F35"/>
    <w:rsid w:val="00AC50BE"/>
    <w:rsid w:val="00AC6349"/>
    <w:rsid w:val="00AC67F3"/>
    <w:rsid w:val="00AD080B"/>
    <w:rsid w:val="00AD4710"/>
    <w:rsid w:val="00AD7FE0"/>
    <w:rsid w:val="00AE16A0"/>
    <w:rsid w:val="00AE1E01"/>
    <w:rsid w:val="00AE2B89"/>
    <w:rsid w:val="00AE3E6C"/>
    <w:rsid w:val="00AF316F"/>
    <w:rsid w:val="00AF42AF"/>
    <w:rsid w:val="00AF631E"/>
    <w:rsid w:val="00B07EB6"/>
    <w:rsid w:val="00B12C5A"/>
    <w:rsid w:val="00B13EA0"/>
    <w:rsid w:val="00B15774"/>
    <w:rsid w:val="00B20871"/>
    <w:rsid w:val="00B22550"/>
    <w:rsid w:val="00B24BF8"/>
    <w:rsid w:val="00B32281"/>
    <w:rsid w:val="00B34E31"/>
    <w:rsid w:val="00B353F6"/>
    <w:rsid w:val="00B41115"/>
    <w:rsid w:val="00B4593C"/>
    <w:rsid w:val="00B459F3"/>
    <w:rsid w:val="00B468F1"/>
    <w:rsid w:val="00B46AC3"/>
    <w:rsid w:val="00B46C75"/>
    <w:rsid w:val="00B50812"/>
    <w:rsid w:val="00B55511"/>
    <w:rsid w:val="00B6687A"/>
    <w:rsid w:val="00B70D0C"/>
    <w:rsid w:val="00B712DB"/>
    <w:rsid w:val="00B71852"/>
    <w:rsid w:val="00B72D6F"/>
    <w:rsid w:val="00B74AED"/>
    <w:rsid w:val="00B779D6"/>
    <w:rsid w:val="00B81C0B"/>
    <w:rsid w:val="00B8371E"/>
    <w:rsid w:val="00B87234"/>
    <w:rsid w:val="00B87B38"/>
    <w:rsid w:val="00B9084C"/>
    <w:rsid w:val="00B91C4A"/>
    <w:rsid w:val="00B9260B"/>
    <w:rsid w:val="00B92873"/>
    <w:rsid w:val="00B938B7"/>
    <w:rsid w:val="00B9466A"/>
    <w:rsid w:val="00B956DA"/>
    <w:rsid w:val="00BA0A04"/>
    <w:rsid w:val="00BA36B9"/>
    <w:rsid w:val="00BA3BA8"/>
    <w:rsid w:val="00BA41F7"/>
    <w:rsid w:val="00BA4C6D"/>
    <w:rsid w:val="00BA63CA"/>
    <w:rsid w:val="00BB2C7C"/>
    <w:rsid w:val="00BB53BF"/>
    <w:rsid w:val="00BC12C0"/>
    <w:rsid w:val="00BC1C54"/>
    <w:rsid w:val="00BC3C4C"/>
    <w:rsid w:val="00BC575E"/>
    <w:rsid w:val="00BC5A74"/>
    <w:rsid w:val="00BC7A4C"/>
    <w:rsid w:val="00BC7A9A"/>
    <w:rsid w:val="00BC7E73"/>
    <w:rsid w:val="00BD1123"/>
    <w:rsid w:val="00BE2FDE"/>
    <w:rsid w:val="00BE3961"/>
    <w:rsid w:val="00BE4EE4"/>
    <w:rsid w:val="00BE5210"/>
    <w:rsid w:val="00BE6776"/>
    <w:rsid w:val="00BF2FBC"/>
    <w:rsid w:val="00BF5239"/>
    <w:rsid w:val="00BF54DD"/>
    <w:rsid w:val="00BF60EC"/>
    <w:rsid w:val="00BF6725"/>
    <w:rsid w:val="00BF6FE4"/>
    <w:rsid w:val="00C002B9"/>
    <w:rsid w:val="00C00822"/>
    <w:rsid w:val="00C00B83"/>
    <w:rsid w:val="00C122DF"/>
    <w:rsid w:val="00C13504"/>
    <w:rsid w:val="00C1394E"/>
    <w:rsid w:val="00C157D6"/>
    <w:rsid w:val="00C2082C"/>
    <w:rsid w:val="00C21BD7"/>
    <w:rsid w:val="00C2386C"/>
    <w:rsid w:val="00C23E3D"/>
    <w:rsid w:val="00C24E95"/>
    <w:rsid w:val="00C26D37"/>
    <w:rsid w:val="00C31553"/>
    <w:rsid w:val="00C31CF4"/>
    <w:rsid w:val="00C35500"/>
    <w:rsid w:val="00C368B6"/>
    <w:rsid w:val="00C40F36"/>
    <w:rsid w:val="00C42C72"/>
    <w:rsid w:val="00C443ED"/>
    <w:rsid w:val="00C460AD"/>
    <w:rsid w:val="00C46603"/>
    <w:rsid w:val="00C4727E"/>
    <w:rsid w:val="00C5082A"/>
    <w:rsid w:val="00C539EE"/>
    <w:rsid w:val="00C53C37"/>
    <w:rsid w:val="00C53D35"/>
    <w:rsid w:val="00C54256"/>
    <w:rsid w:val="00C5473B"/>
    <w:rsid w:val="00C54A76"/>
    <w:rsid w:val="00C556F2"/>
    <w:rsid w:val="00C56E84"/>
    <w:rsid w:val="00C5792D"/>
    <w:rsid w:val="00C63486"/>
    <w:rsid w:val="00C64D4E"/>
    <w:rsid w:val="00C65887"/>
    <w:rsid w:val="00C66DCE"/>
    <w:rsid w:val="00C670C9"/>
    <w:rsid w:val="00C702F9"/>
    <w:rsid w:val="00C74508"/>
    <w:rsid w:val="00C76F6D"/>
    <w:rsid w:val="00C8036B"/>
    <w:rsid w:val="00C80CE4"/>
    <w:rsid w:val="00C932D6"/>
    <w:rsid w:val="00C93594"/>
    <w:rsid w:val="00C94AF4"/>
    <w:rsid w:val="00CA1BF6"/>
    <w:rsid w:val="00CA2123"/>
    <w:rsid w:val="00CA34F6"/>
    <w:rsid w:val="00CA4EAB"/>
    <w:rsid w:val="00CA5F15"/>
    <w:rsid w:val="00CA7567"/>
    <w:rsid w:val="00CB014D"/>
    <w:rsid w:val="00CB5112"/>
    <w:rsid w:val="00CB5666"/>
    <w:rsid w:val="00CB6D8C"/>
    <w:rsid w:val="00CC01AB"/>
    <w:rsid w:val="00CC04DD"/>
    <w:rsid w:val="00CC11FB"/>
    <w:rsid w:val="00CC15C9"/>
    <w:rsid w:val="00CC39D4"/>
    <w:rsid w:val="00CD06F4"/>
    <w:rsid w:val="00CD0FA0"/>
    <w:rsid w:val="00CD2173"/>
    <w:rsid w:val="00CD294B"/>
    <w:rsid w:val="00CD3F22"/>
    <w:rsid w:val="00CD430E"/>
    <w:rsid w:val="00CD44F5"/>
    <w:rsid w:val="00CD604F"/>
    <w:rsid w:val="00CD7A5C"/>
    <w:rsid w:val="00CE2A7F"/>
    <w:rsid w:val="00CE31E6"/>
    <w:rsid w:val="00CE4991"/>
    <w:rsid w:val="00CE4E49"/>
    <w:rsid w:val="00CE790A"/>
    <w:rsid w:val="00CE7E52"/>
    <w:rsid w:val="00CF063D"/>
    <w:rsid w:val="00CF19B4"/>
    <w:rsid w:val="00CF4FD5"/>
    <w:rsid w:val="00CF6E88"/>
    <w:rsid w:val="00D00AB6"/>
    <w:rsid w:val="00D079FB"/>
    <w:rsid w:val="00D1129F"/>
    <w:rsid w:val="00D142C5"/>
    <w:rsid w:val="00D151EB"/>
    <w:rsid w:val="00D178E7"/>
    <w:rsid w:val="00D206B0"/>
    <w:rsid w:val="00D2251F"/>
    <w:rsid w:val="00D22E86"/>
    <w:rsid w:val="00D253AB"/>
    <w:rsid w:val="00D27D48"/>
    <w:rsid w:val="00D30D89"/>
    <w:rsid w:val="00D31B80"/>
    <w:rsid w:val="00D3361A"/>
    <w:rsid w:val="00D34ADA"/>
    <w:rsid w:val="00D3629E"/>
    <w:rsid w:val="00D42841"/>
    <w:rsid w:val="00D45216"/>
    <w:rsid w:val="00D473CC"/>
    <w:rsid w:val="00D52B54"/>
    <w:rsid w:val="00D54F35"/>
    <w:rsid w:val="00D566CA"/>
    <w:rsid w:val="00D57377"/>
    <w:rsid w:val="00D576FF"/>
    <w:rsid w:val="00D57F79"/>
    <w:rsid w:val="00D603F9"/>
    <w:rsid w:val="00D60A86"/>
    <w:rsid w:val="00D60AE4"/>
    <w:rsid w:val="00D61C21"/>
    <w:rsid w:val="00D61CB6"/>
    <w:rsid w:val="00D61CED"/>
    <w:rsid w:val="00D67C67"/>
    <w:rsid w:val="00D7272E"/>
    <w:rsid w:val="00D76BAE"/>
    <w:rsid w:val="00D77640"/>
    <w:rsid w:val="00D84250"/>
    <w:rsid w:val="00D8473E"/>
    <w:rsid w:val="00D84E02"/>
    <w:rsid w:val="00D85C8E"/>
    <w:rsid w:val="00D90181"/>
    <w:rsid w:val="00D90354"/>
    <w:rsid w:val="00D9128E"/>
    <w:rsid w:val="00D928CD"/>
    <w:rsid w:val="00D929F5"/>
    <w:rsid w:val="00D92DAC"/>
    <w:rsid w:val="00D931D9"/>
    <w:rsid w:val="00D93665"/>
    <w:rsid w:val="00D97E12"/>
    <w:rsid w:val="00DA1765"/>
    <w:rsid w:val="00DA37A1"/>
    <w:rsid w:val="00DA6915"/>
    <w:rsid w:val="00DB167A"/>
    <w:rsid w:val="00DB3022"/>
    <w:rsid w:val="00DB3C26"/>
    <w:rsid w:val="00DB46E2"/>
    <w:rsid w:val="00DB64E1"/>
    <w:rsid w:val="00DB70FF"/>
    <w:rsid w:val="00DC1106"/>
    <w:rsid w:val="00DC195F"/>
    <w:rsid w:val="00DC6A19"/>
    <w:rsid w:val="00DC79C0"/>
    <w:rsid w:val="00DC7AC8"/>
    <w:rsid w:val="00DC7CFB"/>
    <w:rsid w:val="00DC7E71"/>
    <w:rsid w:val="00DD1F0B"/>
    <w:rsid w:val="00DD35AF"/>
    <w:rsid w:val="00DE13A1"/>
    <w:rsid w:val="00DE326B"/>
    <w:rsid w:val="00DE7829"/>
    <w:rsid w:val="00DF2402"/>
    <w:rsid w:val="00DF297D"/>
    <w:rsid w:val="00DF31F7"/>
    <w:rsid w:val="00DF3565"/>
    <w:rsid w:val="00DF39D5"/>
    <w:rsid w:val="00DF4607"/>
    <w:rsid w:val="00E01D9F"/>
    <w:rsid w:val="00E0547E"/>
    <w:rsid w:val="00E056B8"/>
    <w:rsid w:val="00E072E2"/>
    <w:rsid w:val="00E1063E"/>
    <w:rsid w:val="00E11AD7"/>
    <w:rsid w:val="00E1357A"/>
    <w:rsid w:val="00E148D1"/>
    <w:rsid w:val="00E14A36"/>
    <w:rsid w:val="00E20F7C"/>
    <w:rsid w:val="00E24BCD"/>
    <w:rsid w:val="00E261C9"/>
    <w:rsid w:val="00E30176"/>
    <w:rsid w:val="00E31EB1"/>
    <w:rsid w:val="00E32034"/>
    <w:rsid w:val="00E37800"/>
    <w:rsid w:val="00E40355"/>
    <w:rsid w:val="00E4435C"/>
    <w:rsid w:val="00E45276"/>
    <w:rsid w:val="00E46AE8"/>
    <w:rsid w:val="00E51436"/>
    <w:rsid w:val="00E51F20"/>
    <w:rsid w:val="00E5748C"/>
    <w:rsid w:val="00E579C1"/>
    <w:rsid w:val="00E57C82"/>
    <w:rsid w:val="00E61C52"/>
    <w:rsid w:val="00E6454C"/>
    <w:rsid w:val="00E658D2"/>
    <w:rsid w:val="00E66113"/>
    <w:rsid w:val="00E66A7D"/>
    <w:rsid w:val="00E702E3"/>
    <w:rsid w:val="00E7114B"/>
    <w:rsid w:val="00E71814"/>
    <w:rsid w:val="00E83945"/>
    <w:rsid w:val="00E83EF6"/>
    <w:rsid w:val="00E86793"/>
    <w:rsid w:val="00E90414"/>
    <w:rsid w:val="00E91D1F"/>
    <w:rsid w:val="00E9277C"/>
    <w:rsid w:val="00E931CA"/>
    <w:rsid w:val="00E93C2A"/>
    <w:rsid w:val="00E96119"/>
    <w:rsid w:val="00E9666A"/>
    <w:rsid w:val="00E96C37"/>
    <w:rsid w:val="00E96DD3"/>
    <w:rsid w:val="00E97EB7"/>
    <w:rsid w:val="00EA2A5C"/>
    <w:rsid w:val="00EA3FB0"/>
    <w:rsid w:val="00EA5DBD"/>
    <w:rsid w:val="00EB28D0"/>
    <w:rsid w:val="00EB5F81"/>
    <w:rsid w:val="00EB7ABA"/>
    <w:rsid w:val="00EB7BFA"/>
    <w:rsid w:val="00EC1693"/>
    <w:rsid w:val="00EC1FB8"/>
    <w:rsid w:val="00EC2F18"/>
    <w:rsid w:val="00EC562B"/>
    <w:rsid w:val="00EC7DB3"/>
    <w:rsid w:val="00ED028A"/>
    <w:rsid w:val="00ED24CD"/>
    <w:rsid w:val="00ED2CC4"/>
    <w:rsid w:val="00ED5A9E"/>
    <w:rsid w:val="00ED6523"/>
    <w:rsid w:val="00EE2655"/>
    <w:rsid w:val="00EE5884"/>
    <w:rsid w:val="00EE62AB"/>
    <w:rsid w:val="00EE7AA1"/>
    <w:rsid w:val="00EF383B"/>
    <w:rsid w:val="00EF3AC3"/>
    <w:rsid w:val="00EF6B00"/>
    <w:rsid w:val="00EF791D"/>
    <w:rsid w:val="00EF7BA7"/>
    <w:rsid w:val="00F00708"/>
    <w:rsid w:val="00F01081"/>
    <w:rsid w:val="00F030BC"/>
    <w:rsid w:val="00F07E08"/>
    <w:rsid w:val="00F12520"/>
    <w:rsid w:val="00F13019"/>
    <w:rsid w:val="00F145A6"/>
    <w:rsid w:val="00F14DC1"/>
    <w:rsid w:val="00F15CE7"/>
    <w:rsid w:val="00F16112"/>
    <w:rsid w:val="00F24981"/>
    <w:rsid w:val="00F26CBB"/>
    <w:rsid w:val="00F30700"/>
    <w:rsid w:val="00F3077E"/>
    <w:rsid w:val="00F31D60"/>
    <w:rsid w:val="00F3231F"/>
    <w:rsid w:val="00F330FB"/>
    <w:rsid w:val="00F35113"/>
    <w:rsid w:val="00F35FB0"/>
    <w:rsid w:val="00F3624C"/>
    <w:rsid w:val="00F50048"/>
    <w:rsid w:val="00F509C9"/>
    <w:rsid w:val="00F518DD"/>
    <w:rsid w:val="00F51E78"/>
    <w:rsid w:val="00F622C3"/>
    <w:rsid w:val="00F64128"/>
    <w:rsid w:val="00F65183"/>
    <w:rsid w:val="00F67B02"/>
    <w:rsid w:val="00F67CC4"/>
    <w:rsid w:val="00F73CB1"/>
    <w:rsid w:val="00F741EB"/>
    <w:rsid w:val="00F75A49"/>
    <w:rsid w:val="00F76BFD"/>
    <w:rsid w:val="00F80BF6"/>
    <w:rsid w:val="00F828BD"/>
    <w:rsid w:val="00F923D6"/>
    <w:rsid w:val="00F94316"/>
    <w:rsid w:val="00F94AC6"/>
    <w:rsid w:val="00F979E3"/>
    <w:rsid w:val="00F97A22"/>
    <w:rsid w:val="00FA0A82"/>
    <w:rsid w:val="00FA0BF2"/>
    <w:rsid w:val="00FA118C"/>
    <w:rsid w:val="00FA2D5F"/>
    <w:rsid w:val="00FA46BC"/>
    <w:rsid w:val="00FA4FBB"/>
    <w:rsid w:val="00FA516E"/>
    <w:rsid w:val="00FA7072"/>
    <w:rsid w:val="00FB1CAF"/>
    <w:rsid w:val="00FB437B"/>
    <w:rsid w:val="00FB44F1"/>
    <w:rsid w:val="00FB5A8B"/>
    <w:rsid w:val="00FB7868"/>
    <w:rsid w:val="00FC0EE4"/>
    <w:rsid w:val="00FC2B8A"/>
    <w:rsid w:val="00FC2ECE"/>
    <w:rsid w:val="00FC35B8"/>
    <w:rsid w:val="00FC40BD"/>
    <w:rsid w:val="00FC5EEA"/>
    <w:rsid w:val="00FC7F03"/>
    <w:rsid w:val="00FD0162"/>
    <w:rsid w:val="00FD1953"/>
    <w:rsid w:val="00FE0AD1"/>
    <w:rsid w:val="00FE1B95"/>
    <w:rsid w:val="00FE2964"/>
    <w:rsid w:val="00FE5CF0"/>
    <w:rsid w:val="00FE6733"/>
    <w:rsid w:val="00FF02A0"/>
    <w:rsid w:val="00FF1D9C"/>
    <w:rsid w:val="00FF44B4"/>
    <w:rsid w:val="00FF63D7"/>
    <w:rsid w:val="00FF64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AB5DC"/>
  <w15:docId w15:val="{A04EA40D-0341-494B-92C3-650E8605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
    <w:basedOn w:val="Normal"/>
    <w:link w:val="FootnoteTextChar"/>
    <w:uiPriority w:val="99"/>
    <w:unhideWhenUsed/>
    <w:qFormat/>
    <w:rsid w:val="004A07E1"/>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f Char"/>
    <w:basedOn w:val="DefaultParagraphFont"/>
    <w:link w:val="FootnoteText"/>
    <w:uiPriority w:val="99"/>
    <w:rsid w:val="004A07E1"/>
    <w:rPr>
      <w:sz w:val="20"/>
      <w:szCs w:val="20"/>
    </w:rPr>
  </w:style>
  <w:style w:type="character" w:styleId="FootnoteReference">
    <w:name w:val="footnote reference"/>
    <w:aliases w:val="Footnote Reference Number,Footnote symbol,SUPERS,ftref,Footnote Refernece,stylish,BVI fnr,Fußnotenzeichen_Raxen,callout,Footnote Reference Superscript"/>
    <w:basedOn w:val="DefaultParagraphFont"/>
    <w:uiPriority w:val="99"/>
    <w:unhideWhenUsed/>
    <w:qFormat/>
    <w:rsid w:val="004A07E1"/>
    <w:rPr>
      <w:vertAlign w:val="superscript"/>
    </w:rPr>
  </w:style>
  <w:style w:type="table" w:styleId="TableGrid">
    <w:name w:val="Table Grid"/>
    <w:basedOn w:val="TableNormal"/>
    <w:uiPriority w:val="39"/>
    <w:rsid w:val="00DD1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29F5"/>
    <w:pPr>
      <w:ind w:left="720"/>
      <w:contextualSpacing/>
    </w:pPr>
  </w:style>
  <w:style w:type="paragraph" w:styleId="Header">
    <w:name w:val="header"/>
    <w:basedOn w:val="Normal"/>
    <w:link w:val="HeaderChar"/>
    <w:uiPriority w:val="99"/>
    <w:unhideWhenUsed/>
    <w:rsid w:val="00D30D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0D89"/>
  </w:style>
  <w:style w:type="paragraph" w:styleId="Footer">
    <w:name w:val="footer"/>
    <w:basedOn w:val="Normal"/>
    <w:link w:val="FooterChar"/>
    <w:uiPriority w:val="99"/>
    <w:unhideWhenUsed/>
    <w:rsid w:val="00D30D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0D89"/>
  </w:style>
  <w:style w:type="paragraph" w:styleId="BalloonText">
    <w:name w:val="Balloon Text"/>
    <w:basedOn w:val="Normal"/>
    <w:link w:val="BalloonTextChar"/>
    <w:uiPriority w:val="99"/>
    <w:semiHidden/>
    <w:unhideWhenUsed/>
    <w:rsid w:val="00D90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181"/>
    <w:rPr>
      <w:rFonts w:ascii="Segoe UI" w:hAnsi="Segoe UI" w:cs="Segoe UI"/>
      <w:sz w:val="18"/>
      <w:szCs w:val="18"/>
    </w:rPr>
  </w:style>
  <w:style w:type="character" w:styleId="Strong">
    <w:name w:val="Strong"/>
    <w:uiPriority w:val="22"/>
    <w:qFormat/>
    <w:rsid w:val="002C5CA4"/>
    <w:rPr>
      <w:b/>
      <w:bCs/>
    </w:rPr>
  </w:style>
  <w:style w:type="paragraph" w:customStyle="1" w:styleId="Default">
    <w:name w:val="Default"/>
    <w:rsid w:val="00704525"/>
    <w:pPr>
      <w:autoSpaceDE w:val="0"/>
      <w:autoSpaceDN w:val="0"/>
      <w:adjustRightInd w:val="0"/>
      <w:spacing w:after="0" w:line="240" w:lineRule="auto"/>
    </w:pPr>
    <w:rPr>
      <w:rFonts w:ascii="Times New Roman" w:hAnsi="Times New Roman" w:cs="Times New Roman"/>
      <w:color w:val="000000"/>
      <w:sz w:val="24"/>
      <w:szCs w:val="24"/>
    </w:rPr>
  </w:style>
  <w:style w:type="character" w:styleId="SubtleReference">
    <w:name w:val="Subtle Reference"/>
    <w:basedOn w:val="DefaultParagraphFont"/>
    <w:uiPriority w:val="31"/>
    <w:qFormat/>
    <w:rsid w:val="00FB437B"/>
    <w:rPr>
      <w:smallCaps/>
      <w:color w:val="5A5A5A" w:themeColor="text1" w:themeTint="A5"/>
    </w:rPr>
  </w:style>
  <w:style w:type="character" w:styleId="CommentReference">
    <w:name w:val="annotation reference"/>
    <w:basedOn w:val="DefaultParagraphFont"/>
    <w:uiPriority w:val="99"/>
    <w:semiHidden/>
    <w:unhideWhenUsed/>
    <w:rsid w:val="0040685B"/>
    <w:rPr>
      <w:sz w:val="16"/>
      <w:szCs w:val="16"/>
    </w:rPr>
  </w:style>
  <w:style w:type="paragraph" w:styleId="CommentText">
    <w:name w:val="annotation text"/>
    <w:basedOn w:val="Normal"/>
    <w:link w:val="CommentTextChar"/>
    <w:uiPriority w:val="99"/>
    <w:semiHidden/>
    <w:unhideWhenUsed/>
    <w:rsid w:val="0040685B"/>
    <w:pPr>
      <w:spacing w:line="240" w:lineRule="auto"/>
    </w:pPr>
    <w:rPr>
      <w:sz w:val="20"/>
      <w:szCs w:val="20"/>
    </w:rPr>
  </w:style>
  <w:style w:type="character" w:customStyle="1" w:styleId="CommentTextChar">
    <w:name w:val="Comment Text Char"/>
    <w:basedOn w:val="DefaultParagraphFont"/>
    <w:link w:val="CommentText"/>
    <w:uiPriority w:val="99"/>
    <w:semiHidden/>
    <w:rsid w:val="0040685B"/>
    <w:rPr>
      <w:sz w:val="20"/>
      <w:szCs w:val="20"/>
    </w:rPr>
  </w:style>
  <w:style w:type="paragraph" w:styleId="CommentSubject">
    <w:name w:val="annotation subject"/>
    <w:basedOn w:val="CommentText"/>
    <w:next w:val="CommentText"/>
    <w:link w:val="CommentSubjectChar"/>
    <w:uiPriority w:val="99"/>
    <w:semiHidden/>
    <w:unhideWhenUsed/>
    <w:rsid w:val="0040685B"/>
    <w:rPr>
      <w:b/>
      <w:bCs/>
    </w:rPr>
  </w:style>
  <w:style w:type="character" w:customStyle="1" w:styleId="CommentSubjectChar">
    <w:name w:val="Comment Subject Char"/>
    <w:basedOn w:val="CommentTextChar"/>
    <w:link w:val="CommentSubject"/>
    <w:uiPriority w:val="99"/>
    <w:semiHidden/>
    <w:rsid w:val="0040685B"/>
    <w:rPr>
      <w:b/>
      <w:bCs/>
      <w:sz w:val="20"/>
      <w:szCs w:val="20"/>
    </w:rPr>
  </w:style>
  <w:style w:type="paragraph" w:styleId="Revision">
    <w:name w:val="Revision"/>
    <w:hidden/>
    <w:uiPriority w:val="99"/>
    <w:semiHidden/>
    <w:rsid w:val="0040685B"/>
    <w:pPr>
      <w:spacing w:after="0" w:line="240" w:lineRule="auto"/>
    </w:pPr>
  </w:style>
  <w:style w:type="character" w:customStyle="1" w:styleId="shorttext">
    <w:name w:val="short_text"/>
    <w:basedOn w:val="DefaultParagraphFont"/>
    <w:rsid w:val="00CF4FD5"/>
  </w:style>
  <w:style w:type="character" w:customStyle="1" w:styleId="hps">
    <w:name w:val="hps"/>
    <w:basedOn w:val="DefaultParagraphFont"/>
    <w:rsid w:val="00CF4FD5"/>
  </w:style>
  <w:style w:type="paragraph" w:styleId="NormalWeb">
    <w:name w:val="Normal (Web)"/>
    <w:basedOn w:val="Normal"/>
    <w:uiPriority w:val="99"/>
    <w:semiHidden/>
    <w:unhideWhenUsed/>
    <w:rsid w:val="00EF3A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3A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2704">
      <w:bodyDiv w:val="1"/>
      <w:marLeft w:val="0"/>
      <w:marRight w:val="0"/>
      <w:marTop w:val="0"/>
      <w:marBottom w:val="0"/>
      <w:divBdr>
        <w:top w:val="none" w:sz="0" w:space="0" w:color="auto"/>
        <w:left w:val="none" w:sz="0" w:space="0" w:color="auto"/>
        <w:bottom w:val="none" w:sz="0" w:space="0" w:color="auto"/>
        <w:right w:val="none" w:sz="0" w:space="0" w:color="auto"/>
      </w:divBdr>
    </w:div>
    <w:div w:id="12418013">
      <w:bodyDiv w:val="1"/>
      <w:marLeft w:val="0"/>
      <w:marRight w:val="0"/>
      <w:marTop w:val="0"/>
      <w:marBottom w:val="0"/>
      <w:divBdr>
        <w:top w:val="none" w:sz="0" w:space="0" w:color="auto"/>
        <w:left w:val="none" w:sz="0" w:space="0" w:color="auto"/>
        <w:bottom w:val="none" w:sz="0" w:space="0" w:color="auto"/>
        <w:right w:val="none" w:sz="0" w:space="0" w:color="auto"/>
      </w:divBdr>
    </w:div>
    <w:div w:id="82456399">
      <w:bodyDiv w:val="1"/>
      <w:marLeft w:val="0"/>
      <w:marRight w:val="0"/>
      <w:marTop w:val="0"/>
      <w:marBottom w:val="0"/>
      <w:divBdr>
        <w:top w:val="none" w:sz="0" w:space="0" w:color="auto"/>
        <w:left w:val="none" w:sz="0" w:space="0" w:color="auto"/>
        <w:bottom w:val="none" w:sz="0" w:space="0" w:color="auto"/>
        <w:right w:val="none" w:sz="0" w:space="0" w:color="auto"/>
      </w:divBdr>
    </w:div>
    <w:div w:id="114636536">
      <w:bodyDiv w:val="1"/>
      <w:marLeft w:val="0"/>
      <w:marRight w:val="0"/>
      <w:marTop w:val="0"/>
      <w:marBottom w:val="0"/>
      <w:divBdr>
        <w:top w:val="none" w:sz="0" w:space="0" w:color="auto"/>
        <w:left w:val="none" w:sz="0" w:space="0" w:color="auto"/>
        <w:bottom w:val="none" w:sz="0" w:space="0" w:color="auto"/>
        <w:right w:val="none" w:sz="0" w:space="0" w:color="auto"/>
      </w:divBdr>
    </w:div>
    <w:div w:id="177424859">
      <w:bodyDiv w:val="1"/>
      <w:marLeft w:val="0"/>
      <w:marRight w:val="0"/>
      <w:marTop w:val="0"/>
      <w:marBottom w:val="0"/>
      <w:divBdr>
        <w:top w:val="none" w:sz="0" w:space="0" w:color="auto"/>
        <w:left w:val="none" w:sz="0" w:space="0" w:color="auto"/>
        <w:bottom w:val="none" w:sz="0" w:space="0" w:color="auto"/>
        <w:right w:val="none" w:sz="0" w:space="0" w:color="auto"/>
      </w:divBdr>
    </w:div>
    <w:div w:id="222260367">
      <w:bodyDiv w:val="1"/>
      <w:marLeft w:val="0"/>
      <w:marRight w:val="0"/>
      <w:marTop w:val="0"/>
      <w:marBottom w:val="0"/>
      <w:divBdr>
        <w:top w:val="none" w:sz="0" w:space="0" w:color="auto"/>
        <w:left w:val="none" w:sz="0" w:space="0" w:color="auto"/>
        <w:bottom w:val="none" w:sz="0" w:space="0" w:color="auto"/>
        <w:right w:val="none" w:sz="0" w:space="0" w:color="auto"/>
      </w:divBdr>
    </w:div>
    <w:div w:id="453064615">
      <w:bodyDiv w:val="1"/>
      <w:marLeft w:val="0"/>
      <w:marRight w:val="0"/>
      <w:marTop w:val="0"/>
      <w:marBottom w:val="0"/>
      <w:divBdr>
        <w:top w:val="none" w:sz="0" w:space="0" w:color="auto"/>
        <w:left w:val="none" w:sz="0" w:space="0" w:color="auto"/>
        <w:bottom w:val="none" w:sz="0" w:space="0" w:color="auto"/>
        <w:right w:val="none" w:sz="0" w:space="0" w:color="auto"/>
      </w:divBdr>
    </w:div>
    <w:div w:id="690422463">
      <w:bodyDiv w:val="1"/>
      <w:marLeft w:val="0"/>
      <w:marRight w:val="0"/>
      <w:marTop w:val="0"/>
      <w:marBottom w:val="0"/>
      <w:divBdr>
        <w:top w:val="none" w:sz="0" w:space="0" w:color="auto"/>
        <w:left w:val="none" w:sz="0" w:space="0" w:color="auto"/>
        <w:bottom w:val="none" w:sz="0" w:space="0" w:color="auto"/>
        <w:right w:val="none" w:sz="0" w:space="0" w:color="auto"/>
      </w:divBdr>
    </w:div>
    <w:div w:id="770586528">
      <w:bodyDiv w:val="1"/>
      <w:marLeft w:val="0"/>
      <w:marRight w:val="0"/>
      <w:marTop w:val="0"/>
      <w:marBottom w:val="0"/>
      <w:divBdr>
        <w:top w:val="none" w:sz="0" w:space="0" w:color="auto"/>
        <w:left w:val="none" w:sz="0" w:space="0" w:color="auto"/>
        <w:bottom w:val="none" w:sz="0" w:space="0" w:color="auto"/>
        <w:right w:val="none" w:sz="0" w:space="0" w:color="auto"/>
      </w:divBdr>
    </w:div>
    <w:div w:id="1069888945">
      <w:bodyDiv w:val="1"/>
      <w:marLeft w:val="0"/>
      <w:marRight w:val="0"/>
      <w:marTop w:val="0"/>
      <w:marBottom w:val="0"/>
      <w:divBdr>
        <w:top w:val="none" w:sz="0" w:space="0" w:color="auto"/>
        <w:left w:val="none" w:sz="0" w:space="0" w:color="auto"/>
        <w:bottom w:val="none" w:sz="0" w:space="0" w:color="auto"/>
        <w:right w:val="none" w:sz="0" w:space="0" w:color="auto"/>
      </w:divBdr>
    </w:div>
    <w:div w:id="1106190066">
      <w:bodyDiv w:val="1"/>
      <w:marLeft w:val="0"/>
      <w:marRight w:val="0"/>
      <w:marTop w:val="0"/>
      <w:marBottom w:val="0"/>
      <w:divBdr>
        <w:top w:val="none" w:sz="0" w:space="0" w:color="auto"/>
        <w:left w:val="none" w:sz="0" w:space="0" w:color="auto"/>
        <w:bottom w:val="none" w:sz="0" w:space="0" w:color="auto"/>
        <w:right w:val="none" w:sz="0" w:space="0" w:color="auto"/>
      </w:divBdr>
    </w:div>
    <w:div w:id="1163665412">
      <w:bodyDiv w:val="1"/>
      <w:marLeft w:val="0"/>
      <w:marRight w:val="0"/>
      <w:marTop w:val="0"/>
      <w:marBottom w:val="0"/>
      <w:divBdr>
        <w:top w:val="none" w:sz="0" w:space="0" w:color="auto"/>
        <w:left w:val="none" w:sz="0" w:space="0" w:color="auto"/>
        <w:bottom w:val="none" w:sz="0" w:space="0" w:color="auto"/>
        <w:right w:val="none" w:sz="0" w:space="0" w:color="auto"/>
      </w:divBdr>
    </w:div>
    <w:div w:id="1235555136">
      <w:bodyDiv w:val="1"/>
      <w:marLeft w:val="0"/>
      <w:marRight w:val="0"/>
      <w:marTop w:val="0"/>
      <w:marBottom w:val="0"/>
      <w:divBdr>
        <w:top w:val="none" w:sz="0" w:space="0" w:color="auto"/>
        <w:left w:val="none" w:sz="0" w:space="0" w:color="auto"/>
        <w:bottom w:val="none" w:sz="0" w:space="0" w:color="auto"/>
        <w:right w:val="none" w:sz="0" w:space="0" w:color="auto"/>
      </w:divBdr>
    </w:div>
    <w:div w:id="1277905993">
      <w:bodyDiv w:val="1"/>
      <w:marLeft w:val="0"/>
      <w:marRight w:val="0"/>
      <w:marTop w:val="0"/>
      <w:marBottom w:val="0"/>
      <w:divBdr>
        <w:top w:val="none" w:sz="0" w:space="0" w:color="auto"/>
        <w:left w:val="none" w:sz="0" w:space="0" w:color="auto"/>
        <w:bottom w:val="none" w:sz="0" w:space="0" w:color="auto"/>
        <w:right w:val="none" w:sz="0" w:space="0" w:color="auto"/>
      </w:divBdr>
    </w:div>
    <w:div w:id="1317150644">
      <w:bodyDiv w:val="1"/>
      <w:marLeft w:val="0"/>
      <w:marRight w:val="0"/>
      <w:marTop w:val="0"/>
      <w:marBottom w:val="0"/>
      <w:divBdr>
        <w:top w:val="none" w:sz="0" w:space="0" w:color="auto"/>
        <w:left w:val="none" w:sz="0" w:space="0" w:color="auto"/>
        <w:bottom w:val="none" w:sz="0" w:space="0" w:color="auto"/>
        <w:right w:val="none" w:sz="0" w:space="0" w:color="auto"/>
      </w:divBdr>
    </w:div>
    <w:div w:id="1619408573">
      <w:bodyDiv w:val="1"/>
      <w:marLeft w:val="0"/>
      <w:marRight w:val="0"/>
      <w:marTop w:val="0"/>
      <w:marBottom w:val="0"/>
      <w:divBdr>
        <w:top w:val="none" w:sz="0" w:space="0" w:color="auto"/>
        <w:left w:val="none" w:sz="0" w:space="0" w:color="auto"/>
        <w:bottom w:val="none" w:sz="0" w:space="0" w:color="auto"/>
        <w:right w:val="none" w:sz="0" w:space="0" w:color="auto"/>
      </w:divBdr>
      <w:divsChild>
        <w:div w:id="313069972">
          <w:marLeft w:val="0"/>
          <w:marRight w:val="0"/>
          <w:marTop w:val="0"/>
          <w:marBottom w:val="0"/>
          <w:divBdr>
            <w:top w:val="none" w:sz="0" w:space="0" w:color="auto"/>
            <w:left w:val="none" w:sz="0" w:space="0" w:color="auto"/>
            <w:bottom w:val="none" w:sz="0" w:space="0" w:color="auto"/>
            <w:right w:val="none" w:sz="0" w:space="0" w:color="auto"/>
          </w:divBdr>
          <w:divsChild>
            <w:div w:id="1601986307">
              <w:marLeft w:val="0"/>
              <w:marRight w:val="0"/>
              <w:marTop w:val="0"/>
              <w:marBottom w:val="0"/>
              <w:divBdr>
                <w:top w:val="none" w:sz="0" w:space="0" w:color="auto"/>
                <w:left w:val="none" w:sz="0" w:space="0" w:color="auto"/>
                <w:bottom w:val="none" w:sz="0" w:space="0" w:color="auto"/>
                <w:right w:val="none" w:sz="0" w:space="0" w:color="auto"/>
              </w:divBdr>
              <w:divsChild>
                <w:div w:id="1443646291">
                  <w:marLeft w:val="0"/>
                  <w:marRight w:val="0"/>
                  <w:marTop w:val="0"/>
                  <w:marBottom w:val="0"/>
                  <w:divBdr>
                    <w:top w:val="none" w:sz="0" w:space="0" w:color="auto"/>
                    <w:left w:val="none" w:sz="0" w:space="0" w:color="auto"/>
                    <w:bottom w:val="none" w:sz="0" w:space="0" w:color="auto"/>
                    <w:right w:val="none" w:sz="0" w:space="0" w:color="auto"/>
                  </w:divBdr>
                  <w:divsChild>
                    <w:div w:id="1466662493">
                      <w:marLeft w:val="0"/>
                      <w:marRight w:val="0"/>
                      <w:marTop w:val="0"/>
                      <w:marBottom w:val="0"/>
                      <w:divBdr>
                        <w:top w:val="none" w:sz="0" w:space="0" w:color="auto"/>
                        <w:left w:val="none" w:sz="0" w:space="0" w:color="auto"/>
                        <w:bottom w:val="none" w:sz="0" w:space="0" w:color="auto"/>
                        <w:right w:val="none" w:sz="0" w:space="0" w:color="auto"/>
                      </w:divBdr>
                      <w:divsChild>
                        <w:div w:id="278923991">
                          <w:marLeft w:val="0"/>
                          <w:marRight w:val="0"/>
                          <w:marTop w:val="0"/>
                          <w:marBottom w:val="0"/>
                          <w:divBdr>
                            <w:top w:val="none" w:sz="0" w:space="0" w:color="auto"/>
                            <w:left w:val="none" w:sz="0" w:space="0" w:color="auto"/>
                            <w:bottom w:val="none" w:sz="0" w:space="0" w:color="auto"/>
                            <w:right w:val="none" w:sz="0" w:space="0" w:color="auto"/>
                          </w:divBdr>
                          <w:divsChild>
                            <w:div w:id="141118953">
                              <w:marLeft w:val="0"/>
                              <w:marRight w:val="0"/>
                              <w:marTop w:val="0"/>
                              <w:marBottom w:val="0"/>
                              <w:divBdr>
                                <w:top w:val="none" w:sz="0" w:space="0" w:color="auto"/>
                                <w:left w:val="none" w:sz="0" w:space="0" w:color="auto"/>
                                <w:bottom w:val="none" w:sz="0" w:space="0" w:color="auto"/>
                                <w:right w:val="none" w:sz="0" w:space="0" w:color="auto"/>
                              </w:divBdr>
                              <w:divsChild>
                                <w:div w:id="1063020898">
                                  <w:marLeft w:val="0"/>
                                  <w:marRight w:val="0"/>
                                  <w:marTop w:val="0"/>
                                  <w:marBottom w:val="0"/>
                                  <w:divBdr>
                                    <w:top w:val="none" w:sz="0" w:space="0" w:color="auto"/>
                                    <w:left w:val="none" w:sz="0" w:space="0" w:color="auto"/>
                                    <w:bottom w:val="none" w:sz="0" w:space="0" w:color="auto"/>
                                    <w:right w:val="none" w:sz="0" w:space="0" w:color="auto"/>
                                  </w:divBdr>
                                  <w:divsChild>
                                    <w:div w:id="1494565541">
                                      <w:marLeft w:val="0"/>
                                      <w:marRight w:val="0"/>
                                      <w:marTop w:val="0"/>
                                      <w:marBottom w:val="0"/>
                                      <w:divBdr>
                                        <w:top w:val="none" w:sz="0" w:space="0" w:color="auto"/>
                                        <w:left w:val="none" w:sz="0" w:space="0" w:color="auto"/>
                                        <w:bottom w:val="none" w:sz="0" w:space="0" w:color="auto"/>
                                        <w:right w:val="none" w:sz="0" w:space="0" w:color="auto"/>
                                      </w:divBdr>
                                      <w:divsChild>
                                        <w:div w:id="1426921573">
                                          <w:marLeft w:val="0"/>
                                          <w:marRight w:val="0"/>
                                          <w:marTop w:val="0"/>
                                          <w:marBottom w:val="0"/>
                                          <w:divBdr>
                                            <w:top w:val="none" w:sz="0" w:space="0" w:color="auto"/>
                                            <w:left w:val="none" w:sz="0" w:space="0" w:color="auto"/>
                                            <w:bottom w:val="none" w:sz="0" w:space="0" w:color="auto"/>
                                            <w:right w:val="none" w:sz="0" w:space="0" w:color="auto"/>
                                          </w:divBdr>
                                          <w:divsChild>
                                            <w:div w:id="935677496">
                                              <w:marLeft w:val="0"/>
                                              <w:marRight w:val="0"/>
                                              <w:marTop w:val="0"/>
                                              <w:marBottom w:val="0"/>
                                              <w:divBdr>
                                                <w:top w:val="none" w:sz="0" w:space="0" w:color="auto"/>
                                                <w:left w:val="none" w:sz="0" w:space="0" w:color="auto"/>
                                                <w:bottom w:val="none" w:sz="0" w:space="0" w:color="auto"/>
                                                <w:right w:val="none" w:sz="0" w:space="0" w:color="auto"/>
                                              </w:divBdr>
                                              <w:divsChild>
                                                <w:div w:id="818766319">
                                                  <w:marLeft w:val="0"/>
                                                  <w:marRight w:val="0"/>
                                                  <w:marTop w:val="0"/>
                                                  <w:marBottom w:val="0"/>
                                                  <w:divBdr>
                                                    <w:top w:val="none" w:sz="0" w:space="0" w:color="auto"/>
                                                    <w:left w:val="none" w:sz="0" w:space="0" w:color="auto"/>
                                                    <w:bottom w:val="none" w:sz="0" w:space="0" w:color="auto"/>
                                                    <w:right w:val="none" w:sz="0" w:space="0" w:color="auto"/>
                                                  </w:divBdr>
                                                  <w:divsChild>
                                                    <w:div w:id="968783178">
                                                      <w:marLeft w:val="0"/>
                                                      <w:marRight w:val="0"/>
                                                      <w:marTop w:val="0"/>
                                                      <w:marBottom w:val="0"/>
                                                      <w:divBdr>
                                                        <w:top w:val="none" w:sz="0" w:space="0" w:color="auto"/>
                                                        <w:left w:val="none" w:sz="0" w:space="0" w:color="auto"/>
                                                        <w:bottom w:val="none" w:sz="0" w:space="0" w:color="auto"/>
                                                        <w:right w:val="none" w:sz="0" w:space="0" w:color="auto"/>
                                                      </w:divBdr>
                                                      <w:divsChild>
                                                        <w:div w:id="1858081024">
                                                          <w:marLeft w:val="0"/>
                                                          <w:marRight w:val="0"/>
                                                          <w:marTop w:val="0"/>
                                                          <w:marBottom w:val="0"/>
                                                          <w:divBdr>
                                                            <w:top w:val="none" w:sz="0" w:space="0" w:color="auto"/>
                                                            <w:left w:val="none" w:sz="0" w:space="0" w:color="auto"/>
                                                            <w:bottom w:val="none" w:sz="0" w:space="0" w:color="auto"/>
                                                            <w:right w:val="none" w:sz="0" w:space="0" w:color="auto"/>
                                                          </w:divBdr>
                                                          <w:divsChild>
                                                            <w:div w:id="1054502659">
                                                              <w:marLeft w:val="0"/>
                                                              <w:marRight w:val="0"/>
                                                              <w:marTop w:val="0"/>
                                                              <w:marBottom w:val="0"/>
                                                              <w:divBdr>
                                                                <w:top w:val="none" w:sz="0" w:space="0" w:color="auto"/>
                                                                <w:left w:val="none" w:sz="0" w:space="0" w:color="auto"/>
                                                                <w:bottom w:val="none" w:sz="0" w:space="0" w:color="auto"/>
                                                                <w:right w:val="none" w:sz="0" w:space="0" w:color="auto"/>
                                                              </w:divBdr>
                                                              <w:divsChild>
                                                                <w:div w:id="1702323198">
                                                                  <w:marLeft w:val="0"/>
                                                                  <w:marRight w:val="0"/>
                                                                  <w:marTop w:val="0"/>
                                                                  <w:marBottom w:val="0"/>
                                                                  <w:divBdr>
                                                                    <w:top w:val="none" w:sz="0" w:space="0" w:color="auto"/>
                                                                    <w:left w:val="none" w:sz="0" w:space="0" w:color="auto"/>
                                                                    <w:bottom w:val="none" w:sz="0" w:space="0" w:color="auto"/>
                                                                    <w:right w:val="none" w:sz="0" w:space="0" w:color="auto"/>
                                                                  </w:divBdr>
                                                                  <w:divsChild>
                                                                    <w:div w:id="1321077943">
                                                                      <w:marLeft w:val="0"/>
                                                                      <w:marRight w:val="0"/>
                                                                      <w:marTop w:val="0"/>
                                                                      <w:marBottom w:val="0"/>
                                                                      <w:divBdr>
                                                                        <w:top w:val="none" w:sz="0" w:space="0" w:color="auto"/>
                                                                        <w:left w:val="none" w:sz="0" w:space="0" w:color="auto"/>
                                                                        <w:bottom w:val="none" w:sz="0" w:space="0" w:color="auto"/>
                                                                        <w:right w:val="none" w:sz="0" w:space="0" w:color="auto"/>
                                                                      </w:divBdr>
                                                                      <w:divsChild>
                                                                        <w:div w:id="6620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7371591">
      <w:bodyDiv w:val="1"/>
      <w:marLeft w:val="0"/>
      <w:marRight w:val="0"/>
      <w:marTop w:val="0"/>
      <w:marBottom w:val="0"/>
      <w:divBdr>
        <w:top w:val="none" w:sz="0" w:space="0" w:color="auto"/>
        <w:left w:val="none" w:sz="0" w:space="0" w:color="auto"/>
        <w:bottom w:val="none" w:sz="0" w:space="0" w:color="auto"/>
        <w:right w:val="none" w:sz="0" w:space="0" w:color="auto"/>
      </w:divBdr>
      <w:divsChild>
        <w:div w:id="925118510">
          <w:marLeft w:val="0"/>
          <w:marRight w:val="0"/>
          <w:marTop w:val="0"/>
          <w:marBottom w:val="0"/>
          <w:divBdr>
            <w:top w:val="none" w:sz="0" w:space="0" w:color="auto"/>
            <w:left w:val="none" w:sz="0" w:space="0" w:color="auto"/>
            <w:bottom w:val="none" w:sz="0" w:space="0" w:color="auto"/>
            <w:right w:val="none" w:sz="0" w:space="0" w:color="auto"/>
          </w:divBdr>
          <w:divsChild>
            <w:div w:id="55514455">
              <w:marLeft w:val="0"/>
              <w:marRight w:val="0"/>
              <w:marTop w:val="0"/>
              <w:marBottom w:val="0"/>
              <w:divBdr>
                <w:top w:val="none" w:sz="0" w:space="0" w:color="auto"/>
                <w:left w:val="none" w:sz="0" w:space="0" w:color="auto"/>
                <w:bottom w:val="none" w:sz="0" w:space="0" w:color="auto"/>
                <w:right w:val="none" w:sz="0" w:space="0" w:color="auto"/>
              </w:divBdr>
              <w:divsChild>
                <w:div w:id="523834326">
                  <w:marLeft w:val="0"/>
                  <w:marRight w:val="0"/>
                  <w:marTop w:val="0"/>
                  <w:marBottom w:val="0"/>
                  <w:divBdr>
                    <w:top w:val="none" w:sz="0" w:space="0" w:color="auto"/>
                    <w:left w:val="none" w:sz="0" w:space="0" w:color="auto"/>
                    <w:bottom w:val="none" w:sz="0" w:space="0" w:color="auto"/>
                    <w:right w:val="none" w:sz="0" w:space="0" w:color="auto"/>
                  </w:divBdr>
                  <w:divsChild>
                    <w:div w:id="976684770">
                      <w:marLeft w:val="0"/>
                      <w:marRight w:val="0"/>
                      <w:marTop w:val="0"/>
                      <w:marBottom w:val="0"/>
                      <w:divBdr>
                        <w:top w:val="none" w:sz="0" w:space="0" w:color="auto"/>
                        <w:left w:val="none" w:sz="0" w:space="0" w:color="auto"/>
                        <w:bottom w:val="none" w:sz="0" w:space="0" w:color="auto"/>
                        <w:right w:val="none" w:sz="0" w:space="0" w:color="auto"/>
                      </w:divBdr>
                      <w:divsChild>
                        <w:div w:id="1152023876">
                          <w:marLeft w:val="0"/>
                          <w:marRight w:val="0"/>
                          <w:marTop w:val="0"/>
                          <w:marBottom w:val="0"/>
                          <w:divBdr>
                            <w:top w:val="none" w:sz="0" w:space="0" w:color="auto"/>
                            <w:left w:val="none" w:sz="0" w:space="0" w:color="auto"/>
                            <w:bottom w:val="none" w:sz="0" w:space="0" w:color="auto"/>
                            <w:right w:val="none" w:sz="0" w:space="0" w:color="auto"/>
                          </w:divBdr>
                          <w:divsChild>
                            <w:div w:id="1563711045">
                              <w:marLeft w:val="0"/>
                              <w:marRight w:val="0"/>
                              <w:marTop w:val="0"/>
                              <w:marBottom w:val="0"/>
                              <w:divBdr>
                                <w:top w:val="none" w:sz="0" w:space="0" w:color="auto"/>
                                <w:left w:val="none" w:sz="0" w:space="0" w:color="auto"/>
                                <w:bottom w:val="none" w:sz="0" w:space="0" w:color="auto"/>
                                <w:right w:val="none" w:sz="0" w:space="0" w:color="auto"/>
                              </w:divBdr>
                              <w:divsChild>
                                <w:div w:id="117142178">
                                  <w:marLeft w:val="0"/>
                                  <w:marRight w:val="0"/>
                                  <w:marTop w:val="0"/>
                                  <w:marBottom w:val="0"/>
                                  <w:divBdr>
                                    <w:top w:val="none" w:sz="0" w:space="0" w:color="auto"/>
                                    <w:left w:val="none" w:sz="0" w:space="0" w:color="auto"/>
                                    <w:bottom w:val="none" w:sz="0" w:space="0" w:color="auto"/>
                                    <w:right w:val="none" w:sz="0" w:space="0" w:color="auto"/>
                                  </w:divBdr>
                                  <w:divsChild>
                                    <w:div w:id="1907716277">
                                      <w:marLeft w:val="0"/>
                                      <w:marRight w:val="0"/>
                                      <w:marTop w:val="0"/>
                                      <w:marBottom w:val="0"/>
                                      <w:divBdr>
                                        <w:top w:val="none" w:sz="0" w:space="0" w:color="auto"/>
                                        <w:left w:val="none" w:sz="0" w:space="0" w:color="auto"/>
                                        <w:bottom w:val="none" w:sz="0" w:space="0" w:color="auto"/>
                                        <w:right w:val="none" w:sz="0" w:space="0" w:color="auto"/>
                                      </w:divBdr>
                                      <w:divsChild>
                                        <w:div w:id="101077794">
                                          <w:marLeft w:val="0"/>
                                          <w:marRight w:val="0"/>
                                          <w:marTop w:val="0"/>
                                          <w:marBottom w:val="0"/>
                                          <w:divBdr>
                                            <w:top w:val="none" w:sz="0" w:space="0" w:color="auto"/>
                                            <w:left w:val="none" w:sz="0" w:space="0" w:color="auto"/>
                                            <w:bottom w:val="none" w:sz="0" w:space="0" w:color="auto"/>
                                            <w:right w:val="none" w:sz="0" w:space="0" w:color="auto"/>
                                          </w:divBdr>
                                          <w:divsChild>
                                            <w:div w:id="1119376370">
                                              <w:marLeft w:val="0"/>
                                              <w:marRight w:val="0"/>
                                              <w:marTop w:val="0"/>
                                              <w:marBottom w:val="0"/>
                                              <w:divBdr>
                                                <w:top w:val="none" w:sz="0" w:space="0" w:color="auto"/>
                                                <w:left w:val="none" w:sz="0" w:space="0" w:color="auto"/>
                                                <w:bottom w:val="none" w:sz="0" w:space="0" w:color="auto"/>
                                                <w:right w:val="none" w:sz="0" w:space="0" w:color="auto"/>
                                              </w:divBdr>
                                              <w:divsChild>
                                                <w:div w:id="154153656">
                                                  <w:marLeft w:val="0"/>
                                                  <w:marRight w:val="0"/>
                                                  <w:marTop w:val="0"/>
                                                  <w:marBottom w:val="0"/>
                                                  <w:divBdr>
                                                    <w:top w:val="none" w:sz="0" w:space="0" w:color="auto"/>
                                                    <w:left w:val="none" w:sz="0" w:space="0" w:color="auto"/>
                                                    <w:bottom w:val="none" w:sz="0" w:space="0" w:color="auto"/>
                                                    <w:right w:val="none" w:sz="0" w:space="0" w:color="auto"/>
                                                  </w:divBdr>
                                                  <w:divsChild>
                                                    <w:div w:id="545415879">
                                                      <w:marLeft w:val="0"/>
                                                      <w:marRight w:val="0"/>
                                                      <w:marTop w:val="0"/>
                                                      <w:marBottom w:val="0"/>
                                                      <w:divBdr>
                                                        <w:top w:val="none" w:sz="0" w:space="0" w:color="auto"/>
                                                        <w:left w:val="none" w:sz="0" w:space="0" w:color="auto"/>
                                                        <w:bottom w:val="none" w:sz="0" w:space="0" w:color="auto"/>
                                                        <w:right w:val="none" w:sz="0" w:space="0" w:color="auto"/>
                                                      </w:divBdr>
                                                      <w:divsChild>
                                                        <w:div w:id="1289824356">
                                                          <w:marLeft w:val="0"/>
                                                          <w:marRight w:val="0"/>
                                                          <w:marTop w:val="0"/>
                                                          <w:marBottom w:val="0"/>
                                                          <w:divBdr>
                                                            <w:top w:val="none" w:sz="0" w:space="0" w:color="auto"/>
                                                            <w:left w:val="none" w:sz="0" w:space="0" w:color="auto"/>
                                                            <w:bottom w:val="none" w:sz="0" w:space="0" w:color="auto"/>
                                                            <w:right w:val="none" w:sz="0" w:space="0" w:color="auto"/>
                                                          </w:divBdr>
                                                          <w:divsChild>
                                                            <w:div w:id="1305812269">
                                                              <w:marLeft w:val="0"/>
                                                              <w:marRight w:val="0"/>
                                                              <w:marTop w:val="0"/>
                                                              <w:marBottom w:val="0"/>
                                                              <w:divBdr>
                                                                <w:top w:val="none" w:sz="0" w:space="0" w:color="auto"/>
                                                                <w:left w:val="none" w:sz="0" w:space="0" w:color="auto"/>
                                                                <w:bottom w:val="none" w:sz="0" w:space="0" w:color="auto"/>
                                                                <w:right w:val="none" w:sz="0" w:space="0" w:color="auto"/>
                                                              </w:divBdr>
                                                              <w:divsChild>
                                                                <w:div w:id="1982029112">
                                                                  <w:marLeft w:val="0"/>
                                                                  <w:marRight w:val="0"/>
                                                                  <w:marTop w:val="0"/>
                                                                  <w:marBottom w:val="0"/>
                                                                  <w:divBdr>
                                                                    <w:top w:val="none" w:sz="0" w:space="0" w:color="auto"/>
                                                                    <w:left w:val="none" w:sz="0" w:space="0" w:color="auto"/>
                                                                    <w:bottom w:val="none" w:sz="0" w:space="0" w:color="auto"/>
                                                                    <w:right w:val="none" w:sz="0" w:space="0" w:color="auto"/>
                                                                  </w:divBdr>
                                                                  <w:divsChild>
                                                                    <w:div w:id="1318681288">
                                                                      <w:marLeft w:val="0"/>
                                                                      <w:marRight w:val="0"/>
                                                                      <w:marTop w:val="0"/>
                                                                      <w:marBottom w:val="0"/>
                                                                      <w:divBdr>
                                                                        <w:top w:val="none" w:sz="0" w:space="0" w:color="auto"/>
                                                                        <w:left w:val="none" w:sz="0" w:space="0" w:color="auto"/>
                                                                        <w:bottom w:val="none" w:sz="0" w:space="0" w:color="auto"/>
                                                                        <w:right w:val="none" w:sz="0" w:space="0" w:color="auto"/>
                                                                      </w:divBdr>
                                                                      <w:divsChild>
                                                                        <w:div w:id="21466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609546">
      <w:bodyDiv w:val="1"/>
      <w:marLeft w:val="0"/>
      <w:marRight w:val="0"/>
      <w:marTop w:val="0"/>
      <w:marBottom w:val="0"/>
      <w:divBdr>
        <w:top w:val="none" w:sz="0" w:space="0" w:color="auto"/>
        <w:left w:val="none" w:sz="0" w:space="0" w:color="auto"/>
        <w:bottom w:val="none" w:sz="0" w:space="0" w:color="auto"/>
        <w:right w:val="none" w:sz="0" w:space="0" w:color="auto"/>
      </w:divBdr>
    </w:div>
    <w:div w:id="1935749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lv-LV" b="1"/>
              <a:t>PVN standarta</a:t>
            </a:r>
            <a:r>
              <a:rPr lang="lv-LV" b="1" baseline="0"/>
              <a:t> </a:t>
            </a:r>
            <a:r>
              <a:rPr lang="lv-LV" b="1"/>
              <a:t>likmes ES, 2014</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spPr>
            <a:solidFill>
              <a:schemeClr val="accent1"/>
            </a:solidFill>
            <a:ln>
              <a:noFill/>
            </a:ln>
            <a:effectLst/>
          </c:spPr>
          <c:invertIfNegative val="0"/>
          <c:dPt>
            <c:idx val="15"/>
            <c:invertIfNegative val="0"/>
            <c:bubble3D val="0"/>
            <c:spPr>
              <a:solidFill>
                <a:schemeClr val="accent2">
                  <a:lumMod val="75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Sheet1!$M$4:$M$31</c:f>
              <c:strCache>
                <c:ptCount val="28"/>
                <c:pt idx="0">
                  <c:v>HU</c:v>
                </c:pt>
                <c:pt idx="1">
                  <c:v>DK</c:v>
                </c:pt>
                <c:pt idx="2">
                  <c:v>HR</c:v>
                </c:pt>
                <c:pt idx="3">
                  <c:v>SE</c:v>
                </c:pt>
                <c:pt idx="4">
                  <c:v>RO</c:v>
                </c:pt>
                <c:pt idx="5">
                  <c:v>FI</c:v>
                </c:pt>
                <c:pt idx="6">
                  <c:v>EL</c:v>
                </c:pt>
                <c:pt idx="7">
                  <c:v>IE</c:v>
                </c:pt>
                <c:pt idx="8">
                  <c:v>PL</c:v>
                </c:pt>
                <c:pt idx="9">
                  <c:v>PT</c:v>
                </c:pt>
                <c:pt idx="10">
                  <c:v>IT</c:v>
                </c:pt>
                <c:pt idx="11">
                  <c:v>SI</c:v>
                </c:pt>
                <c:pt idx="12">
                  <c:v>BE</c:v>
                </c:pt>
                <c:pt idx="13">
                  <c:v>CZ</c:v>
                </c:pt>
                <c:pt idx="14">
                  <c:v>ES</c:v>
                </c:pt>
                <c:pt idx="15">
                  <c:v>LV</c:v>
                </c:pt>
                <c:pt idx="16">
                  <c:v>LT</c:v>
                </c:pt>
                <c:pt idx="17">
                  <c:v>NL</c:v>
                </c:pt>
                <c:pt idx="18">
                  <c:v>BG</c:v>
                </c:pt>
                <c:pt idx="19">
                  <c:v>EE</c:v>
                </c:pt>
                <c:pt idx="20">
                  <c:v>FR</c:v>
                </c:pt>
                <c:pt idx="21">
                  <c:v>AT</c:v>
                </c:pt>
                <c:pt idx="22">
                  <c:v>SK</c:v>
                </c:pt>
                <c:pt idx="23">
                  <c:v>UK</c:v>
                </c:pt>
                <c:pt idx="24">
                  <c:v>DE</c:v>
                </c:pt>
                <c:pt idx="25">
                  <c:v>CY</c:v>
                </c:pt>
                <c:pt idx="26">
                  <c:v>MT</c:v>
                </c:pt>
                <c:pt idx="27">
                  <c:v>LU</c:v>
                </c:pt>
              </c:strCache>
            </c:strRef>
          </c:cat>
          <c:val>
            <c:numRef>
              <c:f>Sheet1!$N$4:$N$31</c:f>
              <c:numCache>
                <c:formatCode>General</c:formatCode>
                <c:ptCount val="28"/>
                <c:pt idx="0">
                  <c:v>27</c:v>
                </c:pt>
                <c:pt idx="1">
                  <c:v>25</c:v>
                </c:pt>
                <c:pt idx="2">
                  <c:v>25</c:v>
                </c:pt>
                <c:pt idx="3">
                  <c:v>25</c:v>
                </c:pt>
                <c:pt idx="4">
                  <c:v>24</c:v>
                </c:pt>
                <c:pt idx="5">
                  <c:v>24</c:v>
                </c:pt>
                <c:pt idx="6">
                  <c:v>23</c:v>
                </c:pt>
                <c:pt idx="7">
                  <c:v>23</c:v>
                </c:pt>
                <c:pt idx="8">
                  <c:v>23</c:v>
                </c:pt>
                <c:pt idx="9">
                  <c:v>23</c:v>
                </c:pt>
                <c:pt idx="10">
                  <c:v>22</c:v>
                </c:pt>
                <c:pt idx="11">
                  <c:v>22</c:v>
                </c:pt>
                <c:pt idx="12">
                  <c:v>21</c:v>
                </c:pt>
                <c:pt idx="13">
                  <c:v>21</c:v>
                </c:pt>
                <c:pt idx="14">
                  <c:v>21</c:v>
                </c:pt>
                <c:pt idx="15">
                  <c:v>21</c:v>
                </c:pt>
                <c:pt idx="16">
                  <c:v>21</c:v>
                </c:pt>
                <c:pt idx="17">
                  <c:v>21</c:v>
                </c:pt>
                <c:pt idx="18">
                  <c:v>20</c:v>
                </c:pt>
                <c:pt idx="19">
                  <c:v>20</c:v>
                </c:pt>
                <c:pt idx="20">
                  <c:v>20</c:v>
                </c:pt>
                <c:pt idx="21">
                  <c:v>20</c:v>
                </c:pt>
                <c:pt idx="22">
                  <c:v>20</c:v>
                </c:pt>
                <c:pt idx="23">
                  <c:v>20</c:v>
                </c:pt>
                <c:pt idx="24">
                  <c:v>19</c:v>
                </c:pt>
                <c:pt idx="25">
                  <c:v>19</c:v>
                </c:pt>
                <c:pt idx="26">
                  <c:v>18</c:v>
                </c:pt>
                <c:pt idx="27">
                  <c:v>15</c:v>
                </c:pt>
              </c:numCache>
            </c:numRef>
          </c:val>
        </c:ser>
        <c:dLbls>
          <c:showLegendKey val="0"/>
          <c:showVal val="0"/>
          <c:showCatName val="0"/>
          <c:showSerName val="0"/>
          <c:showPercent val="0"/>
          <c:showBubbleSize val="0"/>
        </c:dLbls>
        <c:gapWidth val="219"/>
        <c:overlap val="-27"/>
        <c:axId val="161381704"/>
        <c:axId val="161382096"/>
      </c:barChart>
      <c:catAx>
        <c:axId val="161381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1382096"/>
        <c:crosses val="autoZero"/>
        <c:auto val="1"/>
        <c:lblAlgn val="ctr"/>
        <c:lblOffset val="100"/>
        <c:noMultiLvlLbl val="0"/>
      </c:catAx>
      <c:valAx>
        <c:axId val="161382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1381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04BF5-9055-4C79-B643-E1499877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13</Pages>
  <Words>21433</Words>
  <Characters>12217</Characters>
  <Application>Microsoft Office Word</Application>
  <DocSecurity>0</DocSecurity>
  <Lines>101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samazināto pievienotās vērtības nodokļa likmi pārtikai vai atsevišķām pārtikas preču grupām un fiskālo ietekmi uz valsts budžetu"</dc:title>
  <dc:subject>Informatīvais ziņojums</dc:subject>
  <dc:creator>Agija Nika</dc:creator>
  <dc:description>Agija.Nika@fm.gov.lv; t: 67083968</dc:description>
  <cp:lastModifiedBy>Gunta Puidīte</cp:lastModifiedBy>
  <cp:revision>173</cp:revision>
  <cp:lastPrinted>2015-01-14T09:50:00Z</cp:lastPrinted>
  <dcterms:created xsi:type="dcterms:W3CDTF">2015-01-12T13:47:00Z</dcterms:created>
  <dcterms:modified xsi:type="dcterms:W3CDTF">2015-01-23T08:11:00Z</dcterms:modified>
</cp:coreProperties>
</file>