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323F" w14:textId="733BF5B8" w:rsidR="00F86C1C" w:rsidRPr="00EE2B27" w:rsidRDefault="00F23F1D" w:rsidP="00165CC2">
      <w:pPr>
        <w:pStyle w:val="tv2121"/>
        <w:spacing w:before="0" w:line="240" w:lineRule="auto"/>
        <w:rPr>
          <w:rFonts w:ascii="Times New Roman" w:hAnsi="Times New Roman"/>
          <w:sz w:val="24"/>
          <w:szCs w:val="24"/>
        </w:rPr>
      </w:pPr>
      <w:bookmarkStart w:id="0" w:name="372832"/>
      <w:r w:rsidRPr="00EE2B27">
        <w:rPr>
          <w:rFonts w:ascii="Times New Roman" w:hAnsi="Times New Roman"/>
          <w:bCs w:val="0"/>
          <w:sz w:val="24"/>
          <w:szCs w:val="24"/>
        </w:rPr>
        <w:t>Ministru kabineta noteikumu</w:t>
      </w:r>
      <w:bookmarkEnd w:id="0"/>
      <w:r w:rsidR="005807AD" w:rsidRPr="00EE2B27">
        <w:rPr>
          <w:rFonts w:ascii="Times New Roman" w:hAnsi="Times New Roman"/>
          <w:bCs w:val="0"/>
          <w:sz w:val="24"/>
          <w:szCs w:val="24"/>
        </w:rPr>
        <w:t xml:space="preserve"> </w:t>
      </w:r>
      <w:r w:rsidR="00210AA3" w:rsidRPr="00EE2B27">
        <w:rPr>
          <w:rFonts w:ascii="Times New Roman" w:hAnsi="Times New Roman"/>
          <w:sz w:val="24"/>
          <w:szCs w:val="24"/>
        </w:rPr>
        <w:t>„</w:t>
      </w:r>
      <w:r w:rsidR="005807AD" w:rsidRPr="00EE2B27">
        <w:rPr>
          <w:rFonts w:ascii="Times New Roman" w:hAnsi="Times New Roman"/>
          <w:sz w:val="24"/>
          <w:szCs w:val="24"/>
        </w:rPr>
        <w:t>Darbības programmas „Izaugsme un nodarbinātība” 8.4.1.specifiskā atbalsta mērķa “Pilnveidot nodarbināto personu profesionālo kompetenci” 8.4.1.1.pasākuma “</w:t>
      </w:r>
      <w:proofErr w:type="spellStart"/>
      <w:r w:rsidR="005807AD" w:rsidRPr="00EE2B27">
        <w:rPr>
          <w:rFonts w:ascii="Times New Roman" w:hAnsi="Times New Roman"/>
          <w:sz w:val="24"/>
          <w:szCs w:val="24"/>
        </w:rPr>
        <w:t>Izmēģinājumprojekts</w:t>
      </w:r>
      <w:proofErr w:type="spellEnd"/>
      <w:r w:rsidR="005807AD" w:rsidRPr="00EE2B27">
        <w:rPr>
          <w:rFonts w:ascii="Times New Roman" w:hAnsi="Times New Roman"/>
          <w:sz w:val="24"/>
          <w:szCs w:val="24"/>
        </w:rPr>
        <w:t xml:space="preserve"> bezdarba riskam pakļauto nodarbināto personu atbalstam” īstenošanas noteikumi</w:t>
      </w:r>
      <w:r w:rsidR="00E35333" w:rsidRPr="00EE2B27">
        <w:rPr>
          <w:rFonts w:ascii="Times New Roman" w:hAnsi="Times New Roman"/>
          <w:sz w:val="24"/>
          <w:szCs w:val="24"/>
        </w:rPr>
        <w:t>”</w:t>
      </w:r>
      <w:r w:rsidR="005807AD" w:rsidRPr="00EE2B27">
        <w:rPr>
          <w:rFonts w:ascii="Times New Roman" w:hAnsi="Times New Roman"/>
          <w:sz w:val="24"/>
          <w:szCs w:val="24"/>
        </w:rPr>
        <w:t xml:space="preserve"> </w:t>
      </w:r>
      <w:r w:rsidR="00F86C1C" w:rsidRPr="00EE2B27">
        <w:rPr>
          <w:rFonts w:ascii="Times New Roman" w:hAnsi="Times New Roman"/>
          <w:bCs w:val="0"/>
          <w:sz w:val="24"/>
          <w:szCs w:val="24"/>
        </w:rPr>
        <w:t>projekta</w:t>
      </w:r>
      <w:r w:rsidR="00F86C1C" w:rsidRPr="00EE2B27">
        <w:rPr>
          <w:rFonts w:ascii="Times New Roman" w:hAnsi="Times New Roman"/>
          <w:sz w:val="24"/>
          <w:szCs w:val="24"/>
        </w:rPr>
        <w:t xml:space="preserve"> sākotnējās ietekmes novērtējuma ziņojums (anotācija)</w:t>
      </w:r>
      <w:r w:rsidR="00C24A5B" w:rsidRPr="00EE2B27">
        <w:rPr>
          <w:rFonts w:ascii="Times New Roman" w:hAnsi="Times New Roman"/>
          <w:sz w:val="24"/>
          <w:szCs w:val="24"/>
        </w:rPr>
        <w:t>.</w:t>
      </w:r>
    </w:p>
    <w:p w14:paraId="1DA197B8" w14:textId="77777777" w:rsidR="00F21E42" w:rsidRPr="00EE2B27" w:rsidRDefault="00F21E42" w:rsidP="00165CC2">
      <w:pPr>
        <w:pStyle w:val="tv2121"/>
        <w:spacing w:before="0" w:line="240" w:lineRule="auto"/>
        <w:rPr>
          <w:rFonts w:ascii="Times New Roman" w:hAnsi="Times New Roman"/>
          <w:sz w:val="24"/>
          <w:szCs w:val="24"/>
        </w:rPr>
      </w:pPr>
    </w:p>
    <w:tbl>
      <w:tblPr>
        <w:tblpPr w:leftFromText="180" w:rightFromText="180" w:vertAnchor="text" w:horzAnchor="margin" w:tblpXSpec="center" w:tblpY="149"/>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4"/>
        <w:gridCol w:w="2827"/>
        <w:gridCol w:w="6376"/>
      </w:tblGrid>
      <w:tr w:rsidR="00CC1A56" w:rsidRPr="00EE2B27" w14:paraId="30056F98" w14:textId="77777777" w:rsidTr="00DF11D0">
        <w:trPr>
          <w:trHeight w:val="419"/>
        </w:trPr>
        <w:tc>
          <w:tcPr>
            <w:tcW w:w="5000" w:type="pct"/>
            <w:gridSpan w:val="3"/>
            <w:vAlign w:val="center"/>
          </w:tcPr>
          <w:p w14:paraId="5B4638FF" w14:textId="77777777" w:rsidR="00CC1A56" w:rsidRPr="00EE2B27" w:rsidRDefault="00CC1A56" w:rsidP="00165CC2">
            <w:pPr>
              <w:pStyle w:val="naisnod"/>
              <w:spacing w:before="0" w:beforeAutospacing="0" w:after="0" w:afterAutospacing="0"/>
              <w:ind w:left="57" w:right="57"/>
              <w:jc w:val="center"/>
              <w:rPr>
                <w:b/>
              </w:rPr>
            </w:pPr>
            <w:r w:rsidRPr="00EE2B27">
              <w:rPr>
                <w:b/>
              </w:rPr>
              <w:t>I. Tiesību akta projekta izstrādes nepieciešamība</w:t>
            </w:r>
          </w:p>
        </w:tc>
      </w:tr>
      <w:tr w:rsidR="00CC1A56" w:rsidRPr="00EE2B27" w14:paraId="1770911C" w14:textId="77777777" w:rsidTr="00DF11D0">
        <w:trPr>
          <w:trHeight w:val="415"/>
        </w:trPr>
        <w:tc>
          <w:tcPr>
            <w:tcW w:w="215" w:type="pct"/>
          </w:tcPr>
          <w:p w14:paraId="5B96F5B4" w14:textId="77777777" w:rsidR="00CC1A56" w:rsidRPr="00EE2B27" w:rsidRDefault="00CC1A56" w:rsidP="00165CC2">
            <w:pPr>
              <w:pStyle w:val="naiskr"/>
              <w:spacing w:before="0" w:beforeAutospacing="0" w:after="0" w:afterAutospacing="0"/>
              <w:ind w:left="57" w:right="57"/>
              <w:jc w:val="center"/>
            </w:pPr>
            <w:r w:rsidRPr="00EE2B27">
              <w:t>1.</w:t>
            </w:r>
          </w:p>
        </w:tc>
        <w:tc>
          <w:tcPr>
            <w:tcW w:w="1470" w:type="pct"/>
          </w:tcPr>
          <w:p w14:paraId="495CF247" w14:textId="77777777" w:rsidR="00026A31" w:rsidRPr="00EE2B27" w:rsidRDefault="00CC1A56" w:rsidP="00165CC2">
            <w:pPr>
              <w:pStyle w:val="naiskr"/>
              <w:spacing w:before="0" w:beforeAutospacing="0" w:after="0" w:afterAutospacing="0"/>
              <w:ind w:left="57" w:right="57"/>
            </w:pPr>
            <w:r w:rsidRPr="00EE2B27">
              <w:t>Pamatojums</w:t>
            </w:r>
          </w:p>
          <w:p w14:paraId="0DC75940" w14:textId="77777777" w:rsidR="00CC1A56" w:rsidRPr="00EE2B27" w:rsidRDefault="00CC1A56" w:rsidP="00165CC2">
            <w:pPr>
              <w:spacing w:after="0" w:line="240" w:lineRule="auto"/>
              <w:ind w:firstLine="720"/>
              <w:rPr>
                <w:rFonts w:ascii="Times New Roman" w:hAnsi="Times New Roman" w:cs="Times New Roman"/>
                <w:sz w:val="24"/>
                <w:szCs w:val="24"/>
                <w:lang w:eastAsia="lv-LV"/>
              </w:rPr>
            </w:pPr>
          </w:p>
        </w:tc>
        <w:tc>
          <w:tcPr>
            <w:tcW w:w="3315" w:type="pct"/>
          </w:tcPr>
          <w:p w14:paraId="33B79C5B" w14:textId="5E4E8C07" w:rsidR="005807AD" w:rsidRPr="00EE2B27" w:rsidRDefault="00467554" w:rsidP="00165CC2">
            <w:pPr>
              <w:spacing w:after="0" w:line="240" w:lineRule="auto"/>
              <w:ind w:left="57" w:right="113"/>
              <w:jc w:val="both"/>
              <w:rPr>
                <w:rFonts w:ascii="Times New Roman" w:hAnsi="Times New Roman" w:cs="Times New Roman"/>
                <w:sz w:val="24"/>
                <w:szCs w:val="24"/>
                <w:shd w:val="clear" w:color="auto" w:fill="FFFFFF"/>
              </w:rPr>
            </w:pPr>
            <w:r w:rsidRPr="00EE2B27">
              <w:rPr>
                <w:rFonts w:ascii="Times New Roman" w:hAnsi="Times New Roman" w:cs="Times New Roman"/>
                <w:sz w:val="24"/>
                <w:szCs w:val="24"/>
                <w:shd w:val="clear" w:color="auto" w:fill="FFFFFF"/>
              </w:rPr>
              <w:t>Ministru kabineta</w:t>
            </w:r>
            <w:r w:rsidR="0089655E" w:rsidRPr="00EE2B27">
              <w:rPr>
                <w:rFonts w:ascii="Times New Roman" w:hAnsi="Times New Roman" w:cs="Times New Roman"/>
                <w:sz w:val="24"/>
                <w:szCs w:val="24"/>
                <w:shd w:val="clear" w:color="auto" w:fill="FFFFFF"/>
              </w:rPr>
              <w:t xml:space="preserve"> (turpmāk </w:t>
            </w:r>
            <w:r w:rsidR="00DF5797">
              <w:rPr>
                <w:rFonts w:ascii="Times New Roman" w:hAnsi="Times New Roman" w:cs="Times New Roman"/>
                <w:sz w:val="24"/>
                <w:szCs w:val="24"/>
                <w:shd w:val="clear" w:color="auto" w:fill="FFFFFF"/>
              </w:rPr>
              <w:t>–</w:t>
            </w:r>
            <w:r w:rsidR="0089655E" w:rsidRPr="00EE2B27">
              <w:rPr>
                <w:rFonts w:ascii="Times New Roman" w:hAnsi="Times New Roman" w:cs="Times New Roman"/>
                <w:sz w:val="24"/>
                <w:szCs w:val="24"/>
                <w:shd w:val="clear" w:color="auto" w:fill="FFFFFF"/>
              </w:rPr>
              <w:t xml:space="preserve"> MK)</w:t>
            </w:r>
            <w:r w:rsidRPr="00EE2B27">
              <w:rPr>
                <w:rFonts w:ascii="Times New Roman" w:hAnsi="Times New Roman" w:cs="Times New Roman"/>
                <w:sz w:val="24"/>
                <w:szCs w:val="24"/>
                <w:shd w:val="clear" w:color="auto" w:fill="FFFFFF"/>
              </w:rPr>
              <w:t xml:space="preserve"> noteikumu projekts </w:t>
            </w:r>
            <w:r w:rsidR="00047AA5" w:rsidRPr="00EE2B27">
              <w:rPr>
                <w:rFonts w:ascii="Times New Roman" w:hAnsi="Times New Roman" w:cs="Times New Roman"/>
                <w:sz w:val="24"/>
                <w:szCs w:val="24"/>
                <w:shd w:val="clear" w:color="auto" w:fill="FFFFFF"/>
              </w:rPr>
              <w:t>“</w:t>
            </w:r>
            <w:r w:rsidR="005807AD" w:rsidRPr="00EE2B27">
              <w:rPr>
                <w:rFonts w:ascii="Times New Roman" w:hAnsi="Times New Roman" w:cs="Times New Roman"/>
                <w:sz w:val="24"/>
                <w:szCs w:val="24"/>
              </w:rPr>
              <w:t>Darbības programmas „Izaugsme un nodarbinātība” 8.4.1.specifiskā atbalsta mērķa “Pilnveidot nodarbināto personu profesionālo kompetenci” 8.4.1.1.pasākuma “</w:t>
            </w:r>
            <w:proofErr w:type="spellStart"/>
            <w:r w:rsidR="005807AD" w:rsidRPr="00EE2B27">
              <w:rPr>
                <w:rFonts w:ascii="Times New Roman" w:hAnsi="Times New Roman" w:cs="Times New Roman"/>
                <w:sz w:val="24"/>
                <w:szCs w:val="24"/>
              </w:rPr>
              <w:t>Izmēģinājumprojekts</w:t>
            </w:r>
            <w:proofErr w:type="spellEnd"/>
            <w:r w:rsidR="005807AD" w:rsidRPr="00EE2B27">
              <w:rPr>
                <w:rFonts w:ascii="Times New Roman" w:hAnsi="Times New Roman" w:cs="Times New Roman"/>
                <w:sz w:val="24"/>
                <w:szCs w:val="24"/>
              </w:rPr>
              <w:t xml:space="preserve"> bezdarba riskam pakļauto nodarbināto personu atbalstam” īstenošanas noteikumi</w:t>
            </w:r>
            <w:r w:rsidRPr="00EE2B27">
              <w:rPr>
                <w:rFonts w:ascii="Times New Roman" w:hAnsi="Times New Roman" w:cs="Times New Roman"/>
                <w:sz w:val="24"/>
                <w:szCs w:val="24"/>
                <w:shd w:val="clear" w:color="auto" w:fill="FFFFFF"/>
              </w:rPr>
              <w:t>”</w:t>
            </w:r>
            <w:r w:rsidR="0089655E" w:rsidRPr="00EE2B27">
              <w:rPr>
                <w:rFonts w:ascii="Times New Roman" w:hAnsi="Times New Roman" w:cs="Times New Roman"/>
                <w:sz w:val="24"/>
                <w:szCs w:val="24"/>
                <w:shd w:val="clear" w:color="auto" w:fill="FFFFFF"/>
              </w:rPr>
              <w:t xml:space="preserve"> (turpmāk – MK noteikumu projekts)</w:t>
            </w:r>
            <w:r w:rsidR="005807AD" w:rsidRPr="00EE2B27">
              <w:rPr>
                <w:rFonts w:ascii="Times New Roman" w:hAnsi="Times New Roman" w:cs="Times New Roman"/>
                <w:sz w:val="24"/>
                <w:szCs w:val="24"/>
                <w:shd w:val="clear" w:color="auto" w:fill="FFFFFF"/>
              </w:rPr>
              <w:t xml:space="preserve"> </w:t>
            </w:r>
            <w:r w:rsidR="00A90517" w:rsidRPr="00EE2B27">
              <w:rPr>
                <w:rFonts w:ascii="Times New Roman" w:hAnsi="Times New Roman" w:cs="Times New Roman"/>
                <w:sz w:val="24"/>
                <w:szCs w:val="24"/>
                <w:shd w:val="clear" w:color="auto" w:fill="FFFFFF"/>
              </w:rPr>
              <w:t>izstrādāts atbilstoši</w:t>
            </w:r>
            <w:r w:rsidR="005807AD" w:rsidRPr="00EE2B27">
              <w:rPr>
                <w:rFonts w:ascii="Times New Roman" w:hAnsi="Times New Roman" w:cs="Times New Roman"/>
                <w:sz w:val="24"/>
                <w:szCs w:val="24"/>
                <w:shd w:val="clear" w:color="auto" w:fill="FFFFFF"/>
              </w:rPr>
              <w:t>:</w:t>
            </w:r>
          </w:p>
          <w:p w14:paraId="25F61A10" w14:textId="6889CD37" w:rsidR="00CC1A56" w:rsidRPr="00EE2B27" w:rsidRDefault="00DF5797" w:rsidP="00165CC2">
            <w:pPr>
              <w:spacing w:after="0" w:line="240" w:lineRule="auto"/>
              <w:ind w:left="57"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A90517" w:rsidRPr="00EE2B2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w:t>
            </w:r>
            <w:r w:rsidR="00F21C20" w:rsidRPr="00EE2B27">
              <w:rPr>
                <w:rFonts w:ascii="Times New Roman" w:hAnsi="Times New Roman" w:cs="Times New Roman"/>
                <w:sz w:val="24"/>
                <w:szCs w:val="24"/>
                <w:shd w:val="clear" w:color="auto" w:fill="FFFFFF"/>
              </w:rPr>
              <w:t xml:space="preserve">arbības programmas “Izaugsme un nodarbinātība” </w:t>
            </w:r>
            <w:r w:rsidR="00E76D0C" w:rsidRPr="00EE2B27">
              <w:rPr>
                <w:rFonts w:ascii="Times New Roman" w:hAnsi="Times New Roman" w:cs="Times New Roman"/>
                <w:sz w:val="24"/>
                <w:szCs w:val="24"/>
                <w:shd w:val="clear" w:color="auto" w:fill="FFFFFF"/>
              </w:rPr>
              <w:t>(turpmāk – DP) mērķiem</w:t>
            </w:r>
            <w:r w:rsidR="00F37822">
              <w:rPr>
                <w:rFonts w:ascii="Times New Roman" w:hAnsi="Times New Roman" w:cs="Times New Roman"/>
                <w:sz w:val="24"/>
                <w:szCs w:val="24"/>
                <w:shd w:val="clear" w:color="auto" w:fill="FFFFFF"/>
              </w:rPr>
              <w:t>, ievērojot</w:t>
            </w:r>
            <w:r w:rsidR="00A41BAE" w:rsidRPr="00EE2B27">
              <w:rPr>
                <w:rFonts w:ascii="Times New Roman" w:hAnsi="Times New Roman" w:cs="Times New Roman"/>
                <w:sz w:val="24"/>
                <w:szCs w:val="24"/>
                <w:shd w:val="clear" w:color="auto" w:fill="FFFFFF"/>
              </w:rPr>
              <w:t xml:space="preserve"> Ministru Prezidenta 2014.gada 21.jūlija rezolūcij</w:t>
            </w:r>
            <w:r>
              <w:rPr>
                <w:rFonts w:ascii="Times New Roman" w:hAnsi="Times New Roman" w:cs="Times New Roman"/>
                <w:sz w:val="24"/>
                <w:szCs w:val="24"/>
                <w:shd w:val="clear" w:color="auto" w:fill="FFFFFF"/>
              </w:rPr>
              <w:t>ā</w:t>
            </w:r>
            <w:r w:rsidR="00A41BAE" w:rsidRPr="00EE2B27">
              <w:rPr>
                <w:rFonts w:ascii="Times New Roman" w:hAnsi="Times New Roman" w:cs="Times New Roman"/>
                <w:sz w:val="24"/>
                <w:szCs w:val="24"/>
                <w:shd w:val="clear" w:color="auto" w:fill="FFFFFF"/>
              </w:rPr>
              <w:t xml:space="preserve"> Nr.12/2014-JUR-151</w:t>
            </w:r>
            <w:r>
              <w:rPr>
                <w:rFonts w:ascii="Times New Roman" w:hAnsi="Times New Roman" w:cs="Times New Roman"/>
                <w:sz w:val="24"/>
                <w:szCs w:val="24"/>
                <w:shd w:val="clear" w:color="auto" w:fill="FFFFFF"/>
              </w:rPr>
              <w:t xml:space="preserve"> ministrijām dot</w:t>
            </w:r>
            <w:r w:rsidR="00F37822">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uzdevum</w:t>
            </w:r>
            <w:r w:rsidR="00F37822">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w:t>
            </w:r>
            <w:r w:rsidR="00A41BAE" w:rsidRPr="00EE2B27">
              <w:rPr>
                <w:rFonts w:ascii="Times New Roman" w:hAnsi="Times New Roman" w:cs="Times New Roman"/>
                <w:sz w:val="24"/>
                <w:szCs w:val="24"/>
                <w:shd w:val="clear" w:color="auto" w:fill="FFFFFF"/>
              </w:rPr>
              <w:t>līdz 2017.gada 1.decembrim atbilstoši kompetencei sagatavo</w:t>
            </w:r>
            <w:r>
              <w:rPr>
                <w:rFonts w:ascii="Times New Roman" w:hAnsi="Times New Roman" w:cs="Times New Roman"/>
                <w:sz w:val="24"/>
                <w:szCs w:val="24"/>
                <w:shd w:val="clear" w:color="auto" w:fill="FFFFFF"/>
              </w:rPr>
              <w:t>t</w:t>
            </w:r>
            <w:r w:rsidR="00A41BAE" w:rsidRPr="00EE2B27">
              <w:rPr>
                <w:rFonts w:ascii="Times New Roman" w:hAnsi="Times New Roman" w:cs="Times New Roman"/>
                <w:sz w:val="24"/>
                <w:szCs w:val="24"/>
                <w:shd w:val="clear" w:color="auto" w:fill="FFFFFF"/>
              </w:rPr>
              <w:t xml:space="preserve"> un noteiktā kārtībā iesnie</w:t>
            </w:r>
            <w:r>
              <w:rPr>
                <w:rFonts w:ascii="Times New Roman" w:hAnsi="Times New Roman" w:cs="Times New Roman"/>
                <w:sz w:val="24"/>
                <w:szCs w:val="24"/>
                <w:shd w:val="clear" w:color="auto" w:fill="FFFFFF"/>
              </w:rPr>
              <w:t>gt</w:t>
            </w:r>
            <w:r w:rsidR="005807AD" w:rsidRPr="00EE2B27">
              <w:rPr>
                <w:rFonts w:ascii="Times New Roman" w:hAnsi="Times New Roman" w:cs="Times New Roman"/>
                <w:sz w:val="24"/>
                <w:szCs w:val="24"/>
                <w:shd w:val="clear" w:color="auto" w:fill="FFFFFF"/>
              </w:rPr>
              <w:t xml:space="preserve"> </w:t>
            </w:r>
            <w:r w:rsidR="0089655E" w:rsidRPr="00EE2B27">
              <w:rPr>
                <w:rFonts w:ascii="Times New Roman" w:hAnsi="Times New Roman" w:cs="Times New Roman"/>
                <w:sz w:val="24"/>
                <w:szCs w:val="24"/>
                <w:shd w:val="clear" w:color="auto" w:fill="FFFFFF"/>
              </w:rPr>
              <w:t>MK</w:t>
            </w:r>
            <w:r w:rsidR="005807AD" w:rsidRPr="00EE2B27">
              <w:rPr>
                <w:rFonts w:ascii="Times New Roman" w:hAnsi="Times New Roman" w:cs="Times New Roman"/>
                <w:sz w:val="24"/>
                <w:szCs w:val="24"/>
                <w:shd w:val="clear" w:color="auto" w:fill="FFFFFF"/>
              </w:rPr>
              <w:t xml:space="preserve"> </w:t>
            </w:r>
            <w:r w:rsidR="00A41BAE" w:rsidRPr="00EE2B27">
              <w:rPr>
                <w:rFonts w:ascii="Times New Roman" w:hAnsi="Times New Roman" w:cs="Times New Roman"/>
                <w:sz w:val="24"/>
                <w:szCs w:val="24"/>
                <w:shd w:val="clear" w:color="auto" w:fill="FFFFFF"/>
              </w:rPr>
              <w:t>Eiropas Savienības</w:t>
            </w:r>
            <w:r w:rsidR="0089655E" w:rsidRPr="00EE2B27">
              <w:rPr>
                <w:rFonts w:ascii="Times New Roman" w:hAnsi="Times New Roman" w:cs="Times New Roman"/>
                <w:sz w:val="24"/>
                <w:szCs w:val="24"/>
                <w:shd w:val="clear" w:color="auto" w:fill="FFFFFF"/>
              </w:rPr>
              <w:t xml:space="preserve"> </w:t>
            </w:r>
            <w:r w:rsidR="00A41BAE" w:rsidRPr="00EE2B27">
              <w:rPr>
                <w:rFonts w:ascii="Times New Roman" w:hAnsi="Times New Roman" w:cs="Times New Roman"/>
                <w:sz w:val="24"/>
                <w:szCs w:val="24"/>
                <w:shd w:val="clear" w:color="auto" w:fill="FFFFFF"/>
              </w:rPr>
              <w:t>struktūrfondu un Kohēzijas fonda 2014.-2020.gada plānošanas perioda v</w:t>
            </w:r>
            <w:r w:rsidR="004C31E6" w:rsidRPr="00EE2B27">
              <w:rPr>
                <w:rFonts w:ascii="Times New Roman" w:hAnsi="Times New Roman" w:cs="Times New Roman"/>
                <w:sz w:val="24"/>
                <w:szCs w:val="24"/>
                <w:shd w:val="clear" w:color="auto" w:fill="FFFFFF"/>
              </w:rPr>
              <w:t>a</w:t>
            </w:r>
            <w:r w:rsidR="00A41BAE" w:rsidRPr="00EE2B27">
              <w:rPr>
                <w:rFonts w:ascii="Times New Roman" w:hAnsi="Times New Roman" w:cs="Times New Roman"/>
                <w:sz w:val="24"/>
                <w:szCs w:val="24"/>
                <w:shd w:val="clear" w:color="auto" w:fill="FFFFFF"/>
              </w:rPr>
              <w:t>dības likuma 20.panta 13. un 14.punkt</w:t>
            </w:r>
            <w:r w:rsidR="00EC4331" w:rsidRPr="00EE2B27">
              <w:rPr>
                <w:rFonts w:ascii="Times New Roman" w:hAnsi="Times New Roman" w:cs="Times New Roman"/>
                <w:sz w:val="24"/>
                <w:szCs w:val="24"/>
                <w:shd w:val="clear" w:color="auto" w:fill="FFFFFF"/>
              </w:rPr>
              <w:t>ā</w:t>
            </w:r>
            <w:r w:rsidR="00F12401" w:rsidRPr="00EE2B27">
              <w:rPr>
                <w:rFonts w:ascii="Times New Roman" w:hAnsi="Times New Roman" w:cs="Times New Roman"/>
                <w:sz w:val="24"/>
                <w:szCs w:val="24"/>
                <w:shd w:val="clear" w:color="auto" w:fill="FFFFFF"/>
              </w:rPr>
              <w:t xml:space="preserve"> minēto tiesību aktu projektus</w:t>
            </w:r>
            <w:r w:rsidR="005807AD" w:rsidRPr="00EE2B27">
              <w:rPr>
                <w:rFonts w:ascii="Times New Roman" w:hAnsi="Times New Roman" w:cs="Times New Roman"/>
                <w:sz w:val="24"/>
                <w:szCs w:val="24"/>
                <w:shd w:val="clear" w:color="auto" w:fill="FFFFFF"/>
              </w:rPr>
              <w:t>;</w:t>
            </w:r>
          </w:p>
          <w:p w14:paraId="6D52AAD5" w14:textId="59ADBA89" w:rsidR="005807AD" w:rsidRPr="00EE2B27" w:rsidRDefault="00DF5797" w:rsidP="00F37822">
            <w:pPr>
              <w:spacing w:after="0" w:line="240" w:lineRule="auto"/>
              <w:ind w:left="57"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MK</w:t>
            </w:r>
            <w:r w:rsidR="005807AD" w:rsidRPr="00EE2B27">
              <w:rPr>
                <w:rFonts w:ascii="Times New Roman" w:hAnsi="Times New Roman" w:cs="Times New Roman"/>
                <w:sz w:val="24"/>
                <w:szCs w:val="24"/>
                <w:shd w:val="clear" w:color="auto" w:fill="FFFFFF"/>
              </w:rPr>
              <w:t xml:space="preserve"> 2015.gada 12.maija rīkojuma Nr.244</w:t>
            </w:r>
            <w:r w:rsidR="00F37822">
              <w:rPr>
                <w:rFonts w:ascii="Times New Roman" w:hAnsi="Times New Roman" w:cs="Times New Roman"/>
                <w:sz w:val="24"/>
                <w:szCs w:val="24"/>
                <w:shd w:val="clear" w:color="auto" w:fill="FFFFFF"/>
              </w:rPr>
              <w:t xml:space="preserve"> “Par Iekļaujošas nodarbinātības pamatnostādnēm 2015.-2020.gadam” 6.punktā doto uzdevumu </w:t>
            </w:r>
            <w:r w:rsidR="005807AD" w:rsidRPr="00EE2B27">
              <w:rPr>
                <w:rFonts w:ascii="Times New Roman" w:hAnsi="Times New Roman" w:cs="Times New Roman"/>
                <w:sz w:val="24"/>
                <w:szCs w:val="24"/>
                <w:shd w:val="clear" w:color="auto" w:fill="FFFFFF"/>
              </w:rPr>
              <w:t>Izglītības un zinātnes ministrijai</w:t>
            </w:r>
            <w:r w:rsidR="00362070">
              <w:rPr>
                <w:rFonts w:ascii="Times New Roman" w:hAnsi="Times New Roman" w:cs="Times New Roman"/>
                <w:sz w:val="24"/>
                <w:szCs w:val="24"/>
                <w:shd w:val="clear" w:color="auto" w:fill="FFFFFF"/>
              </w:rPr>
              <w:t xml:space="preserve"> </w:t>
            </w:r>
            <w:r w:rsidR="00362070" w:rsidRPr="00EE2B27">
              <w:rPr>
                <w:rFonts w:ascii="Times New Roman" w:eastAsia="Calibri" w:hAnsi="Times New Roman" w:cs="Times New Roman"/>
                <w:sz w:val="24"/>
                <w:szCs w:val="24"/>
              </w:rPr>
              <w:t>(turpmāk - IZM)</w:t>
            </w:r>
            <w:r w:rsidR="005807AD" w:rsidRPr="00EE2B27">
              <w:rPr>
                <w:rFonts w:ascii="Times New Roman" w:hAnsi="Times New Roman" w:cs="Times New Roman"/>
                <w:sz w:val="24"/>
                <w:szCs w:val="24"/>
                <w:shd w:val="clear" w:color="auto" w:fill="FFFFFF"/>
              </w:rPr>
              <w:t xml:space="preserve"> sadarbībā ar Labklājības ministriju izstrādā</w:t>
            </w:r>
            <w:r w:rsidR="00F37822">
              <w:rPr>
                <w:rFonts w:ascii="Times New Roman" w:hAnsi="Times New Roman" w:cs="Times New Roman"/>
                <w:sz w:val="24"/>
                <w:szCs w:val="24"/>
                <w:shd w:val="clear" w:color="auto" w:fill="FFFFFF"/>
              </w:rPr>
              <w:t>t</w:t>
            </w:r>
            <w:r w:rsidR="005807AD" w:rsidRPr="00EE2B27">
              <w:rPr>
                <w:rFonts w:ascii="Times New Roman" w:hAnsi="Times New Roman" w:cs="Times New Roman"/>
                <w:sz w:val="24"/>
                <w:szCs w:val="24"/>
                <w:shd w:val="clear" w:color="auto" w:fill="FFFFFF"/>
              </w:rPr>
              <w:t xml:space="preserve"> un līdz 2015.gada 30.septembrim iesnie</w:t>
            </w:r>
            <w:r w:rsidR="00F37822">
              <w:rPr>
                <w:rFonts w:ascii="Times New Roman" w:hAnsi="Times New Roman" w:cs="Times New Roman"/>
                <w:sz w:val="24"/>
                <w:szCs w:val="24"/>
                <w:shd w:val="clear" w:color="auto" w:fill="FFFFFF"/>
              </w:rPr>
              <w:t>gt</w:t>
            </w:r>
            <w:r w:rsidR="005807AD" w:rsidRPr="00EE2B27">
              <w:rPr>
                <w:rFonts w:ascii="Times New Roman" w:hAnsi="Times New Roman" w:cs="Times New Roman"/>
                <w:sz w:val="24"/>
                <w:szCs w:val="24"/>
                <w:shd w:val="clear" w:color="auto" w:fill="FFFFFF"/>
              </w:rPr>
              <w:t xml:space="preserve"> noteiktā kārtībā MK tiesību aktu projekt</w:t>
            </w:r>
            <w:r w:rsidR="00F37822">
              <w:rPr>
                <w:rFonts w:ascii="Times New Roman" w:hAnsi="Times New Roman" w:cs="Times New Roman"/>
                <w:sz w:val="24"/>
                <w:szCs w:val="24"/>
                <w:shd w:val="clear" w:color="auto" w:fill="FFFFFF"/>
              </w:rPr>
              <w:t>us</w:t>
            </w:r>
            <w:r w:rsidR="005807AD" w:rsidRPr="00EE2B27">
              <w:rPr>
                <w:rFonts w:ascii="Times New Roman" w:hAnsi="Times New Roman" w:cs="Times New Roman"/>
                <w:sz w:val="24"/>
                <w:szCs w:val="24"/>
                <w:shd w:val="clear" w:color="auto" w:fill="FFFFFF"/>
              </w:rPr>
              <w:t xml:space="preserve">, lai nodrošinātu </w:t>
            </w:r>
            <w:proofErr w:type="spellStart"/>
            <w:r w:rsidR="005807AD" w:rsidRPr="00EE2B27">
              <w:rPr>
                <w:rFonts w:ascii="Times New Roman" w:hAnsi="Times New Roman" w:cs="Times New Roman"/>
                <w:sz w:val="24"/>
                <w:szCs w:val="24"/>
                <w:shd w:val="clear" w:color="auto" w:fill="FFFFFF"/>
              </w:rPr>
              <w:t>izmēģinājumprojekta</w:t>
            </w:r>
            <w:proofErr w:type="spellEnd"/>
            <w:r w:rsidR="005807AD" w:rsidRPr="00EE2B27">
              <w:rPr>
                <w:rFonts w:ascii="Times New Roman" w:hAnsi="Times New Roman" w:cs="Times New Roman"/>
                <w:sz w:val="24"/>
                <w:szCs w:val="24"/>
                <w:shd w:val="clear" w:color="auto" w:fill="FFFFFF"/>
              </w:rPr>
              <w:t xml:space="preserve"> īstenošana</w:t>
            </w:r>
            <w:r w:rsidR="00F37822">
              <w:rPr>
                <w:rFonts w:ascii="Times New Roman" w:hAnsi="Times New Roman" w:cs="Times New Roman"/>
                <w:sz w:val="24"/>
                <w:szCs w:val="24"/>
                <w:shd w:val="clear" w:color="auto" w:fill="FFFFFF"/>
              </w:rPr>
              <w:t>s uzsākšanu</w:t>
            </w:r>
            <w:r w:rsidR="005807AD" w:rsidRPr="00EE2B27">
              <w:rPr>
                <w:rFonts w:ascii="Times New Roman" w:hAnsi="Times New Roman" w:cs="Times New Roman"/>
                <w:sz w:val="24"/>
                <w:szCs w:val="24"/>
                <w:shd w:val="clear" w:color="auto" w:fill="FFFFFF"/>
              </w:rPr>
              <w:t xml:space="preserve"> ne vēlāk kā 2016.gada 1.janvārī. </w:t>
            </w:r>
          </w:p>
        </w:tc>
      </w:tr>
      <w:tr w:rsidR="00CC1A56" w:rsidRPr="00EE2B27" w14:paraId="034B0CAB" w14:textId="77777777" w:rsidTr="00DF11D0">
        <w:trPr>
          <w:trHeight w:val="472"/>
        </w:trPr>
        <w:tc>
          <w:tcPr>
            <w:tcW w:w="215" w:type="pct"/>
          </w:tcPr>
          <w:p w14:paraId="547BB005" w14:textId="77777777" w:rsidR="00CC1A56" w:rsidRPr="00EE2B27" w:rsidRDefault="00CC1A56" w:rsidP="00165CC2">
            <w:pPr>
              <w:pStyle w:val="naiskr"/>
              <w:spacing w:before="0" w:beforeAutospacing="0" w:after="0" w:afterAutospacing="0"/>
              <w:ind w:left="57" w:right="57"/>
              <w:jc w:val="center"/>
            </w:pPr>
            <w:r w:rsidRPr="00EE2B27">
              <w:t>2.</w:t>
            </w:r>
          </w:p>
        </w:tc>
        <w:tc>
          <w:tcPr>
            <w:tcW w:w="1470" w:type="pct"/>
          </w:tcPr>
          <w:p w14:paraId="281C8948" w14:textId="77777777" w:rsidR="00A01B7A" w:rsidRPr="00EE2B27" w:rsidRDefault="00CC1A56" w:rsidP="00165CC2">
            <w:pPr>
              <w:pStyle w:val="naiskr"/>
              <w:tabs>
                <w:tab w:val="left" w:pos="170"/>
              </w:tabs>
              <w:spacing w:before="0" w:beforeAutospacing="0" w:after="0" w:afterAutospacing="0"/>
              <w:ind w:left="57" w:right="57"/>
            </w:pPr>
            <w:r w:rsidRPr="00EE2B27">
              <w:t>Pašreizējā situācija un problēmas, kuru risināšanai tiesību akta projekts izstrādāts, tiesiskā regulējuma mērķis un būtība</w:t>
            </w:r>
          </w:p>
          <w:p w14:paraId="69CB6459" w14:textId="77777777" w:rsidR="00CC1A56" w:rsidRPr="00EE2B27" w:rsidRDefault="00CC1A56" w:rsidP="00165CC2">
            <w:pPr>
              <w:spacing w:after="0" w:line="240" w:lineRule="auto"/>
              <w:jc w:val="center"/>
              <w:rPr>
                <w:rFonts w:ascii="Times New Roman" w:hAnsi="Times New Roman" w:cs="Times New Roman"/>
                <w:sz w:val="24"/>
                <w:szCs w:val="24"/>
                <w:lang w:eastAsia="lv-LV"/>
              </w:rPr>
            </w:pPr>
          </w:p>
        </w:tc>
        <w:tc>
          <w:tcPr>
            <w:tcW w:w="3315" w:type="pct"/>
          </w:tcPr>
          <w:p w14:paraId="3AD59854" w14:textId="5E74618C" w:rsidR="00A86B5E" w:rsidRPr="00A86B5E" w:rsidRDefault="00A86B5E" w:rsidP="00A86B5E">
            <w:pPr>
              <w:pStyle w:val="ListParagraph"/>
              <w:spacing w:after="0" w:line="240" w:lineRule="auto"/>
              <w:ind w:left="57" w:right="113"/>
              <w:jc w:val="both"/>
              <w:rPr>
                <w:rFonts w:ascii="Times New Roman" w:eastAsia="Calibri" w:hAnsi="Times New Roman" w:cs="Times New Roman"/>
                <w:sz w:val="24"/>
                <w:szCs w:val="24"/>
              </w:rPr>
            </w:pPr>
            <w:r w:rsidRPr="00A86B5E">
              <w:rPr>
                <w:rFonts w:ascii="Times New Roman" w:eastAsia="Calibri" w:hAnsi="Times New Roman" w:cs="Times New Roman"/>
                <w:sz w:val="24"/>
                <w:szCs w:val="24"/>
              </w:rPr>
              <w:t>Pieaugušo izglītības pasākumu attīstībai ir būtiska nozīme iedzīvotāju konkurētspējas attīstībā, īpaši bezdarba riskam pakļautajām nodarbināto grupām un bezdarbniekiem, kuru prasmju līmenis ir zems. Lai nodrošinātu minēto E</w:t>
            </w:r>
            <w:r w:rsidR="001546A5">
              <w:rPr>
                <w:rFonts w:ascii="Times New Roman" w:eastAsia="Calibri" w:hAnsi="Times New Roman" w:cs="Times New Roman"/>
                <w:sz w:val="24"/>
                <w:szCs w:val="24"/>
              </w:rPr>
              <w:t xml:space="preserve">iropas </w:t>
            </w:r>
            <w:r w:rsidRPr="00A86B5E">
              <w:rPr>
                <w:rFonts w:ascii="Times New Roman" w:eastAsia="Calibri" w:hAnsi="Times New Roman" w:cs="Times New Roman"/>
                <w:sz w:val="24"/>
                <w:szCs w:val="24"/>
              </w:rPr>
              <w:t>S</w:t>
            </w:r>
            <w:r w:rsidR="001546A5">
              <w:rPr>
                <w:rFonts w:ascii="Times New Roman" w:eastAsia="Calibri" w:hAnsi="Times New Roman" w:cs="Times New Roman"/>
                <w:sz w:val="24"/>
                <w:szCs w:val="24"/>
              </w:rPr>
              <w:t xml:space="preserve">avienības (turpmāk – ES) </w:t>
            </w:r>
            <w:r w:rsidRPr="00A86B5E">
              <w:rPr>
                <w:rFonts w:ascii="Times New Roman" w:eastAsia="Calibri" w:hAnsi="Times New Roman" w:cs="Times New Roman"/>
                <w:sz w:val="24"/>
                <w:szCs w:val="24"/>
              </w:rPr>
              <w:t>fondu 2007.-2013.gada plānošanas periodā, mūžizglītības sistēmas pilnveidei darbības programma „Cilvēkresursi un nodarbinātība” ietvaros ieviests projekts „Mūžizglītības pasākumi nodarbinātām personām”, kas tika īstenots darbības programmas „Cilvēkresursi un nodarbinātība” papildinājuma 1.2.2.1.2.apakšaktivitātes „Atbalsts mūžizglītības politikas pamatnostādņu īstenošanai” ietvaros.</w:t>
            </w:r>
          </w:p>
          <w:p w14:paraId="2F419ADE" w14:textId="5465FEBC" w:rsidR="0087144E" w:rsidRPr="00EE2B27" w:rsidRDefault="00A86B5E" w:rsidP="00165CC2">
            <w:pPr>
              <w:pStyle w:val="ListParagraph"/>
              <w:spacing w:after="0" w:line="240" w:lineRule="auto"/>
              <w:ind w:left="57" w:right="113"/>
              <w:jc w:val="both"/>
              <w:rPr>
                <w:rFonts w:ascii="Times New Roman" w:eastAsia="Calibri" w:hAnsi="Times New Roman" w:cs="Times New Roman"/>
                <w:sz w:val="24"/>
                <w:szCs w:val="24"/>
              </w:rPr>
            </w:pPr>
            <w:r>
              <w:rPr>
                <w:rFonts w:ascii="Times New Roman" w:eastAsia="Calibri" w:hAnsi="Times New Roman" w:cs="Times New Roman"/>
                <w:sz w:val="24"/>
                <w:szCs w:val="24"/>
              </w:rPr>
              <w:t>Arī ES fondu 2014.-2020.gada plānošanas periodā, turpinot sniegt atbalstu nodarbinātām personām</w:t>
            </w:r>
            <w:r w:rsidR="00E12034">
              <w:rPr>
                <w:rFonts w:ascii="Times New Roman" w:eastAsia="Calibri" w:hAnsi="Times New Roman" w:cs="Times New Roman"/>
                <w:sz w:val="24"/>
                <w:szCs w:val="24"/>
              </w:rPr>
              <w:t>,</w:t>
            </w:r>
            <w:r>
              <w:rPr>
                <w:rFonts w:ascii="Times New Roman" w:eastAsia="Calibri" w:hAnsi="Times New Roman" w:cs="Times New Roman"/>
                <w:sz w:val="24"/>
                <w:szCs w:val="24"/>
              </w:rPr>
              <w:t xml:space="preserve"> v</w:t>
            </w:r>
            <w:r w:rsidR="005807AD" w:rsidRPr="00EE2B27">
              <w:rPr>
                <w:rFonts w:ascii="Times New Roman" w:eastAsia="Calibri" w:hAnsi="Times New Roman" w:cs="Times New Roman"/>
                <w:sz w:val="24"/>
                <w:szCs w:val="24"/>
              </w:rPr>
              <w:t>iens no Izglītības attīstības pamatnostādnēs 2014.–2020. gadam noteikt</w:t>
            </w:r>
            <w:r w:rsidR="00165CC2" w:rsidRPr="00EE2B27">
              <w:rPr>
                <w:rFonts w:ascii="Times New Roman" w:eastAsia="Calibri" w:hAnsi="Times New Roman" w:cs="Times New Roman"/>
                <w:sz w:val="24"/>
                <w:szCs w:val="24"/>
              </w:rPr>
              <w:t>ajiem mērķiem paredz līdz 2020.</w:t>
            </w:r>
            <w:r w:rsidR="005807AD" w:rsidRPr="00EE2B27">
              <w:rPr>
                <w:rFonts w:ascii="Times New Roman" w:eastAsia="Calibri" w:hAnsi="Times New Roman" w:cs="Times New Roman"/>
                <w:sz w:val="24"/>
                <w:szCs w:val="24"/>
              </w:rPr>
              <w:t xml:space="preserve">gadam Latvijā iesaistīt 15 % pieaugušo izglītības pasākumos. Saskaņā ar </w:t>
            </w:r>
            <w:r w:rsidR="00165CC2" w:rsidRPr="00EE2B27">
              <w:rPr>
                <w:rFonts w:ascii="Times New Roman" w:eastAsia="Calibri" w:hAnsi="Times New Roman" w:cs="Times New Roman"/>
                <w:sz w:val="24"/>
                <w:szCs w:val="24"/>
              </w:rPr>
              <w:t>MK</w:t>
            </w:r>
            <w:r w:rsidR="005807AD" w:rsidRPr="00EE2B27">
              <w:rPr>
                <w:rFonts w:ascii="Times New Roman" w:eastAsia="Calibri" w:hAnsi="Times New Roman" w:cs="Times New Roman"/>
                <w:sz w:val="24"/>
                <w:szCs w:val="24"/>
              </w:rPr>
              <w:t xml:space="preserve"> </w:t>
            </w:r>
            <w:r w:rsidR="00EE3A0D">
              <w:t xml:space="preserve"> </w:t>
            </w:r>
            <w:r w:rsidR="00EE3A0D" w:rsidRPr="00EE3A0D">
              <w:rPr>
                <w:rFonts w:ascii="Times New Roman" w:eastAsia="Calibri" w:hAnsi="Times New Roman" w:cs="Times New Roman"/>
                <w:sz w:val="24"/>
                <w:szCs w:val="24"/>
              </w:rPr>
              <w:t>2015.gada 12.maija rīkojuma Nr.244 “Par Iekļaujošas nodarbinātības pamatnostādnēm 2015.-2020.gadam”</w:t>
            </w:r>
            <w:r w:rsidR="00EE3A0D">
              <w:rPr>
                <w:rFonts w:ascii="Times New Roman" w:eastAsia="Calibri" w:hAnsi="Times New Roman" w:cs="Times New Roman"/>
                <w:sz w:val="24"/>
                <w:szCs w:val="24"/>
              </w:rPr>
              <w:t xml:space="preserve"> 5.punktu </w:t>
            </w:r>
            <w:r w:rsidR="00362070">
              <w:rPr>
                <w:rFonts w:ascii="Times New Roman" w:eastAsia="Calibri" w:hAnsi="Times New Roman" w:cs="Times New Roman"/>
                <w:sz w:val="24"/>
                <w:szCs w:val="24"/>
              </w:rPr>
              <w:t>IZM</w:t>
            </w:r>
            <w:r w:rsidR="005807AD" w:rsidRPr="00EE2B27">
              <w:rPr>
                <w:rFonts w:ascii="Times New Roman" w:eastAsia="Calibri" w:hAnsi="Times New Roman" w:cs="Times New Roman"/>
                <w:sz w:val="24"/>
                <w:szCs w:val="24"/>
              </w:rPr>
              <w:t xml:space="preserve">, īstenojot </w:t>
            </w:r>
            <w:r w:rsidR="00165CC2" w:rsidRPr="00EE2B27">
              <w:rPr>
                <w:rFonts w:ascii="Times New Roman" w:eastAsia="Calibri" w:hAnsi="Times New Roman" w:cs="Times New Roman"/>
                <w:sz w:val="24"/>
                <w:szCs w:val="24"/>
              </w:rPr>
              <w:t>8.4.1.specifiskā atbalsta mērķa “Pilnveidot nodarbināto personu profesionālo kompetenci”</w:t>
            </w:r>
            <w:r w:rsidR="0087144E" w:rsidRPr="00EE2B27">
              <w:rPr>
                <w:rFonts w:ascii="Times New Roman" w:eastAsia="Calibri" w:hAnsi="Times New Roman" w:cs="Times New Roman"/>
                <w:sz w:val="24"/>
                <w:szCs w:val="24"/>
              </w:rPr>
              <w:t xml:space="preserve"> (turpmāk – 8.4.1.SAM)</w:t>
            </w:r>
            <w:r w:rsidR="00165CC2" w:rsidRPr="00EE2B27">
              <w:rPr>
                <w:rFonts w:ascii="Times New Roman" w:eastAsia="Calibri" w:hAnsi="Times New Roman" w:cs="Times New Roman"/>
                <w:sz w:val="24"/>
                <w:szCs w:val="24"/>
              </w:rPr>
              <w:t xml:space="preserve"> </w:t>
            </w:r>
            <w:r w:rsidR="005807AD" w:rsidRPr="00EE2B27">
              <w:rPr>
                <w:rFonts w:ascii="Times New Roman" w:eastAsia="Calibri" w:hAnsi="Times New Roman" w:cs="Times New Roman"/>
                <w:sz w:val="24"/>
                <w:szCs w:val="24"/>
              </w:rPr>
              <w:t xml:space="preserve">pasākumus, </w:t>
            </w:r>
            <w:r w:rsidR="005807AD" w:rsidRPr="00EE2B27">
              <w:rPr>
                <w:rFonts w:ascii="Times New Roman" w:eastAsia="Calibri" w:hAnsi="Times New Roman" w:cs="Times New Roman"/>
                <w:sz w:val="24"/>
                <w:szCs w:val="24"/>
              </w:rPr>
              <w:lastRenderedPageBreak/>
              <w:t xml:space="preserve">jānodrošina atbalsts arī nodarbinātajiem nozarēs un profesiju grupās, kurās paredzama nodarbināto skaita samazināšanās tehnoloģisko procesu attīstības un darba ražīguma kāpināšanas rezultātā, lai preventīvi nodrošinātu bezdarba iestāšanās riska mazināšanu un nodrošinātu ātrāku pielāgošanos mainīgajam darba tirgus pieprasījumam. </w:t>
            </w:r>
          </w:p>
          <w:p w14:paraId="02DF1403" w14:textId="77777777" w:rsidR="0009318D" w:rsidRPr="00EE2B27" w:rsidRDefault="0009318D" w:rsidP="0009318D">
            <w:pPr>
              <w:pStyle w:val="ListParagraph"/>
              <w:spacing w:after="0" w:line="240" w:lineRule="auto"/>
              <w:ind w:left="57" w:right="113"/>
              <w:jc w:val="both"/>
              <w:rPr>
                <w:rFonts w:ascii="Times New Roman" w:eastAsia="Calibri" w:hAnsi="Times New Roman" w:cs="Times New Roman"/>
                <w:sz w:val="24"/>
                <w:szCs w:val="24"/>
              </w:rPr>
            </w:pPr>
            <w:r>
              <w:rPr>
                <w:rFonts w:ascii="Times New Roman" w:eastAsia="Calibri" w:hAnsi="Times New Roman" w:cs="Times New Roman"/>
                <w:sz w:val="24"/>
                <w:szCs w:val="24"/>
              </w:rPr>
              <w:t>Arī d</w:t>
            </w:r>
            <w:r w:rsidRPr="00EE2B27">
              <w:rPr>
                <w:rFonts w:ascii="Times New Roman" w:eastAsia="Calibri" w:hAnsi="Times New Roman" w:cs="Times New Roman"/>
                <w:sz w:val="24"/>
                <w:szCs w:val="24"/>
              </w:rPr>
              <w:t>audzos pētījumos, tajā skaitā Pasaules Bankas pētījumā „Latvija: kurš ir bezdarbnieks, ekonomiski neaktīvais vai trūcīgais”</w:t>
            </w:r>
            <w:r w:rsidRPr="00EE2B27">
              <w:rPr>
                <w:rStyle w:val="FootnoteReference"/>
                <w:rFonts w:cs="Times New Roman"/>
                <w:sz w:val="24"/>
                <w:szCs w:val="24"/>
              </w:rPr>
              <w:footnoteReference w:id="1"/>
            </w:r>
            <w:r w:rsidRPr="00EE2B27">
              <w:rPr>
                <w:rFonts w:ascii="Times New Roman" w:eastAsia="Calibri" w:hAnsi="Times New Roman" w:cs="Times New Roman"/>
                <w:sz w:val="24"/>
                <w:szCs w:val="24"/>
              </w:rPr>
              <w:t xml:space="preserve"> vairākkārt ir uzsvērts, ka dažāda veida apmācību pieejamība veicina darbaspēka konkurētspēju (spēju konkurēt darba tirgū un iekārtoties darbā) un tādējādi stiprina valsts nacionālo ekonomiku, un palīdz tai būt stiprai globālo izaicinājumu priekšā. Līdz ar to iegul</w:t>
            </w:r>
            <w:r w:rsidR="00E12034">
              <w:rPr>
                <w:rFonts w:ascii="Times New Roman" w:eastAsia="Calibri" w:hAnsi="Times New Roman" w:cs="Times New Roman"/>
                <w:sz w:val="24"/>
                <w:szCs w:val="24"/>
              </w:rPr>
              <w:t>dījumi apmācību pasākumos, tajā skaitā</w:t>
            </w:r>
            <w:r w:rsidRPr="00EE2B27">
              <w:rPr>
                <w:rFonts w:ascii="Times New Roman" w:eastAsia="Calibri" w:hAnsi="Times New Roman" w:cs="Times New Roman"/>
                <w:sz w:val="24"/>
                <w:szCs w:val="24"/>
              </w:rPr>
              <w:t xml:space="preserve"> mūžizglītībā, tiek uzskatīti par vienu no prioritārajiem investīciju virzieniem, jo tādējādi tiek uzlabota darbaspēka un uzņēmumu saimnieciskās darbības konkurētspēja, kas labvēlīgi ietekmē makroekonomisko rādītājus – darba ražīgumu un valsts konkurētspēju globālajos tirgos.</w:t>
            </w:r>
          </w:p>
          <w:p w14:paraId="430F7701" w14:textId="77777777" w:rsidR="00D92659" w:rsidRPr="00EE2B27" w:rsidRDefault="00D92659" w:rsidP="00D92659">
            <w:pPr>
              <w:pStyle w:val="ListParagraph"/>
              <w:spacing w:after="0" w:line="240" w:lineRule="auto"/>
              <w:ind w:left="57" w:right="113"/>
              <w:jc w:val="both"/>
              <w:rPr>
                <w:rFonts w:ascii="Times New Roman" w:eastAsia="Calibri" w:hAnsi="Times New Roman" w:cs="Times New Roman"/>
                <w:sz w:val="24"/>
                <w:szCs w:val="24"/>
              </w:rPr>
            </w:pPr>
            <w:r w:rsidRPr="00EE2B27">
              <w:rPr>
                <w:rFonts w:ascii="Times New Roman" w:eastAsia="Calibri" w:hAnsi="Times New Roman" w:cs="Times New Roman"/>
                <w:sz w:val="24"/>
                <w:szCs w:val="24"/>
              </w:rPr>
              <w:t>Vēl jo vairāk, Ekonomikas ministrijas prognozes</w:t>
            </w:r>
            <w:r w:rsidRPr="00EE2B27">
              <w:rPr>
                <w:rFonts w:ascii="Times New Roman" w:eastAsia="Calibri" w:hAnsi="Times New Roman" w:cs="Times New Roman"/>
                <w:sz w:val="24"/>
                <w:szCs w:val="24"/>
                <w:vertAlign w:val="superscript"/>
              </w:rPr>
              <w:footnoteReference w:id="2"/>
            </w:r>
            <w:r w:rsidRPr="00EE2B27">
              <w:rPr>
                <w:rFonts w:ascii="Times New Roman" w:eastAsia="Calibri" w:hAnsi="Times New Roman" w:cs="Times New Roman"/>
                <w:sz w:val="24"/>
                <w:szCs w:val="24"/>
              </w:rPr>
              <w:t xml:space="preserve"> liecina, ka aizvien straujāk pieaugs pieprasījums pēc augstas, kā arī vidējas kvalifikācijas speciālistiem – tieši šajās kvalifikāciju grupās pēc 10-20 gadiem var izveidoties darbaspēka trūkums un iedzīvotājiem ar zemāku prasmju līmeni būs arvien grūtāk iesaistīties darba tirgū. Turklāt ilgstošā bezdarba risks vairāk skar gados vecākus darba meklētājus un cilvēkus ar zemāku vai darba tirgum nepietiekamu izglītības līmeni. Tādējādi šiem cilvēkiem ir nepieciešams sniegt atbalstu vajadzīgās kvalifikācijas un prasmju iegūšanai, pretējā gadījumā, zaudējot darbu, tie ilgstoši nevarēs re-integrēties darba tirgū, tādējādi paliekot bez iztikas līdzekļiem – rezultātā pieaugs slogs pašvaldībām un valstij, jo šiem cilvēkiem būs nepieciešami vismaz minimālie iztikas līdzekļi un arī cits atbalsts, lai viņi varētu nodrošināt savas ikdienas vajadzības. Līdz ar to būtiska ir pilnvērtīga cilvēkresursu (nodarbināto) efektīva izmantošana, lai veicinātu kopējo tautsaimniecības attīstību un indivīda labklājību, kurā būtiska loma ir tieši pieaugušo izglītībā (koncentrēšanās uz riska grupām, lai straujāk paaugstinātu produktivitātes pieaugumu darba tirgū), valstij aktivizējot visdažādākās iedzīvotāju grupas, tajā skaitā neaktīvos iedzīvotājus (mājsaimnieces, studenti, pensijas vecuma iedzīvotāji u.c.), ieskaitot tos, kuri saņem izdienas pensijas. </w:t>
            </w:r>
          </w:p>
          <w:p w14:paraId="435538E2" w14:textId="2B662624" w:rsidR="00D92659" w:rsidRPr="00EE2B27" w:rsidRDefault="00D92659" w:rsidP="00D92659">
            <w:pPr>
              <w:pStyle w:val="ListParagraph"/>
              <w:spacing w:after="0" w:line="240" w:lineRule="auto"/>
              <w:ind w:left="57" w:right="113"/>
              <w:jc w:val="both"/>
              <w:rPr>
                <w:rFonts w:ascii="Times New Roman" w:eastAsia="Calibri" w:hAnsi="Times New Roman" w:cs="Times New Roman"/>
                <w:sz w:val="24"/>
                <w:szCs w:val="24"/>
              </w:rPr>
            </w:pPr>
            <w:r w:rsidRPr="00EE2B27">
              <w:rPr>
                <w:rFonts w:ascii="Times New Roman" w:eastAsia="Calibri" w:hAnsi="Times New Roman" w:cs="Times New Roman"/>
                <w:sz w:val="24"/>
                <w:szCs w:val="24"/>
              </w:rPr>
              <w:t xml:space="preserve">Ir savlaicīgi jānodrošina, lai gados vecākie cilvēki varētu turpināt produktīvi strādāt, rast pielietojumu savam potenciālam un viņu prasmes un kvalifikācija atbilstu darba tirgus aktuālajam pieprasījumam, tādējādi mazinot šo cilvēku bezdarba un sociālās atstumtības risks.  Minētās tendences pieprasa jaunus risinājumus kvalificēta un darba tirgus vajadzībām atbilstoša darbaspēka </w:t>
            </w:r>
            <w:r w:rsidRPr="00EE2B27">
              <w:rPr>
                <w:rFonts w:ascii="Times New Roman" w:eastAsia="Calibri" w:hAnsi="Times New Roman" w:cs="Times New Roman"/>
                <w:sz w:val="24"/>
                <w:szCs w:val="24"/>
              </w:rPr>
              <w:lastRenderedPageBreak/>
              <w:t>sagatavošanā. Iedzīvotājiem, kuru prasmes ir novecojušas, vai arī viņi nevar turpināt darbu iepriekšējā profesijā (ko bieži vien ietekmē cilvēka vecums, veselības problēmas, profesijas specifika utt.), jāpiedāvā iespējas pārkvalificēties vai papildināt savas zināšanas. Ir jānodrošina iespēja iegūt papildu zināšanas un prasmes radniecīgajās profesijās un profesionālajās jomās – tas palīdzēs cilvēkiem ātrāk apgūt jaunās prasmes un atrast darbu. Īpaši aktuāli tas varētu būt grupām, kuras saņem izdienas pensijas.</w:t>
            </w:r>
          </w:p>
          <w:p w14:paraId="37740693" w14:textId="77777777" w:rsidR="00D92659" w:rsidRPr="00EE2B27" w:rsidRDefault="00D92659" w:rsidP="00D92659">
            <w:pPr>
              <w:pStyle w:val="ListParagraph"/>
              <w:spacing w:after="0" w:line="240" w:lineRule="auto"/>
              <w:ind w:left="57" w:right="113"/>
              <w:jc w:val="both"/>
              <w:rPr>
                <w:rFonts w:ascii="Times New Roman" w:hAnsi="Times New Roman" w:cs="Times New Roman"/>
                <w:sz w:val="24"/>
                <w:szCs w:val="24"/>
              </w:rPr>
            </w:pPr>
            <w:r w:rsidRPr="00EE2B27">
              <w:rPr>
                <w:rFonts w:ascii="Times New Roman" w:eastAsia="Calibri" w:hAnsi="Times New Roman" w:cs="Times New Roman"/>
                <w:sz w:val="24"/>
                <w:szCs w:val="24"/>
              </w:rPr>
              <w:t xml:space="preserve">Līdz ar to, DP 8.4.1.SAM </w:t>
            </w:r>
            <w:r w:rsidRPr="00EE2B27">
              <w:rPr>
                <w:rFonts w:ascii="Times New Roman" w:hAnsi="Times New Roman" w:cs="Times New Roman"/>
                <w:sz w:val="24"/>
                <w:szCs w:val="24"/>
              </w:rPr>
              <w:t>8.4.1.1.pasākuma “</w:t>
            </w:r>
            <w:proofErr w:type="spellStart"/>
            <w:r w:rsidRPr="00EE2B27">
              <w:rPr>
                <w:rFonts w:ascii="Times New Roman" w:hAnsi="Times New Roman" w:cs="Times New Roman"/>
                <w:sz w:val="24"/>
                <w:szCs w:val="24"/>
              </w:rPr>
              <w:t>Izmēģinājumprojekts</w:t>
            </w:r>
            <w:proofErr w:type="spellEnd"/>
            <w:r w:rsidRPr="00EE2B27">
              <w:rPr>
                <w:rFonts w:ascii="Times New Roman" w:hAnsi="Times New Roman" w:cs="Times New Roman"/>
                <w:sz w:val="24"/>
                <w:szCs w:val="24"/>
              </w:rPr>
              <w:t xml:space="preserve"> bezdarba riskam pakļauto nodarbināto personu atbalstam”</w:t>
            </w:r>
            <w:r w:rsidR="005D5266" w:rsidRPr="00EE2B27">
              <w:rPr>
                <w:rFonts w:ascii="Times New Roman" w:hAnsi="Times New Roman" w:cs="Times New Roman"/>
                <w:sz w:val="24"/>
                <w:szCs w:val="24"/>
              </w:rPr>
              <w:t xml:space="preserve"> (turpmāk – pasākums)</w:t>
            </w:r>
            <w:r w:rsidRPr="00EE2B27">
              <w:rPr>
                <w:rFonts w:ascii="Times New Roman" w:hAnsi="Times New Roman" w:cs="Times New Roman"/>
                <w:sz w:val="24"/>
                <w:szCs w:val="24"/>
              </w:rPr>
              <w:t xml:space="preserve"> </w:t>
            </w:r>
            <w:r w:rsidRPr="00EE2B27">
              <w:rPr>
                <w:rFonts w:ascii="Times New Roman" w:eastAsia="Calibri" w:hAnsi="Times New Roman" w:cs="Times New Roman"/>
                <w:sz w:val="24"/>
                <w:szCs w:val="24"/>
              </w:rPr>
              <w:t>ietvaros ir plānots sniegt atbalstu bezdarba riskam pakļautajām personām</w:t>
            </w:r>
            <w:r w:rsidR="00F15E13">
              <w:rPr>
                <w:rFonts w:ascii="Times New Roman" w:eastAsia="Calibri" w:hAnsi="Times New Roman" w:cs="Times New Roman"/>
                <w:sz w:val="24"/>
                <w:szCs w:val="24"/>
              </w:rPr>
              <w:t xml:space="preserve"> </w:t>
            </w:r>
            <w:r w:rsidRPr="00EE2B27">
              <w:rPr>
                <w:rFonts w:ascii="Times New Roman" w:eastAsia="Calibri" w:hAnsi="Times New Roman" w:cs="Times New Roman"/>
                <w:sz w:val="24"/>
                <w:szCs w:val="24"/>
              </w:rPr>
              <w:t>- izdienas pensiju esošajiem un potenciālajiem saņēmējiem, kā arī bezdarba riskam pakļautajām personām vecumā no 50 gadiem, kurām nepieciešami profesionālās pilnveides un tālākizglītības pasākumi, lai uzturētu savu spēju konkurēt darba tirgū un mazinātu bezdarba iestāšanās risku.</w:t>
            </w:r>
          </w:p>
          <w:p w14:paraId="792D1263" w14:textId="77777777" w:rsidR="00B20194" w:rsidRPr="00EE2B27" w:rsidRDefault="00F62DFD" w:rsidP="00165CC2">
            <w:pPr>
              <w:pStyle w:val="ListParagraph"/>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 xml:space="preserve">Kopumā </w:t>
            </w:r>
            <w:r w:rsidR="005D5266" w:rsidRPr="00EE2B27">
              <w:rPr>
                <w:rFonts w:ascii="Times New Roman" w:hAnsi="Times New Roman" w:cs="Times New Roman"/>
                <w:sz w:val="24"/>
                <w:szCs w:val="24"/>
              </w:rPr>
              <w:t xml:space="preserve">pasākuma </w:t>
            </w:r>
            <w:r w:rsidR="002665C2" w:rsidRPr="00EE2B27">
              <w:rPr>
                <w:rFonts w:ascii="Times New Roman" w:hAnsi="Times New Roman" w:cs="Times New Roman"/>
                <w:sz w:val="24"/>
                <w:szCs w:val="24"/>
              </w:rPr>
              <w:t xml:space="preserve">mērķis ir </w:t>
            </w:r>
            <w:r w:rsidR="005D5266" w:rsidRPr="00EE2B27">
              <w:rPr>
                <w:rFonts w:ascii="Times New Roman" w:hAnsi="Times New Roman" w:cs="Times New Roman"/>
                <w:sz w:val="24"/>
                <w:szCs w:val="24"/>
              </w:rPr>
              <w:t xml:space="preserve">minētai mērķa grupai </w:t>
            </w:r>
            <w:r w:rsidR="0009318D">
              <w:rPr>
                <w:rFonts w:ascii="Times New Roman" w:hAnsi="Times New Roman" w:cs="Times New Roman"/>
                <w:sz w:val="24"/>
                <w:szCs w:val="24"/>
              </w:rPr>
              <w:t xml:space="preserve">nodrošināt </w:t>
            </w:r>
            <w:r w:rsidR="005D5266" w:rsidRPr="00EE2B27">
              <w:rPr>
                <w:rFonts w:ascii="Times New Roman" w:hAnsi="Times New Roman" w:cs="Times New Roman"/>
                <w:sz w:val="24"/>
                <w:szCs w:val="24"/>
              </w:rPr>
              <w:t>atbalstu, lai preventīvi novērstu bezdarba iestāšanās risku un nodrošinātu ātrāku pielāgošanos mainīgajam darba tirgus pieprasījumam</w:t>
            </w:r>
            <w:r w:rsidR="002665C2" w:rsidRPr="00EE2B27">
              <w:rPr>
                <w:rFonts w:ascii="Times New Roman" w:hAnsi="Times New Roman" w:cs="Times New Roman"/>
                <w:sz w:val="24"/>
                <w:szCs w:val="24"/>
              </w:rPr>
              <w:t xml:space="preserve">. </w:t>
            </w:r>
            <w:r w:rsidR="00EA55C8" w:rsidRPr="00EE2B27">
              <w:rPr>
                <w:rFonts w:ascii="Times New Roman" w:hAnsi="Times New Roman" w:cs="Times New Roman"/>
                <w:sz w:val="24"/>
                <w:szCs w:val="24"/>
              </w:rPr>
              <w:t xml:space="preserve">Šī mērķa sasniegšanai MK noteikumu projekts paredz īstenot vairākas atbalstāmas darbības, piemēram, </w:t>
            </w:r>
            <w:r w:rsidR="005D5266" w:rsidRPr="00EE2B27">
              <w:rPr>
                <w:rFonts w:ascii="Times New Roman" w:hAnsi="Times New Roman" w:cs="Times New Roman"/>
                <w:sz w:val="24"/>
                <w:szCs w:val="24"/>
              </w:rPr>
              <w:t>karjeras atbalsta pakalpojumus</w:t>
            </w:r>
            <w:r w:rsidR="00EA55C8" w:rsidRPr="00EE2B27">
              <w:rPr>
                <w:rFonts w:ascii="Times New Roman" w:hAnsi="Times New Roman" w:cs="Times New Roman"/>
                <w:sz w:val="24"/>
                <w:szCs w:val="24"/>
              </w:rPr>
              <w:t>, profesionālā apmācības (tai skaitā</w:t>
            </w:r>
            <w:r w:rsidR="00315AB8" w:rsidRPr="00EE2B27">
              <w:rPr>
                <w:rFonts w:ascii="Times New Roman" w:hAnsi="Times New Roman" w:cs="Times New Roman"/>
                <w:sz w:val="24"/>
                <w:szCs w:val="24"/>
              </w:rPr>
              <w:t>,</w:t>
            </w:r>
            <w:r w:rsidR="00EA55C8" w:rsidRPr="00EE2B27">
              <w:rPr>
                <w:rFonts w:ascii="Times New Roman" w:hAnsi="Times New Roman" w:cs="Times New Roman"/>
                <w:sz w:val="24"/>
                <w:szCs w:val="24"/>
              </w:rPr>
              <w:t xml:space="preserve"> profesionālās tālākizglītības programmu apguvi un profesionālās pilnveides izglītības programmu apguvi)</w:t>
            </w:r>
            <w:r w:rsidR="005D5266" w:rsidRPr="00EE2B27">
              <w:rPr>
                <w:rFonts w:ascii="Times New Roman" w:hAnsi="Times New Roman" w:cs="Times New Roman"/>
                <w:sz w:val="24"/>
                <w:szCs w:val="24"/>
              </w:rPr>
              <w:t>,</w:t>
            </w:r>
            <w:r w:rsidR="00EA55C8" w:rsidRPr="00EE2B27">
              <w:rPr>
                <w:rFonts w:ascii="Times New Roman" w:hAnsi="Times New Roman" w:cs="Times New Roman"/>
                <w:sz w:val="24"/>
                <w:szCs w:val="24"/>
              </w:rPr>
              <w:t xml:space="preserve"> neformālās izglītības programmu </w:t>
            </w:r>
            <w:r w:rsidR="005D5266" w:rsidRPr="00EE2B27">
              <w:rPr>
                <w:rFonts w:ascii="Times New Roman" w:hAnsi="Times New Roman" w:cs="Times New Roman"/>
                <w:sz w:val="24"/>
                <w:szCs w:val="24"/>
              </w:rPr>
              <w:t xml:space="preserve">apguvi </w:t>
            </w:r>
            <w:r w:rsidRPr="00EE2B27">
              <w:rPr>
                <w:rFonts w:ascii="Times New Roman" w:hAnsi="Times New Roman" w:cs="Times New Roman"/>
                <w:sz w:val="24"/>
                <w:szCs w:val="24"/>
              </w:rPr>
              <w:t>un</w:t>
            </w:r>
            <w:r w:rsidR="009E7523" w:rsidRPr="00EE2B27">
              <w:rPr>
                <w:rFonts w:ascii="Times New Roman" w:hAnsi="Times New Roman" w:cs="Times New Roman"/>
                <w:sz w:val="24"/>
                <w:szCs w:val="24"/>
              </w:rPr>
              <w:t xml:space="preserve"> </w:t>
            </w:r>
            <w:r w:rsidR="005D5266" w:rsidRPr="00EE2B27">
              <w:rPr>
                <w:rFonts w:ascii="Times New Roman" w:hAnsi="Times New Roman" w:cs="Times New Roman"/>
                <w:sz w:val="24"/>
                <w:szCs w:val="24"/>
              </w:rPr>
              <w:t>pasākumus bezdarba riskam pakļauto nodarbināto personu atbalstam (</w:t>
            </w:r>
            <w:r w:rsidRPr="00EE2B27">
              <w:rPr>
                <w:rFonts w:ascii="Times New Roman" w:hAnsi="Times New Roman" w:cs="Times New Roman"/>
                <w:sz w:val="24"/>
                <w:szCs w:val="24"/>
              </w:rPr>
              <w:t>atbalst</w:t>
            </w:r>
            <w:r w:rsidR="00797F3E" w:rsidRPr="00EE2B27">
              <w:rPr>
                <w:rFonts w:ascii="Times New Roman" w:hAnsi="Times New Roman" w:cs="Times New Roman"/>
                <w:sz w:val="24"/>
                <w:szCs w:val="24"/>
              </w:rPr>
              <w:t>u</w:t>
            </w:r>
            <w:r w:rsidRPr="00EE2B27">
              <w:rPr>
                <w:rFonts w:ascii="Times New Roman" w:hAnsi="Times New Roman" w:cs="Times New Roman"/>
                <w:sz w:val="24"/>
                <w:szCs w:val="24"/>
              </w:rPr>
              <w:t xml:space="preserve"> reģionālajai mobilitātei</w:t>
            </w:r>
            <w:r w:rsidR="005D5266" w:rsidRPr="00EE2B27">
              <w:rPr>
                <w:rFonts w:ascii="Times New Roman" w:hAnsi="Times New Roman" w:cs="Times New Roman"/>
                <w:sz w:val="24"/>
                <w:szCs w:val="24"/>
              </w:rPr>
              <w:t>)</w:t>
            </w:r>
            <w:r w:rsidRPr="00EE2B27">
              <w:rPr>
                <w:rFonts w:ascii="Times New Roman" w:hAnsi="Times New Roman" w:cs="Times New Roman"/>
                <w:sz w:val="24"/>
                <w:szCs w:val="24"/>
              </w:rPr>
              <w:t>.</w:t>
            </w:r>
          </w:p>
          <w:p w14:paraId="512749C3" w14:textId="77777777" w:rsidR="00EA55C8" w:rsidRPr="00EE2B27" w:rsidRDefault="00EA55C8" w:rsidP="00165CC2">
            <w:pPr>
              <w:pStyle w:val="ListParagraph"/>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 xml:space="preserve">Projektu </w:t>
            </w:r>
            <w:r w:rsidR="005D5266" w:rsidRPr="00EE2B27">
              <w:rPr>
                <w:rFonts w:ascii="Times New Roman" w:hAnsi="Times New Roman" w:cs="Times New Roman"/>
                <w:sz w:val="24"/>
                <w:szCs w:val="24"/>
              </w:rPr>
              <w:t>pasākuma</w:t>
            </w:r>
            <w:r w:rsidR="00B20194" w:rsidRPr="00EE2B27">
              <w:rPr>
                <w:rFonts w:ascii="Times New Roman" w:hAnsi="Times New Roman" w:cs="Times New Roman"/>
                <w:sz w:val="24"/>
                <w:szCs w:val="24"/>
              </w:rPr>
              <w:t xml:space="preserve"> ietvaros </w:t>
            </w:r>
            <w:r w:rsidRPr="00EE2B27">
              <w:rPr>
                <w:rFonts w:ascii="Times New Roman" w:hAnsi="Times New Roman" w:cs="Times New Roman"/>
                <w:sz w:val="24"/>
                <w:szCs w:val="24"/>
              </w:rPr>
              <w:t>īsteno</w:t>
            </w:r>
            <w:r w:rsidR="00B20194" w:rsidRPr="00EE2B27">
              <w:rPr>
                <w:rFonts w:ascii="Times New Roman" w:hAnsi="Times New Roman" w:cs="Times New Roman"/>
                <w:sz w:val="24"/>
                <w:szCs w:val="24"/>
              </w:rPr>
              <w:t>s</w:t>
            </w:r>
            <w:r w:rsidR="005D5266" w:rsidRPr="00EE2B27">
              <w:rPr>
                <w:rFonts w:ascii="Times New Roman" w:hAnsi="Times New Roman" w:cs="Times New Roman"/>
                <w:sz w:val="24"/>
                <w:szCs w:val="24"/>
              </w:rPr>
              <w:t xml:space="preserve"> </w:t>
            </w:r>
            <w:r w:rsidR="00F62DFD" w:rsidRPr="00EE2B27">
              <w:rPr>
                <w:rFonts w:ascii="Times New Roman" w:hAnsi="Times New Roman" w:cs="Times New Roman"/>
                <w:sz w:val="24"/>
                <w:szCs w:val="24"/>
              </w:rPr>
              <w:t>N</w:t>
            </w:r>
            <w:r w:rsidR="005D5266" w:rsidRPr="00EE2B27">
              <w:rPr>
                <w:rFonts w:ascii="Times New Roman" w:hAnsi="Times New Roman" w:cs="Times New Roman"/>
                <w:sz w:val="24"/>
                <w:szCs w:val="24"/>
              </w:rPr>
              <w:t>odarbinātības valsts aģentūra</w:t>
            </w:r>
            <w:r w:rsidRPr="00EE2B27">
              <w:rPr>
                <w:rFonts w:ascii="Times New Roman" w:hAnsi="Times New Roman" w:cs="Times New Roman"/>
                <w:sz w:val="24"/>
                <w:szCs w:val="24"/>
              </w:rPr>
              <w:t xml:space="preserve"> (tai skaitā, vei</w:t>
            </w:r>
            <w:r w:rsidR="00B20194" w:rsidRPr="00EE2B27">
              <w:rPr>
                <w:rFonts w:ascii="Times New Roman" w:hAnsi="Times New Roman" w:cs="Times New Roman"/>
                <w:sz w:val="24"/>
                <w:szCs w:val="24"/>
              </w:rPr>
              <w:t>ks</w:t>
            </w:r>
            <w:r w:rsidR="005D5266" w:rsidRPr="00EE2B27">
              <w:rPr>
                <w:rFonts w:ascii="Times New Roman" w:hAnsi="Times New Roman" w:cs="Times New Roman"/>
                <w:sz w:val="24"/>
                <w:szCs w:val="24"/>
              </w:rPr>
              <w:t xml:space="preserve"> mērķa grupas</w:t>
            </w:r>
            <w:r w:rsidRPr="00EE2B27">
              <w:rPr>
                <w:rFonts w:ascii="Times New Roman" w:hAnsi="Times New Roman" w:cs="Times New Roman"/>
                <w:sz w:val="24"/>
                <w:szCs w:val="24"/>
              </w:rPr>
              <w:t xml:space="preserve"> atlasi, uzrau</w:t>
            </w:r>
            <w:r w:rsidR="00B20194" w:rsidRPr="00EE2B27">
              <w:rPr>
                <w:rFonts w:ascii="Times New Roman" w:hAnsi="Times New Roman" w:cs="Times New Roman"/>
                <w:sz w:val="24"/>
                <w:szCs w:val="24"/>
              </w:rPr>
              <w:t>dzīs</w:t>
            </w:r>
            <w:r w:rsidRPr="00EE2B27">
              <w:rPr>
                <w:rFonts w:ascii="Times New Roman" w:hAnsi="Times New Roman" w:cs="Times New Roman"/>
                <w:sz w:val="24"/>
                <w:szCs w:val="24"/>
              </w:rPr>
              <w:t xml:space="preserve"> pasākumu īstenošanu, kā arī vei</w:t>
            </w:r>
            <w:r w:rsidR="00B20194" w:rsidRPr="00EE2B27">
              <w:rPr>
                <w:rFonts w:ascii="Times New Roman" w:hAnsi="Times New Roman" w:cs="Times New Roman"/>
                <w:sz w:val="24"/>
                <w:szCs w:val="24"/>
              </w:rPr>
              <w:t>ks</w:t>
            </w:r>
            <w:r w:rsidRPr="00EE2B27">
              <w:rPr>
                <w:rFonts w:ascii="Times New Roman" w:hAnsi="Times New Roman" w:cs="Times New Roman"/>
                <w:sz w:val="24"/>
                <w:szCs w:val="24"/>
              </w:rPr>
              <w:t xml:space="preserve"> projekta vajadzībām nepieciešamos iepirkumus), piesaistot pakalpojumu sniedzējus (</w:t>
            </w:r>
            <w:r w:rsidR="00F15E13">
              <w:rPr>
                <w:rFonts w:ascii="Times New Roman" w:hAnsi="Times New Roman" w:cs="Times New Roman"/>
                <w:sz w:val="24"/>
                <w:szCs w:val="24"/>
              </w:rPr>
              <w:t xml:space="preserve">valsts un pašvaldību </w:t>
            </w:r>
            <w:r w:rsidRPr="00EE2B27">
              <w:rPr>
                <w:rFonts w:ascii="Times New Roman" w:hAnsi="Times New Roman" w:cs="Times New Roman"/>
                <w:sz w:val="24"/>
                <w:szCs w:val="24"/>
              </w:rPr>
              <w:t xml:space="preserve">izglītības iestādes, profesionālās izglītības kompetences centrus). </w:t>
            </w:r>
          </w:p>
          <w:p w14:paraId="6B45A9F6" w14:textId="08D20AE6" w:rsidR="005D5266" w:rsidRPr="00EE2B27" w:rsidRDefault="00EE2B27" w:rsidP="00165CC2">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Pasākuma īstenošanas termiņš – no </w:t>
            </w:r>
            <w:r w:rsidRPr="00EE2B27">
              <w:rPr>
                <w:rFonts w:ascii="Times New Roman" w:hAnsi="Times New Roman" w:cs="Times New Roman"/>
                <w:sz w:val="24"/>
                <w:szCs w:val="24"/>
              </w:rPr>
              <w:t>2016.gada 1.</w:t>
            </w:r>
            <w:r w:rsidR="00DC3CC4" w:rsidRPr="00EE2B27">
              <w:rPr>
                <w:rFonts w:ascii="Times New Roman" w:hAnsi="Times New Roman" w:cs="Times New Roman"/>
                <w:sz w:val="24"/>
                <w:szCs w:val="24"/>
              </w:rPr>
              <w:t>janvār</w:t>
            </w:r>
            <w:r w:rsidR="00DC3CC4">
              <w:rPr>
                <w:rFonts w:ascii="Times New Roman" w:hAnsi="Times New Roman" w:cs="Times New Roman"/>
                <w:sz w:val="24"/>
                <w:szCs w:val="24"/>
              </w:rPr>
              <w:t>a</w:t>
            </w:r>
            <w:r w:rsidR="00DC3CC4" w:rsidRPr="00EE2B27">
              <w:rPr>
                <w:rFonts w:ascii="Times New Roman" w:hAnsi="Times New Roman" w:cs="Times New Roman"/>
                <w:sz w:val="24"/>
                <w:szCs w:val="24"/>
              </w:rPr>
              <w:t xml:space="preserve"> </w:t>
            </w:r>
            <w:r w:rsidRPr="00EE2B27">
              <w:rPr>
                <w:rFonts w:ascii="Times New Roman" w:hAnsi="Times New Roman" w:cs="Times New Roman"/>
                <w:sz w:val="24"/>
                <w:szCs w:val="24"/>
              </w:rPr>
              <w:t>līdz 2018.gada 31.decembrim.</w:t>
            </w:r>
          </w:p>
          <w:p w14:paraId="6A962053" w14:textId="77777777" w:rsidR="00EA55C8" w:rsidRPr="00EE2B27" w:rsidRDefault="005D5266" w:rsidP="00165CC2">
            <w:pPr>
              <w:pStyle w:val="ListParagraph"/>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 xml:space="preserve">Pasākuma ietvaros plānotais pieejamais kopējais attiecināmais finansējums ir </w:t>
            </w:r>
            <w:r w:rsidR="009E7523">
              <w:rPr>
                <w:rFonts w:ascii="Times New Roman" w:hAnsi="Times New Roman" w:cs="Times New Roman"/>
                <w:sz w:val="24"/>
                <w:szCs w:val="24"/>
              </w:rPr>
              <w:t xml:space="preserve">EUR </w:t>
            </w:r>
            <w:r w:rsidRPr="00EE2B27">
              <w:rPr>
                <w:rFonts w:ascii="Times New Roman" w:hAnsi="Times New Roman" w:cs="Times New Roman"/>
                <w:sz w:val="24"/>
                <w:szCs w:val="24"/>
              </w:rPr>
              <w:t xml:space="preserve">2 500 000, tai skaitā </w:t>
            </w:r>
            <w:r w:rsidR="00B97A7A" w:rsidRPr="00EE2B27">
              <w:rPr>
                <w:rFonts w:ascii="Times New Roman" w:hAnsi="Times New Roman" w:cs="Times New Roman"/>
                <w:sz w:val="24"/>
                <w:szCs w:val="24"/>
              </w:rPr>
              <w:t>Eiropas Sociālā fonda</w:t>
            </w:r>
            <w:r w:rsidRPr="00EE2B27">
              <w:rPr>
                <w:rFonts w:ascii="Times New Roman" w:hAnsi="Times New Roman" w:cs="Times New Roman"/>
                <w:sz w:val="24"/>
                <w:szCs w:val="24"/>
              </w:rPr>
              <w:t xml:space="preserve"> finansējums – </w:t>
            </w:r>
            <w:r w:rsidR="009E7523">
              <w:rPr>
                <w:rFonts w:ascii="Times New Roman" w:hAnsi="Times New Roman" w:cs="Times New Roman"/>
                <w:sz w:val="24"/>
                <w:szCs w:val="24"/>
              </w:rPr>
              <w:t xml:space="preserve">EUR </w:t>
            </w:r>
            <w:r w:rsidRPr="00EE2B27">
              <w:rPr>
                <w:rFonts w:ascii="Times New Roman" w:hAnsi="Times New Roman" w:cs="Times New Roman"/>
                <w:sz w:val="24"/>
                <w:szCs w:val="24"/>
              </w:rPr>
              <w:t xml:space="preserve">2 125 000 un valsts budžeta finansējums – </w:t>
            </w:r>
            <w:r w:rsidR="009E7523">
              <w:rPr>
                <w:rFonts w:ascii="Times New Roman" w:hAnsi="Times New Roman" w:cs="Times New Roman"/>
                <w:sz w:val="24"/>
                <w:szCs w:val="24"/>
              </w:rPr>
              <w:t xml:space="preserve">EUR </w:t>
            </w:r>
            <w:r w:rsidRPr="00EE2B27">
              <w:rPr>
                <w:rFonts w:ascii="Times New Roman" w:hAnsi="Times New Roman" w:cs="Times New Roman"/>
                <w:sz w:val="24"/>
                <w:szCs w:val="24"/>
              </w:rPr>
              <w:t>375</w:t>
            </w:r>
            <w:r w:rsidR="00B97A7A" w:rsidRPr="00EE2B27">
              <w:rPr>
                <w:rFonts w:ascii="Times New Roman" w:hAnsi="Times New Roman" w:cs="Times New Roman"/>
                <w:sz w:val="24"/>
                <w:szCs w:val="24"/>
              </w:rPr>
              <w:t> </w:t>
            </w:r>
            <w:r w:rsidRPr="00EE2B27">
              <w:rPr>
                <w:rFonts w:ascii="Times New Roman" w:hAnsi="Times New Roman" w:cs="Times New Roman"/>
                <w:sz w:val="24"/>
                <w:szCs w:val="24"/>
              </w:rPr>
              <w:t>000</w:t>
            </w:r>
            <w:r w:rsidR="009E7523" w:rsidRPr="00EE2B27">
              <w:rPr>
                <w:rFonts w:ascii="Times New Roman" w:hAnsi="Times New Roman" w:cs="Times New Roman"/>
                <w:sz w:val="24"/>
                <w:szCs w:val="24"/>
              </w:rPr>
              <w:t>.</w:t>
            </w:r>
            <w:r w:rsidR="00EA55C8" w:rsidRPr="00EE2B27">
              <w:rPr>
                <w:rFonts w:ascii="Times New Roman" w:hAnsi="Times New Roman" w:cs="Times New Roman"/>
                <w:sz w:val="24"/>
                <w:szCs w:val="24"/>
              </w:rPr>
              <w:t xml:space="preserve"> </w:t>
            </w:r>
          </w:p>
          <w:p w14:paraId="1C6307F7" w14:textId="77777777" w:rsidR="00EE2B27" w:rsidRPr="00EE2B27" w:rsidRDefault="00EE2B27" w:rsidP="00EE2B27">
            <w:pPr>
              <w:shd w:val="clear" w:color="auto" w:fill="FFFFFF"/>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Paredzēts, ka šī pasākuma ietvaros tiks sasniegti šādi uzraudzības rādītāji: līdz 2018.gada 31.decembrim atbalstu saņems 4 000  nodarbinātas personas (iznākuma rādītājs), no tām 2 500 nodarbinātas personas būs pilnveidojuši kompetenci pēc dalības apmācībās (rezultāta rādītājs).  MK noteikumu projektā iekļauto rādītāju formulējums ir definēts atbilstoši darbības programmai un Eiropas Parlamenta un Padomes 2013.ga</w:t>
            </w:r>
            <w:r w:rsidR="0009318D">
              <w:rPr>
                <w:rFonts w:ascii="Times New Roman" w:hAnsi="Times New Roman" w:cs="Times New Roman"/>
                <w:sz w:val="24"/>
                <w:szCs w:val="24"/>
              </w:rPr>
              <w:t>da 17.decembra regulas (ES) Nr.</w:t>
            </w:r>
            <w:r w:rsidRPr="00EE2B27">
              <w:rPr>
                <w:rFonts w:ascii="Times New Roman" w:hAnsi="Times New Roman" w:cs="Times New Roman"/>
                <w:sz w:val="24"/>
                <w:szCs w:val="24"/>
              </w:rPr>
              <w:t>1304/2013 par Eiropas Sociālo fondu un ar k</w:t>
            </w:r>
            <w:r>
              <w:rPr>
                <w:rFonts w:ascii="Times New Roman" w:hAnsi="Times New Roman" w:cs="Times New Roman"/>
                <w:sz w:val="24"/>
                <w:szCs w:val="24"/>
              </w:rPr>
              <w:t>o atceļ Padomes Regulu (EK) Nr.</w:t>
            </w:r>
            <w:r w:rsidRPr="00EE2B27">
              <w:rPr>
                <w:rFonts w:ascii="Times New Roman" w:hAnsi="Times New Roman" w:cs="Times New Roman"/>
                <w:sz w:val="24"/>
                <w:szCs w:val="24"/>
              </w:rPr>
              <w:t>1081/2006 I pielikumam “Kopējie iznākuma un rezultātu rādītāji ESF investīcijām”.</w:t>
            </w:r>
          </w:p>
          <w:p w14:paraId="1E355338" w14:textId="77777777" w:rsidR="00EE2B27" w:rsidRDefault="00EE2B27" w:rsidP="00EE2B27">
            <w:pPr>
              <w:shd w:val="clear" w:color="auto" w:fill="FFFFFF"/>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lastRenderedPageBreak/>
              <w:t xml:space="preserve">Pasākumam ir netieša pozitīva ietekme uz </w:t>
            </w:r>
            <w:r w:rsidR="0009318D">
              <w:rPr>
                <w:rFonts w:ascii="Times New Roman" w:hAnsi="Times New Roman" w:cs="Times New Roman"/>
                <w:sz w:val="24"/>
                <w:szCs w:val="24"/>
              </w:rPr>
              <w:t>ES</w:t>
            </w:r>
            <w:r w:rsidRPr="00EE2B27">
              <w:rPr>
                <w:rFonts w:ascii="Times New Roman" w:hAnsi="Times New Roman" w:cs="Times New Roman"/>
                <w:sz w:val="24"/>
                <w:szCs w:val="24"/>
              </w:rPr>
              <w:t xml:space="preserve"> struktūrfondu ieguldījumu horizontālā principa “Vienlīdzīgas iespējas” mērķu sasniegšanu. Lai nodrošinātu šī principa uzraudzību,</w:t>
            </w:r>
            <w:r>
              <w:rPr>
                <w:rFonts w:ascii="Times New Roman" w:hAnsi="Times New Roman" w:cs="Times New Roman"/>
                <w:sz w:val="24"/>
                <w:szCs w:val="24"/>
              </w:rPr>
              <w:t xml:space="preserve"> </w:t>
            </w:r>
            <w:r w:rsidRPr="00EE2B27">
              <w:rPr>
                <w:rFonts w:ascii="Times New Roman" w:hAnsi="Times New Roman" w:cs="Times New Roman"/>
                <w:sz w:val="24"/>
                <w:szCs w:val="24"/>
              </w:rPr>
              <w:t>MK noteikumu projekts paredz, ka finansējuma saņēmējs uzkrās datus par horizontālā principa “Vienlīdzīgas iespējas” horizontālā rādītāja “</w:t>
            </w:r>
            <w:r w:rsidRPr="00EE2B27">
              <w:rPr>
                <w:rFonts w:ascii="Times New Roman" w:hAnsi="Times New Roman" w:cs="Times New Roman"/>
                <w:bCs/>
                <w:sz w:val="24"/>
                <w:szCs w:val="24"/>
              </w:rPr>
              <w:t>Atbalstu saņēmušie sociālās atstumtības un nabadzības riskam pakļautie iedzīvotāji</w:t>
            </w:r>
            <w:r w:rsidRPr="00EE2B27">
              <w:rPr>
                <w:rFonts w:ascii="Times New Roman" w:hAnsi="Times New Roman" w:cs="Times New Roman"/>
                <w:sz w:val="24"/>
                <w:szCs w:val="24"/>
              </w:rPr>
              <w:t>” sasniegšanu.</w:t>
            </w:r>
          </w:p>
          <w:p w14:paraId="7EC63F91" w14:textId="7CF8C888" w:rsidR="00EE2B27" w:rsidRDefault="00E12034" w:rsidP="00362070">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pasākumam ir </w:t>
            </w:r>
            <w:r w:rsidRPr="00565B8F">
              <w:rPr>
                <w:rFonts w:ascii="Times New Roman" w:hAnsi="Times New Roman" w:cs="Times New Roman"/>
                <w:sz w:val="24"/>
                <w:szCs w:val="24"/>
              </w:rPr>
              <w:t xml:space="preserve">sagaidāma pozitīva ietekme uz bezdarba līmeni, </w:t>
            </w:r>
            <w:r>
              <w:rPr>
                <w:rFonts w:ascii="Times New Roman" w:hAnsi="Times New Roman" w:cs="Times New Roman"/>
                <w:sz w:val="24"/>
                <w:szCs w:val="24"/>
              </w:rPr>
              <w:t xml:space="preserve">respektīvi, </w:t>
            </w:r>
            <w:r w:rsidRPr="00565B8F">
              <w:rPr>
                <w:rFonts w:ascii="Times New Roman" w:hAnsi="Times New Roman" w:cs="Times New Roman"/>
                <w:sz w:val="24"/>
                <w:szCs w:val="24"/>
              </w:rPr>
              <w:t xml:space="preserve">tiks </w:t>
            </w:r>
            <w:r>
              <w:rPr>
                <w:rFonts w:ascii="Times New Roman" w:eastAsia="Calibri" w:hAnsi="Times New Roman" w:cs="Times New Roman"/>
                <w:sz w:val="24"/>
                <w:szCs w:val="24"/>
              </w:rPr>
              <w:t>preventīvi nodrošināta bezdarba riskam pakļauto personu</w:t>
            </w:r>
            <w:r w:rsidRPr="00EE2B27">
              <w:rPr>
                <w:rFonts w:ascii="Times New Roman" w:eastAsia="Calibri" w:hAnsi="Times New Roman" w:cs="Times New Roman"/>
                <w:sz w:val="24"/>
                <w:szCs w:val="24"/>
              </w:rPr>
              <w:t xml:space="preserve"> bezdarba ie</w:t>
            </w:r>
            <w:r>
              <w:rPr>
                <w:rFonts w:ascii="Times New Roman" w:eastAsia="Calibri" w:hAnsi="Times New Roman" w:cs="Times New Roman"/>
                <w:sz w:val="24"/>
                <w:szCs w:val="24"/>
              </w:rPr>
              <w:t>stāšanās riska mazināšana un nodrošināta to ātrāka pielāgošanā</w:t>
            </w:r>
            <w:r w:rsidRPr="00EE2B27">
              <w:rPr>
                <w:rFonts w:ascii="Times New Roman" w:eastAsia="Calibri" w:hAnsi="Times New Roman" w:cs="Times New Roman"/>
                <w:sz w:val="24"/>
                <w:szCs w:val="24"/>
              </w:rPr>
              <w:t>s mainīgajam darba tirgus pieprasījumam</w:t>
            </w:r>
            <w:r w:rsidRPr="00565B8F">
              <w:rPr>
                <w:rFonts w:ascii="Times New Roman" w:hAnsi="Times New Roman" w:cs="Times New Roman"/>
                <w:sz w:val="24"/>
                <w:szCs w:val="24"/>
              </w:rPr>
              <w:t xml:space="preserve">, kā arī mazinātas </w:t>
            </w:r>
            <w:r>
              <w:rPr>
                <w:rFonts w:ascii="Times New Roman" w:hAnsi="Times New Roman" w:cs="Times New Roman"/>
                <w:sz w:val="24"/>
                <w:szCs w:val="24"/>
              </w:rPr>
              <w:t xml:space="preserve">citas </w:t>
            </w:r>
            <w:r w:rsidRPr="00565B8F">
              <w:rPr>
                <w:rFonts w:ascii="Times New Roman" w:hAnsi="Times New Roman" w:cs="Times New Roman"/>
                <w:sz w:val="24"/>
                <w:szCs w:val="24"/>
              </w:rPr>
              <w:t>šīs anotācijas I sadaļas 2.punktā minētās problēmas.</w:t>
            </w:r>
          </w:p>
          <w:p w14:paraId="16818EAC" w14:textId="77777777" w:rsidR="00475EDD" w:rsidRPr="00EE2B27" w:rsidRDefault="00E12034" w:rsidP="00E12034">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Vienlaikus informējam, ka a</w:t>
            </w:r>
            <w:r w:rsidR="00EE2B27" w:rsidRPr="00EE2B27">
              <w:rPr>
                <w:rFonts w:ascii="Times New Roman" w:hAnsi="Times New Roman" w:cs="Times New Roman"/>
                <w:sz w:val="24"/>
                <w:szCs w:val="24"/>
              </w:rPr>
              <w:t xml:space="preserve">tbilstoši Finanšu ministrijas 2014.gada 22.maija vēstulei Nr.21-4-01/2875 “Par specifisko atbalsta mērķu sākotnējo novērtēšanu” </w:t>
            </w:r>
            <w:r>
              <w:rPr>
                <w:rFonts w:ascii="Times New Roman" w:hAnsi="Times New Roman" w:cs="Times New Roman"/>
                <w:sz w:val="24"/>
                <w:szCs w:val="24"/>
              </w:rPr>
              <w:t>pasākumam</w:t>
            </w:r>
            <w:r w:rsidR="00EE2B27" w:rsidRPr="00EE2B27">
              <w:rPr>
                <w:rFonts w:ascii="Times New Roman" w:hAnsi="Times New Roman" w:cs="Times New Roman"/>
                <w:sz w:val="24"/>
                <w:szCs w:val="24"/>
              </w:rPr>
              <w:t xml:space="preserve"> ir veikts sākotnējais novērtējums</w:t>
            </w:r>
            <w:r w:rsidR="00EE2B27" w:rsidRPr="00EE2B27">
              <w:rPr>
                <w:rStyle w:val="FootnoteReference"/>
                <w:rFonts w:cs="Times New Roman"/>
                <w:sz w:val="24"/>
                <w:szCs w:val="24"/>
              </w:rPr>
              <w:footnoteReference w:id="3"/>
            </w:r>
            <w:r w:rsidR="00EE2B27" w:rsidRPr="00EE2B27">
              <w:rPr>
                <w:rFonts w:ascii="Times New Roman" w:hAnsi="Times New Roman" w:cs="Times New Roman"/>
                <w:sz w:val="24"/>
                <w:szCs w:val="24"/>
              </w:rPr>
              <w:t>,</w:t>
            </w:r>
            <w:r w:rsidR="0009318D">
              <w:rPr>
                <w:rFonts w:ascii="Times New Roman" w:hAnsi="Times New Roman" w:cs="Times New Roman"/>
                <w:sz w:val="24"/>
                <w:szCs w:val="24"/>
              </w:rPr>
              <w:t xml:space="preserve"> tai skaitā</w:t>
            </w:r>
            <w:r w:rsidR="00EE2B27" w:rsidRPr="00EE2B27">
              <w:rPr>
                <w:rFonts w:ascii="Times New Roman" w:hAnsi="Times New Roman" w:cs="Times New Roman"/>
                <w:sz w:val="24"/>
                <w:szCs w:val="24"/>
              </w:rPr>
              <w:t xml:space="preserve"> pasākuma teritoriālo vajadzību analīze</w:t>
            </w:r>
            <w:r w:rsidR="0009318D">
              <w:rPr>
                <w:rFonts w:ascii="Times New Roman" w:hAnsi="Times New Roman" w:cs="Times New Roman"/>
                <w:sz w:val="24"/>
                <w:szCs w:val="24"/>
              </w:rPr>
              <w:t xml:space="preserve"> reģionālajā</w:t>
            </w:r>
            <w:r w:rsidR="00EE2B27" w:rsidRPr="00EE2B27">
              <w:rPr>
                <w:rFonts w:ascii="Times New Roman" w:hAnsi="Times New Roman" w:cs="Times New Roman"/>
                <w:sz w:val="24"/>
                <w:szCs w:val="24"/>
              </w:rPr>
              <w:t xml:space="preserve"> līmenī.</w:t>
            </w:r>
          </w:p>
        </w:tc>
      </w:tr>
      <w:tr w:rsidR="00CC1A56" w:rsidRPr="00EE2B27" w14:paraId="6D95C498" w14:textId="77777777" w:rsidTr="00DF11D0">
        <w:trPr>
          <w:trHeight w:val="476"/>
        </w:trPr>
        <w:tc>
          <w:tcPr>
            <w:tcW w:w="215" w:type="pct"/>
          </w:tcPr>
          <w:p w14:paraId="7131A7BA" w14:textId="77777777" w:rsidR="00CC1A56" w:rsidRPr="00EE2B27" w:rsidRDefault="00CC1A56" w:rsidP="00165CC2">
            <w:pPr>
              <w:pStyle w:val="naiskr"/>
              <w:spacing w:before="0" w:beforeAutospacing="0" w:after="0" w:afterAutospacing="0"/>
              <w:ind w:left="57" w:right="57"/>
              <w:jc w:val="center"/>
            </w:pPr>
            <w:r w:rsidRPr="00EE2B27">
              <w:lastRenderedPageBreak/>
              <w:t>3.</w:t>
            </w:r>
          </w:p>
        </w:tc>
        <w:tc>
          <w:tcPr>
            <w:tcW w:w="1470" w:type="pct"/>
          </w:tcPr>
          <w:p w14:paraId="18FC7FD7" w14:textId="77777777" w:rsidR="00CC1A56" w:rsidRPr="00EE2B27" w:rsidRDefault="00CC1A56" w:rsidP="00165CC2">
            <w:pPr>
              <w:pStyle w:val="naiskr"/>
              <w:spacing w:before="0" w:beforeAutospacing="0" w:after="0" w:afterAutospacing="0"/>
              <w:ind w:left="57" w:right="57"/>
            </w:pPr>
            <w:r w:rsidRPr="00EE2B27">
              <w:t>Projekta izstrādē iesaistītās institūcijas</w:t>
            </w:r>
          </w:p>
        </w:tc>
        <w:tc>
          <w:tcPr>
            <w:tcW w:w="3315" w:type="pct"/>
          </w:tcPr>
          <w:p w14:paraId="29C1097D" w14:textId="07209E73" w:rsidR="00382F6F" w:rsidRPr="00EE2B27" w:rsidRDefault="0009318D" w:rsidP="006674C6">
            <w:pPr>
              <w:shd w:val="clear" w:color="auto" w:fill="FFFFFF"/>
              <w:spacing w:after="0" w:line="240" w:lineRule="auto"/>
              <w:ind w:left="57" w:right="113"/>
              <w:jc w:val="both"/>
              <w:rPr>
                <w:rFonts w:ascii="Times New Roman" w:hAnsi="Times New Roman" w:cs="Times New Roman"/>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w:t>
            </w:r>
            <w:r w:rsidR="006674C6">
              <w:rPr>
                <w:rFonts w:ascii="Times New Roman" w:hAnsi="Times New Roman" w:cs="Times New Roman"/>
                <w:sz w:val="24"/>
                <w:szCs w:val="24"/>
              </w:rPr>
              <w:t>izstrādāts sadarbībā ar Labklājības ministriju.</w:t>
            </w:r>
          </w:p>
        </w:tc>
      </w:tr>
      <w:tr w:rsidR="00CC1A56" w:rsidRPr="00EE2B27" w14:paraId="3D2E8533" w14:textId="77777777" w:rsidTr="00DF11D0">
        <w:tc>
          <w:tcPr>
            <w:tcW w:w="215" w:type="pct"/>
          </w:tcPr>
          <w:p w14:paraId="25A3E04D" w14:textId="77777777" w:rsidR="00CC1A56" w:rsidRPr="00EE2B27" w:rsidRDefault="00CC1A56" w:rsidP="00165CC2">
            <w:pPr>
              <w:pStyle w:val="naiskr"/>
              <w:spacing w:before="0" w:beforeAutospacing="0" w:after="0" w:afterAutospacing="0"/>
              <w:ind w:left="57" w:right="57"/>
              <w:jc w:val="center"/>
            </w:pPr>
            <w:r w:rsidRPr="00EE2B27">
              <w:t>4.</w:t>
            </w:r>
          </w:p>
        </w:tc>
        <w:tc>
          <w:tcPr>
            <w:tcW w:w="1470" w:type="pct"/>
          </w:tcPr>
          <w:p w14:paraId="1AE09ECD" w14:textId="77777777" w:rsidR="00CC1A56" w:rsidRPr="00EE2B27" w:rsidRDefault="00CC1A56" w:rsidP="00165CC2">
            <w:pPr>
              <w:pStyle w:val="naiskr"/>
              <w:spacing w:before="0" w:beforeAutospacing="0" w:after="0" w:afterAutospacing="0"/>
              <w:ind w:left="57" w:right="57"/>
            </w:pPr>
            <w:r w:rsidRPr="00EE2B27">
              <w:t>Cita informācija</w:t>
            </w:r>
          </w:p>
        </w:tc>
        <w:tc>
          <w:tcPr>
            <w:tcW w:w="3315" w:type="pct"/>
          </w:tcPr>
          <w:p w14:paraId="3638D41F" w14:textId="77777777" w:rsidR="00AB321F" w:rsidRPr="00EE2B27" w:rsidRDefault="0009318D" w:rsidP="00362070">
            <w:pPr>
              <w:spacing w:after="0" w:line="240" w:lineRule="auto"/>
              <w:ind w:left="57" w:right="113"/>
              <w:jc w:val="both"/>
              <w:rPr>
                <w:rFonts w:ascii="Times New Roman" w:hAnsi="Times New Roman" w:cs="Times New Roman"/>
                <w:color w:val="000000"/>
                <w:sz w:val="24"/>
                <w:szCs w:val="24"/>
              </w:rPr>
            </w:pPr>
            <w:r w:rsidRPr="00FB0787">
              <w:rPr>
                <w:rFonts w:ascii="Times New Roman" w:hAnsi="Times New Roman" w:cs="Times New Roman"/>
                <w:sz w:val="24"/>
                <w:szCs w:val="24"/>
              </w:rPr>
              <w:t xml:space="preserve">Projekta </w:t>
            </w:r>
            <w:r w:rsidRPr="00362070">
              <w:rPr>
                <w:rFonts w:ascii="Times New Roman" w:hAnsi="Times New Roman" w:cs="Times New Roman"/>
                <w:sz w:val="24"/>
                <w:szCs w:val="24"/>
              </w:rPr>
              <w:t xml:space="preserve">iesniegumu vērtēšanas kritērijus, kurus piemēros pasākuma ietvaros projektu iesniegumu vērtēšanā, </w:t>
            </w:r>
            <w:r w:rsidR="00362070" w:rsidRPr="00362070">
              <w:rPr>
                <w:rFonts w:ascii="Times New Roman" w:hAnsi="Times New Roman"/>
                <w:sz w:val="24"/>
                <w:szCs w:val="24"/>
              </w:rPr>
              <w:t xml:space="preserve"> kritēriju piemērošanas metodiku un sākotnējo novērtējumu </w:t>
            </w:r>
            <w:r w:rsidRPr="00362070">
              <w:rPr>
                <w:rFonts w:ascii="Times New Roman" w:hAnsi="Times New Roman" w:cs="Times New Roman"/>
                <w:sz w:val="24"/>
                <w:szCs w:val="24"/>
              </w:rPr>
              <w:t>ir plānots izskatīt un</w:t>
            </w:r>
            <w:r>
              <w:rPr>
                <w:rFonts w:ascii="Times New Roman" w:hAnsi="Times New Roman" w:cs="Times New Roman"/>
                <w:sz w:val="24"/>
                <w:szCs w:val="24"/>
              </w:rPr>
              <w:t xml:space="preserve"> </w:t>
            </w:r>
            <w:r w:rsidRPr="00FB0787">
              <w:rPr>
                <w:rFonts w:ascii="Times New Roman" w:hAnsi="Times New Roman" w:cs="Times New Roman"/>
                <w:sz w:val="24"/>
                <w:szCs w:val="24"/>
              </w:rPr>
              <w:t>apstiprināt 2014. – 2020.gada plānošanas perioda Uzraudzības komitejā, kuras sastāvā ir iekļaut</w:t>
            </w:r>
            <w:r>
              <w:rPr>
                <w:rFonts w:ascii="Times New Roman" w:hAnsi="Times New Roman" w:cs="Times New Roman"/>
                <w:sz w:val="24"/>
                <w:szCs w:val="24"/>
              </w:rPr>
              <w:t>i</w:t>
            </w:r>
            <w:r w:rsidRPr="00FB0787">
              <w:rPr>
                <w:rFonts w:ascii="Times New Roman" w:hAnsi="Times New Roman" w:cs="Times New Roman"/>
                <w:sz w:val="24"/>
                <w:szCs w:val="24"/>
              </w:rPr>
              <w:t xml:space="preserve"> arī sociālie, nevalstiskā sektora un reģionālie partneri.</w:t>
            </w:r>
          </w:p>
        </w:tc>
      </w:tr>
    </w:tbl>
    <w:p w14:paraId="3CB8CA7F" w14:textId="77777777" w:rsidR="00F21E42" w:rsidRPr="00EE2B27" w:rsidRDefault="00F21E42" w:rsidP="00165CC2">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25"/>
        <w:gridCol w:w="6378"/>
      </w:tblGrid>
      <w:tr w:rsidR="00CC1A56" w:rsidRPr="00EE2B27" w14:paraId="63E45B41" w14:textId="77777777" w:rsidTr="0089655E">
        <w:trPr>
          <w:trHeight w:val="556"/>
        </w:trPr>
        <w:tc>
          <w:tcPr>
            <w:tcW w:w="9634" w:type="dxa"/>
            <w:gridSpan w:val="3"/>
            <w:vAlign w:val="center"/>
          </w:tcPr>
          <w:p w14:paraId="183D433B" w14:textId="77777777" w:rsidR="00CC1A56" w:rsidRPr="00EE2B27" w:rsidRDefault="00CC1A56" w:rsidP="00165CC2">
            <w:pPr>
              <w:pStyle w:val="naisnod"/>
              <w:spacing w:before="0" w:beforeAutospacing="0" w:after="0" w:afterAutospacing="0"/>
              <w:ind w:left="57" w:right="57"/>
              <w:jc w:val="center"/>
              <w:rPr>
                <w:b/>
              </w:rPr>
            </w:pPr>
            <w:r w:rsidRPr="00EE2B27">
              <w:rPr>
                <w:b/>
              </w:rPr>
              <w:t>II. Tiesību akta projekta ietekme uz sabiedrību, tautsaimniecības attīstību</w:t>
            </w:r>
          </w:p>
          <w:p w14:paraId="0148E0CA" w14:textId="77777777" w:rsidR="00CC1A56" w:rsidRPr="00EE2B27" w:rsidRDefault="00CC1A56" w:rsidP="00165CC2">
            <w:pPr>
              <w:pStyle w:val="naisnod"/>
              <w:spacing w:before="0" w:beforeAutospacing="0" w:after="0" w:afterAutospacing="0"/>
              <w:ind w:left="57" w:right="57"/>
              <w:jc w:val="center"/>
              <w:rPr>
                <w:b/>
              </w:rPr>
            </w:pPr>
            <w:r w:rsidRPr="00EE2B27">
              <w:rPr>
                <w:b/>
              </w:rPr>
              <w:t>un administratīvo slogu</w:t>
            </w:r>
          </w:p>
        </w:tc>
      </w:tr>
      <w:tr w:rsidR="00CC1A56" w:rsidRPr="00EE2B27" w14:paraId="73319362" w14:textId="77777777" w:rsidTr="0089655E">
        <w:trPr>
          <w:trHeight w:val="467"/>
        </w:trPr>
        <w:tc>
          <w:tcPr>
            <w:tcW w:w="431" w:type="dxa"/>
          </w:tcPr>
          <w:p w14:paraId="4A8DBD75" w14:textId="77777777" w:rsidR="00CC1A56" w:rsidRPr="00EE2B27" w:rsidRDefault="00CC1A56" w:rsidP="00165CC2">
            <w:pPr>
              <w:pStyle w:val="naiskr"/>
              <w:spacing w:before="0" w:beforeAutospacing="0" w:after="0" w:afterAutospacing="0"/>
              <w:ind w:left="57" w:right="57"/>
              <w:jc w:val="both"/>
            </w:pPr>
            <w:r w:rsidRPr="00EE2B27">
              <w:t>1.</w:t>
            </w:r>
          </w:p>
        </w:tc>
        <w:tc>
          <w:tcPr>
            <w:tcW w:w="2825" w:type="dxa"/>
          </w:tcPr>
          <w:p w14:paraId="3AAA0593" w14:textId="77777777" w:rsidR="00CC1A56" w:rsidRPr="00EE2B27" w:rsidRDefault="00CC1A56" w:rsidP="00165CC2">
            <w:pPr>
              <w:pStyle w:val="naiskr"/>
              <w:spacing w:before="0" w:beforeAutospacing="0" w:after="0" w:afterAutospacing="0"/>
              <w:ind w:left="57" w:right="57"/>
            </w:pPr>
            <w:r w:rsidRPr="00EE2B27">
              <w:t xml:space="preserve">Sabiedrības </w:t>
            </w:r>
            <w:proofErr w:type="spellStart"/>
            <w:r w:rsidRPr="00EE2B27">
              <w:t>mērķgrupas</w:t>
            </w:r>
            <w:proofErr w:type="spellEnd"/>
            <w:r w:rsidRPr="00EE2B27">
              <w:t>, kuras tiesiskais regulējums ietekmē vai varētu ietekmēt</w:t>
            </w:r>
          </w:p>
        </w:tc>
        <w:tc>
          <w:tcPr>
            <w:tcW w:w="6378" w:type="dxa"/>
          </w:tcPr>
          <w:p w14:paraId="27A4AA9A" w14:textId="6F320556" w:rsidR="00CC1A56" w:rsidRPr="00EE2B27" w:rsidRDefault="00BE13FE" w:rsidP="00A2050F">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Pr>
                <w:rFonts w:ascii="Times New Roman" w:eastAsia="Calibri" w:hAnsi="Times New Roman" w:cs="Times New Roman"/>
                <w:sz w:val="24"/>
                <w:szCs w:val="24"/>
              </w:rPr>
              <w:t>Bezdarba riskam pakļautās personas - izdienas pensiju esošie un potenciālie</w:t>
            </w:r>
            <w:r w:rsidRPr="00EE2B27">
              <w:rPr>
                <w:rFonts w:ascii="Times New Roman" w:eastAsia="Calibri" w:hAnsi="Times New Roman" w:cs="Times New Roman"/>
                <w:sz w:val="24"/>
                <w:szCs w:val="24"/>
              </w:rPr>
              <w:t xml:space="preserve"> saņēmējiem, </w:t>
            </w:r>
            <w:r>
              <w:rPr>
                <w:rFonts w:ascii="Times New Roman" w:eastAsia="Calibri" w:hAnsi="Times New Roman" w:cs="Times New Roman"/>
                <w:sz w:val="24"/>
                <w:szCs w:val="24"/>
              </w:rPr>
              <w:t>kā arī bezdarba riskam pakļautās personas</w:t>
            </w:r>
            <w:r w:rsidRPr="00EE2B27">
              <w:rPr>
                <w:rFonts w:ascii="Times New Roman" w:eastAsia="Calibri" w:hAnsi="Times New Roman" w:cs="Times New Roman"/>
                <w:sz w:val="24"/>
                <w:szCs w:val="24"/>
              </w:rPr>
              <w:t xml:space="preserve"> ve</w:t>
            </w:r>
            <w:r w:rsidRPr="00BE13FE">
              <w:rPr>
                <w:rFonts w:ascii="Times New Roman" w:hAnsi="Times New Roman" w:cs="Times New Roman"/>
                <w:sz w:val="24"/>
                <w:szCs w:val="24"/>
              </w:rPr>
              <w:t>cumā no 50 gadiem (atbilstoši V</w:t>
            </w:r>
            <w:r w:rsidR="00A2050F">
              <w:rPr>
                <w:rFonts w:ascii="Times New Roman" w:hAnsi="Times New Roman" w:cs="Times New Roman"/>
                <w:sz w:val="24"/>
                <w:szCs w:val="24"/>
              </w:rPr>
              <w:t xml:space="preserve">alsts sociālās apdrošināšanas aģentūras </w:t>
            </w:r>
            <w:r w:rsidRPr="00BE13FE">
              <w:rPr>
                <w:rFonts w:ascii="Times New Roman" w:hAnsi="Times New Roman" w:cs="Times New Roman"/>
                <w:sz w:val="24"/>
                <w:szCs w:val="24"/>
              </w:rPr>
              <w:t xml:space="preserve">datiem, liela daļa no izdienas pensionāru skaita, kuri nav sasnieguši </w:t>
            </w:r>
            <w:r w:rsidR="00F15E13">
              <w:rPr>
                <w:rFonts w:ascii="Times New Roman" w:hAnsi="Times New Roman" w:cs="Times New Roman"/>
                <w:sz w:val="24"/>
                <w:szCs w:val="24"/>
              </w:rPr>
              <w:t>valsts noteikto vispārējo pensionēšanās vecumu</w:t>
            </w:r>
            <w:r w:rsidRPr="00BE13FE">
              <w:rPr>
                <w:rFonts w:ascii="Times New Roman" w:hAnsi="Times New Roman" w:cs="Times New Roman"/>
                <w:sz w:val="24"/>
                <w:szCs w:val="24"/>
              </w:rPr>
              <w:t xml:space="preserve">, turpina strādāt. Piemēram, 2014. gada decembrī, 94 % no </w:t>
            </w:r>
            <w:proofErr w:type="spellStart"/>
            <w:r w:rsidRPr="00BE13FE">
              <w:rPr>
                <w:rFonts w:ascii="Times New Roman" w:hAnsi="Times New Roman" w:cs="Times New Roman"/>
                <w:sz w:val="24"/>
                <w:szCs w:val="24"/>
              </w:rPr>
              <w:t>iekšlietu</w:t>
            </w:r>
            <w:proofErr w:type="spellEnd"/>
            <w:r w:rsidRPr="00BE13FE">
              <w:rPr>
                <w:rFonts w:ascii="Times New Roman" w:hAnsi="Times New Roman" w:cs="Times New Roman"/>
                <w:sz w:val="24"/>
                <w:szCs w:val="24"/>
              </w:rPr>
              <w:t xml:space="preserve"> iestāžu darbiniekiem, kuriem piešķirta izdienas pensija, vēl nav sasnieguši </w:t>
            </w:r>
            <w:r w:rsidR="00F15E13">
              <w:rPr>
                <w:rFonts w:ascii="Times New Roman" w:hAnsi="Times New Roman" w:cs="Times New Roman"/>
                <w:sz w:val="24"/>
                <w:szCs w:val="24"/>
              </w:rPr>
              <w:t>pensionēšanās vecumu</w:t>
            </w:r>
            <w:r w:rsidRPr="00BE13FE">
              <w:rPr>
                <w:rFonts w:ascii="Times New Roman" w:hAnsi="Times New Roman" w:cs="Times New Roman"/>
                <w:sz w:val="24"/>
                <w:szCs w:val="24"/>
              </w:rPr>
              <w:t xml:space="preserve">, no tiem 59,9 % turpina strādāt arī pēc izdienas pensijas piešķiršanas. No prokuroriem, kuriem piešķirta izdienas pensija, 33% nav sasnieguši </w:t>
            </w:r>
            <w:r w:rsidR="00F15E13">
              <w:rPr>
                <w:rFonts w:ascii="Times New Roman" w:hAnsi="Times New Roman" w:cs="Times New Roman"/>
                <w:sz w:val="24"/>
                <w:szCs w:val="24"/>
              </w:rPr>
              <w:t>pensionēšanās vecumu</w:t>
            </w:r>
            <w:r w:rsidRPr="00BE13FE">
              <w:rPr>
                <w:rFonts w:ascii="Times New Roman" w:hAnsi="Times New Roman" w:cs="Times New Roman"/>
                <w:sz w:val="24"/>
                <w:szCs w:val="24"/>
              </w:rPr>
              <w:t>, no tiem 31,6 % turpina strādāt. Savukārt 92 % kultūras darbinieku ir vecumā zem vispārējā pensionēšanās vecuma un 62,8 % kultūras darbinieku izdi</w:t>
            </w:r>
            <w:r>
              <w:rPr>
                <w:rFonts w:ascii="Times New Roman" w:hAnsi="Times New Roman" w:cs="Times New Roman"/>
                <w:sz w:val="24"/>
                <w:szCs w:val="24"/>
              </w:rPr>
              <w:t>enas pensionāru turpina strādāt</w:t>
            </w:r>
            <w:r w:rsidRPr="00BE13FE">
              <w:rPr>
                <w:rFonts w:ascii="Times New Roman" w:hAnsi="Times New Roman" w:cs="Times New Roman"/>
                <w:sz w:val="24"/>
                <w:szCs w:val="24"/>
              </w:rPr>
              <w:t>).</w:t>
            </w:r>
          </w:p>
        </w:tc>
      </w:tr>
      <w:tr w:rsidR="00CC1A56" w:rsidRPr="00EE2B27" w14:paraId="2A09749D" w14:textId="77777777" w:rsidTr="0089655E">
        <w:trPr>
          <w:trHeight w:val="523"/>
        </w:trPr>
        <w:tc>
          <w:tcPr>
            <w:tcW w:w="431" w:type="dxa"/>
          </w:tcPr>
          <w:p w14:paraId="4FF014B5" w14:textId="77777777" w:rsidR="00CC1A56" w:rsidRPr="00EE2B27" w:rsidRDefault="00CC1A56" w:rsidP="00165CC2">
            <w:pPr>
              <w:pStyle w:val="naiskr"/>
              <w:spacing w:before="0" w:beforeAutospacing="0" w:after="0" w:afterAutospacing="0"/>
              <w:ind w:left="57" w:right="57"/>
              <w:jc w:val="both"/>
            </w:pPr>
            <w:r w:rsidRPr="00EE2B27">
              <w:lastRenderedPageBreak/>
              <w:t>2.</w:t>
            </w:r>
          </w:p>
        </w:tc>
        <w:tc>
          <w:tcPr>
            <w:tcW w:w="2825" w:type="dxa"/>
          </w:tcPr>
          <w:p w14:paraId="48573234" w14:textId="77777777" w:rsidR="00CC1A56" w:rsidRPr="00EE2B27" w:rsidRDefault="00CC1A56" w:rsidP="00165CC2">
            <w:pPr>
              <w:pStyle w:val="naiskr"/>
              <w:spacing w:before="0" w:beforeAutospacing="0" w:after="0" w:afterAutospacing="0"/>
              <w:ind w:left="57" w:right="57"/>
            </w:pPr>
            <w:r w:rsidRPr="00EE2B27">
              <w:t>Tiesiskā regulējuma ietekme uz tautsaimniecību un administratīvo slogu</w:t>
            </w:r>
          </w:p>
        </w:tc>
        <w:tc>
          <w:tcPr>
            <w:tcW w:w="6378" w:type="dxa"/>
          </w:tcPr>
          <w:p w14:paraId="542DD58C" w14:textId="77777777" w:rsidR="00CC1A56" w:rsidRPr="00EE2B27" w:rsidRDefault="00A22686" w:rsidP="00165CC2">
            <w:pPr>
              <w:shd w:val="clear" w:color="auto" w:fill="FFFFFF"/>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 xml:space="preserve">Kopumā sabiedrības </w:t>
            </w:r>
            <w:r w:rsidR="00F21C20" w:rsidRPr="00EE2B27">
              <w:rPr>
                <w:rFonts w:ascii="Times New Roman" w:hAnsi="Times New Roman" w:cs="Times New Roman"/>
                <w:sz w:val="24"/>
                <w:szCs w:val="24"/>
              </w:rPr>
              <w:t>grupām un institūcijām projekta tiesiskais regulējums nemaina tiesības un pienākumus, kā arī veicamās darbības.</w:t>
            </w:r>
          </w:p>
          <w:p w14:paraId="7D6641D5" w14:textId="77777777" w:rsidR="00A22686" w:rsidRPr="00EE2B27" w:rsidRDefault="00A22686" w:rsidP="00165CC2">
            <w:pPr>
              <w:shd w:val="clear" w:color="auto" w:fill="FFFFFF"/>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 xml:space="preserve">Papildus jau tiek plānots apmācību pasākumos ieviest atbalstu reģionālajai mobilitātei, lai veicinātu klientu mobilitāti un iespēju sasniegt apmācību vietas. </w:t>
            </w:r>
          </w:p>
          <w:p w14:paraId="56F890BF" w14:textId="087D90C9" w:rsidR="003E5B4D" w:rsidRPr="00EE2B27" w:rsidRDefault="003E5B4D" w:rsidP="00165CC2">
            <w:pPr>
              <w:shd w:val="clear" w:color="auto" w:fill="FFFFFF"/>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 xml:space="preserve">Sabiedrības </w:t>
            </w:r>
            <w:proofErr w:type="spellStart"/>
            <w:r w:rsidRPr="00EE2B27">
              <w:rPr>
                <w:rFonts w:ascii="Times New Roman" w:hAnsi="Times New Roman" w:cs="Times New Roman"/>
                <w:sz w:val="24"/>
                <w:szCs w:val="24"/>
              </w:rPr>
              <w:t>mērķgrupai</w:t>
            </w:r>
            <w:proofErr w:type="spellEnd"/>
            <w:r w:rsidRPr="00EE2B27">
              <w:rPr>
                <w:rFonts w:ascii="Times New Roman" w:hAnsi="Times New Roman" w:cs="Times New Roman"/>
                <w:sz w:val="24"/>
                <w:szCs w:val="24"/>
              </w:rPr>
              <w:t xml:space="preserve"> (tiek plānots, ka reģionālās mobilitātes atbalstam varētu pieteikties vidēji 2% no visiem pasākumu dalībniekiem), atbilstoši MK noteikumu projekta </w:t>
            </w:r>
            <w:r w:rsidR="00D1071D">
              <w:rPr>
                <w:rFonts w:ascii="Times New Roman" w:hAnsi="Times New Roman" w:cs="Times New Roman"/>
                <w:sz w:val="24"/>
                <w:szCs w:val="24"/>
              </w:rPr>
              <w:t>29</w:t>
            </w:r>
            <w:r w:rsidRPr="00EE2B27">
              <w:rPr>
                <w:rFonts w:ascii="Times New Roman" w:hAnsi="Times New Roman" w:cs="Times New Roman"/>
                <w:sz w:val="24"/>
                <w:szCs w:val="24"/>
              </w:rPr>
              <w:t>.punktam,</w:t>
            </w:r>
            <w:r w:rsidR="00BE13FE" w:rsidRPr="00EE2B27">
              <w:rPr>
                <w:rFonts w:ascii="Times New Roman" w:hAnsi="Times New Roman" w:cs="Times New Roman"/>
                <w:sz w:val="24"/>
                <w:szCs w:val="24"/>
              </w:rPr>
              <w:t xml:space="preserve"> </w:t>
            </w:r>
            <w:r w:rsidR="00BE13FE">
              <w:rPr>
                <w:rFonts w:ascii="Times New Roman" w:eastAsia="Calibri" w:hAnsi="Times New Roman" w:cs="Times New Roman"/>
                <w:sz w:val="24"/>
                <w:szCs w:val="24"/>
              </w:rPr>
              <w:t>bezdarba riskam pakļautajām personām</w:t>
            </w:r>
            <w:r w:rsidRPr="00EE2B27">
              <w:rPr>
                <w:rFonts w:ascii="Times New Roman" w:hAnsi="Times New Roman" w:cs="Times New Roman"/>
                <w:sz w:val="24"/>
                <w:szCs w:val="24"/>
              </w:rPr>
              <w:t>, lai saņemtu atbalstu reģionālai mobilitātei iesniedz:</w:t>
            </w:r>
          </w:p>
          <w:p w14:paraId="18D5DFB5" w14:textId="77777777" w:rsidR="003E5B4D" w:rsidRPr="00EE2B27" w:rsidRDefault="003E5B4D" w:rsidP="00165CC2">
            <w:pPr>
              <w:shd w:val="clear" w:color="auto" w:fill="FFFFFF"/>
              <w:spacing w:after="0" w:line="240" w:lineRule="auto"/>
              <w:ind w:left="57" w:right="113"/>
              <w:jc w:val="both"/>
              <w:rPr>
                <w:rFonts w:ascii="Times New Roman" w:hAnsi="Times New Roman" w:cs="Times New Roman"/>
                <w:sz w:val="24"/>
                <w:szCs w:val="24"/>
              </w:rPr>
            </w:pPr>
            <w:r w:rsidRPr="00EE2B27">
              <w:rPr>
                <w:rFonts w:ascii="Times New Roman" w:hAnsi="Times New Roman" w:cs="Times New Roman"/>
                <w:sz w:val="24"/>
                <w:szCs w:val="24"/>
              </w:rPr>
              <w:t>- iesniegumu par nepieciešamo finanšu atbalstu reģionālai mobilitātei;</w:t>
            </w:r>
          </w:p>
          <w:p w14:paraId="5FF3E0F1" w14:textId="77777777" w:rsidR="004F135B" w:rsidRPr="00EE2B27" w:rsidRDefault="003E5B4D" w:rsidP="00BE13FE">
            <w:pPr>
              <w:shd w:val="clear" w:color="auto" w:fill="FFFFFF"/>
              <w:spacing w:after="0" w:line="240" w:lineRule="auto"/>
              <w:ind w:left="57" w:right="113"/>
              <w:jc w:val="both"/>
              <w:rPr>
                <w:rFonts w:ascii="Times New Roman" w:hAnsi="Times New Roman" w:cs="Times New Roman"/>
                <w:sz w:val="24"/>
                <w:szCs w:val="24"/>
                <w:lang w:eastAsia="lv-LV"/>
              </w:rPr>
            </w:pPr>
            <w:r w:rsidRPr="00EE2B27">
              <w:rPr>
                <w:rFonts w:ascii="Times New Roman" w:hAnsi="Times New Roman" w:cs="Times New Roman"/>
                <w:sz w:val="24"/>
                <w:szCs w:val="24"/>
              </w:rPr>
              <w:t xml:space="preserve">- pēc katra apmācību mēneša beigām, bet ne vēlāk kā līdz kārtējā mēneša piektajam datumam </w:t>
            </w:r>
            <w:r w:rsidR="00BE13FE">
              <w:rPr>
                <w:rFonts w:ascii="Times New Roman" w:hAnsi="Times New Roman" w:cs="Times New Roman"/>
                <w:sz w:val="24"/>
                <w:szCs w:val="24"/>
              </w:rPr>
              <w:t>bezdarba riskam pakļautā persona</w:t>
            </w:r>
            <w:r w:rsidRPr="00EE2B27">
              <w:rPr>
                <w:rFonts w:ascii="Times New Roman" w:hAnsi="Times New Roman" w:cs="Times New Roman"/>
                <w:sz w:val="24"/>
                <w:szCs w:val="24"/>
              </w:rPr>
              <w:t xml:space="preserve"> iesniedz finansējuma saņēmējam izdevumus apliecinošus dokumentus par iepriekšējo apmācību mēnesi.</w:t>
            </w:r>
          </w:p>
        </w:tc>
      </w:tr>
      <w:tr w:rsidR="00CC1A56" w:rsidRPr="00EE2B27" w14:paraId="39F13A18" w14:textId="77777777" w:rsidTr="0089655E">
        <w:trPr>
          <w:trHeight w:val="523"/>
        </w:trPr>
        <w:tc>
          <w:tcPr>
            <w:tcW w:w="431" w:type="dxa"/>
          </w:tcPr>
          <w:p w14:paraId="47CB7690" w14:textId="77777777" w:rsidR="00CC1A56" w:rsidRPr="00EE2B27" w:rsidRDefault="00CC1A56" w:rsidP="00165CC2">
            <w:pPr>
              <w:pStyle w:val="naiskr"/>
              <w:spacing w:before="0" w:beforeAutospacing="0" w:after="0" w:afterAutospacing="0"/>
              <w:ind w:left="57" w:right="57"/>
              <w:jc w:val="both"/>
            </w:pPr>
            <w:r w:rsidRPr="00EE2B27">
              <w:t>3.</w:t>
            </w:r>
          </w:p>
        </w:tc>
        <w:tc>
          <w:tcPr>
            <w:tcW w:w="2825" w:type="dxa"/>
          </w:tcPr>
          <w:p w14:paraId="63904FBF" w14:textId="77777777" w:rsidR="00CC1A56" w:rsidRPr="00EE2B27" w:rsidRDefault="00CC1A56" w:rsidP="00165CC2">
            <w:pPr>
              <w:pStyle w:val="naiskr"/>
              <w:spacing w:before="0" w:beforeAutospacing="0" w:after="0" w:afterAutospacing="0"/>
              <w:ind w:left="57" w:right="57"/>
            </w:pPr>
            <w:r w:rsidRPr="00EE2B27">
              <w:t>Administratīvo izmaksu monetārs novērtējums</w:t>
            </w:r>
          </w:p>
        </w:tc>
        <w:tc>
          <w:tcPr>
            <w:tcW w:w="6378" w:type="dxa"/>
          </w:tcPr>
          <w:p w14:paraId="32503FA2" w14:textId="77777777" w:rsidR="003E5B4D" w:rsidRPr="009E0CDC" w:rsidRDefault="003E5B4D" w:rsidP="00165CC2">
            <w:pPr>
              <w:shd w:val="clear" w:color="auto" w:fill="FFFFFF"/>
              <w:spacing w:after="0" w:line="240" w:lineRule="auto"/>
              <w:ind w:left="57" w:right="113"/>
              <w:jc w:val="both"/>
              <w:rPr>
                <w:rFonts w:ascii="Times New Roman" w:hAnsi="Times New Roman" w:cs="Times New Roman"/>
                <w:sz w:val="24"/>
                <w:szCs w:val="24"/>
              </w:rPr>
            </w:pPr>
            <w:r w:rsidRPr="009E0CDC">
              <w:rPr>
                <w:rFonts w:ascii="Times New Roman" w:hAnsi="Times New Roman" w:cs="Times New Roman"/>
                <w:sz w:val="24"/>
                <w:szCs w:val="24"/>
              </w:rPr>
              <w:t xml:space="preserve">- Iesniedzot iesniegumu par nepieciešamo finanšu atbalstu reģionālai mobilitātei: (darbaspēka atlīdzības vidējā likme * laiks, kas nepieciešams </w:t>
            </w:r>
            <w:r w:rsidR="00B3205B" w:rsidRPr="009E0CDC">
              <w:rPr>
                <w:rFonts w:ascii="Times New Roman" w:hAnsi="Times New Roman" w:cs="Times New Roman"/>
                <w:sz w:val="24"/>
                <w:szCs w:val="24"/>
              </w:rPr>
              <w:t>bezdarba riskam pakļautai personai</w:t>
            </w:r>
            <w:r w:rsidRPr="009E0CDC">
              <w:rPr>
                <w:rFonts w:ascii="Times New Roman" w:hAnsi="Times New Roman" w:cs="Times New Roman"/>
                <w:sz w:val="24"/>
                <w:szCs w:val="24"/>
              </w:rPr>
              <w:t>, lai sagatavotu iesniegumu) * (</w:t>
            </w:r>
            <w:r w:rsidR="00B3205B" w:rsidRPr="009E0CDC">
              <w:rPr>
                <w:rFonts w:ascii="Times New Roman" w:hAnsi="Times New Roman" w:cs="Times New Roman"/>
                <w:sz w:val="24"/>
                <w:szCs w:val="24"/>
              </w:rPr>
              <w:t>bezdarba riskam pakļauto personu</w:t>
            </w:r>
            <w:r w:rsidRPr="009E0CDC">
              <w:rPr>
                <w:rFonts w:ascii="Times New Roman" w:hAnsi="Times New Roman" w:cs="Times New Roman"/>
                <w:sz w:val="24"/>
                <w:szCs w:val="24"/>
              </w:rPr>
              <w:t xml:space="preserve"> skaits, kas varētu pieteikties uz atbalstu reģionālai mobilitātei * iesniegumu sagatavošanas biežums) + transporta izdevumi, kas radušies </w:t>
            </w:r>
            <w:r w:rsidR="00B3205B" w:rsidRPr="009E0CDC">
              <w:rPr>
                <w:rFonts w:ascii="Times New Roman" w:hAnsi="Times New Roman" w:cs="Times New Roman"/>
                <w:sz w:val="24"/>
                <w:szCs w:val="24"/>
              </w:rPr>
              <w:t>bezdarba riskam pakļautai personai</w:t>
            </w:r>
            <w:r w:rsidRPr="009E0CDC">
              <w:rPr>
                <w:rFonts w:ascii="Times New Roman" w:hAnsi="Times New Roman" w:cs="Times New Roman"/>
                <w:sz w:val="24"/>
                <w:szCs w:val="24"/>
              </w:rPr>
              <w:t xml:space="preserve">, nogādājot iesniegumu </w:t>
            </w:r>
            <w:r w:rsidR="00B3205B" w:rsidRPr="009E0CDC">
              <w:rPr>
                <w:rFonts w:ascii="Times New Roman" w:hAnsi="Times New Roman" w:cs="Times New Roman"/>
                <w:sz w:val="24"/>
                <w:szCs w:val="24"/>
              </w:rPr>
              <w:t xml:space="preserve">Nodarbinātības valsts </w:t>
            </w:r>
            <w:r w:rsidRPr="009E0CDC">
              <w:rPr>
                <w:rFonts w:ascii="Times New Roman" w:hAnsi="Times New Roman" w:cs="Times New Roman"/>
                <w:sz w:val="24"/>
                <w:szCs w:val="24"/>
              </w:rPr>
              <w:t>aģentūrā = (5,09*0,5) * (</w:t>
            </w:r>
            <w:r w:rsidR="009E0CDC" w:rsidRPr="009E0CDC">
              <w:rPr>
                <w:rFonts w:ascii="Times New Roman" w:hAnsi="Times New Roman" w:cs="Times New Roman"/>
                <w:sz w:val="24"/>
                <w:szCs w:val="24"/>
              </w:rPr>
              <w:t>200</w:t>
            </w:r>
            <w:r w:rsidRPr="009E0CDC">
              <w:rPr>
                <w:rFonts w:ascii="Times New Roman" w:hAnsi="Times New Roman" w:cs="Times New Roman"/>
                <w:sz w:val="24"/>
                <w:szCs w:val="24"/>
              </w:rPr>
              <w:t>*1) + (2*</w:t>
            </w:r>
            <w:r w:rsidR="009E0CDC" w:rsidRPr="009E0CDC">
              <w:rPr>
                <w:rFonts w:ascii="Times New Roman" w:hAnsi="Times New Roman" w:cs="Times New Roman"/>
                <w:sz w:val="24"/>
                <w:szCs w:val="24"/>
              </w:rPr>
              <w:t>200</w:t>
            </w:r>
            <w:r w:rsidRPr="009E0CDC">
              <w:rPr>
                <w:rFonts w:ascii="Times New Roman" w:hAnsi="Times New Roman" w:cs="Times New Roman"/>
                <w:sz w:val="24"/>
                <w:szCs w:val="24"/>
              </w:rPr>
              <w:t xml:space="preserve">) = </w:t>
            </w:r>
            <w:r w:rsidR="009E0CDC" w:rsidRPr="009E0CDC">
              <w:rPr>
                <w:rFonts w:ascii="Times New Roman" w:hAnsi="Times New Roman" w:cs="Times New Roman"/>
                <w:sz w:val="24"/>
                <w:szCs w:val="24"/>
              </w:rPr>
              <w:t>509</w:t>
            </w:r>
            <w:r w:rsidRPr="009E0CDC">
              <w:rPr>
                <w:rFonts w:ascii="Times New Roman" w:hAnsi="Times New Roman" w:cs="Times New Roman"/>
                <w:sz w:val="24"/>
                <w:szCs w:val="24"/>
              </w:rPr>
              <w:t xml:space="preserve"> + </w:t>
            </w:r>
            <w:r w:rsidR="009E0CDC" w:rsidRPr="009E0CDC">
              <w:rPr>
                <w:rFonts w:ascii="Times New Roman" w:hAnsi="Times New Roman" w:cs="Times New Roman"/>
                <w:sz w:val="24"/>
                <w:szCs w:val="24"/>
              </w:rPr>
              <w:t>400</w:t>
            </w:r>
            <w:r w:rsidRPr="009E0CDC">
              <w:rPr>
                <w:rFonts w:ascii="Times New Roman" w:hAnsi="Times New Roman" w:cs="Times New Roman"/>
                <w:sz w:val="24"/>
                <w:szCs w:val="24"/>
              </w:rPr>
              <w:t xml:space="preserve"> = EUR </w:t>
            </w:r>
            <w:r w:rsidR="009E0CDC" w:rsidRPr="009E0CDC">
              <w:rPr>
                <w:rFonts w:ascii="Times New Roman" w:hAnsi="Times New Roman" w:cs="Times New Roman"/>
                <w:sz w:val="24"/>
                <w:szCs w:val="24"/>
              </w:rPr>
              <w:t>909</w:t>
            </w:r>
            <w:r w:rsidRPr="009E0CDC">
              <w:rPr>
                <w:rFonts w:ascii="Times New Roman" w:hAnsi="Times New Roman" w:cs="Times New Roman"/>
                <w:sz w:val="24"/>
                <w:szCs w:val="24"/>
              </w:rPr>
              <w:t>;</w:t>
            </w:r>
          </w:p>
          <w:p w14:paraId="4BA5FD3F" w14:textId="77777777" w:rsidR="00CC1A56" w:rsidRPr="00EE2B27" w:rsidRDefault="003E5B4D" w:rsidP="009E0CDC">
            <w:pPr>
              <w:shd w:val="clear" w:color="auto" w:fill="FFFFFF"/>
              <w:spacing w:after="0" w:line="240" w:lineRule="auto"/>
              <w:ind w:left="57" w:right="113"/>
              <w:jc w:val="both"/>
              <w:rPr>
                <w:rFonts w:ascii="Times New Roman" w:hAnsi="Times New Roman" w:cs="Times New Roman"/>
                <w:sz w:val="24"/>
                <w:szCs w:val="24"/>
              </w:rPr>
            </w:pPr>
            <w:r w:rsidRPr="009E0CDC">
              <w:rPr>
                <w:rFonts w:ascii="Times New Roman" w:hAnsi="Times New Roman" w:cs="Times New Roman"/>
                <w:sz w:val="24"/>
                <w:szCs w:val="24"/>
              </w:rPr>
              <w:t>- Sniedzot pēc katra apmācību mēneša beigām, bet ne vēlāk kā līdz kārtējā mēneša piektajam datumam izdevumus apliecinošus dokumentus par iepriekšējo apmācību mēnesi: (darbaspēka atlīdzības vidējā likme * laiks, kas nepieciešams</w:t>
            </w:r>
            <w:r w:rsidR="00B3205B" w:rsidRPr="009E0CDC">
              <w:rPr>
                <w:rFonts w:ascii="Times New Roman" w:hAnsi="Times New Roman" w:cs="Times New Roman"/>
                <w:sz w:val="24"/>
                <w:szCs w:val="24"/>
              </w:rPr>
              <w:t xml:space="preserve"> bezdarba riskam pakļautai personai</w:t>
            </w:r>
            <w:r w:rsidRPr="009E0CDC">
              <w:rPr>
                <w:rFonts w:ascii="Times New Roman" w:hAnsi="Times New Roman" w:cs="Times New Roman"/>
                <w:sz w:val="24"/>
                <w:szCs w:val="24"/>
              </w:rPr>
              <w:t>, lai sagatavotu nepieciešamo informāciju par izdevumus apliecinošiem dokumentiem) * (</w:t>
            </w:r>
            <w:r w:rsidR="00B3205B" w:rsidRPr="009E0CDC">
              <w:rPr>
                <w:rFonts w:ascii="Times New Roman" w:hAnsi="Times New Roman" w:cs="Times New Roman"/>
                <w:sz w:val="24"/>
                <w:szCs w:val="24"/>
              </w:rPr>
              <w:t xml:space="preserve"> bezdarba riskam pakļauto personu </w:t>
            </w:r>
            <w:r w:rsidRPr="009E0CDC">
              <w:rPr>
                <w:rFonts w:ascii="Times New Roman" w:hAnsi="Times New Roman" w:cs="Times New Roman"/>
                <w:sz w:val="24"/>
                <w:szCs w:val="24"/>
              </w:rPr>
              <w:t>skaits, kas saņem atbalstu reģionālai mobilitātei</w:t>
            </w:r>
            <w:r w:rsidR="00B3205B" w:rsidRPr="009E0CDC">
              <w:rPr>
                <w:rFonts w:ascii="Times New Roman" w:hAnsi="Times New Roman" w:cs="Times New Roman"/>
                <w:sz w:val="24"/>
                <w:szCs w:val="24"/>
              </w:rPr>
              <w:t xml:space="preserve"> </w:t>
            </w:r>
            <w:r w:rsidRPr="009E0CDC">
              <w:rPr>
                <w:rFonts w:ascii="Times New Roman" w:hAnsi="Times New Roman" w:cs="Times New Roman"/>
                <w:sz w:val="24"/>
                <w:szCs w:val="24"/>
              </w:rPr>
              <w:t>*</w:t>
            </w:r>
            <w:r w:rsidR="00B3205B" w:rsidRPr="009E0CDC">
              <w:rPr>
                <w:rFonts w:ascii="Times New Roman" w:hAnsi="Times New Roman" w:cs="Times New Roman"/>
                <w:sz w:val="24"/>
                <w:szCs w:val="24"/>
              </w:rPr>
              <w:t xml:space="preserve"> </w:t>
            </w:r>
            <w:r w:rsidRPr="009E0CDC">
              <w:rPr>
                <w:rFonts w:ascii="Times New Roman" w:hAnsi="Times New Roman" w:cs="Times New Roman"/>
                <w:sz w:val="24"/>
                <w:szCs w:val="24"/>
              </w:rPr>
              <w:t>informācijas sagatavošanas biežums) + transporta izdevumi, kas radušies bezdarbniekam, nogādājot informāciju aģentūrā, + izdevumi par kopiju izgatavošanu = (5,09*0,5) * (</w:t>
            </w:r>
            <w:r w:rsidR="009E0CDC" w:rsidRPr="009E0CDC">
              <w:rPr>
                <w:rFonts w:ascii="Times New Roman" w:hAnsi="Times New Roman" w:cs="Times New Roman"/>
                <w:sz w:val="24"/>
                <w:szCs w:val="24"/>
              </w:rPr>
              <w:t>200</w:t>
            </w:r>
            <w:r w:rsidR="008D7EEB" w:rsidRPr="009E0CDC">
              <w:rPr>
                <w:rFonts w:ascii="Times New Roman" w:hAnsi="Times New Roman" w:cs="Times New Roman"/>
                <w:sz w:val="24"/>
                <w:szCs w:val="24"/>
              </w:rPr>
              <w:t>*</w:t>
            </w:r>
            <w:r w:rsidR="009E0CDC" w:rsidRPr="009E0CDC">
              <w:rPr>
                <w:rFonts w:ascii="Times New Roman" w:hAnsi="Times New Roman" w:cs="Times New Roman"/>
                <w:sz w:val="24"/>
                <w:szCs w:val="24"/>
              </w:rPr>
              <w:t>2</w:t>
            </w:r>
            <w:r w:rsidRPr="009E0CDC">
              <w:rPr>
                <w:rFonts w:ascii="Times New Roman" w:hAnsi="Times New Roman" w:cs="Times New Roman"/>
                <w:sz w:val="24"/>
                <w:szCs w:val="24"/>
              </w:rPr>
              <w:t>) + ((1+2)*</w:t>
            </w:r>
            <w:r w:rsidR="009E0CDC" w:rsidRPr="009E0CDC">
              <w:rPr>
                <w:rFonts w:ascii="Times New Roman" w:hAnsi="Times New Roman" w:cs="Times New Roman"/>
                <w:sz w:val="24"/>
                <w:szCs w:val="24"/>
              </w:rPr>
              <w:t>200</w:t>
            </w:r>
            <w:r w:rsidRPr="009E0CDC">
              <w:rPr>
                <w:rFonts w:ascii="Times New Roman" w:hAnsi="Times New Roman" w:cs="Times New Roman"/>
                <w:sz w:val="24"/>
                <w:szCs w:val="24"/>
              </w:rPr>
              <w:t xml:space="preserve">) = </w:t>
            </w:r>
            <w:r w:rsidR="009E0CDC" w:rsidRPr="009E0CDC">
              <w:rPr>
                <w:rFonts w:ascii="Times New Roman" w:hAnsi="Times New Roman" w:cs="Times New Roman"/>
                <w:sz w:val="24"/>
                <w:szCs w:val="24"/>
              </w:rPr>
              <w:t>1 018</w:t>
            </w:r>
            <w:r w:rsidRPr="009E0CDC">
              <w:rPr>
                <w:rFonts w:ascii="Times New Roman" w:hAnsi="Times New Roman" w:cs="Times New Roman"/>
                <w:sz w:val="24"/>
                <w:szCs w:val="24"/>
              </w:rPr>
              <w:t xml:space="preserve"> + </w:t>
            </w:r>
            <w:r w:rsidR="009E0CDC" w:rsidRPr="009E0CDC">
              <w:rPr>
                <w:rFonts w:ascii="Times New Roman" w:hAnsi="Times New Roman" w:cs="Times New Roman"/>
                <w:sz w:val="24"/>
                <w:szCs w:val="24"/>
              </w:rPr>
              <w:t>400</w:t>
            </w:r>
            <w:r w:rsidR="008D7EEB" w:rsidRPr="009E0CDC">
              <w:rPr>
                <w:rFonts w:ascii="Times New Roman" w:hAnsi="Times New Roman" w:cs="Times New Roman"/>
                <w:sz w:val="24"/>
                <w:szCs w:val="24"/>
              </w:rPr>
              <w:t xml:space="preserve"> </w:t>
            </w:r>
            <w:r w:rsidRPr="009E0CDC">
              <w:rPr>
                <w:rFonts w:ascii="Times New Roman" w:hAnsi="Times New Roman" w:cs="Times New Roman"/>
                <w:sz w:val="24"/>
                <w:szCs w:val="24"/>
              </w:rPr>
              <w:t xml:space="preserve">= </w:t>
            </w:r>
            <w:r w:rsidR="008D7EEB" w:rsidRPr="009E0CDC">
              <w:rPr>
                <w:rFonts w:ascii="Times New Roman" w:hAnsi="Times New Roman" w:cs="Times New Roman"/>
                <w:sz w:val="24"/>
                <w:szCs w:val="24"/>
              </w:rPr>
              <w:t xml:space="preserve">EUR </w:t>
            </w:r>
            <w:r w:rsidR="009E0CDC" w:rsidRPr="009E0CDC">
              <w:rPr>
                <w:rFonts w:ascii="Times New Roman" w:hAnsi="Times New Roman" w:cs="Times New Roman"/>
                <w:sz w:val="24"/>
                <w:szCs w:val="24"/>
              </w:rPr>
              <w:t>1 418</w:t>
            </w:r>
            <w:r w:rsidRPr="009E0CDC">
              <w:rPr>
                <w:rFonts w:ascii="Times New Roman" w:hAnsi="Times New Roman" w:cs="Times New Roman"/>
                <w:sz w:val="24"/>
                <w:szCs w:val="24"/>
              </w:rPr>
              <w:t>.</w:t>
            </w:r>
          </w:p>
        </w:tc>
      </w:tr>
      <w:tr w:rsidR="00CC1A56" w:rsidRPr="00EE2B27" w14:paraId="71BCA1A7" w14:textId="77777777" w:rsidTr="0089655E">
        <w:trPr>
          <w:trHeight w:val="357"/>
        </w:trPr>
        <w:tc>
          <w:tcPr>
            <w:tcW w:w="431" w:type="dxa"/>
          </w:tcPr>
          <w:p w14:paraId="764E8D3F" w14:textId="77777777" w:rsidR="00CC1A56" w:rsidRPr="00EE2B27" w:rsidRDefault="00CC1A56" w:rsidP="00165CC2">
            <w:pPr>
              <w:pStyle w:val="naiskr"/>
              <w:spacing w:before="0" w:beforeAutospacing="0" w:after="0" w:afterAutospacing="0"/>
              <w:ind w:left="57" w:right="57"/>
              <w:jc w:val="both"/>
            </w:pPr>
            <w:r w:rsidRPr="00EE2B27">
              <w:t>4.</w:t>
            </w:r>
          </w:p>
        </w:tc>
        <w:tc>
          <w:tcPr>
            <w:tcW w:w="2825" w:type="dxa"/>
          </w:tcPr>
          <w:p w14:paraId="3E8DA49F" w14:textId="77777777" w:rsidR="00CC1A56" w:rsidRPr="00EE2B27" w:rsidRDefault="00CC1A56" w:rsidP="00165CC2">
            <w:pPr>
              <w:pStyle w:val="naiskr"/>
              <w:spacing w:before="0" w:beforeAutospacing="0" w:after="0" w:afterAutospacing="0"/>
              <w:ind w:left="57" w:right="57"/>
            </w:pPr>
            <w:r w:rsidRPr="00EE2B27">
              <w:t>Cita informācija</w:t>
            </w:r>
          </w:p>
        </w:tc>
        <w:tc>
          <w:tcPr>
            <w:tcW w:w="6378" w:type="dxa"/>
          </w:tcPr>
          <w:p w14:paraId="5AF12F9E" w14:textId="77777777" w:rsidR="00CC1A56" w:rsidRPr="00EE2B27" w:rsidRDefault="00BE13FE" w:rsidP="00BE13FE">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Pasākuma ietvaros nav paredzēta koordinācija ar ES stratēģijas Baltijas jūras reģionam projektiem</w:t>
            </w:r>
            <w:r w:rsidR="007F44BF" w:rsidRPr="00EE2B27">
              <w:rPr>
                <w:rFonts w:ascii="Times New Roman" w:hAnsi="Times New Roman" w:cs="Times New Roman"/>
                <w:sz w:val="24"/>
                <w:szCs w:val="24"/>
              </w:rPr>
              <w:t>.</w:t>
            </w:r>
          </w:p>
        </w:tc>
      </w:tr>
    </w:tbl>
    <w:p w14:paraId="6C927B07" w14:textId="77777777" w:rsidR="00935C43" w:rsidRPr="00EE2B27" w:rsidRDefault="00935C43" w:rsidP="00165CC2">
      <w:pPr>
        <w:spacing w:after="0" w:line="240" w:lineRule="auto"/>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1276"/>
        <w:gridCol w:w="1275"/>
        <w:gridCol w:w="1418"/>
        <w:gridCol w:w="1422"/>
      </w:tblGrid>
      <w:tr w:rsidR="005A7179" w:rsidRPr="00EE2B27" w14:paraId="2A28CAD0" w14:textId="77777777" w:rsidTr="0089655E">
        <w:trPr>
          <w:trHeight w:val="361"/>
          <w:jc w:val="center"/>
        </w:trPr>
        <w:tc>
          <w:tcPr>
            <w:tcW w:w="9639" w:type="dxa"/>
            <w:gridSpan w:val="6"/>
            <w:vAlign w:val="center"/>
          </w:tcPr>
          <w:p w14:paraId="4A86A305" w14:textId="77777777" w:rsidR="005A7179" w:rsidRPr="00EE2B27" w:rsidRDefault="005A7179" w:rsidP="00165CC2">
            <w:pPr>
              <w:pStyle w:val="naisnod"/>
              <w:spacing w:before="0" w:beforeAutospacing="0" w:after="0" w:afterAutospacing="0"/>
              <w:jc w:val="center"/>
              <w:rPr>
                <w:b/>
                <w:i/>
              </w:rPr>
            </w:pPr>
            <w:r w:rsidRPr="00EE2B27">
              <w:br w:type="page"/>
            </w:r>
            <w:r w:rsidRPr="00EE2B27">
              <w:rPr>
                <w:b/>
              </w:rPr>
              <w:t>III. Tiesību akta projekta ietekme uz valsts budžetu un pašvaldību budžetiem</w:t>
            </w:r>
          </w:p>
        </w:tc>
      </w:tr>
      <w:tr w:rsidR="005A7179" w:rsidRPr="00EE2B27" w14:paraId="26E4D421" w14:textId="77777777" w:rsidTr="00883BC7">
        <w:trPr>
          <w:jc w:val="center"/>
        </w:trPr>
        <w:tc>
          <w:tcPr>
            <w:tcW w:w="3114" w:type="dxa"/>
            <w:vMerge w:val="restart"/>
            <w:vAlign w:val="center"/>
          </w:tcPr>
          <w:p w14:paraId="79F958CA" w14:textId="77777777" w:rsidR="003F700D" w:rsidRPr="00EE2B27" w:rsidRDefault="005A7179" w:rsidP="00165CC2">
            <w:pPr>
              <w:pStyle w:val="naisf"/>
              <w:spacing w:before="0" w:beforeAutospacing="0" w:after="0" w:afterAutospacing="0"/>
              <w:jc w:val="center"/>
              <w:rPr>
                <w:b/>
              </w:rPr>
            </w:pPr>
            <w:r w:rsidRPr="00EE2B27">
              <w:rPr>
                <w:b/>
              </w:rPr>
              <w:t>Rādītāji</w:t>
            </w:r>
          </w:p>
          <w:p w14:paraId="6DD0254E" w14:textId="77777777" w:rsidR="003F700D" w:rsidRPr="00EE2B27" w:rsidRDefault="003F700D" w:rsidP="00165CC2">
            <w:pPr>
              <w:spacing w:after="0" w:line="240" w:lineRule="auto"/>
              <w:rPr>
                <w:rFonts w:ascii="Times New Roman" w:hAnsi="Times New Roman" w:cs="Times New Roman"/>
                <w:sz w:val="24"/>
                <w:szCs w:val="24"/>
                <w:lang w:eastAsia="lv-LV"/>
              </w:rPr>
            </w:pPr>
          </w:p>
          <w:p w14:paraId="65341F23" w14:textId="77777777" w:rsidR="003F700D" w:rsidRPr="00EE2B27" w:rsidRDefault="003F700D" w:rsidP="00165CC2">
            <w:pPr>
              <w:spacing w:after="0" w:line="240" w:lineRule="auto"/>
              <w:rPr>
                <w:rFonts w:ascii="Times New Roman" w:hAnsi="Times New Roman" w:cs="Times New Roman"/>
                <w:sz w:val="24"/>
                <w:szCs w:val="24"/>
                <w:lang w:eastAsia="lv-LV"/>
              </w:rPr>
            </w:pPr>
          </w:p>
          <w:p w14:paraId="1B9B8105" w14:textId="77777777" w:rsidR="00EE0D9F" w:rsidRPr="00EE2B27" w:rsidRDefault="00EE0D9F" w:rsidP="00165CC2">
            <w:pPr>
              <w:spacing w:after="0" w:line="240" w:lineRule="auto"/>
              <w:rPr>
                <w:rFonts w:ascii="Times New Roman" w:hAnsi="Times New Roman" w:cs="Times New Roman"/>
                <w:sz w:val="24"/>
                <w:szCs w:val="24"/>
                <w:lang w:eastAsia="lv-LV"/>
              </w:rPr>
            </w:pPr>
          </w:p>
          <w:p w14:paraId="37B16798" w14:textId="77777777" w:rsidR="005A7179" w:rsidRPr="00EE2B27" w:rsidRDefault="005A7179" w:rsidP="00165CC2">
            <w:pPr>
              <w:spacing w:after="0" w:line="240" w:lineRule="auto"/>
              <w:rPr>
                <w:rFonts w:ascii="Times New Roman" w:hAnsi="Times New Roman" w:cs="Times New Roman"/>
                <w:sz w:val="24"/>
                <w:szCs w:val="24"/>
                <w:lang w:eastAsia="lv-LV"/>
              </w:rPr>
            </w:pPr>
          </w:p>
        </w:tc>
        <w:tc>
          <w:tcPr>
            <w:tcW w:w="2410" w:type="dxa"/>
            <w:gridSpan w:val="2"/>
            <w:vMerge w:val="restart"/>
            <w:vAlign w:val="center"/>
          </w:tcPr>
          <w:p w14:paraId="2BE016B3" w14:textId="77777777" w:rsidR="005A7179" w:rsidRPr="00EE2B27" w:rsidRDefault="005A7179" w:rsidP="00E12034">
            <w:pPr>
              <w:pStyle w:val="naisf"/>
              <w:spacing w:before="0" w:beforeAutospacing="0" w:after="0" w:afterAutospacing="0"/>
              <w:jc w:val="center"/>
              <w:rPr>
                <w:b/>
              </w:rPr>
            </w:pPr>
            <w:r w:rsidRPr="00EE2B27">
              <w:rPr>
                <w:b/>
              </w:rPr>
              <w:t>201</w:t>
            </w:r>
            <w:r w:rsidR="00E12034">
              <w:rPr>
                <w:b/>
              </w:rPr>
              <w:t>5</w:t>
            </w:r>
            <w:r w:rsidRPr="00EE2B27">
              <w:rPr>
                <w:b/>
              </w:rPr>
              <w:t>.gads</w:t>
            </w:r>
          </w:p>
        </w:tc>
        <w:tc>
          <w:tcPr>
            <w:tcW w:w="4115" w:type="dxa"/>
            <w:gridSpan w:val="3"/>
            <w:vAlign w:val="center"/>
          </w:tcPr>
          <w:p w14:paraId="4ED39AC2" w14:textId="77777777" w:rsidR="005A7179" w:rsidRPr="00EE2B27" w:rsidRDefault="005A7179" w:rsidP="00165CC2">
            <w:pPr>
              <w:pStyle w:val="naisf"/>
              <w:spacing w:before="0" w:beforeAutospacing="0" w:after="0" w:afterAutospacing="0"/>
              <w:jc w:val="center"/>
              <w:rPr>
                <w:b/>
                <w:i/>
              </w:rPr>
            </w:pPr>
            <w:r w:rsidRPr="00EE2B27">
              <w:t>Turpmākie trīs gadi (</w:t>
            </w:r>
            <w:proofErr w:type="spellStart"/>
            <w:r w:rsidRPr="00EE2B27">
              <w:rPr>
                <w:i/>
              </w:rPr>
              <w:t>euro</w:t>
            </w:r>
            <w:proofErr w:type="spellEnd"/>
            <w:r w:rsidRPr="00EE2B27">
              <w:t>)</w:t>
            </w:r>
          </w:p>
        </w:tc>
      </w:tr>
      <w:tr w:rsidR="005A7179" w:rsidRPr="00EE2B27" w14:paraId="15DD794D" w14:textId="77777777" w:rsidTr="00883BC7">
        <w:trPr>
          <w:jc w:val="center"/>
        </w:trPr>
        <w:tc>
          <w:tcPr>
            <w:tcW w:w="3114" w:type="dxa"/>
            <w:vMerge/>
            <w:vAlign w:val="center"/>
          </w:tcPr>
          <w:p w14:paraId="33AAACB0" w14:textId="77777777" w:rsidR="005A7179" w:rsidRPr="00EE2B27" w:rsidRDefault="005A7179" w:rsidP="00165CC2">
            <w:pPr>
              <w:pStyle w:val="naisf"/>
              <w:spacing w:before="0" w:beforeAutospacing="0" w:after="0" w:afterAutospacing="0"/>
              <w:jc w:val="center"/>
              <w:rPr>
                <w:b/>
                <w:i/>
              </w:rPr>
            </w:pPr>
          </w:p>
        </w:tc>
        <w:tc>
          <w:tcPr>
            <w:tcW w:w="2410" w:type="dxa"/>
            <w:gridSpan w:val="2"/>
            <w:vMerge/>
            <w:vAlign w:val="center"/>
          </w:tcPr>
          <w:p w14:paraId="35AFA658" w14:textId="77777777" w:rsidR="005A7179" w:rsidRPr="00EE2B27" w:rsidRDefault="005A7179" w:rsidP="00165CC2">
            <w:pPr>
              <w:pStyle w:val="naisf"/>
              <w:spacing w:before="0" w:beforeAutospacing="0" w:after="0" w:afterAutospacing="0"/>
              <w:jc w:val="center"/>
              <w:rPr>
                <w:b/>
                <w:i/>
              </w:rPr>
            </w:pPr>
          </w:p>
        </w:tc>
        <w:tc>
          <w:tcPr>
            <w:tcW w:w="1275" w:type="dxa"/>
            <w:vAlign w:val="center"/>
          </w:tcPr>
          <w:p w14:paraId="2E8D3F9B" w14:textId="77777777" w:rsidR="005A7179" w:rsidRPr="00EE2B27" w:rsidRDefault="005A7179" w:rsidP="00E12034">
            <w:pPr>
              <w:pStyle w:val="naisf"/>
              <w:spacing w:before="0" w:beforeAutospacing="0" w:after="0" w:afterAutospacing="0"/>
              <w:jc w:val="center"/>
              <w:rPr>
                <w:b/>
                <w:i/>
              </w:rPr>
            </w:pPr>
            <w:r w:rsidRPr="00EE2B27">
              <w:rPr>
                <w:b/>
                <w:bCs/>
              </w:rPr>
              <w:t>201</w:t>
            </w:r>
            <w:r w:rsidR="00E12034">
              <w:rPr>
                <w:b/>
                <w:bCs/>
              </w:rPr>
              <w:t>6</w:t>
            </w:r>
            <w:r w:rsidRPr="00EE2B27">
              <w:rPr>
                <w:b/>
                <w:bCs/>
              </w:rPr>
              <w:t>.</w:t>
            </w:r>
          </w:p>
        </w:tc>
        <w:tc>
          <w:tcPr>
            <w:tcW w:w="1418" w:type="dxa"/>
            <w:vAlign w:val="center"/>
          </w:tcPr>
          <w:p w14:paraId="7BCDFBA4" w14:textId="77777777" w:rsidR="005A7179" w:rsidRPr="00EE2B27" w:rsidRDefault="005A7179" w:rsidP="00E12034">
            <w:pPr>
              <w:pStyle w:val="naisf"/>
              <w:spacing w:before="0" w:beforeAutospacing="0" w:after="0" w:afterAutospacing="0"/>
              <w:jc w:val="center"/>
              <w:rPr>
                <w:b/>
                <w:i/>
              </w:rPr>
            </w:pPr>
            <w:r w:rsidRPr="00EE2B27">
              <w:rPr>
                <w:b/>
                <w:bCs/>
              </w:rPr>
              <w:t>201</w:t>
            </w:r>
            <w:r w:rsidR="00E12034">
              <w:rPr>
                <w:b/>
                <w:bCs/>
              </w:rPr>
              <w:t>7</w:t>
            </w:r>
            <w:r w:rsidRPr="00EE2B27">
              <w:rPr>
                <w:b/>
                <w:bCs/>
              </w:rPr>
              <w:t>.</w:t>
            </w:r>
          </w:p>
        </w:tc>
        <w:tc>
          <w:tcPr>
            <w:tcW w:w="1422" w:type="dxa"/>
            <w:vAlign w:val="center"/>
          </w:tcPr>
          <w:p w14:paraId="283BB6B8" w14:textId="77777777" w:rsidR="005A7179" w:rsidRPr="00EE2B27" w:rsidRDefault="005A7179" w:rsidP="00E12034">
            <w:pPr>
              <w:pStyle w:val="naisf"/>
              <w:spacing w:before="0" w:beforeAutospacing="0" w:after="0" w:afterAutospacing="0"/>
              <w:jc w:val="center"/>
              <w:rPr>
                <w:b/>
                <w:i/>
              </w:rPr>
            </w:pPr>
            <w:r w:rsidRPr="00EE2B27">
              <w:rPr>
                <w:b/>
                <w:bCs/>
              </w:rPr>
              <w:t>201</w:t>
            </w:r>
            <w:r w:rsidR="00E12034">
              <w:rPr>
                <w:b/>
                <w:bCs/>
              </w:rPr>
              <w:t>8</w:t>
            </w:r>
            <w:r w:rsidRPr="00EE2B27">
              <w:rPr>
                <w:b/>
                <w:bCs/>
              </w:rPr>
              <w:t>.</w:t>
            </w:r>
          </w:p>
        </w:tc>
      </w:tr>
      <w:tr w:rsidR="005A7179" w:rsidRPr="00EE2B27" w14:paraId="61D4AFF8" w14:textId="77777777" w:rsidTr="00883BC7">
        <w:trPr>
          <w:jc w:val="center"/>
        </w:trPr>
        <w:tc>
          <w:tcPr>
            <w:tcW w:w="3114" w:type="dxa"/>
            <w:vMerge/>
            <w:vAlign w:val="center"/>
          </w:tcPr>
          <w:p w14:paraId="6C834B3F" w14:textId="77777777" w:rsidR="005A7179" w:rsidRPr="00EE2B27" w:rsidRDefault="005A7179" w:rsidP="00165CC2">
            <w:pPr>
              <w:pStyle w:val="naisf"/>
              <w:spacing w:before="0" w:beforeAutospacing="0" w:after="0" w:afterAutospacing="0"/>
              <w:jc w:val="center"/>
              <w:rPr>
                <w:b/>
                <w:i/>
              </w:rPr>
            </w:pPr>
          </w:p>
        </w:tc>
        <w:tc>
          <w:tcPr>
            <w:tcW w:w="1134" w:type="dxa"/>
            <w:vAlign w:val="center"/>
          </w:tcPr>
          <w:p w14:paraId="03EAACA5" w14:textId="77777777" w:rsidR="005A7179" w:rsidRPr="00EE2B27" w:rsidRDefault="005A7179" w:rsidP="00165CC2">
            <w:pPr>
              <w:pStyle w:val="naisf"/>
              <w:spacing w:before="0" w:beforeAutospacing="0" w:after="0" w:afterAutospacing="0"/>
              <w:jc w:val="center"/>
              <w:rPr>
                <w:b/>
                <w:i/>
              </w:rPr>
            </w:pPr>
            <w:r w:rsidRPr="00EE2B27">
              <w:t>saskaņā ar valsts budžetu kārtējam gadam</w:t>
            </w:r>
          </w:p>
        </w:tc>
        <w:tc>
          <w:tcPr>
            <w:tcW w:w="1276" w:type="dxa"/>
            <w:vAlign w:val="center"/>
          </w:tcPr>
          <w:p w14:paraId="5CEDFA0D" w14:textId="77777777" w:rsidR="005A7179" w:rsidRPr="00EE2B27" w:rsidRDefault="005A7179" w:rsidP="00165CC2">
            <w:pPr>
              <w:pStyle w:val="naisf"/>
              <w:spacing w:before="0" w:beforeAutospacing="0" w:after="0" w:afterAutospacing="0"/>
              <w:jc w:val="center"/>
              <w:rPr>
                <w:b/>
                <w:i/>
              </w:rPr>
            </w:pPr>
            <w:r w:rsidRPr="00EE2B27">
              <w:t xml:space="preserve">izmaiņas kārtējā gadā, salīdzinot ar valsts budžetu </w:t>
            </w:r>
            <w:r w:rsidRPr="00EE2B27">
              <w:lastRenderedPageBreak/>
              <w:t>kārtējam gadam</w:t>
            </w:r>
          </w:p>
        </w:tc>
        <w:tc>
          <w:tcPr>
            <w:tcW w:w="1275" w:type="dxa"/>
            <w:vAlign w:val="center"/>
          </w:tcPr>
          <w:p w14:paraId="309EA2D5" w14:textId="77777777" w:rsidR="005A7179" w:rsidRPr="00EE2B27" w:rsidRDefault="005A7179" w:rsidP="00165CC2">
            <w:pPr>
              <w:pStyle w:val="naisf"/>
              <w:spacing w:before="0" w:beforeAutospacing="0" w:after="0" w:afterAutospacing="0"/>
              <w:jc w:val="center"/>
              <w:rPr>
                <w:b/>
                <w:i/>
              </w:rPr>
            </w:pPr>
            <w:r w:rsidRPr="00EE2B27">
              <w:lastRenderedPageBreak/>
              <w:t>izmaiņas, salīdzinot ar kārtējo (n) gadu</w:t>
            </w:r>
          </w:p>
        </w:tc>
        <w:tc>
          <w:tcPr>
            <w:tcW w:w="1418" w:type="dxa"/>
            <w:vAlign w:val="center"/>
          </w:tcPr>
          <w:p w14:paraId="50D9A49D" w14:textId="77777777" w:rsidR="005A7179" w:rsidRPr="00EE2B27" w:rsidRDefault="005A7179" w:rsidP="00165CC2">
            <w:pPr>
              <w:pStyle w:val="naisf"/>
              <w:spacing w:before="0" w:beforeAutospacing="0" w:after="0" w:afterAutospacing="0"/>
              <w:jc w:val="center"/>
              <w:rPr>
                <w:b/>
                <w:i/>
              </w:rPr>
            </w:pPr>
            <w:r w:rsidRPr="00EE2B27">
              <w:t>izmaiņas, salīdzinot ar kārtējo (n) gadu</w:t>
            </w:r>
          </w:p>
        </w:tc>
        <w:tc>
          <w:tcPr>
            <w:tcW w:w="1422" w:type="dxa"/>
            <w:vAlign w:val="center"/>
          </w:tcPr>
          <w:p w14:paraId="488CEFB4" w14:textId="77777777" w:rsidR="005A7179" w:rsidRPr="00EE2B27" w:rsidRDefault="005A7179" w:rsidP="00165CC2">
            <w:pPr>
              <w:pStyle w:val="naisf"/>
              <w:spacing w:before="0" w:beforeAutospacing="0" w:after="0" w:afterAutospacing="0"/>
              <w:jc w:val="center"/>
              <w:rPr>
                <w:b/>
                <w:i/>
              </w:rPr>
            </w:pPr>
            <w:r w:rsidRPr="00EE2B27">
              <w:t>izmaiņas, salīdzinot ar kārtējo (n) gadu</w:t>
            </w:r>
          </w:p>
        </w:tc>
      </w:tr>
      <w:tr w:rsidR="00F91BD8" w:rsidRPr="00EE2B27" w14:paraId="2E23D540" w14:textId="77777777" w:rsidTr="00883BC7">
        <w:trPr>
          <w:jc w:val="center"/>
        </w:trPr>
        <w:tc>
          <w:tcPr>
            <w:tcW w:w="3114" w:type="dxa"/>
            <w:vAlign w:val="center"/>
          </w:tcPr>
          <w:p w14:paraId="376FA64B" w14:textId="77777777" w:rsidR="00F91BD8" w:rsidRPr="00EE2B27" w:rsidRDefault="00F91BD8" w:rsidP="00165CC2">
            <w:pPr>
              <w:pStyle w:val="naisf"/>
              <w:spacing w:before="0" w:beforeAutospacing="0" w:after="0" w:afterAutospacing="0"/>
              <w:jc w:val="center"/>
              <w:rPr>
                <w:bCs/>
              </w:rPr>
            </w:pPr>
            <w:r w:rsidRPr="00EE2B27">
              <w:rPr>
                <w:bCs/>
              </w:rPr>
              <w:lastRenderedPageBreak/>
              <w:t>1</w:t>
            </w:r>
          </w:p>
        </w:tc>
        <w:tc>
          <w:tcPr>
            <w:tcW w:w="1134" w:type="dxa"/>
            <w:vAlign w:val="center"/>
          </w:tcPr>
          <w:p w14:paraId="514B65FC" w14:textId="77777777" w:rsidR="00F91BD8" w:rsidRPr="00EE2B27" w:rsidRDefault="00F91BD8" w:rsidP="00165CC2">
            <w:pPr>
              <w:pStyle w:val="naisf"/>
              <w:spacing w:before="0" w:beforeAutospacing="0" w:after="0" w:afterAutospacing="0"/>
              <w:jc w:val="center"/>
              <w:rPr>
                <w:bCs/>
              </w:rPr>
            </w:pPr>
            <w:r w:rsidRPr="00EE2B27">
              <w:rPr>
                <w:bCs/>
              </w:rPr>
              <w:t>2</w:t>
            </w:r>
          </w:p>
        </w:tc>
        <w:tc>
          <w:tcPr>
            <w:tcW w:w="1276" w:type="dxa"/>
            <w:vAlign w:val="center"/>
          </w:tcPr>
          <w:p w14:paraId="54944D1C" w14:textId="77777777" w:rsidR="00F91BD8" w:rsidRPr="00EE2B27" w:rsidRDefault="00F91BD8" w:rsidP="00165CC2">
            <w:pPr>
              <w:pStyle w:val="naisf"/>
              <w:spacing w:before="0" w:beforeAutospacing="0" w:after="0" w:afterAutospacing="0"/>
              <w:jc w:val="center"/>
              <w:rPr>
                <w:bCs/>
              </w:rPr>
            </w:pPr>
            <w:r w:rsidRPr="00EE2B27">
              <w:rPr>
                <w:bCs/>
              </w:rPr>
              <w:t>3</w:t>
            </w:r>
          </w:p>
        </w:tc>
        <w:tc>
          <w:tcPr>
            <w:tcW w:w="1275" w:type="dxa"/>
            <w:vAlign w:val="center"/>
          </w:tcPr>
          <w:p w14:paraId="585F1FD6" w14:textId="77777777" w:rsidR="00F91BD8" w:rsidRPr="00EE2B27" w:rsidRDefault="00F91BD8" w:rsidP="00165CC2">
            <w:pPr>
              <w:pStyle w:val="naisf"/>
              <w:spacing w:before="0" w:beforeAutospacing="0" w:after="0" w:afterAutospacing="0"/>
              <w:jc w:val="center"/>
              <w:rPr>
                <w:bCs/>
              </w:rPr>
            </w:pPr>
            <w:r w:rsidRPr="00EE2B27">
              <w:rPr>
                <w:bCs/>
              </w:rPr>
              <w:t>4</w:t>
            </w:r>
          </w:p>
        </w:tc>
        <w:tc>
          <w:tcPr>
            <w:tcW w:w="1418" w:type="dxa"/>
            <w:vAlign w:val="center"/>
          </w:tcPr>
          <w:p w14:paraId="54552776" w14:textId="77777777" w:rsidR="00F91BD8" w:rsidRPr="00EE2B27" w:rsidRDefault="00F91BD8" w:rsidP="00165CC2">
            <w:pPr>
              <w:pStyle w:val="naisf"/>
              <w:spacing w:before="0" w:beforeAutospacing="0" w:after="0" w:afterAutospacing="0"/>
              <w:jc w:val="center"/>
              <w:rPr>
                <w:bCs/>
              </w:rPr>
            </w:pPr>
            <w:r w:rsidRPr="00EE2B27">
              <w:rPr>
                <w:bCs/>
              </w:rPr>
              <w:t>5</w:t>
            </w:r>
          </w:p>
        </w:tc>
        <w:tc>
          <w:tcPr>
            <w:tcW w:w="1422" w:type="dxa"/>
            <w:vAlign w:val="center"/>
          </w:tcPr>
          <w:p w14:paraId="61D7C816" w14:textId="77777777" w:rsidR="00F91BD8" w:rsidRPr="00EE2B27" w:rsidRDefault="00F91BD8" w:rsidP="00165CC2">
            <w:pPr>
              <w:pStyle w:val="naisf"/>
              <w:spacing w:before="0" w:beforeAutospacing="0" w:after="0" w:afterAutospacing="0"/>
              <w:jc w:val="center"/>
              <w:rPr>
                <w:bCs/>
              </w:rPr>
            </w:pPr>
            <w:r w:rsidRPr="00EE2B27">
              <w:rPr>
                <w:bCs/>
              </w:rPr>
              <w:t>6</w:t>
            </w:r>
          </w:p>
        </w:tc>
      </w:tr>
      <w:tr w:rsidR="00B26680" w:rsidRPr="00EE2B27" w14:paraId="3DF4AA44" w14:textId="77777777" w:rsidTr="00883BC7">
        <w:trPr>
          <w:jc w:val="center"/>
        </w:trPr>
        <w:tc>
          <w:tcPr>
            <w:tcW w:w="3114" w:type="dxa"/>
          </w:tcPr>
          <w:p w14:paraId="2FB8C940" w14:textId="77777777" w:rsidR="00B26680" w:rsidRPr="00EE2B27" w:rsidRDefault="00B26680" w:rsidP="00B26680">
            <w:pPr>
              <w:pStyle w:val="naisf"/>
              <w:spacing w:before="0" w:beforeAutospacing="0" w:after="0" w:afterAutospacing="0"/>
              <w:rPr>
                <w:i/>
              </w:rPr>
            </w:pPr>
            <w:r w:rsidRPr="00EE2B27">
              <w:t>1. Budžeta ieņēmumi:</w:t>
            </w:r>
          </w:p>
        </w:tc>
        <w:tc>
          <w:tcPr>
            <w:tcW w:w="1134" w:type="dxa"/>
          </w:tcPr>
          <w:p w14:paraId="5F0D5D49" w14:textId="77777777" w:rsidR="00B26680" w:rsidRPr="00EE2B27" w:rsidRDefault="00B26680" w:rsidP="00B26680">
            <w:pPr>
              <w:pStyle w:val="naisf"/>
              <w:spacing w:before="0" w:beforeAutospacing="0" w:after="0" w:afterAutospacing="0"/>
              <w:jc w:val="center"/>
            </w:pPr>
            <w:r w:rsidRPr="00EE2B27">
              <w:t>0</w:t>
            </w:r>
          </w:p>
        </w:tc>
        <w:tc>
          <w:tcPr>
            <w:tcW w:w="1276" w:type="dxa"/>
          </w:tcPr>
          <w:p w14:paraId="1EC0ACD6" w14:textId="77777777" w:rsidR="00B26680" w:rsidRPr="00EE2B27" w:rsidRDefault="00B26680" w:rsidP="00B26680">
            <w:pPr>
              <w:pStyle w:val="naisf"/>
              <w:spacing w:before="0" w:beforeAutospacing="0" w:after="0" w:afterAutospacing="0"/>
              <w:jc w:val="center"/>
            </w:pPr>
            <w:r w:rsidRPr="00EE2B27">
              <w:t>0</w:t>
            </w:r>
          </w:p>
        </w:tc>
        <w:tc>
          <w:tcPr>
            <w:tcW w:w="1275" w:type="dxa"/>
          </w:tcPr>
          <w:p w14:paraId="60B3561F" w14:textId="77777777" w:rsidR="00B26680" w:rsidRPr="00EE2B27" w:rsidRDefault="00B26680" w:rsidP="00B26680">
            <w:pPr>
              <w:pStyle w:val="naisf"/>
              <w:spacing w:before="0" w:beforeAutospacing="0" w:after="0" w:afterAutospacing="0"/>
              <w:jc w:val="center"/>
            </w:pPr>
            <w:r>
              <w:t>850 000</w:t>
            </w:r>
          </w:p>
        </w:tc>
        <w:tc>
          <w:tcPr>
            <w:tcW w:w="1418" w:type="dxa"/>
          </w:tcPr>
          <w:p w14:paraId="5AFBCEEF" w14:textId="77777777" w:rsidR="00B26680" w:rsidRPr="00EE2B27" w:rsidRDefault="00B26680" w:rsidP="00B26680">
            <w:pPr>
              <w:pStyle w:val="naisf"/>
              <w:spacing w:before="0" w:beforeAutospacing="0" w:after="0" w:afterAutospacing="0"/>
              <w:jc w:val="center"/>
            </w:pPr>
            <w:r>
              <w:t>850 000</w:t>
            </w:r>
          </w:p>
        </w:tc>
        <w:tc>
          <w:tcPr>
            <w:tcW w:w="1422" w:type="dxa"/>
          </w:tcPr>
          <w:p w14:paraId="093E8157" w14:textId="77777777" w:rsidR="00B26680" w:rsidRPr="00EE2B27" w:rsidRDefault="00B26680" w:rsidP="00B26680">
            <w:pPr>
              <w:pStyle w:val="naisf"/>
              <w:spacing w:before="0" w:beforeAutospacing="0" w:after="0" w:afterAutospacing="0"/>
              <w:jc w:val="center"/>
            </w:pPr>
            <w:r>
              <w:t>425 000</w:t>
            </w:r>
          </w:p>
        </w:tc>
      </w:tr>
      <w:tr w:rsidR="00B26680" w:rsidRPr="00EE2B27" w14:paraId="31345B2B" w14:textId="77777777" w:rsidTr="00883BC7">
        <w:trPr>
          <w:jc w:val="center"/>
        </w:trPr>
        <w:tc>
          <w:tcPr>
            <w:tcW w:w="3114" w:type="dxa"/>
          </w:tcPr>
          <w:p w14:paraId="6E34CD5D" w14:textId="77777777" w:rsidR="00B26680" w:rsidRPr="00EE2B27" w:rsidRDefault="00B26680" w:rsidP="00B26680">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t>2. Budžeta izdevumi:</w:t>
            </w:r>
          </w:p>
        </w:tc>
        <w:tc>
          <w:tcPr>
            <w:tcW w:w="1134" w:type="dxa"/>
          </w:tcPr>
          <w:p w14:paraId="7AB760BE" w14:textId="77777777" w:rsidR="00B26680" w:rsidRPr="00EE2B27" w:rsidRDefault="00B26680" w:rsidP="00B26680">
            <w:pPr>
              <w:pStyle w:val="naisf"/>
              <w:spacing w:before="0" w:beforeAutospacing="0" w:after="0" w:afterAutospacing="0"/>
              <w:jc w:val="center"/>
            </w:pPr>
            <w:r w:rsidRPr="00EE2B27">
              <w:t>0</w:t>
            </w:r>
          </w:p>
        </w:tc>
        <w:tc>
          <w:tcPr>
            <w:tcW w:w="1276" w:type="dxa"/>
          </w:tcPr>
          <w:p w14:paraId="680751E1" w14:textId="77777777" w:rsidR="00B26680" w:rsidRPr="00EE2B27" w:rsidRDefault="00B26680" w:rsidP="00B26680">
            <w:pPr>
              <w:pStyle w:val="naisf"/>
              <w:spacing w:before="0" w:beforeAutospacing="0" w:after="0" w:afterAutospacing="0"/>
              <w:jc w:val="center"/>
            </w:pPr>
            <w:r w:rsidRPr="00EE2B27">
              <w:t>0</w:t>
            </w:r>
          </w:p>
        </w:tc>
        <w:tc>
          <w:tcPr>
            <w:tcW w:w="1275" w:type="dxa"/>
          </w:tcPr>
          <w:p w14:paraId="7BDD247D" w14:textId="77777777" w:rsidR="00B26680" w:rsidRPr="00EE2B27" w:rsidRDefault="00B26680" w:rsidP="00B26680">
            <w:pPr>
              <w:pStyle w:val="naisf"/>
              <w:spacing w:before="0" w:beforeAutospacing="0" w:after="0" w:afterAutospacing="0"/>
              <w:jc w:val="center"/>
            </w:pPr>
            <w:r>
              <w:t>1 000 000</w:t>
            </w:r>
          </w:p>
        </w:tc>
        <w:tc>
          <w:tcPr>
            <w:tcW w:w="1418" w:type="dxa"/>
          </w:tcPr>
          <w:p w14:paraId="6DCDC3FF" w14:textId="77777777" w:rsidR="00B26680" w:rsidRPr="00EE2B27" w:rsidRDefault="00B26680" w:rsidP="00B26680">
            <w:pPr>
              <w:pStyle w:val="naisf"/>
              <w:spacing w:before="0" w:beforeAutospacing="0" w:after="0" w:afterAutospacing="0"/>
              <w:jc w:val="center"/>
            </w:pPr>
            <w:r>
              <w:t>1 000 000</w:t>
            </w:r>
          </w:p>
        </w:tc>
        <w:tc>
          <w:tcPr>
            <w:tcW w:w="1422" w:type="dxa"/>
          </w:tcPr>
          <w:p w14:paraId="09E4FFC2" w14:textId="77777777" w:rsidR="00B26680" w:rsidRPr="00EE2B27" w:rsidRDefault="00B26680" w:rsidP="00B26680">
            <w:pPr>
              <w:pStyle w:val="naisf"/>
              <w:spacing w:before="0" w:beforeAutospacing="0" w:after="0" w:afterAutospacing="0"/>
              <w:jc w:val="center"/>
            </w:pPr>
            <w:r>
              <w:t>500 000</w:t>
            </w:r>
          </w:p>
        </w:tc>
      </w:tr>
      <w:tr w:rsidR="00B26680" w:rsidRPr="00EE2B27" w14:paraId="2A5BCB92" w14:textId="77777777" w:rsidTr="00883BC7">
        <w:trPr>
          <w:jc w:val="center"/>
        </w:trPr>
        <w:tc>
          <w:tcPr>
            <w:tcW w:w="3114" w:type="dxa"/>
          </w:tcPr>
          <w:p w14:paraId="409A421C" w14:textId="77777777" w:rsidR="00B26680" w:rsidRPr="00EE2B27" w:rsidRDefault="00B26680" w:rsidP="00B26680">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t>3. Finansiālā ietekme:</w:t>
            </w:r>
          </w:p>
        </w:tc>
        <w:tc>
          <w:tcPr>
            <w:tcW w:w="1134" w:type="dxa"/>
            <w:shd w:val="clear" w:color="auto" w:fill="auto"/>
            <w:vAlign w:val="center"/>
          </w:tcPr>
          <w:p w14:paraId="78E6FC91" w14:textId="77777777" w:rsidR="00B26680" w:rsidRPr="00EE2B27" w:rsidRDefault="00B26680" w:rsidP="00B26680">
            <w:pPr>
              <w:pStyle w:val="naisf"/>
              <w:spacing w:before="0" w:beforeAutospacing="0" w:after="0" w:afterAutospacing="0"/>
              <w:jc w:val="center"/>
            </w:pPr>
            <w:r w:rsidRPr="00EE2B27">
              <w:t>0</w:t>
            </w:r>
          </w:p>
        </w:tc>
        <w:tc>
          <w:tcPr>
            <w:tcW w:w="1276" w:type="dxa"/>
          </w:tcPr>
          <w:p w14:paraId="5074430E" w14:textId="77777777" w:rsidR="00B26680" w:rsidRPr="00EE2B27" w:rsidRDefault="00B26680" w:rsidP="00B26680">
            <w:pPr>
              <w:pStyle w:val="naisf"/>
              <w:spacing w:before="0" w:beforeAutospacing="0" w:after="0" w:afterAutospacing="0"/>
              <w:jc w:val="center"/>
            </w:pPr>
            <w:r w:rsidRPr="00EE2B27">
              <w:t>0</w:t>
            </w:r>
          </w:p>
        </w:tc>
        <w:tc>
          <w:tcPr>
            <w:tcW w:w="1275" w:type="dxa"/>
          </w:tcPr>
          <w:p w14:paraId="173D5E02" w14:textId="77777777" w:rsidR="00B26680" w:rsidRPr="00EE2B27" w:rsidRDefault="00B26680" w:rsidP="00B26680">
            <w:pPr>
              <w:pStyle w:val="naisf"/>
              <w:spacing w:before="0" w:beforeAutospacing="0" w:after="0" w:afterAutospacing="0"/>
              <w:jc w:val="center"/>
            </w:pPr>
            <w:r w:rsidRPr="00EE2B27">
              <w:t>-</w:t>
            </w:r>
            <w:r>
              <w:t>150 000</w:t>
            </w:r>
          </w:p>
        </w:tc>
        <w:tc>
          <w:tcPr>
            <w:tcW w:w="1418" w:type="dxa"/>
          </w:tcPr>
          <w:p w14:paraId="284C381D" w14:textId="77777777" w:rsidR="00B26680" w:rsidRPr="00EE2B27" w:rsidRDefault="00B26680" w:rsidP="00B26680">
            <w:pPr>
              <w:pStyle w:val="naisf"/>
              <w:spacing w:before="0" w:beforeAutospacing="0" w:after="0" w:afterAutospacing="0"/>
              <w:jc w:val="center"/>
            </w:pPr>
            <w:r w:rsidRPr="00EE2B27">
              <w:t>-</w:t>
            </w:r>
            <w:r>
              <w:t>150 000</w:t>
            </w:r>
          </w:p>
        </w:tc>
        <w:tc>
          <w:tcPr>
            <w:tcW w:w="1422" w:type="dxa"/>
          </w:tcPr>
          <w:p w14:paraId="0F116BA8" w14:textId="77777777" w:rsidR="00B26680" w:rsidRPr="00EE2B27" w:rsidRDefault="00B26680" w:rsidP="00B26680">
            <w:pPr>
              <w:pStyle w:val="naisf"/>
              <w:spacing w:before="0" w:beforeAutospacing="0" w:after="0" w:afterAutospacing="0"/>
              <w:jc w:val="center"/>
            </w:pPr>
            <w:r>
              <w:t>-75 000</w:t>
            </w:r>
          </w:p>
        </w:tc>
      </w:tr>
      <w:tr w:rsidR="00F91BD8" w:rsidRPr="00EE2B27" w14:paraId="6B6BC1B0" w14:textId="77777777" w:rsidTr="00883BC7">
        <w:trPr>
          <w:trHeight w:val="1380"/>
          <w:jc w:val="center"/>
        </w:trPr>
        <w:tc>
          <w:tcPr>
            <w:tcW w:w="3114" w:type="dxa"/>
          </w:tcPr>
          <w:p w14:paraId="1E9D7B14" w14:textId="77777777" w:rsidR="00F91BD8" w:rsidRPr="00EE2B27" w:rsidRDefault="00F91BD8" w:rsidP="00165CC2">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t>4. Finanšu līdzekļi papildu izdevumu finansēšanai (kompensējošu izdevumu samazinājumu norāda ar "+" zīmi)</w:t>
            </w:r>
          </w:p>
        </w:tc>
        <w:tc>
          <w:tcPr>
            <w:tcW w:w="1134" w:type="dxa"/>
          </w:tcPr>
          <w:p w14:paraId="1A877C58" w14:textId="77777777" w:rsidR="00F91BD8" w:rsidRPr="00EE2B27" w:rsidRDefault="00F91BD8" w:rsidP="00165CC2">
            <w:pPr>
              <w:pStyle w:val="naisf"/>
              <w:spacing w:before="0" w:beforeAutospacing="0" w:after="0" w:afterAutospacing="0"/>
              <w:jc w:val="center"/>
            </w:pPr>
            <w:r w:rsidRPr="00EE2B27">
              <w:t>N/A</w:t>
            </w:r>
          </w:p>
        </w:tc>
        <w:tc>
          <w:tcPr>
            <w:tcW w:w="1276" w:type="dxa"/>
          </w:tcPr>
          <w:p w14:paraId="5AB9F9C9" w14:textId="77777777" w:rsidR="00F91BD8" w:rsidRPr="00EE2B27" w:rsidRDefault="00F91BD8" w:rsidP="00165CC2">
            <w:pPr>
              <w:pStyle w:val="naisf"/>
              <w:spacing w:before="0" w:beforeAutospacing="0" w:after="0" w:afterAutospacing="0"/>
              <w:jc w:val="center"/>
            </w:pPr>
            <w:r w:rsidRPr="00EE2B27">
              <w:t>N/A</w:t>
            </w:r>
          </w:p>
        </w:tc>
        <w:tc>
          <w:tcPr>
            <w:tcW w:w="1275" w:type="dxa"/>
          </w:tcPr>
          <w:p w14:paraId="2BB0683E" w14:textId="77777777" w:rsidR="00F91BD8" w:rsidRPr="00EE2B27" w:rsidRDefault="00F91BD8" w:rsidP="00165CC2">
            <w:pPr>
              <w:pStyle w:val="naisf"/>
              <w:spacing w:before="0" w:beforeAutospacing="0" w:after="0" w:afterAutospacing="0"/>
              <w:jc w:val="center"/>
            </w:pPr>
            <w:r w:rsidRPr="00EE2B27">
              <w:t>N/A</w:t>
            </w:r>
          </w:p>
        </w:tc>
        <w:tc>
          <w:tcPr>
            <w:tcW w:w="1418" w:type="dxa"/>
          </w:tcPr>
          <w:p w14:paraId="299BCC4B" w14:textId="77777777" w:rsidR="00F91BD8" w:rsidRPr="00EE2B27" w:rsidRDefault="00F91BD8" w:rsidP="00165CC2">
            <w:pPr>
              <w:pStyle w:val="naisf"/>
              <w:spacing w:before="0" w:beforeAutospacing="0" w:after="0" w:afterAutospacing="0"/>
              <w:jc w:val="center"/>
            </w:pPr>
            <w:r w:rsidRPr="00EE2B27">
              <w:t>N/A</w:t>
            </w:r>
          </w:p>
        </w:tc>
        <w:tc>
          <w:tcPr>
            <w:tcW w:w="1422" w:type="dxa"/>
          </w:tcPr>
          <w:p w14:paraId="58F934CF" w14:textId="77777777" w:rsidR="00F91BD8" w:rsidRPr="00EE2B27" w:rsidRDefault="00F91BD8" w:rsidP="00165CC2">
            <w:pPr>
              <w:pStyle w:val="naisf"/>
              <w:spacing w:before="0" w:beforeAutospacing="0" w:after="0" w:afterAutospacing="0"/>
              <w:jc w:val="center"/>
            </w:pPr>
            <w:r w:rsidRPr="00EE2B27">
              <w:t>N/A</w:t>
            </w:r>
          </w:p>
        </w:tc>
      </w:tr>
      <w:tr w:rsidR="00F91BD8" w:rsidRPr="00EE2B27" w14:paraId="42DD1AAF" w14:textId="77777777" w:rsidTr="00883BC7">
        <w:trPr>
          <w:jc w:val="center"/>
        </w:trPr>
        <w:tc>
          <w:tcPr>
            <w:tcW w:w="3114" w:type="dxa"/>
          </w:tcPr>
          <w:p w14:paraId="1FF26AA3" w14:textId="77777777" w:rsidR="00F91BD8" w:rsidRPr="00EE2B27" w:rsidRDefault="00F91BD8" w:rsidP="00165CC2">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t>5. Precizēta finansiālā ietekme:</w:t>
            </w:r>
          </w:p>
        </w:tc>
        <w:tc>
          <w:tcPr>
            <w:tcW w:w="1134" w:type="dxa"/>
          </w:tcPr>
          <w:p w14:paraId="31F19FB2" w14:textId="77777777" w:rsidR="00F91BD8" w:rsidRPr="00EE2B27" w:rsidRDefault="00F91BD8" w:rsidP="00165CC2">
            <w:pPr>
              <w:pStyle w:val="naisf"/>
              <w:spacing w:before="0" w:beforeAutospacing="0" w:after="0" w:afterAutospacing="0"/>
              <w:jc w:val="center"/>
            </w:pPr>
            <w:r w:rsidRPr="00EE2B27">
              <w:t>N/A</w:t>
            </w:r>
          </w:p>
        </w:tc>
        <w:tc>
          <w:tcPr>
            <w:tcW w:w="1276" w:type="dxa"/>
          </w:tcPr>
          <w:p w14:paraId="1D883726" w14:textId="77777777" w:rsidR="00F91BD8" w:rsidRPr="00EE2B27" w:rsidRDefault="00F91BD8" w:rsidP="00165CC2">
            <w:pPr>
              <w:pStyle w:val="naisf"/>
              <w:spacing w:before="0" w:beforeAutospacing="0" w:after="0" w:afterAutospacing="0"/>
              <w:jc w:val="center"/>
            </w:pPr>
            <w:r w:rsidRPr="00EE2B27">
              <w:t>N/A</w:t>
            </w:r>
          </w:p>
        </w:tc>
        <w:tc>
          <w:tcPr>
            <w:tcW w:w="1275" w:type="dxa"/>
          </w:tcPr>
          <w:p w14:paraId="0DB86B39" w14:textId="77777777" w:rsidR="00F91BD8" w:rsidRPr="00EE2B27" w:rsidRDefault="00F91BD8" w:rsidP="00165CC2">
            <w:pPr>
              <w:spacing w:after="0" w:line="240" w:lineRule="auto"/>
              <w:jc w:val="center"/>
              <w:rPr>
                <w:rFonts w:ascii="Times New Roman" w:hAnsi="Times New Roman" w:cs="Times New Roman"/>
                <w:sz w:val="24"/>
                <w:szCs w:val="24"/>
              </w:rPr>
            </w:pPr>
            <w:r w:rsidRPr="00EE2B27">
              <w:rPr>
                <w:rFonts w:ascii="Times New Roman" w:hAnsi="Times New Roman" w:cs="Times New Roman"/>
                <w:sz w:val="24"/>
                <w:szCs w:val="24"/>
              </w:rPr>
              <w:t>N/A</w:t>
            </w:r>
          </w:p>
        </w:tc>
        <w:tc>
          <w:tcPr>
            <w:tcW w:w="1418" w:type="dxa"/>
          </w:tcPr>
          <w:p w14:paraId="76F628F2" w14:textId="77777777" w:rsidR="00F91BD8" w:rsidRPr="00EE2B27" w:rsidRDefault="00F91BD8" w:rsidP="00165CC2">
            <w:pPr>
              <w:spacing w:after="0" w:line="240" w:lineRule="auto"/>
              <w:jc w:val="center"/>
              <w:rPr>
                <w:rFonts w:ascii="Times New Roman" w:hAnsi="Times New Roman" w:cs="Times New Roman"/>
                <w:sz w:val="24"/>
                <w:szCs w:val="24"/>
              </w:rPr>
            </w:pPr>
            <w:r w:rsidRPr="00EE2B27">
              <w:rPr>
                <w:rFonts w:ascii="Times New Roman" w:hAnsi="Times New Roman" w:cs="Times New Roman"/>
                <w:sz w:val="24"/>
                <w:szCs w:val="24"/>
              </w:rPr>
              <w:t>N/A</w:t>
            </w:r>
          </w:p>
        </w:tc>
        <w:tc>
          <w:tcPr>
            <w:tcW w:w="1422" w:type="dxa"/>
          </w:tcPr>
          <w:p w14:paraId="5C8DB171" w14:textId="77777777" w:rsidR="00F91BD8" w:rsidRPr="00EE2B27" w:rsidRDefault="00F91BD8" w:rsidP="00165CC2">
            <w:pPr>
              <w:spacing w:after="0" w:line="240" w:lineRule="auto"/>
              <w:jc w:val="center"/>
              <w:rPr>
                <w:rFonts w:ascii="Times New Roman" w:hAnsi="Times New Roman" w:cs="Times New Roman"/>
                <w:sz w:val="24"/>
                <w:szCs w:val="24"/>
              </w:rPr>
            </w:pPr>
            <w:r w:rsidRPr="00EE2B27">
              <w:rPr>
                <w:rFonts w:ascii="Times New Roman" w:hAnsi="Times New Roman" w:cs="Times New Roman"/>
                <w:sz w:val="24"/>
                <w:szCs w:val="24"/>
              </w:rPr>
              <w:t>N/A</w:t>
            </w:r>
          </w:p>
        </w:tc>
      </w:tr>
      <w:tr w:rsidR="00F91BD8" w:rsidRPr="00EE2B27" w14:paraId="65965259" w14:textId="77777777" w:rsidTr="00883BC7">
        <w:trPr>
          <w:jc w:val="center"/>
        </w:trPr>
        <w:tc>
          <w:tcPr>
            <w:tcW w:w="3114" w:type="dxa"/>
            <w:shd w:val="clear" w:color="auto" w:fill="auto"/>
          </w:tcPr>
          <w:p w14:paraId="37559539" w14:textId="77777777" w:rsidR="00F91BD8" w:rsidRPr="00EE2B27" w:rsidRDefault="00F91BD8" w:rsidP="00165CC2">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t>6. Detalizēts ieņēmumu un izdevumu aprēķins (ja nepie</w:t>
            </w:r>
            <w:r w:rsidRPr="00EE2B27">
              <w:rPr>
                <w:rFonts w:ascii="Times New Roman" w:hAnsi="Times New Roman" w:cs="Times New Roman"/>
                <w:sz w:val="24"/>
                <w:szCs w:val="24"/>
              </w:rPr>
              <w:softHyphen/>
              <w:t>ciešams, detalizētu ieņēmumu un izdevumu aprēķinu var pie</w:t>
            </w:r>
            <w:r w:rsidRPr="00EE2B27">
              <w:rPr>
                <w:rFonts w:ascii="Times New Roman" w:hAnsi="Times New Roman" w:cs="Times New Roman"/>
                <w:sz w:val="24"/>
                <w:szCs w:val="24"/>
              </w:rPr>
              <w:softHyphen/>
              <w:t>vienot anotācijas pielikumā):</w:t>
            </w:r>
          </w:p>
        </w:tc>
        <w:tc>
          <w:tcPr>
            <w:tcW w:w="6525" w:type="dxa"/>
            <w:gridSpan w:val="5"/>
            <w:vMerge w:val="restart"/>
            <w:shd w:val="clear" w:color="auto" w:fill="auto"/>
            <w:vAlign w:val="center"/>
          </w:tcPr>
          <w:p w14:paraId="694A89E4" w14:textId="77777777" w:rsidR="009B5667" w:rsidRPr="00E10513" w:rsidRDefault="00B26680" w:rsidP="00165CC2">
            <w:pPr>
              <w:spacing w:after="0" w:line="240" w:lineRule="auto"/>
              <w:jc w:val="both"/>
              <w:rPr>
                <w:rFonts w:ascii="Times New Roman" w:hAnsi="Times New Roman" w:cs="Times New Roman"/>
                <w:color w:val="000000"/>
                <w:sz w:val="24"/>
                <w:szCs w:val="24"/>
                <w:shd w:val="clear" w:color="auto" w:fill="FFFFFF"/>
              </w:rPr>
            </w:pPr>
            <w:r w:rsidRPr="00E10513">
              <w:rPr>
                <w:rFonts w:ascii="Times New Roman" w:hAnsi="Times New Roman" w:cs="Times New Roman"/>
                <w:color w:val="000000"/>
                <w:sz w:val="24"/>
                <w:szCs w:val="24"/>
                <w:shd w:val="clear" w:color="auto" w:fill="FFFFFF"/>
              </w:rPr>
              <w:t>Pasākuma</w:t>
            </w:r>
            <w:r w:rsidR="009B5667" w:rsidRPr="00E10513">
              <w:rPr>
                <w:rFonts w:ascii="Times New Roman" w:hAnsi="Times New Roman" w:cs="Times New Roman"/>
                <w:color w:val="000000"/>
                <w:sz w:val="24"/>
                <w:szCs w:val="24"/>
                <w:shd w:val="clear" w:color="auto" w:fill="FFFFFF"/>
              </w:rPr>
              <w:t xml:space="preserve"> projektam plānots kopējais finansējums (kopējās attiecināmās izmaksas) EUR </w:t>
            </w:r>
            <w:r w:rsidRPr="00E10513">
              <w:rPr>
                <w:rFonts w:ascii="Times New Roman" w:hAnsi="Times New Roman" w:cs="Times New Roman"/>
                <w:color w:val="000000"/>
                <w:sz w:val="24"/>
                <w:szCs w:val="24"/>
                <w:shd w:val="clear" w:color="auto" w:fill="FFFFFF"/>
              </w:rPr>
              <w:t>2 500 000</w:t>
            </w:r>
            <w:r w:rsidR="009B5667" w:rsidRPr="00E10513">
              <w:rPr>
                <w:rFonts w:ascii="Times New Roman" w:hAnsi="Times New Roman" w:cs="Times New Roman"/>
                <w:color w:val="000000"/>
                <w:sz w:val="24"/>
                <w:szCs w:val="24"/>
                <w:shd w:val="clear" w:color="auto" w:fill="FFFFFF"/>
              </w:rPr>
              <w:t xml:space="preserve"> apmērā, tai skaitā, Eiropas Sociālā fonda (turpmāk – ESF) finansējums EUR </w:t>
            </w:r>
            <w:r w:rsidRPr="00E10513">
              <w:rPr>
                <w:rFonts w:ascii="Times New Roman" w:hAnsi="Times New Roman" w:cs="Times New Roman"/>
                <w:color w:val="000000"/>
                <w:sz w:val="24"/>
                <w:szCs w:val="24"/>
                <w:shd w:val="clear" w:color="auto" w:fill="FFFFFF"/>
              </w:rPr>
              <w:t>2 125 000</w:t>
            </w:r>
            <w:r w:rsidR="009B5667" w:rsidRPr="00E10513">
              <w:rPr>
                <w:rFonts w:ascii="Times New Roman" w:hAnsi="Times New Roman" w:cs="Times New Roman"/>
                <w:color w:val="000000"/>
                <w:sz w:val="24"/>
                <w:szCs w:val="24"/>
                <w:shd w:val="clear" w:color="auto" w:fill="FFFFFF"/>
              </w:rPr>
              <w:t xml:space="preserve">, valsts budžeta (turpmāk – VB) finansējums EUR </w:t>
            </w:r>
            <w:r w:rsidRPr="00E10513">
              <w:rPr>
                <w:rFonts w:ascii="Times New Roman" w:hAnsi="Times New Roman" w:cs="Times New Roman"/>
                <w:color w:val="000000"/>
                <w:sz w:val="24"/>
                <w:szCs w:val="24"/>
                <w:shd w:val="clear" w:color="auto" w:fill="FFFFFF"/>
              </w:rPr>
              <w:t>375 000</w:t>
            </w:r>
            <w:r w:rsidR="009B5667" w:rsidRPr="00E10513">
              <w:rPr>
                <w:rFonts w:ascii="Times New Roman" w:hAnsi="Times New Roman" w:cs="Times New Roman"/>
                <w:color w:val="000000"/>
                <w:sz w:val="24"/>
                <w:szCs w:val="24"/>
                <w:shd w:val="clear" w:color="auto" w:fill="FFFFFF"/>
              </w:rPr>
              <w:t xml:space="preserve">. </w:t>
            </w:r>
          </w:p>
          <w:p w14:paraId="6B98D607" w14:textId="77777777" w:rsidR="009B5667" w:rsidRPr="00E10513" w:rsidRDefault="009B5667" w:rsidP="00165CC2">
            <w:pPr>
              <w:spacing w:after="0" w:line="240" w:lineRule="auto"/>
              <w:jc w:val="both"/>
              <w:rPr>
                <w:rFonts w:ascii="Times New Roman" w:hAnsi="Times New Roman" w:cs="Times New Roman"/>
                <w:color w:val="000000"/>
                <w:sz w:val="24"/>
                <w:szCs w:val="24"/>
                <w:shd w:val="clear" w:color="auto" w:fill="FFFFFF"/>
              </w:rPr>
            </w:pPr>
            <w:r w:rsidRPr="00E10513">
              <w:rPr>
                <w:rFonts w:ascii="Times New Roman" w:hAnsi="Times New Roman" w:cs="Times New Roman"/>
                <w:color w:val="000000"/>
                <w:sz w:val="24"/>
                <w:szCs w:val="24"/>
                <w:shd w:val="clear" w:color="auto" w:fill="FFFFFF"/>
              </w:rPr>
              <w:t>Budžeta ieņēmumi ir finansējuma ESF daļa 85% apmērā no projekta attiecināmām izmaksām.</w:t>
            </w:r>
          </w:p>
          <w:p w14:paraId="6157C174" w14:textId="77777777" w:rsidR="00094F04" w:rsidRPr="00E10513" w:rsidRDefault="00094F04" w:rsidP="00165CC2">
            <w:pPr>
              <w:spacing w:after="0" w:line="240" w:lineRule="auto"/>
              <w:jc w:val="both"/>
              <w:rPr>
                <w:rFonts w:ascii="Times New Roman" w:hAnsi="Times New Roman" w:cs="Times New Roman"/>
                <w:color w:val="000000"/>
                <w:sz w:val="24"/>
                <w:szCs w:val="24"/>
                <w:shd w:val="clear" w:color="auto" w:fill="FFFFFF"/>
              </w:rPr>
            </w:pPr>
            <w:r w:rsidRPr="00E10513">
              <w:rPr>
                <w:rFonts w:ascii="Times New Roman" w:hAnsi="Times New Roman" w:cs="Times New Roman"/>
                <w:color w:val="000000"/>
                <w:sz w:val="24"/>
                <w:szCs w:val="24"/>
                <w:shd w:val="clear" w:color="auto" w:fill="FFFFFF"/>
              </w:rPr>
              <w:t xml:space="preserve">Saskaņā ar DP noteikto, </w:t>
            </w:r>
            <w:r w:rsidR="00E10513" w:rsidRPr="00E10513">
              <w:rPr>
                <w:rFonts w:ascii="Times New Roman" w:hAnsi="Times New Roman" w:cs="Times New Roman"/>
                <w:color w:val="000000"/>
                <w:sz w:val="24"/>
                <w:szCs w:val="24"/>
                <w:shd w:val="clear" w:color="auto" w:fill="FFFFFF"/>
              </w:rPr>
              <w:t xml:space="preserve">8.4.1.specifiskā atbalsta mērķa “Pilnveidot nodarbināto personu profesionālo kompetenci” ietvaros </w:t>
            </w:r>
            <w:r w:rsidRPr="00E10513">
              <w:rPr>
                <w:rFonts w:ascii="Times New Roman" w:hAnsi="Times New Roman" w:cs="Times New Roman"/>
                <w:color w:val="000000"/>
                <w:sz w:val="24"/>
                <w:szCs w:val="24"/>
                <w:shd w:val="clear" w:color="auto" w:fill="FFFFFF"/>
              </w:rPr>
              <w:t>rezerve</w:t>
            </w:r>
            <w:r w:rsidR="00E10513" w:rsidRPr="00E10513">
              <w:rPr>
                <w:rFonts w:ascii="Times New Roman" w:hAnsi="Times New Roman" w:cs="Times New Roman"/>
                <w:color w:val="000000"/>
                <w:sz w:val="24"/>
                <w:szCs w:val="24"/>
                <w:shd w:val="clear" w:color="auto" w:fill="FFFFFF"/>
              </w:rPr>
              <w:t xml:space="preserve"> veido 6,63% (18 599 675 EUR) no kopējas investīcijas prioritārajam virzienam ESF atbalsta ietvaros</w:t>
            </w:r>
            <w:r w:rsidRPr="00E10513">
              <w:rPr>
                <w:rFonts w:ascii="Times New Roman" w:hAnsi="Times New Roman" w:cs="Times New Roman"/>
                <w:color w:val="000000"/>
                <w:sz w:val="24"/>
                <w:szCs w:val="24"/>
                <w:shd w:val="clear" w:color="auto" w:fill="FFFFFF"/>
              </w:rPr>
              <w:t xml:space="preserve">. </w:t>
            </w:r>
            <w:r w:rsidR="00195986" w:rsidRPr="00E10513">
              <w:rPr>
                <w:rFonts w:ascii="Times New Roman" w:hAnsi="Times New Roman" w:cs="Times New Roman"/>
                <w:color w:val="000000"/>
                <w:sz w:val="24"/>
                <w:szCs w:val="24"/>
                <w:shd w:val="clear" w:color="auto" w:fill="FFFFFF"/>
              </w:rPr>
              <w:t>Finansējuma r</w:t>
            </w:r>
            <w:r w:rsidRPr="00E10513">
              <w:rPr>
                <w:rFonts w:ascii="Times New Roman" w:hAnsi="Times New Roman" w:cs="Times New Roman"/>
                <w:color w:val="000000"/>
                <w:sz w:val="24"/>
                <w:szCs w:val="24"/>
                <w:shd w:val="clear" w:color="auto" w:fill="FFFFFF"/>
              </w:rPr>
              <w:t xml:space="preserve">ezervi paredzēts </w:t>
            </w:r>
            <w:r w:rsidR="00195986" w:rsidRPr="00E10513">
              <w:rPr>
                <w:rFonts w:ascii="Times New Roman" w:hAnsi="Times New Roman" w:cs="Times New Roman"/>
                <w:color w:val="000000"/>
                <w:sz w:val="24"/>
                <w:szCs w:val="24"/>
                <w:shd w:val="clear" w:color="auto" w:fill="FFFFFF"/>
              </w:rPr>
              <w:t xml:space="preserve">nodrošināt </w:t>
            </w:r>
            <w:r w:rsidR="00E10513" w:rsidRPr="00E10513">
              <w:rPr>
                <w:rFonts w:ascii="Times New Roman" w:hAnsi="Times New Roman" w:cs="Times New Roman"/>
                <w:color w:val="000000"/>
                <w:sz w:val="24"/>
                <w:szCs w:val="24"/>
                <w:shd w:val="clear" w:color="auto" w:fill="FFFFFF"/>
              </w:rPr>
              <w:t xml:space="preserve">8.4.1.SAM 8.4.1.2.pasākuma “Pilnveidot nodarbināto personu profesionālo kompetenci” ietvaros. </w:t>
            </w:r>
            <w:r w:rsidRPr="00E10513">
              <w:rPr>
                <w:rFonts w:ascii="Times New Roman" w:hAnsi="Times New Roman" w:cs="Times New Roman"/>
                <w:color w:val="000000"/>
                <w:sz w:val="24"/>
                <w:szCs w:val="24"/>
                <w:shd w:val="clear" w:color="auto" w:fill="FFFFFF"/>
              </w:rPr>
              <w:t>Lēmums, vai rezervi izmantot</w:t>
            </w:r>
            <w:r w:rsidR="00E10513" w:rsidRPr="00E10513">
              <w:rPr>
                <w:rFonts w:ascii="Times New Roman" w:hAnsi="Times New Roman" w:cs="Times New Roman"/>
                <w:color w:val="000000"/>
                <w:sz w:val="24"/>
                <w:szCs w:val="24"/>
                <w:shd w:val="clear" w:color="auto" w:fill="FFFFFF"/>
              </w:rPr>
              <w:t xml:space="preserve"> 8.4.1.SAM</w:t>
            </w:r>
            <w:r w:rsidRPr="00E10513">
              <w:rPr>
                <w:rFonts w:ascii="Times New Roman" w:hAnsi="Times New Roman" w:cs="Times New Roman"/>
                <w:color w:val="000000"/>
                <w:sz w:val="24"/>
                <w:szCs w:val="24"/>
                <w:shd w:val="clear" w:color="auto" w:fill="FFFFFF"/>
              </w:rPr>
              <w:t xml:space="preserve"> </w:t>
            </w:r>
            <w:r w:rsidR="00E10513" w:rsidRPr="00E10513">
              <w:rPr>
                <w:rFonts w:ascii="Times New Roman" w:hAnsi="Times New Roman" w:cs="Times New Roman"/>
                <w:color w:val="000000"/>
                <w:sz w:val="24"/>
                <w:szCs w:val="24"/>
                <w:shd w:val="clear" w:color="auto" w:fill="FFFFFF"/>
              </w:rPr>
              <w:t>8.4.1.2.pasākuma “Pilnveidot nodarbināto personu profesionālo kompetenci” ietvaros</w:t>
            </w:r>
            <w:r w:rsidRPr="00E10513">
              <w:rPr>
                <w:rFonts w:ascii="Times New Roman" w:hAnsi="Times New Roman" w:cs="Times New Roman"/>
                <w:color w:val="000000"/>
                <w:sz w:val="24"/>
                <w:szCs w:val="24"/>
                <w:shd w:val="clear" w:color="auto" w:fill="FFFFFF"/>
              </w:rPr>
              <w:t xml:space="preserve">, tiks pieņemts pēc </w:t>
            </w:r>
            <w:r w:rsidR="00E10513" w:rsidRPr="00E10513">
              <w:rPr>
                <w:rFonts w:ascii="Times New Roman" w:hAnsi="Times New Roman" w:cs="Times New Roman"/>
                <w:color w:val="000000"/>
                <w:sz w:val="24"/>
                <w:szCs w:val="24"/>
                <w:shd w:val="clear" w:color="auto" w:fill="FFFFFF"/>
              </w:rPr>
              <w:t>prioritātes</w:t>
            </w:r>
            <w:r w:rsidRPr="00E10513">
              <w:rPr>
                <w:rFonts w:ascii="Times New Roman" w:hAnsi="Times New Roman" w:cs="Times New Roman"/>
                <w:color w:val="000000"/>
                <w:sz w:val="24"/>
                <w:szCs w:val="24"/>
                <w:shd w:val="clear" w:color="auto" w:fill="FFFFFF"/>
              </w:rPr>
              <w:t xml:space="preserve"> ietvaros sasniegto rezultātu uz 2018. gada 31.decembri analīzes.</w:t>
            </w:r>
            <w:r w:rsidR="00E10513" w:rsidRPr="00E10513">
              <w:rPr>
                <w:rFonts w:ascii="Times New Roman" w:hAnsi="Times New Roman" w:cs="Times New Roman"/>
                <w:color w:val="000000"/>
                <w:sz w:val="24"/>
                <w:szCs w:val="24"/>
                <w:shd w:val="clear" w:color="auto" w:fill="FFFFFF"/>
              </w:rPr>
              <w:t xml:space="preserve"> </w:t>
            </w:r>
            <w:r w:rsidRPr="00E10513">
              <w:rPr>
                <w:rFonts w:ascii="Times New Roman" w:hAnsi="Times New Roman" w:cs="Times New Roman"/>
                <w:color w:val="000000"/>
                <w:sz w:val="24"/>
                <w:szCs w:val="24"/>
                <w:shd w:val="clear" w:color="auto" w:fill="FFFFFF"/>
              </w:rPr>
              <w:t xml:space="preserve">Ietekmes uz budžetu aprēķinos pieņemts, ka prioritārā virziena ietvaros mērķi uz 2018.gadu tiks sasniegti un rezerves finansējums tiks iekļauts </w:t>
            </w:r>
            <w:r w:rsidR="00E10513" w:rsidRPr="00E10513">
              <w:rPr>
                <w:rFonts w:ascii="Times New Roman" w:hAnsi="Times New Roman" w:cs="Times New Roman"/>
                <w:color w:val="000000"/>
                <w:sz w:val="24"/>
                <w:szCs w:val="24"/>
                <w:shd w:val="clear" w:color="auto" w:fill="FFFFFF"/>
              </w:rPr>
              <w:t xml:space="preserve">8.4.1.SAM 8.4.1.2.pasākuma “Pilnveidot nodarbināto personu profesionālo kompetenci” </w:t>
            </w:r>
            <w:r w:rsidRPr="00E10513">
              <w:rPr>
                <w:rFonts w:ascii="Times New Roman" w:hAnsi="Times New Roman" w:cs="Times New Roman"/>
                <w:color w:val="000000"/>
                <w:sz w:val="24"/>
                <w:szCs w:val="24"/>
                <w:shd w:val="clear" w:color="auto" w:fill="FFFFFF"/>
              </w:rPr>
              <w:t xml:space="preserve"> budžetā.</w:t>
            </w:r>
          </w:p>
          <w:p w14:paraId="7EA5632B" w14:textId="77777777" w:rsidR="00431F46" w:rsidRPr="00E10513" w:rsidRDefault="00431F46" w:rsidP="00165CC2">
            <w:pPr>
              <w:spacing w:after="0" w:line="240" w:lineRule="auto"/>
              <w:jc w:val="both"/>
              <w:rPr>
                <w:rFonts w:ascii="Times New Roman" w:hAnsi="Times New Roman" w:cs="Times New Roman"/>
                <w:color w:val="000000"/>
                <w:sz w:val="24"/>
                <w:szCs w:val="24"/>
                <w:shd w:val="clear" w:color="auto" w:fill="FFFFFF"/>
              </w:rPr>
            </w:pPr>
          </w:p>
          <w:p w14:paraId="29DA5545" w14:textId="77777777" w:rsidR="00E10513" w:rsidRDefault="00E10513" w:rsidP="00E10513">
            <w:pPr>
              <w:spacing w:after="0" w:line="240" w:lineRule="auto"/>
              <w:jc w:val="both"/>
              <w:rPr>
                <w:rFonts w:ascii="Times New Roman" w:hAnsi="Times New Roman" w:cs="Times New Roman"/>
                <w:color w:val="000000"/>
                <w:sz w:val="24"/>
                <w:szCs w:val="24"/>
                <w:shd w:val="clear" w:color="auto" w:fill="FFFFFF"/>
              </w:rPr>
            </w:pPr>
            <w:r w:rsidRPr="00E10513">
              <w:rPr>
                <w:rFonts w:ascii="Times New Roman" w:hAnsi="Times New Roman" w:cs="Times New Roman"/>
                <w:color w:val="000000"/>
                <w:sz w:val="24"/>
                <w:szCs w:val="24"/>
                <w:shd w:val="clear" w:color="auto" w:fill="FFFFFF"/>
              </w:rPr>
              <w:t>Pasākuma īstenošanas termiņš – no 2016.gada 1.janvārī līdz 2018.gada 31.decembrim.</w:t>
            </w:r>
          </w:p>
          <w:p w14:paraId="3805FA3B" w14:textId="77777777" w:rsidR="009E7523" w:rsidRPr="009E7523" w:rsidRDefault="009E7523" w:rsidP="00E1051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Pirmajā un otrajā ieviešanas gadā plānots lielāks finansējums (kopā indikatīvi 80% no pasākuma finansējuma), trešajam gadam plānots </w:t>
            </w:r>
            <w:r w:rsidRPr="009E7523">
              <w:rPr>
                <w:rFonts w:ascii="Times New Roman" w:hAnsi="Times New Roman" w:cs="Times New Roman"/>
                <w:color w:val="000000"/>
                <w:sz w:val="24"/>
                <w:szCs w:val="24"/>
              </w:rPr>
              <w:t>indikatīvi 20% apmērā.</w:t>
            </w:r>
          </w:p>
          <w:p w14:paraId="585D6BD2" w14:textId="77777777" w:rsidR="009B5667" w:rsidRPr="009E7523" w:rsidRDefault="009B5667" w:rsidP="00165CC2">
            <w:pPr>
              <w:spacing w:after="0" w:line="240" w:lineRule="auto"/>
              <w:jc w:val="both"/>
              <w:rPr>
                <w:rFonts w:ascii="Times New Roman" w:hAnsi="Times New Roman" w:cs="Times New Roman"/>
                <w:color w:val="000000"/>
                <w:sz w:val="24"/>
                <w:szCs w:val="24"/>
                <w:shd w:val="clear" w:color="auto" w:fill="FFFFFF"/>
              </w:rPr>
            </w:pPr>
          </w:p>
          <w:p w14:paraId="12FE2E95" w14:textId="77777777" w:rsidR="009B5667" w:rsidRPr="009E7523" w:rsidRDefault="009B5667" w:rsidP="00165CC2">
            <w:pPr>
              <w:spacing w:after="0" w:line="240" w:lineRule="auto"/>
              <w:jc w:val="both"/>
              <w:rPr>
                <w:rFonts w:ascii="Times New Roman" w:hAnsi="Times New Roman" w:cs="Times New Roman"/>
                <w:color w:val="000000"/>
                <w:sz w:val="24"/>
                <w:szCs w:val="24"/>
                <w:shd w:val="clear" w:color="auto" w:fill="FFFFFF"/>
              </w:rPr>
            </w:pPr>
            <w:r w:rsidRPr="009E7523">
              <w:rPr>
                <w:rFonts w:ascii="Times New Roman" w:hAnsi="Times New Roman" w:cs="Times New Roman"/>
                <w:b/>
                <w:color w:val="000000"/>
                <w:sz w:val="24"/>
                <w:szCs w:val="24"/>
                <w:u w:val="single"/>
                <w:shd w:val="clear" w:color="auto" w:fill="FFFFFF"/>
              </w:rPr>
              <w:t>201</w:t>
            </w:r>
            <w:r w:rsidR="00E10513" w:rsidRPr="009E7523">
              <w:rPr>
                <w:rFonts w:ascii="Times New Roman" w:hAnsi="Times New Roman" w:cs="Times New Roman"/>
                <w:b/>
                <w:color w:val="000000"/>
                <w:sz w:val="24"/>
                <w:szCs w:val="24"/>
                <w:u w:val="single"/>
                <w:shd w:val="clear" w:color="auto" w:fill="FFFFFF"/>
              </w:rPr>
              <w:t>6</w:t>
            </w:r>
            <w:r w:rsidRPr="009E7523">
              <w:rPr>
                <w:rFonts w:ascii="Times New Roman" w:hAnsi="Times New Roman" w:cs="Times New Roman"/>
                <w:b/>
                <w:color w:val="000000"/>
                <w:sz w:val="24"/>
                <w:szCs w:val="24"/>
                <w:u w:val="single"/>
                <w:shd w:val="clear" w:color="auto" w:fill="FFFFFF"/>
              </w:rPr>
              <w:t>. gadam</w:t>
            </w:r>
            <w:r w:rsidRPr="009E7523">
              <w:rPr>
                <w:rFonts w:ascii="Times New Roman" w:hAnsi="Times New Roman" w:cs="Times New Roman"/>
                <w:color w:val="000000"/>
                <w:sz w:val="24"/>
                <w:szCs w:val="24"/>
                <w:shd w:val="clear" w:color="auto" w:fill="FFFFFF"/>
              </w:rPr>
              <w:t xml:space="preserve"> indikatīvi kopējās izmaksas EUR </w:t>
            </w:r>
            <w:r w:rsidR="00E10513" w:rsidRPr="009E7523">
              <w:rPr>
                <w:rFonts w:ascii="Times New Roman" w:hAnsi="Times New Roman" w:cs="Times New Roman"/>
                <w:color w:val="000000"/>
                <w:sz w:val="24"/>
                <w:szCs w:val="24"/>
                <w:shd w:val="clear" w:color="auto" w:fill="FFFFFF"/>
              </w:rPr>
              <w:t>1 000 000</w:t>
            </w:r>
            <w:r w:rsidRPr="009E7523">
              <w:rPr>
                <w:rFonts w:ascii="Times New Roman" w:hAnsi="Times New Roman" w:cs="Times New Roman"/>
                <w:color w:val="000000"/>
                <w:sz w:val="24"/>
                <w:szCs w:val="24"/>
                <w:shd w:val="clear" w:color="auto" w:fill="FFFFFF"/>
              </w:rPr>
              <w:t xml:space="preserve">, tai skaitā no tā ESF finansējums EUR </w:t>
            </w:r>
            <w:r w:rsidR="00E10513" w:rsidRPr="009E7523">
              <w:rPr>
                <w:rFonts w:ascii="Times New Roman" w:hAnsi="Times New Roman" w:cs="Times New Roman"/>
                <w:color w:val="000000"/>
                <w:sz w:val="24"/>
                <w:szCs w:val="24"/>
                <w:shd w:val="clear" w:color="auto" w:fill="FFFFFF"/>
              </w:rPr>
              <w:t>850 000</w:t>
            </w:r>
            <w:r w:rsidRPr="009E7523">
              <w:rPr>
                <w:rFonts w:ascii="Times New Roman" w:hAnsi="Times New Roman" w:cs="Times New Roman"/>
                <w:color w:val="000000"/>
                <w:sz w:val="24"/>
                <w:szCs w:val="24"/>
                <w:shd w:val="clear" w:color="auto" w:fill="FFFFFF"/>
              </w:rPr>
              <w:t xml:space="preserve"> un valsts budžeta līdzfinansējums EUR </w:t>
            </w:r>
            <w:r w:rsidR="00E10513" w:rsidRPr="009E7523">
              <w:rPr>
                <w:rFonts w:ascii="Times New Roman" w:hAnsi="Times New Roman" w:cs="Times New Roman"/>
                <w:color w:val="000000"/>
                <w:sz w:val="24"/>
                <w:szCs w:val="24"/>
                <w:shd w:val="clear" w:color="auto" w:fill="FFFFFF"/>
              </w:rPr>
              <w:t>150 000</w:t>
            </w:r>
            <w:r w:rsidRPr="009E7523">
              <w:rPr>
                <w:rFonts w:ascii="Times New Roman" w:hAnsi="Times New Roman" w:cs="Times New Roman"/>
                <w:color w:val="000000"/>
                <w:sz w:val="24"/>
                <w:szCs w:val="24"/>
                <w:shd w:val="clear" w:color="auto" w:fill="FFFFFF"/>
              </w:rPr>
              <w:t xml:space="preserve">. </w:t>
            </w:r>
            <w:r w:rsidR="009E7523" w:rsidRPr="009E7523">
              <w:rPr>
                <w:rFonts w:ascii="Times New Roman" w:hAnsi="Times New Roman" w:cs="Times New Roman"/>
                <w:color w:val="000000"/>
                <w:sz w:val="24"/>
                <w:szCs w:val="24"/>
                <w:shd w:val="clear" w:color="auto" w:fill="FFFFFF"/>
              </w:rPr>
              <w:t xml:space="preserve">Budžetā 2016.gadam šobrīd finansējums projektam nav paredzēts. Izglītības un zinātnes ministrija 2016.gadā normatīvajos aktos noteiktajā kārtībā sagatavos un iesniegs Finanšu ministrijai līdzekļu pieprasījumu, indikatīvi, EUR 1 000 000 apmērā, pārdalei no 74.resora </w:t>
            </w:r>
            <w:r w:rsidR="009E7523">
              <w:rPr>
                <w:rFonts w:ascii="Times New Roman" w:hAnsi="Times New Roman" w:cs="Times New Roman"/>
                <w:color w:val="000000"/>
                <w:sz w:val="24"/>
                <w:szCs w:val="24"/>
                <w:shd w:val="clear" w:color="auto" w:fill="FFFFFF"/>
              </w:rPr>
              <w:t>“</w:t>
            </w:r>
            <w:r w:rsidR="009E7523" w:rsidRPr="009E7523">
              <w:rPr>
                <w:rFonts w:ascii="Times New Roman" w:hAnsi="Times New Roman" w:cs="Times New Roman"/>
                <w:color w:val="000000"/>
                <w:sz w:val="24"/>
                <w:szCs w:val="24"/>
                <w:shd w:val="clear" w:color="auto" w:fill="FFFFFF"/>
              </w:rPr>
              <w:t>Gadskārtējā valsts budžeta izpildes procesā pārdalāmais fi</w:t>
            </w:r>
            <w:r w:rsidR="009E7523">
              <w:rPr>
                <w:rFonts w:ascii="Times New Roman" w:hAnsi="Times New Roman" w:cs="Times New Roman"/>
                <w:color w:val="000000"/>
                <w:sz w:val="24"/>
                <w:szCs w:val="24"/>
                <w:shd w:val="clear" w:color="auto" w:fill="FFFFFF"/>
              </w:rPr>
              <w:t>nansējums” 80.00.00 programmas “</w:t>
            </w:r>
            <w:r w:rsidR="009E7523" w:rsidRPr="009E7523">
              <w:rPr>
                <w:rFonts w:ascii="Times New Roman" w:hAnsi="Times New Roman" w:cs="Times New Roman"/>
                <w:color w:val="000000"/>
                <w:sz w:val="24"/>
                <w:szCs w:val="24"/>
                <w:shd w:val="clear" w:color="auto" w:fill="FFFFFF"/>
              </w:rPr>
              <w:t xml:space="preserve">Nesadalītais finansējums Eiropas Savienības politiku instrumentu un pārējās ārvalstu </w:t>
            </w:r>
            <w:r w:rsidR="009E7523" w:rsidRPr="009E7523">
              <w:rPr>
                <w:rFonts w:ascii="Times New Roman" w:hAnsi="Times New Roman" w:cs="Times New Roman"/>
                <w:color w:val="000000"/>
                <w:sz w:val="24"/>
                <w:szCs w:val="24"/>
                <w:shd w:val="clear" w:color="auto" w:fill="FFFFFF"/>
              </w:rPr>
              <w:lastRenderedPageBreak/>
              <w:t>finanšu palīdzības līdzfinansēto projektu un pasākumu īstenošanai”.</w:t>
            </w:r>
          </w:p>
          <w:p w14:paraId="3C4DD50F" w14:textId="77777777" w:rsidR="009E7523" w:rsidRPr="009E7523" w:rsidRDefault="00E10513" w:rsidP="009E7523">
            <w:pPr>
              <w:spacing w:after="0" w:line="240" w:lineRule="auto"/>
              <w:jc w:val="both"/>
              <w:rPr>
                <w:rFonts w:ascii="Times New Roman" w:hAnsi="Times New Roman" w:cs="Times New Roman"/>
                <w:color w:val="000000"/>
                <w:sz w:val="24"/>
                <w:szCs w:val="24"/>
                <w:shd w:val="clear" w:color="auto" w:fill="FFFFFF"/>
              </w:rPr>
            </w:pPr>
            <w:r w:rsidRPr="009E7523">
              <w:rPr>
                <w:rFonts w:ascii="Times New Roman" w:hAnsi="Times New Roman" w:cs="Times New Roman"/>
                <w:b/>
                <w:color w:val="000000"/>
                <w:sz w:val="24"/>
                <w:szCs w:val="24"/>
                <w:u w:val="single"/>
                <w:shd w:val="clear" w:color="auto" w:fill="FFFFFF"/>
              </w:rPr>
              <w:t>2017</w:t>
            </w:r>
            <w:r w:rsidR="009B5667" w:rsidRPr="009E7523">
              <w:rPr>
                <w:rFonts w:ascii="Times New Roman" w:hAnsi="Times New Roman" w:cs="Times New Roman"/>
                <w:b/>
                <w:color w:val="000000"/>
                <w:sz w:val="24"/>
                <w:szCs w:val="24"/>
                <w:u w:val="single"/>
                <w:shd w:val="clear" w:color="auto" w:fill="FFFFFF"/>
              </w:rPr>
              <w:t>.gadam</w:t>
            </w:r>
            <w:r w:rsidR="009B5667" w:rsidRPr="009E7523">
              <w:rPr>
                <w:rFonts w:ascii="Times New Roman" w:hAnsi="Times New Roman" w:cs="Times New Roman"/>
                <w:color w:val="000000"/>
                <w:sz w:val="24"/>
                <w:szCs w:val="24"/>
                <w:shd w:val="clear" w:color="auto" w:fill="FFFFFF"/>
              </w:rPr>
              <w:t xml:space="preserve"> </w:t>
            </w:r>
            <w:r w:rsidRPr="009E7523">
              <w:rPr>
                <w:rFonts w:ascii="Times New Roman" w:hAnsi="Times New Roman" w:cs="Times New Roman"/>
                <w:color w:val="000000"/>
                <w:sz w:val="24"/>
                <w:szCs w:val="24"/>
                <w:shd w:val="clear" w:color="auto" w:fill="FFFFFF"/>
              </w:rPr>
              <w:t>indikatīvi kopējās izmaksas EUR 1 000 000, tai skaitā no tā ESF finansējums EUR 850 000 un valsts budžeta līdzfinansējums EUR 150 000</w:t>
            </w:r>
            <w:r w:rsidR="009B5667" w:rsidRPr="009E7523">
              <w:rPr>
                <w:rFonts w:ascii="Times New Roman" w:hAnsi="Times New Roman" w:cs="Times New Roman"/>
                <w:color w:val="000000"/>
                <w:sz w:val="24"/>
                <w:szCs w:val="24"/>
                <w:shd w:val="clear" w:color="auto" w:fill="FFFFFF"/>
              </w:rPr>
              <w:t xml:space="preserve">. </w:t>
            </w:r>
          </w:p>
          <w:p w14:paraId="10F36C81" w14:textId="77777777" w:rsidR="00403A2F" w:rsidRPr="00E12034" w:rsidRDefault="00E10513" w:rsidP="009E7523">
            <w:pPr>
              <w:spacing w:after="0" w:line="240" w:lineRule="auto"/>
              <w:jc w:val="both"/>
              <w:rPr>
                <w:rFonts w:ascii="Times New Roman" w:hAnsi="Times New Roman" w:cs="Times New Roman"/>
                <w:sz w:val="24"/>
                <w:szCs w:val="24"/>
                <w:highlight w:val="yellow"/>
              </w:rPr>
            </w:pPr>
            <w:r w:rsidRPr="009E7523">
              <w:rPr>
                <w:rFonts w:ascii="Times New Roman" w:hAnsi="Times New Roman" w:cs="Times New Roman"/>
                <w:b/>
                <w:color w:val="000000"/>
                <w:sz w:val="24"/>
                <w:szCs w:val="24"/>
                <w:u w:val="single"/>
                <w:shd w:val="clear" w:color="auto" w:fill="FFFFFF"/>
              </w:rPr>
              <w:t>2018</w:t>
            </w:r>
            <w:r w:rsidR="009B5667" w:rsidRPr="009E7523">
              <w:rPr>
                <w:rFonts w:ascii="Times New Roman" w:hAnsi="Times New Roman" w:cs="Times New Roman"/>
                <w:b/>
                <w:color w:val="000000"/>
                <w:sz w:val="24"/>
                <w:szCs w:val="24"/>
                <w:u w:val="single"/>
                <w:shd w:val="clear" w:color="auto" w:fill="FFFFFF"/>
              </w:rPr>
              <w:t>. gadam</w:t>
            </w:r>
            <w:r w:rsidR="009B5667" w:rsidRPr="009E7523">
              <w:rPr>
                <w:rFonts w:ascii="Times New Roman" w:hAnsi="Times New Roman" w:cs="Times New Roman"/>
                <w:color w:val="000000"/>
                <w:sz w:val="24"/>
                <w:szCs w:val="24"/>
                <w:shd w:val="clear" w:color="auto" w:fill="FFFFFF"/>
              </w:rPr>
              <w:t xml:space="preserve"> indikatīvi kopējās izmaksas EUR </w:t>
            </w:r>
            <w:r w:rsidR="009E7523" w:rsidRPr="009E7523">
              <w:rPr>
                <w:rFonts w:ascii="Times New Roman" w:hAnsi="Times New Roman" w:cs="Times New Roman"/>
                <w:color w:val="000000"/>
                <w:sz w:val="24"/>
                <w:szCs w:val="24"/>
                <w:shd w:val="clear" w:color="auto" w:fill="FFFFFF"/>
              </w:rPr>
              <w:t>500 000</w:t>
            </w:r>
            <w:r w:rsidR="009B5667" w:rsidRPr="009E7523">
              <w:rPr>
                <w:rFonts w:ascii="Times New Roman" w:hAnsi="Times New Roman" w:cs="Times New Roman"/>
                <w:color w:val="000000"/>
                <w:sz w:val="24"/>
                <w:szCs w:val="24"/>
                <w:shd w:val="clear" w:color="auto" w:fill="FFFFFF"/>
              </w:rPr>
              <w:t xml:space="preserve">, tai skaitā no tā ESF finansējums EUR </w:t>
            </w:r>
            <w:r w:rsidR="009E7523" w:rsidRPr="009E7523">
              <w:rPr>
                <w:rFonts w:ascii="Times New Roman" w:hAnsi="Times New Roman" w:cs="Times New Roman"/>
                <w:color w:val="000000"/>
                <w:sz w:val="24"/>
                <w:szCs w:val="24"/>
                <w:shd w:val="clear" w:color="auto" w:fill="FFFFFF"/>
              </w:rPr>
              <w:t>425 000</w:t>
            </w:r>
            <w:r w:rsidR="009B5667" w:rsidRPr="009E7523">
              <w:rPr>
                <w:rFonts w:ascii="Times New Roman" w:hAnsi="Times New Roman" w:cs="Times New Roman"/>
                <w:color w:val="000000"/>
                <w:sz w:val="24"/>
                <w:szCs w:val="24"/>
                <w:shd w:val="clear" w:color="auto" w:fill="FFFFFF"/>
              </w:rPr>
              <w:t xml:space="preserve"> un valsts budžeta līdzfinansējums EUR </w:t>
            </w:r>
            <w:r w:rsidR="009E7523" w:rsidRPr="009E7523">
              <w:rPr>
                <w:rFonts w:ascii="Times New Roman" w:hAnsi="Times New Roman" w:cs="Times New Roman"/>
                <w:color w:val="000000"/>
                <w:sz w:val="24"/>
                <w:szCs w:val="24"/>
                <w:shd w:val="clear" w:color="auto" w:fill="FFFFFF"/>
              </w:rPr>
              <w:t>75 000</w:t>
            </w:r>
            <w:r w:rsidR="009B5667" w:rsidRPr="009E7523">
              <w:rPr>
                <w:rFonts w:ascii="Times New Roman" w:hAnsi="Times New Roman" w:cs="Times New Roman"/>
                <w:color w:val="000000"/>
                <w:sz w:val="24"/>
                <w:szCs w:val="24"/>
                <w:shd w:val="clear" w:color="auto" w:fill="FFFFFF"/>
              </w:rPr>
              <w:t>.</w:t>
            </w:r>
          </w:p>
        </w:tc>
      </w:tr>
      <w:tr w:rsidR="00F91BD8" w:rsidRPr="00EE2B27" w14:paraId="07F41F38" w14:textId="77777777" w:rsidTr="00883BC7">
        <w:trPr>
          <w:jc w:val="center"/>
        </w:trPr>
        <w:tc>
          <w:tcPr>
            <w:tcW w:w="3114" w:type="dxa"/>
          </w:tcPr>
          <w:p w14:paraId="52E21718" w14:textId="77777777" w:rsidR="00F91BD8" w:rsidRPr="00EE2B27" w:rsidRDefault="00F91BD8" w:rsidP="00165CC2">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t>6.1. detalizēts ieņēmumu aprēķins</w:t>
            </w:r>
          </w:p>
        </w:tc>
        <w:tc>
          <w:tcPr>
            <w:tcW w:w="6525" w:type="dxa"/>
            <w:gridSpan w:val="5"/>
            <w:vMerge/>
          </w:tcPr>
          <w:p w14:paraId="469CC9BD" w14:textId="77777777" w:rsidR="00F91BD8" w:rsidRPr="00EE2B27" w:rsidRDefault="00F91BD8" w:rsidP="00165CC2">
            <w:pPr>
              <w:pStyle w:val="naisf"/>
              <w:spacing w:before="0" w:beforeAutospacing="0" w:after="0" w:afterAutospacing="0"/>
              <w:rPr>
                <w:b/>
                <w:i/>
              </w:rPr>
            </w:pPr>
          </w:p>
        </w:tc>
      </w:tr>
      <w:tr w:rsidR="00F91BD8" w:rsidRPr="00EE2B27" w14:paraId="6C61C19F" w14:textId="77777777" w:rsidTr="00883BC7">
        <w:trPr>
          <w:jc w:val="center"/>
        </w:trPr>
        <w:tc>
          <w:tcPr>
            <w:tcW w:w="3114" w:type="dxa"/>
          </w:tcPr>
          <w:p w14:paraId="3B5E6CBA" w14:textId="77777777" w:rsidR="00F91BD8" w:rsidRPr="00EE2B27" w:rsidRDefault="00F91BD8" w:rsidP="00165CC2">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t>6.2. detalizēts izdevumu aprēķins</w:t>
            </w:r>
          </w:p>
        </w:tc>
        <w:tc>
          <w:tcPr>
            <w:tcW w:w="6525" w:type="dxa"/>
            <w:gridSpan w:val="5"/>
            <w:vMerge/>
          </w:tcPr>
          <w:p w14:paraId="307DFD0E" w14:textId="77777777" w:rsidR="00F91BD8" w:rsidRPr="00EE2B27" w:rsidRDefault="00F91BD8" w:rsidP="00165CC2">
            <w:pPr>
              <w:pStyle w:val="naisf"/>
              <w:spacing w:before="0" w:beforeAutospacing="0" w:after="0" w:afterAutospacing="0"/>
              <w:rPr>
                <w:b/>
                <w:i/>
              </w:rPr>
            </w:pPr>
          </w:p>
        </w:tc>
      </w:tr>
      <w:tr w:rsidR="00F91BD8" w:rsidRPr="00EE2B27" w14:paraId="429F9801" w14:textId="77777777" w:rsidTr="00883BC7">
        <w:trPr>
          <w:trHeight w:val="556"/>
          <w:jc w:val="center"/>
        </w:trPr>
        <w:tc>
          <w:tcPr>
            <w:tcW w:w="3114" w:type="dxa"/>
          </w:tcPr>
          <w:p w14:paraId="7D4DF229" w14:textId="77777777" w:rsidR="00F91BD8" w:rsidRPr="00EE2B27" w:rsidRDefault="00F91BD8" w:rsidP="00165CC2">
            <w:pPr>
              <w:spacing w:after="0" w:line="240" w:lineRule="auto"/>
              <w:rPr>
                <w:rFonts w:ascii="Times New Roman" w:hAnsi="Times New Roman" w:cs="Times New Roman"/>
                <w:sz w:val="24"/>
                <w:szCs w:val="24"/>
              </w:rPr>
            </w:pPr>
            <w:r w:rsidRPr="00EE2B27">
              <w:rPr>
                <w:rFonts w:ascii="Times New Roman" w:hAnsi="Times New Roman" w:cs="Times New Roman"/>
                <w:sz w:val="24"/>
                <w:szCs w:val="24"/>
              </w:rPr>
              <w:lastRenderedPageBreak/>
              <w:t>7. Cita informācija</w:t>
            </w:r>
          </w:p>
        </w:tc>
        <w:tc>
          <w:tcPr>
            <w:tcW w:w="6525" w:type="dxa"/>
            <w:gridSpan w:val="5"/>
          </w:tcPr>
          <w:p w14:paraId="32500369" w14:textId="77777777" w:rsidR="003C0358" w:rsidRPr="00E12034" w:rsidRDefault="00F91BD8" w:rsidP="00165CC2">
            <w:pPr>
              <w:pStyle w:val="naisf"/>
              <w:tabs>
                <w:tab w:val="left" w:pos="4644"/>
              </w:tabs>
              <w:spacing w:before="0" w:beforeAutospacing="0" w:after="0" w:afterAutospacing="0"/>
              <w:jc w:val="both"/>
            </w:pPr>
            <w:r w:rsidRPr="00EE2B27">
              <w:t xml:space="preserve">Finansējuma sadalījums pa gadiem norādīts indikatīvi un var tikt precizēts pēc </w:t>
            </w:r>
            <w:r w:rsidR="00E12034">
              <w:t>pasākuma</w:t>
            </w:r>
            <w:r w:rsidRPr="00EE2B27">
              <w:t xml:space="preserve"> ietvaros paredzētā projekta apstiprināšanas.</w:t>
            </w:r>
          </w:p>
        </w:tc>
      </w:tr>
    </w:tbl>
    <w:p w14:paraId="7F97356D" w14:textId="77777777" w:rsidR="00F21E42" w:rsidRPr="00EE2B27" w:rsidRDefault="00F21E42" w:rsidP="00165CC2">
      <w:pPr>
        <w:spacing w:after="0" w:line="240" w:lineRule="auto"/>
        <w:rPr>
          <w:rFonts w:ascii="Times New Roman" w:hAnsi="Times New Roman" w:cs="Times New Roman"/>
          <w:sz w:val="24"/>
          <w:szCs w:val="24"/>
        </w:rPr>
      </w:pPr>
    </w:p>
    <w:p w14:paraId="2CDD1782" w14:textId="77777777" w:rsidR="0050490E" w:rsidRPr="00EE2B27" w:rsidRDefault="0050490E" w:rsidP="00165CC2">
      <w:pPr>
        <w:spacing w:after="0" w:line="240" w:lineRule="auto"/>
        <w:rPr>
          <w:rFonts w:ascii="Times New Roman" w:hAnsi="Times New Roman" w:cs="Times New Roman"/>
          <w:color w:val="00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35"/>
        <w:gridCol w:w="6237"/>
      </w:tblGrid>
      <w:tr w:rsidR="00CC1A56" w:rsidRPr="00EE2B27" w14:paraId="59E8286E" w14:textId="77777777" w:rsidTr="0089655E">
        <w:trPr>
          <w:trHeight w:val="421"/>
          <w:jc w:val="center"/>
        </w:trPr>
        <w:tc>
          <w:tcPr>
            <w:tcW w:w="9634" w:type="dxa"/>
            <w:gridSpan w:val="3"/>
            <w:vAlign w:val="center"/>
          </w:tcPr>
          <w:p w14:paraId="38DB8E20" w14:textId="77777777" w:rsidR="00CC1A56" w:rsidRPr="00EE2B27" w:rsidRDefault="002F7324" w:rsidP="00165CC2">
            <w:pPr>
              <w:pStyle w:val="naisnod"/>
              <w:spacing w:before="0" w:beforeAutospacing="0" w:after="0" w:afterAutospacing="0"/>
              <w:ind w:left="57" w:right="57"/>
              <w:jc w:val="center"/>
            </w:pPr>
            <w:r w:rsidRPr="00EE2B27">
              <w:rPr>
                <w:b/>
              </w:rPr>
              <w:t>V</w:t>
            </w:r>
            <w:r w:rsidR="008D0993" w:rsidRPr="00EE2B27">
              <w:rPr>
                <w:b/>
              </w:rPr>
              <w:t>I</w:t>
            </w:r>
            <w:r w:rsidR="00CC1A56" w:rsidRPr="00EE2B27">
              <w:rPr>
                <w:b/>
              </w:rPr>
              <w:t>. Sabiedrības līdzdalība un komunikācijas aktivitātes</w:t>
            </w:r>
          </w:p>
        </w:tc>
      </w:tr>
      <w:tr w:rsidR="00CC1A56" w:rsidRPr="00EE2B27" w14:paraId="35A40C20" w14:textId="77777777" w:rsidTr="0089655E">
        <w:trPr>
          <w:trHeight w:val="553"/>
          <w:jc w:val="center"/>
        </w:trPr>
        <w:tc>
          <w:tcPr>
            <w:tcW w:w="562" w:type="dxa"/>
          </w:tcPr>
          <w:p w14:paraId="3A63F6C0" w14:textId="77777777" w:rsidR="00CC1A56" w:rsidRPr="00EE2B27" w:rsidRDefault="00CC1A56" w:rsidP="00165CC2">
            <w:pPr>
              <w:spacing w:after="0" w:line="240" w:lineRule="auto"/>
              <w:ind w:left="57" w:right="57"/>
              <w:jc w:val="both"/>
              <w:rPr>
                <w:rFonts w:ascii="Times New Roman" w:hAnsi="Times New Roman" w:cs="Times New Roman"/>
                <w:bCs/>
                <w:sz w:val="24"/>
                <w:szCs w:val="24"/>
              </w:rPr>
            </w:pPr>
            <w:r w:rsidRPr="00EE2B27">
              <w:rPr>
                <w:rFonts w:ascii="Times New Roman" w:hAnsi="Times New Roman" w:cs="Times New Roman"/>
                <w:bCs/>
                <w:sz w:val="24"/>
                <w:szCs w:val="24"/>
              </w:rPr>
              <w:t>1.</w:t>
            </w:r>
          </w:p>
        </w:tc>
        <w:tc>
          <w:tcPr>
            <w:tcW w:w="2835" w:type="dxa"/>
          </w:tcPr>
          <w:p w14:paraId="27FE0815" w14:textId="77777777" w:rsidR="00CC1A56" w:rsidRPr="00EE2B27" w:rsidRDefault="00CC1A56" w:rsidP="00165CC2">
            <w:pPr>
              <w:tabs>
                <w:tab w:val="left" w:pos="170"/>
              </w:tabs>
              <w:spacing w:after="0" w:line="240" w:lineRule="auto"/>
              <w:ind w:left="57" w:right="57"/>
              <w:rPr>
                <w:rFonts w:ascii="Times New Roman" w:hAnsi="Times New Roman" w:cs="Times New Roman"/>
                <w:sz w:val="24"/>
                <w:szCs w:val="24"/>
                <w:lang w:eastAsia="lv-LV"/>
              </w:rPr>
            </w:pPr>
            <w:r w:rsidRPr="00EE2B27">
              <w:rPr>
                <w:rFonts w:ascii="Times New Roman" w:hAnsi="Times New Roman" w:cs="Times New Roman"/>
                <w:sz w:val="24"/>
                <w:szCs w:val="24"/>
                <w:lang w:eastAsia="lv-LV"/>
              </w:rPr>
              <w:t>Plānotās sabiedrības līdzdalības un komunikācijas aktivitātes saistībā ar projektu</w:t>
            </w:r>
          </w:p>
        </w:tc>
        <w:tc>
          <w:tcPr>
            <w:tcW w:w="6237" w:type="dxa"/>
          </w:tcPr>
          <w:p w14:paraId="5788C96C" w14:textId="75CF23D0" w:rsidR="00BE3615" w:rsidRPr="00EE2B27" w:rsidRDefault="00355126" w:rsidP="007C5B0E">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EE2B27">
              <w:rPr>
                <w:rFonts w:ascii="Times New Roman" w:hAnsi="Times New Roman" w:cs="Times New Roman"/>
                <w:bCs/>
                <w:sz w:val="24"/>
                <w:szCs w:val="24"/>
                <w:lang w:eastAsia="lv-LV"/>
              </w:rPr>
              <w:t xml:space="preserve">Īstenojot projektu, finansējuma saņēmējs nodrošina informācijas un publicitātes pasākumus, kas noteikti Eiropas Parlamenta un Padomes 2013.gada 17.decembra Regulā (ES) Nr.1303/2013, ar ko paredz kopīgus noteikumus par Eiropas Reģionālās attīstības fondu, </w:t>
            </w:r>
            <w:r w:rsidR="008829D4" w:rsidRPr="00EE2B27">
              <w:rPr>
                <w:rFonts w:ascii="Times New Roman" w:hAnsi="Times New Roman" w:cs="Times New Roman"/>
                <w:bCs/>
                <w:sz w:val="24"/>
                <w:szCs w:val="24"/>
                <w:lang w:eastAsia="lv-LV"/>
              </w:rPr>
              <w:t>E</w:t>
            </w:r>
            <w:r w:rsidR="007C5B0E">
              <w:rPr>
                <w:rFonts w:ascii="Times New Roman" w:hAnsi="Times New Roman" w:cs="Times New Roman"/>
                <w:bCs/>
                <w:sz w:val="24"/>
                <w:szCs w:val="24"/>
                <w:lang w:eastAsia="lv-LV"/>
              </w:rPr>
              <w:t>iropas Sociālo fondu</w:t>
            </w:r>
            <w:r w:rsidRPr="00EE2B27">
              <w:rPr>
                <w:rFonts w:ascii="Times New Roman" w:hAnsi="Times New Roman" w:cs="Times New Roman"/>
                <w:bCs/>
                <w:sz w:val="24"/>
                <w:szCs w:val="24"/>
                <w:lang w:eastAsia="lv-LV"/>
              </w:rPr>
              <w:t>, Kohēzijas fondu, Eiropas Lauksaimniecības fondu lauku attīstībai un Eiropas Jūrlietu un zivsaimniecības fondu un vispārīgus noteikumus par Eiropas Reģionālās attīstības</w:t>
            </w:r>
            <w:r w:rsidR="002C1A63" w:rsidRPr="00EE2B27">
              <w:rPr>
                <w:rFonts w:ascii="Times New Roman" w:hAnsi="Times New Roman" w:cs="Times New Roman"/>
                <w:bCs/>
                <w:sz w:val="24"/>
                <w:szCs w:val="24"/>
                <w:lang w:eastAsia="lv-LV"/>
              </w:rPr>
              <w:t xml:space="preserve"> fondu, </w:t>
            </w:r>
            <w:r w:rsidR="008829D4" w:rsidRPr="00EE2B27">
              <w:rPr>
                <w:rFonts w:ascii="Times New Roman" w:hAnsi="Times New Roman" w:cs="Times New Roman"/>
                <w:bCs/>
                <w:sz w:val="24"/>
                <w:szCs w:val="24"/>
                <w:lang w:eastAsia="lv-LV"/>
              </w:rPr>
              <w:t>E</w:t>
            </w:r>
            <w:r w:rsidR="007C5B0E">
              <w:rPr>
                <w:rFonts w:ascii="Times New Roman" w:hAnsi="Times New Roman" w:cs="Times New Roman"/>
                <w:bCs/>
                <w:sz w:val="24"/>
                <w:szCs w:val="24"/>
                <w:lang w:eastAsia="lv-LV"/>
              </w:rPr>
              <w:t>iropas Sociālo fondu</w:t>
            </w:r>
            <w:r w:rsidR="002C1A63" w:rsidRPr="00EE2B27">
              <w:rPr>
                <w:rFonts w:ascii="Times New Roman" w:hAnsi="Times New Roman" w:cs="Times New Roman"/>
                <w:bCs/>
                <w:sz w:val="24"/>
                <w:szCs w:val="24"/>
                <w:lang w:eastAsia="lv-LV"/>
              </w:rPr>
              <w:t xml:space="preserve">, </w:t>
            </w:r>
            <w:r w:rsidRPr="00EE2B27">
              <w:rPr>
                <w:rFonts w:ascii="Times New Roman" w:hAnsi="Times New Roman" w:cs="Times New Roman"/>
                <w:bCs/>
                <w:sz w:val="24"/>
                <w:szCs w:val="24"/>
                <w:lang w:eastAsia="lv-LV"/>
              </w:rPr>
              <w:t xml:space="preserve">Kohēzijas fondu un Eiropas Jūrlietu un zivsaimniecības fondu un atceļ Padomes Regulu (EK) Nr.1083/2006 prasību nodrošināšanu, un normatīvajos aktos par </w:t>
            </w:r>
            <w:r w:rsidR="008829D4" w:rsidRPr="00EE2B27">
              <w:rPr>
                <w:rFonts w:ascii="Times New Roman" w:hAnsi="Times New Roman" w:cs="Times New Roman"/>
                <w:bCs/>
                <w:sz w:val="24"/>
                <w:szCs w:val="24"/>
                <w:lang w:eastAsia="lv-LV"/>
              </w:rPr>
              <w:t>ES</w:t>
            </w:r>
            <w:r w:rsidRPr="00EE2B27">
              <w:rPr>
                <w:rFonts w:ascii="Times New Roman" w:hAnsi="Times New Roman" w:cs="Times New Roman"/>
                <w:bCs/>
                <w:sz w:val="24"/>
                <w:szCs w:val="24"/>
                <w:lang w:eastAsia="lv-LV"/>
              </w:rPr>
              <w:t xml:space="preserve"> fondu publicitātes un vizuālās identitātes prasību nodrošināšanu</w:t>
            </w:r>
            <w:r w:rsidR="000D655A" w:rsidRPr="00EE2B27">
              <w:rPr>
                <w:rFonts w:ascii="Times New Roman" w:hAnsi="Times New Roman" w:cs="Times New Roman"/>
                <w:bCs/>
                <w:sz w:val="24"/>
                <w:szCs w:val="24"/>
                <w:lang w:eastAsia="lv-LV"/>
              </w:rPr>
              <w:t>.</w:t>
            </w:r>
          </w:p>
        </w:tc>
      </w:tr>
      <w:tr w:rsidR="00CC1A56" w:rsidRPr="00EE2B27" w14:paraId="547A717C" w14:textId="77777777" w:rsidTr="0089655E">
        <w:trPr>
          <w:trHeight w:val="339"/>
          <w:jc w:val="center"/>
        </w:trPr>
        <w:tc>
          <w:tcPr>
            <w:tcW w:w="562" w:type="dxa"/>
          </w:tcPr>
          <w:p w14:paraId="717203EF" w14:textId="77777777" w:rsidR="00CC1A56" w:rsidRPr="00EE2B27" w:rsidRDefault="00CC1A56" w:rsidP="00165CC2">
            <w:pPr>
              <w:spacing w:after="0" w:line="240" w:lineRule="auto"/>
              <w:ind w:left="57" w:right="57"/>
              <w:jc w:val="both"/>
              <w:rPr>
                <w:rFonts w:ascii="Times New Roman" w:hAnsi="Times New Roman" w:cs="Times New Roman"/>
                <w:bCs/>
                <w:sz w:val="24"/>
                <w:szCs w:val="24"/>
              </w:rPr>
            </w:pPr>
            <w:r w:rsidRPr="00EE2B27">
              <w:rPr>
                <w:rFonts w:ascii="Times New Roman" w:hAnsi="Times New Roman" w:cs="Times New Roman"/>
                <w:bCs/>
                <w:sz w:val="24"/>
                <w:szCs w:val="24"/>
              </w:rPr>
              <w:t>2.</w:t>
            </w:r>
          </w:p>
        </w:tc>
        <w:tc>
          <w:tcPr>
            <w:tcW w:w="2835" w:type="dxa"/>
          </w:tcPr>
          <w:p w14:paraId="3E0DDFA3" w14:textId="77777777" w:rsidR="00CC1A56" w:rsidRPr="00EE2B27" w:rsidRDefault="00CC1A56" w:rsidP="00165CC2">
            <w:pPr>
              <w:spacing w:after="0" w:line="240" w:lineRule="auto"/>
              <w:ind w:left="57" w:right="57"/>
              <w:rPr>
                <w:rFonts w:ascii="Times New Roman" w:hAnsi="Times New Roman" w:cs="Times New Roman"/>
                <w:sz w:val="24"/>
                <w:szCs w:val="24"/>
                <w:lang w:eastAsia="lv-LV"/>
              </w:rPr>
            </w:pPr>
            <w:r w:rsidRPr="00EE2B27">
              <w:rPr>
                <w:rFonts w:ascii="Times New Roman" w:hAnsi="Times New Roman" w:cs="Times New Roman"/>
                <w:sz w:val="24"/>
                <w:szCs w:val="24"/>
                <w:lang w:eastAsia="lv-LV"/>
              </w:rPr>
              <w:t>Sabiedrības līdzdalība projekta izstrādē</w:t>
            </w:r>
          </w:p>
        </w:tc>
        <w:tc>
          <w:tcPr>
            <w:tcW w:w="6237" w:type="dxa"/>
          </w:tcPr>
          <w:p w14:paraId="354934C6" w14:textId="0025B557" w:rsidR="00475EDD" w:rsidRPr="0016242E" w:rsidRDefault="00F91BD8" w:rsidP="00362070">
            <w:pPr>
              <w:shd w:val="clear" w:color="auto" w:fill="FFFFFF"/>
              <w:spacing w:after="0" w:line="240" w:lineRule="auto"/>
              <w:ind w:left="57" w:right="113"/>
              <w:jc w:val="both"/>
              <w:rPr>
                <w:rFonts w:ascii="Times New Roman" w:hAnsi="Times New Roman" w:cs="Times New Roman"/>
                <w:bCs/>
                <w:sz w:val="24"/>
                <w:szCs w:val="24"/>
                <w:lang w:eastAsia="lv-LV"/>
              </w:rPr>
            </w:pPr>
            <w:bookmarkStart w:id="3" w:name="p62"/>
            <w:bookmarkEnd w:id="3"/>
            <w:r w:rsidRPr="00EA518C">
              <w:rPr>
                <w:rFonts w:ascii="Times New Roman" w:hAnsi="Times New Roman" w:cs="Times New Roman"/>
                <w:bCs/>
                <w:sz w:val="24"/>
                <w:szCs w:val="24"/>
                <w:lang w:eastAsia="lv-LV"/>
              </w:rPr>
              <w:t xml:space="preserve">Sabiedrības līdzdalība MK </w:t>
            </w:r>
            <w:r w:rsidR="007C5B0E">
              <w:rPr>
                <w:rFonts w:ascii="Times New Roman" w:hAnsi="Times New Roman" w:cs="Times New Roman"/>
                <w:bCs/>
                <w:sz w:val="24"/>
                <w:szCs w:val="24"/>
                <w:lang w:eastAsia="lv-LV"/>
              </w:rPr>
              <w:t xml:space="preserve">noteikumu </w:t>
            </w:r>
            <w:r w:rsidRPr="00EA518C">
              <w:rPr>
                <w:rFonts w:ascii="Times New Roman" w:hAnsi="Times New Roman" w:cs="Times New Roman"/>
                <w:bCs/>
                <w:sz w:val="24"/>
                <w:szCs w:val="24"/>
                <w:lang w:eastAsia="lv-LV"/>
              </w:rPr>
              <w:t>projekta izstrādē tika nodrošināta, ievietojot MK noteikumu projektu</w:t>
            </w:r>
            <w:r w:rsidR="009E7523" w:rsidRPr="00EA518C">
              <w:rPr>
                <w:rFonts w:ascii="Times New Roman" w:hAnsi="Times New Roman" w:cs="Times New Roman"/>
                <w:bCs/>
                <w:sz w:val="24"/>
                <w:szCs w:val="24"/>
                <w:lang w:eastAsia="lv-LV"/>
              </w:rPr>
              <w:t xml:space="preserve"> </w:t>
            </w:r>
            <w:r w:rsidR="00362070">
              <w:rPr>
                <w:rFonts w:ascii="Times New Roman" w:hAnsi="Times New Roman" w:cs="Times New Roman"/>
                <w:bCs/>
                <w:sz w:val="24"/>
                <w:szCs w:val="24"/>
                <w:lang w:eastAsia="lv-LV"/>
              </w:rPr>
              <w:t>IZM</w:t>
            </w:r>
            <w:r w:rsidRPr="00EA518C">
              <w:rPr>
                <w:rFonts w:ascii="Times New Roman" w:hAnsi="Times New Roman" w:cs="Times New Roman"/>
                <w:bCs/>
                <w:sz w:val="24"/>
                <w:szCs w:val="24"/>
                <w:lang w:eastAsia="lv-LV"/>
              </w:rPr>
              <w:t xml:space="preserve"> tīmekļa vietnē</w:t>
            </w:r>
            <w:r w:rsidR="00EA518C" w:rsidRPr="00EA518C">
              <w:rPr>
                <w:rFonts w:ascii="Times New Roman" w:hAnsi="Times New Roman" w:cs="Times New Roman"/>
                <w:bCs/>
                <w:sz w:val="24"/>
                <w:szCs w:val="24"/>
                <w:lang w:eastAsia="lv-LV"/>
              </w:rPr>
              <w:t xml:space="preserve"> </w:t>
            </w:r>
            <w:hyperlink r:id="rId8" w:history="1">
              <w:r w:rsidR="00EA518C" w:rsidRPr="00EA518C">
                <w:rPr>
                  <w:rStyle w:val="Hyperlink"/>
                  <w:rFonts w:ascii="Times New Roman" w:hAnsi="Times New Roman" w:cs="Times New Roman"/>
                  <w:bCs/>
                  <w:sz w:val="24"/>
                  <w:szCs w:val="24"/>
                  <w:lang w:eastAsia="lv-LV"/>
                </w:rPr>
                <w:t>www.izm.gov.lv</w:t>
              </w:r>
            </w:hyperlink>
            <w:r w:rsidR="00EA518C" w:rsidRPr="00EA518C">
              <w:rPr>
                <w:rFonts w:ascii="Times New Roman" w:hAnsi="Times New Roman" w:cs="Times New Roman"/>
                <w:bCs/>
                <w:sz w:val="24"/>
                <w:szCs w:val="24"/>
                <w:lang w:eastAsia="lv-LV"/>
              </w:rPr>
              <w:t xml:space="preserve"> </w:t>
            </w:r>
            <w:r w:rsidRPr="00EA518C">
              <w:rPr>
                <w:rFonts w:ascii="Times New Roman" w:hAnsi="Times New Roman" w:cs="Times New Roman"/>
                <w:bCs/>
                <w:sz w:val="24"/>
                <w:szCs w:val="24"/>
                <w:lang w:eastAsia="lv-LV"/>
              </w:rPr>
              <w:t>un aicinot sabiedrības pārstāvjus</w:t>
            </w:r>
            <w:r w:rsidR="00EA518C" w:rsidRPr="00EA518C">
              <w:rPr>
                <w:rFonts w:ascii="Times New Roman" w:hAnsi="Times New Roman" w:cs="Times New Roman"/>
                <w:bCs/>
                <w:sz w:val="24"/>
                <w:szCs w:val="24"/>
                <w:lang w:eastAsia="lv-LV"/>
              </w:rPr>
              <w:t xml:space="preserve"> </w:t>
            </w:r>
            <w:r w:rsidRPr="00EA518C">
              <w:rPr>
                <w:rFonts w:ascii="Times New Roman" w:hAnsi="Times New Roman" w:cs="Times New Roman"/>
                <w:bCs/>
                <w:sz w:val="24"/>
                <w:szCs w:val="24"/>
                <w:lang w:eastAsia="lv-LV"/>
              </w:rPr>
              <w:t>snie</w:t>
            </w:r>
            <w:r w:rsidR="00EA55C8" w:rsidRPr="00EA518C">
              <w:rPr>
                <w:rFonts w:ascii="Times New Roman" w:hAnsi="Times New Roman" w:cs="Times New Roman"/>
                <w:bCs/>
                <w:sz w:val="24"/>
                <w:szCs w:val="24"/>
                <w:lang w:eastAsia="lv-LV"/>
              </w:rPr>
              <w:t>g</w:t>
            </w:r>
            <w:r w:rsidRPr="00EA518C">
              <w:rPr>
                <w:rFonts w:ascii="Times New Roman" w:hAnsi="Times New Roman" w:cs="Times New Roman"/>
                <w:bCs/>
                <w:sz w:val="24"/>
                <w:szCs w:val="24"/>
                <w:lang w:eastAsia="lv-LV"/>
              </w:rPr>
              <w:t>t viedokli</w:t>
            </w:r>
            <w:r w:rsidR="00EA518C" w:rsidRPr="00EA518C">
              <w:rPr>
                <w:rFonts w:ascii="Times New Roman" w:hAnsi="Times New Roman" w:cs="Times New Roman"/>
                <w:bCs/>
                <w:sz w:val="24"/>
                <w:szCs w:val="24"/>
                <w:lang w:eastAsia="lv-LV"/>
              </w:rPr>
              <w:t>.</w:t>
            </w:r>
          </w:p>
        </w:tc>
      </w:tr>
      <w:tr w:rsidR="00CC1A56" w:rsidRPr="00EE2B27" w14:paraId="16A9928A" w14:textId="77777777" w:rsidTr="0089655E">
        <w:trPr>
          <w:trHeight w:val="476"/>
          <w:jc w:val="center"/>
        </w:trPr>
        <w:tc>
          <w:tcPr>
            <w:tcW w:w="562" w:type="dxa"/>
          </w:tcPr>
          <w:p w14:paraId="78608EEA" w14:textId="77777777" w:rsidR="00CC1A56" w:rsidRPr="00EE2B27" w:rsidRDefault="00CC1A56" w:rsidP="00165CC2">
            <w:pPr>
              <w:spacing w:after="0" w:line="240" w:lineRule="auto"/>
              <w:ind w:left="57" w:right="57"/>
              <w:jc w:val="both"/>
              <w:rPr>
                <w:rFonts w:ascii="Times New Roman" w:hAnsi="Times New Roman" w:cs="Times New Roman"/>
                <w:bCs/>
                <w:sz w:val="24"/>
                <w:szCs w:val="24"/>
              </w:rPr>
            </w:pPr>
            <w:r w:rsidRPr="00EE2B27">
              <w:rPr>
                <w:rFonts w:ascii="Times New Roman" w:hAnsi="Times New Roman" w:cs="Times New Roman"/>
                <w:bCs/>
                <w:sz w:val="24"/>
                <w:szCs w:val="24"/>
              </w:rPr>
              <w:t>3.</w:t>
            </w:r>
          </w:p>
        </w:tc>
        <w:tc>
          <w:tcPr>
            <w:tcW w:w="2835" w:type="dxa"/>
          </w:tcPr>
          <w:p w14:paraId="2B57A44A" w14:textId="77777777" w:rsidR="00CC1A56" w:rsidRPr="00EE2B27" w:rsidRDefault="00CC1A56" w:rsidP="00165CC2">
            <w:pPr>
              <w:spacing w:after="0" w:line="240" w:lineRule="auto"/>
              <w:ind w:left="57" w:right="57"/>
              <w:rPr>
                <w:rFonts w:ascii="Times New Roman" w:hAnsi="Times New Roman" w:cs="Times New Roman"/>
                <w:sz w:val="24"/>
                <w:szCs w:val="24"/>
                <w:lang w:eastAsia="lv-LV"/>
              </w:rPr>
            </w:pPr>
            <w:r w:rsidRPr="00EE2B27">
              <w:rPr>
                <w:rFonts w:ascii="Times New Roman" w:hAnsi="Times New Roman" w:cs="Times New Roman"/>
                <w:sz w:val="24"/>
                <w:szCs w:val="24"/>
                <w:lang w:eastAsia="lv-LV"/>
              </w:rPr>
              <w:t>Sabiedrības līdzdalības rezultāti</w:t>
            </w:r>
          </w:p>
        </w:tc>
        <w:tc>
          <w:tcPr>
            <w:tcW w:w="6237" w:type="dxa"/>
          </w:tcPr>
          <w:p w14:paraId="5C467955" w14:textId="269DE131" w:rsidR="00CC1A56" w:rsidRPr="00EE2B27" w:rsidRDefault="00674496" w:rsidP="007C5B0E">
            <w:pPr>
              <w:shd w:val="clear" w:color="auto" w:fill="FFFFFF"/>
              <w:spacing w:after="0" w:line="240" w:lineRule="auto"/>
              <w:ind w:left="57" w:right="113"/>
              <w:jc w:val="both"/>
              <w:rPr>
                <w:rFonts w:ascii="Times New Roman" w:hAnsi="Times New Roman" w:cs="Times New Roman"/>
                <w:sz w:val="24"/>
                <w:szCs w:val="24"/>
                <w:lang w:eastAsia="lv-LV"/>
              </w:rPr>
            </w:pPr>
            <w:r w:rsidRPr="00EE2B27">
              <w:rPr>
                <w:rFonts w:ascii="Times New Roman" w:hAnsi="Times New Roman" w:cs="Times New Roman"/>
                <w:sz w:val="24"/>
                <w:szCs w:val="24"/>
                <w:lang w:eastAsia="lv-LV"/>
              </w:rPr>
              <w:t xml:space="preserve">Sabiedrības līdzdalības rezultātā ir izstrādāts </w:t>
            </w:r>
            <w:r w:rsidR="007C5B0E">
              <w:rPr>
                <w:rFonts w:ascii="Times New Roman" w:hAnsi="Times New Roman" w:cs="Times New Roman"/>
                <w:sz w:val="24"/>
                <w:szCs w:val="24"/>
                <w:lang w:eastAsia="lv-LV"/>
              </w:rPr>
              <w:t>MK</w:t>
            </w:r>
            <w:r w:rsidR="007C5B0E" w:rsidRPr="00EE2B27">
              <w:rPr>
                <w:rFonts w:ascii="Times New Roman" w:hAnsi="Times New Roman" w:cs="Times New Roman"/>
                <w:sz w:val="24"/>
                <w:szCs w:val="24"/>
                <w:lang w:eastAsia="lv-LV"/>
              </w:rPr>
              <w:t xml:space="preserve"> </w:t>
            </w:r>
            <w:r w:rsidRPr="00EE2B27">
              <w:rPr>
                <w:rFonts w:ascii="Times New Roman" w:hAnsi="Times New Roman" w:cs="Times New Roman"/>
                <w:sz w:val="24"/>
                <w:szCs w:val="24"/>
                <w:lang w:eastAsia="lv-LV"/>
              </w:rPr>
              <w:t>noteikumu projekts, kura atbalstāmās darbības ir maksimāli mērķētas uz sabiedrību un tās interesēm.</w:t>
            </w:r>
          </w:p>
        </w:tc>
      </w:tr>
      <w:tr w:rsidR="00CC1A56" w:rsidRPr="00EE2B27" w14:paraId="46230D80" w14:textId="77777777" w:rsidTr="0089655E">
        <w:trPr>
          <w:trHeight w:val="476"/>
          <w:jc w:val="center"/>
        </w:trPr>
        <w:tc>
          <w:tcPr>
            <w:tcW w:w="562" w:type="dxa"/>
          </w:tcPr>
          <w:p w14:paraId="026777C0" w14:textId="77777777" w:rsidR="00CC1A56" w:rsidRPr="00EE2B27" w:rsidRDefault="00CC1A56" w:rsidP="00165CC2">
            <w:pPr>
              <w:spacing w:after="0" w:line="240" w:lineRule="auto"/>
              <w:ind w:left="57" w:right="57"/>
              <w:jc w:val="both"/>
              <w:rPr>
                <w:rFonts w:ascii="Times New Roman" w:hAnsi="Times New Roman" w:cs="Times New Roman"/>
                <w:bCs/>
                <w:sz w:val="24"/>
                <w:szCs w:val="24"/>
              </w:rPr>
            </w:pPr>
            <w:r w:rsidRPr="00EE2B27">
              <w:rPr>
                <w:rFonts w:ascii="Times New Roman" w:hAnsi="Times New Roman" w:cs="Times New Roman"/>
                <w:bCs/>
                <w:sz w:val="24"/>
                <w:szCs w:val="24"/>
              </w:rPr>
              <w:t>4.</w:t>
            </w:r>
          </w:p>
        </w:tc>
        <w:tc>
          <w:tcPr>
            <w:tcW w:w="2835" w:type="dxa"/>
          </w:tcPr>
          <w:p w14:paraId="5669BC64" w14:textId="77777777" w:rsidR="00CC1A56" w:rsidRPr="00EE2B27" w:rsidRDefault="00CC1A56" w:rsidP="00165CC2">
            <w:pPr>
              <w:spacing w:after="0" w:line="240" w:lineRule="auto"/>
              <w:ind w:left="57" w:right="57"/>
              <w:rPr>
                <w:rFonts w:ascii="Times New Roman" w:hAnsi="Times New Roman" w:cs="Times New Roman"/>
                <w:sz w:val="24"/>
                <w:szCs w:val="24"/>
                <w:lang w:eastAsia="lv-LV"/>
              </w:rPr>
            </w:pPr>
            <w:r w:rsidRPr="00EE2B27">
              <w:rPr>
                <w:rFonts w:ascii="Times New Roman" w:hAnsi="Times New Roman" w:cs="Times New Roman"/>
                <w:sz w:val="24"/>
                <w:szCs w:val="24"/>
                <w:lang w:eastAsia="lv-LV"/>
              </w:rPr>
              <w:t>Cita informācija</w:t>
            </w:r>
          </w:p>
        </w:tc>
        <w:tc>
          <w:tcPr>
            <w:tcW w:w="6237" w:type="dxa"/>
          </w:tcPr>
          <w:p w14:paraId="316D38A6" w14:textId="77777777" w:rsidR="00CC1A56" w:rsidRPr="00EE2B27" w:rsidRDefault="00514DDD" w:rsidP="00165CC2">
            <w:pPr>
              <w:spacing w:after="0" w:line="240" w:lineRule="auto"/>
              <w:ind w:left="57" w:right="113"/>
              <w:jc w:val="both"/>
              <w:rPr>
                <w:rFonts w:ascii="Times New Roman" w:hAnsi="Times New Roman" w:cs="Times New Roman"/>
                <w:sz w:val="24"/>
                <w:szCs w:val="24"/>
                <w:lang w:eastAsia="lv-LV"/>
              </w:rPr>
            </w:pPr>
            <w:r w:rsidRPr="00EE2B27">
              <w:rPr>
                <w:rFonts w:ascii="Times New Roman" w:hAnsi="Times New Roman" w:cs="Times New Roman"/>
                <w:sz w:val="24"/>
                <w:szCs w:val="24"/>
              </w:rPr>
              <w:t>Nav.</w:t>
            </w:r>
          </w:p>
        </w:tc>
      </w:tr>
    </w:tbl>
    <w:p w14:paraId="49C9AF22" w14:textId="77777777" w:rsidR="00F21E42" w:rsidRPr="00EE2B27" w:rsidRDefault="00F21E42" w:rsidP="00165CC2">
      <w:pPr>
        <w:spacing w:after="0" w:line="240" w:lineRule="auto"/>
        <w:rPr>
          <w:rFonts w:ascii="Times New Roman" w:hAnsi="Times New Roman" w:cs="Times New Roman"/>
          <w:sz w:val="2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268"/>
      </w:tblGrid>
      <w:tr w:rsidR="00CC1A56" w:rsidRPr="00EE2B27" w14:paraId="7F0D11BF" w14:textId="77777777" w:rsidTr="0089655E">
        <w:trPr>
          <w:trHeight w:val="381"/>
          <w:jc w:val="center"/>
        </w:trPr>
        <w:tc>
          <w:tcPr>
            <w:tcW w:w="9665" w:type="dxa"/>
            <w:gridSpan w:val="3"/>
            <w:vAlign w:val="center"/>
          </w:tcPr>
          <w:p w14:paraId="595077B4" w14:textId="77777777" w:rsidR="00CC1A56" w:rsidRPr="00EE2B27" w:rsidRDefault="002F7324" w:rsidP="00165CC2">
            <w:pPr>
              <w:pStyle w:val="naisnod"/>
              <w:spacing w:before="0" w:beforeAutospacing="0" w:after="0" w:afterAutospacing="0"/>
              <w:ind w:left="57" w:right="57"/>
              <w:jc w:val="center"/>
            </w:pPr>
            <w:r w:rsidRPr="00EE2B27">
              <w:rPr>
                <w:b/>
              </w:rPr>
              <w:t>V</w:t>
            </w:r>
            <w:r w:rsidR="008D0993" w:rsidRPr="00EE2B27">
              <w:rPr>
                <w:b/>
              </w:rPr>
              <w:t>II</w:t>
            </w:r>
            <w:r w:rsidR="00CC1A56" w:rsidRPr="00EE2B27">
              <w:rPr>
                <w:b/>
              </w:rPr>
              <w:t>. Tiesību akta projekta izpildes nodrošināšana un tās ietekme uz institūcijām</w:t>
            </w:r>
          </w:p>
        </w:tc>
      </w:tr>
      <w:tr w:rsidR="00CC1A56" w:rsidRPr="00EE2B27" w14:paraId="2D649E1A" w14:textId="77777777" w:rsidTr="0089655E">
        <w:trPr>
          <w:trHeight w:val="427"/>
          <w:jc w:val="center"/>
        </w:trPr>
        <w:tc>
          <w:tcPr>
            <w:tcW w:w="584" w:type="dxa"/>
          </w:tcPr>
          <w:p w14:paraId="336ED907" w14:textId="77777777" w:rsidR="00CC1A56" w:rsidRPr="00EE2B27" w:rsidRDefault="00CC1A56" w:rsidP="00165CC2">
            <w:pPr>
              <w:pStyle w:val="naisnod"/>
              <w:spacing w:before="0" w:beforeAutospacing="0" w:after="0" w:afterAutospacing="0"/>
              <w:ind w:left="57" w:right="57"/>
              <w:jc w:val="both"/>
            </w:pPr>
            <w:r w:rsidRPr="00EE2B27">
              <w:t>1.</w:t>
            </w:r>
          </w:p>
        </w:tc>
        <w:tc>
          <w:tcPr>
            <w:tcW w:w="2813" w:type="dxa"/>
          </w:tcPr>
          <w:p w14:paraId="3E88B922" w14:textId="77777777" w:rsidR="00CC1A56" w:rsidRPr="00EE2B27" w:rsidRDefault="00CC1A56" w:rsidP="00165CC2">
            <w:pPr>
              <w:pStyle w:val="naisf"/>
              <w:spacing w:before="0" w:beforeAutospacing="0" w:after="0" w:afterAutospacing="0"/>
              <w:ind w:left="57" w:right="57"/>
            </w:pPr>
            <w:r w:rsidRPr="00EE2B27">
              <w:t>Projekta izpildē iesaistītās institūcijas</w:t>
            </w:r>
          </w:p>
        </w:tc>
        <w:tc>
          <w:tcPr>
            <w:tcW w:w="6268" w:type="dxa"/>
          </w:tcPr>
          <w:p w14:paraId="1E333428" w14:textId="11D4EDBE" w:rsidR="00CC1A56" w:rsidRPr="00EE2B27" w:rsidRDefault="00362070" w:rsidP="007C5B0E">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IZM</w:t>
            </w:r>
            <w:r w:rsidR="00674496" w:rsidRPr="00EE2B27">
              <w:rPr>
                <w:rFonts w:ascii="Times New Roman" w:hAnsi="Times New Roman" w:cs="Times New Roman"/>
                <w:sz w:val="24"/>
                <w:szCs w:val="24"/>
              </w:rPr>
              <w:t xml:space="preserve"> kā </w:t>
            </w:r>
            <w:r w:rsidR="00A578DC" w:rsidRPr="00EE2B27">
              <w:rPr>
                <w:rFonts w:ascii="Times New Roman" w:hAnsi="Times New Roman" w:cs="Times New Roman"/>
                <w:sz w:val="24"/>
                <w:szCs w:val="24"/>
              </w:rPr>
              <w:t>atbildīgā iestāde</w:t>
            </w:r>
            <w:r w:rsidR="00F21C20" w:rsidRPr="00EE2B27">
              <w:rPr>
                <w:rFonts w:ascii="Times New Roman" w:hAnsi="Times New Roman" w:cs="Times New Roman"/>
                <w:sz w:val="24"/>
                <w:szCs w:val="24"/>
              </w:rPr>
              <w:t xml:space="preserve">, </w:t>
            </w:r>
            <w:r w:rsidR="00475EDD" w:rsidRPr="00EE2B27">
              <w:rPr>
                <w:rFonts w:ascii="Times New Roman" w:hAnsi="Times New Roman" w:cs="Times New Roman"/>
                <w:sz w:val="24"/>
                <w:szCs w:val="24"/>
              </w:rPr>
              <w:t xml:space="preserve">Centrālā finanšu un līgumu aģentūra kā sadarbības iestāde un </w:t>
            </w:r>
            <w:r w:rsidR="0016242E">
              <w:rPr>
                <w:rFonts w:ascii="Times New Roman" w:hAnsi="Times New Roman" w:cs="Times New Roman"/>
                <w:sz w:val="24"/>
                <w:szCs w:val="24"/>
              </w:rPr>
              <w:t>Nodarbinātības valsts aģentūra</w:t>
            </w:r>
            <w:r w:rsidR="00F21C20" w:rsidRPr="00EE2B27">
              <w:rPr>
                <w:rFonts w:ascii="Times New Roman" w:hAnsi="Times New Roman" w:cs="Times New Roman"/>
                <w:sz w:val="24"/>
                <w:szCs w:val="24"/>
              </w:rPr>
              <w:t xml:space="preserve"> kā </w:t>
            </w:r>
            <w:r w:rsidR="008829D4" w:rsidRPr="00EE2B27">
              <w:rPr>
                <w:rFonts w:ascii="Times New Roman" w:hAnsi="Times New Roman" w:cs="Times New Roman"/>
                <w:sz w:val="24"/>
                <w:szCs w:val="24"/>
              </w:rPr>
              <w:t>ES</w:t>
            </w:r>
            <w:r w:rsidR="00F21C20" w:rsidRPr="00EE2B27">
              <w:rPr>
                <w:rFonts w:ascii="Times New Roman" w:hAnsi="Times New Roman" w:cs="Times New Roman"/>
                <w:sz w:val="24"/>
                <w:szCs w:val="24"/>
              </w:rPr>
              <w:t xml:space="preserve"> fondu finansējuma </w:t>
            </w:r>
            <w:r w:rsidR="007C5B0E" w:rsidRPr="00EE2B27">
              <w:rPr>
                <w:rFonts w:ascii="Times New Roman" w:hAnsi="Times New Roman" w:cs="Times New Roman"/>
                <w:sz w:val="24"/>
                <w:szCs w:val="24"/>
              </w:rPr>
              <w:t>saņēmēj</w:t>
            </w:r>
            <w:r w:rsidR="007C5B0E">
              <w:rPr>
                <w:rFonts w:ascii="Times New Roman" w:hAnsi="Times New Roman" w:cs="Times New Roman"/>
                <w:sz w:val="24"/>
                <w:szCs w:val="24"/>
              </w:rPr>
              <w:t>a</w:t>
            </w:r>
            <w:r w:rsidR="00F21C20" w:rsidRPr="00EE2B27">
              <w:rPr>
                <w:rFonts w:ascii="Times New Roman" w:hAnsi="Times New Roman" w:cs="Times New Roman"/>
                <w:sz w:val="24"/>
                <w:szCs w:val="24"/>
              </w:rPr>
              <w:t>.</w:t>
            </w:r>
          </w:p>
        </w:tc>
      </w:tr>
      <w:tr w:rsidR="00CC1A56" w:rsidRPr="00EE2B27" w14:paraId="442486D4" w14:textId="77777777" w:rsidTr="0089655E">
        <w:trPr>
          <w:trHeight w:val="463"/>
          <w:jc w:val="center"/>
        </w:trPr>
        <w:tc>
          <w:tcPr>
            <w:tcW w:w="584" w:type="dxa"/>
          </w:tcPr>
          <w:p w14:paraId="08120E6F" w14:textId="77777777" w:rsidR="00CC1A56" w:rsidRPr="00EE2B27" w:rsidRDefault="00CC1A56" w:rsidP="00165CC2">
            <w:pPr>
              <w:pStyle w:val="naisnod"/>
              <w:spacing w:before="0" w:beforeAutospacing="0" w:after="0" w:afterAutospacing="0"/>
              <w:ind w:left="57" w:right="57"/>
              <w:jc w:val="both"/>
            </w:pPr>
            <w:r w:rsidRPr="00EE2B27">
              <w:t>2.</w:t>
            </w:r>
          </w:p>
        </w:tc>
        <w:tc>
          <w:tcPr>
            <w:tcW w:w="2813" w:type="dxa"/>
          </w:tcPr>
          <w:p w14:paraId="37C07AA3" w14:textId="77777777" w:rsidR="00CC1A56" w:rsidRPr="00EE2B27" w:rsidRDefault="00CC1A56" w:rsidP="00165CC2">
            <w:pPr>
              <w:pStyle w:val="naisf"/>
              <w:spacing w:before="0" w:beforeAutospacing="0" w:after="0" w:afterAutospacing="0"/>
              <w:ind w:left="57" w:right="57"/>
            </w:pPr>
            <w:r w:rsidRPr="00EE2B27">
              <w:t>Projekta izpildes ietekme uz pār</w:t>
            </w:r>
            <w:r w:rsidRPr="00EE2B27">
              <w:softHyphen/>
              <w:t>valdes funkcijām un institucionālo struktūru.</w:t>
            </w:r>
          </w:p>
          <w:p w14:paraId="6E2D8F89" w14:textId="77777777" w:rsidR="00CC1A56" w:rsidRPr="00EE2B27" w:rsidRDefault="00CC1A56" w:rsidP="00165CC2">
            <w:pPr>
              <w:pStyle w:val="naisf"/>
              <w:spacing w:before="0" w:beforeAutospacing="0" w:after="0" w:afterAutospacing="0"/>
              <w:ind w:left="57" w:right="57"/>
            </w:pPr>
            <w:r w:rsidRPr="00EE2B27">
              <w:t>Jaunu institūciju izveide, esošu institūciju likvidācija vai reorga</w:t>
            </w:r>
            <w:r w:rsidRPr="00EE2B27">
              <w:softHyphen/>
              <w:t xml:space="preserve">nizācija, to </w:t>
            </w:r>
            <w:r w:rsidRPr="00EE2B27">
              <w:lastRenderedPageBreak/>
              <w:t>ietekme uz institūcijas cilvēkresursiem</w:t>
            </w:r>
          </w:p>
        </w:tc>
        <w:tc>
          <w:tcPr>
            <w:tcW w:w="6268" w:type="dxa"/>
          </w:tcPr>
          <w:p w14:paraId="64E8702E" w14:textId="77777777" w:rsidR="00CC1A56" w:rsidRPr="00EE2B27" w:rsidRDefault="00232033" w:rsidP="00165CC2">
            <w:pPr>
              <w:shd w:val="clear" w:color="auto" w:fill="FFFFFF"/>
              <w:spacing w:after="0" w:line="240" w:lineRule="auto"/>
              <w:ind w:left="57" w:right="113"/>
              <w:jc w:val="both"/>
              <w:rPr>
                <w:rFonts w:ascii="Times New Roman" w:hAnsi="Times New Roman" w:cs="Times New Roman"/>
                <w:sz w:val="24"/>
                <w:szCs w:val="24"/>
                <w:lang w:eastAsia="lv-LV"/>
              </w:rPr>
            </w:pPr>
            <w:r w:rsidRPr="00EE2B27">
              <w:rPr>
                <w:rFonts w:ascii="Times New Roman" w:hAnsi="Times New Roman" w:cs="Times New Roman"/>
                <w:sz w:val="24"/>
                <w:szCs w:val="24"/>
              </w:rPr>
              <w:lastRenderedPageBreak/>
              <w:t xml:space="preserve">MK </w:t>
            </w:r>
            <w:r w:rsidR="00B10319" w:rsidRPr="00EE2B27">
              <w:rPr>
                <w:rFonts w:ascii="Times New Roman" w:hAnsi="Times New Roman" w:cs="Times New Roman"/>
                <w:sz w:val="24"/>
                <w:szCs w:val="24"/>
              </w:rPr>
              <w:t>noteikumu</w:t>
            </w:r>
            <w:r w:rsidRPr="00EE2B27">
              <w:rPr>
                <w:rFonts w:ascii="Times New Roman" w:hAnsi="Times New Roman" w:cs="Times New Roman"/>
                <w:sz w:val="24"/>
                <w:szCs w:val="24"/>
              </w:rPr>
              <w:t xml:space="preserve"> projekts šo jomu neskar.</w:t>
            </w:r>
          </w:p>
        </w:tc>
      </w:tr>
      <w:tr w:rsidR="00CC1A56" w:rsidRPr="00EE2B27" w14:paraId="1E3DDE5E" w14:textId="77777777" w:rsidTr="0089655E">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48553EFE" w14:textId="77777777" w:rsidR="00CC1A56" w:rsidRPr="00EE2B27" w:rsidRDefault="00CC1A56" w:rsidP="00165CC2">
            <w:pPr>
              <w:pStyle w:val="naisnod"/>
              <w:spacing w:before="0" w:beforeAutospacing="0" w:after="0" w:afterAutospacing="0"/>
              <w:ind w:left="57" w:right="57"/>
              <w:jc w:val="both"/>
            </w:pPr>
            <w:r w:rsidRPr="00EE2B27">
              <w:lastRenderedPageBreak/>
              <w:t>3.</w:t>
            </w:r>
          </w:p>
        </w:tc>
        <w:tc>
          <w:tcPr>
            <w:tcW w:w="2813" w:type="dxa"/>
            <w:tcBorders>
              <w:top w:val="single" w:sz="4" w:space="0" w:color="auto"/>
              <w:left w:val="single" w:sz="4" w:space="0" w:color="auto"/>
              <w:bottom w:val="single" w:sz="4" w:space="0" w:color="auto"/>
              <w:right w:val="single" w:sz="4" w:space="0" w:color="auto"/>
            </w:tcBorders>
          </w:tcPr>
          <w:p w14:paraId="095E7729" w14:textId="77777777" w:rsidR="00CC1A56" w:rsidRPr="00EE2B27" w:rsidRDefault="00CC1A56" w:rsidP="00165CC2">
            <w:pPr>
              <w:pStyle w:val="naisf"/>
              <w:spacing w:before="0" w:beforeAutospacing="0" w:after="0" w:afterAutospacing="0"/>
              <w:ind w:left="57" w:right="57"/>
            </w:pPr>
            <w:r w:rsidRPr="00EE2B27">
              <w:t>Cita informācija</w:t>
            </w:r>
          </w:p>
        </w:tc>
        <w:tc>
          <w:tcPr>
            <w:tcW w:w="6268" w:type="dxa"/>
            <w:tcBorders>
              <w:top w:val="single" w:sz="4" w:space="0" w:color="auto"/>
              <w:left w:val="single" w:sz="4" w:space="0" w:color="auto"/>
              <w:bottom w:val="single" w:sz="4" w:space="0" w:color="auto"/>
              <w:right w:val="single" w:sz="4" w:space="0" w:color="auto"/>
            </w:tcBorders>
          </w:tcPr>
          <w:p w14:paraId="080E0E0E" w14:textId="77777777" w:rsidR="00CC1A56" w:rsidRPr="00EE2B27" w:rsidRDefault="00232033" w:rsidP="00165CC2">
            <w:pPr>
              <w:spacing w:after="0" w:line="240" w:lineRule="auto"/>
              <w:ind w:left="57" w:right="57"/>
              <w:jc w:val="both"/>
              <w:rPr>
                <w:rFonts w:ascii="Times New Roman" w:hAnsi="Times New Roman" w:cs="Times New Roman"/>
                <w:sz w:val="24"/>
                <w:szCs w:val="24"/>
                <w:lang w:eastAsia="lv-LV"/>
              </w:rPr>
            </w:pPr>
            <w:r w:rsidRPr="00EE2B27">
              <w:rPr>
                <w:rFonts w:ascii="Times New Roman" w:hAnsi="Times New Roman" w:cs="Times New Roman"/>
                <w:sz w:val="24"/>
                <w:szCs w:val="24"/>
              </w:rPr>
              <w:t>Nav.</w:t>
            </w:r>
          </w:p>
        </w:tc>
      </w:tr>
    </w:tbl>
    <w:p w14:paraId="4688873A" w14:textId="1F4208F4" w:rsidR="00EA518C" w:rsidRPr="00EA518C" w:rsidRDefault="00EA518C" w:rsidP="00EA5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Anotācijas </w:t>
      </w:r>
      <w:r w:rsidR="007C5B0E">
        <w:rPr>
          <w:rFonts w:ascii="Times New Roman" w:hAnsi="Times New Roman" w:cs="Times New Roman"/>
          <w:sz w:val="24"/>
          <w:szCs w:val="24"/>
        </w:rPr>
        <w:t xml:space="preserve">IV un </w:t>
      </w:r>
      <w:proofErr w:type="spellStart"/>
      <w:r>
        <w:rPr>
          <w:rFonts w:ascii="Times New Roman" w:hAnsi="Times New Roman" w:cs="Times New Roman"/>
          <w:sz w:val="24"/>
          <w:szCs w:val="24"/>
        </w:rPr>
        <w:t>V</w:t>
      </w:r>
      <w:r w:rsidRPr="00EA518C">
        <w:rPr>
          <w:rFonts w:ascii="Times New Roman" w:hAnsi="Times New Roman" w:cs="Times New Roman"/>
          <w:sz w:val="24"/>
          <w:szCs w:val="24"/>
        </w:rPr>
        <w:t>.sadaļa</w:t>
      </w:r>
      <w:proofErr w:type="spellEnd"/>
      <w:r w:rsidRPr="00EA518C">
        <w:rPr>
          <w:rFonts w:ascii="Times New Roman" w:hAnsi="Times New Roman" w:cs="Times New Roman"/>
          <w:sz w:val="24"/>
          <w:szCs w:val="24"/>
        </w:rPr>
        <w:t xml:space="preserve"> – MK noteikumu projekts š</w:t>
      </w:r>
      <w:r w:rsidR="007C5B0E">
        <w:rPr>
          <w:rFonts w:ascii="Times New Roman" w:hAnsi="Times New Roman" w:cs="Times New Roman"/>
          <w:sz w:val="24"/>
          <w:szCs w:val="24"/>
        </w:rPr>
        <w:t xml:space="preserve">īs </w:t>
      </w:r>
      <w:r w:rsidRPr="00EA518C">
        <w:rPr>
          <w:rFonts w:ascii="Times New Roman" w:hAnsi="Times New Roman" w:cs="Times New Roman"/>
          <w:sz w:val="24"/>
          <w:szCs w:val="24"/>
        </w:rPr>
        <w:t>jom</w:t>
      </w:r>
      <w:r w:rsidR="007C5B0E">
        <w:rPr>
          <w:rFonts w:ascii="Times New Roman" w:hAnsi="Times New Roman" w:cs="Times New Roman"/>
          <w:sz w:val="24"/>
          <w:szCs w:val="24"/>
        </w:rPr>
        <w:t>as</w:t>
      </w:r>
      <w:r w:rsidRPr="00EA518C">
        <w:rPr>
          <w:rFonts w:ascii="Times New Roman" w:hAnsi="Times New Roman" w:cs="Times New Roman"/>
          <w:sz w:val="24"/>
          <w:szCs w:val="24"/>
        </w:rPr>
        <w:t xml:space="preserve"> neskar.</w:t>
      </w:r>
    </w:p>
    <w:p w14:paraId="7EB8960E" w14:textId="77777777" w:rsidR="00BE474B" w:rsidRDefault="00BE474B" w:rsidP="00165CC2">
      <w:pPr>
        <w:spacing w:after="0" w:line="240" w:lineRule="auto"/>
        <w:rPr>
          <w:rFonts w:ascii="Times New Roman" w:hAnsi="Times New Roman" w:cs="Times New Roman"/>
          <w:sz w:val="24"/>
          <w:szCs w:val="24"/>
        </w:rPr>
      </w:pPr>
    </w:p>
    <w:p w14:paraId="0A619D10" w14:textId="77777777" w:rsidR="0016242E" w:rsidRPr="00EE2B27" w:rsidRDefault="0016242E" w:rsidP="00165CC2">
      <w:pPr>
        <w:spacing w:after="0" w:line="240" w:lineRule="auto"/>
        <w:rPr>
          <w:rFonts w:ascii="Times New Roman" w:hAnsi="Times New Roman" w:cs="Times New Roman"/>
          <w:sz w:val="24"/>
          <w:szCs w:val="24"/>
        </w:rPr>
      </w:pPr>
    </w:p>
    <w:p w14:paraId="0689D18F" w14:textId="77777777" w:rsidR="0016242E" w:rsidRPr="00362070" w:rsidRDefault="0016242E" w:rsidP="0016242E">
      <w:pPr>
        <w:spacing w:before="120" w:after="240"/>
        <w:jc w:val="both"/>
        <w:rPr>
          <w:rFonts w:ascii="Times New Roman" w:hAnsi="Times New Roman" w:cs="Times New Roman"/>
          <w:sz w:val="24"/>
          <w:szCs w:val="24"/>
        </w:rPr>
      </w:pPr>
      <w:r w:rsidRPr="00362070">
        <w:rPr>
          <w:rFonts w:ascii="Times New Roman" w:hAnsi="Times New Roman" w:cs="Times New Roman"/>
          <w:sz w:val="24"/>
          <w:szCs w:val="24"/>
        </w:rPr>
        <w:t>Izglītības un zinātnes ministre</w:t>
      </w:r>
      <w:r w:rsidRPr="00362070">
        <w:rPr>
          <w:rFonts w:ascii="Times New Roman" w:hAnsi="Times New Roman" w:cs="Times New Roman"/>
          <w:sz w:val="24"/>
          <w:szCs w:val="24"/>
        </w:rPr>
        <w:tab/>
      </w:r>
      <w:r w:rsidRPr="00362070">
        <w:rPr>
          <w:rFonts w:ascii="Times New Roman" w:hAnsi="Times New Roman" w:cs="Times New Roman"/>
          <w:sz w:val="24"/>
          <w:szCs w:val="24"/>
        </w:rPr>
        <w:tab/>
      </w:r>
      <w:r w:rsidRPr="00362070">
        <w:rPr>
          <w:rFonts w:ascii="Times New Roman" w:hAnsi="Times New Roman" w:cs="Times New Roman"/>
          <w:sz w:val="24"/>
          <w:szCs w:val="24"/>
        </w:rPr>
        <w:tab/>
      </w:r>
      <w:r w:rsidRPr="00362070">
        <w:rPr>
          <w:rFonts w:ascii="Times New Roman" w:hAnsi="Times New Roman" w:cs="Times New Roman"/>
          <w:sz w:val="24"/>
          <w:szCs w:val="24"/>
        </w:rPr>
        <w:tab/>
      </w:r>
      <w:r w:rsidRPr="00362070">
        <w:rPr>
          <w:rFonts w:ascii="Times New Roman" w:hAnsi="Times New Roman" w:cs="Times New Roman"/>
          <w:sz w:val="24"/>
          <w:szCs w:val="24"/>
        </w:rPr>
        <w:tab/>
      </w:r>
      <w:r w:rsidRPr="00362070">
        <w:rPr>
          <w:rFonts w:ascii="Times New Roman" w:hAnsi="Times New Roman" w:cs="Times New Roman"/>
          <w:sz w:val="24"/>
          <w:szCs w:val="24"/>
        </w:rPr>
        <w:tab/>
      </w:r>
      <w:proofErr w:type="spellStart"/>
      <w:r w:rsidRPr="00362070">
        <w:rPr>
          <w:rFonts w:ascii="Times New Roman" w:hAnsi="Times New Roman" w:cs="Times New Roman"/>
          <w:sz w:val="24"/>
          <w:szCs w:val="24"/>
        </w:rPr>
        <w:t>M.Seile</w:t>
      </w:r>
      <w:proofErr w:type="spellEnd"/>
    </w:p>
    <w:p w14:paraId="70391FA8" w14:textId="77777777" w:rsidR="00A2311F" w:rsidRPr="00362070" w:rsidRDefault="00362070" w:rsidP="00362070">
      <w:pPr>
        <w:tabs>
          <w:tab w:val="left" w:pos="1605"/>
        </w:tabs>
        <w:spacing w:after="0" w:line="240" w:lineRule="auto"/>
        <w:rPr>
          <w:rFonts w:ascii="Times New Roman" w:hAnsi="Times New Roman" w:cs="Times New Roman"/>
          <w:sz w:val="24"/>
          <w:szCs w:val="24"/>
        </w:rPr>
      </w:pPr>
      <w:r w:rsidRPr="00362070">
        <w:rPr>
          <w:rFonts w:ascii="Times New Roman" w:hAnsi="Times New Roman" w:cs="Times New Roman"/>
          <w:sz w:val="24"/>
          <w:szCs w:val="24"/>
        </w:rPr>
        <w:tab/>
      </w:r>
    </w:p>
    <w:p w14:paraId="5A805F86" w14:textId="77777777" w:rsidR="00362070" w:rsidRPr="00362070" w:rsidRDefault="00362070" w:rsidP="00362070">
      <w:pPr>
        <w:tabs>
          <w:tab w:val="left" w:pos="4545"/>
          <w:tab w:val="left" w:pos="6804"/>
        </w:tabs>
        <w:spacing w:after="0" w:line="240" w:lineRule="auto"/>
        <w:ind w:firstLine="720"/>
        <w:jc w:val="both"/>
        <w:rPr>
          <w:rFonts w:ascii="Times New Roman" w:eastAsia="Times New Roman" w:hAnsi="Times New Roman"/>
          <w:iCs/>
          <w:sz w:val="24"/>
          <w:szCs w:val="24"/>
          <w:lang w:eastAsia="lv-LV"/>
        </w:rPr>
      </w:pPr>
    </w:p>
    <w:p w14:paraId="09DD7C50" w14:textId="1225062A" w:rsidR="00362070" w:rsidRPr="00362070" w:rsidRDefault="003D4D88" w:rsidP="00362070">
      <w:pPr>
        <w:autoSpaceDE w:val="0"/>
        <w:autoSpaceDN w:val="0"/>
        <w:adjustRightInd w:val="0"/>
        <w:spacing w:after="0" w:line="240" w:lineRule="auto"/>
        <w:rPr>
          <w:rFonts w:ascii="Times New Roman" w:eastAsia="Times New Roman" w:hAnsi="Times New Roman"/>
          <w:iCs/>
          <w:sz w:val="24"/>
          <w:szCs w:val="24"/>
          <w:lang w:eastAsia="lv-LV"/>
        </w:rPr>
      </w:pPr>
      <w:r w:rsidRPr="00362070">
        <w:rPr>
          <w:rFonts w:ascii="Times New Roman" w:eastAsia="Times New Roman" w:hAnsi="Times New Roman"/>
          <w:iCs/>
          <w:sz w:val="24"/>
          <w:szCs w:val="24"/>
          <w:lang w:eastAsia="lv-LV"/>
        </w:rPr>
        <w:t>V</w:t>
      </w:r>
      <w:r>
        <w:rPr>
          <w:rFonts w:ascii="Times New Roman" w:eastAsia="Times New Roman" w:hAnsi="Times New Roman"/>
          <w:iCs/>
          <w:sz w:val="24"/>
          <w:szCs w:val="24"/>
          <w:lang w:eastAsia="lv-LV"/>
        </w:rPr>
        <w:t>i</w:t>
      </w:r>
      <w:r w:rsidRPr="00362070">
        <w:rPr>
          <w:rFonts w:ascii="Times New Roman" w:eastAsia="Times New Roman" w:hAnsi="Times New Roman"/>
          <w:iCs/>
          <w:sz w:val="24"/>
          <w:szCs w:val="24"/>
          <w:lang w:eastAsia="lv-LV"/>
        </w:rPr>
        <w:t>zē</w:t>
      </w:r>
      <w:r w:rsidR="00362070" w:rsidRPr="00362070">
        <w:rPr>
          <w:rFonts w:ascii="Times New Roman" w:eastAsia="Times New Roman" w:hAnsi="Times New Roman"/>
          <w:iCs/>
          <w:sz w:val="24"/>
          <w:szCs w:val="24"/>
          <w:lang w:eastAsia="lv-LV"/>
        </w:rPr>
        <w:t>:</w:t>
      </w:r>
    </w:p>
    <w:p w14:paraId="10F6BA5E" w14:textId="77777777" w:rsidR="00362070" w:rsidRPr="00362070" w:rsidRDefault="00362070" w:rsidP="00362070">
      <w:pPr>
        <w:autoSpaceDE w:val="0"/>
        <w:autoSpaceDN w:val="0"/>
        <w:adjustRightInd w:val="0"/>
        <w:spacing w:after="0" w:line="240" w:lineRule="auto"/>
        <w:rPr>
          <w:rFonts w:ascii="Times New Roman" w:eastAsia="Times New Roman" w:hAnsi="Times New Roman"/>
          <w:iCs/>
          <w:sz w:val="24"/>
          <w:szCs w:val="24"/>
          <w:lang w:eastAsia="lv-LV"/>
        </w:rPr>
      </w:pPr>
      <w:r w:rsidRPr="00362070">
        <w:rPr>
          <w:rFonts w:ascii="Times New Roman" w:eastAsia="Times New Roman" w:hAnsi="Times New Roman"/>
          <w:iCs/>
          <w:sz w:val="24"/>
          <w:szCs w:val="24"/>
          <w:lang w:eastAsia="lv-LV"/>
        </w:rPr>
        <w:t>Valsts sekretāra vietniece –</w:t>
      </w:r>
    </w:p>
    <w:p w14:paraId="64586F8E" w14:textId="77777777" w:rsidR="00362070" w:rsidRPr="00362070" w:rsidRDefault="00362070" w:rsidP="00362070">
      <w:pPr>
        <w:autoSpaceDE w:val="0"/>
        <w:autoSpaceDN w:val="0"/>
        <w:adjustRightInd w:val="0"/>
        <w:spacing w:after="0" w:line="240" w:lineRule="auto"/>
        <w:rPr>
          <w:rFonts w:ascii="Times New Roman" w:eastAsia="Times New Roman" w:hAnsi="Times New Roman"/>
          <w:iCs/>
          <w:sz w:val="24"/>
          <w:szCs w:val="24"/>
          <w:lang w:eastAsia="lv-LV"/>
        </w:rPr>
      </w:pPr>
      <w:r w:rsidRPr="00362070">
        <w:rPr>
          <w:rFonts w:ascii="Times New Roman" w:eastAsia="Times New Roman" w:hAnsi="Times New Roman"/>
          <w:iCs/>
          <w:sz w:val="24"/>
          <w:szCs w:val="24"/>
          <w:lang w:eastAsia="lv-LV"/>
        </w:rPr>
        <w:t>Izglītības departamenta direktore,</w:t>
      </w:r>
    </w:p>
    <w:p w14:paraId="2FBC7866" w14:textId="77777777" w:rsidR="00362070" w:rsidRPr="00362070" w:rsidRDefault="00362070" w:rsidP="00362070">
      <w:pPr>
        <w:spacing w:after="0" w:line="240" w:lineRule="auto"/>
        <w:jc w:val="both"/>
        <w:rPr>
          <w:rFonts w:ascii="Times New Roman" w:eastAsia="Times New Roman" w:hAnsi="Times New Roman"/>
          <w:iCs/>
          <w:sz w:val="24"/>
          <w:szCs w:val="24"/>
          <w:lang w:eastAsia="lv-LV"/>
        </w:rPr>
      </w:pPr>
      <w:r w:rsidRPr="00362070">
        <w:rPr>
          <w:rFonts w:ascii="Times New Roman" w:eastAsia="Times New Roman" w:hAnsi="Times New Roman"/>
          <w:iCs/>
          <w:sz w:val="24"/>
          <w:szCs w:val="24"/>
          <w:lang w:eastAsia="lv-LV"/>
        </w:rPr>
        <w:t>valsts sekretāra pienākumu izpildītāja</w:t>
      </w:r>
      <w:r w:rsidRPr="00362070">
        <w:rPr>
          <w:rFonts w:ascii="Times New Roman" w:eastAsia="Times New Roman" w:hAnsi="Times New Roman"/>
          <w:iCs/>
          <w:sz w:val="24"/>
          <w:szCs w:val="24"/>
          <w:lang w:eastAsia="lv-LV"/>
        </w:rPr>
        <w:tab/>
      </w:r>
      <w:r w:rsidRPr="00362070">
        <w:rPr>
          <w:rFonts w:ascii="Times New Roman" w:eastAsia="Times New Roman" w:hAnsi="Times New Roman"/>
          <w:iCs/>
          <w:sz w:val="24"/>
          <w:szCs w:val="24"/>
          <w:lang w:eastAsia="lv-LV"/>
        </w:rPr>
        <w:tab/>
      </w:r>
      <w:r w:rsidRPr="00362070">
        <w:rPr>
          <w:rFonts w:ascii="Times New Roman" w:eastAsia="Times New Roman" w:hAnsi="Times New Roman"/>
          <w:iCs/>
          <w:sz w:val="24"/>
          <w:szCs w:val="24"/>
          <w:lang w:eastAsia="lv-LV"/>
        </w:rPr>
        <w:tab/>
      </w:r>
      <w:r w:rsidRPr="00362070">
        <w:rPr>
          <w:rFonts w:ascii="Times New Roman" w:eastAsia="Times New Roman" w:hAnsi="Times New Roman"/>
          <w:iCs/>
          <w:sz w:val="24"/>
          <w:szCs w:val="24"/>
          <w:lang w:eastAsia="lv-LV"/>
        </w:rPr>
        <w:tab/>
      </w:r>
      <w:r w:rsidR="00C4733E">
        <w:rPr>
          <w:rFonts w:ascii="Times New Roman" w:eastAsia="Times New Roman" w:hAnsi="Times New Roman"/>
          <w:iCs/>
          <w:sz w:val="24"/>
          <w:szCs w:val="24"/>
          <w:lang w:eastAsia="lv-LV"/>
        </w:rPr>
        <w:tab/>
      </w:r>
      <w:proofErr w:type="spellStart"/>
      <w:r w:rsidRPr="00362070">
        <w:rPr>
          <w:rFonts w:ascii="Times New Roman" w:eastAsia="Times New Roman" w:hAnsi="Times New Roman"/>
          <w:iCs/>
          <w:sz w:val="24"/>
          <w:szCs w:val="24"/>
          <w:lang w:eastAsia="lv-LV"/>
        </w:rPr>
        <w:t>E.Papule</w:t>
      </w:r>
      <w:proofErr w:type="spellEnd"/>
    </w:p>
    <w:p w14:paraId="6C63A46A" w14:textId="77777777" w:rsidR="00362070" w:rsidRPr="00362070" w:rsidRDefault="00362070" w:rsidP="00362070">
      <w:pPr>
        <w:spacing w:after="0" w:line="240" w:lineRule="auto"/>
        <w:ind w:left="709"/>
        <w:jc w:val="both"/>
        <w:rPr>
          <w:rFonts w:ascii="Times New Roman" w:hAnsi="Times New Roman"/>
          <w:sz w:val="24"/>
          <w:szCs w:val="24"/>
        </w:rPr>
      </w:pPr>
      <w:r w:rsidRPr="00362070">
        <w:rPr>
          <w:rFonts w:ascii="Times New Roman" w:hAnsi="Times New Roman"/>
          <w:sz w:val="24"/>
          <w:szCs w:val="24"/>
        </w:rPr>
        <w:tab/>
      </w:r>
      <w:r w:rsidRPr="00362070">
        <w:rPr>
          <w:rFonts w:ascii="Times New Roman" w:hAnsi="Times New Roman"/>
          <w:sz w:val="24"/>
          <w:szCs w:val="24"/>
        </w:rPr>
        <w:tab/>
      </w:r>
      <w:r w:rsidRPr="00362070">
        <w:rPr>
          <w:rFonts w:ascii="Times New Roman" w:hAnsi="Times New Roman"/>
          <w:sz w:val="24"/>
          <w:szCs w:val="24"/>
        </w:rPr>
        <w:tab/>
      </w:r>
      <w:r w:rsidRPr="00362070">
        <w:rPr>
          <w:rFonts w:ascii="Times New Roman" w:hAnsi="Times New Roman"/>
          <w:sz w:val="24"/>
          <w:szCs w:val="24"/>
        </w:rPr>
        <w:tab/>
      </w:r>
    </w:p>
    <w:p w14:paraId="45A75BA9" w14:textId="77777777" w:rsidR="00362070" w:rsidRPr="00362070" w:rsidRDefault="00362070" w:rsidP="00362070">
      <w:pPr>
        <w:spacing w:after="0" w:line="240" w:lineRule="auto"/>
        <w:ind w:firstLine="720"/>
        <w:jc w:val="center"/>
        <w:rPr>
          <w:rFonts w:ascii="Times New Roman" w:hAnsi="Times New Roman"/>
          <w:sz w:val="24"/>
          <w:szCs w:val="24"/>
        </w:rPr>
      </w:pPr>
    </w:p>
    <w:p w14:paraId="407444A0" w14:textId="77777777" w:rsidR="00362070" w:rsidRPr="00362070" w:rsidRDefault="00362070" w:rsidP="00362070">
      <w:pPr>
        <w:spacing w:after="0" w:line="240" w:lineRule="auto"/>
        <w:ind w:firstLine="720"/>
        <w:jc w:val="center"/>
        <w:rPr>
          <w:rFonts w:ascii="Times New Roman" w:hAnsi="Times New Roman"/>
          <w:sz w:val="24"/>
          <w:szCs w:val="24"/>
        </w:rPr>
      </w:pPr>
    </w:p>
    <w:p w14:paraId="47798CFC" w14:textId="77777777" w:rsidR="00362070" w:rsidRPr="00AA304F" w:rsidRDefault="00362070" w:rsidP="00362070">
      <w:pPr>
        <w:spacing w:after="0" w:line="240" w:lineRule="auto"/>
        <w:ind w:firstLine="720"/>
        <w:jc w:val="center"/>
        <w:rPr>
          <w:rFonts w:ascii="Times New Roman" w:hAnsi="Times New Roman"/>
          <w:sz w:val="28"/>
          <w:szCs w:val="28"/>
        </w:rPr>
      </w:pPr>
    </w:p>
    <w:p w14:paraId="1D2277BD" w14:textId="196657D0" w:rsidR="00362070" w:rsidRPr="00CC77EC" w:rsidRDefault="00D1071D" w:rsidP="00362070">
      <w:pPr>
        <w:tabs>
          <w:tab w:val="left" w:pos="3390"/>
        </w:tabs>
        <w:spacing w:after="0" w:line="240" w:lineRule="auto"/>
        <w:ind w:right="26"/>
        <w:rPr>
          <w:rFonts w:ascii="Times New Roman" w:hAnsi="Times New Roman"/>
          <w:sz w:val="20"/>
          <w:szCs w:val="20"/>
        </w:rPr>
      </w:pPr>
      <w:r>
        <w:rPr>
          <w:rFonts w:ascii="Times New Roman" w:hAnsi="Times New Roman"/>
          <w:sz w:val="20"/>
          <w:szCs w:val="20"/>
        </w:rPr>
        <w:t>27</w:t>
      </w:r>
      <w:r w:rsidR="00362070" w:rsidRPr="00CC77EC">
        <w:rPr>
          <w:rFonts w:ascii="Times New Roman" w:hAnsi="Times New Roman"/>
          <w:sz w:val="20"/>
          <w:szCs w:val="20"/>
        </w:rPr>
        <w:t xml:space="preserve">.06.2015. </w:t>
      </w:r>
      <w:r>
        <w:rPr>
          <w:rFonts w:ascii="Times New Roman" w:hAnsi="Times New Roman"/>
          <w:sz w:val="20"/>
          <w:szCs w:val="20"/>
        </w:rPr>
        <w:t>9</w:t>
      </w:r>
      <w:r w:rsidR="00DF11D0">
        <w:rPr>
          <w:rFonts w:ascii="Times New Roman" w:hAnsi="Times New Roman"/>
          <w:sz w:val="20"/>
          <w:szCs w:val="20"/>
        </w:rPr>
        <w:t>:</w:t>
      </w:r>
      <w:r>
        <w:rPr>
          <w:rFonts w:ascii="Times New Roman" w:hAnsi="Times New Roman"/>
          <w:sz w:val="20"/>
          <w:szCs w:val="20"/>
        </w:rPr>
        <w:t>1</w:t>
      </w:r>
      <w:r w:rsidR="006674C6">
        <w:rPr>
          <w:rFonts w:ascii="Times New Roman" w:hAnsi="Times New Roman"/>
          <w:sz w:val="20"/>
          <w:szCs w:val="20"/>
        </w:rPr>
        <w:t>1</w:t>
      </w:r>
      <w:r w:rsidR="00362070" w:rsidRPr="00CC77EC">
        <w:rPr>
          <w:rFonts w:ascii="Times New Roman" w:hAnsi="Times New Roman"/>
          <w:sz w:val="20"/>
          <w:szCs w:val="20"/>
        </w:rPr>
        <w:tab/>
      </w:r>
    </w:p>
    <w:p w14:paraId="4E585F7B" w14:textId="1D2111E9" w:rsidR="00362070" w:rsidRPr="00CC77EC" w:rsidRDefault="001D0B2C" w:rsidP="00362070">
      <w:pPr>
        <w:tabs>
          <w:tab w:val="left" w:pos="6804"/>
        </w:tabs>
        <w:spacing w:after="0" w:line="240" w:lineRule="auto"/>
        <w:ind w:right="26"/>
        <w:rPr>
          <w:rFonts w:ascii="Times New Roman" w:hAnsi="Times New Roman"/>
          <w:sz w:val="20"/>
          <w:szCs w:val="20"/>
        </w:rPr>
      </w:pPr>
      <w:r>
        <w:rPr>
          <w:rFonts w:ascii="Times New Roman" w:hAnsi="Times New Roman"/>
          <w:sz w:val="20"/>
          <w:szCs w:val="20"/>
        </w:rPr>
        <w:t>23</w:t>
      </w:r>
      <w:r w:rsidR="006674C6">
        <w:rPr>
          <w:rFonts w:ascii="Times New Roman" w:hAnsi="Times New Roman"/>
          <w:sz w:val="20"/>
          <w:szCs w:val="20"/>
        </w:rPr>
        <w:t>39</w:t>
      </w:r>
      <w:bookmarkStart w:id="8" w:name="_GoBack"/>
      <w:bookmarkEnd w:id="8"/>
    </w:p>
    <w:p w14:paraId="2F53D903" w14:textId="77777777" w:rsidR="00362070" w:rsidRPr="00CC77EC" w:rsidRDefault="00362070" w:rsidP="00362070">
      <w:pPr>
        <w:spacing w:after="0" w:line="240" w:lineRule="auto"/>
        <w:contextualSpacing/>
        <w:jc w:val="both"/>
        <w:rPr>
          <w:rFonts w:ascii="Times New Roman" w:hAnsi="Times New Roman"/>
          <w:sz w:val="20"/>
          <w:szCs w:val="20"/>
          <w:lang w:eastAsia="lv-LV"/>
        </w:rPr>
      </w:pPr>
      <w:proofErr w:type="spellStart"/>
      <w:r w:rsidRPr="00CC77EC">
        <w:rPr>
          <w:rFonts w:ascii="Times New Roman" w:hAnsi="Times New Roman"/>
          <w:sz w:val="20"/>
          <w:szCs w:val="20"/>
        </w:rPr>
        <w:t>L.Vilde</w:t>
      </w:r>
      <w:proofErr w:type="spellEnd"/>
      <w:r w:rsidRPr="00CC77EC">
        <w:rPr>
          <w:rFonts w:ascii="Times New Roman" w:hAnsi="Times New Roman"/>
          <w:sz w:val="20"/>
          <w:szCs w:val="20"/>
        </w:rPr>
        <w:t>-Jurisone</w:t>
      </w:r>
    </w:p>
    <w:p w14:paraId="3EB90E13" w14:textId="77777777" w:rsidR="00362070" w:rsidRPr="00CC77EC" w:rsidRDefault="00D1071D" w:rsidP="00362070">
      <w:pPr>
        <w:spacing w:after="0" w:line="240" w:lineRule="auto"/>
        <w:contextualSpacing/>
        <w:jc w:val="both"/>
        <w:rPr>
          <w:rFonts w:ascii="Times New Roman" w:hAnsi="Times New Roman"/>
          <w:sz w:val="20"/>
          <w:szCs w:val="20"/>
        </w:rPr>
      </w:pPr>
      <w:hyperlink r:id="rId9" w:history="1">
        <w:r w:rsidR="00362070" w:rsidRPr="00CC77EC">
          <w:rPr>
            <w:rStyle w:val="Hyperlink"/>
            <w:rFonts w:ascii="Times New Roman" w:hAnsi="Times New Roman"/>
            <w:sz w:val="20"/>
            <w:szCs w:val="20"/>
          </w:rPr>
          <w:t>liga.vilde@izm.gov.lv</w:t>
        </w:r>
      </w:hyperlink>
      <w:r w:rsidR="00362070" w:rsidRPr="00CC77EC">
        <w:rPr>
          <w:rFonts w:ascii="Times New Roman" w:hAnsi="Times New Roman"/>
          <w:sz w:val="20"/>
          <w:szCs w:val="20"/>
        </w:rPr>
        <w:t>, 67047767</w:t>
      </w:r>
    </w:p>
    <w:p w14:paraId="5C5DBB67" w14:textId="77777777" w:rsidR="00362070" w:rsidRPr="00CC77EC" w:rsidRDefault="00362070" w:rsidP="00362070">
      <w:pPr>
        <w:spacing w:after="0" w:line="240" w:lineRule="auto"/>
        <w:contextualSpacing/>
        <w:jc w:val="both"/>
        <w:rPr>
          <w:rFonts w:ascii="Times New Roman" w:hAnsi="Times New Roman"/>
          <w:sz w:val="20"/>
          <w:szCs w:val="20"/>
        </w:rPr>
      </w:pPr>
    </w:p>
    <w:p w14:paraId="12EB49B8" w14:textId="77777777" w:rsidR="00A2311F" w:rsidRPr="00EE2B27" w:rsidRDefault="00A2311F" w:rsidP="00165CC2">
      <w:pPr>
        <w:spacing w:after="0" w:line="240" w:lineRule="auto"/>
        <w:rPr>
          <w:rFonts w:ascii="Times New Roman" w:hAnsi="Times New Roman" w:cs="Times New Roman"/>
          <w:sz w:val="24"/>
          <w:szCs w:val="24"/>
        </w:rPr>
      </w:pPr>
    </w:p>
    <w:sectPr w:rsidR="00A2311F" w:rsidRPr="00EE2B27" w:rsidSect="0050490E">
      <w:headerReference w:type="default" r:id="rId10"/>
      <w:footerReference w:type="default" r:id="rId11"/>
      <w:footerReference w:type="firs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D2442" w14:textId="77777777" w:rsidR="0068264A" w:rsidRDefault="0068264A" w:rsidP="006D6C82">
      <w:pPr>
        <w:spacing w:after="0" w:line="240" w:lineRule="auto"/>
      </w:pPr>
      <w:r>
        <w:separator/>
      </w:r>
    </w:p>
  </w:endnote>
  <w:endnote w:type="continuationSeparator" w:id="0">
    <w:p w14:paraId="1E34638A" w14:textId="77777777" w:rsidR="0068264A" w:rsidRDefault="0068264A"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A432" w14:textId="7944B3BB" w:rsidR="005D5266" w:rsidRPr="00E12034" w:rsidRDefault="00DF11D0" w:rsidP="00A01B7A">
    <w:pPr>
      <w:tabs>
        <w:tab w:val="center" w:pos="4153"/>
        <w:tab w:val="right" w:pos="8306"/>
      </w:tabs>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IZ</w:t>
    </w:r>
    <w:r w:rsidR="005D5266" w:rsidRPr="00E12034">
      <w:rPr>
        <w:rFonts w:ascii="Times New Roman" w:eastAsia="Times New Roman" w:hAnsi="Times New Roman" w:cs="Times New Roman"/>
        <w:color w:val="000000" w:themeColor="text1"/>
        <w:sz w:val="20"/>
        <w:szCs w:val="20"/>
        <w:lang w:eastAsia="lv-LV"/>
      </w:rPr>
      <w:t>MAnot_</w:t>
    </w:r>
    <w:r w:rsidR="00D1071D">
      <w:rPr>
        <w:rFonts w:ascii="Times New Roman" w:eastAsia="Times New Roman" w:hAnsi="Times New Roman" w:cs="Times New Roman"/>
        <w:color w:val="000000" w:themeColor="text1"/>
        <w:sz w:val="20"/>
        <w:szCs w:val="20"/>
        <w:lang w:eastAsia="lv-LV"/>
      </w:rPr>
      <w:t>27</w:t>
    </w:r>
    <w:r w:rsidR="00EE3A0D">
      <w:rPr>
        <w:rFonts w:ascii="Times New Roman" w:eastAsia="Times New Roman" w:hAnsi="Times New Roman" w:cs="Times New Roman"/>
        <w:color w:val="000000" w:themeColor="text1"/>
        <w:sz w:val="20"/>
        <w:szCs w:val="20"/>
        <w:lang w:eastAsia="lv-LV"/>
      </w:rPr>
      <w:t>0615_</w:t>
    </w:r>
    <w:r w:rsidR="00E12034">
      <w:rPr>
        <w:rFonts w:ascii="Times New Roman" w:eastAsia="Times New Roman" w:hAnsi="Times New Roman" w:cs="Times New Roman"/>
        <w:color w:val="000000" w:themeColor="text1"/>
        <w:sz w:val="20"/>
        <w:szCs w:val="20"/>
        <w:lang w:eastAsia="lv-LV"/>
      </w:rPr>
      <w:t>SAM841</w:t>
    </w:r>
    <w:r w:rsidR="005D5266" w:rsidRPr="00E12034">
      <w:rPr>
        <w:rFonts w:ascii="Times New Roman" w:eastAsia="Times New Roman" w:hAnsi="Times New Roman" w:cs="Times New Roman"/>
        <w:color w:val="000000" w:themeColor="text1"/>
        <w:sz w:val="20"/>
        <w:szCs w:val="20"/>
        <w:lang w:eastAsia="lv-LV"/>
      </w:rPr>
      <w:t>1; Ministru kabineta noteikumu “</w:t>
    </w:r>
    <w:r w:rsidR="005D5266" w:rsidRPr="00E12034">
      <w:rPr>
        <w:rFonts w:ascii="Times New Roman" w:eastAsia="Times New Roman" w:hAnsi="Times New Roman" w:cs="Times New Roman"/>
        <w:bCs/>
        <w:color w:val="000000" w:themeColor="text1"/>
        <w:sz w:val="20"/>
        <w:szCs w:val="20"/>
        <w:lang w:eastAsia="lv-LV"/>
      </w:rPr>
      <w:t xml:space="preserve">Darbības programmas „Izaugsme un nodarbinātība” </w:t>
    </w:r>
    <w:r w:rsidR="00E12034" w:rsidRPr="00E12034">
      <w:rPr>
        <w:rFonts w:ascii="Times New Roman" w:hAnsi="Times New Roman" w:cs="Times New Roman"/>
        <w:sz w:val="20"/>
        <w:szCs w:val="20"/>
      </w:rPr>
      <w:t>8.4.1.specifiskā atbalsta mērķa “Pilnveidot nodarbināto personu profesionālo kompetenci” 8.4.1.1.pasākuma “</w:t>
    </w:r>
    <w:proofErr w:type="spellStart"/>
    <w:r w:rsidR="00E12034" w:rsidRPr="00E12034">
      <w:rPr>
        <w:rFonts w:ascii="Times New Roman" w:hAnsi="Times New Roman" w:cs="Times New Roman"/>
        <w:sz w:val="20"/>
        <w:szCs w:val="20"/>
      </w:rPr>
      <w:t>Izmēģinājumprojekts</w:t>
    </w:r>
    <w:proofErr w:type="spellEnd"/>
    <w:r w:rsidR="00E12034" w:rsidRPr="00E12034">
      <w:rPr>
        <w:rFonts w:ascii="Times New Roman" w:hAnsi="Times New Roman" w:cs="Times New Roman"/>
        <w:sz w:val="20"/>
        <w:szCs w:val="20"/>
      </w:rPr>
      <w:t xml:space="preserve"> bezdarba riskam pakļauto nodarbināto personu atbalstam” īstenošanas noteikumi</w:t>
    </w:r>
    <w:r w:rsidR="00E12034" w:rsidRPr="00E12034">
      <w:rPr>
        <w:rFonts w:ascii="Times New Roman" w:hAnsi="Times New Roman" w:cs="Times New Roman"/>
        <w:sz w:val="20"/>
        <w:szCs w:val="20"/>
        <w:shd w:val="clear" w:color="auto" w:fill="FFFFFF"/>
      </w:rPr>
      <w:t>”</w:t>
    </w:r>
    <w:r w:rsidR="005D5266" w:rsidRPr="00E12034">
      <w:rPr>
        <w:rFonts w:ascii="Times New Roman" w:eastAsia="Times New Roman" w:hAnsi="Times New Roman" w:cs="Times New Roman"/>
        <w:bCs/>
        <w:color w:val="000000" w:themeColor="text1"/>
        <w:sz w:val="20"/>
        <w:szCs w:val="20"/>
        <w:lang w:eastAsia="lv-LV"/>
      </w:rPr>
      <w:t xml:space="preserve"> īstenošanas noteikumi</w:t>
    </w:r>
    <w:r w:rsidR="005D5266" w:rsidRPr="00E12034">
      <w:rPr>
        <w:rFonts w:ascii="Times New Roman" w:eastAsia="Times New Roman" w:hAnsi="Times New Roman" w:cs="Times New Roman"/>
        <w:color w:val="000000" w:themeColor="text1"/>
        <w:sz w:val="20"/>
        <w:szCs w:val="20"/>
        <w:lang w:eastAsia="lv-LV"/>
      </w:rPr>
      <w:t>”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B123" w14:textId="08B60EEA" w:rsidR="005D5266" w:rsidRPr="008829D4" w:rsidRDefault="00DF11D0" w:rsidP="000521D5">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w:t>
    </w:r>
    <w:r w:rsidR="005D5266" w:rsidRPr="008829D4">
      <w:rPr>
        <w:rFonts w:ascii="Times New Roman" w:eastAsia="Times New Roman" w:hAnsi="Times New Roman" w:cs="Times New Roman"/>
        <w:sz w:val="20"/>
        <w:szCs w:val="20"/>
        <w:lang w:eastAsia="lv-LV"/>
      </w:rPr>
      <w:t>MAnot_</w:t>
    </w:r>
    <w:r w:rsidR="00D1071D">
      <w:rPr>
        <w:rFonts w:ascii="Times New Roman" w:eastAsia="Times New Roman" w:hAnsi="Times New Roman" w:cs="Times New Roman"/>
        <w:sz w:val="20"/>
        <w:szCs w:val="20"/>
        <w:lang w:eastAsia="lv-LV"/>
      </w:rPr>
      <w:t>27</w:t>
    </w:r>
    <w:r w:rsidR="00EE3A0D">
      <w:rPr>
        <w:rFonts w:ascii="Times New Roman" w:eastAsia="Times New Roman" w:hAnsi="Times New Roman" w:cs="Times New Roman"/>
        <w:sz w:val="20"/>
        <w:szCs w:val="20"/>
        <w:lang w:eastAsia="lv-LV"/>
      </w:rPr>
      <w:t>0615_</w:t>
    </w:r>
    <w:r w:rsidR="001D0597">
      <w:rPr>
        <w:rFonts w:ascii="Times New Roman" w:eastAsia="Times New Roman" w:hAnsi="Times New Roman" w:cs="Times New Roman"/>
        <w:sz w:val="20"/>
        <w:szCs w:val="20"/>
        <w:lang w:eastAsia="lv-LV"/>
      </w:rPr>
      <w:t>84</w:t>
    </w:r>
    <w:r>
      <w:rPr>
        <w:rFonts w:ascii="Times New Roman" w:eastAsia="Times New Roman" w:hAnsi="Times New Roman" w:cs="Times New Roman"/>
        <w:sz w:val="20"/>
        <w:szCs w:val="20"/>
        <w:lang w:eastAsia="lv-LV"/>
      </w:rPr>
      <w:t>11SAM</w:t>
    </w:r>
    <w:r w:rsidR="005D5266" w:rsidRPr="008829D4">
      <w:rPr>
        <w:rFonts w:ascii="Times New Roman" w:eastAsia="Times New Roman" w:hAnsi="Times New Roman" w:cs="Times New Roman"/>
        <w:sz w:val="20"/>
        <w:szCs w:val="20"/>
        <w:lang w:eastAsia="lv-LV"/>
      </w:rPr>
      <w:t xml:space="preserve">; </w:t>
    </w:r>
    <w:r w:rsidR="005D5266">
      <w:rPr>
        <w:rFonts w:ascii="Times New Roman" w:eastAsia="Times New Roman" w:hAnsi="Times New Roman" w:cs="Times New Roman"/>
        <w:sz w:val="20"/>
        <w:szCs w:val="20"/>
        <w:lang w:eastAsia="lv-LV"/>
      </w:rPr>
      <w:t>Ministru kabineta noteikumu “</w:t>
    </w:r>
    <w:r w:rsidR="001D0597" w:rsidRPr="001D0597">
      <w:rPr>
        <w:rFonts w:ascii="Times New Roman" w:eastAsia="Times New Roman" w:hAnsi="Times New Roman" w:cs="Times New Roman"/>
        <w:bCs/>
        <w:sz w:val="20"/>
        <w:szCs w:val="20"/>
        <w:lang w:eastAsia="lv-LV"/>
      </w:rPr>
      <w:t>Darbības programmas „Darbības programmas „Izaugsme un nodarbinātība” 8.4.1.specifiskā atbalsta mērķa “Pilnveidot nodarbināto personu profesionālo kompetenci” 8.4.1.1.pasākuma “</w:t>
    </w:r>
    <w:proofErr w:type="spellStart"/>
    <w:r w:rsidR="001D0597" w:rsidRPr="001D0597">
      <w:rPr>
        <w:rFonts w:ascii="Times New Roman" w:eastAsia="Times New Roman" w:hAnsi="Times New Roman" w:cs="Times New Roman"/>
        <w:bCs/>
        <w:sz w:val="20"/>
        <w:szCs w:val="20"/>
        <w:lang w:eastAsia="lv-LV"/>
      </w:rPr>
      <w:t>Izmēģinājumprojekts</w:t>
    </w:r>
    <w:proofErr w:type="spellEnd"/>
    <w:r w:rsidR="001D0597" w:rsidRPr="001D0597">
      <w:rPr>
        <w:rFonts w:ascii="Times New Roman" w:eastAsia="Times New Roman" w:hAnsi="Times New Roman" w:cs="Times New Roman"/>
        <w:bCs/>
        <w:sz w:val="20"/>
        <w:szCs w:val="20"/>
        <w:lang w:eastAsia="lv-LV"/>
      </w:rPr>
      <w:t xml:space="preserve"> bezdarba riskam pakļauto nodarbināto personu atbalstam” īstenošanas noteikumi</w:t>
    </w:r>
    <w:r w:rsidR="005D5266" w:rsidRPr="008829D4">
      <w:rPr>
        <w:rFonts w:ascii="Times New Roman" w:eastAsia="Times New Roman" w:hAnsi="Times New Roman" w:cs="Times New Roman"/>
        <w:sz w:val="20"/>
        <w:szCs w:val="20"/>
        <w:lang w:eastAsia="lv-LV"/>
      </w:rPr>
      <w:t>” projekta sākotnējās ietekmes novērtējuma ziņojums (anotācija)</w:t>
    </w:r>
  </w:p>
  <w:p w14:paraId="44906EC5" w14:textId="77777777" w:rsidR="005D5266" w:rsidRPr="000521D5" w:rsidRDefault="005D5266" w:rsidP="00EE0D9F">
    <w:pPr>
      <w:pStyle w:val="Footer"/>
      <w:tabs>
        <w:tab w:val="clear" w:pos="4153"/>
        <w:tab w:val="clear" w:pos="8306"/>
        <w:tab w:val="left" w:pos="1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2D8D7" w14:textId="77777777" w:rsidR="0068264A" w:rsidRDefault="0068264A" w:rsidP="006D6C82">
      <w:pPr>
        <w:spacing w:after="0" w:line="240" w:lineRule="auto"/>
      </w:pPr>
      <w:r>
        <w:separator/>
      </w:r>
    </w:p>
  </w:footnote>
  <w:footnote w:type="continuationSeparator" w:id="0">
    <w:p w14:paraId="70556A9F" w14:textId="77777777" w:rsidR="0068264A" w:rsidRDefault="0068264A" w:rsidP="006D6C82">
      <w:pPr>
        <w:spacing w:after="0" w:line="240" w:lineRule="auto"/>
      </w:pPr>
      <w:r>
        <w:continuationSeparator/>
      </w:r>
    </w:p>
  </w:footnote>
  <w:footnote w:id="1">
    <w:p w14:paraId="4A97843F" w14:textId="77777777" w:rsidR="0009318D" w:rsidRPr="00C53ACF" w:rsidRDefault="0009318D" w:rsidP="0009318D">
      <w:pPr>
        <w:pStyle w:val="FootnoteText"/>
        <w:rPr>
          <w:sz w:val="18"/>
          <w:szCs w:val="18"/>
        </w:rPr>
      </w:pPr>
      <w:r w:rsidRPr="00C53ACF">
        <w:rPr>
          <w:rStyle w:val="FootnoteReference"/>
          <w:sz w:val="18"/>
          <w:szCs w:val="18"/>
        </w:rPr>
        <w:footnoteRef/>
      </w:r>
      <w:hyperlink r:id="rId1" w:history="1">
        <w:r w:rsidRPr="00C53ACF">
          <w:rPr>
            <w:sz w:val="18"/>
            <w:szCs w:val="18"/>
          </w:rPr>
          <w:t>http://www.lm.gov.lv/text/2562</w:t>
        </w:r>
      </w:hyperlink>
      <w:r w:rsidRPr="00C53ACF">
        <w:rPr>
          <w:sz w:val="18"/>
          <w:szCs w:val="18"/>
        </w:rPr>
        <w:t>;</w:t>
      </w:r>
    </w:p>
  </w:footnote>
  <w:footnote w:id="2">
    <w:p w14:paraId="31B93429" w14:textId="77777777" w:rsidR="005D5266" w:rsidRDefault="005D5266" w:rsidP="00D92659">
      <w:pPr>
        <w:pStyle w:val="FootnoteText"/>
      </w:pPr>
      <w:r>
        <w:rPr>
          <w:rStyle w:val="FootnoteReference"/>
        </w:rPr>
        <w:footnoteRef/>
      </w:r>
      <w:r w:rsidRPr="00B27C32">
        <w:t>https://www.em.gov.lv/lv/nozares_politika/tautsaimniecibas_attistiba/informativais_zinojums_par_darba_tirgus_videja_un_ilgtermina_prognozem/</w:t>
      </w:r>
    </w:p>
  </w:footnote>
  <w:footnote w:id="3">
    <w:p w14:paraId="2912E97B" w14:textId="77777777" w:rsidR="00EE2B27" w:rsidRDefault="00EE2B27" w:rsidP="00EE2B27">
      <w:pPr>
        <w:pStyle w:val="FootnoteText"/>
        <w:jc w:val="both"/>
      </w:pPr>
      <w:r>
        <w:rPr>
          <w:rStyle w:val="FootnoteReference"/>
        </w:rPr>
        <w:footnoteRef/>
      </w:r>
      <w:r>
        <w:t xml:space="preserve"> </w:t>
      </w:r>
      <w:r w:rsidRPr="00EE2B27">
        <w:t>Detalizētāku informāciju skat. DP 8.4.1.specifiskā atbalsta mērķa “Pilnveidot nodarbināto personu profesionālo kompetenci” 8.4.1.1.pasākuma “</w:t>
      </w:r>
      <w:proofErr w:type="spellStart"/>
      <w:r w:rsidRPr="00EE2B27">
        <w:t>Izmēģinājumprojekts</w:t>
      </w:r>
      <w:proofErr w:type="spellEnd"/>
      <w:r w:rsidRPr="00EE2B27">
        <w:t xml:space="preserve"> bezdarba riskam pakļauto nodarbināto personu atbalstam” sākotnējā novērtējumā,</w:t>
      </w:r>
      <w:r w:rsidR="0009318D" w:rsidRPr="00EE2B27">
        <w:t xml:space="preserve"> </w:t>
      </w:r>
      <w:r w:rsidRPr="00EE2B27">
        <w:t>kas tiks iesniegts izskatīšanai Uzraudzības komi</w:t>
      </w:r>
      <w:r w:rsidR="001B2BFA">
        <w:t>tejas apakškomitejas 2015.gada 30</w:t>
      </w:r>
      <w:r w:rsidRPr="00EE2B27">
        <w:t>.jūlija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32311"/>
      <w:docPartObj>
        <w:docPartGallery w:val="Page Numbers (Top of Page)"/>
        <w:docPartUnique/>
      </w:docPartObj>
    </w:sdtPr>
    <w:sdtEndPr>
      <w:rPr>
        <w:noProof/>
      </w:rPr>
    </w:sdtEndPr>
    <w:sdtContent>
      <w:p w14:paraId="110417A6" w14:textId="77777777" w:rsidR="005D5266" w:rsidRDefault="009E0CDC">
        <w:pPr>
          <w:pStyle w:val="Header"/>
          <w:jc w:val="center"/>
        </w:pPr>
        <w:r>
          <w:fldChar w:fldCharType="begin"/>
        </w:r>
        <w:r>
          <w:instrText xml:space="preserve"> PAGE   \* MERGEFORMAT </w:instrText>
        </w:r>
        <w:r>
          <w:fldChar w:fldCharType="separate"/>
        </w:r>
        <w:r w:rsidR="00D1071D">
          <w:rPr>
            <w:noProof/>
          </w:rPr>
          <w:t>7</w:t>
        </w:r>
        <w:r>
          <w:rPr>
            <w:noProof/>
          </w:rPr>
          <w:fldChar w:fldCharType="end"/>
        </w:r>
      </w:p>
    </w:sdtContent>
  </w:sdt>
  <w:p w14:paraId="650C0482" w14:textId="77777777" w:rsidR="005D5266" w:rsidRDefault="005D5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3926"/>
    <w:rsid w:val="00004AE7"/>
    <w:rsid w:val="0000589D"/>
    <w:rsid w:val="00007977"/>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729E7"/>
    <w:rsid w:val="00073983"/>
    <w:rsid w:val="000853C0"/>
    <w:rsid w:val="00090609"/>
    <w:rsid w:val="0009318D"/>
    <w:rsid w:val="00093BB9"/>
    <w:rsid w:val="00094F04"/>
    <w:rsid w:val="000A2A2F"/>
    <w:rsid w:val="000A48CD"/>
    <w:rsid w:val="000A50F4"/>
    <w:rsid w:val="000A556B"/>
    <w:rsid w:val="000A6213"/>
    <w:rsid w:val="000A69BD"/>
    <w:rsid w:val="000B3753"/>
    <w:rsid w:val="000B6BFA"/>
    <w:rsid w:val="000C042F"/>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40CF3"/>
    <w:rsid w:val="00151074"/>
    <w:rsid w:val="00151B2A"/>
    <w:rsid w:val="001546A5"/>
    <w:rsid w:val="00160A74"/>
    <w:rsid w:val="00161A38"/>
    <w:rsid w:val="00162400"/>
    <w:rsid w:val="0016242E"/>
    <w:rsid w:val="00162A45"/>
    <w:rsid w:val="0016361D"/>
    <w:rsid w:val="00165CC2"/>
    <w:rsid w:val="00166E6E"/>
    <w:rsid w:val="00167190"/>
    <w:rsid w:val="001679C6"/>
    <w:rsid w:val="001727BC"/>
    <w:rsid w:val="00176916"/>
    <w:rsid w:val="0018780A"/>
    <w:rsid w:val="00191247"/>
    <w:rsid w:val="00193FB1"/>
    <w:rsid w:val="001943F6"/>
    <w:rsid w:val="00195986"/>
    <w:rsid w:val="00197E17"/>
    <w:rsid w:val="001A7327"/>
    <w:rsid w:val="001B0E13"/>
    <w:rsid w:val="001B1214"/>
    <w:rsid w:val="001B2BFA"/>
    <w:rsid w:val="001B3759"/>
    <w:rsid w:val="001B6876"/>
    <w:rsid w:val="001B7660"/>
    <w:rsid w:val="001C3597"/>
    <w:rsid w:val="001C366A"/>
    <w:rsid w:val="001C50E5"/>
    <w:rsid w:val="001C7D4E"/>
    <w:rsid w:val="001D0597"/>
    <w:rsid w:val="001D0B2C"/>
    <w:rsid w:val="001E04D8"/>
    <w:rsid w:val="001E2D9C"/>
    <w:rsid w:val="001E5DCA"/>
    <w:rsid w:val="001E6208"/>
    <w:rsid w:val="001E645F"/>
    <w:rsid w:val="001F21C4"/>
    <w:rsid w:val="001F41D8"/>
    <w:rsid w:val="001F5194"/>
    <w:rsid w:val="001F792A"/>
    <w:rsid w:val="00204981"/>
    <w:rsid w:val="00206171"/>
    <w:rsid w:val="00210AA3"/>
    <w:rsid w:val="0021153C"/>
    <w:rsid w:val="002123C9"/>
    <w:rsid w:val="002141C0"/>
    <w:rsid w:val="00216066"/>
    <w:rsid w:val="0021686B"/>
    <w:rsid w:val="002202EB"/>
    <w:rsid w:val="00220CB7"/>
    <w:rsid w:val="0022527B"/>
    <w:rsid w:val="00232033"/>
    <w:rsid w:val="00235486"/>
    <w:rsid w:val="00246498"/>
    <w:rsid w:val="00246978"/>
    <w:rsid w:val="0025245B"/>
    <w:rsid w:val="00254049"/>
    <w:rsid w:val="00254F1A"/>
    <w:rsid w:val="002551BF"/>
    <w:rsid w:val="00257C93"/>
    <w:rsid w:val="00260E17"/>
    <w:rsid w:val="00260F04"/>
    <w:rsid w:val="002665C2"/>
    <w:rsid w:val="0026710C"/>
    <w:rsid w:val="002675CE"/>
    <w:rsid w:val="00270EBE"/>
    <w:rsid w:val="00277744"/>
    <w:rsid w:val="0028094F"/>
    <w:rsid w:val="002874DE"/>
    <w:rsid w:val="0029098B"/>
    <w:rsid w:val="00291D87"/>
    <w:rsid w:val="002938C7"/>
    <w:rsid w:val="00297EC2"/>
    <w:rsid w:val="002A161A"/>
    <w:rsid w:val="002A2FE7"/>
    <w:rsid w:val="002A5126"/>
    <w:rsid w:val="002A55E4"/>
    <w:rsid w:val="002B0D05"/>
    <w:rsid w:val="002B1692"/>
    <w:rsid w:val="002B7E3A"/>
    <w:rsid w:val="002C1473"/>
    <w:rsid w:val="002C1581"/>
    <w:rsid w:val="002C1A63"/>
    <w:rsid w:val="002C45E5"/>
    <w:rsid w:val="002C6E24"/>
    <w:rsid w:val="002C722B"/>
    <w:rsid w:val="002D1F05"/>
    <w:rsid w:val="002D2016"/>
    <w:rsid w:val="002D5017"/>
    <w:rsid w:val="002E284F"/>
    <w:rsid w:val="002E6B41"/>
    <w:rsid w:val="002F2310"/>
    <w:rsid w:val="002F2D45"/>
    <w:rsid w:val="002F70D8"/>
    <w:rsid w:val="002F7324"/>
    <w:rsid w:val="00301B68"/>
    <w:rsid w:val="00301CB2"/>
    <w:rsid w:val="00303FFC"/>
    <w:rsid w:val="003060C0"/>
    <w:rsid w:val="00306DFF"/>
    <w:rsid w:val="00314E0B"/>
    <w:rsid w:val="00314F7C"/>
    <w:rsid w:val="00315AB8"/>
    <w:rsid w:val="00316A8E"/>
    <w:rsid w:val="00320A19"/>
    <w:rsid w:val="00321D39"/>
    <w:rsid w:val="003259BB"/>
    <w:rsid w:val="00326E13"/>
    <w:rsid w:val="00327D5C"/>
    <w:rsid w:val="003352F8"/>
    <w:rsid w:val="0033543A"/>
    <w:rsid w:val="00336B3A"/>
    <w:rsid w:val="00345771"/>
    <w:rsid w:val="003460F3"/>
    <w:rsid w:val="00351DB7"/>
    <w:rsid w:val="00355126"/>
    <w:rsid w:val="0035641C"/>
    <w:rsid w:val="00360CC3"/>
    <w:rsid w:val="00362070"/>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A3A21"/>
    <w:rsid w:val="003A4860"/>
    <w:rsid w:val="003A5522"/>
    <w:rsid w:val="003A55C7"/>
    <w:rsid w:val="003A77B7"/>
    <w:rsid w:val="003B0FBE"/>
    <w:rsid w:val="003C0358"/>
    <w:rsid w:val="003C1407"/>
    <w:rsid w:val="003D4D88"/>
    <w:rsid w:val="003D58F4"/>
    <w:rsid w:val="003D7FCC"/>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EFE"/>
    <w:rsid w:val="00430112"/>
    <w:rsid w:val="0043187B"/>
    <w:rsid w:val="00431F46"/>
    <w:rsid w:val="00432D28"/>
    <w:rsid w:val="00444D42"/>
    <w:rsid w:val="00445A9C"/>
    <w:rsid w:val="00446630"/>
    <w:rsid w:val="0044755D"/>
    <w:rsid w:val="00450395"/>
    <w:rsid w:val="00451DE5"/>
    <w:rsid w:val="00454771"/>
    <w:rsid w:val="00462F04"/>
    <w:rsid w:val="00467554"/>
    <w:rsid w:val="00470125"/>
    <w:rsid w:val="00472A75"/>
    <w:rsid w:val="00473FE0"/>
    <w:rsid w:val="00475C8F"/>
    <w:rsid w:val="00475EDD"/>
    <w:rsid w:val="00481F9F"/>
    <w:rsid w:val="004863B9"/>
    <w:rsid w:val="00486A99"/>
    <w:rsid w:val="00486BA1"/>
    <w:rsid w:val="00487C61"/>
    <w:rsid w:val="004A0562"/>
    <w:rsid w:val="004A470F"/>
    <w:rsid w:val="004A51B4"/>
    <w:rsid w:val="004A79B6"/>
    <w:rsid w:val="004B147B"/>
    <w:rsid w:val="004B287A"/>
    <w:rsid w:val="004B291A"/>
    <w:rsid w:val="004B4BC8"/>
    <w:rsid w:val="004C0127"/>
    <w:rsid w:val="004C0612"/>
    <w:rsid w:val="004C31E6"/>
    <w:rsid w:val="004C48A0"/>
    <w:rsid w:val="004C55C1"/>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807AD"/>
    <w:rsid w:val="00590E26"/>
    <w:rsid w:val="005913E4"/>
    <w:rsid w:val="005914D9"/>
    <w:rsid w:val="00591BA7"/>
    <w:rsid w:val="005935C2"/>
    <w:rsid w:val="005A0987"/>
    <w:rsid w:val="005A5C59"/>
    <w:rsid w:val="005A5D2D"/>
    <w:rsid w:val="005A646A"/>
    <w:rsid w:val="005A705B"/>
    <w:rsid w:val="005A7179"/>
    <w:rsid w:val="005B104F"/>
    <w:rsid w:val="005B1977"/>
    <w:rsid w:val="005B1A2E"/>
    <w:rsid w:val="005B5313"/>
    <w:rsid w:val="005C3BBF"/>
    <w:rsid w:val="005C5E5B"/>
    <w:rsid w:val="005C718F"/>
    <w:rsid w:val="005D1219"/>
    <w:rsid w:val="005D46AF"/>
    <w:rsid w:val="005D5266"/>
    <w:rsid w:val="005D6EC7"/>
    <w:rsid w:val="005E044D"/>
    <w:rsid w:val="005F05CE"/>
    <w:rsid w:val="005F05CF"/>
    <w:rsid w:val="005F0DF3"/>
    <w:rsid w:val="005F403C"/>
    <w:rsid w:val="005F4D8E"/>
    <w:rsid w:val="0060421D"/>
    <w:rsid w:val="00614CDA"/>
    <w:rsid w:val="00615406"/>
    <w:rsid w:val="00620A76"/>
    <w:rsid w:val="006210E5"/>
    <w:rsid w:val="006226FE"/>
    <w:rsid w:val="00622ABE"/>
    <w:rsid w:val="00623238"/>
    <w:rsid w:val="00630B64"/>
    <w:rsid w:val="006318CB"/>
    <w:rsid w:val="00631AC4"/>
    <w:rsid w:val="0063276D"/>
    <w:rsid w:val="00637E1F"/>
    <w:rsid w:val="00644079"/>
    <w:rsid w:val="00645815"/>
    <w:rsid w:val="00653BCC"/>
    <w:rsid w:val="00654303"/>
    <w:rsid w:val="00657B8C"/>
    <w:rsid w:val="00660D3B"/>
    <w:rsid w:val="00662D55"/>
    <w:rsid w:val="0066392D"/>
    <w:rsid w:val="006673B6"/>
    <w:rsid w:val="006674C6"/>
    <w:rsid w:val="0067184D"/>
    <w:rsid w:val="00674496"/>
    <w:rsid w:val="00677B45"/>
    <w:rsid w:val="0068264A"/>
    <w:rsid w:val="00682E06"/>
    <w:rsid w:val="006831EC"/>
    <w:rsid w:val="006833BD"/>
    <w:rsid w:val="006838C8"/>
    <w:rsid w:val="006861B4"/>
    <w:rsid w:val="00692D5D"/>
    <w:rsid w:val="00693711"/>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54BE"/>
    <w:rsid w:val="006D573E"/>
    <w:rsid w:val="006D6C82"/>
    <w:rsid w:val="006E0343"/>
    <w:rsid w:val="006E169E"/>
    <w:rsid w:val="006E2EBF"/>
    <w:rsid w:val="006E3024"/>
    <w:rsid w:val="006E3A88"/>
    <w:rsid w:val="006F5DBA"/>
    <w:rsid w:val="006F615E"/>
    <w:rsid w:val="006F6735"/>
    <w:rsid w:val="007005A5"/>
    <w:rsid w:val="007032FF"/>
    <w:rsid w:val="007040B5"/>
    <w:rsid w:val="00706A2D"/>
    <w:rsid w:val="00715808"/>
    <w:rsid w:val="00720177"/>
    <w:rsid w:val="00726959"/>
    <w:rsid w:val="00731A91"/>
    <w:rsid w:val="00734D79"/>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E2E"/>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85C"/>
    <w:rsid w:val="007B1908"/>
    <w:rsid w:val="007B55C1"/>
    <w:rsid w:val="007C397D"/>
    <w:rsid w:val="007C5B0E"/>
    <w:rsid w:val="007C5BDB"/>
    <w:rsid w:val="007D385B"/>
    <w:rsid w:val="007D41A0"/>
    <w:rsid w:val="007E25D2"/>
    <w:rsid w:val="007E29DA"/>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7C5B"/>
    <w:rsid w:val="00860ADE"/>
    <w:rsid w:val="00863CD4"/>
    <w:rsid w:val="00864B01"/>
    <w:rsid w:val="0087007F"/>
    <w:rsid w:val="00870319"/>
    <w:rsid w:val="0087043A"/>
    <w:rsid w:val="0087144E"/>
    <w:rsid w:val="00874136"/>
    <w:rsid w:val="008745E4"/>
    <w:rsid w:val="00874FAD"/>
    <w:rsid w:val="0087502F"/>
    <w:rsid w:val="008806F3"/>
    <w:rsid w:val="00882510"/>
    <w:rsid w:val="008829D4"/>
    <w:rsid w:val="00883BC7"/>
    <w:rsid w:val="00883FE0"/>
    <w:rsid w:val="00884628"/>
    <w:rsid w:val="00891D72"/>
    <w:rsid w:val="00893F92"/>
    <w:rsid w:val="00895B1F"/>
    <w:rsid w:val="00895B23"/>
    <w:rsid w:val="0089655E"/>
    <w:rsid w:val="00897E02"/>
    <w:rsid w:val="008A08C8"/>
    <w:rsid w:val="008A10C7"/>
    <w:rsid w:val="008A16D3"/>
    <w:rsid w:val="008A4CB4"/>
    <w:rsid w:val="008A660F"/>
    <w:rsid w:val="008A79E9"/>
    <w:rsid w:val="008B39BD"/>
    <w:rsid w:val="008B4290"/>
    <w:rsid w:val="008B6024"/>
    <w:rsid w:val="008C04F8"/>
    <w:rsid w:val="008C4D11"/>
    <w:rsid w:val="008C6D46"/>
    <w:rsid w:val="008C7B33"/>
    <w:rsid w:val="008D0993"/>
    <w:rsid w:val="008D2146"/>
    <w:rsid w:val="008D7EEB"/>
    <w:rsid w:val="008E47D7"/>
    <w:rsid w:val="008F39D3"/>
    <w:rsid w:val="008F6700"/>
    <w:rsid w:val="008F6D8E"/>
    <w:rsid w:val="008F742D"/>
    <w:rsid w:val="009019B3"/>
    <w:rsid w:val="00902AA6"/>
    <w:rsid w:val="00902D3F"/>
    <w:rsid w:val="009034AE"/>
    <w:rsid w:val="0090399E"/>
    <w:rsid w:val="009068BA"/>
    <w:rsid w:val="00907C4E"/>
    <w:rsid w:val="00914A21"/>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65B"/>
    <w:rsid w:val="00965695"/>
    <w:rsid w:val="009661DC"/>
    <w:rsid w:val="009665F6"/>
    <w:rsid w:val="009666DB"/>
    <w:rsid w:val="00970AEC"/>
    <w:rsid w:val="009711A1"/>
    <w:rsid w:val="009716C7"/>
    <w:rsid w:val="009728D3"/>
    <w:rsid w:val="00973321"/>
    <w:rsid w:val="00974CF0"/>
    <w:rsid w:val="00975BC8"/>
    <w:rsid w:val="00981F38"/>
    <w:rsid w:val="00984E0C"/>
    <w:rsid w:val="009905E8"/>
    <w:rsid w:val="009945CD"/>
    <w:rsid w:val="00994FB5"/>
    <w:rsid w:val="00995B4E"/>
    <w:rsid w:val="009A23DD"/>
    <w:rsid w:val="009A5F8B"/>
    <w:rsid w:val="009B252C"/>
    <w:rsid w:val="009B4385"/>
    <w:rsid w:val="009B5667"/>
    <w:rsid w:val="009B5EDB"/>
    <w:rsid w:val="009B7605"/>
    <w:rsid w:val="009C0B81"/>
    <w:rsid w:val="009C39B5"/>
    <w:rsid w:val="009C4313"/>
    <w:rsid w:val="009C4BBC"/>
    <w:rsid w:val="009C5386"/>
    <w:rsid w:val="009D25A4"/>
    <w:rsid w:val="009D7CD8"/>
    <w:rsid w:val="009E0CDC"/>
    <w:rsid w:val="009E12A1"/>
    <w:rsid w:val="009E1B92"/>
    <w:rsid w:val="009E5995"/>
    <w:rsid w:val="009E7523"/>
    <w:rsid w:val="009F029E"/>
    <w:rsid w:val="009F37C9"/>
    <w:rsid w:val="009F3C67"/>
    <w:rsid w:val="009F788A"/>
    <w:rsid w:val="00A01B7A"/>
    <w:rsid w:val="00A02169"/>
    <w:rsid w:val="00A02350"/>
    <w:rsid w:val="00A03690"/>
    <w:rsid w:val="00A07A9E"/>
    <w:rsid w:val="00A1504C"/>
    <w:rsid w:val="00A2050F"/>
    <w:rsid w:val="00A22686"/>
    <w:rsid w:val="00A2311F"/>
    <w:rsid w:val="00A240CC"/>
    <w:rsid w:val="00A33379"/>
    <w:rsid w:val="00A347F0"/>
    <w:rsid w:val="00A35878"/>
    <w:rsid w:val="00A37357"/>
    <w:rsid w:val="00A41BAE"/>
    <w:rsid w:val="00A44A57"/>
    <w:rsid w:val="00A46FE2"/>
    <w:rsid w:val="00A472BA"/>
    <w:rsid w:val="00A578DC"/>
    <w:rsid w:val="00A60497"/>
    <w:rsid w:val="00A60D7E"/>
    <w:rsid w:val="00A65744"/>
    <w:rsid w:val="00A65B55"/>
    <w:rsid w:val="00A6792B"/>
    <w:rsid w:val="00A7043B"/>
    <w:rsid w:val="00A74718"/>
    <w:rsid w:val="00A76ADD"/>
    <w:rsid w:val="00A81161"/>
    <w:rsid w:val="00A856F0"/>
    <w:rsid w:val="00A86B5E"/>
    <w:rsid w:val="00A90517"/>
    <w:rsid w:val="00A920FA"/>
    <w:rsid w:val="00A96537"/>
    <w:rsid w:val="00A971FA"/>
    <w:rsid w:val="00AA1E9D"/>
    <w:rsid w:val="00AA222B"/>
    <w:rsid w:val="00AA2AC4"/>
    <w:rsid w:val="00AA5D5A"/>
    <w:rsid w:val="00AB23D6"/>
    <w:rsid w:val="00AB24A1"/>
    <w:rsid w:val="00AB321F"/>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10319"/>
    <w:rsid w:val="00B105FC"/>
    <w:rsid w:val="00B11B77"/>
    <w:rsid w:val="00B13677"/>
    <w:rsid w:val="00B14BC8"/>
    <w:rsid w:val="00B20194"/>
    <w:rsid w:val="00B22E4A"/>
    <w:rsid w:val="00B25DB8"/>
    <w:rsid w:val="00B26680"/>
    <w:rsid w:val="00B30266"/>
    <w:rsid w:val="00B31B7A"/>
    <w:rsid w:val="00B3205B"/>
    <w:rsid w:val="00B321EE"/>
    <w:rsid w:val="00B34704"/>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BB5"/>
    <w:rsid w:val="00B74763"/>
    <w:rsid w:val="00B76187"/>
    <w:rsid w:val="00B771AF"/>
    <w:rsid w:val="00B80868"/>
    <w:rsid w:val="00B81498"/>
    <w:rsid w:val="00B81A6C"/>
    <w:rsid w:val="00B8344A"/>
    <w:rsid w:val="00B8482D"/>
    <w:rsid w:val="00B8687D"/>
    <w:rsid w:val="00B90D82"/>
    <w:rsid w:val="00B919EA"/>
    <w:rsid w:val="00B93F3D"/>
    <w:rsid w:val="00B96AE8"/>
    <w:rsid w:val="00B97A7A"/>
    <w:rsid w:val="00B97ACC"/>
    <w:rsid w:val="00BB2CCB"/>
    <w:rsid w:val="00BB357C"/>
    <w:rsid w:val="00BB35A6"/>
    <w:rsid w:val="00BB3EAD"/>
    <w:rsid w:val="00BB4876"/>
    <w:rsid w:val="00BC1631"/>
    <w:rsid w:val="00BC1954"/>
    <w:rsid w:val="00BC1FD7"/>
    <w:rsid w:val="00BC6AD7"/>
    <w:rsid w:val="00BD12FD"/>
    <w:rsid w:val="00BD2109"/>
    <w:rsid w:val="00BD58B7"/>
    <w:rsid w:val="00BD5FC1"/>
    <w:rsid w:val="00BD76EA"/>
    <w:rsid w:val="00BE01BD"/>
    <w:rsid w:val="00BE13FE"/>
    <w:rsid w:val="00BE2E77"/>
    <w:rsid w:val="00BE3615"/>
    <w:rsid w:val="00BE474B"/>
    <w:rsid w:val="00BE4D6D"/>
    <w:rsid w:val="00BE7FA7"/>
    <w:rsid w:val="00BF002F"/>
    <w:rsid w:val="00BF1C90"/>
    <w:rsid w:val="00BF1CAA"/>
    <w:rsid w:val="00BF37CF"/>
    <w:rsid w:val="00BF7058"/>
    <w:rsid w:val="00C072EC"/>
    <w:rsid w:val="00C07C88"/>
    <w:rsid w:val="00C14C5A"/>
    <w:rsid w:val="00C20F59"/>
    <w:rsid w:val="00C24A5B"/>
    <w:rsid w:val="00C24E8B"/>
    <w:rsid w:val="00C26F4E"/>
    <w:rsid w:val="00C27268"/>
    <w:rsid w:val="00C302D7"/>
    <w:rsid w:val="00C43430"/>
    <w:rsid w:val="00C436D9"/>
    <w:rsid w:val="00C4733E"/>
    <w:rsid w:val="00C475F0"/>
    <w:rsid w:val="00C51095"/>
    <w:rsid w:val="00C521A6"/>
    <w:rsid w:val="00C52A42"/>
    <w:rsid w:val="00C53303"/>
    <w:rsid w:val="00C5332B"/>
    <w:rsid w:val="00C53C19"/>
    <w:rsid w:val="00C541BC"/>
    <w:rsid w:val="00C6238D"/>
    <w:rsid w:val="00C63017"/>
    <w:rsid w:val="00C63E56"/>
    <w:rsid w:val="00C64158"/>
    <w:rsid w:val="00C64A63"/>
    <w:rsid w:val="00C664CE"/>
    <w:rsid w:val="00C67A0E"/>
    <w:rsid w:val="00C67AF8"/>
    <w:rsid w:val="00C713D8"/>
    <w:rsid w:val="00C72760"/>
    <w:rsid w:val="00C7617A"/>
    <w:rsid w:val="00C771F7"/>
    <w:rsid w:val="00C80769"/>
    <w:rsid w:val="00C81D58"/>
    <w:rsid w:val="00C845E5"/>
    <w:rsid w:val="00C8589F"/>
    <w:rsid w:val="00C87E76"/>
    <w:rsid w:val="00C92466"/>
    <w:rsid w:val="00C96472"/>
    <w:rsid w:val="00CA39D4"/>
    <w:rsid w:val="00CA3BE3"/>
    <w:rsid w:val="00CA668E"/>
    <w:rsid w:val="00CA6864"/>
    <w:rsid w:val="00CA74AB"/>
    <w:rsid w:val="00CA7833"/>
    <w:rsid w:val="00CB1CA0"/>
    <w:rsid w:val="00CB2095"/>
    <w:rsid w:val="00CB26A7"/>
    <w:rsid w:val="00CC1A56"/>
    <w:rsid w:val="00CC7BD9"/>
    <w:rsid w:val="00CD2E50"/>
    <w:rsid w:val="00CD3D07"/>
    <w:rsid w:val="00CD67CD"/>
    <w:rsid w:val="00CE197A"/>
    <w:rsid w:val="00CE1E89"/>
    <w:rsid w:val="00CE6517"/>
    <w:rsid w:val="00CE71A7"/>
    <w:rsid w:val="00CF0350"/>
    <w:rsid w:val="00CF13D1"/>
    <w:rsid w:val="00CF1723"/>
    <w:rsid w:val="00CF4EE7"/>
    <w:rsid w:val="00D026E8"/>
    <w:rsid w:val="00D0364B"/>
    <w:rsid w:val="00D05580"/>
    <w:rsid w:val="00D06691"/>
    <w:rsid w:val="00D074D8"/>
    <w:rsid w:val="00D07EF9"/>
    <w:rsid w:val="00D1071D"/>
    <w:rsid w:val="00D21A8F"/>
    <w:rsid w:val="00D22B97"/>
    <w:rsid w:val="00D2367B"/>
    <w:rsid w:val="00D24B46"/>
    <w:rsid w:val="00D31445"/>
    <w:rsid w:val="00D31CB0"/>
    <w:rsid w:val="00D343A0"/>
    <w:rsid w:val="00D37528"/>
    <w:rsid w:val="00D404FE"/>
    <w:rsid w:val="00D40F2E"/>
    <w:rsid w:val="00D428C0"/>
    <w:rsid w:val="00D46586"/>
    <w:rsid w:val="00D473ED"/>
    <w:rsid w:val="00D504D3"/>
    <w:rsid w:val="00D52C77"/>
    <w:rsid w:val="00D530B1"/>
    <w:rsid w:val="00D53B1F"/>
    <w:rsid w:val="00D5496D"/>
    <w:rsid w:val="00D5750F"/>
    <w:rsid w:val="00D61C0C"/>
    <w:rsid w:val="00D61CB4"/>
    <w:rsid w:val="00D67874"/>
    <w:rsid w:val="00D741A3"/>
    <w:rsid w:val="00D74D00"/>
    <w:rsid w:val="00D74F83"/>
    <w:rsid w:val="00D77819"/>
    <w:rsid w:val="00D80A27"/>
    <w:rsid w:val="00D81398"/>
    <w:rsid w:val="00D8774F"/>
    <w:rsid w:val="00D90A3F"/>
    <w:rsid w:val="00D92659"/>
    <w:rsid w:val="00D93F13"/>
    <w:rsid w:val="00D95EA5"/>
    <w:rsid w:val="00D95FDE"/>
    <w:rsid w:val="00DA3550"/>
    <w:rsid w:val="00DA5407"/>
    <w:rsid w:val="00DB474A"/>
    <w:rsid w:val="00DB4E8D"/>
    <w:rsid w:val="00DC3CC4"/>
    <w:rsid w:val="00DC43E1"/>
    <w:rsid w:val="00DC4BEE"/>
    <w:rsid w:val="00DD00CA"/>
    <w:rsid w:val="00DD1390"/>
    <w:rsid w:val="00DD1F36"/>
    <w:rsid w:val="00DD3888"/>
    <w:rsid w:val="00DD4A0D"/>
    <w:rsid w:val="00DD5A4C"/>
    <w:rsid w:val="00DD5E9C"/>
    <w:rsid w:val="00DD6BB2"/>
    <w:rsid w:val="00DD7A86"/>
    <w:rsid w:val="00DE0F62"/>
    <w:rsid w:val="00DE1693"/>
    <w:rsid w:val="00DE2FFA"/>
    <w:rsid w:val="00DE4A4A"/>
    <w:rsid w:val="00DF11D0"/>
    <w:rsid w:val="00DF5797"/>
    <w:rsid w:val="00E022DC"/>
    <w:rsid w:val="00E04C89"/>
    <w:rsid w:val="00E055E0"/>
    <w:rsid w:val="00E06DE4"/>
    <w:rsid w:val="00E0751F"/>
    <w:rsid w:val="00E10513"/>
    <w:rsid w:val="00E12034"/>
    <w:rsid w:val="00E1297A"/>
    <w:rsid w:val="00E139C6"/>
    <w:rsid w:val="00E13C41"/>
    <w:rsid w:val="00E1563C"/>
    <w:rsid w:val="00E20737"/>
    <w:rsid w:val="00E21E83"/>
    <w:rsid w:val="00E23CBA"/>
    <w:rsid w:val="00E243BF"/>
    <w:rsid w:val="00E2764C"/>
    <w:rsid w:val="00E31FAF"/>
    <w:rsid w:val="00E3446E"/>
    <w:rsid w:val="00E35333"/>
    <w:rsid w:val="00E421E9"/>
    <w:rsid w:val="00E44861"/>
    <w:rsid w:val="00E46B62"/>
    <w:rsid w:val="00E479F2"/>
    <w:rsid w:val="00E55912"/>
    <w:rsid w:val="00E57D20"/>
    <w:rsid w:val="00E70FE8"/>
    <w:rsid w:val="00E74162"/>
    <w:rsid w:val="00E7560D"/>
    <w:rsid w:val="00E76D0C"/>
    <w:rsid w:val="00E77ED8"/>
    <w:rsid w:val="00E80958"/>
    <w:rsid w:val="00E813BA"/>
    <w:rsid w:val="00E83230"/>
    <w:rsid w:val="00E858D5"/>
    <w:rsid w:val="00E869D3"/>
    <w:rsid w:val="00E90E54"/>
    <w:rsid w:val="00E9206A"/>
    <w:rsid w:val="00EA1B7F"/>
    <w:rsid w:val="00EA518C"/>
    <w:rsid w:val="00EA55C8"/>
    <w:rsid w:val="00EA6120"/>
    <w:rsid w:val="00EA62E8"/>
    <w:rsid w:val="00EB3B4E"/>
    <w:rsid w:val="00EB4471"/>
    <w:rsid w:val="00EB63F5"/>
    <w:rsid w:val="00EC0484"/>
    <w:rsid w:val="00EC1C7E"/>
    <w:rsid w:val="00EC4331"/>
    <w:rsid w:val="00EC4A1C"/>
    <w:rsid w:val="00EC4B33"/>
    <w:rsid w:val="00ED194E"/>
    <w:rsid w:val="00ED4855"/>
    <w:rsid w:val="00ED56D4"/>
    <w:rsid w:val="00ED63AA"/>
    <w:rsid w:val="00EE0D9F"/>
    <w:rsid w:val="00EE2B27"/>
    <w:rsid w:val="00EE3A0D"/>
    <w:rsid w:val="00EE5B3B"/>
    <w:rsid w:val="00EE6945"/>
    <w:rsid w:val="00EF1768"/>
    <w:rsid w:val="00EF6FED"/>
    <w:rsid w:val="00F00CD5"/>
    <w:rsid w:val="00F07BB7"/>
    <w:rsid w:val="00F11F5B"/>
    <w:rsid w:val="00F12401"/>
    <w:rsid w:val="00F15C0D"/>
    <w:rsid w:val="00F15E13"/>
    <w:rsid w:val="00F16D63"/>
    <w:rsid w:val="00F211E0"/>
    <w:rsid w:val="00F21C20"/>
    <w:rsid w:val="00F21E42"/>
    <w:rsid w:val="00F23F1D"/>
    <w:rsid w:val="00F32FAB"/>
    <w:rsid w:val="00F37822"/>
    <w:rsid w:val="00F41771"/>
    <w:rsid w:val="00F473C3"/>
    <w:rsid w:val="00F50896"/>
    <w:rsid w:val="00F50DCB"/>
    <w:rsid w:val="00F51925"/>
    <w:rsid w:val="00F568C0"/>
    <w:rsid w:val="00F574AF"/>
    <w:rsid w:val="00F5790D"/>
    <w:rsid w:val="00F62DFD"/>
    <w:rsid w:val="00F666B4"/>
    <w:rsid w:val="00F67362"/>
    <w:rsid w:val="00F73FA9"/>
    <w:rsid w:val="00F74740"/>
    <w:rsid w:val="00F8484C"/>
    <w:rsid w:val="00F85E6D"/>
    <w:rsid w:val="00F86C1C"/>
    <w:rsid w:val="00F9013A"/>
    <w:rsid w:val="00F91BD8"/>
    <w:rsid w:val="00F925CF"/>
    <w:rsid w:val="00F92702"/>
    <w:rsid w:val="00F93860"/>
    <w:rsid w:val="00F97AE4"/>
    <w:rsid w:val="00FA0151"/>
    <w:rsid w:val="00FA52A9"/>
    <w:rsid w:val="00FB1CB0"/>
    <w:rsid w:val="00FC3A40"/>
    <w:rsid w:val="00FC6320"/>
    <w:rsid w:val="00FC6CF7"/>
    <w:rsid w:val="00FC7E55"/>
    <w:rsid w:val="00FD0304"/>
    <w:rsid w:val="00FD1665"/>
    <w:rsid w:val="00FD3D15"/>
    <w:rsid w:val="00FD4006"/>
    <w:rsid w:val="00FE11AA"/>
    <w:rsid w:val="00FE23B4"/>
    <w:rsid w:val="00FE25D4"/>
    <w:rsid w:val="00FE27C9"/>
    <w:rsid w:val="00FE56B3"/>
    <w:rsid w:val="00FE75DC"/>
    <w:rsid w:val="00FE7DD2"/>
    <w:rsid w:val="00FF1DDA"/>
    <w:rsid w:val="00FF3242"/>
    <w:rsid w:val="00FF341E"/>
    <w:rsid w:val="00FF55E4"/>
    <w:rsid w:val="00FF65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572A2"/>
  <w15:docId w15:val="{F5D1270A-3EB5-4A54-AD33-247B0D52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stylish,BVI fnr,Fußnotenzeichen_Raxen,callout,fr"/>
    <w:uiPriority w:val="99"/>
    <w:rsid w:val="00674496"/>
    <w:rPr>
      <w:rFonts w:ascii="Times New Roman" w:hAnsi="Times New Roman"/>
      <w:vertAlign w:val="superscript"/>
    </w:rPr>
  </w:style>
  <w:style w:type="paragraph" w:customStyle="1" w:styleId="galasech">
    <w:name w:val="gala sec h"/>
    <w:basedOn w:val="Normal"/>
    <w:qFormat/>
    <w:rsid w:val="0087144E"/>
    <w:pPr>
      <w:spacing w:before="120" w:after="240" w:line="240" w:lineRule="auto"/>
      <w:ind w:right="-29"/>
      <w:contextualSpacing/>
      <w:jc w:val="both"/>
    </w:pPr>
    <w:rPr>
      <w:rFonts w:ascii="Times New Roman" w:eastAsia="Times New Roman" w:hAnsi="Times New Roman" w:cs="Times New Roman"/>
      <w:sz w:val="28"/>
      <w:szCs w:val="28"/>
      <w:lang w:eastAsia="lv-LV"/>
    </w:rPr>
  </w:style>
  <w:style w:type="character" w:customStyle="1" w:styleId="apple-converted-space">
    <w:name w:val="apple-converted-space"/>
    <w:rsid w:val="00A8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vilde@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text/2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DC86-60A1-4595-BA9D-9EB27389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2305</Words>
  <Characters>16531</Characters>
  <Application>Microsoft Office Word</Application>
  <DocSecurity>0</DocSecurity>
  <Lines>477</Lines>
  <Paragraphs>143</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7.1.1. specifiskā atbalsta mērķa “Paaugstināt bezdarbnieku kvalifikāciju un prasmes atbilstoši darba tirgus pieprasījumam” īstenošanu” projekta sākotnējās ietekmes novērtējuma ziņojums (anotāci</vt:lpstr>
    </vt:vector>
  </TitlesOfParts>
  <Company>Labklājības ministrija</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7.1.1. specifiskā atbalsta mērķa “Paaugstināt bezdarbnieku kvalifikāciju un prasmes atbilstoši darba tirgus pieprasījumam” īstenošanu” projekta sākotnējās ietekmes novērtējuma ziņojums (anotācija)</dc:title>
  <dc:subject>Anotācija</dc:subject>
  <dc:creator>Anna Vībe</dc:creator>
  <dc:description>E-pasts: Anna.Vibe@lm.gov.lv_x000d_
Tālr.: 67021648</dc:description>
  <cp:lastModifiedBy>Līga Vilde-Jurisone</cp:lastModifiedBy>
  <cp:revision>4</cp:revision>
  <cp:lastPrinted>2014-12-12T10:30:00Z</cp:lastPrinted>
  <dcterms:created xsi:type="dcterms:W3CDTF">2015-06-26T07:14:00Z</dcterms:created>
  <dcterms:modified xsi:type="dcterms:W3CDTF">2015-06-27T06:11:00Z</dcterms:modified>
</cp:coreProperties>
</file>