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8A1EF2" w:rsidRPr="000A7ABF" w:rsidRDefault="008A1EF2" w:rsidP="00B65C59">
      <w:pPr>
        <w:spacing w:after="0" w:line="240" w:lineRule="auto"/>
        <w:outlineLvl w:val="3"/>
        <w:rPr>
          <w:rFonts w:ascii="Times New Roman" w:eastAsia="Times New Roman" w:hAnsi="Times New Roman"/>
          <w:b/>
          <w:bCs/>
          <w:sz w:val="24"/>
          <w:szCs w:val="24"/>
          <w:lang w:eastAsia="lv-LV"/>
        </w:rPr>
      </w:pPr>
    </w:p>
    <w:p w:rsidR="007C5781" w:rsidRPr="000A7ABF" w:rsidRDefault="00C05444" w:rsidP="005C42B1">
      <w:pPr>
        <w:spacing w:after="0" w:line="240" w:lineRule="auto"/>
        <w:jc w:val="center"/>
        <w:outlineLvl w:val="3"/>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Ministru kabineta noteikumu projekta „</w:t>
      </w:r>
      <w:bookmarkEnd w:id="0"/>
      <w:bookmarkEnd w:id="1"/>
      <w:r w:rsidR="00B57810" w:rsidRPr="000A7ABF">
        <w:rPr>
          <w:rFonts w:ascii="Times New Roman" w:hAnsi="Times New Roman"/>
          <w:b/>
          <w:bCs/>
          <w:sz w:val="24"/>
          <w:szCs w:val="24"/>
        </w:rPr>
        <w:t>Augstskolu, koledžu un studiju virzienu akreditācijas noteikumi</w:t>
      </w:r>
      <w:r w:rsidRPr="000A7ABF">
        <w:rPr>
          <w:rFonts w:ascii="Times New Roman" w:hAnsi="Times New Roman"/>
          <w:b/>
          <w:sz w:val="24"/>
          <w:szCs w:val="24"/>
        </w:rPr>
        <w:t>” sākotnējās ietekmes novērtējuma ziņojums (anotācija)</w:t>
      </w:r>
      <w:bookmarkEnd w:id="2"/>
      <w:bookmarkEnd w:id="3"/>
    </w:p>
    <w:p w:rsidR="007C5781" w:rsidRPr="000A7ABF" w:rsidRDefault="007C5781" w:rsidP="005C42B1">
      <w:pPr>
        <w:spacing w:after="0" w:line="240" w:lineRule="auto"/>
        <w:jc w:val="center"/>
        <w:outlineLvl w:val="3"/>
        <w:rPr>
          <w:rFonts w:ascii="Times New Roman" w:eastAsia="Times New Roman" w:hAnsi="Times New Roman"/>
          <w:b/>
          <w:bCs/>
          <w:sz w:val="24"/>
          <w:szCs w:val="24"/>
          <w:lang w:eastAsia="lv-LV"/>
        </w:rPr>
      </w:pPr>
    </w:p>
    <w:p w:rsidR="005C42B1" w:rsidRDefault="005C42B1" w:rsidP="005C42B1">
      <w:pPr>
        <w:spacing w:after="0" w:line="240" w:lineRule="auto"/>
        <w:jc w:val="center"/>
        <w:outlineLvl w:val="3"/>
        <w:rPr>
          <w:rFonts w:ascii="Times New Roman" w:eastAsia="Times New Roman" w:hAnsi="Times New Roman"/>
          <w:b/>
          <w:bCs/>
          <w:sz w:val="24"/>
          <w:szCs w:val="24"/>
          <w:lang w:eastAsia="lv-LV"/>
        </w:rPr>
      </w:pPr>
    </w:p>
    <w:p w:rsidR="008A1EF2" w:rsidRPr="000A7ABF" w:rsidRDefault="008A1EF2" w:rsidP="005C42B1">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2777"/>
        <w:gridCol w:w="6232"/>
      </w:tblGrid>
      <w:tr w:rsidR="000A7ABF" w:rsidRPr="000A7ABF"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rsidR="00392D00" w:rsidRPr="000A7ABF" w:rsidRDefault="00392D00" w:rsidP="005C42B1">
            <w:pPr>
              <w:spacing w:after="0" w:line="240" w:lineRule="auto"/>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I. Tiesību akta projekta izstrādes nepieciešamība</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rsidR="00B57810" w:rsidRPr="000A7ABF" w:rsidRDefault="007147BE" w:rsidP="007E7C9E">
            <w:pPr>
              <w:spacing w:after="0" w:line="240" w:lineRule="auto"/>
              <w:jc w:val="both"/>
              <w:rPr>
                <w:rFonts w:ascii="Times New Roman" w:hAnsi="Times New Roman"/>
                <w:sz w:val="24"/>
                <w:szCs w:val="24"/>
              </w:rPr>
            </w:pPr>
            <w:r w:rsidRPr="000A7ABF">
              <w:rPr>
                <w:rFonts w:ascii="Times New Roman" w:eastAsia="Times New Roman" w:hAnsi="Times New Roman"/>
                <w:bCs/>
                <w:sz w:val="24"/>
                <w:szCs w:val="24"/>
                <w:lang w:eastAsia="lv-LV"/>
              </w:rPr>
              <w:t>Izglītības un zinātnes ministrija</w:t>
            </w:r>
            <w:r w:rsidR="00FC68B2" w:rsidRPr="000A7ABF">
              <w:rPr>
                <w:rFonts w:ascii="Times New Roman" w:eastAsia="Times New Roman" w:hAnsi="Times New Roman"/>
                <w:bCs/>
                <w:sz w:val="24"/>
                <w:szCs w:val="24"/>
                <w:lang w:eastAsia="lv-LV"/>
              </w:rPr>
              <w:t xml:space="preserve"> (turpmāk – ministrija)</w:t>
            </w:r>
            <w:r w:rsidRPr="000A7ABF">
              <w:rPr>
                <w:rFonts w:ascii="Times New Roman" w:eastAsia="Times New Roman" w:hAnsi="Times New Roman"/>
                <w:bCs/>
                <w:sz w:val="24"/>
                <w:szCs w:val="24"/>
                <w:lang w:eastAsia="lv-LV"/>
              </w:rPr>
              <w:t xml:space="preserve"> sagatavojusi </w:t>
            </w:r>
            <w:r w:rsidR="002D0EB1" w:rsidRPr="000A7ABF">
              <w:rPr>
                <w:rFonts w:ascii="Times New Roman" w:eastAsia="Times New Roman" w:hAnsi="Times New Roman"/>
                <w:bCs/>
                <w:sz w:val="24"/>
                <w:szCs w:val="24"/>
                <w:lang w:eastAsia="lv-LV"/>
              </w:rPr>
              <w:t>Mini</w:t>
            </w:r>
            <w:r w:rsidRPr="000A7ABF">
              <w:rPr>
                <w:rFonts w:ascii="Times New Roman" w:eastAsia="Times New Roman" w:hAnsi="Times New Roman"/>
                <w:bCs/>
                <w:sz w:val="24"/>
                <w:szCs w:val="24"/>
                <w:lang w:eastAsia="lv-LV"/>
              </w:rPr>
              <w:t>stru kabineta noteikumu projektu</w:t>
            </w:r>
            <w:r w:rsidR="002D0EB1" w:rsidRPr="000A7ABF">
              <w:rPr>
                <w:rFonts w:ascii="Times New Roman" w:eastAsia="Times New Roman" w:hAnsi="Times New Roman"/>
                <w:bCs/>
                <w:sz w:val="24"/>
                <w:szCs w:val="24"/>
                <w:lang w:eastAsia="lv-LV"/>
              </w:rPr>
              <w:t xml:space="preserve"> „</w:t>
            </w:r>
            <w:r w:rsidR="00B57810" w:rsidRPr="000A7ABF">
              <w:rPr>
                <w:rFonts w:ascii="Times New Roman" w:hAnsi="Times New Roman"/>
                <w:bCs/>
                <w:sz w:val="24"/>
                <w:szCs w:val="24"/>
              </w:rPr>
              <w:t>Augstskolu, koledžu un studiju virzienu akreditācijas noteikumi</w:t>
            </w:r>
            <w:r w:rsidR="002D0EB1" w:rsidRPr="000A7ABF">
              <w:rPr>
                <w:rFonts w:ascii="Times New Roman" w:hAnsi="Times New Roman"/>
                <w:sz w:val="24"/>
                <w:szCs w:val="24"/>
              </w:rPr>
              <w:t>” (turpmāk –</w:t>
            </w:r>
            <w:r w:rsidR="00B57810" w:rsidRPr="000A7ABF">
              <w:rPr>
                <w:rFonts w:ascii="Times New Roman" w:hAnsi="Times New Roman"/>
                <w:sz w:val="24"/>
                <w:szCs w:val="24"/>
              </w:rPr>
              <w:t xml:space="preserve"> </w:t>
            </w:r>
            <w:r w:rsidR="002D0EB1" w:rsidRPr="000A7ABF">
              <w:rPr>
                <w:rFonts w:ascii="Times New Roman" w:hAnsi="Times New Roman"/>
                <w:sz w:val="24"/>
                <w:szCs w:val="24"/>
              </w:rPr>
              <w:t>pr</w:t>
            </w:r>
            <w:r w:rsidR="00B57810" w:rsidRPr="000A7ABF">
              <w:rPr>
                <w:rFonts w:ascii="Times New Roman" w:hAnsi="Times New Roman"/>
                <w:sz w:val="24"/>
                <w:szCs w:val="24"/>
              </w:rPr>
              <w:t>ojekts) saskaņā ar:</w:t>
            </w:r>
          </w:p>
          <w:p w:rsidR="00B5781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Ministru kabineta 2014.gada 3.novembra r</w:t>
            </w:r>
            <w:r w:rsidR="001D6B05" w:rsidRPr="000A7ABF">
              <w:rPr>
                <w:rFonts w:ascii="Times New Roman" w:hAnsi="Times New Roman"/>
                <w:sz w:val="24"/>
                <w:szCs w:val="24"/>
              </w:rPr>
              <w:t>īkojuma</w:t>
            </w:r>
            <w:r w:rsidRPr="000A7ABF">
              <w:rPr>
                <w:rFonts w:ascii="Times New Roman" w:hAnsi="Times New Roman"/>
                <w:sz w:val="24"/>
                <w:szCs w:val="24"/>
              </w:rPr>
              <w:t xml:space="preserve"> Nr.640 “Par koncepciju “Latvijas augstākās izglītības ārējās kvalitātes nodrošināšanas sistēmas pilnveide””</w:t>
            </w:r>
            <w:r w:rsidR="00764021" w:rsidRPr="000A7ABF">
              <w:rPr>
                <w:rFonts w:ascii="Times New Roman" w:hAnsi="Times New Roman"/>
                <w:sz w:val="24"/>
                <w:szCs w:val="24"/>
              </w:rPr>
              <w:t xml:space="preserve"> (turpmāk – koncepcija)</w:t>
            </w:r>
            <w:r w:rsidR="001D6B05" w:rsidRPr="000A7ABF">
              <w:rPr>
                <w:rFonts w:ascii="Times New Roman" w:hAnsi="Times New Roman"/>
                <w:sz w:val="24"/>
                <w:szCs w:val="24"/>
              </w:rPr>
              <w:t xml:space="preserve"> 1.punktu</w:t>
            </w:r>
            <w:r w:rsidRPr="000A7ABF">
              <w:rPr>
                <w:rFonts w:ascii="Times New Roman" w:hAnsi="Times New Roman"/>
                <w:sz w:val="24"/>
                <w:szCs w:val="24"/>
              </w:rPr>
              <w:t>;</w:t>
            </w:r>
          </w:p>
          <w:p w:rsidR="00392D0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Augstskolu likuma (2014.gada 17.decembra likuma “Grozījumi Augstskolu likumā” redakcijā)</w:t>
            </w:r>
            <w:r w:rsidR="00D429B5" w:rsidRPr="000A7ABF">
              <w:rPr>
                <w:rFonts w:ascii="Times New Roman" w:hAnsi="Times New Roman"/>
                <w:sz w:val="24"/>
                <w:szCs w:val="24"/>
              </w:rPr>
              <w:t xml:space="preserve"> 9.panta pirmo un pirmo</w:t>
            </w:r>
            <w:r w:rsidR="003C228F" w:rsidRPr="000A7ABF">
              <w:rPr>
                <w:rFonts w:ascii="Times New Roman" w:hAnsi="Times New Roman"/>
                <w:sz w:val="24"/>
                <w:szCs w:val="24"/>
              </w:rPr>
              <w:t xml:space="preserve"> </w:t>
            </w:r>
            <w:proofErr w:type="spellStart"/>
            <w:r w:rsidR="003C228F" w:rsidRPr="000A7ABF">
              <w:rPr>
                <w:rFonts w:ascii="Times New Roman" w:hAnsi="Times New Roman"/>
                <w:sz w:val="24"/>
                <w:szCs w:val="24"/>
              </w:rPr>
              <w:t>pr</w:t>
            </w:r>
            <w:r w:rsidR="00D429B5" w:rsidRPr="000A7ABF">
              <w:rPr>
                <w:rFonts w:ascii="Times New Roman" w:hAnsi="Times New Roman"/>
                <w:sz w:val="24"/>
                <w:szCs w:val="24"/>
              </w:rPr>
              <w:t>im</w:t>
            </w:r>
            <w:proofErr w:type="spellEnd"/>
            <w:r w:rsidR="00D429B5" w:rsidRPr="000A7ABF">
              <w:rPr>
                <w:rFonts w:ascii="Times New Roman" w:hAnsi="Times New Roman"/>
                <w:sz w:val="24"/>
                <w:szCs w:val="24"/>
              </w:rPr>
              <w:t xml:space="preserve"> daļu</w:t>
            </w:r>
            <w:r w:rsidR="001D6B05" w:rsidRPr="000A7ABF">
              <w:rPr>
                <w:rFonts w:ascii="Times New Roman" w:hAnsi="Times New Roman"/>
                <w:sz w:val="24"/>
                <w:szCs w:val="24"/>
              </w:rPr>
              <w:t>, 55.</w:t>
            </w:r>
            <w:r w:rsidR="001D6B05" w:rsidRPr="000A7ABF">
              <w:rPr>
                <w:rFonts w:ascii="Times New Roman" w:hAnsi="Times New Roman"/>
                <w:sz w:val="24"/>
                <w:szCs w:val="24"/>
                <w:vertAlign w:val="superscript"/>
              </w:rPr>
              <w:t>3</w:t>
            </w:r>
            <w:r w:rsidR="003C228F" w:rsidRPr="000A7ABF">
              <w:rPr>
                <w:rFonts w:ascii="Times New Roman" w:hAnsi="Times New Roman"/>
                <w:sz w:val="24"/>
                <w:szCs w:val="24"/>
              </w:rPr>
              <w:t>panta pirm</w:t>
            </w:r>
            <w:r w:rsidR="00D429B5" w:rsidRPr="000A7ABF">
              <w:rPr>
                <w:rFonts w:ascii="Times New Roman" w:hAnsi="Times New Roman"/>
                <w:sz w:val="24"/>
                <w:szCs w:val="24"/>
              </w:rPr>
              <w:t>o un devīto</w:t>
            </w:r>
            <w:r w:rsidR="001D6B05" w:rsidRPr="000A7ABF">
              <w:rPr>
                <w:rFonts w:ascii="Times New Roman" w:hAnsi="Times New Roman"/>
                <w:sz w:val="24"/>
                <w:szCs w:val="24"/>
              </w:rPr>
              <w:t xml:space="preserve"> d</w:t>
            </w:r>
            <w:r w:rsidR="00D429B5" w:rsidRPr="000A7ABF">
              <w:rPr>
                <w:rFonts w:ascii="Times New Roman" w:hAnsi="Times New Roman"/>
                <w:sz w:val="24"/>
                <w:szCs w:val="24"/>
              </w:rPr>
              <w:t>aļu</w:t>
            </w:r>
            <w:r w:rsidRPr="000A7ABF">
              <w:rPr>
                <w:rFonts w:ascii="Times New Roman" w:hAnsi="Times New Roman"/>
                <w:sz w:val="24"/>
                <w:szCs w:val="24"/>
              </w:rPr>
              <w:t>;</w:t>
            </w:r>
          </w:p>
          <w:p w:rsidR="00B57810" w:rsidRPr="000A7ABF" w:rsidRDefault="00B57810" w:rsidP="00B57810">
            <w:pPr>
              <w:pStyle w:val="ListParagraph"/>
              <w:numPr>
                <w:ilvl w:val="0"/>
                <w:numId w:val="1"/>
              </w:num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sidRPr="000A7ABF">
              <w:rPr>
                <w:rFonts w:ascii="Times New Roman" w:hAnsi="Times New Roman"/>
                <w:sz w:val="24"/>
                <w:szCs w:val="24"/>
              </w:rPr>
              <w:t xml:space="preserve"> Augstskolu likuma (2014.gada 17.decembra likuma “Grozījumi Augstskolu likumā” redakcijā) 9.panta pirmajā un pirmajā </w:t>
            </w:r>
            <w:proofErr w:type="spellStart"/>
            <w:r w:rsidR="00813A88" w:rsidRPr="000A7ABF">
              <w:rPr>
                <w:rFonts w:ascii="Times New Roman" w:hAnsi="Times New Roman"/>
                <w:sz w:val="24"/>
                <w:szCs w:val="24"/>
              </w:rPr>
              <w:t>prim</w:t>
            </w:r>
            <w:proofErr w:type="spellEnd"/>
            <w:r w:rsidR="00813A88" w:rsidRPr="000A7ABF">
              <w:rPr>
                <w:rFonts w:ascii="Times New Roman" w:hAnsi="Times New Roman"/>
                <w:sz w:val="24"/>
                <w:szCs w:val="24"/>
              </w:rPr>
              <w:t xml:space="preserve"> daļā, 55.</w:t>
            </w:r>
            <w:r w:rsidR="00813A88" w:rsidRPr="000A7ABF">
              <w:rPr>
                <w:rFonts w:ascii="Times New Roman" w:hAnsi="Times New Roman"/>
                <w:sz w:val="24"/>
                <w:szCs w:val="24"/>
                <w:vertAlign w:val="superscript"/>
              </w:rPr>
              <w:t>1</w:t>
            </w:r>
            <w:r w:rsidR="00813A88" w:rsidRPr="000A7ABF">
              <w:rPr>
                <w:rFonts w:ascii="Times New Roman" w:hAnsi="Times New Roman"/>
                <w:sz w:val="24"/>
                <w:szCs w:val="24"/>
              </w:rPr>
              <w:t>panta trešajā daļā, 55.</w:t>
            </w:r>
            <w:r w:rsidR="00813A88" w:rsidRPr="000A7ABF">
              <w:rPr>
                <w:rFonts w:ascii="Times New Roman" w:hAnsi="Times New Roman"/>
                <w:sz w:val="24"/>
                <w:szCs w:val="24"/>
                <w:vertAlign w:val="superscript"/>
              </w:rPr>
              <w:t>2</w:t>
            </w:r>
            <w:r w:rsidR="00813A88" w:rsidRPr="000A7ABF">
              <w:rPr>
                <w:rFonts w:ascii="Times New Roman" w:hAnsi="Times New Roman"/>
                <w:sz w:val="24"/>
                <w:szCs w:val="24"/>
              </w:rPr>
              <w:t xml:space="preserve">panta pirmajā </w:t>
            </w:r>
            <w:proofErr w:type="spellStart"/>
            <w:r w:rsidR="00813A88" w:rsidRPr="000A7ABF">
              <w:rPr>
                <w:rFonts w:ascii="Times New Roman" w:hAnsi="Times New Roman"/>
                <w:sz w:val="24"/>
                <w:szCs w:val="24"/>
              </w:rPr>
              <w:t>prim</w:t>
            </w:r>
            <w:proofErr w:type="spellEnd"/>
            <w:r w:rsidR="00813A88" w:rsidRPr="000A7ABF">
              <w:rPr>
                <w:rFonts w:ascii="Times New Roman" w:hAnsi="Times New Roman"/>
                <w:sz w:val="24"/>
                <w:szCs w:val="24"/>
              </w:rPr>
              <w:t xml:space="preserve"> daļā, 55.</w:t>
            </w:r>
            <w:r w:rsidR="00813A88" w:rsidRPr="000A7ABF">
              <w:rPr>
                <w:rFonts w:ascii="Times New Roman" w:hAnsi="Times New Roman"/>
                <w:sz w:val="24"/>
                <w:szCs w:val="24"/>
                <w:vertAlign w:val="superscript"/>
              </w:rPr>
              <w:t>3</w:t>
            </w:r>
            <w:r w:rsidR="00813A88" w:rsidRPr="000A7ABF">
              <w:rPr>
                <w:rFonts w:ascii="Times New Roman" w:hAnsi="Times New Roman"/>
                <w:sz w:val="24"/>
                <w:szCs w:val="24"/>
              </w:rPr>
              <w:t>panta pirmajā daļā minēto tiesību aktu projektus, attiecīgi nodrošinot Ministru kabinetam dotā uzdevuma izpildi.</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392D00" w:rsidRPr="000A7ABF" w:rsidRDefault="00392D00"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B72734" w:rsidRPr="000A7ABF" w:rsidRDefault="00812271" w:rsidP="00322FF1">
            <w:p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Pašreizējā situācija un problēmas, kuru risināšanai tiesību akta projekts izstrādāts, tiesiskā regulējuma mērķis un būtība</w:t>
            </w: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B72734" w:rsidRPr="000A7ABF" w:rsidRDefault="00B72734" w:rsidP="00B72734">
            <w:pPr>
              <w:rPr>
                <w:rFonts w:ascii="Times New Roman" w:eastAsia="Times New Roman" w:hAnsi="Times New Roman"/>
                <w:sz w:val="24"/>
                <w:szCs w:val="24"/>
                <w:lang w:eastAsia="lv-LV"/>
              </w:rPr>
            </w:pPr>
          </w:p>
          <w:p w:rsidR="00392D00" w:rsidRPr="000A7ABF" w:rsidRDefault="00392D00" w:rsidP="00B72734">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Šobrīd augstskolu, koledžu un studiju virzienu akreditācijas procedūru regulē Ministru kabineta 2012.gada 25.septembra noteikumi Nr.668 “Augstskolu, koledžu un studiju virzienu akreditācijas noteikumi”, kuri paredz, ka augstskolu, koledžu un studiju virzienu novērtēšanu organizē Izglītības un zinātnes ministrija vai tās pilnvarota institūcija.</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2014.gada 17.decembrī pieņemts likums “Grozījumi Augstskolu likumā”, kas stāsies spēkā 2015.gada 1.jūlijā un paredzēs, ka augstskolu, koledžu un studiju virzienu akreditāciju organizē Akadēmiskās informācijas centrs.</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Lai 2015.gada 1.jūlijā Akadēmiskās informācijas centrs varētu organizēt augstskolu, koledžu un studiju virzienu akreditāciju, nepieciešams izstrādāt jaunus Ministru kabineta noteikumus, kuri regulēs augstskolu, koledžu un studiju virzienu akreditācijas kārtību.</w:t>
            </w:r>
          </w:p>
          <w:p w:rsidR="008C7F90" w:rsidRPr="000A7ABF" w:rsidRDefault="008C7F9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noteiks augstskolu, koledžu un studiju virzienu akreditācijas kārtību, studiju virzienu ārpuskārtas akreditācijas kārtību, studiju virzienus augstākā izglītībā, kritērijus, pēc kuriem akreditācijas procesā vērtē augstskolas, koledžas un studiju virzienus</w:t>
            </w:r>
            <w:r w:rsidR="00825C80" w:rsidRPr="000A7ABF">
              <w:rPr>
                <w:rFonts w:ascii="Times New Roman" w:hAnsi="Times New Roman"/>
                <w:sz w:val="24"/>
                <w:szCs w:val="24"/>
              </w:rPr>
              <w:t xml:space="preserve">, augstskolu, koledžu un studiju virzienu akreditāciju lapu paraugus un studiju akreditācijas komisijas izveidošanas nosacījumus, tiesības un pienākumus. Projekts </w:t>
            </w:r>
            <w:r w:rsidR="00825C80" w:rsidRPr="000A7ABF">
              <w:rPr>
                <w:rFonts w:ascii="Times New Roman" w:hAnsi="Times New Roman"/>
                <w:sz w:val="24"/>
                <w:szCs w:val="24"/>
              </w:rPr>
              <w:lastRenderedPageBreak/>
              <w:t>paredzēs arī Akadēmiskās informācijas centra un Augstākās izglītības kvalitātes nodrošināšanas padomes tiesības un pienākumus.</w:t>
            </w:r>
            <w:r w:rsidR="00E01795" w:rsidRPr="000A7ABF">
              <w:rPr>
                <w:rFonts w:ascii="Times New Roman" w:hAnsi="Times New Roman"/>
                <w:sz w:val="24"/>
                <w:szCs w:val="24"/>
              </w:rPr>
              <w:t xml:space="preserve"> Koncepcija paredz Augstākās izglītības kvalitātes nodrošināšanas padomes izveidi un iesaisti augstskolu, koledžu un studiju virzienu akreditācijas nodrošināšanā.</w:t>
            </w:r>
            <w:r w:rsidR="009F009A">
              <w:rPr>
                <w:rFonts w:ascii="Times New Roman" w:hAnsi="Times New Roman"/>
                <w:sz w:val="24"/>
                <w:szCs w:val="24"/>
              </w:rPr>
              <w:t xml:space="preserve"> Projekta izstrādes laikā diskusijās ar </w:t>
            </w:r>
            <w:r w:rsidR="00307131">
              <w:rPr>
                <w:rFonts w:ascii="Times New Roman" w:hAnsi="Times New Roman"/>
                <w:sz w:val="24"/>
                <w:szCs w:val="24"/>
              </w:rPr>
              <w:t xml:space="preserve">sociālajiem partneriem </w:t>
            </w:r>
            <w:r w:rsidR="00307131" w:rsidRPr="000A7ABF">
              <w:rPr>
                <w:rFonts w:ascii="Times New Roman" w:hAnsi="Times New Roman"/>
                <w:sz w:val="24"/>
                <w:szCs w:val="24"/>
              </w:rPr>
              <w:t xml:space="preserve">Augstākās </w:t>
            </w:r>
            <w:r w:rsidR="00307131" w:rsidRPr="00307131">
              <w:rPr>
                <w:rFonts w:ascii="Times New Roman" w:hAnsi="Times New Roman"/>
                <w:sz w:val="24"/>
                <w:szCs w:val="24"/>
              </w:rPr>
              <w:t>izglītības kvalitātes nodrošināšanas padomes</w:t>
            </w:r>
            <w:r w:rsidR="00307131" w:rsidRPr="00307131">
              <w:rPr>
                <w:rFonts w:ascii="Times New Roman" w:hAnsi="Times New Roman"/>
                <w:sz w:val="24"/>
                <w:szCs w:val="24"/>
              </w:rPr>
              <w:t xml:space="preserve"> sastāvs tika paplašināts, salīdzinot ar koncepciju un papildus iekļaut</w:t>
            </w:r>
            <w:r w:rsidR="00307131">
              <w:rPr>
                <w:rFonts w:ascii="Times New Roman" w:hAnsi="Times New Roman"/>
                <w:sz w:val="24"/>
                <w:szCs w:val="24"/>
              </w:rPr>
              <w:t>s</w:t>
            </w:r>
            <w:r w:rsidR="00307131" w:rsidRPr="00307131">
              <w:rPr>
                <w:rFonts w:ascii="Times New Roman" w:hAnsi="Times New Roman"/>
                <w:sz w:val="24"/>
                <w:szCs w:val="24"/>
              </w:rPr>
              <w:t xml:space="preserve"> arī </w:t>
            </w:r>
            <w:r w:rsidR="00307131" w:rsidRPr="00307131">
              <w:rPr>
                <w:rFonts w:ascii="Times New Roman" w:hAnsi="Times New Roman"/>
                <w:sz w:val="24"/>
                <w:szCs w:val="24"/>
              </w:rPr>
              <w:t>Latvijas Mākslas augstskolu asociācijas pārstāvis, Latvijas Zinātnes padomes priekšsēdētājs, Lauksaimnieku organizāciju sadarbības padomes valdes priekšsēdētājs, Latvijas Tirdzniecības un rūpniecības kameras padomes priekšsēdētājs, Latvijas Ārstu biedrības prezidents</w:t>
            </w:r>
            <w:r w:rsidR="00307131">
              <w:rPr>
                <w:rFonts w:ascii="Times New Roman" w:hAnsi="Times New Roman"/>
                <w:sz w:val="24"/>
                <w:szCs w:val="24"/>
              </w:rPr>
              <w:t>, tādējādi nodrošinot augstākās izglītības kvalitātē ieinteresēto institūciju reprezentatīvu pārstāvniecību.</w:t>
            </w:r>
          </w:p>
          <w:p w:rsidR="00825C80" w:rsidRPr="000A7ABF" w:rsidRDefault="00825C8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paredz, ka lēmumu par studiju virziena akreditāciju, atteikumu akreditēt studiju virzienu un par izmaiņām studiju virzienā tāpat kā līdz šim pieņem Studiju akreditācijas komisija.</w:t>
            </w:r>
          </w:p>
          <w:p w:rsidR="00825C80" w:rsidRPr="000A7ABF" w:rsidRDefault="00825C80"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Projektā paredzēts mainīt Studiju akreditācijas komisijas sastāvu, neparedzot institucionālo pārstāvniecību, bet nosakot Studiju akreditācijas komisijas locekļiem nepieciešamo kompetenču apjomu, tādējādi izvairoties no institucionālās pārstāvniecības ietekmes uz akreditācijas procesu.</w:t>
            </w:r>
            <w:r w:rsidR="00AE6D11" w:rsidRPr="000A7ABF">
              <w:rPr>
                <w:rFonts w:ascii="Times New Roman" w:hAnsi="Times New Roman"/>
                <w:sz w:val="24"/>
                <w:szCs w:val="24"/>
              </w:rPr>
              <w:t xml:space="preserve"> Projekts paredz, ka tāpat kā līdz šim lēmumu par augstskolas un koledžas akreditāciju vai atteikumu akreditēt augstskolu un koledžu pieņem Augstākās izglītības padome.</w:t>
            </w:r>
          </w:p>
          <w:p w:rsidR="00E01795" w:rsidRPr="000A7ABF" w:rsidRDefault="00E01795" w:rsidP="00E01795">
            <w:pPr>
              <w:spacing w:after="0" w:line="240" w:lineRule="auto"/>
              <w:jc w:val="both"/>
              <w:rPr>
                <w:rFonts w:ascii="Times New Roman" w:hAnsi="Times New Roman"/>
                <w:sz w:val="24"/>
                <w:szCs w:val="24"/>
              </w:rPr>
            </w:pPr>
            <w:r w:rsidRPr="000A7ABF">
              <w:rPr>
                <w:rFonts w:ascii="Times New Roman" w:hAnsi="Times New Roman"/>
                <w:sz w:val="24"/>
                <w:szCs w:val="24"/>
              </w:rPr>
              <w:t>Projekts paredz mainīt pašreizējo augstākās izglītības ārējās kval</w:t>
            </w:r>
            <w:r w:rsidR="004D00E6" w:rsidRPr="000A7ABF">
              <w:rPr>
                <w:rFonts w:ascii="Times New Roman" w:hAnsi="Times New Roman"/>
                <w:sz w:val="24"/>
                <w:szCs w:val="24"/>
              </w:rPr>
              <w:t>itātes nodrošināšanas, tas ir,</w:t>
            </w:r>
            <w:r w:rsidRPr="000A7ABF">
              <w:rPr>
                <w:rFonts w:ascii="Times New Roman" w:hAnsi="Times New Roman"/>
                <w:sz w:val="24"/>
                <w:szCs w:val="24"/>
              </w:rPr>
              <w:t xml:space="preserve"> studiju virzienu akreditācijas, lēmumu pieņemšanas institucionālo struktūru. Šobrīd spēkā esošais regulējums paredz, ka komisiju, kas pieņem lēmumus, veido vairāku institūciju izvirzīti pārstāvji</w:t>
            </w:r>
            <w:r w:rsidR="00CF1FB6">
              <w:rPr>
                <w:rFonts w:ascii="Times New Roman" w:hAnsi="Times New Roman"/>
                <w:sz w:val="24"/>
                <w:szCs w:val="24"/>
              </w:rPr>
              <w:t>, bet tās personālsastāvu, priekšsēdētāju, vietnieku un sekretāru apstiprina izglītības un zinātnes ministrs</w:t>
            </w:r>
            <w:r w:rsidRPr="000A7ABF">
              <w:rPr>
                <w:rFonts w:ascii="Times New Roman" w:hAnsi="Times New Roman"/>
                <w:sz w:val="24"/>
                <w:szCs w:val="24"/>
              </w:rPr>
              <w:t>. Ši</w:t>
            </w:r>
            <w:r w:rsidR="00CF1FB6">
              <w:rPr>
                <w:rFonts w:ascii="Times New Roman" w:hAnsi="Times New Roman"/>
                <w:sz w:val="24"/>
                <w:szCs w:val="24"/>
              </w:rPr>
              <w:t>e</w:t>
            </w:r>
            <w:r w:rsidRPr="000A7ABF">
              <w:rPr>
                <w:rFonts w:ascii="Times New Roman" w:hAnsi="Times New Roman"/>
                <w:sz w:val="24"/>
                <w:szCs w:val="24"/>
              </w:rPr>
              <w:t xml:space="preserve"> princip</w:t>
            </w:r>
            <w:r w:rsidR="00CF1FB6">
              <w:rPr>
                <w:rFonts w:ascii="Times New Roman" w:hAnsi="Times New Roman"/>
                <w:sz w:val="24"/>
                <w:szCs w:val="24"/>
              </w:rPr>
              <w:t>i – ins</w:t>
            </w:r>
            <w:r w:rsidR="006B313C">
              <w:rPr>
                <w:rFonts w:ascii="Times New Roman" w:hAnsi="Times New Roman"/>
                <w:sz w:val="24"/>
                <w:szCs w:val="24"/>
              </w:rPr>
              <w:t>t</w:t>
            </w:r>
            <w:r w:rsidR="00CF1FB6">
              <w:rPr>
                <w:rFonts w:ascii="Times New Roman" w:hAnsi="Times New Roman"/>
                <w:sz w:val="24"/>
                <w:szCs w:val="24"/>
              </w:rPr>
              <w:t xml:space="preserve">itucionālā pārstāvniecība </w:t>
            </w:r>
            <w:r w:rsidR="00BE5FF3">
              <w:rPr>
                <w:rFonts w:ascii="Times New Roman" w:hAnsi="Times New Roman"/>
                <w:sz w:val="24"/>
                <w:szCs w:val="24"/>
              </w:rPr>
              <w:t>Studiju akreditācijas komisijā un komisijas apstiprināšana ar ministrijas lēmumu -</w:t>
            </w:r>
            <w:r w:rsidRPr="000A7ABF">
              <w:rPr>
                <w:rFonts w:ascii="Times New Roman" w:hAnsi="Times New Roman"/>
                <w:sz w:val="24"/>
                <w:szCs w:val="24"/>
              </w:rPr>
              <w:t xml:space="preserve"> ir pretrunā ar Eiropas asociācijas kvalitātes nodrošināšanai augstākajā izglītībā izstrādātajiem standartiem un vadlīnijām kvalitātes nodrošināšanai Eiropas Augstākās izglītības telpā, kas nosaka, ka visām ārējās kvalitātes nodrošināšanas procesā lēmumu pieņemšanā iesaistītajām personām nevajadzētu pārstāvēt kādu institūciju, bet tikai savu personisko speciālista viedokli</w:t>
            </w:r>
            <w:r w:rsidR="00BE5FF3">
              <w:rPr>
                <w:rFonts w:ascii="Times New Roman" w:hAnsi="Times New Roman"/>
                <w:sz w:val="24"/>
                <w:szCs w:val="24"/>
              </w:rPr>
              <w:t>, bet lēmumu pieņem</w:t>
            </w:r>
            <w:r w:rsidR="00B93290">
              <w:rPr>
                <w:rFonts w:ascii="Times New Roman" w:hAnsi="Times New Roman"/>
                <w:sz w:val="24"/>
                <w:szCs w:val="24"/>
              </w:rPr>
              <w:t>šanā</w:t>
            </w:r>
            <w:r w:rsidR="00BE5FF3">
              <w:rPr>
                <w:rFonts w:ascii="Times New Roman" w:hAnsi="Times New Roman"/>
                <w:sz w:val="24"/>
                <w:szCs w:val="24"/>
              </w:rPr>
              <w:t xml:space="preserve"> nedrīkst būt valsts, augstskolu vai kādu citu pušu ietekme</w:t>
            </w:r>
            <w:r w:rsidR="005F7CB1">
              <w:rPr>
                <w:rFonts w:ascii="Times New Roman" w:hAnsi="Times New Roman"/>
                <w:sz w:val="24"/>
                <w:szCs w:val="24"/>
              </w:rPr>
              <w:t>s</w:t>
            </w:r>
            <w:r w:rsidR="0089596C">
              <w:rPr>
                <w:rFonts w:ascii="Times New Roman" w:hAnsi="Times New Roman"/>
                <w:sz w:val="24"/>
                <w:szCs w:val="24"/>
              </w:rPr>
              <w:t xml:space="preserve">, proti, tai ir jābalstās uz objektīvu, neatkarīgu kvalitātes </w:t>
            </w:r>
            <w:proofErr w:type="spellStart"/>
            <w:r w:rsidR="0089596C">
              <w:rPr>
                <w:rFonts w:ascii="Times New Roman" w:hAnsi="Times New Roman"/>
                <w:sz w:val="24"/>
                <w:szCs w:val="24"/>
              </w:rPr>
              <w:t>izvērtējumu</w:t>
            </w:r>
            <w:proofErr w:type="spellEnd"/>
            <w:r w:rsidRPr="000A7ABF">
              <w:rPr>
                <w:rFonts w:ascii="Times New Roman" w:hAnsi="Times New Roman"/>
                <w:sz w:val="24"/>
                <w:szCs w:val="24"/>
              </w:rPr>
              <w:t xml:space="preserve">. </w:t>
            </w:r>
            <w:r w:rsidR="00FA53E2">
              <w:rPr>
                <w:rFonts w:ascii="Times New Roman" w:hAnsi="Times New Roman"/>
                <w:sz w:val="24"/>
                <w:szCs w:val="24"/>
              </w:rPr>
              <w:t xml:space="preserve">Projekts </w:t>
            </w:r>
            <w:r w:rsidR="00155DD9">
              <w:rPr>
                <w:rFonts w:ascii="Times New Roman" w:hAnsi="Times New Roman"/>
                <w:sz w:val="24"/>
                <w:szCs w:val="24"/>
              </w:rPr>
              <w:t xml:space="preserve">paredz </w:t>
            </w:r>
            <w:proofErr w:type="spellStart"/>
            <w:r w:rsidR="00155DD9">
              <w:rPr>
                <w:rFonts w:ascii="Times New Roman" w:hAnsi="Times New Roman"/>
                <w:sz w:val="24"/>
                <w:szCs w:val="24"/>
              </w:rPr>
              <w:t>profesionalizēt</w:t>
            </w:r>
            <w:proofErr w:type="spellEnd"/>
            <w:r w:rsidR="00155DD9">
              <w:rPr>
                <w:rFonts w:ascii="Times New Roman" w:hAnsi="Times New Roman"/>
                <w:sz w:val="24"/>
                <w:szCs w:val="24"/>
              </w:rPr>
              <w:t xml:space="preserve"> akreditācijas lēmumu pieņemšanu, jo Studiju akreditācijas komisiju veidos pēc profesionāl</w:t>
            </w:r>
            <w:r w:rsidR="00F06C2D">
              <w:rPr>
                <w:rFonts w:ascii="Times New Roman" w:hAnsi="Times New Roman"/>
                <w:sz w:val="24"/>
                <w:szCs w:val="24"/>
              </w:rPr>
              <w:t>ās kompetences kritērijiem</w:t>
            </w:r>
            <w:r w:rsidR="00155DD9">
              <w:rPr>
                <w:rFonts w:ascii="Times New Roman" w:hAnsi="Times New Roman"/>
                <w:sz w:val="24"/>
                <w:szCs w:val="24"/>
              </w:rPr>
              <w:t xml:space="preserve"> izvēlēti pārstāvji.</w:t>
            </w:r>
            <w:r w:rsidR="00F06C2D">
              <w:rPr>
                <w:rFonts w:ascii="Times New Roman" w:hAnsi="Times New Roman"/>
                <w:sz w:val="24"/>
                <w:szCs w:val="24"/>
              </w:rPr>
              <w:t xml:space="preserve"> </w:t>
            </w:r>
            <w:r w:rsidR="005D77E4">
              <w:rPr>
                <w:rFonts w:ascii="Times New Roman" w:hAnsi="Times New Roman"/>
                <w:sz w:val="24"/>
                <w:szCs w:val="24"/>
              </w:rPr>
              <w:t xml:space="preserve"> </w:t>
            </w:r>
            <w:r w:rsidR="00022C59">
              <w:rPr>
                <w:rFonts w:ascii="Times New Roman" w:hAnsi="Times New Roman"/>
                <w:sz w:val="24"/>
                <w:szCs w:val="24"/>
              </w:rPr>
              <w:t xml:space="preserve"> </w:t>
            </w:r>
            <w:r w:rsidRPr="000A7ABF">
              <w:rPr>
                <w:rFonts w:ascii="Times New Roman" w:hAnsi="Times New Roman"/>
                <w:sz w:val="24"/>
                <w:szCs w:val="24"/>
              </w:rPr>
              <w:t>Vienlaicīgi, lai nodrošinātu studiju kvalitātē ieinteresēto profesionālo organizāciju un</w:t>
            </w:r>
            <w:r w:rsidR="003F491C">
              <w:rPr>
                <w:rFonts w:ascii="Times New Roman" w:hAnsi="Times New Roman"/>
                <w:sz w:val="24"/>
                <w:szCs w:val="24"/>
              </w:rPr>
              <w:t xml:space="preserve"> par augstākās izglītības politikas īstenošanu atbildīgo</w:t>
            </w:r>
            <w:r w:rsidRPr="000A7ABF">
              <w:rPr>
                <w:rFonts w:ascii="Times New Roman" w:hAnsi="Times New Roman"/>
                <w:sz w:val="24"/>
                <w:szCs w:val="24"/>
              </w:rPr>
              <w:t xml:space="preserve"> valsts institūciju pārraudzību pār Akadēmiskās informācijas centr</w:t>
            </w:r>
            <w:r w:rsidR="00256B59">
              <w:rPr>
                <w:rFonts w:ascii="Times New Roman" w:hAnsi="Times New Roman"/>
                <w:sz w:val="24"/>
                <w:szCs w:val="24"/>
              </w:rPr>
              <w:t>a</w:t>
            </w:r>
            <w:r w:rsidRPr="000A7ABF">
              <w:rPr>
                <w:rFonts w:ascii="Times New Roman" w:hAnsi="Times New Roman"/>
                <w:sz w:val="24"/>
                <w:szCs w:val="24"/>
              </w:rPr>
              <w:t xml:space="preserve"> kā nacionāl</w:t>
            </w:r>
            <w:r w:rsidR="00256B59">
              <w:rPr>
                <w:rFonts w:ascii="Times New Roman" w:hAnsi="Times New Roman"/>
                <w:sz w:val="24"/>
                <w:szCs w:val="24"/>
              </w:rPr>
              <w:t>as</w:t>
            </w:r>
            <w:r w:rsidRPr="000A7ABF">
              <w:rPr>
                <w:rFonts w:ascii="Times New Roman" w:hAnsi="Times New Roman"/>
                <w:sz w:val="24"/>
                <w:szCs w:val="24"/>
              </w:rPr>
              <w:t xml:space="preserve"> </w:t>
            </w:r>
            <w:r w:rsidRPr="000A7ABF">
              <w:rPr>
                <w:rFonts w:ascii="Times New Roman" w:hAnsi="Times New Roman"/>
                <w:sz w:val="24"/>
                <w:szCs w:val="24"/>
              </w:rPr>
              <w:lastRenderedPageBreak/>
              <w:t>akreditācijas aģentūr</w:t>
            </w:r>
            <w:r w:rsidR="00256B59">
              <w:rPr>
                <w:rFonts w:ascii="Times New Roman" w:hAnsi="Times New Roman"/>
                <w:sz w:val="24"/>
                <w:szCs w:val="24"/>
              </w:rPr>
              <w:t xml:space="preserve">as darbu akreditācijas </w:t>
            </w:r>
            <w:r w:rsidR="008B37B1">
              <w:rPr>
                <w:rFonts w:ascii="Times New Roman" w:hAnsi="Times New Roman"/>
                <w:sz w:val="24"/>
                <w:szCs w:val="24"/>
              </w:rPr>
              <w:t>procesā</w:t>
            </w:r>
            <w:r w:rsidRPr="000A7ABF">
              <w:rPr>
                <w:rFonts w:ascii="Times New Roman" w:hAnsi="Times New Roman"/>
                <w:sz w:val="24"/>
                <w:szCs w:val="24"/>
              </w:rPr>
              <w:t>, paredzēts par augstākās izglītības kvalitāti atbildīgo organizāciju un iestāžu pārstāvjus iesaistīt Augstākās izglītības kvalitātes nodrošināšanas padomes darbā, kas veiks stratēģisku vadību pār Akadēmiskās informācijas centru augstskolu, koledžu un studiju virzienu akreditācijā.</w:t>
            </w:r>
            <w:r w:rsidR="00CF1FB6">
              <w:rPr>
                <w:rFonts w:ascii="Times New Roman" w:hAnsi="Times New Roman"/>
                <w:sz w:val="24"/>
                <w:szCs w:val="24"/>
              </w:rPr>
              <w:t xml:space="preserve"> </w:t>
            </w:r>
            <w:r w:rsidR="006D6FCC">
              <w:rPr>
                <w:rFonts w:ascii="Times New Roman" w:hAnsi="Times New Roman"/>
                <w:sz w:val="24"/>
                <w:szCs w:val="24"/>
              </w:rPr>
              <w:t xml:space="preserve">Šīs padomes </w:t>
            </w:r>
            <w:r w:rsidR="00E76435">
              <w:rPr>
                <w:rFonts w:ascii="Times New Roman" w:hAnsi="Times New Roman"/>
                <w:sz w:val="24"/>
                <w:szCs w:val="24"/>
              </w:rPr>
              <w:t xml:space="preserve">pienākums ir apstiprināt Studiju akreditācijas komisijas atlases kritērijus un pašas komisijas sastāvu, kā arī tās darba reglamentu. </w:t>
            </w:r>
            <w:r w:rsidR="00B37DDC">
              <w:rPr>
                <w:rFonts w:ascii="Times New Roman" w:hAnsi="Times New Roman"/>
                <w:sz w:val="24"/>
                <w:szCs w:val="24"/>
              </w:rPr>
              <w:t>Šāda kārtība nodrošinās</w:t>
            </w:r>
            <w:r w:rsidR="00712F72">
              <w:rPr>
                <w:rFonts w:ascii="Times New Roman" w:hAnsi="Times New Roman"/>
                <w:sz w:val="24"/>
                <w:szCs w:val="24"/>
              </w:rPr>
              <w:t xml:space="preserve"> gan</w:t>
            </w:r>
            <w:r w:rsidR="00B37DDC">
              <w:rPr>
                <w:rFonts w:ascii="Times New Roman" w:hAnsi="Times New Roman"/>
                <w:sz w:val="24"/>
                <w:szCs w:val="24"/>
              </w:rPr>
              <w:t xml:space="preserve"> </w:t>
            </w:r>
            <w:r w:rsidR="00712F72">
              <w:rPr>
                <w:rFonts w:ascii="Times New Roman" w:hAnsi="Times New Roman"/>
                <w:sz w:val="24"/>
                <w:szCs w:val="24"/>
              </w:rPr>
              <w:t xml:space="preserve">studiju virzienu akreditācijas procesa atbilstību Latvijai kā Boloņas procesa valstij saistošajiem </w:t>
            </w:r>
            <w:r w:rsidR="00712F72" w:rsidRPr="000A7ABF">
              <w:rPr>
                <w:rFonts w:ascii="Times New Roman" w:hAnsi="Times New Roman"/>
                <w:sz w:val="24"/>
                <w:szCs w:val="24"/>
              </w:rPr>
              <w:t>Eiropas asociācijas kvalitātes nodrošināšanai augstākajā izglītībā izstrādātajiem standartiem un vadlīnijām kvalitātes nodrošināšanai Eiropas Augstākās izglītības telpā</w:t>
            </w:r>
            <w:r w:rsidR="00712F72">
              <w:rPr>
                <w:rFonts w:ascii="Times New Roman" w:hAnsi="Times New Roman"/>
                <w:sz w:val="24"/>
                <w:szCs w:val="24"/>
              </w:rPr>
              <w:t>, gan Latvijas augstākās izglītības sistēmas dalībnieku</w:t>
            </w:r>
            <w:r w:rsidR="00EC2EBA">
              <w:rPr>
                <w:rFonts w:ascii="Times New Roman" w:hAnsi="Times New Roman"/>
                <w:sz w:val="24"/>
                <w:szCs w:val="24"/>
              </w:rPr>
              <w:t xml:space="preserve"> un tās attīstībā ieinteresēto galveno profesionālo organizāciju</w:t>
            </w:r>
            <w:r w:rsidR="00712F72">
              <w:rPr>
                <w:rFonts w:ascii="Times New Roman" w:hAnsi="Times New Roman"/>
                <w:sz w:val="24"/>
                <w:szCs w:val="24"/>
              </w:rPr>
              <w:t xml:space="preserve"> </w:t>
            </w:r>
            <w:r w:rsidR="00EC2EBA">
              <w:rPr>
                <w:rFonts w:ascii="Times New Roman" w:hAnsi="Times New Roman"/>
                <w:sz w:val="24"/>
                <w:szCs w:val="24"/>
              </w:rPr>
              <w:t>iesaisti</w:t>
            </w:r>
            <w:r w:rsidR="003F439D">
              <w:rPr>
                <w:rFonts w:ascii="Times New Roman" w:hAnsi="Times New Roman"/>
                <w:sz w:val="24"/>
                <w:szCs w:val="24"/>
              </w:rPr>
              <w:t xml:space="preserve"> akreditācijas procesā. </w:t>
            </w:r>
          </w:p>
          <w:p w:rsidR="003D2266"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ka iesniegumu par augstskolas, koledžas un studiju virziena akreditāciju iesniedz Akadēmiskās informācijas centrā un Akadēmiskās informācijas centrs pārbauda, vai augstskola un koledža ir iesniegusi akreditācijai visu nepieciešamo informāciju, ja nav iesniegta visa nepieciešamā informācija, Akadēmiskās</w:t>
            </w:r>
            <w:r w:rsidR="001B63D2" w:rsidRPr="000A7ABF">
              <w:rPr>
                <w:rFonts w:ascii="Times New Roman" w:hAnsi="Times New Roman"/>
                <w:sz w:val="24"/>
                <w:szCs w:val="24"/>
              </w:rPr>
              <w:t xml:space="preserve"> informācijas centrs</w:t>
            </w:r>
            <w:r w:rsidRPr="000A7ABF">
              <w:rPr>
                <w:rFonts w:ascii="Times New Roman" w:hAnsi="Times New Roman"/>
                <w:sz w:val="24"/>
                <w:szCs w:val="24"/>
              </w:rPr>
              <w:t xml:space="preserve"> rakstiski lūdz augstskolai un koledžai iesniegt trūkstošo inf</w:t>
            </w:r>
            <w:r w:rsidR="001B63D2" w:rsidRPr="000A7ABF">
              <w:rPr>
                <w:rFonts w:ascii="Times New Roman" w:hAnsi="Times New Roman"/>
                <w:sz w:val="24"/>
                <w:szCs w:val="24"/>
              </w:rPr>
              <w:t>ormāciju</w:t>
            </w:r>
            <w:r w:rsidR="006804FE" w:rsidRPr="000A7ABF">
              <w:rPr>
                <w:rFonts w:ascii="Times New Roman" w:hAnsi="Times New Roman"/>
                <w:sz w:val="24"/>
                <w:szCs w:val="24"/>
              </w:rPr>
              <w:t>, jo novērtēšana var tikt veikta tikai tad, kad ir saņemta visa akreditācijai nepieciešamā informācija.</w:t>
            </w:r>
          </w:p>
          <w:p w:rsidR="008B2863" w:rsidRPr="000A7ABF" w:rsidRDefault="008B2863" w:rsidP="00825C80">
            <w:pPr>
              <w:spacing w:after="0" w:line="240" w:lineRule="auto"/>
              <w:jc w:val="both"/>
              <w:rPr>
                <w:rFonts w:ascii="Times New Roman" w:hAnsi="Times New Roman"/>
                <w:sz w:val="24"/>
                <w:szCs w:val="24"/>
              </w:rPr>
            </w:pPr>
            <w:r w:rsidRPr="008B2863">
              <w:rPr>
                <w:rFonts w:ascii="Times New Roman" w:hAnsi="Times New Roman"/>
                <w:sz w:val="24"/>
                <w:szCs w:val="24"/>
              </w:rPr>
              <w:t>Projekta 38.6.apakšpunkts paredz, ka studiju virziena akreditācijas iesniegumā jānorāda katras studiju virzienam atbilstošās studiju programmas uzsākšanas prasības, proti, prasības, kas noteiktas uzsākot studiju virzienam atbilstošas studiju programmas apguvi. Šādu prasību noteikšanu regulē Ministru kabineta 2006.gada 10.oktobra noteikumi Nr.846 “Noteikumi par prasībām, kritērijiem un kārtību uzņemšanai studiju programmās”, kuru 13.punkts nosaka, kas jāietver augstskolas un koledžas uzņemšanas noteikumus. Katra augstskola un koledža izstrādā uzņemšanas noteikumus, kuros noteiktas prasības uzņemšanai studiju programmā, kurām jāatbilst minētajiem noteikumiem.</w:t>
            </w:r>
          </w:p>
          <w:p w:rsidR="003D2266" w:rsidRPr="000A7ABF"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ka augstskolas vai koledžas iesniegumu par augstskolas, koledžas un studiju virziena akreditāciju var atdot atpakaļ iesniedzējam, ja nav iesniegta rakstiski pieprasītā trūkstošā informācija noteiktajā te</w:t>
            </w:r>
            <w:r w:rsidR="001B63D2" w:rsidRPr="000A7ABF">
              <w:rPr>
                <w:rFonts w:ascii="Times New Roman" w:hAnsi="Times New Roman"/>
                <w:sz w:val="24"/>
                <w:szCs w:val="24"/>
              </w:rPr>
              <w:t>rmiņā, nav veikta samaksa par akreditāciju</w:t>
            </w:r>
            <w:r w:rsidRPr="000A7ABF">
              <w:rPr>
                <w:rFonts w:ascii="Times New Roman" w:hAnsi="Times New Roman"/>
                <w:sz w:val="24"/>
                <w:szCs w:val="24"/>
              </w:rPr>
              <w:t xml:space="preserve"> vai arī iesniegums nav noformēts atbilstoši dokumentu noformēšanas kārtībai, proti, nav parakstījis augstskolas rektors vai koledžas direktors, iesniegums noformēts neatbilstoši Valsts valodas likuma prasībām un citos gadījumos.</w:t>
            </w:r>
          </w:p>
          <w:p w:rsidR="006804FE" w:rsidRPr="000A7ABF" w:rsidRDefault="006804FE" w:rsidP="00825C80">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augstskolu un koledžu akreditācijā piesaistīt septiņus ekspertus, ņemot vērā to, ka augstākās izglītības iestādes akreditācijā ir jānovērtē </w:t>
            </w:r>
            <w:r w:rsidR="000A5997" w:rsidRPr="000A7ABF">
              <w:rPr>
                <w:rFonts w:ascii="Times New Roman" w:hAnsi="Times New Roman"/>
                <w:sz w:val="24"/>
                <w:szCs w:val="24"/>
              </w:rPr>
              <w:t xml:space="preserve">visa augstākās izglītības iestāde, pretēji tam, ka studiju virziena novērtēšanā ir jānovērtē </w:t>
            </w:r>
            <w:r w:rsidR="000A5997" w:rsidRPr="000A7ABF">
              <w:rPr>
                <w:rFonts w:ascii="Times New Roman" w:hAnsi="Times New Roman"/>
                <w:sz w:val="24"/>
                <w:szCs w:val="24"/>
              </w:rPr>
              <w:lastRenderedPageBreak/>
              <w:t xml:space="preserve">konkrētais studiju virziens un tā novērtēšanai </w:t>
            </w:r>
            <w:r w:rsidR="001B63D2" w:rsidRPr="000A7ABF">
              <w:rPr>
                <w:rFonts w:ascii="Times New Roman" w:hAnsi="Times New Roman"/>
                <w:sz w:val="24"/>
                <w:szCs w:val="24"/>
              </w:rPr>
              <w:t xml:space="preserve">projekts paredz, </w:t>
            </w:r>
            <w:r w:rsidR="000A5997" w:rsidRPr="000A7ABF">
              <w:rPr>
                <w:rFonts w:ascii="Times New Roman" w:hAnsi="Times New Roman"/>
                <w:sz w:val="24"/>
                <w:szCs w:val="24"/>
              </w:rPr>
              <w:t>tāpat kā līdz šim</w:t>
            </w:r>
            <w:r w:rsidR="001B63D2" w:rsidRPr="000A7ABF">
              <w:rPr>
                <w:rFonts w:ascii="Times New Roman" w:hAnsi="Times New Roman"/>
                <w:sz w:val="24"/>
                <w:szCs w:val="24"/>
              </w:rPr>
              <w:t>, piecus</w:t>
            </w:r>
            <w:r w:rsidR="000A5997" w:rsidRPr="000A7ABF">
              <w:rPr>
                <w:rFonts w:ascii="Times New Roman" w:hAnsi="Times New Roman"/>
                <w:sz w:val="24"/>
                <w:szCs w:val="24"/>
              </w:rPr>
              <w:t xml:space="preserve"> studij</w:t>
            </w:r>
            <w:r w:rsidR="001B63D2" w:rsidRPr="000A7ABF">
              <w:rPr>
                <w:rFonts w:ascii="Times New Roman" w:hAnsi="Times New Roman"/>
                <w:sz w:val="24"/>
                <w:szCs w:val="24"/>
              </w:rPr>
              <w:t>u virziena novērtēšanas ekspertus</w:t>
            </w:r>
            <w:r w:rsidR="000A5997" w:rsidRPr="000A7ABF">
              <w:rPr>
                <w:rFonts w:ascii="Times New Roman" w:hAnsi="Times New Roman"/>
                <w:sz w:val="24"/>
                <w:szCs w:val="24"/>
              </w:rPr>
              <w:t>.</w:t>
            </w:r>
          </w:p>
          <w:p w:rsidR="00966366" w:rsidRPr="000A7ABF" w:rsidRDefault="009663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iespēju, ka būtisku izmaiņu studiju virzienā gadījumos, Studiju akreditācijas komi</w:t>
            </w:r>
            <w:r w:rsidR="001B63D2" w:rsidRPr="000A7ABF">
              <w:rPr>
                <w:rFonts w:ascii="Times New Roman" w:hAnsi="Times New Roman"/>
                <w:sz w:val="24"/>
                <w:szCs w:val="24"/>
              </w:rPr>
              <w:t>sija var lemt par viena eksperta</w:t>
            </w:r>
            <w:r w:rsidRPr="000A7ABF">
              <w:rPr>
                <w:rFonts w:ascii="Times New Roman" w:hAnsi="Times New Roman"/>
                <w:sz w:val="24"/>
                <w:szCs w:val="24"/>
              </w:rPr>
              <w:t xml:space="preserve"> piesaistīšanu augstskolas vai koledžas vēlamo izmaiņu studij</w:t>
            </w:r>
            <w:r w:rsidR="00C14E5C" w:rsidRPr="000A7ABF">
              <w:rPr>
                <w:rFonts w:ascii="Times New Roman" w:hAnsi="Times New Roman"/>
                <w:sz w:val="24"/>
                <w:szCs w:val="24"/>
              </w:rPr>
              <w:t>u virzienā novērtēšanai, jo saskaņā ar šobrīd spēkā esošajiem noteikumiem šāda iespēja nepastāv, bet Studiju akreditācijas komisijai bieži nākas sastapties ar situācijām, ka eksperta vērtējums izmaiņu objektīvai novērtēšanai ir ļoti nepieciešams.</w:t>
            </w:r>
            <w:r w:rsidR="00EF148E">
              <w:rPr>
                <w:rFonts w:ascii="Times New Roman" w:hAnsi="Times New Roman"/>
                <w:sz w:val="24"/>
                <w:szCs w:val="24"/>
              </w:rPr>
              <w:t xml:space="preserve"> Ņemot vērā militārās izglītības specifiku, izvirzot ekspertu kandidātus studiju virziena</w:t>
            </w:r>
            <w:r w:rsidR="00EF148E" w:rsidRPr="00EF148E">
              <w:rPr>
                <w:rFonts w:ascii="Times New Roman" w:hAnsi="Times New Roman"/>
                <w:sz w:val="24"/>
                <w:szCs w:val="24"/>
              </w:rPr>
              <w:t xml:space="preserve"> “Militārā aizsardzība”</w:t>
            </w:r>
            <w:r w:rsidR="00EF148E">
              <w:rPr>
                <w:rFonts w:ascii="Times New Roman" w:hAnsi="Times New Roman"/>
                <w:sz w:val="24"/>
                <w:szCs w:val="24"/>
              </w:rPr>
              <w:t xml:space="preserve"> novērtēšanai</w:t>
            </w:r>
            <w:r w:rsidR="00EF148E" w:rsidRPr="00EF148E">
              <w:rPr>
                <w:rFonts w:ascii="Times New Roman" w:hAnsi="Times New Roman"/>
                <w:sz w:val="24"/>
                <w:szCs w:val="24"/>
              </w:rPr>
              <w:t>, Akadēmiskās informācijas centram jāsaskaņo ekspertu kandidātus ar Aizsardzības ministriju.</w:t>
            </w:r>
            <w:r w:rsidR="00ED55BF">
              <w:rPr>
                <w:rFonts w:ascii="Times New Roman" w:hAnsi="Times New Roman"/>
                <w:sz w:val="24"/>
                <w:szCs w:val="24"/>
              </w:rPr>
              <w:t xml:space="preserve"> </w:t>
            </w:r>
            <w:r w:rsidR="00ED55BF" w:rsidRPr="00CA15E7">
              <w:rPr>
                <w:rFonts w:ascii="Times New Roman" w:hAnsi="Times New Roman"/>
                <w:sz w:val="24"/>
                <w:szCs w:val="24"/>
              </w:rPr>
              <w:t xml:space="preserve">Studiju </w:t>
            </w:r>
            <w:r w:rsidR="00ED55BF">
              <w:rPr>
                <w:rFonts w:ascii="Times New Roman" w:hAnsi="Times New Roman"/>
                <w:sz w:val="24"/>
                <w:szCs w:val="24"/>
              </w:rPr>
              <w:t>akreditācijas</w:t>
            </w:r>
            <w:r w:rsidR="00ED55BF" w:rsidRPr="00CA15E7">
              <w:rPr>
                <w:rFonts w:ascii="Times New Roman" w:hAnsi="Times New Roman"/>
                <w:sz w:val="24"/>
                <w:szCs w:val="24"/>
              </w:rPr>
              <w:t xml:space="preserve"> komisija</w:t>
            </w:r>
            <w:r w:rsidR="00ED55BF">
              <w:rPr>
                <w:rFonts w:ascii="Times New Roman" w:hAnsi="Times New Roman"/>
                <w:sz w:val="24"/>
                <w:szCs w:val="24"/>
              </w:rPr>
              <w:t xml:space="preserve"> studiju virzienu akreditācijas gadījumos vai Augstākās izglītības padome augstskolu vai koledžu akreditācijas gadījumos</w:t>
            </w:r>
            <w:r w:rsidR="00ED55BF" w:rsidRPr="00CA15E7">
              <w:rPr>
                <w:rFonts w:ascii="Times New Roman" w:hAnsi="Times New Roman"/>
                <w:sz w:val="24"/>
                <w:szCs w:val="24"/>
              </w:rPr>
              <w:t xml:space="preserve"> var apstiprināt Latvijas Studentu apvienības, Latvijas Izglītības un zinātnes darbinieku arodbiedrības pārstāvjus un vienu komisijas izvirzītu pārstāvi darbam novērotāja statusā (bez balsstiesībām), kuriem ir tiesības piedalīties </w:t>
            </w:r>
            <w:r w:rsidR="00ED55BF">
              <w:rPr>
                <w:rFonts w:ascii="Times New Roman" w:hAnsi="Times New Roman"/>
                <w:sz w:val="24"/>
                <w:szCs w:val="24"/>
              </w:rPr>
              <w:t xml:space="preserve">augstākās izglītības institūcijas vai </w:t>
            </w:r>
            <w:r w:rsidR="00ED55BF" w:rsidRPr="00CA15E7">
              <w:rPr>
                <w:rFonts w:ascii="Times New Roman" w:hAnsi="Times New Roman"/>
                <w:sz w:val="24"/>
                <w:szCs w:val="24"/>
              </w:rPr>
              <w:t xml:space="preserve">studiju </w:t>
            </w:r>
            <w:r w:rsidR="00ED55BF">
              <w:rPr>
                <w:rFonts w:ascii="Times New Roman" w:hAnsi="Times New Roman"/>
                <w:sz w:val="24"/>
                <w:szCs w:val="24"/>
              </w:rPr>
              <w:t>virziena</w:t>
            </w:r>
            <w:r w:rsidR="00ED55BF" w:rsidRPr="00CA15E7">
              <w:rPr>
                <w:rFonts w:ascii="Times New Roman" w:hAnsi="Times New Roman"/>
                <w:sz w:val="24"/>
                <w:szCs w:val="24"/>
              </w:rPr>
              <w:t xml:space="preserve"> izvērtēšanas darbā un sniegt par to viedokli komisijai, tādējādi </w:t>
            </w:r>
            <w:r w:rsidR="00ED55BF">
              <w:rPr>
                <w:rFonts w:ascii="Times New Roman" w:hAnsi="Times New Roman"/>
                <w:sz w:val="24"/>
                <w:szCs w:val="24"/>
              </w:rPr>
              <w:t xml:space="preserve">nodrošinot atklātību kvalitātes novērtēšanas procesā, lai </w:t>
            </w:r>
            <w:r w:rsidR="00EB19D2">
              <w:rPr>
                <w:rFonts w:ascii="Times New Roman" w:hAnsi="Times New Roman"/>
                <w:sz w:val="24"/>
                <w:szCs w:val="24"/>
              </w:rPr>
              <w:t xml:space="preserve">ieinteresētajām institūcijām </w:t>
            </w:r>
            <w:r w:rsidR="00ED55BF">
              <w:rPr>
                <w:rFonts w:ascii="Times New Roman" w:hAnsi="Times New Roman"/>
                <w:sz w:val="24"/>
                <w:szCs w:val="24"/>
              </w:rPr>
              <w:t>būtu</w:t>
            </w:r>
            <w:r w:rsidR="00EB19D2">
              <w:rPr>
                <w:rFonts w:ascii="Times New Roman" w:hAnsi="Times New Roman"/>
                <w:sz w:val="24"/>
                <w:szCs w:val="24"/>
              </w:rPr>
              <w:t xml:space="preserve"> informācija un</w:t>
            </w:r>
            <w:r w:rsidR="00ED55BF">
              <w:rPr>
                <w:rFonts w:ascii="Times New Roman" w:hAnsi="Times New Roman"/>
                <w:sz w:val="24"/>
                <w:szCs w:val="24"/>
              </w:rPr>
              <w:t xml:space="preserve"> pārliecība </w:t>
            </w:r>
            <w:r w:rsidR="00EB19D2">
              <w:rPr>
                <w:rFonts w:ascii="Times New Roman" w:hAnsi="Times New Roman"/>
                <w:sz w:val="24"/>
                <w:szCs w:val="24"/>
              </w:rPr>
              <w:t>novērtēšanas procesa norises</w:t>
            </w:r>
            <w:r w:rsidR="00ED55BF">
              <w:rPr>
                <w:rFonts w:ascii="Times New Roman" w:hAnsi="Times New Roman"/>
                <w:sz w:val="24"/>
                <w:szCs w:val="24"/>
              </w:rPr>
              <w:t xml:space="preserve"> atbilstību noteikumiem.</w:t>
            </w:r>
          </w:p>
          <w:p w:rsidR="003D2266" w:rsidRDefault="003D2266" w:rsidP="00825C80">
            <w:pPr>
              <w:spacing w:after="0" w:line="240" w:lineRule="auto"/>
              <w:jc w:val="both"/>
              <w:rPr>
                <w:rFonts w:ascii="Times New Roman" w:hAnsi="Times New Roman"/>
                <w:sz w:val="24"/>
                <w:szCs w:val="24"/>
              </w:rPr>
            </w:pPr>
            <w:r w:rsidRPr="000A7ABF">
              <w:rPr>
                <w:rFonts w:ascii="Times New Roman" w:hAnsi="Times New Roman"/>
                <w:sz w:val="24"/>
                <w:szCs w:val="24"/>
              </w:rPr>
              <w:t>Projekts paredz no kvalitātes novērtēšanas nodalīt atbilstības normatīvajiem aktiem novērtēšanu, jo augstskolu, koledžu un studiju virzienu novērtēšanas komisijas veic augstākās izglītības kvalitātes novērtēšanu, atbilstība augstāko izglītību reglamentējošajiem normatīvajiem aktiem nav kvalitātes kritērijs, tāpēc to var novērtēt Akadēmiskās informācijas centrs, nodrošinot, ka, ja augstskolas, koledžas un studiju virziena akreditācijas iesniegumā ir konstatējama būtiska neatbilstība normatīvo aktu prasībām, kas jau var būt par pamatu atteikt augstskolas, koledžas vai studiju virziena akreditāciju, nav nepieciešams organizēt kvalitātes novērtējumu, jo nevar būt runa par augstākās izglītības kvalitāti, ja tās īstenošanā netiek ievēroti augstāko izglītību reglamentējošie normatīvie akti.</w:t>
            </w:r>
          </w:p>
          <w:p w:rsidR="006A4A9B" w:rsidRPr="000A7ABF" w:rsidRDefault="006A4A9B" w:rsidP="00825C80">
            <w:pPr>
              <w:spacing w:after="0" w:line="240" w:lineRule="auto"/>
              <w:jc w:val="both"/>
              <w:rPr>
                <w:rFonts w:ascii="Times New Roman" w:hAnsi="Times New Roman"/>
                <w:sz w:val="24"/>
                <w:szCs w:val="24"/>
              </w:rPr>
            </w:pPr>
            <w:r>
              <w:rPr>
                <w:rFonts w:ascii="Times New Roman" w:hAnsi="Times New Roman"/>
                <w:sz w:val="24"/>
                <w:szCs w:val="24"/>
              </w:rPr>
              <w:t>Projekta 21. un 44.punktā paredzēts, ka tiek prasīts sniegt informāciju tai</w:t>
            </w:r>
            <w:r w:rsidR="00EF0039">
              <w:rPr>
                <w:rFonts w:ascii="Times New Roman" w:hAnsi="Times New Roman"/>
                <w:sz w:val="24"/>
                <w:szCs w:val="24"/>
              </w:rPr>
              <w:t xml:space="preserve"> sertifikācijas</w:t>
            </w:r>
            <w:r>
              <w:rPr>
                <w:rFonts w:ascii="Times New Roman" w:hAnsi="Times New Roman"/>
                <w:sz w:val="24"/>
                <w:szCs w:val="24"/>
              </w:rPr>
              <w:t xml:space="preserve"> institūcijai, </w:t>
            </w:r>
            <w:r w:rsidR="00EF0039">
              <w:rPr>
                <w:rFonts w:ascii="Times New Roman" w:hAnsi="Times New Roman"/>
                <w:sz w:val="24"/>
                <w:szCs w:val="24"/>
              </w:rPr>
              <w:t>kas veic sertificējamo personu sertifikāciju reglamentēto profesiju jomā.</w:t>
            </w:r>
          </w:p>
          <w:p w:rsidR="000A5997" w:rsidRPr="000A7ABF" w:rsidRDefault="000A5997" w:rsidP="00825C80">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ka lēmumus par augstskolas un koledžas akreditāciju vai atteikumu akreditēt augstskolu un koledžu tāpat kā līdz šim var apstrīdēt Izglītības un zinātnes ministrijā. Savukārt lēmumus par studiju virziena akreditāciju vai atteikumu akreditēt studiju virzienu, var apstrīdēt Akadēmiskās informācijas centrā atbilstoši Administratīvā procesa likuma 76.panta otrajā daļā noteiktajam, ka </w:t>
            </w:r>
            <w:r w:rsidR="003C6E6C" w:rsidRPr="000A7ABF">
              <w:rPr>
                <w:rFonts w:ascii="Times New Roman" w:hAnsi="Times New Roman"/>
                <w:sz w:val="24"/>
                <w:szCs w:val="24"/>
              </w:rPr>
              <w:t>Ministru kabineta noteikumos var būt noteikta cita iestāde, kurā administratīvo aktu var apstrīdēt</w:t>
            </w:r>
            <w:r w:rsidRPr="000A7ABF">
              <w:rPr>
                <w:rFonts w:ascii="Times New Roman" w:hAnsi="Times New Roman"/>
                <w:sz w:val="24"/>
                <w:szCs w:val="24"/>
              </w:rPr>
              <w:t>. Jāuzsver, ka Akadēmiskās informācija</w:t>
            </w:r>
            <w:r w:rsidR="00FA75FC" w:rsidRPr="000A7ABF">
              <w:rPr>
                <w:rFonts w:ascii="Times New Roman" w:hAnsi="Times New Roman"/>
                <w:sz w:val="24"/>
                <w:szCs w:val="24"/>
              </w:rPr>
              <w:t>s centram kā studiju programmu akreditācijas</w:t>
            </w:r>
            <w:r w:rsidRPr="000A7ABF">
              <w:rPr>
                <w:rFonts w:ascii="Times New Roman" w:hAnsi="Times New Roman"/>
                <w:sz w:val="24"/>
                <w:szCs w:val="24"/>
              </w:rPr>
              <w:t xml:space="preserve"> organizētājam </w:t>
            </w:r>
            <w:r w:rsidRPr="000A7ABF">
              <w:rPr>
                <w:rFonts w:ascii="Times New Roman" w:hAnsi="Times New Roman"/>
                <w:sz w:val="24"/>
                <w:szCs w:val="24"/>
              </w:rPr>
              <w:lastRenderedPageBreak/>
              <w:t>jānodrošina neatkarība no valsts pārvaldes, arī ši</w:t>
            </w:r>
            <w:r w:rsidR="00FA75FC" w:rsidRPr="000A7ABF">
              <w:rPr>
                <w:rFonts w:ascii="Times New Roman" w:hAnsi="Times New Roman"/>
                <w:sz w:val="24"/>
                <w:szCs w:val="24"/>
              </w:rPr>
              <w:t>s ir iemesls, kāpēc akreditācijas</w:t>
            </w:r>
            <w:r w:rsidRPr="000A7ABF">
              <w:rPr>
                <w:rFonts w:ascii="Times New Roman" w:hAnsi="Times New Roman"/>
                <w:sz w:val="24"/>
                <w:szCs w:val="24"/>
              </w:rPr>
              <w:t xml:space="preserve"> lēmumus nevar apstrīdēt Izglītības un zinātnes ministrijā, jo ir paredzēts novērst valsts pārvaldes ietekmi </w:t>
            </w:r>
            <w:r w:rsidR="00FA75FC" w:rsidRPr="000A7ABF">
              <w:rPr>
                <w:rFonts w:ascii="Times New Roman" w:hAnsi="Times New Roman"/>
                <w:sz w:val="24"/>
                <w:szCs w:val="24"/>
              </w:rPr>
              <w:t>uz studiju programmu akreditāciju</w:t>
            </w:r>
            <w:r w:rsidRPr="000A7ABF">
              <w:rPr>
                <w:rFonts w:ascii="Times New Roman" w:hAnsi="Times New Roman"/>
                <w:sz w:val="24"/>
                <w:szCs w:val="24"/>
              </w:rPr>
              <w:t>, tādējādi izpildot Eiropas Asociācijas kvalitātes nodrošināšanai augstākajā izglītībā izstrādāto standartu un vadlīniju kvalitātes nodrošināšanai prasības.</w:t>
            </w:r>
          </w:p>
          <w:p w:rsidR="00764021" w:rsidRPr="000A7ABF" w:rsidRDefault="009E2D98" w:rsidP="00BB10ED">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tāpat nosaka arī studiju virzienu novērtēšanas  komisijas kopīgā atzinuma par studiju virziena novērtēšanu </w:t>
            </w:r>
            <w:r w:rsidR="006A258C">
              <w:rPr>
                <w:rFonts w:ascii="Times New Roman" w:hAnsi="Times New Roman"/>
                <w:sz w:val="24"/>
                <w:szCs w:val="24"/>
              </w:rPr>
              <w:t>struktūru</w:t>
            </w:r>
            <w:r w:rsidRPr="000A7ABF">
              <w:rPr>
                <w:rFonts w:ascii="Times New Roman" w:hAnsi="Times New Roman"/>
                <w:sz w:val="24"/>
                <w:szCs w:val="24"/>
              </w:rPr>
              <w:t>, preci</w:t>
            </w:r>
            <w:r w:rsidR="000A5997" w:rsidRPr="000A7ABF">
              <w:rPr>
                <w:rFonts w:ascii="Times New Roman" w:hAnsi="Times New Roman"/>
                <w:sz w:val="24"/>
                <w:szCs w:val="24"/>
              </w:rPr>
              <w:t xml:space="preserve">zējot līdz šim noteikto </w:t>
            </w:r>
            <w:r w:rsidR="006A258C">
              <w:rPr>
                <w:rFonts w:ascii="Times New Roman" w:hAnsi="Times New Roman"/>
                <w:sz w:val="24"/>
                <w:szCs w:val="24"/>
              </w:rPr>
              <w:t>veidlapu</w:t>
            </w:r>
            <w:r w:rsidR="000A5997" w:rsidRPr="000A7ABF">
              <w:rPr>
                <w:rFonts w:ascii="Times New Roman" w:hAnsi="Times New Roman"/>
                <w:sz w:val="24"/>
                <w:szCs w:val="24"/>
              </w:rPr>
              <w:t>, lai tas būtu pārskatāmāks un nodrošinātu tā pamatotību.</w:t>
            </w:r>
            <w:r w:rsidR="00F36184" w:rsidRPr="000A7ABF">
              <w:rPr>
                <w:rFonts w:ascii="Times New Roman" w:hAnsi="Times New Roman"/>
                <w:sz w:val="24"/>
                <w:szCs w:val="24"/>
              </w:rPr>
              <w:t xml:space="preserve"> Projekta 3.un 10.pielikum</w:t>
            </w:r>
            <w:r w:rsidR="00773B60" w:rsidRPr="000A7ABF">
              <w:rPr>
                <w:rFonts w:ascii="Times New Roman" w:hAnsi="Times New Roman"/>
                <w:sz w:val="24"/>
                <w:szCs w:val="24"/>
              </w:rPr>
              <w:t>ā ietverti</w:t>
            </w:r>
            <w:r w:rsidR="00F36184" w:rsidRPr="000A7ABF">
              <w:rPr>
                <w:rFonts w:ascii="Times New Roman" w:hAnsi="Times New Roman"/>
                <w:sz w:val="24"/>
                <w:szCs w:val="24"/>
              </w:rPr>
              <w:t xml:space="preserve"> detalizēt</w:t>
            </w:r>
            <w:r w:rsidR="00773B60" w:rsidRPr="000A7ABF">
              <w:rPr>
                <w:rFonts w:ascii="Times New Roman" w:hAnsi="Times New Roman"/>
                <w:sz w:val="24"/>
                <w:szCs w:val="24"/>
              </w:rPr>
              <w:t>i</w:t>
            </w:r>
            <w:r w:rsidR="00F36184" w:rsidRPr="000A7ABF">
              <w:rPr>
                <w:rFonts w:ascii="Times New Roman" w:hAnsi="Times New Roman"/>
                <w:sz w:val="24"/>
                <w:szCs w:val="24"/>
              </w:rPr>
              <w:t xml:space="preserve"> iekšējo kvalitātes nodrošināšanas sistēmu novērtēšanas </w:t>
            </w:r>
            <w:r w:rsidR="00773B60" w:rsidRPr="000A7ABF">
              <w:rPr>
                <w:rFonts w:ascii="Times New Roman" w:hAnsi="Times New Roman"/>
                <w:sz w:val="24"/>
                <w:szCs w:val="24"/>
              </w:rPr>
              <w:t>kritēriji, kas paredzēti Eiropas asociācijas kvalitātes nodrošināšanai augstākajā izglītībā izstrādātajos standartos un vadlīnijās kvalitātes nodrošināšanai  Eiropas Augstākās izglītības telpā.</w:t>
            </w:r>
            <w:r w:rsidR="00A633AF" w:rsidRPr="000A7ABF">
              <w:rPr>
                <w:rFonts w:ascii="Times New Roman" w:hAnsi="Times New Roman"/>
                <w:sz w:val="24"/>
                <w:szCs w:val="24"/>
              </w:rPr>
              <w:t xml:space="preserve"> Lai nodrošinātu salīdzināmus un objektīvus datus par konkrētu studiju programmu absolventu nodarbinātību, kā arī apmierinātību ar studijām, aptaujām ir jābūt veiktām pēc vienotas metodikas un pieejas.</w:t>
            </w:r>
          </w:p>
          <w:p w:rsidR="009E2D98" w:rsidRPr="000A7ABF" w:rsidRDefault="00C256E5"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paredz saskaņot</w:t>
            </w:r>
            <w:r w:rsidR="009E2D98" w:rsidRPr="000A7ABF">
              <w:rPr>
                <w:rFonts w:ascii="Times New Roman" w:hAnsi="Times New Roman"/>
                <w:sz w:val="24"/>
                <w:szCs w:val="24"/>
              </w:rPr>
              <w:t xml:space="preserve"> augstskolu un koledžu pašnovērtējuma ziņojuma </w:t>
            </w:r>
            <w:r w:rsidRPr="000A7ABF">
              <w:rPr>
                <w:rFonts w:ascii="Times New Roman" w:hAnsi="Times New Roman"/>
                <w:sz w:val="24"/>
                <w:szCs w:val="24"/>
              </w:rPr>
              <w:t xml:space="preserve">struktūru un </w:t>
            </w:r>
            <w:r w:rsidR="009E2D98" w:rsidRPr="000A7ABF">
              <w:rPr>
                <w:rFonts w:ascii="Times New Roman" w:hAnsi="Times New Roman"/>
                <w:sz w:val="24"/>
                <w:szCs w:val="24"/>
              </w:rPr>
              <w:t>saturu ar augstskolu un koledžu novērtēšanas kritērijiem un studiju virzienu pašnovērtējuma ziņojuma</w:t>
            </w:r>
            <w:r w:rsidRPr="000A7ABF">
              <w:rPr>
                <w:rFonts w:ascii="Times New Roman" w:hAnsi="Times New Roman"/>
                <w:sz w:val="24"/>
                <w:szCs w:val="24"/>
              </w:rPr>
              <w:t xml:space="preserve"> struktūru un</w:t>
            </w:r>
            <w:r w:rsidR="009E2D98" w:rsidRPr="000A7ABF">
              <w:rPr>
                <w:rFonts w:ascii="Times New Roman" w:hAnsi="Times New Roman"/>
                <w:sz w:val="24"/>
                <w:szCs w:val="24"/>
              </w:rPr>
              <w:t xml:space="preserve"> saturu ar studiju virziena novērtēšanas kritērijiem un studiju virziena novērtēšanas komisijas kopīgā atzinuma paraugu, lai atvieglotu augstskolu un koledžu slogu pašnovērtējumu ziņojumu sagatavošanā un tādējādi atvieglotu arī novērtēšanas procesu ekspertiem.</w:t>
            </w:r>
          </w:p>
          <w:p w:rsidR="00124DCE" w:rsidRDefault="00124DCE" w:rsidP="00BB10ED">
            <w:pPr>
              <w:spacing w:after="0" w:line="240" w:lineRule="auto"/>
              <w:jc w:val="both"/>
              <w:rPr>
                <w:rFonts w:ascii="Times New Roman" w:hAnsi="Times New Roman"/>
                <w:sz w:val="24"/>
                <w:szCs w:val="24"/>
              </w:rPr>
            </w:pPr>
            <w:r w:rsidRPr="000A7ABF">
              <w:rPr>
                <w:rFonts w:ascii="Times New Roman" w:hAnsi="Times New Roman"/>
                <w:sz w:val="24"/>
                <w:szCs w:val="24"/>
              </w:rPr>
              <w:t xml:space="preserve">Projekts paredz, ka augstskolu, koledžu </w:t>
            </w:r>
            <w:r w:rsidR="00565B69" w:rsidRPr="000A7ABF">
              <w:rPr>
                <w:rFonts w:ascii="Times New Roman" w:hAnsi="Times New Roman"/>
                <w:sz w:val="24"/>
                <w:szCs w:val="24"/>
              </w:rPr>
              <w:t>un studiju virzie</w:t>
            </w:r>
            <w:r w:rsidRPr="000A7ABF">
              <w:rPr>
                <w:rFonts w:ascii="Times New Roman" w:hAnsi="Times New Roman"/>
                <w:sz w:val="24"/>
                <w:szCs w:val="24"/>
              </w:rPr>
              <w:t>nu akreditācija notiek par attiecīgās augstskolas vai koledžas budžeta līdzekļiem</w:t>
            </w:r>
            <w:r w:rsidR="00CF6943">
              <w:rPr>
                <w:rFonts w:ascii="Times New Roman" w:hAnsi="Times New Roman"/>
                <w:sz w:val="24"/>
                <w:szCs w:val="24"/>
              </w:rPr>
              <w:t xml:space="preserve"> saskaņā ar Ministru kabineta apstiprinātu cenrādi</w:t>
            </w:r>
            <w:r w:rsidRPr="000A7ABF">
              <w:rPr>
                <w:rFonts w:ascii="Times New Roman" w:hAnsi="Times New Roman"/>
                <w:sz w:val="24"/>
                <w:szCs w:val="24"/>
              </w:rPr>
              <w:t xml:space="preserve">, kā tas jau bijis līdz šim, savukārt paredzēts noteikt, ka augstskolas vai koledžas ārkārtas akreditācijas un studiju virzienu ārpuskārtas akreditācijas izdevumus sedz no valsts </w:t>
            </w:r>
            <w:r w:rsidRPr="00DA6452">
              <w:rPr>
                <w:rFonts w:ascii="Times New Roman" w:hAnsi="Times New Roman"/>
                <w:sz w:val="24"/>
                <w:szCs w:val="24"/>
              </w:rPr>
              <w:t>budžeta, jo ārkārtas un ārpuskārtas akreditācija nav augstskolas vai koledžas izvēle, lēmumu par to pieņem izglītības un zinātnes ministrs, tāpēc arī izdevumus par to ir jāsedz no valsts budžeta.</w:t>
            </w:r>
            <w:r w:rsidR="00E231B3" w:rsidRPr="00DA6452">
              <w:rPr>
                <w:rFonts w:ascii="Times New Roman" w:hAnsi="Times New Roman"/>
                <w:sz w:val="24"/>
                <w:szCs w:val="24"/>
              </w:rPr>
              <w:t xml:space="preserve"> Tomēr augstskolas, koledžas vai studiju virziena ārkārtas akredit</w:t>
            </w:r>
            <w:r w:rsidR="00B40291" w:rsidRPr="00DA6452">
              <w:rPr>
                <w:rFonts w:ascii="Times New Roman" w:hAnsi="Times New Roman"/>
                <w:sz w:val="24"/>
                <w:szCs w:val="24"/>
              </w:rPr>
              <w:t>ācija ir ārkārtas solis, kas tiek sperts</w:t>
            </w:r>
            <w:r w:rsidR="00E231B3" w:rsidRPr="00DA6452">
              <w:rPr>
                <w:rFonts w:ascii="Times New Roman" w:hAnsi="Times New Roman"/>
                <w:sz w:val="24"/>
                <w:szCs w:val="24"/>
              </w:rPr>
              <w:t xml:space="preserve"> </w:t>
            </w:r>
            <w:r w:rsidR="00D82F17" w:rsidRPr="00DA6452">
              <w:rPr>
                <w:rFonts w:ascii="Times New Roman" w:hAnsi="Times New Roman"/>
                <w:sz w:val="24"/>
                <w:szCs w:val="24"/>
              </w:rPr>
              <w:t xml:space="preserve">sabiedrības tiesību uz kvalitatīvu izglītību aizsardzībai un tikai tajos gadījumos, kad pastāv nopietni draudi šo tiesību </w:t>
            </w:r>
            <w:r w:rsidR="000448AE" w:rsidRPr="00DA6452">
              <w:rPr>
                <w:rFonts w:ascii="Times New Roman" w:hAnsi="Times New Roman"/>
                <w:sz w:val="24"/>
                <w:szCs w:val="24"/>
              </w:rPr>
              <w:t>īsten</w:t>
            </w:r>
            <w:r w:rsidR="00D82F17" w:rsidRPr="00DA6452">
              <w:rPr>
                <w:rFonts w:ascii="Times New Roman" w:hAnsi="Times New Roman"/>
                <w:sz w:val="24"/>
                <w:szCs w:val="24"/>
              </w:rPr>
              <w:t>ošanai</w:t>
            </w:r>
            <w:r w:rsidR="007B1FED" w:rsidRPr="00DA6452">
              <w:rPr>
                <w:rFonts w:ascii="Times New Roman" w:hAnsi="Times New Roman"/>
                <w:sz w:val="24"/>
                <w:szCs w:val="24"/>
              </w:rPr>
              <w:t xml:space="preserve">, kad augstskola vai koledža kaut kādu iemeslu </w:t>
            </w:r>
            <w:r w:rsidR="00391CF7">
              <w:rPr>
                <w:rFonts w:ascii="Times New Roman" w:hAnsi="Times New Roman"/>
                <w:sz w:val="24"/>
                <w:szCs w:val="24"/>
              </w:rPr>
              <w:t xml:space="preserve">dēļ </w:t>
            </w:r>
            <w:r w:rsidR="007B1FED" w:rsidRPr="00DA6452">
              <w:rPr>
                <w:rFonts w:ascii="Times New Roman" w:hAnsi="Times New Roman"/>
                <w:sz w:val="24"/>
                <w:szCs w:val="24"/>
              </w:rPr>
              <w:t>vairs nespēj</w:t>
            </w:r>
            <w:r w:rsidR="00E231B3" w:rsidRPr="00DA6452">
              <w:rPr>
                <w:rFonts w:ascii="Times New Roman" w:hAnsi="Times New Roman"/>
                <w:sz w:val="24"/>
                <w:szCs w:val="24"/>
              </w:rPr>
              <w:t xml:space="preserve"> pildīt savas saistības pret studējošiem un akadēmisko personālu</w:t>
            </w:r>
            <w:r w:rsidR="00391CF7">
              <w:rPr>
                <w:rFonts w:ascii="Times New Roman" w:hAnsi="Times New Roman"/>
                <w:sz w:val="24"/>
                <w:szCs w:val="24"/>
              </w:rPr>
              <w:t>,</w:t>
            </w:r>
            <w:r w:rsidR="007B1FED" w:rsidRPr="00DA6452">
              <w:rPr>
                <w:rFonts w:ascii="Times New Roman" w:hAnsi="Times New Roman"/>
                <w:sz w:val="24"/>
                <w:szCs w:val="24"/>
              </w:rPr>
              <w:t xml:space="preserve"> nodrošin</w:t>
            </w:r>
            <w:r w:rsidR="00E231B3" w:rsidRPr="00DA6452">
              <w:rPr>
                <w:rFonts w:ascii="Times New Roman" w:hAnsi="Times New Roman"/>
                <w:sz w:val="24"/>
                <w:szCs w:val="24"/>
              </w:rPr>
              <w:t>āt kvalit</w:t>
            </w:r>
            <w:r w:rsidR="007B1FED" w:rsidRPr="00DA6452">
              <w:rPr>
                <w:rFonts w:ascii="Times New Roman" w:hAnsi="Times New Roman"/>
                <w:sz w:val="24"/>
                <w:szCs w:val="24"/>
              </w:rPr>
              <w:t>atīvas studijas</w:t>
            </w:r>
            <w:r w:rsidR="00E231B3" w:rsidRPr="00DA6452">
              <w:rPr>
                <w:rFonts w:ascii="Times New Roman" w:hAnsi="Times New Roman"/>
                <w:sz w:val="24"/>
                <w:szCs w:val="24"/>
              </w:rPr>
              <w:t xml:space="preserve"> un ir nepieciešama neatliekama rīcība,</w:t>
            </w:r>
            <w:r w:rsidR="00E231B3">
              <w:rPr>
                <w:rFonts w:ascii="Times New Roman" w:hAnsi="Times New Roman"/>
                <w:sz w:val="24"/>
                <w:szCs w:val="24"/>
              </w:rPr>
              <w:t xml:space="preserve"> lai p</w:t>
            </w:r>
            <w:r w:rsidR="0093462A">
              <w:rPr>
                <w:rFonts w:ascii="Times New Roman" w:hAnsi="Times New Roman"/>
                <w:sz w:val="24"/>
                <w:szCs w:val="24"/>
              </w:rPr>
              <w:t>ārtrauktu iespēju augstskolai izdot diplomus.</w:t>
            </w:r>
            <w:r w:rsidR="00796D11">
              <w:rPr>
                <w:rFonts w:ascii="Times New Roman" w:hAnsi="Times New Roman"/>
                <w:sz w:val="24"/>
                <w:szCs w:val="24"/>
              </w:rPr>
              <w:t xml:space="preserve"> Tādēļ augstskolai un koledžai ir jāatmaksā valstij tās izdevumi par </w:t>
            </w:r>
            <w:r w:rsidR="00B40291">
              <w:rPr>
                <w:rFonts w:ascii="Times New Roman" w:hAnsi="Times New Roman"/>
                <w:sz w:val="24"/>
                <w:szCs w:val="24"/>
              </w:rPr>
              <w:t>ārpuskārtas akreditāciju. Augstskolai vai koledžai pirms ārkārtas akreditācijas ierosināšanas ir bijis daudz iespēju novērst trūkum</w:t>
            </w:r>
            <w:r w:rsidR="00DA6452">
              <w:rPr>
                <w:rFonts w:ascii="Times New Roman" w:hAnsi="Times New Roman"/>
                <w:sz w:val="24"/>
                <w:szCs w:val="24"/>
              </w:rPr>
              <w:t>u</w:t>
            </w:r>
            <w:r w:rsidR="00B40291">
              <w:rPr>
                <w:rFonts w:ascii="Times New Roman" w:hAnsi="Times New Roman"/>
                <w:sz w:val="24"/>
                <w:szCs w:val="24"/>
              </w:rPr>
              <w:t>s vai par tiem laicīgi informēt ministriju.</w:t>
            </w:r>
          </w:p>
          <w:p w:rsidR="00C405AE" w:rsidRPr="00C405AE" w:rsidRDefault="00C405AE" w:rsidP="00C405AE">
            <w:pPr>
              <w:spacing w:after="0" w:line="240" w:lineRule="auto"/>
              <w:jc w:val="both"/>
              <w:rPr>
                <w:rFonts w:ascii="Times New Roman" w:hAnsi="Times New Roman"/>
                <w:sz w:val="24"/>
                <w:szCs w:val="24"/>
              </w:rPr>
            </w:pPr>
            <w:r>
              <w:rPr>
                <w:rFonts w:ascii="Times New Roman" w:hAnsi="Times New Roman"/>
                <w:sz w:val="24"/>
                <w:szCs w:val="24"/>
              </w:rPr>
              <w:lastRenderedPageBreak/>
              <w:t>Lai atvieglotu studiju virzienu akreditācijas izmaksu slogu, ir paredzēti</w:t>
            </w:r>
            <w:r w:rsidRPr="00C405AE">
              <w:rPr>
                <w:rFonts w:ascii="Times New Roman" w:hAnsi="Times New Roman"/>
                <w:sz w:val="24"/>
                <w:szCs w:val="24"/>
              </w:rPr>
              <w:t xml:space="preserve"> papildus instrumenti arī no struktūrfondu līdzekļiem, tajā skaitā tiks organizētas </w:t>
            </w:r>
            <w:proofErr w:type="spellStart"/>
            <w:r w:rsidRPr="00C405AE">
              <w:rPr>
                <w:rFonts w:ascii="Times New Roman" w:hAnsi="Times New Roman"/>
                <w:sz w:val="24"/>
                <w:szCs w:val="24"/>
              </w:rPr>
              <w:t>pilotakreditācijas</w:t>
            </w:r>
            <w:proofErr w:type="spellEnd"/>
            <w:r w:rsidRPr="00C405AE">
              <w:rPr>
                <w:rFonts w:ascii="Times New Roman" w:hAnsi="Times New Roman"/>
                <w:sz w:val="24"/>
                <w:szCs w:val="24"/>
              </w:rPr>
              <w:t xml:space="preserve"> par valsts budžeta līdzekļiem, uz kurām augstskolas un koledžas varēs pieteikties.</w:t>
            </w:r>
          </w:p>
          <w:p w:rsidR="00C405AE" w:rsidRDefault="00C405AE" w:rsidP="00C405AE">
            <w:pPr>
              <w:spacing w:after="0" w:line="240" w:lineRule="auto"/>
              <w:jc w:val="both"/>
              <w:rPr>
                <w:rFonts w:ascii="Times New Roman" w:hAnsi="Times New Roman"/>
                <w:sz w:val="24"/>
                <w:szCs w:val="24"/>
              </w:rPr>
            </w:pPr>
            <w:r w:rsidRPr="00C405AE">
              <w:rPr>
                <w:rFonts w:ascii="Times New Roman" w:hAnsi="Times New Roman"/>
                <w:sz w:val="24"/>
                <w:szCs w:val="24"/>
              </w:rPr>
              <w:t>Struktūrfondos paredzēts finansējums kopīgo studiju programmu veidošanai, kur augstskolām un koledžām piešķirs finansējumu akreditācijai, ja augstskolas vai koledžas aizvērs studiju programmas, izveidojot jaunu studiju programmu.</w:t>
            </w:r>
          </w:p>
          <w:p w:rsidR="00391CF7" w:rsidRPr="000A7ABF" w:rsidRDefault="00391CF7" w:rsidP="00BB10ED">
            <w:pPr>
              <w:spacing w:after="0" w:line="240" w:lineRule="auto"/>
              <w:jc w:val="both"/>
              <w:rPr>
                <w:rFonts w:ascii="Times New Roman" w:hAnsi="Times New Roman"/>
                <w:sz w:val="24"/>
                <w:szCs w:val="24"/>
              </w:rPr>
            </w:pPr>
            <w:r w:rsidRPr="00391CF7">
              <w:rPr>
                <w:rFonts w:ascii="Times New Roman" w:hAnsi="Times New Roman"/>
                <w:sz w:val="24"/>
                <w:szCs w:val="24"/>
              </w:rPr>
              <w:t xml:space="preserve">Koncepcija “Latvijas augstākās izglītības ārējās kvalitātes nodrošināšanas sistēmas pilnveide” konstatēja, ka </w:t>
            </w:r>
            <w:r w:rsidR="005B2682">
              <w:rPr>
                <w:rFonts w:ascii="Times New Roman" w:hAnsi="Times New Roman"/>
                <w:sz w:val="24"/>
                <w:szCs w:val="24"/>
              </w:rPr>
              <w:t xml:space="preserve">studiju virzienu akreditāciju organizējošās institūcijas </w:t>
            </w:r>
            <w:r w:rsidRPr="00391CF7">
              <w:rPr>
                <w:rFonts w:ascii="Times New Roman" w:hAnsi="Times New Roman"/>
                <w:sz w:val="24"/>
                <w:szCs w:val="24"/>
              </w:rPr>
              <w:t xml:space="preserve">ieņēmumi no maksas pakalpojumu sniegšanas </w:t>
            </w:r>
            <w:r w:rsidR="004E35F2">
              <w:rPr>
                <w:rFonts w:ascii="Times New Roman" w:hAnsi="Times New Roman"/>
                <w:sz w:val="24"/>
                <w:szCs w:val="24"/>
              </w:rPr>
              <w:t>nebūs</w:t>
            </w:r>
            <w:r w:rsidRPr="00391CF7">
              <w:rPr>
                <w:rFonts w:ascii="Times New Roman" w:hAnsi="Times New Roman"/>
                <w:sz w:val="24"/>
                <w:szCs w:val="24"/>
              </w:rPr>
              <w:t xml:space="preserve"> pietiekami, un tāpēc ir jāparedz pastāvīgs finansējums no valsts budžeta. Izglītības un zinātnes ministrija piešķir Akadēmiskās informācijas centr</w:t>
            </w:r>
            <w:r w:rsidR="005B2682">
              <w:rPr>
                <w:rFonts w:ascii="Times New Roman" w:hAnsi="Times New Roman"/>
                <w:sz w:val="24"/>
                <w:szCs w:val="24"/>
              </w:rPr>
              <w:t>am valsts budžeta dotāciju tādā apmērā</w:t>
            </w:r>
            <w:r w:rsidRPr="00391CF7">
              <w:rPr>
                <w:rFonts w:ascii="Times New Roman" w:hAnsi="Times New Roman"/>
                <w:sz w:val="24"/>
                <w:szCs w:val="24"/>
              </w:rPr>
              <w:t>, kas daļēji nodrošina finansējumu Akadēmi</w:t>
            </w:r>
            <w:r w:rsidR="005B2682">
              <w:rPr>
                <w:rFonts w:ascii="Times New Roman" w:hAnsi="Times New Roman"/>
                <w:sz w:val="24"/>
                <w:szCs w:val="24"/>
              </w:rPr>
              <w:t>skās informācijas centra darbībai</w:t>
            </w:r>
            <w:r w:rsidRPr="00391CF7">
              <w:rPr>
                <w:rFonts w:ascii="Times New Roman" w:hAnsi="Times New Roman"/>
                <w:sz w:val="24"/>
                <w:szCs w:val="24"/>
              </w:rPr>
              <w:t xml:space="preserve">, līdz ar to augstskolas un koledžas segs tikai akreditācijas organizēšanas izmaksas, proti, ekspertu </w:t>
            </w:r>
            <w:r w:rsidR="005B2682">
              <w:rPr>
                <w:rFonts w:ascii="Times New Roman" w:hAnsi="Times New Roman"/>
                <w:sz w:val="24"/>
                <w:szCs w:val="24"/>
              </w:rPr>
              <w:t>darba atalgojumu un izdevumus, kā arī</w:t>
            </w:r>
            <w:r w:rsidRPr="00391CF7">
              <w:rPr>
                <w:rFonts w:ascii="Times New Roman" w:hAnsi="Times New Roman"/>
                <w:sz w:val="24"/>
                <w:szCs w:val="24"/>
              </w:rPr>
              <w:t xml:space="preserve"> dokumentu aprites nodrošināšanas izmaksas</w:t>
            </w:r>
            <w:r>
              <w:rPr>
                <w:rFonts w:ascii="Times New Roman" w:hAnsi="Times New Roman"/>
                <w:sz w:val="24"/>
                <w:szCs w:val="24"/>
              </w:rPr>
              <w:t>, kā tas bija līdz šim.</w:t>
            </w:r>
            <w:r w:rsidR="00A065A1">
              <w:rPr>
                <w:rFonts w:ascii="Times New Roman" w:hAnsi="Times New Roman"/>
                <w:sz w:val="24"/>
                <w:szCs w:val="24"/>
              </w:rPr>
              <w:t xml:space="preserve"> </w:t>
            </w:r>
            <w:r w:rsidR="00A065A1" w:rsidRPr="00A065A1">
              <w:rPr>
                <w:rFonts w:ascii="Times New Roman" w:hAnsi="Times New Roman"/>
                <w:sz w:val="24"/>
                <w:szCs w:val="24"/>
              </w:rPr>
              <w:t>Attiecībā uz privātpersonu dibinātām augstākās izglītības iestādēm, jānorāda, ka katra privātpersona pati izvē</w:t>
            </w:r>
            <w:r w:rsidR="00C52DC7">
              <w:rPr>
                <w:rFonts w:ascii="Times New Roman" w:hAnsi="Times New Roman"/>
                <w:sz w:val="24"/>
                <w:szCs w:val="24"/>
              </w:rPr>
              <w:t>las savu komercdarbības</w:t>
            </w:r>
            <w:r w:rsidR="00A065A1" w:rsidRPr="00A065A1">
              <w:rPr>
                <w:rFonts w:ascii="Times New Roman" w:hAnsi="Times New Roman"/>
                <w:sz w:val="24"/>
                <w:szCs w:val="24"/>
              </w:rPr>
              <w:t xml:space="preserve"> veidu, kā arī izvēlētās komercdarbības veida īstenošanai ir jāsaņem attiecīga licence vai atļauja, tādējādi jāuzsver, ka neatkarīgi no tā, ka akreditācija ir valsts funkcija, privātpersonu dibinātām augstākās izglītības iestādēm šis ir jāparedz kā maksas pakalpojums. Savukārt attiecībā uz valsts dibinātām augstākās izglītības iestādēm valsts piešķir finansējumu no valsts budžeta augstākās izglītības iestāžu darbības nodrošināšanai, kā arī augstākās izglītības iestādēm ir ienākumi no studiju maksas un citi pašu ieņēmumi, kā arī iespējas piesaistīt citu finansējumu.</w:t>
            </w:r>
          </w:p>
          <w:p w:rsidR="00D933B0" w:rsidRPr="000A7ABF" w:rsidRDefault="00D933B0" w:rsidP="00BB10ED">
            <w:pPr>
              <w:spacing w:after="0" w:line="240" w:lineRule="auto"/>
              <w:jc w:val="both"/>
              <w:rPr>
                <w:rFonts w:ascii="Times New Roman" w:hAnsi="Times New Roman"/>
                <w:sz w:val="24"/>
                <w:szCs w:val="24"/>
              </w:rPr>
            </w:pPr>
            <w:r w:rsidRPr="000A7ABF">
              <w:rPr>
                <w:rFonts w:ascii="Times New Roman" w:hAnsi="Times New Roman"/>
                <w:sz w:val="24"/>
                <w:szCs w:val="24"/>
              </w:rPr>
              <w:t>Projekts paredz izmaiņas līdz šim izsniegtajās studiju virzienu akreditācijas lapās, paredzot, ka studiju virzienu akreditācijas lapu pielikumos tiek norādīta arī konkrētās studiju programmas īstenošanas valoda un īpaši tiek paredzēts, vai konkrētā studiju programma tiek īstenota tālmācībā.</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rsidR="00392D00" w:rsidRPr="000A7ABF" w:rsidRDefault="00CD1902" w:rsidP="00825C80">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w:t>
            </w:r>
            <w:r w:rsidR="00C256E5" w:rsidRPr="000A7ABF">
              <w:rPr>
                <w:rFonts w:ascii="Times New Roman" w:eastAsia="Times New Roman" w:hAnsi="Times New Roman"/>
                <w:bCs/>
                <w:sz w:val="24"/>
                <w:szCs w:val="24"/>
                <w:lang w:eastAsia="lv-LV"/>
              </w:rPr>
              <w:t>binieku arodbiedrības pārstāvji, kā arī piesaistīti individuāli eksperti.</w:t>
            </w:r>
          </w:p>
        </w:tc>
      </w:tr>
      <w:tr w:rsidR="000A7ABF" w:rsidRPr="000A7ABF"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rsidR="00392D00" w:rsidRPr="000A7ABF" w:rsidRDefault="00812271" w:rsidP="005C42B1">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rsidR="00577216" w:rsidRPr="000A7ABF" w:rsidRDefault="00C256E5" w:rsidP="00985459">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 xml:space="preserve">Projekta saturu ir ietekmējusi laika posmā kopš 2013.gada 25.aprīļa ministrijā uzkrātā pieredze, praksē īstenojot </w:t>
            </w:r>
            <w:r w:rsidRPr="000A7ABF">
              <w:rPr>
                <w:rFonts w:ascii="Times New Roman" w:eastAsia="Times New Roman" w:hAnsi="Times New Roman"/>
                <w:sz w:val="24"/>
                <w:szCs w:val="24"/>
                <w:lang w:eastAsia="lv-LV"/>
              </w:rPr>
              <w:lastRenderedPageBreak/>
              <w:t>augstskolu, koledžu un studiju virzienu akreditācijas un studiju programmu licencēšanas organizēšanu, kuras laikā ir izkristalizējušies vairāki priekšlikumi līdzšinējās kārtības pilnveidošanai. Šajā laikposmā ir izstrādāti arī jauni Eiropas asociācijas kvalitātes nodrošināšanai augstākajā izglītībā (ENQA) “Standarti un vadlīnijas kvalitātes nodrošināšanai Eiropas augstākās izglītības telpā”, kas Latvijai kā vienai no Boloņas procesa dalībvalstīm ir saistoši augstākās izglītības kvalitātes nodrošināšanas politikas veidošanai un īstenošanai un projektā paredzētās normas ar tiem ir saskaņotas. Līdz ar to projekta apstiprināšana ir svarīgs priekšnoteikums koncepcijā izvirzītā mērķa Akadēmiskās informācijas centra iekļaušanai Eiropas augstākās izglītības kvalitātes nodrošināšanas reģistrā EQAR 2018.gadā.</w:t>
            </w:r>
          </w:p>
        </w:tc>
      </w:tr>
    </w:tbl>
    <w:p w:rsidR="00CD1902" w:rsidRDefault="00CD1902"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888"/>
        <w:gridCol w:w="5945"/>
      </w:tblGrid>
      <w:tr w:rsidR="000A7ABF" w:rsidRPr="000A7ABF"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1902" w:rsidRPr="000A7ABF" w:rsidRDefault="00CD1902" w:rsidP="00CD1902">
            <w:pPr>
              <w:spacing w:after="0" w:line="240" w:lineRule="auto"/>
              <w:rPr>
                <w:rFonts w:ascii="Times New Roman" w:hAnsi="Times New Roman"/>
                <w:b/>
                <w:bCs/>
                <w:sz w:val="24"/>
                <w:szCs w:val="24"/>
              </w:rPr>
            </w:pPr>
            <w:r w:rsidRPr="000A7ABF">
              <w:rPr>
                <w:rFonts w:ascii="Times New Roman" w:hAnsi="Times New Roman"/>
                <w:b/>
                <w:bCs/>
                <w:sz w:val="24"/>
                <w:szCs w:val="24"/>
              </w:rPr>
              <w:t>II. Tiesību akta projekta ietekme uz sabiedrību, tautsaimniecības attīstību un administratīvo slogu</w:t>
            </w:r>
          </w:p>
        </w:tc>
      </w:tr>
      <w:tr w:rsidR="000A7ABF" w:rsidRPr="000A7ABF" w:rsidTr="00CD190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 xml:space="preserve">Sabiedrības </w:t>
            </w:r>
            <w:proofErr w:type="spellStart"/>
            <w:r w:rsidRPr="000A7ABF">
              <w:rPr>
                <w:rFonts w:ascii="Times New Roman" w:hAnsi="Times New Roman"/>
                <w:sz w:val="24"/>
                <w:szCs w:val="24"/>
              </w:rPr>
              <w:t>mērķgrupas</w:t>
            </w:r>
            <w:proofErr w:type="spellEnd"/>
            <w:r w:rsidRPr="000A7ABF">
              <w:rPr>
                <w:rFonts w:ascii="Times New Roman" w:hAnsi="Times New Roman"/>
                <w:sz w:val="24"/>
                <w:szCs w:val="24"/>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D1902" w:rsidRPr="000A7ABF" w:rsidRDefault="00FE7724" w:rsidP="00FE7724">
            <w:pPr>
              <w:spacing w:after="0" w:line="240" w:lineRule="auto"/>
              <w:jc w:val="both"/>
              <w:rPr>
                <w:rFonts w:ascii="Times New Roman" w:hAnsi="Times New Roman"/>
                <w:sz w:val="24"/>
                <w:szCs w:val="24"/>
              </w:rPr>
            </w:pPr>
            <w:r w:rsidRPr="000A7ABF">
              <w:rPr>
                <w:rFonts w:ascii="Times New Roman" w:hAnsi="Times New Roman"/>
                <w:sz w:val="24"/>
                <w:szCs w:val="24"/>
              </w:rPr>
              <w:t>Projekts attiecas uz augstskolām un koledžām, to īstenotajiem studiju virzieniem un tiem atbilstošajām studiju programmām un Akadēmiskās informācijas centru.</w:t>
            </w:r>
          </w:p>
        </w:tc>
      </w:tr>
      <w:tr w:rsidR="000A7ABF" w:rsidRPr="000A7ABF"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092677" w:rsidRDefault="00FC6AE2" w:rsidP="000A7ABF">
            <w:pPr>
              <w:autoSpaceDE w:val="0"/>
              <w:autoSpaceDN w:val="0"/>
              <w:adjustRightInd w:val="0"/>
              <w:spacing w:after="0" w:line="240" w:lineRule="auto"/>
              <w:jc w:val="both"/>
              <w:rPr>
                <w:rFonts w:ascii="Times New Roman" w:hAnsi="Times New Roman"/>
                <w:sz w:val="24"/>
                <w:szCs w:val="24"/>
              </w:rPr>
            </w:pPr>
            <w:r w:rsidRPr="000A7ABF">
              <w:rPr>
                <w:rFonts w:ascii="Times New Roman" w:hAnsi="Times New Roman"/>
                <w:sz w:val="24"/>
                <w:szCs w:val="24"/>
              </w:rPr>
              <w:t>Sabiedrības grupām un institūcijām projekta tiesiskais regulējums maina tiesības un pienākumus, kā arī veicamās darbības. Izglītības un zinātnes ministrijai tiek samazināts administratīvais slogs, jo Izglītības un zinātnes ministrijas uzdevums organizēt augstskolu, koledžu un studiju virzienu akreditāciju tiek nodots Akadēmiskās informācijas centram. Akadēmiskās informācijas centram palielinās administratīvais slogs, jo Akadēmiskās informācijas centram tiek uzdots organizēt augstskolu, koledžu un studiju virzienu akreditāciju, kas ir līdz šim Akadēmiskās informācijas centra neīstenotas funkcijas. Projekts paredz Akadēmiskās informācijas centra tiesības un pienākumus, kā arī veicamās darbības augstskolu, koledžu un studiju virzienu akreditācijas gadījumos.</w:t>
            </w:r>
            <w:r w:rsidR="002007F4">
              <w:rPr>
                <w:rFonts w:ascii="Times New Roman" w:hAnsi="Times New Roman"/>
                <w:sz w:val="24"/>
                <w:szCs w:val="24"/>
              </w:rPr>
              <w:t xml:space="preserve"> </w:t>
            </w:r>
          </w:p>
          <w:p w:rsidR="00F51029" w:rsidRPr="00784C5F" w:rsidRDefault="00784C5F" w:rsidP="00F51029">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pacing w:val="-4"/>
                <w:sz w:val="24"/>
                <w:szCs w:val="24"/>
                <w:lang w:eastAsia="lv-LV"/>
              </w:rPr>
              <w:t>P</w:t>
            </w:r>
            <w:r w:rsidR="00F51029" w:rsidRPr="00784C5F">
              <w:rPr>
                <w:rFonts w:ascii="Times New Roman" w:eastAsia="Times New Roman" w:hAnsi="Times New Roman"/>
                <w:spacing w:val="-4"/>
                <w:sz w:val="24"/>
                <w:szCs w:val="24"/>
                <w:lang w:eastAsia="lv-LV"/>
              </w:rPr>
              <w:t xml:space="preserve">rojekta 66. punkts paredz pienākumu augstskolām un koledžām sagatavot un publicēt savā tīmekļa vietnē studiju virziena pašnovērtējuma ziņojumu un </w:t>
            </w:r>
            <w:r w:rsidR="00F51029" w:rsidRPr="00784C5F">
              <w:rPr>
                <w:rFonts w:ascii="Times New Roman" w:hAnsi="Times New Roman"/>
                <w:sz w:val="24"/>
                <w:szCs w:val="24"/>
              </w:rPr>
              <w:t>pārskatu par veiktajām darbībām studiju virziena pilnveidei</w:t>
            </w:r>
            <w:r w:rsidR="00F51029" w:rsidRPr="00784C5F">
              <w:rPr>
                <w:rFonts w:ascii="Times New Roman" w:eastAsia="Times New Roman" w:hAnsi="Times New Roman"/>
                <w:spacing w:val="-4"/>
                <w:sz w:val="24"/>
                <w:szCs w:val="24"/>
                <w:lang w:eastAsia="lv-LV"/>
              </w:rPr>
              <w:t>. Minētais pienākums ir klasificējams kā informācijas sniegšanas pienākums un tādējādi rada administratīvās izmaksas augstskolām un koledžām. Salīdzinājumā ar iepriekšējo regulējumu instrukcijas projekts paredz administratīvā sloga samazinājumu augstskolām un koledžām, jo iepriekš studiju virzienu pašnovērtējuma ziņojumi ik gadu bija jāaktualizē pilnā apjomā, savukārt turpmāk aktualizējama būs tikai to izmainītā daļa.</w:t>
            </w:r>
          </w:p>
          <w:p w:rsidR="00F51029" w:rsidRDefault="00F51029" w:rsidP="000A7ABF">
            <w:pPr>
              <w:autoSpaceDE w:val="0"/>
              <w:autoSpaceDN w:val="0"/>
              <w:adjustRightInd w:val="0"/>
              <w:spacing w:after="0" w:line="240" w:lineRule="auto"/>
              <w:jc w:val="both"/>
              <w:rPr>
                <w:rFonts w:ascii="Times New Roman" w:hAnsi="Times New Roman"/>
                <w:sz w:val="24"/>
                <w:szCs w:val="24"/>
              </w:rPr>
            </w:pPr>
          </w:p>
          <w:p w:rsidR="008060DC" w:rsidRPr="000A7ABF" w:rsidRDefault="008060DC" w:rsidP="000A7ABF">
            <w:pPr>
              <w:autoSpaceDE w:val="0"/>
              <w:autoSpaceDN w:val="0"/>
              <w:adjustRightInd w:val="0"/>
              <w:spacing w:after="0" w:line="240" w:lineRule="auto"/>
              <w:jc w:val="both"/>
              <w:rPr>
                <w:rFonts w:ascii="Times New Roman" w:hAnsi="Times New Roman"/>
                <w:sz w:val="24"/>
                <w:szCs w:val="24"/>
              </w:rPr>
            </w:pPr>
            <w:r w:rsidRPr="000A7ABF">
              <w:rPr>
                <w:rFonts w:ascii="Times New Roman" w:hAnsi="Times New Roman"/>
                <w:sz w:val="24"/>
                <w:szCs w:val="24"/>
              </w:rPr>
              <w:lastRenderedPageBreak/>
              <w:t xml:space="preserve">Saskaņā ar 2009.gada 15. </w:t>
            </w:r>
            <w:r w:rsidR="00D63FAF">
              <w:rPr>
                <w:rFonts w:ascii="Times New Roman" w:hAnsi="Times New Roman"/>
                <w:sz w:val="24"/>
                <w:szCs w:val="24"/>
              </w:rPr>
              <w:t>d</w:t>
            </w:r>
            <w:r w:rsidR="00D63FAF" w:rsidRPr="000A7ABF">
              <w:rPr>
                <w:rFonts w:ascii="Times New Roman" w:hAnsi="Times New Roman"/>
                <w:sz w:val="24"/>
                <w:szCs w:val="24"/>
              </w:rPr>
              <w:t xml:space="preserve">ecembra </w:t>
            </w:r>
            <w:r w:rsidRPr="000A7ABF">
              <w:rPr>
                <w:rFonts w:ascii="Times New Roman" w:hAnsi="Times New Roman"/>
                <w:sz w:val="24"/>
                <w:szCs w:val="24"/>
              </w:rPr>
              <w:t>Ministru kabineta instrukcijas Nr.19 „Tiesību akta projekta sākotnējās ietekmes izvērtēšanas kārtība” 22.1. punktu -  kāda būs projekta tiesiskā regulējuma ietekme, piemēram, uz uzņēmējdarbības vidi, Nacionālā attīstības plāna rādītājiem, mikro vai makro līmenī – norād</w:t>
            </w:r>
            <w:r w:rsidR="002007F4">
              <w:rPr>
                <w:rFonts w:ascii="Times New Roman" w:hAnsi="Times New Roman"/>
                <w:sz w:val="24"/>
                <w:szCs w:val="24"/>
              </w:rPr>
              <w:t>ā</w:t>
            </w:r>
            <w:r w:rsidRPr="000A7ABF">
              <w:rPr>
                <w:rFonts w:ascii="Times New Roman" w:hAnsi="Times New Roman"/>
                <w:sz w:val="24"/>
                <w:szCs w:val="24"/>
              </w:rPr>
              <w:t>m</w:t>
            </w:r>
            <w:r w:rsidR="002007F4">
              <w:rPr>
                <w:rFonts w:ascii="Times New Roman" w:hAnsi="Times New Roman"/>
                <w:sz w:val="24"/>
                <w:szCs w:val="24"/>
              </w:rPr>
              <w:t>,</w:t>
            </w:r>
            <w:r w:rsidRPr="000A7ABF">
              <w:rPr>
                <w:rFonts w:ascii="Times New Roman" w:hAnsi="Times New Roman"/>
                <w:sz w:val="24"/>
                <w:szCs w:val="24"/>
              </w:rPr>
              <w:t xml:space="preserve"> ka normatīvais regulējums sniedz būtisku atbalstu vairāku būtisku NAP rādītāju sasniegšanā. Konkrēti normatīvā akta īstenoša</w:t>
            </w:r>
            <w:r w:rsidR="002007F4">
              <w:rPr>
                <w:rFonts w:ascii="Times New Roman" w:hAnsi="Times New Roman"/>
                <w:sz w:val="24"/>
                <w:szCs w:val="24"/>
              </w:rPr>
              <w:t>na</w:t>
            </w:r>
            <w:r w:rsidRPr="000A7ABF">
              <w:rPr>
                <w:rFonts w:ascii="Times New Roman" w:hAnsi="Times New Roman"/>
                <w:sz w:val="24"/>
                <w:szCs w:val="24"/>
              </w:rPr>
              <w:t>s rezultātā tiek nodrošināts šādu  rīcības virzienam -  [289] Rīcības virziena ietvaros veicamie uzdevumi - pakārtotu uzdevuma izpilde - visaptverošs izglītības kvalitātes monitorings. Savukārt Rīcības virziens nodrošina mērķa - [286] Mērķis 3  - Attīstīt pieaugušo izglītību, veicinot cilvēka darba produktivitātes pieaugumu atbilstoši darba tirgus prasībām – rezultātā - [288] Pieaugušo izglītībā iesaistīto personu īpatsvars 25–64 gadu vecumā – rezultatīvo rādītāju sasniegšanu</w:t>
            </w:r>
          </w:p>
          <w:p w:rsidR="003E7E3D" w:rsidRPr="000A7ABF" w:rsidRDefault="008060DC" w:rsidP="00975541">
            <w:pPr>
              <w:spacing w:after="0" w:line="240" w:lineRule="auto"/>
              <w:jc w:val="both"/>
              <w:rPr>
                <w:rFonts w:ascii="Times New Roman" w:hAnsi="Times New Roman"/>
                <w:sz w:val="24"/>
                <w:szCs w:val="24"/>
              </w:rPr>
            </w:pPr>
            <w:r w:rsidRPr="000A7ABF">
              <w:rPr>
                <w:rFonts w:ascii="Times New Roman" w:hAnsi="Times New Roman"/>
                <w:sz w:val="24"/>
                <w:szCs w:val="24"/>
              </w:rPr>
              <w:t>Papildus normatīvais regulējums veicina NAP mērķa - [170] Mērķis 1 - Ieguldījumi pētniecībā un attīstībā 1,5% apmērā no iekšzemes kopprodukta 2020. gadā, mērķtiecīgi sekmējot cilvēkresursu piesaisti, inovatīvu ideju izstrādi, pētnieciskās infrastruktūras pilnveidi, augstākās izglītības, zinātnes un privātā sektora sadarbību, kā arī pētniecības un inovācijas pārnesi uzņēmējdarbībā – rezultāta - [175] Augstākā izglītība (iedzīvotāju īpatsvars % 30-34gadu vecumā ar augstāko izglītību) – rādītāju sasniegšanu. Šo rādītāju sasniegšana ir daļēji saistīta ar NAP uzdevuma - [248] Jauniešu nodarbinātības veicināšana, - kas tiek nodrošina uzlabojot augstākās izglītības kvalitāti</w:t>
            </w:r>
            <w:r w:rsidR="002007F4">
              <w:rPr>
                <w:rFonts w:ascii="Times New Roman" w:hAnsi="Times New Roman"/>
                <w:sz w:val="24"/>
                <w:szCs w:val="24"/>
              </w:rPr>
              <w:t>.</w:t>
            </w:r>
          </w:p>
        </w:tc>
      </w:tr>
      <w:tr w:rsidR="000A7ABF" w:rsidRPr="000A7ABF" w:rsidTr="00CD1902">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84BE6" w:rsidRDefault="00E84BE6" w:rsidP="006D0976">
            <w:pPr>
              <w:spacing w:after="0" w:line="240" w:lineRule="auto"/>
              <w:jc w:val="both"/>
              <w:rPr>
                <w:rFonts w:ascii="Times New Roman" w:hAnsi="Times New Roman"/>
                <w:sz w:val="24"/>
                <w:szCs w:val="24"/>
              </w:rPr>
            </w:pPr>
            <w:r>
              <w:rPr>
                <w:rFonts w:ascii="Times New Roman" w:hAnsi="Times New Roman"/>
                <w:sz w:val="24"/>
                <w:szCs w:val="24"/>
              </w:rPr>
              <w:t xml:space="preserve">Administratīvais slogs augstskolām un koledžām mazināsies, jo </w:t>
            </w:r>
            <w:r w:rsidR="00CA1EFB">
              <w:rPr>
                <w:rFonts w:ascii="Times New Roman" w:hAnsi="Times New Roman"/>
                <w:sz w:val="24"/>
                <w:szCs w:val="24"/>
              </w:rPr>
              <w:t>salīdzinot ar līdz šim noteikto kārtību, atbilstoši kurai augstskolas vai koledžas ikviena akreditētā studiju virziena pašnovērtējuma ziņojums, kas ir uzskatāmi par liela apjoma dokumentu, nebūs jāsagatavo un jāapstiprina augstskolas senātā vai koledžas padomē katru gadu no jauna, bet šāds apstiprinājums būs nepieciešams tikai aktualizēt</w:t>
            </w:r>
            <w:r w:rsidR="00D30061">
              <w:rPr>
                <w:rFonts w:ascii="Times New Roman" w:hAnsi="Times New Roman"/>
                <w:sz w:val="24"/>
                <w:szCs w:val="24"/>
              </w:rPr>
              <w:t>ās</w:t>
            </w:r>
            <w:r w:rsidR="00CA1EFB">
              <w:rPr>
                <w:rFonts w:ascii="Times New Roman" w:hAnsi="Times New Roman"/>
                <w:sz w:val="24"/>
                <w:szCs w:val="24"/>
              </w:rPr>
              <w:t xml:space="preserve"> informācijas pārskatam par studiju virzienā veiktajām izmaiņām</w:t>
            </w:r>
            <w:r w:rsidR="00A042E8">
              <w:rPr>
                <w:rFonts w:ascii="Times New Roman" w:hAnsi="Times New Roman"/>
                <w:sz w:val="24"/>
                <w:szCs w:val="24"/>
              </w:rPr>
              <w:t xml:space="preserve">. </w:t>
            </w:r>
            <w:r w:rsidR="00201029">
              <w:rPr>
                <w:rFonts w:ascii="Times New Roman" w:hAnsi="Times New Roman"/>
                <w:sz w:val="24"/>
                <w:szCs w:val="24"/>
              </w:rPr>
              <w:t>Tomēr studiju virzienu pašnovērtējuma ziņojumi ir ļoti atšķirīgi pēc sava apjoma, jo satur atšķirīgu skaitu studiju programmu no 1 līdz 3</w:t>
            </w:r>
            <w:r w:rsidR="0098236E">
              <w:rPr>
                <w:rFonts w:ascii="Times New Roman" w:hAnsi="Times New Roman"/>
                <w:sz w:val="24"/>
                <w:szCs w:val="24"/>
              </w:rPr>
              <w:t>1</w:t>
            </w:r>
            <w:r w:rsidR="00644842">
              <w:rPr>
                <w:rFonts w:ascii="Times New Roman" w:hAnsi="Times New Roman"/>
                <w:sz w:val="24"/>
                <w:szCs w:val="24"/>
              </w:rPr>
              <w:t>, kā arī pašas studiju programmas pēc sava apjoma var atšķirties vairākas reizes</w:t>
            </w:r>
            <w:r w:rsidR="00201029">
              <w:rPr>
                <w:rFonts w:ascii="Times New Roman" w:hAnsi="Times New Roman"/>
                <w:sz w:val="24"/>
                <w:szCs w:val="24"/>
              </w:rPr>
              <w:t>.</w:t>
            </w:r>
            <w:r w:rsidR="00CA1EFB">
              <w:rPr>
                <w:rFonts w:ascii="Times New Roman" w:hAnsi="Times New Roman"/>
                <w:sz w:val="24"/>
                <w:szCs w:val="24"/>
              </w:rPr>
              <w:t xml:space="preserve"> </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Saskaņā ar sākotnējās ietekmes metodikā paredzēto kārtību, sniedzam informāciju, kas ierobežo tiešu un nepārprotamu administratīva sloga aprēķināšanas formulas pielietošanu, proti:</w:t>
            </w:r>
          </w:p>
          <w:p w:rsidR="006D0976" w:rsidRPr="000A7ABF" w:rsidRDefault="006D0976" w:rsidP="006D0976">
            <w:pPr>
              <w:spacing w:after="0" w:line="240" w:lineRule="auto"/>
              <w:jc w:val="both"/>
              <w:rPr>
                <w:rFonts w:ascii="Times New Roman" w:hAnsi="Times New Roman"/>
                <w:sz w:val="24"/>
                <w:szCs w:val="24"/>
              </w:rPr>
            </w:pP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C = (f x l) x (n x b), kur</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 xml:space="preserve">f – finanšu līdzekļu apjoms, kas nepieciešams, lai nodrošinātu projektā paredzētās informācijas sagatavošanu var tikt rēķināts, pieņemot, ka šo pienākumu veic darbinieki ar mēneša vidējo darba samaksu, kas 2014.gadā Latvijā bija </w:t>
            </w:r>
            <w:r w:rsidRPr="000A7ABF">
              <w:rPr>
                <w:rFonts w:ascii="Times New Roman" w:hAnsi="Times New Roman"/>
                <w:sz w:val="24"/>
                <w:szCs w:val="24"/>
              </w:rPr>
              <w:lastRenderedPageBreak/>
              <w:t xml:space="preserve">813 </w:t>
            </w:r>
            <w:proofErr w:type="spellStart"/>
            <w:r w:rsidR="00724E49">
              <w:rPr>
                <w:rFonts w:ascii="Times New Roman" w:hAnsi="Times New Roman"/>
                <w:i/>
                <w:sz w:val="24"/>
                <w:szCs w:val="24"/>
              </w:rPr>
              <w:t>euro</w:t>
            </w:r>
            <w:proofErr w:type="spellEnd"/>
            <w:r w:rsidRPr="000A7ABF">
              <w:rPr>
                <w:rFonts w:ascii="Times New Roman" w:hAnsi="Times New Roman"/>
                <w:sz w:val="24"/>
                <w:szCs w:val="24"/>
              </w:rPr>
              <w:t xml:space="preserve">/mēnesī, kam atbilst stundas samaksas likme 5,08 </w:t>
            </w:r>
            <w:proofErr w:type="spellStart"/>
            <w:r w:rsidR="00724E49">
              <w:rPr>
                <w:rFonts w:ascii="Times New Roman" w:hAnsi="Times New Roman"/>
                <w:i/>
                <w:sz w:val="24"/>
                <w:szCs w:val="24"/>
              </w:rPr>
              <w:t>euro</w:t>
            </w:r>
            <w:proofErr w:type="spellEnd"/>
            <w:r w:rsidRPr="000A7ABF">
              <w:rPr>
                <w:rFonts w:ascii="Times New Roman" w:hAnsi="Times New Roman"/>
                <w:sz w:val="24"/>
                <w:szCs w:val="24"/>
              </w:rPr>
              <w:t xml:space="preserve">. </w:t>
            </w:r>
          </w:p>
          <w:p w:rsidR="006D0976"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 xml:space="preserve">l – laika patēriņš, kas nepieciešams, lai sagatavotu informāciju, kuras sniegšanu paredz projekts, nosaka konkrētās augstskolas, koledžas vai studiju virziena apjoms, ko studiju virziena gadījumā var izteikt kā studiju programmu skaitu un dokumentācijas sagatavotāja pieredze. Laika patēriņš ir individuāls un mainīgs lielums, kuru nav iespējams precīzi konstatēt, jo ikviena augstskola, koledža un studiju virziens ir individuāls un tās dokumentācijas izstrādei un sagatavošanai patērētais laiks var būtiski atšķirties. </w:t>
            </w:r>
          </w:p>
          <w:p w:rsidR="006D0976"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Līdz ar to rādītāju (f x l) absolūtos skaitļos izteikt nav iespējams.</w:t>
            </w:r>
          </w:p>
          <w:p w:rsidR="00724E49" w:rsidRPr="000A7ABF" w:rsidRDefault="00724E49" w:rsidP="006D0976">
            <w:pPr>
              <w:spacing w:after="0" w:line="240" w:lineRule="auto"/>
              <w:jc w:val="both"/>
              <w:rPr>
                <w:rFonts w:ascii="Times New Roman" w:hAnsi="Times New Roman"/>
                <w:sz w:val="24"/>
                <w:szCs w:val="24"/>
              </w:rPr>
            </w:pPr>
            <w:r>
              <w:rPr>
                <w:rFonts w:ascii="Times New Roman" w:hAnsi="Times New Roman"/>
                <w:sz w:val="24"/>
                <w:szCs w:val="24"/>
              </w:rPr>
              <w:t>Indikatīvi var pieņemt, ka studiju virzienam ar vienu profesionālā bakalaura studiju programmu, kuras apjoms ir 160 kredītpunkti, pašnovērtējuma ziņojuma apjoms ir 600 lpp.</w:t>
            </w:r>
            <w:r w:rsidR="00590C9D">
              <w:rPr>
                <w:rFonts w:ascii="Times New Roman" w:hAnsi="Times New Roman"/>
                <w:sz w:val="24"/>
                <w:szCs w:val="24"/>
              </w:rPr>
              <w:t xml:space="preserve"> tiek pieņemts,</w:t>
            </w:r>
            <w:r w:rsidR="00D30061">
              <w:rPr>
                <w:rFonts w:ascii="Times New Roman" w:hAnsi="Times New Roman"/>
                <w:sz w:val="24"/>
                <w:szCs w:val="24"/>
              </w:rPr>
              <w:t xml:space="preserve"> </w:t>
            </w:r>
            <w:r w:rsidR="00590C9D">
              <w:rPr>
                <w:rFonts w:ascii="Times New Roman" w:hAnsi="Times New Roman"/>
                <w:sz w:val="24"/>
                <w:szCs w:val="24"/>
              </w:rPr>
              <w:t>ka vidēji 2 lpp. teksta sagat</w:t>
            </w:r>
            <w:r w:rsidR="00C40265">
              <w:rPr>
                <w:rFonts w:ascii="Times New Roman" w:hAnsi="Times New Roman"/>
                <w:sz w:val="24"/>
                <w:szCs w:val="24"/>
              </w:rPr>
              <w:t>a</w:t>
            </w:r>
            <w:r w:rsidR="00590C9D">
              <w:rPr>
                <w:rFonts w:ascii="Times New Roman" w:hAnsi="Times New Roman"/>
                <w:sz w:val="24"/>
                <w:szCs w:val="24"/>
              </w:rPr>
              <w:t>vošanai ir nepieciešama 1 stunda darba laika</w:t>
            </w:r>
            <w:r w:rsidR="00D30061">
              <w:rPr>
                <w:rFonts w:ascii="Times New Roman" w:hAnsi="Times New Roman"/>
                <w:sz w:val="24"/>
                <w:szCs w:val="24"/>
              </w:rPr>
              <w:t>.</w:t>
            </w:r>
          </w:p>
          <w:p w:rsidR="00724E49" w:rsidRPr="000A7ABF" w:rsidRDefault="006D0976" w:rsidP="006D0976">
            <w:pPr>
              <w:spacing w:after="0" w:line="240" w:lineRule="auto"/>
              <w:jc w:val="both"/>
              <w:rPr>
                <w:rFonts w:ascii="Times New Roman" w:hAnsi="Times New Roman"/>
                <w:sz w:val="24"/>
                <w:szCs w:val="24"/>
              </w:rPr>
            </w:pPr>
            <w:r w:rsidRPr="000A7ABF">
              <w:rPr>
                <w:rFonts w:ascii="Times New Roman" w:hAnsi="Times New Roman"/>
                <w:sz w:val="24"/>
                <w:szCs w:val="24"/>
              </w:rPr>
              <w:t>n – subjektu skaits, uz ko attiecas projektā paredzētās informācijas sniegšanas prasības, ir</w:t>
            </w:r>
            <w:r w:rsidR="00646759">
              <w:rPr>
                <w:rFonts w:ascii="Times New Roman" w:hAnsi="Times New Roman"/>
                <w:sz w:val="24"/>
                <w:szCs w:val="24"/>
              </w:rPr>
              <w:t xml:space="preserve"> augstskolu un koledžu</w:t>
            </w:r>
            <w:r w:rsidR="00F36C6F">
              <w:rPr>
                <w:rFonts w:ascii="Times New Roman" w:hAnsi="Times New Roman"/>
                <w:sz w:val="24"/>
                <w:szCs w:val="24"/>
              </w:rPr>
              <w:t xml:space="preserve"> kopskaits, kas uz šo brīdi ir 57.</w:t>
            </w:r>
            <w:r w:rsidR="00724E49">
              <w:rPr>
                <w:rFonts w:ascii="Times New Roman" w:hAnsi="Times New Roman"/>
                <w:sz w:val="24"/>
                <w:szCs w:val="24"/>
              </w:rPr>
              <w:t>.</w:t>
            </w:r>
          </w:p>
          <w:p w:rsidR="00CD1902" w:rsidRDefault="006D0976" w:rsidP="006D0976">
            <w:pPr>
              <w:spacing w:after="0" w:line="240" w:lineRule="auto"/>
              <w:rPr>
                <w:rFonts w:ascii="Times New Roman" w:hAnsi="Times New Roman"/>
                <w:sz w:val="24"/>
                <w:szCs w:val="24"/>
              </w:rPr>
            </w:pPr>
            <w:r w:rsidRPr="000A7ABF">
              <w:rPr>
                <w:rFonts w:ascii="Times New Roman" w:hAnsi="Times New Roman"/>
                <w:sz w:val="24"/>
                <w:szCs w:val="24"/>
              </w:rPr>
              <w:t>b – lēmums par augstskolas vai koledžas akreditāciju var būt akreditāciju atteikt vai akreditēt uz nenoteiktu laiku, savukārt studiju virziena gadījumā lēmums var būt akreditāciju atteikt, studiju virzienu akreditēt uz diviem gadiem vai uz sešiem gadiem. Līdz ar to nav viena noteikta, visiem gadījumiem piemērojama rādītāja.</w:t>
            </w:r>
          </w:p>
          <w:p w:rsidR="00724E49" w:rsidRDefault="00724E49" w:rsidP="006D0976">
            <w:pPr>
              <w:spacing w:after="0" w:line="240" w:lineRule="auto"/>
              <w:rPr>
                <w:rFonts w:ascii="Times New Roman" w:hAnsi="Times New Roman"/>
                <w:sz w:val="24"/>
                <w:szCs w:val="24"/>
              </w:rPr>
            </w:pPr>
            <w:r>
              <w:rPr>
                <w:rFonts w:ascii="Times New Roman" w:hAnsi="Times New Roman"/>
                <w:sz w:val="24"/>
                <w:szCs w:val="24"/>
              </w:rPr>
              <w:t>Indikatīvi pieņemts, ka akreditācijas laiks ir maksimālais termiņ</w:t>
            </w:r>
            <w:r w:rsidR="004A5403">
              <w:rPr>
                <w:rFonts w:ascii="Times New Roman" w:hAnsi="Times New Roman"/>
                <w:sz w:val="24"/>
                <w:szCs w:val="24"/>
              </w:rPr>
              <w:t xml:space="preserve">š 6 gadi, kas veido administratīvās izmaksas 1/6 </w:t>
            </w:r>
            <w:r w:rsidR="005E6A72">
              <w:rPr>
                <w:rFonts w:ascii="Times New Roman" w:hAnsi="Times New Roman"/>
                <w:sz w:val="24"/>
                <w:szCs w:val="24"/>
              </w:rPr>
              <w:t>/</w:t>
            </w:r>
            <w:r w:rsidR="004A5403">
              <w:rPr>
                <w:rFonts w:ascii="Times New Roman" w:hAnsi="Times New Roman"/>
                <w:sz w:val="24"/>
                <w:szCs w:val="24"/>
              </w:rPr>
              <w:t>gadā.</w:t>
            </w:r>
          </w:p>
          <w:p w:rsidR="00C40265" w:rsidRPr="00D30061" w:rsidRDefault="00C40265" w:rsidP="006D0976">
            <w:pPr>
              <w:spacing w:after="0" w:line="240" w:lineRule="auto"/>
              <w:rPr>
                <w:rFonts w:ascii="Times New Roman" w:hAnsi="Times New Roman"/>
                <w:i/>
                <w:sz w:val="24"/>
                <w:szCs w:val="24"/>
              </w:rPr>
            </w:pPr>
            <w:r>
              <w:rPr>
                <w:rFonts w:ascii="Times New Roman" w:hAnsi="Times New Roman"/>
                <w:sz w:val="24"/>
                <w:szCs w:val="24"/>
              </w:rPr>
              <w:t xml:space="preserve">Līdz ar to </w:t>
            </w:r>
            <w:r w:rsidRPr="000A7ABF">
              <w:rPr>
                <w:rFonts w:ascii="Times New Roman" w:hAnsi="Times New Roman"/>
                <w:sz w:val="24"/>
                <w:szCs w:val="24"/>
              </w:rPr>
              <w:t>C = (f x l) x (n x b)</w:t>
            </w:r>
            <w:r>
              <w:rPr>
                <w:rFonts w:ascii="Times New Roman" w:hAnsi="Times New Roman"/>
                <w:sz w:val="24"/>
                <w:szCs w:val="24"/>
              </w:rPr>
              <w:t>= (5,08 x 600/2) x (</w:t>
            </w:r>
            <w:r w:rsidR="00F36C6F">
              <w:rPr>
                <w:rFonts w:ascii="Times New Roman" w:hAnsi="Times New Roman"/>
                <w:sz w:val="24"/>
                <w:szCs w:val="24"/>
              </w:rPr>
              <w:t>57</w:t>
            </w:r>
            <w:r>
              <w:rPr>
                <w:rFonts w:ascii="Times New Roman" w:hAnsi="Times New Roman"/>
                <w:sz w:val="24"/>
                <w:szCs w:val="24"/>
              </w:rPr>
              <w:t xml:space="preserve"> x 1/6) = </w:t>
            </w:r>
            <w:r w:rsidR="00887FB4">
              <w:rPr>
                <w:rFonts w:ascii="Times New Roman" w:hAnsi="Times New Roman"/>
                <w:sz w:val="24"/>
                <w:szCs w:val="24"/>
              </w:rPr>
              <w:t>14 478</w:t>
            </w:r>
            <w:r>
              <w:rPr>
                <w:rFonts w:ascii="Times New Roman" w:hAnsi="Times New Roman"/>
                <w:sz w:val="24"/>
                <w:szCs w:val="24"/>
              </w:rPr>
              <w:t xml:space="preserve"> </w:t>
            </w:r>
            <w:proofErr w:type="spellStart"/>
            <w:r>
              <w:rPr>
                <w:rFonts w:ascii="Times New Roman" w:hAnsi="Times New Roman"/>
                <w:i/>
                <w:sz w:val="24"/>
                <w:szCs w:val="24"/>
              </w:rPr>
              <w:t>euro</w:t>
            </w:r>
            <w:proofErr w:type="spellEnd"/>
            <w:r>
              <w:rPr>
                <w:rFonts w:ascii="Times New Roman" w:hAnsi="Times New Roman"/>
                <w:i/>
                <w:sz w:val="24"/>
                <w:szCs w:val="24"/>
              </w:rPr>
              <w:t>.</w:t>
            </w:r>
          </w:p>
          <w:p w:rsidR="00F51029" w:rsidRDefault="00F51029" w:rsidP="006D0976">
            <w:pPr>
              <w:spacing w:after="0" w:line="240" w:lineRule="auto"/>
              <w:rPr>
                <w:rFonts w:ascii="Times New Roman" w:hAnsi="Times New Roman"/>
                <w:sz w:val="24"/>
                <w:szCs w:val="24"/>
              </w:rPr>
            </w:pPr>
          </w:p>
          <w:p w:rsidR="00F51029" w:rsidRDefault="00F51029" w:rsidP="00F51029">
            <w:pPr>
              <w:rPr>
                <w:rFonts w:eastAsia="Times New Roman"/>
                <w:spacing w:val="-4"/>
                <w:sz w:val="24"/>
                <w:szCs w:val="24"/>
                <w:lang w:eastAsia="lv-LV"/>
              </w:rPr>
            </w:pPr>
            <w:r w:rsidRPr="00D30061">
              <w:rPr>
                <w:rFonts w:ascii="Times New Roman" w:eastAsia="Times New Roman" w:hAnsi="Times New Roman"/>
                <w:spacing w:val="-4"/>
                <w:sz w:val="24"/>
                <w:szCs w:val="24"/>
                <w:lang w:eastAsia="lv-LV"/>
              </w:rPr>
              <w:t>Projekts paredz pašnovērtējuma ziņojuma izstrādi, tā izmaiņu ikgadēju apstiprināšanu augstskolas senātā vai koledžas padomē un publicēšanu tīmekļa vietnē.</w:t>
            </w:r>
          </w:p>
          <w:p w:rsidR="00F51029" w:rsidRPr="00D30061" w:rsidRDefault="00F51029" w:rsidP="00F51029">
            <w:pPr>
              <w:rPr>
                <w:rFonts w:ascii="Times New Roman" w:eastAsia="Times New Roman" w:hAnsi="Times New Roman"/>
                <w:spacing w:val="-4"/>
                <w:sz w:val="24"/>
                <w:szCs w:val="24"/>
                <w:lang w:eastAsia="lv-LV"/>
              </w:rPr>
            </w:pPr>
            <w:r w:rsidRPr="00D30061">
              <w:rPr>
                <w:rFonts w:ascii="Times New Roman" w:eastAsia="Times New Roman" w:hAnsi="Times New Roman"/>
                <w:spacing w:val="-4"/>
                <w:sz w:val="24"/>
                <w:szCs w:val="24"/>
                <w:u w:val="single"/>
                <w:lang w:eastAsia="lv-LV"/>
              </w:rPr>
              <w:t>Otrās datu prasības</w:t>
            </w:r>
            <w:r w:rsidRPr="00D30061">
              <w:rPr>
                <w:rFonts w:ascii="Times New Roman" w:eastAsia="Times New Roman" w:hAnsi="Times New Roman"/>
                <w:spacing w:val="-4"/>
                <w:sz w:val="24"/>
                <w:szCs w:val="24"/>
                <w:lang w:eastAsia="lv-LV"/>
              </w:rPr>
              <w:t xml:space="preserve"> (pašnovērtējuma ziņojuma izmaiņu iesniegšana apstiprināšanai augstskolas senātā vai koledžas padomē iesniegšana) vērtība atbilstoši formulai:</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w:t>
            </w: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 (</w:t>
            </w: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w:t>
            </w:r>
            <w:r w:rsidR="00887FB4" w:rsidRPr="00887FB4">
              <w:rPr>
                <w:rFonts w:ascii="Times New Roman" w:eastAsia="Times New Roman" w:hAnsi="Times New Roman"/>
                <w:spacing w:val="-4"/>
                <w:sz w:val="24"/>
                <w:szCs w:val="24"/>
                <w:lang w:eastAsia="lv-LV"/>
              </w:rPr>
              <w:t xml:space="preserve">(5,08x0,08) x (57x1) = 23,2 </w:t>
            </w:r>
            <w:proofErr w:type="spellStart"/>
            <w:r w:rsidR="00887FB4" w:rsidRPr="00887FB4">
              <w:rPr>
                <w:rFonts w:ascii="Times New Roman" w:eastAsia="Times New Roman" w:hAnsi="Times New Roman"/>
                <w:spacing w:val="-4"/>
                <w:sz w:val="24"/>
                <w:szCs w:val="24"/>
                <w:lang w:eastAsia="lv-LV"/>
              </w:rPr>
              <w:t>euro</w:t>
            </w:r>
            <w:proofErr w:type="spellEnd"/>
            <w:r w:rsidRPr="00784C5F">
              <w:rPr>
                <w:rFonts w:ascii="Times New Roman" w:eastAsia="Times New Roman" w:hAnsi="Times New Roman"/>
                <w:spacing w:val="-4"/>
                <w:sz w:val="24"/>
                <w:szCs w:val="24"/>
                <w:lang w:eastAsia="lv-LV"/>
              </w:rPr>
              <w:t>, kur</w:t>
            </w:r>
          </w:p>
          <w:p w:rsidR="00F51029" w:rsidRPr="00784C5F" w:rsidRDefault="00F51029" w:rsidP="00F51029">
            <w:pPr>
              <w:rPr>
                <w:rFonts w:ascii="Times New Roman" w:hAnsi="Times New Roman"/>
                <w:sz w:val="24"/>
                <w:szCs w:val="24"/>
              </w:rPr>
            </w:pP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 par pamatu ņemts pieņēmums, ka šo darbu veiks </w:t>
            </w:r>
            <w:r w:rsidRPr="00784C5F">
              <w:rPr>
                <w:rFonts w:ascii="Times New Roman" w:hAnsi="Times New Roman"/>
                <w:sz w:val="24"/>
                <w:szCs w:val="24"/>
              </w:rPr>
              <w:t xml:space="preserve">darbinieki ar mēneša vidējo darba samaksu, kas 2014.gadā Latvijā bija 813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 xml:space="preserve">/mēnesī, kam atbilst stundas samaksas likme 5,08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lastRenderedPageBreak/>
              <w:t>laiks</w:t>
            </w:r>
            <w:r w:rsidRPr="00784C5F">
              <w:rPr>
                <w:rFonts w:ascii="Times New Roman" w:eastAsia="Times New Roman" w:hAnsi="Times New Roman"/>
                <w:spacing w:val="-4"/>
                <w:sz w:val="24"/>
                <w:szCs w:val="24"/>
                <w:lang w:eastAsia="lv-LV"/>
              </w:rPr>
              <w:t xml:space="preserve"> – pašnovērtējuma ziņojuma iesniegšana apstiprināšanai patērētais laiks stundās;</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 augstskolu un koledžu skaits ir </w:t>
            </w:r>
            <w:r w:rsidR="00887FB4">
              <w:rPr>
                <w:rFonts w:ascii="Times New Roman" w:eastAsia="Times New Roman" w:hAnsi="Times New Roman"/>
                <w:spacing w:val="-4"/>
                <w:sz w:val="24"/>
                <w:szCs w:val="24"/>
                <w:lang w:eastAsia="lv-LV"/>
              </w:rPr>
              <w:t>57</w:t>
            </w:r>
            <w:r w:rsidRPr="00784C5F">
              <w:rPr>
                <w:rFonts w:ascii="Times New Roman" w:eastAsia="Times New Roman" w:hAnsi="Times New Roman"/>
                <w:spacing w:val="-4"/>
                <w:sz w:val="24"/>
                <w:szCs w:val="24"/>
                <w:lang w:eastAsia="lv-LV"/>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šīs datu prasības kontekstā ir 1.</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 xml:space="preserve">Papildus instrukcijas projekts paredz </w:t>
            </w:r>
            <w:r w:rsidRPr="00784C5F">
              <w:rPr>
                <w:rFonts w:ascii="Times New Roman" w:eastAsia="Times New Roman" w:hAnsi="Times New Roman"/>
                <w:spacing w:val="-4"/>
                <w:sz w:val="24"/>
                <w:szCs w:val="24"/>
                <w:u w:val="single"/>
                <w:lang w:eastAsia="lv-LV"/>
              </w:rPr>
              <w:t>trešo datu prasību</w:t>
            </w:r>
            <w:r w:rsidRPr="00784C5F">
              <w:rPr>
                <w:rFonts w:ascii="Times New Roman" w:eastAsia="Times New Roman" w:hAnsi="Times New Roman"/>
                <w:spacing w:val="-4"/>
                <w:sz w:val="24"/>
                <w:szCs w:val="24"/>
                <w:lang w:eastAsia="lv-LV"/>
              </w:rPr>
              <w:t> – pašnovērtējuma ziņojuma ievietošanu institūcijas mājaslapā, kuras vērtība atbilstoši formulai ir:</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w:t>
            </w: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 (</w:t>
            </w: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x </w:t>
            </w: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w:t>
            </w:r>
            <w:r w:rsidR="00887FB4">
              <w:rPr>
                <w:rFonts w:ascii="Times New Roman" w:hAnsi="Times New Roman"/>
                <w:sz w:val="24"/>
                <w:szCs w:val="24"/>
              </w:rPr>
              <w:t xml:space="preserve">(5,08x0,08) x (57x1) = 23,2 </w:t>
            </w:r>
            <w:proofErr w:type="spellStart"/>
            <w:r w:rsidR="00887FB4">
              <w:rPr>
                <w:rFonts w:ascii="Times New Roman" w:hAnsi="Times New Roman"/>
                <w:sz w:val="24"/>
                <w:szCs w:val="24"/>
              </w:rPr>
              <w:t>euro</w:t>
            </w:r>
            <w:proofErr w:type="spellEnd"/>
            <w:r w:rsidRPr="00784C5F">
              <w:rPr>
                <w:rFonts w:ascii="Times New Roman" w:eastAsia="Times New Roman" w:hAnsi="Times New Roman"/>
                <w:spacing w:val="-4"/>
                <w:sz w:val="24"/>
                <w:szCs w:val="24"/>
                <w:lang w:eastAsia="lv-LV"/>
              </w:rPr>
              <w:t>, kur</w:t>
            </w:r>
          </w:p>
          <w:p w:rsidR="00F51029" w:rsidRPr="00784C5F" w:rsidRDefault="00F51029" w:rsidP="00F51029">
            <w:pPr>
              <w:rPr>
                <w:rFonts w:ascii="Times New Roman" w:hAnsi="Times New Roman"/>
                <w:sz w:val="24"/>
                <w:szCs w:val="24"/>
              </w:rPr>
            </w:pPr>
            <w:r w:rsidRPr="00784C5F">
              <w:rPr>
                <w:rFonts w:ascii="Times New Roman" w:eastAsia="Times New Roman" w:hAnsi="Times New Roman"/>
                <w:i/>
                <w:spacing w:val="-4"/>
                <w:sz w:val="24"/>
                <w:szCs w:val="24"/>
                <w:lang w:eastAsia="lv-LV"/>
              </w:rPr>
              <w:t>samaksa</w:t>
            </w:r>
            <w:r w:rsidRPr="00784C5F">
              <w:rPr>
                <w:rFonts w:ascii="Times New Roman" w:eastAsia="Times New Roman" w:hAnsi="Times New Roman"/>
                <w:spacing w:val="-4"/>
                <w:sz w:val="24"/>
                <w:szCs w:val="24"/>
                <w:lang w:eastAsia="lv-LV"/>
              </w:rPr>
              <w:t xml:space="preserve"> – par pamatu ņemts pieņēmums, ka šo darbu veiks </w:t>
            </w:r>
            <w:r w:rsidRPr="00784C5F">
              <w:rPr>
                <w:rFonts w:ascii="Times New Roman" w:hAnsi="Times New Roman"/>
                <w:sz w:val="24"/>
                <w:szCs w:val="24"/>
              </w:rPr>
              <w:t xml:space="preserve">darbinieki ar mēneša vidējo darba samaksu, kas 2014.gadā Latvijā bija 813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 xml:space="preserve">/mēnesī, kam atbilst stundas samaksas likme 5,08 </w:t>
            </w:r>
            <w:proofErr w:type="spellStart"/>
            <w:r w:rsidRPr="00784C5F">
              <w:rPr>
                <w:rFonts w:ascii="Times New Roman" w:hAnsi="Times New Roman"/>
                <w:i/>
                <w:sz w:val="24"/>
                <w:szCs w:val="24"/>
              </w:rPr>
              <w:t>euro</w:t>
            </w:r>
            <w:proofErr w:type="spellEnd"/>
            <w:r w:rsidRPr="00784C5F">
              <w:rPr>
                <w:rFonts w:ascii="Times New Roman" w:hAnsi="Times New Roman"/>
                <w:sz w:val="24"/>
                <w:szCs w:val="24"/>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laiks</w:t>
            </w:r>
            <w:r w:rsidRPr="00784C5F">
              <w:rPr>
                <w:rFonts w:ascii="Times New Roman" w:eastAsia="Times New Roman" w:hAnsi="Times New Roman"/>
                <w:spacing w:val="-4"/>
                <w:sz w:val="24"/>
                <w:szCs w:val="24"/>
                <w:lang w:eastAsia="lv-LV"/>
              </w:rPr>
              <w:t xml:space="preserve"> – patērētais laiks stundās pašnovērtējuma ziņojuma ievietošanai institūcijas mājaslapā;</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n</w:t>
            </w:r>
            <w:r w:rsidRPr="00784C5F">
              <w:rPr>
                <w:rFonts w:ascii="Times New Roman" w:eastAsia="Times New Roman" w:hAnsi="Times New Roman"/>
                <w:spacing w:val="-4"/>
                <w:sz w:val="24"/>
                <w:szCs w:val="24"/>
                <w:lang w:eastAsia="lv-LV"/>
              </w:rPr>
              <w:t xml:space="preserve"> – augstskolu un koledžu skaits ir </w:t>
            </w:r>
            <w:r w:rsidR="00887FB4">
              <w:rPr>
                <w:rFonts w:ascii="Times New Roman" w:eastAsia="Times New Roman" w:hAnsi="Times New Roman"/>
                <w:spacing w:val="-4"/>
                <w:sz w:val="24"/>
                <w:szCs w:val="24"/>
                <w:lang w:eastAsia="lv-LV"/>
              </w:rPr>
              <w:t>57</w:t>
            </w:r>
            <w:r w:rsidRPr="00784C5F">
              <w:rPr>
                <w:rFonts w:ascii="Times New Roman" w:eastAsia="Times New Roman" w:hAnsi="Times New Roman"/>
                <w:spacing w:val="-4"/>
                <w:sz w:val="24"/>
                <w:szCs w:val="24"/>
                <w:lang w:eastAsia="lv-LV"/>
              </w:rPr>
              <w:t>;</w:t>
            </w:r>
          </w:p>
          <w:p w:rsidR="00F51029" w:rsidRPr="00784C5F" w:rsidRDefault="00F51029" w:rsidP="00F51029">
            <w:pPr>
              <w:rPr>
                <w:rFonts w:ascii="Times New Roman" w:eastAsia="Times New Roman" w:hAnsi="Times New Roman"/>
                <w:spacing w:val="-4"/>
                <w:sz w:val="24"/>
                <w:szCs w:val="24"/>
                <w:lang w:eastAsia="lv-LV"/>
              </w:rPr>
            </w:pPr>
            <w:r w:rsidRPr="00784C5F">
              <w:rPr>
                <w:rFonts w:ascii="Times New Roman" w:eastAsia="Times New Roman" w:hAnsi="Times New Roman"/>
                <w:i/>
                <w:spacing w:val="-4"/>
                <w:sz w:val="24"/>
                <w:szCs w:val="24"/>
                <w:lang w:eastAsia="lv-LV"/>
              </w:rPr>
              <w:t>biežums</w:t>
            </w:r>
            <w:r w:rsidRPr="00784C5F">
              <w:rPr>
                <w:rFonts w:ascii="Times New Roman" w:eastAsia="Times New Roman" w:hAnsi="Times New Roman"/>
                <w:spacing w:val="-4"/>
                <w:sz w:val="24"/>
                <w:szCs w:val="24"/>
                <w:lang w:eastAsia="lv-LV"/>
              </w:rPr>
              <w:t xml:space="preserve"> – informācijas sniegšanas biežums šīs datu prasības kontekstā ir 1.Ņemot vērā, ka pašnovērtējuma ziņojumi tiek izstrādāti parasti</w:t>
            </w:r>
            <w:r w:rsidRPr="00784C5F">
              <w:rPr>
                <w:rFonts w:ascii="Times New Roman" w:eastAsia="Times New Roman" w:hAnsi="Times New Roman"/>
                <w:b/>
                <w:spacing w:val="-4"/>
                <w:sz w:val="24"/>
                <w:szCs w:val="24"/>
                <w:lang w:eastAsia="lv-LV"/>
              </w:rPr>
              <w:t xml:space="preserve"> </w:t>
            </w:r>
            <w:r w:rsidRPr="00784C5F">
              <w:rPr>
                <w:rFonts w:ascii="Times New Roman" w:eastAsia="Times New Roman" w:hAnsi="Times New Roman"/>
                <w:spacing w:val="-4"/>
                <w:sz w:val="24"/>
                <w:szCs w:val="24"/>
                <w:u w:val="single"/>
                <w:lang w:eastAsia="lv-LV"/>
              </w:rPr>
              <w:t>sešu gadu periodam</w:t>
            </w:r>
            <w:r w:rsidRPr="00784C5F">
              <w:rPr>
                <w:rFonts w:ascii="Times New Roman" w:eastAsia="Times New Roman" w:hAnsi="Times New Roman"/>
                <w:spacing w:val="-4"/>
                <w:sz w:val="24"/>
                <w:szCs w:val="24"/>
                <w:lang w:eastAsia="lv-LV"/>
              </w:rPr>
              <w:t>,</w:t>
            </w:r>
            <w:r w:rsidRPr="00784C5F">
              <w:rPr>
                <w:rFonts w:ascii="Times New Roman" w:eastAsia="Times New Roman" w:hAnsi="Times New Roman"/>
                <w:b/>
                <w:spacing w:val="-4"/>
                <w:sz w:val="24"/>
                <w:szCs w:val="24"/>
                <w:lang w:eastAsia="lv-LV"/>
              </w:rPr>
              <w:t xml:space="preserve"> aptuvenas kopējās administratīvās izmaksas</w:t>
            </w:r>
            <w:r w:rsidR="00887FB4">
              <w:rPr>
                <w:rFonts w:ascii="Times New Roman" w:eastAsia="Times New Roman" w:hAnsi="Times New Roman"/>
                <w:b/>
                <w:spacing w:val="-4"/>
                <w:sz w:val="24"/>
                <w:szCs w:val="24"/>
                <w:lang w:eastAsia="lv-LV"/>
              </w:rPr>
              <w:t xml:space="preserve"> 57 augstskolām un koledžām</w:t>
            </w:r>
            <w:r w:rsidRPr="00784C5F">
              <w:rPr>
                <w:rFonts w:ascii="Times New Roman" w:eastAsia="Times New Roman" w:hAnsi="Times New Roman"/>
                <w:b/>
                <w:spacing w:val="-4"/>
                <w:sz w:val="24"/>
                <w:szCs w:val="24"/>
                <w:lang w:eastAsia="lv-LV"/>
              </w:rPr>
              <w:t xml:space="preserve"> viena studiju virziena pašnovērtējuma ziņojuma</w:t>
            </w:r>
            <w:r w:rsidR="00887FB4">
              <w:rPr>
                <w:rFonts w:ascii="Times New Roman" w:eastAsia="Times New Roman" w:hAnsi="Times New Roman"/>
                <w:b/>
                <w:spacing w:val="-4"/>
                <w:sz w:val="24"/>
                <w:szCs w:val="24"/>
                <w:lang w:eastAsia="lv-LV"/>
              </w:rPr>
              <w:t xml:space="preserve"> gadījumā</w:t>
            </w:r>
            <w:r w:rsidRPr="00784C5F">
              <w:rPr>
                <w:rFonts w:ascii="Times New Roman" w:eastAsia="Times New Roman" w:hAnsi="Times New Roman"/>
                <w:spacing w:val="-4"/>
                <w:sz w:val="24"/>
                <w:szCs w:val="24"/>
                <w:lang w:eastAsia="lv-LV"/>
              </w:rPr>
              <w:t>, kuras rada no projekta izrietošās trīs datu prasības:</w:t>
            </w:r>
          </w:p>
          <w:p w:rsidR="00F51029" w:rsidRDefault="00F51029" w:rsidP="00F51029">
            <w:pPr>
              <w:rPr>
                <w:rFonts w:ascii="Times New Roman" w:eastAsia="Times New Roman" w:hAnsi="Times New Roman"/>
                <w:b/>
                <w:spacing w:val="-4"/>
                <w:sz w:val="24"/>
                <w:szCs w:val="24"/>
                <w:lang w:eastAsia="lv-LV"/>
              </w:rPr>
            </w:pPr>
            <w:r w:rsidRPr="00784C5F">
              <w:rPr>
                <w:rFonts w:ascii="Times New Roman" w:eastAsia="Times New Roman" w:hAnsi="Times New Roman"/>
                <w:spacing w:val="-4"/>
                <w:sz w:val="24"/>
                <w:szCs w:val="24"/>
                <w:lang w:eastAsia="lv-LV"/>
              </w:rPr>
              <w:t>(</w:t>
            </w:r>
            <w:r w:rsidR="00887FB4">
              <w:rPr>
                <w:rFonts w:ascii="Times New Roman" w:eastAsia="Times New Roman" w:hAnsi="Times New Roman"/>
                <w:spacing w:val="-4"/>
                <w:sz w:val="24"/>
                <w:szCs w:val="24"/>
                <w:lang w:eastAsia="lv-LV"/>
              </w:rPr>
              <w:t>14 478</w:t>
            </w:r>
            <w:r w:rsidRPr="00784C5F">
              <w:rPr>
                <w:rFonts w:ascii="Times New Roman" w:eastAsia="Times New Roman" w:hAnsi="Times New Roman"/>
                <w:i/>
                <w:spacing w:val="-4"/>
                <w:sz w:val="24"/>
                <w:szCs w:val="24"/>
                <w:lang w:eastAsia="lv-LV"/>
              </w:rPr>
              <w:t>euro</w:t>
            </w:r>
            <w:r w:rsidRPr="00784C5F">
              <w:rPr>
                <w:rFonts w:ascii="Times New Roman" w:eastAsia="Times New Roman" w:hAnsi="Times New Roman"/>
                <w:spacing w:val="-4"/>
                <w:sz w:val="24"/>
                <w:szCs w:val="24"/>
                <w:lang w:eastAsia="lv-LV"/>
              </w:rPr>
              <w:t xml:space="preserve"> + </w:t>
            </w:r>
            <w:r w:rsidR="00887FB4">
              <w:rPr>
                <w:rFonts w:ascii="Times New Roman" w:eastAsia="Times New Roman" w:hAnsi="Times New Roman"/>
                <w:spacing w:val="-4"/>
                <w:sz w:val="24"/>
                <w:szCs w:val="24"/>
                <w:lang w:eastAsia="lv-LV"/>
              </w:rPr>
              <w:t>23,2</w:t>
            </w:r>
            <w:r w:rsidRPr="00784C5F">
              <w:rPr>
                <w:rFonts w:ascii="Times New Roman" w:eastAsia="Times New Roman" w:hAnsi="Times New Roman"/>
                <w:spacing w:val="-4"/>
                <w:sz w:val="24"/>
                <w:szCs w:val="24"/>
                <w:lang w:eastAsia="lv-LV"/>
              </w:rPr>
              <w:t xml:space="preserve"> </w:t>
            </w:r>
            <w:proofErr w:type="spellStart"/>
            <w:r w:rsidRPr="00784C5F">
              <w:rPr>
                <w:rFonts w:ascii="Times New Roman" w:eastAsia="Times New Roman" w:hAnsi="Times New Roman"/>
                <w:i/>
                <w:spacing w:val="-4"/>
                <w:sz w:val="24"/>
                <w:szCs w:val="24"/>
                <w:lang w:eastAsia="lv-LV"/>
              </w:rPr>
              <w:t>euro</w:t>
            </w:r>
            <w:proofErr w:type="spellEnd"/>
            <w:r w:rsidRPr="00784C5F">
              <w:rPr>
                <w:rFonts w:ascii="Times New Roman" w:eastAsia="Times New Roman" w:hAnsi="Times New Roman"/>
                <w:spacing w:val="-4"/>
                <w:sz w:val="24"/>
                <w:szCs w:val="24"/>
                <w:lang w:eastAsia="lv-LV"/>
              </w:rPr>
              <w:t xml:space="preserve"> + </w:t>
            </w:r>
            <w:r w:rsidR="00887FB4">
              <w:rPr>
                <w:rFonts w:ascii="Times New Roman" w:eastAsia="Times New Roman" w:hAnsi="Times New Roman"/>
                <w:spacing w:val="-4"/>
                <w:sz w:val="24"/>
                <w:szCs w:val="24"/>
                <w:lang w:eastAsia="lv-LV"/>
              </w:rPr>
              <w:t>23,2</w:t>
            </w:r>
            <w:r w:rsidRPr="00784C5F">
              <w:rPr>
                <w:rFonts w:ascii="Times New Roman" w:eastAsia="Times New Roman" w:hAnsi="Times New Roman"/>
                <w:spacing w:val="-4"/>
                <w:sz w:val="24"/>
                <w:szCs w:val="24"/>
                <w:lang w:eastAsia="lv-LV"/>
              </w:rPr>
              <w:t xml:space="preserve"> </w:t>
            </w:r>
            <w:proofErr w:type="spellStart"/>
            <w:r w:rsidRPr="00784C5F">
              <w:rPr>
                <w:rFonts w:ascii="Times New Roman" w:eastAsia="Times New Roman" w:hAnsi="Times New Roman"/>
                <w:i/>
                <w:spacing w:val="-4"/>
                <w:sz w:val="24"/>
                <w:szCs w:val="24"/>
                <w:lang w:eastAsia="lv-LV"/>
              </w:rPr>
              <w:t>euro</w:t>
            </w:r>
            <w:proofErr w:type="spellEnd"/>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b/>
                <w:spacing w:val="-4"/>
                <w:sz w:val="24"/>
                <w:szCs w:val="24"/>
                <w:lang w:eastAsia="lv-LV"/>
              </w:rPr>
              <w:t>14 524,4</w:t>
            </w:r>
            <w:r w:rsidRPr="00784C5F">
              <w:rPr>
                <w:rFonts w:ascii="Times New Roman" w:eastAsia="Times New Roman" w:hAnsi="Times New Roman"/>
                <w:b/>
                <w:spacing w:val="-4"/>
                <w:sz w:val="24"/>
                <w:szCs w:val="24"/>
                <w:lang w:eastAsia="lv-LV"/>
              </w:rPr>
              <w:t> </w:t>
            </w:r>
            <w:proofErr w:type="spellStart"/>
            <w:r w:rsidRPr="00784C5F">
              <w:rPr>
                <w:rFonts w:ascii="Times New Roman" w:eastAsia="Times New Roman" w:hAnsi="Times New Roman"/>
                <w:b/>
                <w:i/>
                <w:spacing w:val="-4"/>
                <w:sz w:val="24"/>
                <w:szCs w:val="24"/>
                <w:lang w:eastAsia="lv-LV"/>
              </w:rPr>
              <w:t>euro</w:t>
            </w:r>
            <w:proofErr w:type="spellEnd"/>
            <w:r w:rsidRPr="00784C5F">
              <w:rPr>
                <w:rFonts w:ascii="Times New Roman" w:eastAsia="Times New Roman" w:hAnsi="Times New Roman"/>
                <w:b/>
                <w:spacing w:val="-4"/>
                <w:sz w:val="24"/>
                <w:szCs w:val="24"/>
                <w:lang w:eastAsia="lv-LV"/>
              </w:rPr>
              <w:t xml:space="preserve"> gadā</w:t>
            </w:r>
          </w:p>
          <w:p w:rsidR="00887FB4" w:rsidRPr="00887FB4" w:rsidRDefault="00887FB4" w:rsidP="00F51029">
            <w:pPr>
              <w:rPr>
                <w:rFonts w:ascii="Times New Roman" w:eastAsia="Times New Roman" w:hAnsi="Times New Roman"/>
                <w:i/>
                <w:spacing w:val="-4"/>
                <w:sz w:val="24"/>
                <w:szCs w:val="24"/>
                <w:lang w:eastAsia="lv-LV"/>
              </w:rPr>
            </w:pPr>
            <w:r w:rsidRPr="00887FB4">
              <w:rPr>
                <w:rFonts w:ascii="Times New Roman" w:eastAsia="Times New Roman" w:hAnsi="Times New Roman"/>
                <w:spacing w:val="-4"/>
                <w:sz w:val="24"/>
                <w:szCs w:val="24"/>
                <w:lang w:eastAsia="lv-LV"/>
              </w:rPr>
              <w:t>Savukārt iepriekš pašnovērtējuma ziņojumi bija jāizstrādā ik gadu, līdz ar to tā izstrādes administratīvo izmaksu aprēķinam izmantojama formula: (</w:t>
            </w:r>
            <w:r w:rsidRPr="00887FB4">
              <w:rPr>
                <w:rFonts w:ascii="Times New Roman" w:eastAsia="Times New Roman" w:hAnsi="Times New Roman"/>
                <w:i/>
                <w:spacing w:val="-4"/>
                <w:sz w:val="24"/>
                <w:szCs w:val="24"/>
                <w:lang w:eastAsia="lv-LV"/>
              </w:rPr>
              <w:t xml:space="preserve">samaksa </w:t>
            </w:r>
            <w:r w:rsidRPr="00887FB4">
              <w:rPr>
                <w:rFonts w:ascii="Times New Roman" w:eastAsia="Times New Roman" w:hAnsi="Times New Roman"/>
                <w:spacing w:val="-4"/>
                <w:sz w:val="24"/>
                <w:szCs w:val="24"/>
                <w:lang w:eastAsia="lv-LV"/>
              </w:rPr>
              <w:t xml:space="preserve">x </w:t>
            </w:r>
            <w:r w:rsidRPr="00887FB4">
              <w:rPr>
                <w:rFonts w:ascii="Times New Roman" w:eastAsia="Times New Roman" w:hAnsi="Times New Roman"/>
                <w:i/>
                <w:spacing w:val="-4"/>
                <w:sz w:val="24"/>
                <w:szCs w:val="24"/>
                <w:lang w:eastAsia="lv-LV"/>
              </w:rPr>
              <w:t>laiks</w:t>
            </w:r>
            <w:r w:rsidRPr="00887FB4">
              <w:rPr>
                <w:rFonts w:ascii="Times New Roman" w:eastAsia="Times New Roman" w:hAnsi="Times New Roman"/>
                <w:spacing w:val="-4"/>
                <w:sz w:val="24"/>
                <w:szCs w:val="24"/>
                <w:lang w:eastAsia="lv-LV"/>
              </w:rPr>
              <w:t>) x (</w:t>
            </w:r>
            <w:r w:rsidRPr="00887FB4">
              <w:rPr>
                <w:rFonts w:ascii="Times New Roman" w:eastAsia="Times New Roman" w:hAnsi="Times New Roman"/>
                <w:i/>
                <w:spacing w:val="-4"/>
                <w:sz w:val="24"/>
                <w:szCs w:val="24"/>
                <w:lang w:eastAsia="lv-LV"/>
              </w:rPr>
              <w:t>n</w:t>
            </w:r>
            <w:r w:rsidRPr="00887FB4">
              <w:rPr>
                <w:rFonts w:ascii="Times New Roman" w:eastAsia="Times New Roman" w:hAnsi="Times New Roman"/>
                <w:spacing w:val="-4"/>
                <w:sz w:val="24"/>
                <w:szCs w:val="24"/>
                <w:lang w:eastAsia="lv-LV"/>
              </w:rPr>
              <w:t xml:space="preserve"> x </w:t>
            </w:r>
            <w:r w:rsidRPr="00887FB4">
              <w:rPr>
                <w:rFonts w:ascii="Times New Roman" w:eastAsia="Times New Roman" w:hAnsi="Times New Roman"/>
                <w:i/>
                <w:spacing w:val="-4"/>
                <w:sz w:val="24"/>
                <w:szCs w:val="24"/>
                <w:lang w:eastAsia="lv-LV"/>
              </w:rPr>
              <w:t>biežums</w:t>
            </w:r>
            <w:r w:rsidRPr="00887FB4">
              <w:rPr>
                <w:rFonts w:ascii="Times New Roman" w:eastAsia="Times New Roman" w:hAnsi="Times New Roman"/>
                <w:spacing w:val="-4"/>
                <w:sz w:val="24"/>
                <w:szCs w:val="24"/>
                <w:lang w:eastAsia="lv-LV"/>
              </w:rPr>
              <w:t xml:space="preserve">) = (5,08x600/2) x (57x1) = 86 868 </w:t>
            </w:r>
            <w:proofErr w:type="spellStart"/>
            <w:r w:rsidRPr="00887FB4">
              <w:rPr>
                <w:rFonts w:ascii="Times New Roman" w:eastAsia="Times New Roman" w:hAnsi="Times New Roman"/>
                <w:spacing w:val="-4"/>
                <w:sz w:val="24"/>
                <w:szCs w:val="24"/>
                <w:lang w:eastAsia="lv-LV"/>
              </w:rPr>
              <w:t>euro</w:t>
            </w:r>
            <w:proofErr w:type="spellEnd"/>
            <w:r w:rsidRPr="00887FB4">
              <w:rPr>
                <w:rFonts w:ascii="Times New Roman" w:eastAsia="Times New Roman" w:hAnsi="Times New Roman"/>
                <w:i/>
                <w:spacing w:val="-4"/>
                <w:sz w:val="24"/>
                <w:szCs w:val="24"/>
                <w:lang w:eastAsia="lv-LV"/>
              </w:rPr>
              <w:t>.</w:t>
            </w:r>
          </w:p>
          <w:p w:rsidR="00F51029" w:rsidRPr="004D1320" w:rsidRDefault="00F51029" w:rsidP="004D1320">
            <w:pPr>
              <w:rPr>
                <w:rFonts w:ascii="Times New Roman" w:eastAsia="Times New Roman" w:hAnsi="Times New Roman"/>
                <w:spacing w:val="-4"/>
                <w:sz w:val="24"/>
                <w:szCs w:val="24"/>
                <w:lang w:eastAsia="lv-LV"/>
              </w:rPr>
            </w:pPr>
            <w:r w:rsidRPr="00784C5F">
              <w:rPr>
                <w:rFonts w:ascii="Times New Roman" w:eastAsia="Times New Roman" w:hAnsi="Times New Roman"/>
                <w:spacing w:val="-4"/>
                <w:sz w:val="24"/>
                <w:szCs w:val="24"/>
                <w:lang w:eastAsia="lv-LV"/>
              </w:rPr>
              <w:t xml:space="preserve">Līdz ar to ir izdarāms secinājums, ka šīs kārtības maiņas administratīvo slogu augstskolām un koledžām samazina aptuveni </w:t>
            </w:r>
            <w:r w:rsidR="00AF6C11">
              <w:rPr>
                <w:rFonts w:ascii="Times New Roman" w:eastAsia="Times New Roman" w:hAnsi="Times New Roman"/>
                <w:spacing w:val="-4"/>
                <w:sz w:val="24"/>
                <w:szCs w:val="24"/>
                <w:lang w:eastAsia="lv-LV"/>
              </w:rPr>
              <w:t>5,9</w:t>
            </w:r>
            <w:r w:rsidRPr="00784C5F">
              <w:rPr>
                <w:rFonts w:ascii="Times New Roman" w:eastAsia="Times New Roman" w:hAnsi="Times New Roman"/>
                <w:spacing w:val="-4"/>
                <w:sz w:val="24"/>
                <w:szCs w:val="24"/>
                <w:lang w:eastAsia="lv-LV"/>
              </w:rPr>
              <w:t xml:space="preserve"> reizes: </w:t>
            </w:r>
            <w:r w:rsidR="00AF6C11">
              <w:rPr>
                <w:rFonts w:ascii="Times New Roman" w:eastAsia="Times New Roman" w:hAnsi="Times New Roman"/>
                <w:spacing w:val="-4"/>
                <w:sz w:val="24"/>
                <w:szCs w:val="24"/>
                <w:lang w:eastAsia="lv-LV"/>
              </w:rPr>
              <w:t>86 868</w:t>
            </w:r>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spacing w:val="-4"/>
                <w:sz w:val="24"/>
                <w:szCs w:val="24"/>
                <w:lang w:eastAsia="lv-LV"/>
              </w:rPr>
              <w:t>14 524,4</w:t>
            </w:r>
            <w:r w:rsidRPr="00784C5F">
              <w:rPr>
                <w:rFonts w:ascii="Times New Roman" w:eastAsia="Times New Roman" w:hAnsi="Times New Roman"/>
                <w:spacing w:val="-4"/>
                <w:sz w:val="24"/>
                <w:szCs w:val="24"/>
                <w:lang w:eastAsia="lv-LV"/>
              </w:rPr>
              <w:t xml:space="preserve"> = </w:t>
            </w:r>
            <w:r w:rsidR="00AF6C11">
              <w:rPr>
                <w:rFonts w:ascii="Times New Roman" w:eastAsia="Times New Roman" w:hAnsi="Times New Roman"/>
                <w:spacing w:val="-4"/>
                <w:sz w:val="24"/>
                <w:szCs w:val="24"/>
                <w:lang w:eastAsia="lv-LV"/>
              </w:rPr>
              <w:t>5,98</w:t>
            </w:r>
            <w:r w:rsidRPr="00784C5F">
              <w:rPr>
                <w:rFonts w:ascii="Times New Roman" w:eastAsia="Times New Roman" w:hAnsi="Times New Roman"/>
                <w:spacing w:val="-4"/>
                <w:sz w:val="24"/>
                <w:szCs w:val="24"/>
                <w:lang w:eastAsia="lv-LV"/>
              </w:rPr>
              <w:t>.</w:t>
            </w:r>
          </w:p>
        </w:tc>
      </w:tr>
      <w:tr w:rsidR="000A7ABF" w:rsidRPr="000A7ABF" w:rsidTr="00CD1902">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CD1902" w:rsidRPr="000A7ABF" w:rsidRDefault="00CD1902" w:rsidP="00CD1902">
            <w:pPr>
              <w:spacing w:after="0" w:line="240" w:lineRule="auto"/>
              <w:rPr>
                <w:rFonts w:ascii="Times New Roman" w:hAnsi="Times New Roman"/>
                <w:sz w:val="24"/>
                <w:szCs w:val="24"/>
              </w:rPr>
            </w:pPr>
            <w:r w:rsidRPr="000A7ABF">
              <w:rPr>
                <w:rFonts w:ascii="Times New Roman" w:hAnsi="Times New Roman"/>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CD1902" w:rsidRPr="000A7ABF" w:rsidRDefault="005E14B9" w:rsidP="00CD1902">
            <w:pPr>
              <w:spacing w:after="0" w:line="240" w:lineRule="auto"/>
              <w:rPr>
                <w:rFonts w:ascii="Times New Roman" w:hAnsi="Times New Roman"/>
                <w:sz w:val="24"/>
                <w:szCs w:val="24"/>
              </w:rPr>
            </w:pPr>
            <w:r w:rsidRPr="000A7ABF">
              <w:rPr>
                <w:rFonts w:ascii="Times New Roman" w:hAnsi="Times New Roman"/>
                <w:sz w:val="24"/>
                <w:szCs w:val="24"/>
              </w:rPr>
              <w:t>Nav.</w:t>
            </w:r>
          </w:p>
        </w:tc>
      </w:tr>
    </w:tbl>
    <w:p w:rsidR="00200A9A" w:rsidRDefault="00200A9A"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8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firstRow="0" w:lastRow="0" w:firstColumn="0" w:lastColumn="0" w:noHBand="0" w:noVBand="0"/>
      </w:tblPr>
      <w:tblGrid>
        <w:gridCol w:w="1703"/>
        <w:gridCol w:w="1085"/>
        <w:gridCol w:w="1549"/>
        <w:gridCol w:w="1084"/>
        <w:gridCol w:w="1189"/>
        <w:gridCol w:w="2894"/>
      </w:tblGrid>
      <w:tr w:rsidR="000A7ABF" w:rsidRPr="000A7ABF" w:rsidTr="00CD1CC0">
        <w:trPr>
          <w:trHeight w:val="20"/>
          <w:tblCellSpacing w:w="20" w:type="dxa"/>
          <w:jc w:val="center"/>
        </w:trPr>
        <w:tc>
          <w:tcPr>
            <w:tcW w:w="4959" w:type="pct"/>
            <w:gridSpan w:val="6"/>
            <w:shd w:val="clear" w:color="auto" w:fill="FFFFFF" w:themeFill="background1"/>
          </w:tcPr>
          <w:p w:rsidR="00D9652B" w:rsidRPr="000A7ABF" w:rsidRDefault="00D9652B" w:rsidP="00F36C6F">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III. Tiesību akta projekta ietekme uz valsts budžetu un pašvaldību budžetiem</w:t>
            </w:r>
          </w:p>
        </w:tc>
      </w:tr>
      <w:tr w:rsidR="000A7ABF" w:rsidRPr="000A7ABF" w:rsidTr="003E4A81">
        <w:trPr>
          <w:trHeight w:val="20"/>
          <w:tblCellSpacing w:w="20" w:type="dxa"/>
          <w:jc w:val="center"/>
        </w:trPr>
        <w:tc>
          <w:tcPr>
            <w:tcW w:w="884" w:type="pct"/>
            <w:vMerge w:val="restar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lastRenderedPageBreak/>
              <w:t>Rādītāji</w:t>
            </w:r>
          </w:p>
        </w:tc>
        <w:tc>
          <w:tcPr>
            <w:tcW w:w="1373" w:type="pct"/>
            <w:gridSpan w:val="2"/>
            <w:vMerge w:val="restar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2015. gads</w:t>
            </w:r>
          </w:p>
        </w:tc>
        <w:tc>
          <w:tcPr>
            <w:tcW w:w="2660" w:type="pct"/>
            <w:gridSpan w:val="3"/>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Turpmākie trīs gadi (</w:t>
            </w:r>
            <w:proofErr w:type="spellStart"/>
            <w:r w:rsidR="007334BB" w:rsidRPr="007334BB">
              <w:rPr>
                <w:rFonts w:ascii="Times New Roman" w:hAnsi="Times New Roman"/>
                <w:sz w:val="24"/>
                <w:szCs w:val="24"/>
              </w:rPr>
              <w:t>euro</w:t>
            </w:r>
            <w:proofErr w:type="spellEnd"/>
            <w:r w:rsidRPr="000A7ABF">
              <w:rPr>
                <w:rFonts w:ascii="Times New Roman" w:hAnsi="Times New Roman"/>
                <w:sz w:val="24"/>
                <w:szCs w:val="24"/>
              </w:rPr>
              <w:t>)</w:t>
            </w:r>
          </w:p>
        </w:tc>
      </w:tr>
      <w:tr w:rsidR="000A7ABF" w:rsidRPr="000A7ABF" w:rsidTr="003E4A81">
        <w:trPr>
          <w:trHeight w:val="20"/>
          <w:tblCellSpacing w:w="20" w:type="dxa"/>
          <w:jc w:val="center"/>
        </w:trPr>
        <w:tc>
          <w:tcPr>
            <w:tcW w:w="884" w:type="pct"/>
            <w:vMerge/>
            <w:shd w:val="clear" w:color="auto" w:fill="FFFFFF" w:themeFill="background1"/>
            <w:vAlign w:val="center"/>
          </w:tcPr>
          <w:p w:rsidR="00CD1CC0" w:rsidRPr="000A7ABF" w:rsidRDefault="00CD1CC0" w:rsidP="00CD1CC0">
            <w:pPr>
              <w:spacing w:after="0" w:line="240" w:lineRule="auto"/>
              <w:contextualSpacing/>
              <w:rPr>
                <w:rFonts w:ascii="Times New Roman" w:hAnsi="Times New Roman"/>
                <w:b/>
                <w:bCs/>
                <w:sz w:val="24"/>
                <w:szCs w:val="24"/>
              </w:rPr>
            </w:pPr>
          </w:p>
        </w:tc>
        <w:tc>
          <w:tcPr>
            <w:tcW w:w="1373" w:type="pct"/>
            <w:gridSpan w:val="2"/>
            <w:vMerge/>
            <w:shd w:val="clear" w:color="auto" w:fill="FFFFFF" w:themeFill="background1"/>
            <w:vAlign w:val="center"/>
          </w:tcPr>
          <w:p w:rsidR="00CD1CC0" w:rsidRPr="000A7ABF" w:rsidRDefault="00CD1CC0" w:rsidP="00CD1CC0">
            <w:pPr>
              <w:spacing w:after="0" w:line="240" w:lineRule="auto"/>
              <w:contextualSpacing/>
              <w:rPr>
                <w:rFonts w:ascii="Times New Roman" w:hAnsi="Times New Roman"/>
                <w:b/>
                <w:bCs/>
                <w:sz w:val="24"/>
                <w:szCs w:val="24"/>
              </w:rPr>
            </w:pPr>
          </w:p>
        </w:tc>
        <w:tc>
          <w:tcPr>
            <w:tcW w:w="561"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2016</w:t>
            </w:r>
          </w:p>
        </w:tc>
        <w:tc>
          <w:tcPr>
            <w:tcW w:w="618"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w:t>
            </w:r>
            <w:r w:rsidR="00D30061">
              <w:rPr>
                <w:rFonts w:ascii="Times New Roman" w:hAnsi="Times New Roman"/>
                <w:b/>
                <w:bCs/>
                <w:sz w:val="24"/>
                <w:szCs w:val="24"/>
              </w:rPr>
              <w:t>7</w:t>
            </w:r>
          </w:p>
        </w:tc>
        <w:tc>
          <w:tcPr>
            <w:tcW w:w="1440" w:type="pct"/>
            <w:shd w:val="clear" w:color="auto" w:fill="FFFFFF" w:themeFill="background1"/>
            <w:vAlign w:val="center"/>
          </w:tcPr>
          <w:p w:rsidR="00CD1CC0" w:rsidRPr="000A7ABF" w:rsidRDefault="00CD1CC0" w:rsidP="00CD1CC0">
            <w:pPr>
              <w:spacing w:after="0" w:line="240" w:lineRule="auto"/>
              <w:contextualSpacing/>
              <w:jc w:val="center"/>
              <w:rPr>
                <w:rFonts w:ascii="Times New Roman" w:hAnsi="Times New Roman"/>
                <w:b/>
                <w:bCs/>
                <w:sz w:val="24"/>
                <w:szCs w:val="24"/>
              </w:rPr>
            </w:pPr>
            <w:r w:rsidRPr="000A7ABF">
              <w:rPr>
                <w:rFonts w:ascii="Times New Roman" w:hAnsi="Times New Roman"/>
                <w:b/>
                <w:bCs/>
                <w:sz w:val="24"/>
                <w:szCs w:val="24"/>
              </w:rPr>
              <w:t>201</w:t>
            </w:r>
            <w:r w:rsidR="00D30061">
              <w:rPr>
                <w:rFonts w:ascii="Times New Roman" w:hAnsi="Times New Roman"/>
                <w:b/>
                <w:bCs/>
                <w:sz w:val="24"/>
                <w:szCs w:val="24"/>
              </w:rPr>
              <w:t>8</w:t>
            </w:r>
          </w:p>
        </w:tc>
      </w:tr>
      <w:tr w:rsidR="000A7ABF" w:rsidRPr="000A7ABF" w:rsidTr="003E4A81">
        <w:trPr>
          <w:trHeight w:val="20"/>
          <w:tblCellSpacing w:w="20" w:type="dxa"/>
          <w:jc w:val="center"/>
        </w:trPr>
        <w:tc>
          <w:tcPr>
            <w:tcW w:w="884" w:type="pct"/>
            <w:vMerge/>
            <w:shd w:val="clear" w:color="auto" w:fill="FFFFFF" w:themeFill="background1"/>
            <w:vAlign w:val="center"/>
          </w:tcPr>
          <w:p w:rsidR="00D9652B" w:rsidRPr="000A7ABF" w:rsidRDefault="00D9652B" w:rsidP="00F36C6F">
            <w:pPr>
              <w:spacing w:after="0" w:line="240" w:lineRule="auto"/>
              <w:contextualSpacing/>
              <w:rPr>
                <w:rFonts w:ascii="Times New Roman" w:hAnsi="Times New Roman"/>
                <w:b/>
                <w:bCs/>
                <w:sz w:val="24"/>
                <w:szCs w:val="24"/>
              </w:rPr>
            </w:pPr>
          </w:p>
        </w:tc>
        <w:tc>
          <w:tcPr>
            <w:tcW w:w="562"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Saskaņā ar valsts budžetu kārtējam gadam</w:t>
            </w:r>
          </w:p>
        </w:tc>
        <w:tc>
          <w:tcPr>
            <w:tcW w:w="79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kārtējā gadā, salīdzinot ar budžetu kārtējam gadam</w:t>
            </w:r>
          </w:p>
        </w:tc>
        <w:tc>
          <w:tcPr>
            <w:tcW w:w="56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c>
          <w:tcPr>
            <w:tcW w:w="618"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c>
          <w:tcPr>
            <w:tcW w:w="1440"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Izmaiņas, salīdzinot ar kārtējo (n) gadu</w:t>
            </w:r>
          </w:p>
        </w:tc>
      </w:tr>
      <w:tr w:rsidR="000A7ABF" w:rsidRPr="000A7ABF" w:rsidTr="003E4A81">
        <w:trPr>
          <w:trHeight w:val="20"/>
          <w:tblCellSpacing w:w="20" w:type="dxa"/>
          <w:jc w:val="center"/>
        </w:trPr>
        <w:tc>
          <w:tcPr>
            <w:tcW w:w="884"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1</w:t>
            </w:r>
          </w:p>
        </w:tc>
        <w:tc>
          <w:tcPr>
            <w:tcW w:w="562"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w:t>
            </w:r>
          </w:p>
        </w:tc>
        <w:tc>
          <w:tcPr>
            <w:tcW w:w="79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3</w:t>
            </w:r>
          </w:p>
        </w:tc>
        <w:tc>
          <w:tcPr>
            <w:tcW w:w="561"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4</w:t>
            </w:r>
          </w:p>
        </w:tc>
        <w:tc>
          <w:tcPr>
            <w:tcW w:w="618"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5</w:t>
            </w:r>
          </w:p>
        </w:tc>
        <w:tc>
          <w:tcPr>
            <w:tcW w:w="1440" w:type="pct"/>
            <w:shd w:val="clear" w:color="auto" w:fill="FFFFFF" w:themeFill="background1"/>
            <w:vAlign w:val="center"/>
          </w:tcPr>
          <w:p w:rsidR="00D9652B" w:rsidRPr="000A7ABF" w:rsidRDefault="00D9652B" w:rsidP="00F36C6F">
            <w:pPr>
              <w:spacing w:after="0" w:line="240" w:lineRule="auto"/>
              <w:contextualSpacing/>
              <w:jc w:val="center"/>
              <w:rPr>
                <w:rFonts w:ascii="Times New Roman" w:hAnsi="Times New Roman"/>
                <w:sz w:val="24"/>
                <w:szCs w:val="24"/>
              </w:rPr>
            </w:pPr>
            <w:r w:rsidRPr="000A7ABF">
              <w:rPr>
                <w:rFonts w:ascii="Times New Roman" w:hAnsi="Times New Roman"/>
                <w:sz w:val="24"/>
                <w:szCs w:val="24"/>
              </w:rPr>
              <w:t>6</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b/>
                <w:sz w:val="24"/>
                <w:szCs w:val="24"/>
              </w:rPr>
            </w:pPr>
            <w:r w:rsidRPr="000A7ABF">
              <w:rPr>
                <w:rFonts w:ascii="Times New Roman" w:hAnsi="Times New Roman"/>
                <w:sz w:val="24"/>
                <w:szCs w:val="24"/>
              </w:rPr>
              <w:t>1. Budžeta ieņēmumi:</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1.1. valsts pamatbudžets, tai skaitā ieņēmumi no maksas pakalpojumiem un citi pašu ieņēmumi</w:t>
            </w:r>
          </w:p>
        </w:tc>
        <w:tc>
          <w:tcPr>
            <w:tcW w:w="562" w:type="pct"/>
            <w:shd w:val="clear" w:color="auto" w:fill="FFFFFF" w:themeFill="background1"/>
            <w:vAlign w:val="center"/>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1.2. valsts speciālais 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1.3. pašvaldību 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2. Budžeta izdevumi:</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D68E0" w:rsidRPr="000A7ABF" w:rsidRDefault="003D68E0" w:rsidP="003D68E0">
            <w:pPr>
              <w:spacing w:after="0" w:line="240" w:lineRule="auto"/>
              <w:contextualSpacing/>
              <w:rPr>
                <w:rFonts w:ascii="Times New Roman" w:hAnsi="Times New Roman"/>
                <w:sz w:val="24"/>
                <w:szCs w:val="24"/>
              </w:rPr>
            </w:pPr>
            <w:r w:rsidRPr="000A7ABF">
              <w:rPr>
                <w:rFonts w:ascii="Times New Roman" w:hAnsi="Times New Roman"/>
                <w:sz w:val="24"/>
                <w:szCs w:val="24"/>
              </w:rPr>
              <w:t>2.1. valsts pamatbudžets</w:t>
            </w:r>
          </w:p>
        </w:tc>
        <w:tc>
          <w:tcPr>
            <w:tcW w:w="562"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257 477</w:t>
            </w:r>
          </w:p>
        </w:tc>
        <w:tc>
          <w:tcPr>
            <w:tcW w:w="791" w:type="pct"/>
            <w:shd w:val="clear" w:color="auto" w:fill="FFFFFF" w:themeFill="background1"/>
            <w:vAlign w:val="center"/>
          </w:tcPr>
          <w:p w:rsidR="003D68E0" w:rsidRPr="000A7ABF" w:rsidRDefault="003D68E0" w:rsidP="003D68E0">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618"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440" w:type="pct"/>
            <w:shd w:val="clear" w:color="auto" w:fill="FFFFFF" w:themeFill="background1"/>
            <w:vAlign w:val="center"/>
          </w:tcPr>
          <w:p w:rsidR="003D68E0" w:rsidRPr="000A7ABF" w:rsidRDefault="00D30061" w:rsidP="003D68E0">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2.2. valsts speciālais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2.3. pašvaldību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 Finansiālā ietekme:</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3.1. valsts pamatbudžets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3.2. speciālais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3.3. pašvaldību budžets</w:t>
            </w:r>
          </w:p>
        </w:tc>
        <w:tc>
          <w:tcPr>
            <w:tcW w:w="562"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val="restart"/>
            <w:shd w:val="clear" w:color="auto" w:fill="FFFFFF" w:themeFill="background1"/>
          </w:tcPr>
          <w:p w:rsidR="001264A1" w:rsidRPr="000A7ABF" w:rsidRDefault="001264A1" w:rsidP="001264A1">
            <w:pPr>
              <w:spacing w:after="0" w:line="240" w:lineRule="auto"/>
              <w:contextualSpacing/>
              <w:rPr>
                <w:rFonts w:ascii="Times New Roman" w:hAnsi="Times New Roman"/>
                <w:sz w:val="24"/>
                <w:szCs w:val="24"/>
              </w:rPr>
            </w:pPr>
            <w:r w:rsidRPr="000A7ABF">
              <w:rPr>
                <w:rFonts w:ascii="Times New Roman" w:hAnsi="Times New Roman"/>
                <w:sz w:val="24"/>
                <w:szCs w:val="24"/>
              </w:rPr>
              <w:t>4. Finanšu līdzekļi papildu izde</w:t>
            </w:r>
            <w:r w:rsidRPr="000A7ABF">
              <w:rPr>
                <w:rFonts w:ascii="Times New Roman" w:hAnsi="Times New Roman"/>
                <w:sz w:val="24"/>
                <w:szCs w:val="24"/>
              </w:rPr>
              <w:softHyphen/>
              <w:t>vumu finansēšanai (kompensējošu izdevumu samazinājumu norāda ar "+" zīmi)</w:t>
            </w:r>
          </w:p>
        </w:tc>
        <w:tc>
          <w:tcPr>
            <w:tcW w:w="562" w:type="pct"/>
            <w:vMerge w:val="restar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X</w:t>
            </w: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shd w:val="clear" w:color="auto" w:fill="FFFFFF" w:themeFill="background1"/>
            <w:vAlign w:val="center"/>
          </w:tcPr>
          <w:p w:rsidR="001264A1" w:rsidRPr="000A7ABF" w:rsidRDefault="001264A1" w:rsidP="001264A1">
            <w:pPr>
              <w:spacing w:after="0" w:line="240" w:lineRule="auto"/>
              <w:contextualSpacing/>
              <w:rPr>
                <w:rFonts w:ascii="Times New Roman" w:hAnsi="Times New Roman"/>
                <w:sz w:val="24"/>
                <w:szCs w:val="24"/>
              </w:rPr>
            </w:pPr>
          </w:p>
        </w:tc>
        <w:tc>
          <w:tcPr>
            <w:tcW w:w="562" w:type="pct"/>
            <w:vMerge/>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1264A1" w:rsidRPr="000A7ABF" w:rsidRDefault="001264A1" w:rsidP="001264A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vMerge/>
            <w:shd w:val="clear" w:color="auto" w:fill="FFFFFF" w:themeFill="background1"/>
            <w:vAlign w:val="center"/>
          </w:tcPr>
          <w:p w:rsidR="003E4A81" w:rsidRPr="000A7ABF" w:rsidRDefault="003E4A81" w:rsidP="003E4A81">
            <w:pPr>
              <w:spacing w:after="0" w:line="240" w:lineRule="auto"/>
              <w:contextualSpacing/>
              <w:rPr>
                <w:rFonts w:ascii="Times New Roman" w:hAnsi="Times New Roman"/>
                <w:sz w:val="24"/>
                <w:szCs w:val="24"/>
              </w:rPr>
            </w:pP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 Precizēta finansiālā ietekme:</w:t>
            </w:r>
          </w:p>
        </w:tc>
        <w:tc>
          <w:tcPr>
            <w:tcW w:w="562" w:type="pct"/>
            <w:vMerge w:val="restar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X</w:t>
            </w: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5.1. valsts pamatbudžets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5.2. speciālais 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5.3. pašvaldību budžets</w:t>
            </w:r>
          </w:p>
        </w:tc>
        <w:tc>
          <w:tcPr>
            <w:tcW w:w="562" w:type="pct"/>
            <w:vMerge/>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p>
        </w:tc>
        <w:tc>
          <w:tcPr>
            <w:tcW w:w="79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561"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618"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c>
          <w:tcPr>
            <w:tcW w:w="1440" w:type="pct"/>
            <w:shd w:val="clear" w:color="auto" w:fill="FFFFFF" w:themeFill="background1"/>
            <w:vAlign w:val="center"/>
          </w:tcPr>
          <w:p w:rsidR="003E4A81" w:rsidRPr="000A7ABF" w:rsidRDefault="003E4A81" w:rsidP="003E4A81">
            <w:pPr>
              <w:spacing w:after="0" w:line="240" w:lineRule="auto"/>
              <w:contextualSpacing/>
              <w:jc w:val="center"/>
              <w:rPr>
                <w:rFonts w:ascii="Times New Roman" w:hAnsi="Times New Roman"/>
                <w:sz w:val="24"/>
                <w:szCs w:val="24"/>
              </w:rPr>
            </w:pPr>
            <w:r w:rsidRPr="000A7ABF">
              <w:rPr>
                <w:rFonts w:ascii="Times New Roman" w:hAnsi="Times New Roman"/>
                <w:sz w:val="24"/>
                <w:szCs w:val="24"/>
              </w:rPr>
              <w:t>0</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6. Detalizēts ieņēmumu un izdevu</w:t>
            </w:r>
            <w:r w:rsidRPr="000A7ABF">
              <w:rPr>
                <w:rFonts w:ascii="Times New Roman" w:hAnsi="Times New Roman"/>
                <w:sz w:val="24"/>
                <w:szCs w:val="24"/>
              </w:rPr>
              <w:softHyphen/>
              <w:t>mu aprēķins (ja nepieciešams, detalizētu ieņēmumu un izdevumu aprēķinu var pievienot anotācijas pielikumā):</w:t>
            </w:r>
          </w:p>
        </w:tc>
        <w:tc>
          <w:tcPr>
            <w:tcW w:w="4054" w:type="pct"/>
            <w:gridSpan w:val="5"/>
            <w:shd w:val="clear" w:color="auto" w:fill="FFFFFF" w:themeFill="background1"/>
            <w:vAlign w:val="center"/>
          </w:tcPr>
          <w:p w:rsidR="003E4A81" w:rsidRPr="000A7ABF" w:rsidRDefault="003E4A81" w:rsidP="003E4A81">
            <w:pPr>
              <w:spacing w:after="0" w:line="240" w:lineRule="auto"/>
              <w:rPr>
                <w:rFonts w:ascii="Times New Roman" w:hAnsi="Times New Roman"/>
                <w:sz w:val="24"/>
                <w:szCs w:val="24"/>
              </w:rPr>
            </w:pPr>
            <w:r w:rsidRPr="000A7ABF">
              <w:rPr>
                <w:rFonts w:ascii="Times New Roman" w:hAnsi="Times New Roman"/>
                <w:sz w:val="24"/>
                <w:szCs w:val="24"/>
              </w:rPr>
              <w:t xml:space="preserve">1. Plānotais finansējums valsts budžeta 03.00.00 programmā “Augstākā izglītība” apakšprogrammā 03.13.00 “Studiju virzienu akreditācija” </w:t>
            </w:r>
            <w:r w:rsidR="007334BB" w:rsidRPr="007334BB">
              <w:rPr>
                <w:rFonts w:ascii="Times New Roman" w:hAnsi="Times New Roman"/>
                <w:sz w:val="24"/>
                <w:szCs w:val="24"/>
              </w:rPr>
              <w:t>EURO</w:t>
            </w:r>
            <w:r w:rsidRPr="000A7ABF">
              <w:rPr>
                <w:rFonts w:ascii="Times New Roman" w:hAnsi="Times New Roman"/>
                <w:sz w:val="24"/>
                <w:szCs w:val="24"/>
              </w:rPr>
              <w:t>:</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2015.g. – 257 477</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2016.g. – 248 957</w:t>
            </w:r>
          </w:p>
          <w:p w:rsidR="003E4A81" w:rsidRPr="000A7ABF"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2017.g. – 281 774</w:t>
            </w:r>
          </w:p>
          <w:p w:rsidR="003E4A81" w:rsidRDefault="003E4A81" w:rsidP="003E4A81">
            <w:pPr>
              <w:pStyle w:val="ListParagraph"/>
              <w:numPr>
                <w:ilvl w:val="0"/>
                <w:numId w:val="3"/>
              </w:numPr>
              <w:spacing w:after="0" w:line="240" w:lineRule="auto"/>
              <w:rPr>
                <w:rFonts w:ascii="Times New Roman" w:hAnsi="Times New Roman"/>
                <w:sz w:val="24"/>
                <w:szCs w:val="24"/>
              </w:rPr>
            </w:pPr>
            <w:r w:rsidRPr="000A7ABF">
              <w:rPr>
                <w:rFonts w:ascii="Times New Roman" w:hAnsi="Times New Roman"/>
                <w:sz w:val="24"/>
                <w:szCs w:val="24"/>
              </w:rPr>
              <w:t>2018.g. – 281</w:t>
            </w:r>
            <w:r w:rsidR="008A1EF2">
              <w:rPr>
                <w:rFonts w:ascii="Times New Roman" w:hAnsi="Times New Roman"/>
                <w:sz w:val="24"/>
                <w:szCs w:val="24"/>
              </w:rPr>
              <w:t> </w:t>
            </w:r>
            <w:r w:rsidRPr="000A7ABF">
              <w:rPr>
                <w:rFonts w:ascii="Times New Roman" w:hAnsi="Times New Roman"/>
                <w:sz w:val="24"/>
                <w:szCs w:val="24"/>
              </w:rPr>
              <w:t>774</w:t>
            </w:r>
          </w:p>
          <w:p w:rsidR="008A1EF2" w:rsidRPr="008A1EF2" w:rsidRDefault="008A1EF2" w:rsidP="008A1EF2">
            <w:pPr>
              <w:spacing w:after="0" w:line="240" w:lineRule="auto"/>
              <w:rPr>
                <w:rFonts w:ascii="Times New Roman" w:hAnsi="Times New Roman"/>
                <w:sz w:val="24"/>
                <w:szCs w:val="24"/>
              </w:rPr>
            </w:pPr>
          </w:p>
          <w:p w:rsidR="003E4A81" w:rsidRPr="000A7ABF" w:rsidRDefault="003E4A81" w:rsidP="00397498">
            <w:pPr>
              <w:spacing w:after="0" w:line="240" w:lineRule="auto"/>
              <w:jc w:val="both"/>
              <w:rPr>
                <w:rFonts w:ascii="Times New Roman" w:hAnsi="Times New Roman"/>
                <w:bCs/>
                <w:sz w:val="24"/>
                <w:szCs w:val="24"/>
              </w:rPr>
            </w:pPr>
            <w:r w:rsidRPr="000A7ABF">
              <w:rPr>
                <w:rFonts w:ascii="Times New Roman" w:hAnsi="Times New Roman"/>
                <w:sz w:val="24"/>
                <w:szCs w:val="24"/>
              </w:rPr>
              <w:t xml:space="preserve">2. Anotācijas sadaļā </w:t>
            </w:r>
            <w:r w:rsidRPr="000A7ABF">
              <w:rPr>
                <w:rFonts w:ascii="Times New Roman" w:hAnsi="Times New Roman"/>
                <w:bCs/>
                <w:sz w:val="24"/>
                <w:szCs w:val="24"/>
              </w:rPr>
              <w:t xml:space="preserve">III. Tiesību akta projekta ietekme uz valsts budžetu un pašvaldību budžetiem minētais finansējums attiecas gan uz licencēšanas, gan akreditācijas procesa nodrošināšanu, tādēļ ir skatāms kontekstā ar “Studiju programmu licencēšanas noteikumiem”. Piešķirtais finansējums akreditācijas un licencēšanas mērķim indikatīvi tiks sadalīts šādās proporcijās – 70% akreditācijas nodrošināšanai, bet 30% licencēšanas nodrošināšanai, bet finansējums nav precīzi sadalāms, jo akreditācijas un licencēšanas funkcijas komisijai un centram savstarpēji pārklāsies, kā arī akreditācijas un licencēšanas gadījumu proporcijas ir mainīgs faktors, kas atkarīgs no augstākās izglītības iestāžu iesniegtajiem pieteikumiem. </w:t>
            </w:r>
            <w:r w:rsidR="002007F4">
              <w:rPr>
                <w:rFonts w:ascii="Times New Roman" w:hAnsi="Times New Roman"/>
                <w:bCs/>
                <w:sz w:val="24"/>
                <w:szCs w:val="24"/>
              </w:rPr>
              <w:t>No valsts budžeta Akadēmiskās informācijas centram piešķirt</w:t>
            </w:r>
            <w:r w:rsidR="003D680C">
              <w:rPr>
                <w:rFonts w:ascii="Times New Roman" w:hAnsi="Times New Roman"/>
                <w:bCs/>
                <w:sz w:val="24"/>
                <w:szCs w:val="24"/>
              </w:rPr>
              <w:t>ās dotācijas tiek nodrošināta</w:t>
            </w:r>
            <w:r w:rsidR="002007F4">
              <w:rPr>
                <w:rFonts w:ascii="Times New Roman" w:hAnsi="Times New Roman"/>
                <w:bCs/>
                <w:sz w:val="24"/>
                <w:szCs w:val="24"/>
              </w:rPr>
              <w:t xml:space="preserve"> Akadēmiskās informācijas centra </w:t>
            </w:r>
            <w:r w:rsidR="003D680C">
              <w:rPr>
                <w:rFonts w:ascii="Times New Roman" w:hAnsi="Times New Roman"/>
                <w:bCs/>
                <w:sz w:val="24"/>
                <w:szCs w:val="24"/>
              </w:rPr>
              <w:t>funkciju izpilde, kā arī</w:t>
            </w:r>
            <w:r w:rsidR="002007F4">
              <w:rPr>
                <w:rFonts w:ascii="Times New Roman" w:hAnsi="Times New Roman"/>
                <w:bCs/>
                <w:sz w:val="24"/>
                <w:szCs w:val="24"/>
              </w:rPr>
              <w:t xml:space="preserve"> Studiju akreditācijas komisijas un Studiju programmu licencēšanas komisijas atalgojum</w:t>
            </w:r>
            <w:r w:rsidR="00D62EA5">
              <w:rPr>
                <w:rFonts w:ascii="Times New Roman" w:hAnsi="Times New Roman"/>
                <w:bCs/>
                <w:sz w:val="24"/>
                <w:szCs w:val="24"/>
              </w:rPr>
              <w:t>s</w:t>
            </w:r>
            <w:r w:rsidR="002007F4">
              <w:rPr>
                <w:rFonts w:ascii="Times New Roman" w:hAnsi="Times New Roman"/>
                <w:bCs/>
                <w:sz w:val="24"/>
                <w:szCs w:val="24"/>
              </w:rPr>
              <w:t>.</w:t>
            </w:r>
          </w:p>
          <w:p w:rsidR="00DA6452" w:rsidRPr="00DA6452" w:rsidRDefault="003E4A81" w:rsidP="003E4A81">
            <w:pPr>
              <w:spacing w:before="100" w:beforeAutospacing="1" w:after="100" w:afterAutospacing="1" w:line="240" w:lineRule="auto"/>
              <w:jc w:val="both"/>
              <w:rPr>
                <w:rFonts w:ascii="Times New Roman" w:hAnsi="Times New Roman"/>
                <w:bCs/>
                <w:sz w:val="24"/>
                <w:szCs w:val="24"/>
              </w:rPr>
            </w:pPr>
            <w:r w:rsidRPr="000A7ABF">
              <w:rPr>
                <w:rFonts w:ascii="Times New Roman" w:hAnsi="Times New Roman"/>
                <w:bCs/>
                <w:sz w:val="24"/>
                <w:szCs w:val="24"/>
              </w:rPr>
              <w:t>3. Noteikumi tiks īstenoti esošā budžeta ietvaros.</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6.1. detalizēts ieņēmumu aprēķins</w:t>
            </w:r>
          </w:p>
        </w:tc>
        <w:tc>
          <w:tcPr>
            <w:tcW w:w="4054" w:type="pct"/>
            <w:gridSpan w:val="5"/>
            <w:shd w:val="clear" w:color="auto" w:fill="FFFFFF" w:themeFill="background1"/>
            <w:vAlign w:val="center"/>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Projekts šo jomu neskar</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t>6.2. detalizēts izdevumu aprēķins</w:t>
            </w:r>
          </w:p>
        </w:tc>
        <w:tc>
          <w:tcPr>
            <w:tcW w:w="4054" w:type="pct"/>
            <w:gridSpan w:val="5"/>
            <w:shd w:val="clear" w:color="auto" w:fill="FFFFFF" w:themeFill="background1"/>
            <w:vAlign w:val="center"/>
          </w:tcPr>
          <w:p w:rsidR="003E4A81" w:rsidRPr="000A7ABF" w:rsidRDefault="003E4A81" w:rsidP="003E4A81">
            <w:pPr>
              <w:spacing w:after="0" w:line="240" w:lineRule="auto"/>
              <w:contextualSpacing/>
              <w:jc w:val="both"/>
              <w:rPr>
                <w:rFonts w:ascii="Times New Roman" w:hAnsi="Times New Roman"/>
                <w:b/>
                <w:bCs/>
                <w:sz w:val="24"/>
                <w:szCs w:val="24"/>
              </w:rPr>
            </w:pPr>
            <w:r w:rsidRPr="000A7ABF">
              <w:rPr>
                <w:rFonts w:ascii="Times New Roman" w:hAnsi="Times New Roman"/>
                <w:sz w:val="24"/>
                <w:szCs w:val="24"/>
              </w:rPr>
              <w:t>Projekts šo jomu neskar.</w:t>
            </w:r>
          </w:p>
        </w:tc>
      </w:tr>
      <w:tr w:rsidR="000A7ABF" w:rsidRPr="000A7ABF" w:rsidTr="003E4A81">
        <w:trPr>
          <w:trHeight w:val="20"/>
          <w:tblCellSpacing w:w="20" w:type="dxa"/>
          <w:jc w:val="center"/>
        </w:trPr>
        <w:tc>
          <w:tcPr>
            <w:tcW w:w="884" w:type="pct"/>
            <w:shd w:val="clear" w:color="auto" w:fill="FFFFFF" w:themeFill="background1"/>
          </w:tcPr>
          <w:p w:rsidR="003E4A81" w:rsidRPr="000A7ABF" w:rsidRDefault="003E4A81" w:rsidP="003E4A81">
            <w:pPr>
              <w:spacing w:after="0" w:line="240" w:lineRule="auto"/>
              <w:contextualSpacing/>
              <w:rPr>
                <w:rFonts w:ascii="Times New Roman" w:hAnsi="Times New Roman"/>
                <w:sz w:val="24"/>
                <w:szCs w:val="24"/>
              </w:rPr>
            </w:pPr>
            <w:r w:rsidRPr="000A7ABF">
              <w:rPr>
                <w:rFonts w:ascii="Times New Roman" w:hAnsi="Times New Roman"/>
                <w:sz w:val="24"/>
                <w:szCs w:val="24"/>
              </w:rPr>
              <w:lastRenderedPageBreak/>
              <w:t>7. Cita informācija</w:t>
            </w:r>
          </w:p>
        </w:tc>
        <w:tc>
          <w:tcPr>
            <w:tcW w:w="4054" w:type="pct"/>
            <w:gridSpan w:val="5"/>
            <w:shd w:val="clear" w:color="auto" w:fill="FFFFFF" w:themeFill="background1"/>
          </w:tcPr>
          <w:p w:rsidR="00C109CF" w:rsidRPr="00C109CF" w:rsidRDefault="00DA6452" w:rsidP="00DA6452">
            <w:pPr>
              <w:spacing w:after="0" w:line="240" w:lineRule="auto"/>
              <w:contextualSpacing/>
              <w:jc w:val="both"/>
              <w:rPr>
                <w:rFonts w:ascii="Times New Roman" w:hAnsi="Times New Roman"/>
                <w:sz w:val="24"/>
                <w:szCs w:val="24"/>
              </w:rPr>
            </w:pPr>
            <w:r w:rsidRPr="00C109CF">
              <w:rPr>
                <w:rFonts w:ascii="Times New Roman" w:hAnsi="Times New Roman"/>
                <w:sz w:val="24"/>
                <w:szCs w:val="24"/>
              </w:rPr>
              <w:t>Augstskolu, koledžu un studiju virzienu ārkārtas akreditāciju ir paredzēts finansēt no valsts budžeta</w:t>
            </w:r>
            <w:r w:rsidR="001762D4">
              <w:rPr>
                <w:rFonts w:ascii="Times New Roman" w:hAnsi="Times New Roman"/>
                <w:sz w:val="24"/>
                <w:szCs w:val="24"/>
              </w:rPr>
              <w:t>.</w:t>
            </w:r>
          </w:p>
          <w:p w:rsidR="00C109CF" w:rsidRPr="00C109CF" w:rsidRDefault="001762D4" w:rsidP="00DA6452">
            <w:pPr>
              <w:spacing w:after="0" w:line="240" w:lineRule="auto"/>
              <w:contextualSpacing/>
              <w:jc w:val="both"/>
              <w:rPr>
                <w:rFonts w:ascii="Times New Roman" w:hAnsi="Times New Roman"/>
                <w:sz w:val="24"/>
                <w:szCs w:val="24"/>
              </w:rPr>
            </w:pPr>
            <w:r>
              <w:rPr>
                <w:rFonts w:ascii="Times New Roman" w:hAnsi="Times New Roman"/>
                <w:sz w:val="24"/>
                <w:szCs w:val="24"/>
              </w:rPr>
              <w:t>I</w:t>
            </w:r>
            <w:r w:rsidR="00DA6452" w:rsidRPr="00C109CF">
              <w:rPr>
                <w:rFonts w:ascii="Times New Roman" w:hAnsi="Times New Roman"/>
                <w:sz w:val="24"/>
                <w:szCs w:val="24"/>
              </w:rPr>
              <w:t>epriekš nav iespējams paredzēt, cik daudz ārkārtas akreditācijas gadījumu būs</w:t>
            </w:r>
            <w:r>
              <w:rPr>
                <w:rFonts w:ascii="Times New Roman" w:hAnsi="Times New Roman"/>
                <w:sz w:val="24"/>
                <w:szCs w:val="24"/>
              </w:rPr>
              <w:t>, tādēļ, slēdzot līgumu ar Akadēmiskās informācijas centru par valsts budžeta dotācijas pie</w:t>
            </w:r>
            <w:r w:rsidR="00276024">
              <w:rPr>
                <w:rFonts w:ascii="Times New Roman" w:hAnsi="Times New Roman"/>
                <w:sz w:val="24"/>
                <w:szCs w:val="24"/>
              </w:rPr>
              <w:t>šķiršanu</w:t>
            </w:r>
            <w:r w:rsidR="000349EC">
              <w:rPr>
                <w:rFonts w:ascii="Times New Roman" w:hAnsi="Times New Roman"/>
                <w:sz w:val="24"/>
                <w:szCs w:val="24"/>
              </w:rPr>
              <w:t xml:space="preserve"> no </w:t>
            </w:r>
            <w:r w:rsidR="000349EC" w:rsidRPr="00C109CF">
              <w:rPr>
                <w:rFonts w:ascii="Times New Roman" w:hAnsi="Times New Roman"/>
                <w:sz w:val="24"/>
                <w:szCs w:val="24"/>
              </w:rPr>
              <w:t>valsts budžeta programma</w:t>
            </w:r>
            <w:r w:rsidR="000349EC">
              <w:rPr>
                <w:rFonts w:ascii="Times New Roman" w:hAnsi="Times New Roman"/>
                <w:sz w:val="24"/>
                <w:szCs w:val="24"/>
              </w:rPr>
              <w:t>s</w:t>
            </w:r>
            <w:r w:rsidR="000349EC" w:rsidRPr="00C109CF">
              <w:rPr>
                <w:rFonts w:ascii="Times New Roman" w:hAnsi="Times New Roman"/>
                <w:sz w:val="24"/>
                <w:szCs w:val="24"/>
              </w:rPr>
              <w:t xml:space="preserve"> 03.13. “Studiju virzienu akreditācija”</w:t>
            </w:r>
            <w:r w:rsidR="00276024">
              <w:rPr>
                <w:rFonts w:ascii="Times New Roman" w:hAnsi="Times New Roman"/>
                <w:sz w:val="24"/>
                <w:szCs w:val="24"/>
              </w:rPr>
              <w:t>, tiks paredzēts, ka</w:t>
            </w:r>
            <w:r>
              <w:rPr>
                <w:rFonts w:ascii="Times New Roman" w:hAnsi="Times New Roman"/>
                <w:sz w:val="24"/>
                <w:szCs w:val="24"/>
              </w:rPr>
              <w:t xml:space="preserve">. </w:t>
            </w:r>
            <w:r w:rsidR="00DA6452" w:rsidRPr="00C109CF">
              <w:rPr>
                <w:rFonts w:ascii="Times New Roman" w:hAnsi="Times New Roman"/>
                <w:sz w:val="24"/>
                <w:szCs w:val="24"/>
              </w:rPr>
              <w:t xml:space="preserve">ja kalendārā gada laikā </w:t>
            </w:r>
            <w:r w:rsidR="00276024">
              <w:rPr>
                <w:rFonts w:ascii="Times New Roman" w:hAnsi="Times New Roman"/>
                <w:sz w:val="24"/>
                <w:szCs w:val="24"/>
              </w:rPr>
              <w:t>augstskolas vai koledžas ārkārtas akreditācijas vai studiju virziena ārpuskārtas akreditācijas gadījumi</w:t>
            </w:r>
            <w:r w:rsidR="00276024" w:rsidRPr="00C109CF">
              <w:rPr>
                <w:rFonts w:ascii="Times New Roman" w:hAnsi="Times New Roman"/>
                <w:sz w:val="24"/>
                <w:szCs w:val="24"/>
              </w:rPr>
              <w:t xml:space="preserve"> </w:t>
            </w:r>
            <w:r w:rsidR="00DA6452" w:rsidRPr="00C109CF">
              <w:rPr>
                <w:rFonts w:ascii="Times New Roman" w:hAnsi="Times New Roman"/>
                <w:sz w:val="24"/>
                <w:szCs w:val="24"/>
              </w:rPr>
              <w:t xml:space="preserve">nav bijuši, tad pēdējo divu mēnešu laikā </w:t>
            </w:r>
            <w:r w:rsidR="007953AD">
              <w:rPr>
                <w:rFonts w:ascii="Times New Roman" w:hAnsi="Times New Roman"/>
                <w:sz w:val="24"/>
                <w:szCs w:val="24"/>
              </w:rPr>
              <w:t>šim mērķim</w:t>
            </w:r>
            <w:r w:rsidR="00784366">
              <w:rPr>
                <w:rFonts w:ascii="Times New Roman" w:hAnsi="Times New Roman"/>
                <w:sz w:val="24"/>
                <w:szCs w:val="24"/>
              </w:rPr>
              <w:t xml:space="preserve"> atvēlētos līdzekļus</w:t>
            </w:r>
            <w:r w:rsidR="00784366" w:rsidRPr="00C109CF">
              <w:rPr>
                <w:rFonts w:ascii="Times New Roman" w:hAnsi="Times New Roman"/>
                <w:sz w:val="24"/>
                <w:szCs w:val="24"/>
              </w:rPr>
              <w:t xml:space="preserve"> </w:t>
            </w:r>
            <w:r w:rsidR="00DA6452" w:rsidRPr="00C109CF">
              <w:rPr>
                <w:rFonts w:ascii="Times New Roman" w:hAnsi="Times New Roman"/>
                <w:sz w:val="24"/>
                <w:szCs w:val="24"/>
              </w:rPr>
              <w:t>bū</w:t>
            </w:r>
            <w:r w:rsidR="007953AD">
              <w:rPr>
                <w:rFonts w:ascii="Times New Roman" w:hAnsi="Times New Roman"/>
                <w:sz w:val="24"/>
                <w:szCs w:val="24"/>
              </w:rPr>
              <w:t>s</w:t>
            </w:r>
            <w:r w:rsidR="00DA6452" w:rsidRPr="00C109CF">
              <w:rPr>
                <w:rFonts w:ascii="Times New Roman" w:hAnsi="Times New Roman"/>
                <w:sz w:val="24"/>
                <w:szCs w:val="24"/>
              </w:rPr>
              <w:t xml:space="preserve"> atļauts izmantot citiem mērķiem.</w:t>
            </w:r>
            <w:r w:rsidR="00BA0874" w:rsidRPr="00C109CF">
              <w:rPr>
                <w:rFonts w:ascii="Times New Roman" w:hAnsi="Times New Roman"/>
                <w:sz w:val="24"/>
                <w:szCs w:val="24"/>
              </w:rPr>
              <w:t xml:space="preserve"> </w:t>
            </w:r>
          </w:p>
          <w:p w:rsidR="007617B1" w:rsidRDefault="00C109CF" w:rsidP="00DA6452">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Pieņemot, ka viena gada laikā varētu būt nepieciešams izvirzīt ārkārtas akreditāciju vienai augstskolai</w:t>
            </w:r>
            <w:r w:rsidR="00B14555">
              <w:rPr>
                <w:rFonts w:ascii="Times New Roman" w:hAnsi="Times New Roman"/>
                <w:color w:val="000000"/>
                <w:sz w:val="24"/>
                <w:szCs w:val="24"/>
              </w:rPr>
              <w:t xml:space="preserve"> (19</w:t>
            </w:r>
            <w:r w:rsidR="00397498">
              <w:rPr>
                <w:rFonts w:ascii="Times New Roman" w:hAnsi="Times New Roman"/>
                <w:color w:val="000000"/>
                <w:sz w:val="24"/>
                <w:szCs w:val="24"/>
              </w:rPr>
              <w:t xml:space="preserve"> 2</w:t>
            </w:r>
            <w:r w:rsidR="00B14555">
              <w:rPr>
                <w:rFonts w:ascii="Times New Roman" w:hAnsi="Times New Roman"/>
                <w:color w:val="000000"/>
                <w:sz w:val="24"/>
                <w:szCs w:val="24"/>
              </w:rPr>
              <w:t>15</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B14555">
              <w:rPr>
                <w:rFonts w:ascii="Times New Roman" w:hAnsi="Times New Roman"/>
                <w:color w:val="000000"/>
                <w:sz w:val="24"/>
                <w:szCs w:val="24"/>
              </w:rPr>
              <w:t>)</w:t>
            </w:r>
            <w:r>
              <w:rPr>
                <w:rFonts w:ascii="Times New Roman" w:hAnsi="Times New Roman"/>
                <w:color w:val="000000"/>
                <w:sz w:val="24"/>
                <w:szCs w:val="24"/>
              </w:rPr>
              <w:t xml:space="preserve"> vai koledžai un </w:t>
            </w:r>
            <w:r w:rsidR="002C28AA">
              <w:rPr>
                <w:rFonts w:ascii="Times New Roman" w:hAnsi="Times New Roman"/>
                <w:color w:val="000000"/>
                <w:sz w:val="24"/>
                <w:szCs w:val="24"/>
              </w:rPr>
              <w:t xml:space="preserve">vienam </w:t>
            </w:r>
            <w:r>
              <w:rPr>
                <w:rFonts w:ascii="Times New Roman" w:hAnsi="Times New Roman"/>
                <w:color w:val="000000"/>
                <w:sz w:val="24"/>
                <w:szCs w:val="24"/>
              </w:rPr>
              <w:t>studiju virzien</w:t>
            </w:r>
            <w:r w:rsidR="002C28AA">
              <w:rPr>
                <w:rFonts w:ascii="Times New Roman" w:hAnsi="Times New Roman"/>
                <w:color w:val="000000"/>
                <w:sz w:val="24"/>
                <w:szCs w:val="24"/>
              </w:rPr>
              <w:t>a</w:t>
            </w:r>
            <w:r>
              <w:rPr>
                <w:rFonts w:ascii="Times New Roman" w:hAnsi="Times New Roman"/>
                <w:color w:val="000000"/>
                <w:sz w:val="24"/>
                <w:szCs w:val="24"/>
              </w:rPr>
              <w:t>m</w:t>
            </w:r>
            <w:r w:rsidR="007617B1">
              <w:rPr>
                <w:rFonts w:ascii="Times New Roman" w:hAnsi="Times New Roman"/>
                <w:color w:val="000000"/>
                <w:sz w:val="24"/>
                <w:szCs w:val="24"/>
              </w:rPr>
              <w:t>, kur</w:t>
            </w:r>
            <w:r w:rsidR="002C28AA">
              <w:rPr>
                <w:rFonts w:ascii="Times New Roman" w:hAnsi="Times New Roman"/>
                <w:color w:val="000000"/>
                <w:sz w:val="24"/>
                <w:szCs w:val="24"/>
              </w:rPr>
              <w:t>a</w:t>
            </w:r>
            <w:r w:rsidR="007617B1">
              <w:rPr>
                <w:rFonts w:ascii="Times New Roman" w:hAnsi="Times New Roman"/>
                <w:color w:val="000000"/>
                <w:sz w:val="24"/>
                <w:szCs w:val="24"/>
              </w:rPr>
              <w:t>m atbilst trīs studiju programmas</w:t>
            </w:r>
            <w:r w:rsidR="00B14555">
              <w:rPr>
                <w:rFonts w:ascii="Times New Roman" w:hAnsi="Times New Roman"/>
                <w:color w:val="000000"/>
                <w:sz w:val="24"/>
                <w:szCs w:val="24"/>
              </w:rPr>
              <w:t xml:space="preserve"> ( 12</w:t>
            </w:r>
            <w:r w:rsidR="00397498">
              <w:rPr>
                <w:rFonts w:ascii="Times New Roman" w:hAnsi="Times New Roman"/>
                <w:color w:val="000000"/>
                <w:sz w:val="24"/>
                <w:szCs w:val="24"/>
              </w:rPr>
              <w:t xml:space="preserve"> </w:t>
            </w:r>
            <w:r w:rsidR="00B14555">
              <w:rPr>
                <w:rFonts w:ascii="Times New Roman" w:hAnsi="Times New Roman"/>
                <w:color w:val="000000"/>
                <w:sz w:val="24"/>
                <w:szCs w:val="24"/>
              </w:rPr>
              <w:t>889</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B14555">
              <w:rPr>
                <w:rFonts w:ascii="Times New Roman" w:hAnsi="Times New Roman"/>
                <w:color w:val="000000"/>
                <w:sz w:val="24"/>
                <w:szCs w:val="24"/>
              </w:rPr>
              <w:t>)</w:t>
            </w:r>
            <w:r w:rsidR="007C74D5">
              <w:rPr>
                <w:rFonts w:ascii="Times New Roman" w:hAnsi="Times New Roman"/>
                <w:color w:val="000000"/>
                <w:sz w:val="24"/>
                <w:szCs w:val="24"/>
              </w:rPr>
              <w:t>, kopējā summa, kurai jābūt pieejamai šād</w:t>
            </w:r>
            <w:r w:rsidR="00844FA4">
              <w:rPr>
                <w:rFonts w:ascii="Times New Roman" w:hAnsi="Times New Roman"/>
                <w:color w:val="000000"/>
                <w:sz w:val="24"/>
                <w:szCs w:val="24"/>
              </w:rPr>
              <w:t>ai vajadzībai</w:t>
            </w:r>
            <w:r w:rsidR="00C33AD4">
              <w:rPr>
                <w:rFonts w:ascii="Times New Roman" w:hAnsi="Times New Roman"/>
                <w:color w:val="000000"/>
                <w:sz w:val="24"/>
                <w:szCs w:val="24"/>
              </w:rPr>
              <w:t>,</w:t>
            </w:r>
            <w:r w:rsidR="007C74D5">
              <w:rPr>
                <w:rFonts w:ascii="Times New Roman" w:hAnsi="Times New Roman"/>
                <w:color w:val="000000"/>
                <w:sz w:val="24"/>
                <w:szCs w:val="24"/>
              </w:rPr>
              <w:t xml:space="preserve"> ir </w:t>
            </w:r>
            <w:r w:rsidR="007334BB">
              <w:rPr>
                <w:rFonts w:ascii="Times New Roman" w:hAnsi="Times New Roman"/>
                <w:color w:val="000000"/>
                <w:sz w:val="24"/>
                <w:szCs w:val="24"/>
              </w:rPr>
              <w:t>32 </w:t>
            </w:r>
            <w:r w:rsidR="00397498">
              <w:rPr>
                <w:rFonts w:ascii="Times New Roman" w:hAnsi="Times New Roman"/>
                <w:color w:val="000000"/>
                <w:sz w:val="24"/>
                <w:szCs w:val="24"/>
              </w:rPr>
              <w:t>104</w:t>
            </w:r>
            <w:r w:rsidR="007334BB">
              <w:rPr>
                <w:rFonts w:ascii="Times New Roman" w:hAnsi="Times New Roman"/>
                <w:color w:val="000000"/>
                <w:sz w:val="24"/>
                <w:szCs w:val="24"/>
              </w:rPr>
              <w:t xml:space="preserve"> </w:t>
            </w:r>
            <w:proofErr w:type="spellStart"/>
            <w:r w:rsidR="007334BB">
              <w:rPr>
                <w:rFonts w:ascii="Times New Roman" w:hAnsi="Times New Roman"/>
                <w:i/>
                <w:color w:val="000000"/>
                <w:sz w:val="24"/>
                <w:szCs w:val="24"/>
              </w:rPr>
              <w:t>euro</w:t>
            </w:r>
            <w:proofErr w:type="spellEnd"/>
            <w:r w:rsidR="007C74D5">
              <w:rPr>
                <w:rFonts w:ascii="Times New Roman" w:hAnsi="Times New Roman"/>
                <w:color w:val="000000"/>
                <w:sz w:val="24"/>
                <w:szCs w:val="24"/>
              </w:rPr>
              <w:t>.</w:t>
            </w:r>
          </w:p>
          <w:p w:rsidR="00C109CF" w:rsidRDefault="00C109CF" w:rsidP="00DA6452">
            <w:pPr>
              <w:spacing w:after="0" w:line="240" w:lineRule="auto"/>
              <w:contextualSpacing/>
              <w:jc w:val="both"/>
              <w:rPr>
                <w:rFonts w:ascii="Times New Roman" w:hAnsi="Times New Roman"/>
                <w:i/>
                <w:color w:val="000000"/>
                <w:sz w:val="24"/>
                <w:szCs w:val="24"/>
              </w:rPr>
            </w:pPr>
            <w:r>
              <w:rPr>
                <w:rFonts w:ascii="Times New Roman" w:hAnsi="Times New Roman"/>
                <w:color w:val="000000"/>
                <w:sz w:val="24"/>
                <w:szCs w:val="24"/>
              </w:rPr>
              <w:t>12 889</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19</w:t>
            </w:r>
            <w:r w:rsidR="00093374">
              <w:rPr>
                <w:rFonts w:ascii="Times New Roman" w:hAnsi="Times New Roman"/>
                <w:color w:val="000000"/>
                <w:sz w:val="24"/>
                <w:szCs w:val="24"/>
              </w:rPr>
              <w:t xml:space="preserve"> </w:t>
            </w:r>
            <w:r w:rsidR="00397498">
              <w:rPr>
                <w:rFonts w:ascii="Times New Roman" w:hAnsi="Times New Roman"/>
                <w:color w:val="000000"/>
                <w:sz w:val="24"/>
                <w:szCs w:val="24"/>
              </w:rPr>
              <w:t>2</w:t>
            </w:r>
            <w:r w:rsidRPr="00C109CF">
              <w:rPr>
                <w:rFonts w:ascii="Times New Roman" w:hAnsi="Times New Roman"/>
                <w:color w:val="000000"/>
                <w:sz w:val="24"/>
                <w:szCs w:val="24"/>
              </w:rPr>
              <w:t>15</w:t>
            </w:r>
            <w:r w:rsidR="007617B1">
              <w:rPr>
                <w:rFonts w:ascii="Times New Roman" w:hAnsi="Times New Roman"/>
                <w:color w:val="000000"/>
                <w:sz w:val="24"/>
                <w:szCs w:val="24"/>
              </w:rPr>
              <w:t xml:space="preserve"> </w:t>
            </w:r>
            <w:r w:rsidRPr="00C109CF">
              <w:rPr>
                <w:rFonts w:ascii="Times New Roman" w:hAnsi="Times New Roman"/>
                <w:color w:val="000000"/>
                <w:sz w:val="24"/>
                <w:szCs w:val="24"/>
              </w:rPr>
              <w:t>=</w:t>
            </w:r>
            <w:r w:rsidR="007617B1">
              <w:rPr>
                <w:rFonts w:ascii="Times New Roman" w:hAnsi="Times New Roman"/>
                <w:color w:val="000000"/>
                <w:sz w:val="24"/>
                <w:szCs w:val="24"/>
              </w:rPr>
              <w:t xml:space="preserve"> </w:t>
            </w:r>
            <w:r w:rsidR="00093374">
              <w:rPr>
                <w:rFonts w:ascii="Times New Roman" w:hAnsi="Times New Roman"/>
                <w:color w:val="000000"/>
                <w:sz w:val="24"/>
                <w:szCs w:val="24"/>
              </w:rPr>
              <w:t>3</w:t>
            </w:r>
            <w:r w:rsidR="00397498">
              <w:rPr>
                <w:rFonts w:ascii="Times New Roman" w:hAnsi="Times New Roman"/>
                <w:color w:val="000000"/>
                <w:sz w:val="24"/>
                <w:szCs w:val="24"/>
              </w:rPr>
              <w:t>2 104</w:t>
            </w:r>
            <w:r w:rsidRPr="00C109CF">
              <w:rPr>
                <w:rFonts w:ascii="Times New Roman" w:hAnsi="Times New Roman"/>
                <w:color w:val="000000"/>
                <w:sz w:val="24"/>
                <w:szCs w:val="24"/>
              </w:rPr>
              <w:t xml:space="preserve"> </w:t>
            </w:r>
            <w:r w:rsidR="000349EC">
              <w:rPr>
                <w:rFonts w:ascii="Times New Roman" w:hAnsi="Times New Roman"/>
                <w:i/>
                <w:color w:val="000000"/>
                <w:sz w:val="24"/>
                <w:szCs w:val="24"/>
              </w:rPr>
              <w:t xml:space="preserve"> </w:t>
            </w:r>
            <w:proofErr w:type="spellStart"/>
            <w:r w:rsidR="000349EC">
              <w:rPr>
                <w:rFonts w:ascii="Times New Roman" w:hAnsi="Times New Roman"/>
                <w:i/>
                <w:color w:val="000000"/>
                <w:sz w:val="24"/>
                <w:szCs w:val="24"/>
              </w:rPr>
              <w:t>euro</w:t>
            </w:r>
            <w:proofErr w:type="spellEnd"/>
          </w:p>
          <w:p w:rsidR="007358EC" w:rsidRPr="007358EC" w:rsidRDefault="007358EC" w:rsidP="00DA6452">
            <w:pPr>
              <w:spacing w:after="0" w:line="240" w:lineRule="auto"/>
              <w:contextualSpacing/>
              <w:jc w:val="both"/>
              <w:rPr>
                <w:rFonts w:ascii="Times New Roman" w:hAnsi="Times New Roman"/>
                <w:sz w:val="24"/>
                <w:szCs w:val="24"/>
              </w:rPr>
            </w:pPr>
            <w:r>
              <w:rPr>
                <w:rFonts w:ascii="Times New Roman" w:hAnsi="Times New Roman"/>
                <w:color w:val="000000"/>
                <w:sz w:val="24"/>
                <w:szCs w:val="24"/>
              </w:rPr>
              <w:t xml:space="preserve">Ievērojot, ka sakarā ar Ministru kabineta noteikumu projektā </w:t>
            </w:r>
            <w:r>
              <w:rPr>
                <w:rFonts w:ascii="Times New Roman" w:hAnsi="Times New Roman"/>
                <w:sz w:val="24"/>
                <w:szCs w:val="24"/>
              </w:rPr>
              <w:t>“Nodibinājuma “Akadēmiskās informācijas centrs”</w:t>
            </w:r>
            <w:r w:rsidRPr="000A7ABF">
              <w:rPr>
                <w:rFonts w:ascii="Times New Roman" w:hAnsi="Times New Roman"/>
                <w:sz w:val="24"/>
                <w:szCs w:val="24"/>
              </w:rPr>
              <w:t xml:space="preserve"> maksas pakalpojumu cenrādi</w:t>
            </w:r>
            <w:r>
              <w:rPr>
                <w:rFonts w:ascii="Times New Roman" w:hAnsi="Times New Roman"/>
                <w:sz w:val="24"/>
                <w:szCs w:val="24"/>
              </w:rPr>
              <w:t>s”</w:t>
            </w:r>
            <w:r>
              <w:rPr>
                <w:rFonts w:ascii="Times New Roman" w:hAnsi="Times New Roman"/>
                <w:sz w:val="24"/>
                <w:szCs w:val="24"/>
              </w:rPr>
              <w:t xml:space="preserve"> paredzētās akreditācijas izmaksas paaugstinās un lielākajai daļai augstākās izglītības institūciju 2019.gadā tas var veidot nepieciešamību pēc papildus finansiālajiem resursiem, ir paredzēta iespēja izvērtēt šādu pieprasījumu jauno politikas iniciatīvu 2019.gadam ietvaros. </w:t>
            </w:r>
          </w:p>
          <w:p w:rsidR="0036623D" w:rsidRPr="00C109CF" w:rsidRDefault="0036623D" w:rsidP="004A5ED9">
            <w:pPr>
              <w:spacing w:after="0" w:line="240" w:lineRule="auto"/>
              <w:contextualSpacing/>
              <w:jc w:val="both"/>
              <w:rPr>
                <w:rFonts w:ascii="Times New Roman" w:hAnsi="Times New Roman"/>
                <w:sz w:val="24"/>
                <w:szCs w:val="24"/>
              </w:rPr>
            </w:pPr>
          </w:p>
        </w:tc>
      </w:tr>
    </w:tbl>
    <w:p w:rsidR="00672225" w:rsidRPr="000A7ABF" w:rsidRDefault="00672225" w:rsidP="00C7273F">
      <w:pPr>
        <w:spacing w:after="0" w:line="360" w:lineRule="auto"/>
        <w:rPr>
          <w:rFonts w:ascii="Times New Roman" w:hAnsi="Times New Roman"/>
          <w:sz w:val="24"/>
          <w:szCs w:val="24"/>
        </w:rPr>
      </w:pPr>
    </w:p>
    <w:p w:rsidR="00672225" w:rsidRPr="000A7ABF" w:rsidRDefault="00672225" w:rsidP="00C7273F">
      <w:pPr>
        <w:spacing w:after="0" w:line="36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3"/>
        <w:gridCol w:w="6129"/>
      </w:tblGrid>
      <w:tr w:rsidR="000A7ABF" w:rsidRPr="000A7ABF" w:rsidTr="008D1C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A" w:rsidRPr="000A7ABF" w:rsidRDefault="008D1CAA" w:rsidP="008D1CAA">
            <w:pPr>
              <w:spacing w:after="0" w:line="240" w:lineRule="auto"/>
              <w:rPr>
                <w:rFonts w:ascii="Times New Roman" w:hAnsi="Times New Roman"/>
                <w:b/>
                <w:bCs/>
                <w:sz w:val="24"/>
                <w:szCs w:val="24"/>
              </w:rPr>
            </w:pPr>
            <w:r w:rsidRPr="000A7ABF">
              <w:rPr>
                <w:rFonts w:ascii="Times New Roman" w:hAnsi="Times New Roman"/>
                <w:b/>
                <w:bCs/>
                <w:sz w:val="24"/>
                <w:szCs w:val="24"/>
              </w:rPr>
              <w:t>IV. Tiesību akta projekta ietekme uz spēkā esošo tiesību normu sistēmu</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C41B6A">
            <w:pPr>
              <w:spacing w:after="0" w:line="240" w:lineRule="auto"/>
              <w:jc w:val="both"/>
              <w:rPr>
                <w:rFonts w:ascii="Times New Roman" w:hAnsi="Times New Roman"/>
                <w:sz w:val="24"/>
                <w:szCs w:val="24"/>
              </w:rPr>
            </w:pPr>
            <w:r w:rsidRPr="000A7ABF">
              <w:rPr>
                <w:rFonts w:ascii="Times New Roman" w:hAnsi="Times New Roman"/>
                <w:sz w:val="24"/>
                <w:szCs w:val="24"/>
              </w:rPr>
              <w:t>Ministru kabineta noteikum</w:t>
            </w:r>
            <w:r w:rsidR="007657DC">
              <w:rPr>
                <w:rFonts w:ascii="Times New Roman" w:hAnsi="Times New Roman"/>
                <w:sz w:val="24"/>
                <w:szCs w:val="24"/>
              </w:rPr>
              <w:t>i</w:t>
            </w:r>
            <w:r w:rsidRPr="000A7ABF">
              <w:rPr>
                <w:rFonts w:ascii="Times New Roman" w:hAnsi="Times New Roman"/>
                <w:sz w:val="24"/>
                <w:szCs w:val="24"/>
              </w:rPr>
              <w:t xml:space="preserve"> </w:t>
            </w:r>
            <w:r w:rsidR="00F37994">
              <w:rPr>
                <w:rFonts w:ascii="Times New Roman" w:hAnsi="Times New Roman"/>
                <w:sz w:val="24"/>
                <w:szCs w:val="24"/>
              </w:rPr>
              <w:t>“Nodibinājuma “Akadēmiskās informācijas centrs”</w:t>
            </w:r>
            <w:r w:rsidR="00F37994" w:rsidRPr="000A7ABF">
              <w:rPr>
                <w:rFonts w:ascii="Times New Roman" w:hAnsi="Times New Roman"/>
                <w:sz w:val="24"/>
                <w:szCs w:val="24"/>
              </w:rPr>
              <w:t xml:space="preserve"> maksas pakalpojumu cenrādi</w:t>
            </w:r>
            <w:r w:rsidR="00F37994">
              <w:rPr>
                <w:rFonts w:ascii="Times New Roman" w:hAnsi="Times New Roman"/>
                <w:sz w:val="24"/>
                <w:szCs w:val="24"/>
              </w:rPr>
              <w:t xml:space="preserve">s” </w:t>
            </w:r>
            <w:r w:rsidR="007657DC">
              <w:rPr>
                <w:rFonts w:ascii="Times New Roman" w:hAnsi="Times New Roman"/>
                <w:sz w:val="24"/>
                <w:szCs w:val="24"/>
              </w:rPr>
              <w:t xml:space="preserve">(projekts izsludināts Valsts sekretāru sanāksmē 2015.gada 28.maijā, </w:t>
            </w:r>
            <w:r w:rsidR="00520C32">
              <w:rPr>
                <w:rFonts w:ascii="Times New Roman" w:hAnsi="Times New Roman"/>
                <w:sz w:val="24"/>
                <w:szCs w:val="24"/>
              </w:rPr>
              <w:t>VSS-594 (prot.Nr.21; 16.§))</w:t>
            </w:r>
            <w:r w:rsidRPr="000A7ABF">
              <w:rPr>
                <w:rFonts w:ascii="Times New Roman" w:hAnsi="Times New Roman"/>
                <w:sz w:val="24"/>
                <w:szCs w:val="24"/>
              </w:rPr>
              <w:t xml:space="preserve">, lai noteiktu augstskolas, koledžas, studiju virziena akreditācijas un izmaiņu studiju virzienā izdevumu </w:t>
            </w:r>
            <w:r w:rsidR="00FC6AE2" w:rsidRPr="000A7ABF">
              <w:rPr>
                <w:rFonts w:ascii="Times New Roman" w:hAnsi="Times New Roman"/>
                <w:sz w:val="24"/>
                <w:szCs w:val="24"/>
              </w:rPr>
              <w:t>apmēru, un Ministru kabineta noteikum</w:t>
            </w:r>
            <w:r w:rsidR="00F37994">
              <w:rPr>
                <w:rFonts w:ascii="Times New Roman" w:hAnsi="Times New Roman"/>
                <w:sz w:val="24"/>
                <w:szCs w:val="24"/>
              </w:rPr>
              <w:t xml:space="preserve">i </w:t>
            </w:r>
            <w:r w:rsidR="00FC6AE2" w:rsidRPr="000A7ABF">
              <w:rPr>
                <w:rFonts w:ascii="Times New Roman" w:hAnsi="Times New Roman"/>
                <w:sz w:val="24"/>
                <w:szCs w:val="24"/>
              </w:rPr>
              <w:t xml:space="preserve"> </w:t>
            </w:r>
            <w:r w:rsidR="00F37994">
              <w:rPr>
                <w:rFonts w:ascii="Times New Roman" w:hAnsi="Times New Roman"/>
                <w:sz w:val="24"/>
                <w:szCs w:val="24"/>
              </w:rPr>
              <w:t>”S</w:t>
            </w:r>
            <w:r w:rsidR="00FC6AE2" w:rsidRPr="000A7ABF">
              <w:rPr>
                <w:rFonts w:ascii="Times New Roman" w:hAnsi="Times New Roman"/>
                <w:sz w:val="24"/>
                <w:szCs w:val="24"/>
              </w:rPr>
              <w:t>tudiju programmu licencēšan</w:t>
            </w:r>
            <w:r w:rsidR="00F37994">
              <w:rPr>
                <w:rFonts w:ascii="Times New Roman" w:hAnsi="Times New Roman"/>
                <w:sz w:val="24"/>
                <w:szCs w:val="24"/>
              </w:rPr>
              <w:t>as noteikumi”</w:t>
            </w:r>
            <w:r w:rsidR="00520C32">
              <w:rPr>
                <w:rFonts w:ascii="Times New Roman" w:hAnsi="Times New Roman"/>
                <w:sz w:val="24"/>
                <w:szCs w:val="24"/>
              </w:rPr>
              <w:t xml:space="preserve">  (projekts izsludināts Valsts sekretāru sanāksmē 2015.gada </w:t>
            </w:r>
            <w:r w:rsidR="00C41B6A">
              <w:rPr>
                <w:rFonts w:ascii="Times New Roman" w:hAnsi="Times New Roman"/>
                <w:sz w:val="24"/>
                <w:szCs w:val="24"/>
              </w:rPr>
              <w:t>23.aprīlī</w:t>
            </w:r>
            <w:r w:rsidR="00520C32">
              <w:rPr>
                <w:rFonts w:ascii="Times New Roman" w:hAnsi="Times New Roman"/>
                <w:sz w:val="24"/>
                <w:szCs w:val="24"/>
              </w:rPr>
              <w:t>, VSS-</w:t>
            </w:r>
            <w:r w:rsidR="00C41B6A">
              <w:rPr>
                <w:rFonts w:ascii="Times New Roman" w:hAnsi="Times New Roman"/>
                <w:sz w:val="24"/>
                <w:szCs w:val="24"/>
              </w:rPr>
              <w:t>359</w:t>
            </w:r>
            <w:r w:rsidR="00520C32">
              <w:rPr>
                <w:rFonts w:ascii="Times New Roman" w:hAnsi="Times New Roman"/>
                <w:sz w:val="24"/>
                <w:szCs w:val="24"/>
              </w:rPr>
              <w:t xml:space="preserve"> (prot.Nr.</w:t>
            </w:r>
            <w:r w:rsidR="00C41B6A">
              <w:rPr>
                <w:rFonts w:ascii="Times New Roman" w:hAnsi="Times New Roman"/>
                <w:sz w:val="24"/>
                <w:szCs w:val="24"/>
              </w:rPr>
              <w:t>16</w:t>
            </w:r>
            <w:r w:rsidR="00520C32">
              <w:rPr>
                <w:rFonts w:ascii="Times New Roman" w:hAnsi="Times New Roman"/>
                <w:sz w:val="24"/>
                <w:szCs w:val="24"/>
              </w:rPr>
              <w:t xml:space="preserve">; </w:t>
            </w:r>
            <w:r w:rsidR="00C41B6A">
              <w:rPr>
                <w:rFonts w:ascii="Times New Roman" w:hAnsi="Times New Roman"/>
                <w:sz w:val="24"/>
                <w:szCs w:val="24"/>
              </w:rPr>
              <w:t>9</w:t>
            </w:r>
            <w:r w:rsidR="008A1EF2">
              <w:rPr>
                <w:rFonts w:ascii="Times New Roman" w:hAnsi="Times New Roman"/>
                <w:sz w:val="24"/>
                <w:szCs w:val="24"/>
              </w:rPr>
              <w:t>.§)</w:t>
            </w:r>
            <w:r w:rsidR="00520C32">
              <w:rPr>
                <w:rFonts w:ascii="Times New Roman" w:hAnsi="Times New Roman"/>
                <w:sz w:val="24"/>
                <w:szCs w:val="24"/>
              </w:rPr>
              <w:t>)</w:t>
            </w:r>
            <w:r w:rsidR="00FC6AE2" w:rsidRPr="000A7ABF">
              <w:rPr>
                <w:rFonts w:ascii="Times New Roman" w:hAnsi="Times New Roman"/>
                <w:sz w:val="24"/>
                <w:szCs w:val="24"/>
              </w:rPr>
              <w:t>.</w:t>
            </w:r>
            <w:r w:rsidRPr="000A7ABF">
              <w:rPr>
                <w:rFonts w:ascii="Times New Roman" w:hAnsi="Times New Roman"/>
                <w:sz w:val="24"/>
                <w:szCs w:val="24"/>
              </w:rPr>
              <w:t xml:space="preserve"> </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Izglītības un zinātnes ministrija.</w:t>
            </w:r>
          </w:p>
        </w:tc>
      </w:tr>
      <w:tr w:rsidR="000A7ABF" w:rsidRPr="000A7ABF" w:rsidTr="008D1C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8D1CAA" w:rsidRPr="000A7ABF" w:rsidRDefault="008D1CAA" w:rsidP="008D1CAA">
            <w:pPr>
              <w:spacing w:after="0" w:line="240" w:lineRule="auto"/>
              <w:rPr>
                <w:rFonts w:ascii="Times New Roman" w:hAnsi="Times New Roman"/>
                <w:sz w:val="24"/>
                <w:szCs w:val="24"/>
              </w:rPr>
            </w:pPr>
            <w:r w:rsidRPr="000A7ABF">
              <w:rPr>
                <w:rFonts w:ascii="Times New Roman" w:hAnsi="Times New Roman"/>
                <w:sz w:val="24"/>
                <w:szCs w:val="24"/>
              </w:rPr>
              <w:t>Nav.</w:t>
            </w:r>
          </w:p>
        </w:tc>
      </w:tr>
    </w:tbl>
    <w:p w:rsidR="008D1CAA" w:rsidRDefault="008D1CAA" w:rsidP="00C7273F">
      <w:pPr>
        <w:spacing w:after="0" w:line="360" w:lineRule="auto"/>
        <w:rPr>
          <w:rFonts w:ascii="Times New Roman" w:hAnsi="Times New Roman"/>
          <w:sz w:val="24"/>
          <w:szCs w:val="24"/>
        </w:rPr>
      </w:pPr>
    </w:p>
    <w:p w:rsidR="008A1EF2" w:rsidRPr="000A7ABF" w:rsidRDefault="008A1EF2" w:rsidP="00C7273F">
      <w:pPr>
        <w:spacing w:after="0" w:line="36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5"/>
        <w:gridCol w:w="6037"/>
      </w:tblGrid>
      <w:tr w:rsidR="000A7ABF" w:rsidRPr="000A7ABF" w:rsidTr="00F36C6F">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12271" w:rsidRPr="000A7ABF" w:rsidRDefault="00812271" w:rsidP="00F36C6F">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VI. Sabiedrības līdzdalība un komunikācijas aktivitātes</w:t>
            </w:r>
          </w:p>
        </w:tc>
      </w:tr>
      <w:tr w:rsidR="000A7ABF" w:rsidRPr="000A7ABF"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AE6D11" w:rsidP="00834E6B">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Augstākās izglītības padome, Rektoru padome, Akadēmiskās informācijas centr</w:t>
            </w:r>
            <w:r w:rsidR="00834E6B">
              <w:rPr>
                <w:rFonts w:ascii="Times New Roman" w:eastAsia="Times New Roman" w:hAnsi="Times New Roman"/>
                <w:sz w:val="24"/>
                <w:szCs w:val="24"/>
                <w:lang w:eastAsia="lv-LV"/>
              </w:rPr>
              <w:t>s</w:t>
            </w:r>
            <w:r w:rsidRPr="000A7ABF">
              <w:rPr>
                <w:rFonts w:ascii="Times New Roman" w:eastAsia="Times New Roman" w:hAnsi="Times New Roman"/>
                <w:sz w:val="24"/>
                <w:szCs w:val="24"/>
                <w:lang w:eastAsia="lv-LV"/>
              </w:rPr>
              <w:t xml:space="preserve">, Latvijas Darba devēju konfederācija, Latvijas Koledžu asociācija, Latvijas Studentu apvienība un Latvijas Izglītības un zinātnes darbinieku arodbiedrība </w:t>
            </w:r>
            <w:r w:rsidR="00834E6B">
              <w:rPr>
                <w:rFonts w:ascii="Times New Roman" w:eastAsia="Times New Roman" w:hAnsi="Times New Roman"/>
                <w:sz w:val="24"/>
                <w:szCs w:val="24"/>
                <w:lang w:eastAsia="lv-LV"/>
              </w:rPr>
              <w:t>sniedza</w:t>
            </w:r>
            <w:r w:rsidRPr="000A7ABF">
              <w:rPr>
                <w:rFonts w:ascii="Times New Roman" w:eastAsia="Times New Roman" w:hAnsi="Times New Roman"/>
                <w:sz w:val="24"/>
                <w:szCs w:val="24"/>
                <w:lang w:eastAsia="lv-LV"/>
              </w:rPr>
              <w:t xml:space="preserve"> atzinumu par projektu.</w:t>
            </w:r>
            <w:r w:rsidR="00834E6B">
              <w:rPr>
                <w:rFonts w:ascii="Times New Roman" w:eastAsia="Times New Roman" w:hAnsi="Times New Roman"/>
                <w:sz w:val="24"/>
                <w:szCs w:val="24"/>
                <w:lang w:eastAsia="lv-LV"/>
              </w:rPr>
              <w:t xml:space="preserve"> </w:t>
            </w:r>
            <w:r w:rsidR="00A6480C">
              <w:rPr>
                <w:rFonts w:ascii="Times New Roman" w:eastAsia="Times New Roman" w:hAnsi="Times New Roman"/>
                <w:sz w:val="24"/>
                <w:szCs w:val="24"/>
                <w:lang w:eastAsia="lv-LV"/>
              </w:rPr>
              <w:t xml:space="preserve">Pirms izsludināšanas valsts </w:t>
            </w:r>
            <w:r w:rsidR="00A6480C">
              <w:rPr>
                <w:rFonts w:ascii="Times New Roman" w:eastAsia="Times New Roman" w:hAnsi="Times New Roman"/>
                <w:sz w:val="24"/>
                <w:szCs w:val="24"/>
                <w:lang w:eastAsia="lv-LV"/>
              </w:rPr>
              <w:lastRenderedPageBreak/>
              <w:t>sekretāru sanāksmē projekts tika publicēts Izglītības un zinātnes ministrijas mājas lapā.</w:t>
            </w:r>
          </w:p>
        </w:tc>
      </w:tr>
      <w:tr w:rsidR="000A7ABF" w:rsidRPr="000A7ABF"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lastRenderedPageBreak/>
              <w:t>2.</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FB77D9" w:rsidP="00356D61">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sz w:val="24"/>
                <w:szCs w:val="24"/>
                <w:lang w:eastAsia="lv-LV"/>
              </w:rPr>
              <w:t>Ar Izglītības un zinātnes ministrijas 2015.gada 23.janvāra rīkojumu Nr.80 “Par darba grupas izveidi normatīvo aktu grozījumu, kas saistīti ar augstākās izglītības ārējās kvalitātes nodrošināšanas funkciju nodošanu Akadēmiskās informācijas centram, izstrādei” izveidota darba grupa, kuras sastāvā iekļauti Augstākās izglītības padomes, Rektoru padomes, Akadēmiskās informācijas centra, Izglītības un zinātnes ministrijas, Latvijas Darba devēju konfederācijas, Latvijas Koledžu asociācijas, Latvijas Studentu apvienības, Latvijas Izglītības un zinātnes darbin</w:t>
            </w:r>
            <w:r w:rsidR="00A6480C">
              <w:rPr>
                <w:rFonts w:ascii="Times New Roman" w:eastAsia="Times New Roman" w:hAnsi="Times New Roman"/>
                <w:bCs/>
                <w:sz w:val="24"/>
                <w:szCs w:val="24"/>
                <w:lang w:eastAsia="lv-LV"/>
              </w:rPr>
              <w:t xml:space="preserve">ieku arodbiedrības pārstāvji, </w:t>
            </w:r>
            <w:r w:rsidRPr="000A7ABF">
              <w:rPr>
                <w:rFonts w:ascii="Times New Roman" w:eastAsia="Times New Roman" w:hAnsi="Times New Roman"/>
                <w:bCs/>
                <w:sz w:val="24"/>
                <w:szCs w:val="24"/>
                <w:lang w:eastAsia="lv-LV"/>
              </w:rPr>
              <w:t>kā arī piesaistīti individuāli eksperti.</w:t>
            </w:r>
            <w:r w:rsidR="00356D61">
              <w:rPr>
                <w:rFonts w:ascii="Times New Roman" w:eastAsia="Times New Roman" w:hAnsi="Times New Roman"/>
                <w:bCs/>
                <w:sz w:val="24"/>
                <w:szCs w:val="24"/>
                <w:lang w:eastAsia="lv-LV"/>
              </w:rPr>
              <w:t xml:space="preserve"> Projekts tika apspriests</w:t>
            </w:r>
            <w:r w:rsidR="00A6480C">
              <w:rPr>
                <w:rFonts w:ascii="Times New Roman" w:eastAsia="Times New Roman" w:hAnsi="Times New Roman"/>
                <w:bCs/>
                <w:sz w:val="24"/>
                <w:szCs w:val="24"/>
                <w:lang w:eastAsia="lv-LV"/>
              </w:rPr>
              <w:t xml:space="preserve"> </w:t>
            </w:r>
            <w:r w:rsidR="00A6480C" w:rsidRPr="00A6480C">
              <w:rPr>
                <w:rFonts w:ascii="Times New Roman" w:eastAsia="Times New Roman" w:hAnsi="Times New Roman"/>
                <w:bCs/>
                <w:sz w:val="24"/>
                <w:szCs w:val="24"/>
                <w:lang w:eastAsia="lv-LV"/>
              </w:rPr>
              <w:t xml:space="preserve">Saeimas </w:t>
            </w:r>
            <w:r w:rsidR="00A6480C" w:rsidRPr="004D1320">
              <w:rPr>
                <w:rFonts w:ascii="Times New Roman" w:hAnsi="Times New Roman"/>
                <w:bCs/>
                <w:sz w:val="24"/>
                <w:szCs w:val="24"/>
              </w:rPr>
              <w:t xml:space="preserve">Izglītības, kultūras un zinātnes komisijas </w:t>
            </w:r>
            <w:r w:rsidR="00A6480C">
              <w:rPr>
                <w:rFonts w:ascii="Times New Roman" w:hAnsi="Times New Roman"/>
                <w:bCs/>
                <w:sz w:val="24"/>
                <w:szCs w:val="24"/>
              </w:rPr>
              <w:t>2015.gada 27.maija sēdē,</w:t>
            </w:r>
            <w:r w:rsidR="00A6480C" w:rsidRPr="00A6480C">
              <w:rPr>
                <w:rFonts w:ascii="Times New Roman" w:eastAsia="Times New Roman" w:hAnsi="Times New Roman"/>
                <w:bCs/>
                <w:sz w:val="24"/>
                <w:szCs w:val="24"/>
                <w:lang w:eastAsia="lv-LV"/>
              </w:rPr>
              <w:t xml:space="preserve"> </w:t>
            </w:r>
            <w:r w:rsidR="00356D61" w:rsidRPr="00A6480C">
              <w:rPr>
                <w:rFonts w:ascii="Times New Roman" w:eastAsia="Times New Roman" w:hAnsi="Times New Roman"/>
                <w:bCs/>
                <w:sz w:val="24"/>
                <w:szCs w:val="24"/>
                <w:lang w:eastAsia="lv-LV"/>
              </w:rPr>
              <w:t xml:space="preserve"> Rektoru padomes sēdēs 2015.gada 24.aprīlī un 18.jūnijā, augstskolu pārstāvju sanāksmē 2015.gada </w:t>
            </w:r>
            <w:r w:rsidR="00356D61" w:rsidRPr="004D1320">
              <w:rPr>
                <w:rFonts w:ascii="Times New Roman" w:eastAsia="Times New Roman" w:hAnsi="Times New Roman"/>
                <w:bCs/>
                <w:sz w:val="24"/>
                <w:szCs w:val="24"/>
                <w:lang w:eastAsia="lv-LV"/>
              </w:rPr>
              <w:t>6.maijā</w:t>
            </w:r>
            <w:r w:rsidR="00356D61" w:rsidRPr="00A6480C">
              <w:rPr>
                <w:rFonts w:ascii="Times New Roman" w:eastAsia="Times New Roman" w:hAnsi="Times New Roman"/>
                <w:bCs/>
                <w:sz w:val="24"/>
                <w:szCs w:val="24"/>
                <w:lang w:eastAsia="lv-LV"/>
              </w:rPr>
              <w:t xml:space="preserve">. </w:t>
            </w:r>
          </w:p>
        </w:tc>
      </w:tr>
      <w:tr w:rsidR="000A7ABF" w:rsidRPr="000A7ABF"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AE6D11" w:rsidP="00AE6D11">
            <w:pPr>
              <w:spacing w:after="0" w:line="240" w:lineRule="auto"/>
              <w:jc w:val="both"/>
              <w:rPr>
                <w:rFonts w:ascii="Times New Roman" w:eastAsia="Times New Roman" w:hAnsi="Times New Roman"/>
                <w:sz w:val="24"/>
                <w:szCs w:val="24"/>
                <w:lang w:eastAsia="lv-LV"/>
              </w:rPr>
            </w:pPr>
            <w:r w:rsidRPr="000A7ABF">
              <w:rPr>
                <w:rFonts w:ascii="Times New Roman" w:hAnsi="Times New Roman"/>
                <w:sz w:val="24"/>
                <w:szCs w:val="24"/>
              </w:rPr>
              <w:t>Augstākās izglītības padome, Rektoru padome, Akadēmiskās informācijas centrs, Latvijas Darba devēju konfederācija, Latvijas Koledžu asociācija, Latvijas Studentu apvienība un Latvijas Izglītības un zinātnes darbinieku arodbiedrība darba grupas ietvaros sniedza priekšlikumus projekta i</w:t>
            </w:r>
            <w:r w:rsidR="00BF7F09" w:rsidRPr="000A7ABF">
              <w:rPr>
                <w:rFonts w:ascii="Times New Roman" w:hAnsi="Times New Roman"/>
                <w:sz w:val="24"/>
                <w:szCs w:val="24"/>
              </w:rPr>
              <w:t>zstrādes procesā</w:t>
            </w:r>
            <w:r w:rsidRPr="000A7ABF">
              <w:rPr>
                <w:rFonts w:ascii="Times New Roman" w:hAnsi="Times New Roman"/>
                <w:sz w:val="24"/>
                <w:szCs w:val="24"/>
              </w:rPr>
              <w:t>, kā arī par projektu sniegs atzinumu</w:t>
            </w:r>
            <w:r w:rsidR="00356D61">
              <w:rPr>
                <w:rFonts w:ascii="Times New Roman" w:hAnsi="Times New Roman"/>
                <w:sz w:val="24"/>
                <w:szCs w:val="24"/>
              </w:rPr>
              <w:t>, kopumā sniedzot būtisku ieguldījumu projekta sagatavošanā</w:t>
            </w:r>
            <w:r w:rsidRPr="000A7ABF">
              <w:rPr>
                <w:rFonts w:ascii="Times New Roman" w:hAnsi="Times New Roman"/>
                <w:sz w:val="24"/>
                <w:szCs w:val="24"/>
              </w:rPr>
              <w:t>.</w:t>
            </w:r>
          </w:p>
        </w:tc>
      </w:tr>
      <w:tr w:rsidR="000A7ABF" w:rsidRPr="000A7ABF"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812271" w:rsidRPr="000A7ABF" w:rsidRDefault="00812271" w:rsidP="00F36C6F">
            <w:pPr>
              <w:spacing w:before="100" w:beforeAutospacing="1" w:after="100" w:afterAutospacing="1" w:line="36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Nav.</w:t>
            </w:r>
          </w:p>
        </w:tc>
      </w:tr>
    </w:tbl>
    <w:p w:rsidR="00C96AD3" w:rsidRDefault="00C96AD3" w:rsidP="00C7273F">
      <w:pPr>
        <w:spacing w:after="0" w:line="360" w:lineRule="auto"/>
        <w:jc w:val="both"/>
        <w:rPr>
          <w:rFonts w:ascii="Times New Roman" w:eastAsia="Times New Roman" w:hAnsi="Times New Roman"/>
          <w:sz w:val="24"/>
          <w:szCs w:val="24"/>
          <w:lang w:eastAsia="lv-LV"/>
        </w:rPr>
      </w:pPr>
    </w:p>
    <w:p w:rsidR="008A1EF2" w:rsidRPr="000A7ABF" w:rsidRDefault="008A1EF2" w:rsidP="00C7273F">
      <w:pPr>
        <w:spacing w:after="0" w:line="36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3"/>
        <w:gridCol w:w="5299"/>
      </w:tblGrid>
      <w:tr w:rsidR="000A7ABF" w:rsidRPr="000A7ABF"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AD3" w:rsidRPr="000A7ABF"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0A7ABF">
              <w:rPr>
                <w:rFonts w:ascii="Times New Roman" w:eastAsia="Times New Roman" w:hAnsi="Times New Roman"/>
                <w:b/>
                <w:bCs/>
                <w:sz w:val="24"/>
                <w:szCs w:val="24"/>
                <w:lang w:eastAsia="lv-LV"/>
              </w:rPr>
              <w:t>VII. Tiesību akta projekta izpildes nodrošināšana un tās ietekme uz institūcijām</w:t>
            </w:r>
          </w:p>
        </w:tc>
      </w:tr>
      <w:tr w:rsidR="000A7ABF" w:rsidRPr="000A7ABF"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854313"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w:t>
            </w:r>
            <w:r w:rsidR="009E2D98" w:rsidRPr="000A7ABF">
              <w:rPr>
                <w:rFonts w:ascii="Times New Roman" w:eastAsia="Times New Roman" w:hAnsi="Times New Roman"/>
                <w:sz w:val="24"/>
                <w:szCs w:val="24"/>
                <w:lang w:eastAsia="lv-LV"/>
              </w:rPr>
              <w:t xml:space="preserve"> centrs un Akadēmiskās informācijas centra izveidota Studiju akreditācijas komisija</w:t>
            </w:r>
            <w:r w:rsidR="00313AB9" w:rsidRPr="000A7ABF">
              <w:rPr>
                <w:rFonts w:ascii="Times New Roman" w:eastAsia="Times New Roman" w:hAnsi="Times New Roman"/>
                <w:sz w:val="24"/>
                <w:szCs w:val="24"/>
                <w:lang w:eastAsia="lv-LV"/>
              </w:rPr>
              <w:t>,</w:t>
            </w:r>
            <w:r w:rsidR="00FC6AE2" w:rsidRPr="000A7ABF">
              <w:rPr>
                <w:rFonts w:ascii="Times New Roman" w:eastAsia="Times New Roman" w:hAnsi="Times New Roman"/>
                <w:sz w:val="24"/>
                <w:szCs w:val="24"/>
                <w:lang w:eastAsia="lv-LV"/>
              </w:rPr>
              <w:t xml:space="preserve"> Augstākās izglītības padome,</w:t>
            </w:r>
            <w:r w:rsidR="00313AB9" w:rsidRPr="000A7ABF">
              <w:rPr>
                <w:rFonts w:ascii="Times New Roman" w:eastAsia="Times New Roman" w:hAnsi="Times New Roman"/>
                <w:sz w:val="24"/>
                <w:szCs w:val="24"/>
                <w:lang w:eastAsia="lv-LV"/>
              </w:rPr>
              <w:t xml:space="preserve"> Izglītības un zinātnes ministrija,</w:t>
            </w:r>
            <w:r w:rsidR="00FC6AE2" w:rsidRPr="000A7ABF">
              <w:rPr>
                <w:rFonts w:ascii="Times New Roman" w:eastAsia="Times New Roman" w:hAnsi="Times New Roman"/>
                <w:sz w:val="24"/>
                <w:szCs w:val="24"/>
                <w:lang w:eastAsia="lv-LV"/>
              </w:rPr>
              <w:t xml:space="preserve"> Augstākās izglītības kvalitātes nodrošināšanas padome,</w:t>
            </w:r>
            <w:r w:rsidR="00313AB9" w:rsidRPr="000A7ABF">
              <w:rPr>
                <w:rFonts w:ascii="Times New Roman" w:eastAsia="Times New Roman" w:hAnsi="Times New Roman"/>
                <w:sz w:val="24"/>
                <w:szCs w:val="24"/>
                <w:lang w:eastAsia="lv-LV"/>
              </w:rPr>
              <w:t xml:space="preserve"> augstskolas un koledžas.</w:t>
            </w:r>
          </w:p>
        </w:tc>
      </w:tr>
      <w:tr w:rsidR="000A7ABF" w:rsidRPr="000A7ABF"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1D6B05" w:rsidP="008D1CAA">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 xml:space="preserve">Tiek paredzēts, ka Akadēmiskās </w:t>
            </w:r>
            <w:r w:rsidR="00200A9A" w:rsidRPr="000A7ABF">
              <w:rPr>
                <w:rFonts w:ascii="Times New Roman" w:eastAsia="Times New Roman" w:hAnsi="Times New Roman"/>
                <w:sz w:val="24"/>
                <w:szCs w:val="24"/>
                <w:lang w:eastAsia="lv-LV"/>
              </w:rPr>
              <w:t>informācijas centrs organizē augstskolu, koledžu un studiju virzienu akreditā</w:t>
            </w:r>
            <w:r w:rsidR="00854313" w:rsidRPr="000A7ABF">
              <w:rPr>
                <w:rFonts w:ascii="Times New Roman" w:eastAsia="Times New Roman" w:hAnsi="Times New Roman"/>
                <w:sz w:val="24"/>
                <w:szCs w:val="24"/>
                <w:lang w:eastAsia="lv-LV"/>
              </w:rPr>
              <w:t>ciju</w:t>
            </w:r>
            <w:r w:rsidR="00200A9A" w:rsidRPr="000A7ABF">
              <w:rPr>
                <w:rFonts w:ascii="Times New Roman" w:eastAsia="Times New Roman" w:hAnsi="Times New Roman"/>
                <w:sz w:val="24"/>
                <w:szCs w:val="24"/>
                <w:lang w:eastAsia="lv-LV"/>
              </w:rPr>
              <w:t xml:space="preserve"> papildus tām funkcijām, ko jau veic.</w:t>
            </w:r>
          </w:p>
          <w:p w:rsidR="00672225" w:rsidRPr="000A7ABF" w:rsidRDefault="00854313"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 centrā tiks izveidots Augstākās izglītības kvalitātes nodrošināšanas departaments augstskolu, koledžu un studiju virzienu akreditācijas funkcijas nodrošināšanai.</w:t>
            </w:r>
          </w:p>
          <w:p w:rsidR="00854313" w:rsidRPr="000A7ABF" w:rsidRDefault="00672225"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Akadēmiskās informācijas centrā izveidotajā kvalitātes nodrošināšanas departamentā paredzēts nodarbināt sešus cilvēkus.</w:t>
            </w:r>
          </w:p>
          <w:p w:rsidR="00672225" w:rsidRPr="000A7ABF" w:rsidRDefault="00672225" w:rsidP="009E2D98">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Izglītības un zinātnes ministrija, augstskolas un koledžas, Izglītības kvalitātes valsts dienests projektu īstenos esošo cilvēkresursu ietvaros.</w:t>
            </w:r>
          </w:p>
        </w:tc>
      </w:tr>
      <w:tr w:rsidR="000A7ABF" w:rsidRPr="000A7ABF"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AD3" w:rsidRPr="000A7ABF"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Nav.</w:t>
            </w:r>
          </w:p>
        </w:tc>
      </w:tr>
    </w:tbl>
    <w:p w:rsidR="00392D00" w:rsidRPr="000A7ABF" w:rsidRDefault="00392D00" w:rsidP="005C42B1">
      <w:pPr>
        <w:spacing w:after="0" w:line="240" w:lineRule="auto"/>
        <w:rPr>
          <w:rFonts w:ascii="Times New Roman" w:eastAsia="Times New Roman" w:hAnsi="Times New Roman"/>
          <w:sz w:val="24"/>
          <w:szCs w:val="24"/>
          <w:lang w:eastAsia="lv-LV"/>
        </w:rPr>
      </w:pPr>
    </w:p>
    <w:p w:rsidR="007C5781" w:rsidRPr="000A7ABF" w:rsidRDefault="00854313" w:rsidP="005C42B1">
      <w:pPr>
        <w:autoSpaceDE w:val="0"/>
        <w:autoSpaceDN w:val="0"/>
        <w:adjustRightInd w:val="0"/>
        <w:spacing w:after="0" w:line="240" w:lineRule="auto"/>
        <w:rPr>
          <w:rFonts w:ascii="Times New Roman" w:hAnsi="Times New Roman"/>
          <w:sz w:val="24"/>
          <w:szCs w:val="24"/>
        </w:rPr>
      </w:pPr>
      <w:r w:rsidRPr="000A7ABF">
        <w:rPr>
          <w:rFonts w:ascii="Times New Roman" w:hAnsi="Times New Roman"/>
          <w:i/>
          <w:sz w:val="24"/>
          <w:szCs w:val="24"/>
        </w:rPr>
        <w:t>Anotācijas</w:t>
      </w:r>
      <w:r w:rsidR="00812271" w:rsidRPr="000A7ABF">
        <w:rPr>
          <w:rFonts w:ascii="Times New Roman" w:hAnsi="Times New Roman"/>
          <w:i/>
          <w:sz w:val="24"/>
          <w:szCs w:val="24"/>
        </w:rPr>
        <w:t xml:space="preserve"> </w:t>
      </w:r>
      <w:r w:rsidR="002814C9" w:rsidRPr="000A7ABF">
        <w:rPr>
          <w:rFonts w:ascii="Times New Roman" w:hAnsi="Times New Roman"/>
          <w:i/>
          <w:sz w:val="24"/>
          <w:szCs w:val="24"/>
        </w:rPr>
        <w:t xml:space="preserve">III, </w:t>
      </w:r>
      <w:r w:rsidR="00812271" w:rsidRPr="000A7ABF">
        <w:rPr>
          <w:rFonts w:ascii="Times New Roman" w:hAnsi="Times New Roman"/>
          <w:i/>
          <w:sz w:val="24"/>
          <w:szCs w:val="24"/>
        </w:rPr>
        <w:t xml:space="preserve">V sadaļa - </w:t>
      </w:r>
      <w:r w:rsidR="00BB24B4" w:rsidRPr="000A7ABF">
        <w:rPr>
          <w:rFonts w:ascii="Times New Roman" w:eastAsia="Times New Roman" w:hAnsi="Times New Roman"/>
          <w:i/>
          <w:sz w:val="24"/>
          <w:szCs w:val="24"/>
          <w:lang w:eastAsia="lv-LV"/>
        </w:rPr>
        <w:t xml:space="preserve">noteikumu </w:t>
      </w:r>
      <w:r w:rsidR="00812271" w:rsidRPr="000A7ABF">
        <w:rPr>
          <w:rFonts w:ascii="Times New Roman" w:eastAsia="Times New Roman" w:hAnsi="Times New Roman"/>
          <w:i/>
          <w:sz w:val="24"/>
          <w:szCs w:val="24"/>
          <w:lang w:eastAsia="lv-LV"/>
        </w:rPr>
        <w:t>projekts šīs jomas neskar</w:t>
      </w:r>
      <w:r w:rsidR="00812271" w:rsidRPr="000A7ABF">
        <w:rPr>
          <w:rFonts w:ascii="Times New Roman" w:eastAsia="Times New Roman" w:hAnsi="Times New Roman"/>
          <w:sz w:val="24"/>
          <w:szCs w:val="24"/>
          <w:lang w:eastAsia="lv-LV"/>
        </w:rPr>
        <w:t>.</w:t>
      </w:r>
    </w:p>
    <w:p w:rsidR="00322FF1" w:rsidRPr="000A7ABF" w:rsidRDefault="00322FF1" w:rsidP="005C42B1">
      <w:pPr>
        <w:autoSpaceDE w:val="0"/>
        <w:autoSpaceDN w:val="0"/>
        <w:adjustRightInd w:val="0"/>
        <w:spacing w:after="0" w:line="240" w:lineRule="auto"/>
        <w:rPr>
          <w:rFonts w:ascii="Times New Roman" w:hAnsi="Times New Roman"/>
          <w:sz w:val="24"/>
          <w:szCs w:val="24"/>
        </w:rPr>
      </w:pPr>
    </w:p>
    <w:p w:rsidR="00C7273F" w:rsidRPr="000A7ABF" w:rsidRDefault="00C7273F" w:rsidP="005C42B1">
      <w:pPr>
        <w:autoSpaceDE w:val="0"/>
        <w:autoSpaceDN w:val="0"/>
        <w:adjustRightInd w:val="0"/>
        <w:spacing w:after="0" w:line="240" w:lineRule="auto"/>
        <w:rPr>
          <w:rFonts w:ascii="Times New Roman" w:hAnsi="Times New Roman"/>
          <w:sz w:val="24"/>
          <w:szCs w:val="24"/>
        </w:rPr>
      </w:pPr>
    </w:p>
    <w:p w:rsidR="00C7273F" w:rsidRPr="000A7ABF" w:rsidRDefault="00C7273F" w:rsidP="005C42B1">
      <w:pPr>
        <w:autoSpaceDE w:val="0"/>
        <w:autoSpaceDN w:val="0"/>
        <w:adjustRightInd w:val="0"/>
        <w:spacing w:after="0" w:line="240" w:lineRule="auto"/>
        <w:rPr>
          <w:rFonts w:ascii="Times New Roman" w:hAnsi="Times New Roman"/>
          <w:sz w:val="24"/>
          <w:szCs w:val="24"/>
        </w:rPr>
      </w:pPr>
    </w:p>
    <w:p w:rsidR="00F31126" w:rsidRPr="000A7ABF" w:rsidRDefault="00A76C0A" w:rsidP="00F31126">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I</w:t>
      </w:r>
      <w:r w:rsidR="00F31126" w:rsidRPr="000A7ABF">
        <w:rPr>
          <w:rFonts w:ascii="Times New Roman" w:eastAsia="Times New Roman" w:hAnsi="Times New Roman"/>
          <w:sz w:val="24"/>
          <w:szCs w:val="24"/>
          <w:lang w:eastAsia="lv-LV"/>
        </w:rPr>
        <w:t>zglītības un zinātne</w:t>
      </w:r>
      <w:r w:rsidRPr="000A7ABF">
        <w:rPr>
          <w:rFonts w:ascii="Times New Roman" w:eastAsia="Times New Roman" w:hAnsi="Times New Roman"/>
          <w:sz w:val="24"/>
          <w:szCs w:val="24"/>
          <w:lang w:eastAsia="lv-LV"/>
        </w:rPr>
        <w:t>s ministre</w:t>
      </w:r>
      <w:r w:rsidRPr="000A7ABF">
        <w:rPr>
          <w:rFonts w:ascii="Times New Roman" w:eastAsia="Times New Roman" w:hAnsi="Times New Roman"/>
          <w:sz w:val="24"/>
          <w:szCs w:val="24"/>
          <w:lang w:eastAsia="lv-LV"/>
        </w:rPr>
        <w:tab/>
      </w:r>
      <w:r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 xml:space="preserve"> </w:t>
      </w:r>
      <w:r w:rsidR="00F31126"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ab/>
      </w:r>
      <w:r w:rsidR="00854313" w:rsidRPr="000A7ABF">
        <w:rPr>
          <w:rFonts w:ascii="Times New Roman" w:eastAsia="Times New Roman" w:hAnsi="Times New Roman"/>
          <w:sz w:val="24"/>
          <w:szCs w:val="24"/>
          <w:lang w:eastAsia="lv-LV"/>
        </w:rPr>
        <w:tab/>
      </w:r>
      <w:r w:rsidR="00F31126" w:rsidRPr="000A7ABF">
        <w:rPr>
          <w:rFonts w:ascii="Times New Roman" w:eastAsia="Times New Roman" w:hAnsi="Times New Roman"/>
          <w:sz w:val="24"/>
          <w:szCs w:val="24"/>
          <w:lang w:eastAsia="lv-LV"/>
        </w:rPr>
        <w:t xml:space="preserve">    </w:t>
      </w:r>
      <w:r w:rsidR="00F31126" w:rsidRPr="000A7ABF">
        <w:rPr>
          <w:rFonts w:ascii="Times New Roman" w:eastAsia="Times New Roman" w:hAnsi="Times New Roman"/>
          <w:sz w:val="24"/>
          <w:szCs w:val="24"/>
          <w:lang w:eastAsia="lv-LV"/>
        </w:rPr>
        <w:tab/>
      </w:r>
      <w:r w:rsidRPr="000A7ABF">
        <w:rPr>
          <w:rFonts w:ascii="Times New Roman" w:eastAsia="Times New Roman" w:hAnsi="Times New Roman"/>
          <w:sz w:val="24"/>
          <w:szCs w:val="24"/>
          <w:lang w:eastAsia="lv-LV"/>
        </w:rPr>
        <w:t>Mārīte Seile</w:t>
      </w:r>
    </w:p>
    <w:p w:rsidR="00F31126" w:rsidRPr="000A7ABF" w:rsidRDefault="00F31126" w:rsidP="00F31126">
      <w:pPr>
        <w:spacing w:after="0" w:line="240" w:lineRule="auto"/>
        <w:ind w:firstLine="720"/>
        <w:jc w:val="both"/>
        <w:rPr>
          <w:rFonts w:ascii="Times New Roman" w:eastAsia="Times New Roman" w:hAnsi="Times New Roman"/>
          <w:sz w:val="24"/>
          <w:szCs w:val="24"/>
          <w:lang w:eastAsia="lv-LV"/>
        </w:rPr>
      </w:pPr>
    </w:p>
    <w:p w:rsidR="00322FF1" w:rsidRPr="000A7ABF" w:rsidRDefault="00322FF1" w:rsidP="00012B57">
      <w:pPr>
        <w:spacing w:after="0" w:line="240" w:lineRule="auto"/>
        <w:jc w:val="both"/>
        <w:rPr>
          <w:rFonts w:ascii="Times New Roman" w:eastAsia="Times New Roman" w:hAnsi="Times New Roman"/>
          <w:sz w:val="24"/>
          <w:szCs w:val="24"/>
          <w:lang w:eastAsia="lv-LV"/>
        </w:rPr>
      </w:pPr>
    </w:p>
    <w:p w:rsidR="00A76C0A" w:rsidRPr="000A7ABF" w:rsidRDefault="00A76C0A" w:rsidP="00012B57">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sz w:val="24"/>
          <w:szCs w:val="24"/>
          <w:lang w:eastAsia="lv-LV"/>
        </w:rPr>
        <w:t>Vizē:</w:t>
      </w:r>
    </w:p>
    <w:p w:rsidR="00012B57" w:rsidRPr="000A7ABF" w:rsidRDefault="00012B57" w:rsidP="00012B57">
      <w:pPr>
        <w:spacing w:after="0" w:line="240" w:lineRule="auto"/>
        <w:jc w:val="both"/>
        <w:rPr>
          <w:rFonts w:ascii="Times New Roman" w:eastAsia="Times New Roman" w:hAnsi="Times New Roman"/>
          <w:sz w:val="24"/>
          <w:szCs w:val="24"/>
          <w:lang w:eastAsia="lv-LV"/>
        </w:rPr>
      </w:pPr>
      <w:r w:rsidRPr="000A7ABF">
        <w:rPr>
          <w:rFonts w:ascii="Times New Roman" w:eastAsia="Times New Roman" w:hAnsi="Times New Roman"/>
          <w:bCs/>
          <w:kern w:val="32"/>
          <w:sz w:val="24"/>
          <w:szCs w:val="24"/>
          <w:lang w:eastAsia="lv-LV"/>
        </w:rPr>
        <w:t xml:space="preserve">Valsts sekretāra vietniece – </w:t>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r w:rsidRPr="000A7ABF">
        <w:rPr>
          <w:rFonts w:ascii="Times New Roman" w:eastAsia="Times New Roman" w:hAnsi="Times New Roman"/>
          <w:bCs/>
          <w:kern w:val="32"/>
          <w:sz w:val="24"/>
          <w:szCs w:val="24"/>
          <w:lang w:eastAsia="lv-LV"/>
        </w:rPr>
        <w:tab/>
      </w:r>
    </w:p>
    <w:p w:rsidR="00012B57" w:rsidRPr="000A7ABF" w:rsidRDefault="00012B57" w:rsidP="00012B57">
      <w:pPr>
        <w:spacing w:after="0" w:line="240" w:lineRule="auto"/>
        <w:jc w:val="both"/>
        <w:rPr>
          <w:rFonts w:ascii="Times New Roman" w:eastAsia="Times New Roman" w:hAnsi="Times New Roman"/>
          <w:bCs/>
          <w:kern w:val="32"/>
          <w:sz w:val="24"/>
          <w:szCs w:val="24"/>
          <w:lang w:eastAsia="lv-LV"/>
        </w:rPr>
      </w:pPr>
      <w:r w:rsidRPr="000A7ABF">
        <w:rPr>
          <w:rFonts w:ascii="Times New Roman" w:eastAsia="Times New Roman" w:hAnsi="Times New Roman"/>
          <w:bCs/>
          <w:kern w:val="32"/>
          <w:sz w:val="24"/>
          <w:szCs w:val="24"/>
          <w:lang w:eastAsia="lv-LV"/>
        </w:rPr>
        <w:t xml:space="preserve">Izglītības departamenta direktore, </w:t>
      </w:r>
    </w:p>
    <w:p w:rsidR="00012B57" w:rsidRPr="000A7ABF" w:rsidRDefault="00A76C0A" w:rsidP="00012B57">
      <w:pPr>
        <w:spacing w:after="0" w:line="240" w:lineRule="auto"/>
        <w:rPr>
          <w:rFonts w:ascii="Times New Roman" w:eastAsia="Times New Roman" w:hAnsi="Times New Roman"/>
          <w:sz w:val="24"/>
          <w:szCs w:val="24"/>
          <w:lang w:eastAsia="lv-LV"/>
        </w:rPr>
      </w:pPr>
      <w:r w:rsidRPr="000A7ABF">
        <w:rPr>
          <w:rFonts w:ascii="Times New Roman" w:eastAsia="Times New Roman" w:hAnsi="Times New Roman"/>
          <w:bCs/>
          <w:kern w:val="32"/>
          <w:sz w:val="24"/>
          <w:szCs w:val="24"/>
          <w:lang w:eastAsia="lv-LV"/>
        </w:rPr>
        <w:t>valsts sekretāra</w:t>
      </w:r>
      <w:r w:rsidR="00012B57" w:rsidRPr="000A7ABF">
        <w:rPr>
          <w:rFonts w:ascii="Times New Roman" w:eastAsia="Times New Roman" w:hAnsi="Times New Roman"/>
          <w:bCs/>
          <w:kern w:val="32"/>
          <w:sz w:val="24"/>
          <w:szCs w:val="24"/>
          <w:lang w:eastAsia="lv-LV"/>
        </w:rPr>
        <w:t xml:space="preserve"> pienākumu izpildītāja</w:t>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ab/>
      </w:r>
      <w:r w:rsidR="00F31126" w:rsidRPr="000A7ABF">
        <w:rPr>
          <w:rFonts w:ascii="Times New Roman" w:eastAsia="Times New Roman" w:hAnsi="Times New Roman"/>
          <w:bCs/>
          <w:kern w:val="32"/>
          <w:sz w:val="24"/>
          <w:szCs w:val="24"/>
          <w:lang w:eastAsia="lv-LV"/>
        </w:rPr>
        <w:tab/>
      </w:r>
      <w:r w:rsidR="00012B57" w:rsidRPr="000A7ABF">
        <w:rPr>
          <w:rFonts w:ascii="Times New Roman" w:eastAsia="Times New Roman" w:hAnsi="Times New Roman"/>
          <w:bCs/>
          <w:kern w:val="32"/>
          <w:sz w:val="24"/>
          <w:szCs w:val="24"/>
          <w:lang w:eastAsia="lv-LV"/>
        </w:rPr>
        <w:t>Evija Papule</w:t>
      </w:r>
    </w:p>
    <w:p w:rsidR="00012B57" w:rsidRPr="000A7ABF" w:rsidRDefault="00012B57" w:rsidP="00012B57">
      <w:pPr>
        <w:spacing w:after="0" w:line="240" w:lineRule="auto"/>
        <w:jc w:val="both"/>
        <w:rPr>
          <w:rFonts w:ascii="Times New Roman" w:eastAsia="Times New Roman" w:hAnsi="Times New Roman"/>
          <w:sz w:val="24"/>
          <w:szCs w:val="24"/>
          <w:lang w:eastAsia="lv-LV"/>
        </w:rPr>
      </w:pPr>
    </w:p>
    <w:p w:rsidR="00012B57" w:rsidRPr="000A7ABF" w:rsidRDefault="00012B57" w:rsidP="00FC7EFA">
      <w:pPr>
        <w:autoSpaceDE w:val="0"/>
        <w:autoSpaceDN w:val="0"/>
        <w:adjustRightInd w:val="0"/>
        <w:spacing w:after="0" w:line="240" w:lineRule="auto"/>
        <w:ind w:firstLine="720"/>
        <w:rPr>
          <w:rFonts w:ascii="Times New Roman" w:hAnsi="Times New Roman"/>
          <w:sz w:val="24"/>
          <w:szCs w:val="24"/>
        </w:rPr>
      </w:pPr>
    </w:p>
    <w:p w:rsidR="00FC7EFA" w:rsidRPr="000A7ABF" w:rsidRDefault="00FC7EFA" w:rsidP="00F31126">
      <w:pPr>
        <w:autoSpaceDE w:val="0"/>
        <w:autoSpaceDN w:val="0"/>
        <w:adjustRightInd w:val="0"/>
        <w:rPr>
          <w:rFonts w:ascii="Times New Roman" w:hAnsi="Times New Roman"/>
          <w:sz w:val="24"/>
          <w:szCs w:val="24"/>
        </w:rPr>
      </w:pPr>
      <w:r w:rsidRPr="000A7ABF">
        <w:rPr>
          <w:rFonts w:ascii="Times New Roman" w:hAnsi="Times New Roman"/>
          <w:sz w:val="24"/>
          <w:szCs w:val="24"/>
        </w:rPr>
        <w:tab/>
      </w:r>
      <w:r w:rsidRPr="000A7ABF">
        <w:rPr>
          <w:rFonts w:ascii="Times New Roman" w:hAnsi="Times New Roman"/>
          <w:sz w:val="24"/>
          <w:szCs w:val="24"/>
        </w:rPr>
        <w:tab/>
      </w:r>
      <w:r w:rsidRPr="000A7ABF">
        <w:rPr>
          <w:rFonts w:ascii="Times New Roman" w:hAnsi="Times New Roman"/>
          <w:sz w:val="24"/>
          <w:szCs w:val="24"/>
        </w:rPr>
        <w:tab/>
      </w:r>
      <w:r w:rsidRPr="000A7ABF">
        <w:rPr>
          <w:rFonts w:ascii="Times New Roman" w:hAnsi="Times New Roman"/>
          <w:sz w:val="24"/>
          <w:szCs w:val="24"/>
        </w:rPr>
        <w:tab/>
      </w:r>
    </w:p>
    <w:p w:rsidR="00012B57" w:rsidRPr="000A7ABF" w:rsidRDefault="000C03D8"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13.07</w:t>
      </w:r>
      <w:r w:rsidR="00202371" w:rsidRPr="000A7ABF">
        <w:rPr>
          <w:rFonts w:ascii="Times New Roman" w:eastAsia="Times New Roman" w:hAnsi="Times New Roman"/>
          <w:sz w:val="20"/>
          <w:szCs w:val="20"/>
          <w:lang w:eastAsia="lv-LV"/>
        </w:rPr>
        <w:t xml:space="preserve">.2015. </w:t>
      </w:r>
    </w:p>
    <w:p w:rsidR="00012B57" w:rsidRPr="000A7ABF" w:rsidRDefault="00EE2099"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r w:rsidR="000C03D8">
        <w:rPr>
          <w:rFonts w:ascii="Times New Roman" w:eastAsia="Times New Roman" w:hAnsi="Times New Roman"/>
          <w:sz w:val="20"/>
          <w:szCs w:val="20"/>
          <w:lang w:eastAsia="lv-LV"/>
        </w:rPr>
        <w:t>233</w:t>
      </w:r>
    </w:p>
    <w:p w:rsidR="00FC7EFA" w:rsidRPr="000A7ABF" w:rsidRDefault="00A76C0A" w:rsidP="00A76C0A">
      <w:pPr>
        <w:spacing w:after="0" w:line="240" w:lineRule="auto"/>
        <w:jc w:val="both"/>
        <w:rPr>
          <w:rFonts w:ascii="Times New Roman" w:eastAsia="Times New Roman" w:hAnsi="Times New Roman"/>
          <w:sz w:val="20"/>
          <w:szCs w:val="20"/>
          <w:lang w:eastAsia="lv-LV"/>
        </w:rPr>
      </w:pPr>
      <w:proofErr w:type="spellStart"/>
      <w:r w:rsidRPr="000A7ABF">
        <w:rPr>
          <w:rFonts w:ascii="Times New Roman" w:eastAsia="Times New Roman" w:hAnsi="Times New Roman"/>
          <w:sz w:val="20"/>
          <w:szCs w:val="20"/>
          <w:lang w:eastAsia="lv-LV"/>
        </w:rPr>
        <w:t>L.Upīte</w:t>
      </w:r>
      <w:proofErr w:type="spellEnd"/>
      <w:r w:rsidRPr="000A7ABF">
        <w:rPr>
          <w:rFonts w:ascii="Times New Roman" w:eastAsia="Times New Roman" w:hAnsi="Times New Roman"/>
          <w:sz w:val="20"/>
          <w:szCs w:val="20"/>
          <w:lang w:eastAsia="lv-LV"/>
        </w:rPr>
        <w:t>, 67047816</w:t>
      </w:r>
    </w:p>
    <w:p w:rsidR="00A76C0A" w:rsidRDefault="007A63B2" w:rsidP="00A76C0A">
      <w:pPr>
        <w:spacing w:after="0" w:line="240" w:lineRule="auto"/>
        <w:jc w:val="both"/>
        <w:rPr>
          <w:rFonts w:ascii="Times New Roman" w:eastAsia="Times New Roman" w:hAnsi="Times New Roman"/>
          <w:sz w:val="20"/>
          <w:szCs w:val="20"/>
          <w:lang w:eastAsia="lv-LV"/>
        </w:rPr>
      </w:pPr>
      <w:hyperlink r:id="rId8" w:history="1">
        <w:r w:rsidR="000A7ABF" w:rsidRPr="009E2FBA">
          <w:rPr>
            <w:rStyle w:val="Hyperlink"/>
            <w:rFonts w:ascii="Times New Roman" w:eastAsia="Times New Roman" w:hAnsi="Times New Roman"/>
            <w:sz w:val="20"/>
            <w:szCs w:val="20"/>
            <w:lang w:eastAsia="lv-LV"/>
          </w:rPr>
          <w:t>Linda.Upite@izm.gov.lv</w:t>
        </w:r>
      </w:hyperlink>
    </w:p>
    <w:p w:rsidR="000A7ABF" w:rsidRDefault="000A7ABF"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I.Stūre</w:t>
      </w:r>
      <w:proofErr w:type="spellEnd"/>
    </w:p>
    <w:p w:rsidR="000A7ABF" w:rsidRPr="000A7ABF" w:rsidRDefault="000A7ABF"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Inese.Sture@</w:t>
      </w:r>
      <w:bookmarkStart w:id="4" w:name="_GoBack"/>
      <w:bookmarkEnd w:id="4"/>
      <w:r>
        <w:rPr>
          <w:rFonts w:ascii="Times New Roman" w:eastAsia="Times New Roman" w:hAnsi="Times New Roman"/>
          <w:sz w:val="20"/>
          <w:szCs w:val="20"/>
          <w:lang w:eastAsia="lv-LV"/>
        </w:rPr>
        <w:t>izm.gov.lv</w:t>
      </w:r>
    </w:p>
    <w:sectPr w:rsidR="000A7ABF" w:rsidRPr="000A7ABF" w:rsidSect="00784C5F">
      <w:headerReference w:type="default" r:id="rId9"/>
      <w:footerReference w:type="default" r:id="rId10"/>
      <w:footerReference w:type="first" r:id="rId11"/>
      <w:pgSz w:w="11906" w:h="16838"/>
      <w:pgMar w:top="567" w:right="1276" w:bottom="1559"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B2" w:rsidRDefault="007A63B2" w:rsidP="004A53C8">
      <w:pPr>
        <w:spacing w:after="0" w:line="240" w:lineRule="auto"/>
      </w:pPr>
      <w:r>
        <w:separator/>
      </w:r>
    </w:p>
  </w:endnote>
  <w:endnote w:type="continuationSeparator" w:id="0">
    <w:p w:rsidR="007A63B2" w:rsidRDefault="007A63B2"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Pr="002865DB" w:rsidRDefault="00934661" w:rsidP="002865DB">
    <w:pPr>
      <w:pStyle w:val="Footer"/>
      <w:spacing w:after="0" w:line="240" w:lineRule="auto"/>
      <w:jc w:val="both"/>
      <w:rPr>
        <w:rFonts w:ascii="Times New Roman" w:hAnsi="Times New Roman"/>
        <w:sz w:val="20"/>
        <w:szCs w:val="20"/>
      </w:rPr>
    </w:pPr>
    <w:r w:rsidRPr="00934661">
      <w:rPr>
        <w:rFonts w:ascii="Times New Roman" w:hAnsi="Times New Roman"/>
        <w:sz w:val="20"/>
        <w:szCs w:val="20"/>
      </w:rPr>
      <w:t>IZManot_130715_akreditacija</w:t>
    </w:r>
    <w:r w:rsidR="00F36C6F" w:rsidRPr="002865DB">
      <w:rPr>
        <w:rFonts w:ascii="Times New Roman" w:hAnsi="Times New Roman"/>
        <w:sz w:val="20"/>
        <w:szCs w:val="20"/>
      </w:rPr>
      <w:t xml:space="preserve">; </w:t>
    </w:r>
    <w:r w:rsidR="00F36C6F" w:rsidRPr="002865DB">
      <w:rPr>
        <w:rFonts w:ascii="Times New Roman" w:eastAsia="Times New Roman" w:hAnsi="Times New Roman"/>
        <w:bCs/>
        <w:sz w:val="20"/>
        <w:szCs w:val="20"/>
        <w:lang w:eastAsia="lv-LV"/>
      </w:rPr>
      <w:t>Ministru kabineta noteikumu projekta „</w:t>
    </w:r>
    <w:r w:rsidR="00F36C6F">
      <w:rPr>
        <w:rFonts w:ascii="Times New Roman" w:hAnsi="Times New Roman"/>
        <w:bCs/>
        <w:sz w:val="20"/>
        <w:szCs w:val="20"/>
      </w:rPr>
      <w:t>Augstskolu, koledžu un studiju virzienu akreditācijas noteikumi</w:t>
    </w:r>
    <w:r w:rsidR="00F36C6F" w:rsidRPr="002865DB">
      <w:rPr>
        <w:rFonts w:ascii="Times New Roman" w:hAnsi="Times New Roman"/>
        <w:sz w:val="20"/>
        <w:szCs w:val="20"/>
      </w:rPr>
      <w:t>” sākotnējās ietekmes novērtējuma ziņojums (anotācija)</w:t>
    </w:r>
  </w:p>
  <w:p w:rsidR="00F36C6F" w:rsidRPr="002865DB" w:rsidRDefault="00F36C6F"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Pr="00E910C9" w:rsidRDefault="00934661" w:rsidP="00C14E5C">
    <w:pPr>
      <w:pStyle w:val="Footer"/>
      <w:jc w:val="both"/>
    </w:pPr>
    <w:r w:rsidRPr="00934661">
      <w:rPr>
        <w:rFonts w:ascii="Times New Roman" w:hAnsi="Times New Roman"/>
        <w:sz w:val="20"/>
        <w:szCs w:val="20"/>
      </w:rPr>
      <w:t>IZManot_130715_akreditacija</w:t>
    </w:r>
    <w:r w:rsidR="00F36C6F" w:rsidRPr="00E910C9">
      <w:rPr>
        <w:rFonts w:ascii="Times New Roman" w:hAnsi="Times New Roman"/>
        <w:sz w:val="20"/>
        <w:szCs w:val="20"/>
      </w:rPr>
      <w:t>; Ministru kabineta noteikumu projekta „Augstskolu, koledžu un studiju virzienu akreditācijas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B2" w:rsidRDefault="007A63B2" w:rsidP="004A53C8">
      <w:pPr>
        <w:spacing w:after="0" w:line="240" w:lineRule="auto"/>
      </w:pPr>
      <w:r>
        <w:separator/>
      </w:r>
    </w:p>
  </w:footnote>
  <w:footnote w:type="continuationSeparator" w:id="0">
    <w:p w:rsidR="007A63B2" w:rsidRDefault="007A63B2"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6F" w:rsidRDefault="00F36C6F"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C03D8">
      <w:rPr>
        <w:rFonts w:ascii="Times New Roman" w:hAnsi="Times New Roman"/>
        <w:noProof/>
        <w:sz w:val="24"/>
        <w:szCs w:val="24"/>
      </w:rPr>
      <w:t>14</w:t>
    </w:r>
    <w:r w:rsidRPr="00F4546D">
      <w:rPr>
        <w:rFonts w:ascii="Times New Roman" w:hAnsi="Times New Roman"/>
        <w:sz w:val="24"/>
        <w:szCs w:val="24"/>
      </w:rPr>
      <w:fldChar w:fldCharType="end"/>
    </w:r>
  </w:p>
  <w:p w:rsidR="00F36C6F" w:rsidRPr="00F4546D" w:rsidRDefault="00F36C6F"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22C59"/>
    <w:rsid w:val="000250DD"/>
    <w:rsid w:val="000279C6"/>
    <w:rsid w:val="000349EC"/>
    <w:rsid w:val="000448AE"/>
    <w:rsid w:val="00057E77"/>
    <w:rsid w:val="00064A14"/>
    <w:rsid w:val="0006697F"/>
    <w:rsid w:val="0007279B"/>
    <w:rsid w:val="00084E0D"/>
    <w:rsid w:val="0008604B"/>
    <w:rsid w:val="00092677"/>
    <w:rsid w:val="00093374"/>
    <w:rsid w:val="0009669B"/>
    <w:rsid w:val="000A5997"/>
    <w:rsid w:val="000A6B07"/>
    <w:rsid w:val="000A7ABF"/>
    <w:rsid w:val="000B05E5"/>
    <w:rsid w:val="000B6EE8"/>
    <w:rsid w:val="000C03D8"/>
    <w:rsid w:val="000C0CAE"/>
    <w:rsid w:val="000D4D69"/>
    <w:rsid w:val="000F47DB"/>
    <w:rsid w:val="000F5413"/>
    <w:rsid w:val="000F597B"/>
    <w:rsid w:val="000F6881"/>
    <w:rsid w:val="00121135"/>
    <w:rsid w:val="00124DCE"/>
    <w:rsid w:val="001264A1"/>
    <w:rsid w:val="00144092"/>
    <w:rsid w:val="00155DD9"/>
    <w:rsid w:val="001762D4"/>
    <w:rsid w:val="00194D7F"/>
    <w:rsid w:val="001961D8"/>
    <w:rsid w:val="00196D09"/>
    <w:rsid w:val="001A08CA"/>
    <w:rsid w:val="001B2B20"/>
    <w:rsid w:val="001B63D2"/>
    <w:rsid w:val="001C5976"/>
    <w:rsid w:val="001D5D6F"/>
    <w:rsid w:val="001D6B05"/>
    <w:rsid w:val="002007F4"/>
    <w:rsid w:val="00200A9A"/>
    <w:rsid w:val="00201029"/>
    <w:rsid w:val="00202371"/>
    <w:rsid w:val="00204189"/>
    <w:rsid w:val="00214DF2"/>
    <w:rsid w:val="002172EA"/>
    <w:rsid w:val="00236DDF"/>
    <w:rsid w:val="002423D7"/>
    <w:rsid w:val="00250073"/>
    <w:rsid w:val="00256B59"/>
    <w:rsid w:val="00260CAD"/>
    <w:rsid w:val="00272847"/>
    <w:rsid w:val="00275B3C"/>
    <w:rsid w:val="00276024"/>
    <w:rsid w:val="002814C9"/>
    <w:rsid w:val="002865DB"/>
    <w:rsid w:val="002901D5"/>
    <w:rsid w:val="002B1A24"/>
    <w:rsid w:val="002B2B6C"/>
    <w:rsid w:val="002B7784"/>
    <w:rsid w:val="002C28AA"/>
    <w:rsid w:val="002D0EB1"/>
    <w:rsid w:val="002D3956"/>
    <w:rsid w:val="002F343B"/>
    <w:rsid w:val="002F44A0"/>
    <w:rsid w:val="0030592D"/>
    <w:rsid w:val="00307131"/>
    <w:rsid w:val="003138F6"/>
    <w:rsid w:val="00313AB9"/>
    <w:rsid w:val="00313C26"/>
    <w:rsid w:val="00322FF1"/>
    <w:rsid w:val="0033149E"/>
    <w:rsid w:val="00354158"/>
    <w:rsid w:val="00356D61"/>
    <w:rsid w:val="0036303B"/>
    <w:rsid w:val="0036623D"/>
    <w:rsid w:val="00391CF7"/>
    <w:rsid w:val="00392D00"/>
    <w:rsid w:val="00397498"/>
    <w:rsid w:val="003A6BFF"/>
    <w:rsid w:val="003B0459"/>
    <w:rsid w:val="003C228F"/>
    <w:rsid w:val="003C6E6C"/>
    <w:rsid w:val="003D2266"/>
    <w:rsid w:val="003D5881"/>
    <w:rsid w:val="003D680C"/>
    <w:rsid w:val="003D68E0"/>
    <w:rsid w:val="003E12C5"/>
    <w:rsid w:val="003E4A81"/>
    <w:rsid w:val="003E7E3D"/>
    <w:rsid w:val="003F439D"/>
    <w:rsid w:val="003F491C"/>
    <w:rsid w:val="0040350C"/>
    <w:rsid w:val="004126BF"/>
    <w:rsid w:val="004358D3"/>
    <w:rsid w:val="00436E73"/>
    <w:rsid w:val="00454A2A"/>
    <w:rsid w:val="00470A88"/>
    <w:rsid w:val="00482C68"/>
    <w:rsid w:val="00494A25"/>
    <w:rsid w:val="004A16FD"/>
    <w:rsid w:val="004A53C8"/>
    <w:rsid w:val="004A5403"/>
    <w:rsid w:val="004A549F"/>
    <w:rsid w:val="004A5ED9"/>
    <w:rsid w:val="004C4E93"/>
    <w:rsid w:val="004D00E6"/>
    <w:rsid w:val="004D1320"/>
    <w:rsid w:val="004D6490"/>
    <w:rsid w:val="004E1C6F"/>
    <w:rsid w:val="004E35F2"/>
    <w:rsid w:val="004E520A"/>
    <w:rsid w:val="00517034"/>
    <w:rsid w:val="00520C32"/>
    <w:rsid w:val="005373DF"/>
    <w:rsid w:val="00541203"/>
    <w:rsid w:val="00544D26"/>
    <w:rsid w:val="00551B92"/>
    <w:rsid w:val="00561B38"/>
    <w:rsid w:val="00565177"/>
    <w:rsid w:val="00565B69"/>
    <w:rsid w:val="00567FE4"/>
    <w:rsid w:val="005749B4"/>
    <w:rsid w:val="00577216"/>
    <w:rsid w:val="00590C9D"/>
    <w:rsid w:val="005925F2"/>
    <w:rsid w:val="005B2682"/>
    <w:rsid w:val="005C3F18"/>
    <w:rsid w:val="005C42B1"/>
    <w:rsid w:val="005D56D4"/>
    <w:rsid w:val="005D77E4"/>
    <w:rsid w:val="005E14B9"/>
    <w:rsid w:val="005E6A72"/>
    <w:rsid w:val="005F5ADA"/>
    <w:rsid w:val="005F7CB1"/>
    <w:rsid w:val="00611452"/>
    <w:rsid w:val="00631529"/>
    <w:rsid w:val="00634BA3"/>
    <w:rsid w:val="00644842"/>
    <w:rsid w:val="00646759"/>
    <w:rsid w:val="00647270"/>
    <w:rsid w:val="0065161F"/>
    <w:rsid w:val="00672225"/>
    <w:rsid w:val="006804FE"/>
    <w:rsid w:val="006825C0"/>
    <w:rsid w:val="00692D64"/>
    <w:rsid w:val="00694633"/>
    <w:rsid w:val="006A1142"/>
    <w:rsid w:val="006A258C"/>
    <w:rsid w:val="006A3B0A"/>
    <w:rsid w:val="006A4A9B"/>
    <w:rsid w:val="006B313C"/>
    <w:rsid w:val="006C5B37"/>
    <w:rsid w:val="006D0976"/>
    <w:rsid w:val="006D6FCC"/>
    <w:rsid w:val="006F3CAE"/>
    <w:rsid w:val="00700F59"/>
    <w:rsid w:val="00702234"/>
    <w:rsid w:val="00703F92"/>
    <w:rsid w:val="007058CE"/>
    <w:rsid w:val="0071082B"/>
    <w:rsid w:val="00712F72"/>
    <w:rsid w:val="007147BE"/>
    <w:rsid w:val="007248FB"/>
    <w:rsid w:val="00724E49"/>
    <w:rsid w:val="007334BB"/>
    <w:rsid w:val="007358EC"/>
    <w:rsid w:val="0074653E"/>
    <w:rsid w:val="007617B1"/>
    <w:rsid w:val="00764021"/>
    <w:rsid w:val="007657DC"/>
    <w:rsid w:val="00771AE0"/>
    <w:rsid w:val="00773158"/>
    <w:rsid w:val="00773B60"/>
    <w:rsid w:val="00773C6A"/>
    <w:rsid w:val="00784366"/>
    <w:rsid w:val="00784C5F"/>
    <w:rsid w:val="00787C61"/>
    <w:rsid w:val="007953AD"/>
    <w:rsid w:val="00796D11"/>
    <w:rsid w:val="007973E0"/>
    <w:rsid w:val="007A0535"/>
    <w:rsid w:val="007A5D0E"/>
    <w:rsid w:val="007A63B2"/>
    <w:rsid w:val="007B0B3B"/>
    <w:rsid w:val="007B1FED"/>
    <w:rsid w:val="007B2EAC"/>
    <w:rsid w:val="007B5FA3"/>
    <w:rsid w:val="007C4012"/>
    <w:rsid w:val="007C5781"/>
    <w:rsid w:val="007C74D5"/>
    <w:rsid w:val="007E7C9E"/>
    <w:rsid w:val="00800369"/>
    <w:rsid w:val="00803E13"/>
    <w:rsid w:val="008060DC"/>
    <w:rsid w:val="00812271"/>
    <w:rsid w:val="00813A88"/>
    <w:rsid w:val="00816BD1"/>
    <w:rsid w:val="0082002F"/>
    <w:rsid w:val="00825C80"/>
    <w:rsid w:val="00833E9A"/>
    <w:rsid w:val="00834E6B"/>
    <w:rsid w:val="00835064"/>
    <w:rsid w:val="00840CFA"/>
    <w:rsid w:val="00844FA4"/>
    <w:rsid w:val="00854313"/>
    <w:rsid w:val="00857EFA"/>
    <w:rsid w:val="00863303"/>
    <w:rsid w:val="00887FB4"/>
    <w:rsid w:val="0089596C"/>
    <w:rsid w:val="008A1EF2"/>
    <w:rsid w:val="008B2863"/>
    <w:rsid w:val="008B37B1"/>
    <w:rsid w:val="008B4FFB"/>
    <w:rsid w:val="008C0B91"/>
    <w:rsid w:val="008C2F6A"/>
    <w:rsid w:val="008C7F90"/>
    <w:rsid w:val="008D1CAA"/>
    <w:rsid w:val="008D37A4"/>
    <w:rsid w:val="008D3E73"/>
    <w:rsid w:val="008D447D"/>
    <w:rsid w:val="008E12D5"/>
    <w:rsid w:val="008E5F2F"/>
    <w:rsid w:val="00910EE9"/>
    <w:rsid w:val="00930A74"/>
    <w:rsid w:val="0093462A"/>
    <w:rsid w:val="00934661"/>
    <w:rsid w:val="00951E78"/>
    <w:rsid w:val="009625C1"/>
    <w:rsid w:val="009636D0"/>
    <w:rsid w:val="00966366"/>
    <w:rsid w:val="009675F2"/>
    <w:rsid w:val="009705CA"/>
    <w:rsid w:val="00971FE2"/>
    <w:rsid w:val="00973AB7"/>
    <w:rsid w:val="00973FFF"/>
    <w:rsid w:val="00975541"/>
    <w:rsid w:val="0098126F"/>
    <w:rsid w:val="0098236E"/>
    <w:rsid w:val="00985459"/>
    <w:rsid w:val="009A344B"/>
    <w:rsid w:val="009B0744"/>
    <w:rsid w:val="009B3D7E"/>
    <w:rsid w:val="009C04A8"/>
    <w:rsid w:val="009C179A"/>
    <w:rsid w:val="009E0243"/>
    <w:rsid w:val="009E2D98"/>
    <w:rsid w:val="009E3113"/>
    <w:rsid w:val="009E56D0"/>
    <w:rsid w:val="009F009A"/>
    <w:rsid w:val="009F6089"/>
    <w:rsid w:val="00A042E8"/>
    <w:rsid w:val="00A065A1"/>
    <w:rsid w:val="00A13AAD"/>
    <w:rsid w:val="00A26DC3"/>
    <w:rsid w:val="00A272D5"/>
    <w:rsid w:val="00A325FA"/>
    <w:rsid w:val="00A415D2"/>
    <w:rsid w:val="00A4504C"/>
    <w:rsid w:val="00A633AF"/>
    <w:rsid w:val="00A63E03"/>
    <w:rsid w:val="00A6480C"/>
    <w:rsid w:val="00A6532E"/>
    <w:rsid w:val="00A67BC2"/>
    <w:rsid w:val="00A76C0A"/>
    <w:rsid w:val="00A87395"/>
    <w:rsid w:val="00A917AF"/>
    <w:rsid w:val="00A936B1"/>
    <w:rsid w:val="00A97E15"/>
    <w:rsid w:val="00AC20F9"/>
    <w:rsid w:val="00AC62B2"/>
    <w:rsid w:val="00AD32A3"/>
    <w:rsid w:val="00AD5410"/>
    <w:rsid w:val="00AE6D11"/>
    <w:rsid w:val="00AF6C11"/>
    <w:rsid w:val="00AF7504"/>
    <w:rsid w:val="00B00808"/>
    <w:rsid w:val="00B01379"/>
    <w:rsid w:val="00B06E63"/>
    <w:rsid w:val="00B10218"/>
    <w:rsid w:val="00B14555"/>
    <w:rsid w:val="00B2079E"/>
    <w:rsid w:val="00B21F14"/>
    <w:rsid w:val="00B232E9"/>
    <w:rsid w:val="00B2641B"/>
    <w:rsid w:val="00B31D70"/>
    <w:rsid w:val="00B37DDC"/>
    <w:rsid w:val="00B40291"/>
    <w:rsid w:val="00B4613D"/>
    <w:rsid w:val="00B47243"/>
    <w:rsid w:val="00B54E5E"/>
    <w:rsid w:val="00B57810"/>
    <w:rsid w:val="00B65C59"/>
    <w:rsid w:val="00B72734"/>
    <w:rsid w:val="00B73480"/>
    <w:rsid w:val="00B91E30"/>
    <w:rsid w:val="00B93290"/>
    <w:rsid w:val="00BA0874"/>
    <w:rsid w:val="00BB10ED"/>
    <w:rsid w:val="00BB24B4"/>
    <w:rsid w:val="00BD1C23"/>
    <w:rsid w:val="00BD24B9"/>
    <w:rsid w:val="00BE5FF3"/>
    <w:rsid w:val="00BF36D7"/>
    <w:rsid w:val="00BF7F09"/>
    <w:rsid w:val="00C02C2B"/>
    <w:rsid w:val="00C05444"/>
    <w:rsid w:val="00C109CF"/>
    <w:rsid w:val="00C1270E"/>
    <w:rsid w:val="00C14E5C"/>
    <w:rsid w:val="00C21978"/>
    <w:rsid w:val="00C256E5"/>
    <w:rsid w:val="00C33AD4"/>
    <w:rsid w:val="00C40265"/>
    <w:rsid w:val="00C405AE"/>
    <w:rsid w:val="00C41B6A"/>
    <w:rsid w:val="00C41CAB"/>
    <w:rsid w:val="00C51360"/>
    <w:rsid w:val="00C52DC7"/>
    <w:rsid w:val="00C62125"/>
    <w:rsid w:val="00C64748"/>
    <w:rsid w:val="00C7273F"/>
    <w:rsid w:val="00C76A5D"/>
    <w:rsid w:val="00C77A99"/>
    <w:rsid w:val="00C96AD3"/>
    <w:rsid w:val="00CA1EFB"/>
    <w:rsid w:val="00CA7649"/>
    <w:rsid w:val="00CD1902"/>
    <w:rsid w:val="00CD1CC0"/>
    <w:rsid w:val="00CE0B10"/>
    <w:rsid w:val="00CE4ADF"/>
    <w:rsid w:val="00CF0797"/>
    <w:rsid w:val="00CF1208"/>
    <w:rsid w:val="00CF1FB6"/>
    <w:rsid w:val="00CF6943"/>
    <w:rsid w:val="00D169F6"/>
    <w:rsid w:val="00D21C9D"/>
    <w:rsid w:val="00D23B0E"/>
    <w:rsid w:val="00D30061"/>
    <w:rsid w:val="00D32E3B"/>
    <w:rsid w:val="00D429B5"/>
    <w:rsid w:val="00D46666"/>
    <w:rsid w:val="00D62EA5"/>
    <w:rsid w:val="00D63FAF"/>
    <w:rsid w:val="00D7234C"/>
    <w:rsid w:val="00D7657E"/>
    <w:rsid w:val="00D82F17"/>
    <w:rsid w:val="00D86E70"/>
    <w:rsid w:val="00D90FAA"/>
    <w:rsid w:val="00D933B0"/>
    <w:rsid w:val="00D947A5"/>
    <w:rsid w:val="00D95F93"/>
    <w:rsid w:val="00D9652B"/>
    <w:rsid w:val="00DA6452"/>
    <w:rsid w:val="00DB30BA"/>
    <w:rsid w:val="00DB3160"/>
    <w:rsid w:val="00DB475F"/>
    <w:rsid w:val="00DC6380"/>
    <w:rsid w:val="00DC6BAF"/>
    <w:rsid w:val="00DF12C5"/>
    <w:rsid w:val="00DF53C3"/>
    <w:rsid w:val="00DF6500"/>
    <w:rsid w:val="00E01393"/>
    <w:rsid w:val="00E01795"/>
    <w:rsid w:val="00E05857"/>
    <w:rsid w:val="00E12AC4"/>
    <w:rsid w:val="00E14F0D"/>
    <w:rsid w:val="00E16259"/>
    <w:rsid w:val="00E16634"/>
    <w:rsid w:val="00E223F6"/>
    <w:rsid w:val="00E231B3"/>
    <w:rsid w:val="00E32858"/>
    <w:rsid w:val="00E44DD5"/>
    <w:rsid w:val="00E521AB"/>
    <w:rsid w:val="00E67DE9"/>
    <w:rsid w:val="00E75A23"/>
    <w:rsid w:val="00E76435"/>
    <w:rsid w:val="00E83628"/>
    <w:rsid w:val="00E84BE6"/>
    <w:rsid w:val="00E90688"/>
    <w:rsid w:val="00E910C9"/>
    <w:rsid w:val="00EA2144"/>
    <w:rsid w:val="00EA6CD0"/>
    <w:rsid w:val="00EB19D2"/>
    <w:rsid w:val="00EB4E1A"/>
    <w:rsid w:val="00EB4EB5"/>
    <w:rsid w:val="00EC08CE"/>
    <w:rsid w:val="00EC1F0E"/>
    <w:rsid w:val="00EC2EBA"/>
    <w:rsid w:val="00EC418C"/>
    <w:rsid w:val="00ED2D08"/>
    <w:rsid w:val="00ED55BF"/>
    <w:rsid w:val="00EE2099"/>
    <w:rsid w:val="00EE4B99"/>
    <w:rsid w:val="00EF0039"/>
    <w:rsid w:val="00EF148E"/>
    <w:rsid w:val="00EF16F5"/>
    <w:rsid w:val="00EF5512"/>
    <w:rsid w:val="00EF5940"/>
    <w:rsid w:val="00F06C2D"/>
    <w:rsid w:val="00F17C81"/>
    <w:rsid w:val="00F259FB"/>
    <w:rsid w:val="00F31126"/>
    <w:rsid w:val="00F36184"/>
    <w:rsid w:val="00F36C6F"/>
    <w:rsid w:val="00F37994"/>
    <w:rsid w:val="00F4546D"/>
    <w:rsid w:val="00F476E5"/>
    <w:rsid w:val="00F51029"/>
    <w:rsid w:val="00F6357E"/>
    <w:rsid w:val="00F834B3"/>
    <w:rsid w:val="00F86ABA"/>
    <w:rsid w:val="00F92AF7"/>
    <w:rsid w:val="00F9465B"/>
    <w:rsid w:val="00FA3E91"/>
    <w:rsid w:val="00FA53E2"/>
    <w:rsid w:val="00FA75FC"/>
    <w:rsid w:val="00FB77D9"/>
    <w:rsid w:val="00FC4FD8"/>
    <w:rsid w:val="00FC68B2"/>
    <w:rsid w:val="00FC6AE2"/>
    <w:rsid w:val="00FC7EFA"/>
    <w:rsid w:val="00FD2A43"/>
    <w:rsid w:val="00FE08D2"/>
    <w:rsid w:val="00FE6554"/>
    <w:rsid w:val="00FE772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93CA-111A-41F3-9D2B-0F19D35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uiPriority w:val="34"/>
    <w:qFormat/>
    <w:rsid w:val="00B57810"/>
    <w:pPr>
      <w:ind w:left="720"/>
      <w:contextualSpacing/>
    </w:pPr>
  </w:style>
  <w:style w:type="paragraph" w:customStyle="1" w:styleId="Default">
    <w:name w:val="Default"/>
    <w:rsid w:val="00F51029"/>
    <w:pPr>
      <w:autoSpaceDE w:val="0"/>
      <w:autoSpaceDN w:val="0"/>
      <w:adjustRightInd w:val="0"/>
    </w:pPr>
    <w:rPr>
      <w:rFonts w:ascii="Times New Roman" w:eastAsiaTheme="minorHAnsi"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383">
      <w:bodyDiv w:val="1"/>
      <w:marLeft w:val="0"/>
      <w:marRight w:val="0"/>
      <w:marTop w:val="0"/>
      <w:marBottom w:val="0"/>
      <w:divBdr>
        <w:top w:val="none" w:sz="0" w:space="0" w:color="auto"/>
        <w:left w:val="none" w:sz="0" w:space="0" w:color="auto"/>
        <w:bottom w:val="none" w:sz="0" w:space="0" w:color="auto"/>
        <w:right w:val="none" w:sz="0" w:space="0" w:color="auto"/>
      </w:divBdr>
      <w:divsChild>
        <w:div w:id="278295744">
          <w:marLeft w:val="0"/>
          <w:marRight w:val="0"/>
          <w:marTop w:val="0"/>
          <w:marBottom w:val="0"/>
          <w:divBdr>
            <w:top w:val="none" w:sz="0" w:space="0" w:color="auto"/>
            <w:left w:val="none" w:sz="0" w:space="0" w:color="auto"/>
            <w:bottom w:val="none" w:sz="0" w:space="0" w:color="auto"/>
            <w:right w:val="none" w:sz="0" w:space="0" w:color="auto"/>
          </w:divBdr>
          <w:divsChild>
            <w:div w:id="1167674967">
              <w:marLeft w:val="0"/>
              <w:marRight w:val="0"/>
              <w:marTop w:val="0"/>
              <w:marBottom w:val="0"/>
              <w:divBdr>
                <w:top w:val="none" w:sz="0" w:space="0" w:color="auto"/>
                <w:left w:val="none" w:sz="0" w:space="0" w:color="auto"/>
                <w:bottom w:val="none" w:sz="0" w:space="0" w:color="auto"/>
                <w:right w:val="none" w:sz="0" w:space="0" w:color="auto"/>
              </w:divBdr>
              <w:divsChild>
                <w:div w:id="492187983">
                  <w:marLeft w:val="0"/>
                  <w:marRight w:val="0"/>
                  <w:marTop w:val="0"/>
                  <w:marBottom w:val="0"/>
                  <w:divBdr>
                    <w:top w:val="none" w:sz="0" w:space="0" w:color="auto"/>
                    <w:left w:val="none" w:sz="0" w:space="0" w:color="auto"/>
                    <w:bottom w:val="none" w:sz="0" w:space="0" w:color="auto"/>
                    <w:right w:val="none" w:sz="0" w:space="0" w:color="auto"/>
                  </w:divBdr>
                  <w:divsChild>
                    <w:div w:id="344140540">
                      <w:marLeft w:val="0"/>
                      <w:marRight w:val="0"/>
                      <w:marTop w:val="0"/>
                      <w:marBottom w:val="0"/>
                      <w:divBdr>
                        <w:top w:val="none" w:sz="0" w:space="0" w:color="auto"/>
                        <w:left w:val="none" w:sz="0" w:space="0" w:color="auto"/>
                        <w:bottom w:val="none" w:sz="0" w:space="0" w:color="auto"/>
                        <w:right w:val="none" w:sz="0" w:space="0" w:color="auto"/>
                      </w:divBdr>
                      <w:divsChild>
                        <w:div w:id="1445809214">
                          <w:marLeft w:val="0"/>
                          <w:marRight w:val="0"/>
                          <w:marTop w:val="0"/>
                          <w:marBottom w:val="0"/>
                          <w:divBdr>
                            <w:top w:val="none" w:sz="0" w:space="0" w:color="auto"/>
                            <w:left w:val="none" w:sz="0" w:space="0" w:color="auto"/>
                            <w:bottom w:val="none" w:sz="0" w:space="0" w:color="auto"/>
                            <w:right w:val="none" w:sz="0" w:space="0" w:color="auto"/>
                          </w:divBdr>
                          <w:divsChild>
                            <w:div w:id="1770274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AE49-D718-4298-B275-94262059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22060</Words>
  <Characters>12575</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34566</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Inese Stūre</cp:lastModifiedBy>
  <cp:revision>10</cp:revision>
  <cp:lastPrinted>2015-01-13T12:23:00Z</cp:lastPrinted>
  <dcterms:created xsi:type="dcterms:W3CDTF">2015-06-29T07:54:00Z</dcterms:created>
  <dcterms:modified xsi:type="dcterms:W3CDTF">2015-07-13T13:07:00Z</dcterms:modified>
</cp:coreProperties>
</file>