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8E" w:rsidRPr="00522160" w:rsidRDefault="00596B49" w:rsidP="0032789A">
      <w:pPr>
        <w:pStyle w:val="naislab"/>
        <w:spacing w:before="0" w:after="0"/>
        <w:rPr>
          <w:lang w:eastAsia="en-US"/>
        </w:rPr>
      </w:pPr>
      <w:r w:rsidRPr="00522160">
        <w:rPr>
          <w:lang w:eastAsia="en-US"/>
        </w:rPr>
        <w:t>9</w:t>
      </w:r>
      <w:r w:rsidR="00D6468E" w:rsidRPr="00522160">
        <w:rPr>
          <w:lang w:eastAsia="en-US"/>
        </w:rPr>
        <w:t>.pielikums</w:t>
      </w:r>
    </w:p>
    <w:p w:rsidR="00D6468E" w:rsidRPr="00522160" w:rsidRDefault="00522160" w:rsidP="0032789A">
      <w:pPr>
        <w:pStyle w:val="naislab"/>
        <w:spacing w:before="0" w:after="0"/>
        <w:rPr>
          <w:lang w:eastAsia="en-US"/>
        </w:rPr>
      </w:pPr>
      <w:r w:rsidRPr="00522160">
        <w:rPr>
          <w:lang w:eastAsia="en-US"/>
        </w:rPr>
        <w:t>Ministru kabineta</w:t>
      </w:r>
    </w:p>
    <w:p w:rsidR="00D6468E" w:rsidRPr="00522160" w:rsidRDefault="00522160" w:rsidP="00522160">
      <w:pPr>
        <w:pStyle w:val="naislab"/>
        <w:spacing w:before="0" w:after="0"/>
        <w:rPr>
          <w:lang w:eastAsia="en-US"/>
        </w:rPr>
      </w:pPr>
      <w:r w:rsidRPr="00522160">
        <w:rPr>
          <w:lang w:eastAsia="en-US"/>
        </w:rPr>
        <w:t>2015.gada ___</w:t>
      </w:r>
      <w:r w:rsidR="00D6468E" w:rsidRPr="00522160">
        <w:rPr>
          <w:lang w:eastAsia="en-US"/>
        </w:rPr>
        <w:t>.</w:t>
      </w:r>
      <w:r w:rsidRPr="00522160">
        <w:rPr>
          <w:lang w:eastAsia="en-US"/>
        </w:rPr>
        <w:t>_______ noteikumiem Nr.____</w:t>
      </w:r>
    </w:p>
    <w:p w:rsidR="000A0869" w:rsidRPr="00522160" w:rsidRDefault="000A0869" w:rsidP="0032789A">
      <w:pPr>
        <w:spacing w:after="0" w:line="240" w:lineRule="auto"/>
        <w:jc w:val="both"/>
        <w:rPr>
          <w:rFonts w:ascii="Times New Roman" w:hAnsi="Times New Roman" w:cs="Times New Roman"/>
          <w:sz w:val="24"/>
          <w:szCs w:val="24"/>
        </w:rPr>
      </w:pPr>
    </w:p>
    <w:p w:rsidR="000A0869" w:rsidRPr="00522160" w:rsidRDefault="000A0869" w:rsidP="0032789A">
      <w:pPr>
        <w:spacing w:after="0" w:line="240" w:lineRule="auto"/>
        <w:jc w:val="both"/>
        <w:rPr>
          <w:rFonts w:ascii="Times New Roman" w:hAnsi="Times New Roman" w:cs="Times New Roman"/>
          <w:sz w:val="24"/>
          <w:szCs w:val="24"/>
        </w:rPr>
      </w:pPr>
    </w:p>
    <w:p w:rsidR="0032789A" w:rsidRPr="00522160" w:rsidRDefault="0032789A" w:rsidP="0032789A">
      <w:pPr>
        <w:tabs>
          <w:tab w:val="left" w:pos="3022"/>
        </w:tabs>
        <w:spacing w:after="0" w:line="240" w:lineRule="auto"/>
        <w:jc w:val="center"/>
        <w:rPr>
          <w:rFonts w:ascii="Times New Roman" w:hAnsi="Times New Roman" w:cs="Times New Roman"/>
          <w:b/>
          <w:sz w:val="24"/>
          <w:szCs w:val="24"/>
        </w:rPr>
      </w:pPr>
      <w:r w:rsidRPr="00522160">
        <w:rPr>
          <w:rFonts w:ascii="Times New Roman" w:hAnsi="Times New Roman" w:cs="Times New Roman"/>
          <w:b/>
          <w:sz w:val="24"/>
          <w:szCs w:val="24"/>
        </w:rPr>
        <w:t xml:space="preserve">Studiju virziena vērtēšanas kritēriji </w:t>
      </w:r>
    </w:p>
    <w:p w:rsidR="0032789A" w:rsidRPr="00522160" w:rsidRDefault="0032789A" w:rsidP="0032789A">
      <w:pPr>
        <w:tabs>
          <w:tab w:val="left" w:pos="3022"/>
        </w:tabs>
        <w:spacing w:after="0" w:line="240" w:lineRule="auto"/>
        <w:jc w:val="center"/>
        <w:rPr>
          <w:rFonts w:ascii="Times New Roman" w:hAnsi="Times New Roman" w:cs="Times New Roman"/>
          <w:b/>
          <w:sz w:val="24"/>
          <w:szCs w:val="24"/>
        </w:rPr>
      </w:pP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1. Studiju virziena kā vienota veseluma un tam atbilstošo studiju programmu aktualitāte, mērķi un uzdevumi, to skaidrība, sasniedzamība, saskaņotība ar augstskolas vai koledžas kopējo stratēģisko attīstību.</w:t>
      </w:r>
    </w:p>
    <w:p w:rsidR="0032789A" w:rsidRPr="00522160" w:rsidRDefault="0032789A" w:rsidP="0032789A">
      <w:pPr>
        <w:spacing w:after="0" w:line="240" w:lineRule="auto"/>
        <w:jc w:val="both"/>
        <w:rPr>
          <w:rFonts w:ascii="Times New Roman" w:hAnsi="Times New Roman" w:cs="Times New Roman"/>
          <w:sz w:val="24"/>
          <w:szCs w:val="24"/>
        </w:rPr>
      </w:pP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2. Studiju virziena vadība:</w:t>
      </w: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color w:val="000000"/>
          <w:sz w:val="24"/>
          <w:szCs w:val="24"/>
        </w:rPr>
        <w:t>2.1. studiju virziena pārvaldības struktūras efektivitāte;</w:t>
      </w: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2.2. demokrātijas principu ievērošana studiju virziena un studiju programmu vadīšanā, skaidri note</w:t>
      </w:r>
      <w:r w:rsidR="00F84EBD">
        <w:rPr>
          <w:rFonts w:ascii="Times New Roman" w:hAnsi="Times New Roman" w:cs="Times New Roman"/>
          <w:sz w:val="24"/>
          <w:szCs w:val="24"/>
        </w:rPr>
        <w:t>ikti</w:t>
      </w:r>
      <w:r w:rsidRPr="00522160">
        <w:rPr>
          <w:rFonts w:ascii="Times New Roman" w:hAnsi="Times New Roman" w:cs="Times New Roman"/>
          <w:sz w:val="24"/>
          <w:szCs w:val="24"/>
        </w:rPr>
        <w:t xml:space="preserve"> administratīvā personāla, akadēmiskā personāla un studējošo pienākumi un atbildība.</w:t>
      </w:r>
    </w:p>
    <w:p w:rsidR="0032789A" w:rsidRPr="00522160" w:rsidRDefault="0032789A" w:rsidP="0032789A">
      <w:pPr>
        <w:spacing w:after="0" w:line="240" w:lineRule="auto"/>
        <w:jc w:val="both"/>
        <w:rPr>
          <w:rFonts w:ascii="Times New Roman" w:hAnsi="Times New Roman" w:cs="Times New Roman"/>
          <w:sz w:val="24"/>
          <w:szCs w:val="24"/>
        </w:rPr>
      </w:pP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3. Studiju virziena resursi un nodrošinājums:</w:t>
      </w: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3.1. finanšu resursi studiju virzienam atbilstošo studiju programmu īstenošanas un studējošo pašpārvaldes darbības nodrošināšanai, kā arī akadēmiskā personāla pētnieciskās (radošās) darbības nodrošināšanai. Finanšu resursu izmantošanas kontrole un ilgtspēja;</w:t>
      </w: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3.2. studiju virzienā iesaistītā augstskolas vai koledžas akadēmiskā personāla kvalifikācija un profesionalitāte, to atbilstība studiju virzienam atbilstošo studiju programmu īstenošanai;</w:t>
      </w: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 xml:space="preserve">3.3. studiju virziena metodiskais, informatīvais (tai skaitā bibliotēkas resursu) un materiāltehniskais nodrošinājums, tā atbilstība apgūstamo profesiju reglamentējošo normatīvo aktu prasībām. </w:t>
      </w:r>
    </w:p>
    <w:p w:rsidR="0032789A" w:rsidRPr="00522160" w:rsidRDefault="0032789A" w:rsidP="0032789A">
      <w:pPr>
        <w:spacing w:after="0" w:line="240" w:lineRule="auto"/>
        <w:jc w:val="both"/>
        <w:rPr>
          <w:rFonts w:ascii="Times New Roman" w:hAnsi="Times New Roman" w:cs="Times New Roman"/>
          <w:sz w:val="24"/>
          <w:szCs w:val="24"/>
        </w:rPr>
      </w:pP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4. Zinātniskās pētniecības organizācija studiju virziena ietvaros un augstskolas vai koledžas akadēmiskā personāla un studējošo zinātniskās pētniecības (radošais) darbs:</w:t>
      </w: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 xml:space="preserve">4.1. zinātniskā </w:t>
      </w:r>
      <w:r w:rsidR="00B50838">
        <w:rPr>
          <w:rFonts w:ascii="Times New Roman" w:hAnsi="Times New Roman" w:cs="Times New Roman"/>
          <w:sz w:val="24"/>
          <w:szCs w:val="24"/>
        </w:rPr>
        <w:t xml:space="preserve">(radošā) </w:t>
      </w:r>
      <w:r w:rsidRPr="00522160">
        <w:rPr>
          <w:rFonts w:ascii="Times New Roman" w:hAnsi="Times New Roman" w:cs="Times New Roman"/>
          <w:sz w:val="24"/>
          <w:szCs w:val="24"/>
        </w:rPr>
        <w:t>darba organizācija un institucionālā struktūra, pētniecībai atvēlētie resursi;</w:t>
      </w: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 xml:space="preserve">4.2. akadēmiskā personāla iesaistīšanās zinātniskās pētniecības (radošajā) darbā, zinātniskās pētniecības darbu tematikas aktualitāte un saistība ar studiju virziena un tam atbilstošo studiju programmu saturu, pētniecības darbu publicēšana starptautiski recenzējamos izdevumos, starptautiska publicitāte, piemēram, izstādēs, skatēs, uzvedumos un/vai praktiskā izmantošana, iekļaušanās inovatīvā darbībā. Doktora studiju programmu (ja tiek īstenotas) sasaiste ar atbilstošiem </w:t>
      </w:r>
      <w:proofErr w:type="spellStart"/>
      <w:r w:rsidRPr="00522160">
        <w:rPr>
          <w:rFonts w:ascii="Times New Roman" w:hAnsi="Times New Roman" w:cs="Times New Roman"/>
          <w:sz w:val="24"/>
          <w:szCs w:val="24"/>
        </w:rPr>
        <w:t>grantiem</w:t>
      </w:r>
      <w:proofErr w:type="spellEnd"/>
      <w:r w:rsidRPr="00522160">
        <w:rPr>
          <w:rFonts w:ascii="Times New Roman" w:hAnsi="Times New Roman" w:cs="Times New Roman"/>
          <w:sz w:val="24"/>
          <w:szCs w:val="24"/>
        </w:rPr>
        <w:t xml:space="preserve"> un (vai) projektiem;</w:t>
      </w: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4.3. studējošo iesaistīšanās zinātniskās pētniecības (radošajā) darbā, zinātniskās pētniecības darbu tematikas saistība ar studiju mērķiem un sagaidāmajiem studiju rezultātiem, studējošo iesaistīšanās nacionālos un starptautiskos pētnieciskos un radošos (mākslinieciskos) projektos.</w:t>
      </w:r>
    </w:p>
    <w:p w:rsidR="0032789A" w:rsidRPr="00522160" w:rsidRDefault="0032789A" w:rsidP="0032789A">
      <w:pPr>
        <w:spacing w:after="0" w:line="240" w:lineRule="auto"/>
        <w:jc w:val="both"/>
        <w:rPr>
          <w:rFonts w:ascii="Times New Roman" w:hAnsi="Times New Roman" w:cs="Times New Roman"/>
          <w:sz w:val="24"/>
          <w:szCs w:val="24"/>
        </w:rPr>
      </w:pPr>
    </w:p>
    <w:p w:rsidR="0032789A" w:rsidRPr="00522160" w:rsidRDefault="00C53E90" w:rsidP="003278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S</w:t>
      </w:r>
      <w:r w:rsidR="0032789A" w:rsidRPr="00522160">
        <w:rPr>
          <w:rFonts w:ascii="Times New Roman" w:hAnsi="Times New Roman" w:cs="Times New Roman"/>
          <w:sz w:val="24"/>
          <w:szCs w:val="24"/>
        </w:rPr>
        <w:t xml:space="preserve">adarbības un internacionalizācijas </w:t>
      </w:r>
      <w:r w:rsidR="0032789A" w:rsidRPr="00522160">
        <w:rPr>
          <w:rFonts w:ascii="Times New Roman" w:hAnsi="Times New Roman" w:cs="Times New Roman"/>
          <w:color w:val="000000"/>
          <w:sz w:val="24"/>
          <w:szCs w:val="24"/>
        </w:rPr>
        <w:t>atbilstība studiju virziena attīstības mērķu sasniegšanai, studiju virzienam atbilstošo studiju programmu īstenošanai un ar to saistītajai pētniecībai</w:t>
      </w:r>
      <w:r w:rsidR="0032789A" w:rsidRPr="00522160">
        <w:rPr>
          <w:rFonts w:ascii="Times New Roman" w:hAnsi="Times New Roman" w:cs="Times New Roman"/>
          <w:sz w:val="24"/>
          <w:szCs w:val="24"/>
        </w:rPr>
        <w:t xml:space="preserve">: </w:t>
      </w: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lastRenderedPageBreak/>
        <w:t>5.1. sadarbība ar citām augstskolām vai koledžām, zinātniskajām institūcijām,</w:t>
      </w:r>
      <w:r w:rsidR="00F84EBD">
        <w:rPr>
          <w:rFonts w:ascii="Times New Roman" w:hAnsi="Times New Roman" w:cs="Times New Roman"/>
          <w:sz w:val="24"/>
          <w:szCs w:val="24"/>
        </w:rPr>
        <w:t xml:space="preserve"> starptautiskajām organizācijām;</w:t>
      </w: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5.2. augstsk</w:t>
      </w:r>
      <w:r w:rsidR="00C53E90">
        <w:rPr>
          <w:rFonts w:ascii="Times New Roman" w:hAnsi="Times New Roman" w:cs="Times New Roman"/>
          <w:sz w:val="24"/>
          <w:szCs w:val="24"/>
        </w:rPr>
        <w:t>olas vai koledžas</w:t>
      </w:r>
      <w:r w:rsidRPr="00522160">
        <w:rPr>
          <w:rFonts w:ascii="Times New Roman" w:hAnsi="Times New Roman" w:cs="Times New Roman"/>
          <w:sz w:val="24"/>
          <w:szCs w:val="24"/>
        </w:rPr>
        <w:t xml:space="preserve"> sadarbības un internacionalizācijas politika, tās īstenošana un ietekme uz studiju un pētniecības procesu </w:t>
      </w:r>
      <w:r w:rsidR="00F84EBD">
        <w:rPr>
          <w:rFonts w:ascii="Times New Roman" w:hAnsi="Times New Roman" w:cs="Times New Roman"/>
          <w:sz w:val="24"/>
          <w:szCs w:val="24"/>
        </w:rPr>
        <w:t>studiju virzienā;</w:t>
      </w: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5.3. studiju programmas vai institūcijas starptautiskie se</w:t>
      </w:r>
      <w:r w:rsidR="00F84EBD">
        <w:rPr>
          <w:rFonts w:ascii="Times New Roman" w:hAnsi="Times New Roman" w:cs="Times New Roman"/>
          <w:sz w:val="24"/>
          <w:szCs w:val="24"/>
        </w:rPr>
        <w:t>rtifikāti, akreditācijas u.tml.;</w:t>
      </w: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 xml:space="preserve">5.4. studējošo, akadēmiskā personāla starptautiskās </w:t>
      </w:r>
      <w:r w:rsidR="00F84EBD">
        <w:rPr>
          <w:rFonts w:ascii="Times New Roman" w:hAnsi="Times New Roman" w:cs="Times New Roman"/>
          <w:sz w:val="24"/>
          <w:szCs w:val="24"/>
        </w:rPr>
        <w:t>apmaiņas kvantitatīvie rādītāji;</w:t>
      </w: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5.5. ārvalstīs apgūtas augstākās izglītības daļas, ārvalstīs iegūto kredītpunktu un izglītību apliecinošo dokumentu izvērtēšanas un atzīšanas kritēriji un procedūras, kā arī to atbilstība Eiropas Padomes 1997.gada 11.aprīlī pieņemtajai Konvencijai par to kvalifikāciju atzīšanu Eiropas reģionā, kuras attiecas uz augstāko izglītību.</w:t>
      </w:r>
    </w:p>
    <w:p w:rsidR="0032789A" w:rsidRPr="00522160" w:rsidRDefault="0032789A" w:rsidP="0032789A">
      <w:pPr>
        <w:spacing w:after="0" w:line="240" w:lineRule="auto"/>
        <w:ind w:firstLine="720"/>
        <w:rPr>
          <w:rFonts w:ascii="Times New Roman" w:hAnsi="Times New Roman" w:cs="Times New Roman"/>
          <w:sz w:val="24"/>
          <w:szCs w:val="24"/>
        </w:rPr>
      </w:pP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6. Iekšējās kvalitātes nodrošināšanas sistēmas augstskolā vai koledžā efektivitāte studiju virziena attīstības mērķu sasniegšanai, izvērtējot šādus iekšējās kvalitātes nodrošināšanas sistēmas aspektus:</w:t>
      </w:r>
    </w:p>
    <w:p w:rsidR="0032789A" w:rsidRPr="00522160" w:rsidRDefault="0032789A" w:rsidP="0032789A">
      <w:pPr>
        <w:spacing w:after="0" w:line="240" w:lineRule="auto"/>
        <w:ind w:right="-20" w:firstLine="720"/>
        <w:jc w:val="both"/>
        <w:rPr>
          <w:rFonts w:ascii="Times New Roman" w:eastAsia="Calibri" w:hAnsi="Times New Roman" w:cs="Times New Roman"/>
          <w:sz w:val="24"/>
          <w:szCs w:val="24"/>
        </w:rPr>
      </w:pPr>
      <w:r w:rsidRPr="00522160">
        <w:rPr>
          <w:rFonts w:ascii="Times New Roman" w:hAnsi="Times New Roman" w:cs="Times New Roman"/>
          <w:sz w:val="24"/>
          <w:szCs w:val="24"/>
        </w:rPr>
        <w:t xml:space="preserve">6.1. kvalitātes nodrošināšanas politika, </w:t>
      </w:r>
      <w:r w:rsidR="00F84EBD">
        <w:rPr>
          <w:rFonts w:ascii="Times New Roman" w:hAnsi="Times New Roman" w:cs="Times New Roman"/>
          <w:sz w:val="24"/>
          <w:szCs w:val="24"/>
        </w:rPr>
        <w:t>tās izstrāde un publicitāte, no</w:t>
      </w:r>
      <w:r w:rsidRPr="00522160">
        <w:rPr>
          <w:rFonts w:ascii="Times New Roman" w:hAnsi="Times New Roman" w:cs="Times New Roman"/>
          <w:sz w:val="24"/>
          <w:szCs w:val="24"/>
        </w:rPr>
        <w:t>vērtējot vai un cik lielā mērā tā atbilst šādai prasībai: “</w:t>
      </w:r>
      <w:r w:rsidRPr="00522160">
        <w:rPr>
          <w:rFonts w:ascii="Times New Roman" w:hAnsi="Times New Roman" w:cs="Times New Roman"/>
          <w:position w:val="1"/>
          <w:sz w:val="24"/>
          <w:szCs w:val="24"/>
        </w:rPr>
        <w:t xml:space="preserve">augstskolām vai koledžām jāizveido politika kvalitātes nodrošināšanai, kas ir pieejama sabiedrībai un veido daļu no iestādes </w:t>
      </w:r>
      <w:r w:rsidRPr="00522160">
        <w:rPr>
          <w:rFonts w:ascii="Times New Roman" w:hAnsi="Times New Roman" w:cs="Times New Roman"/>
          <w:sz w:val="24"/>
          <w:szCs w:val="24"/>
        </w:rPr>
        <w:t>stratēģiskās vadības. Iekšējām ieinteresētajām pusēm šī politika jāizstrādā un jāievieš, izmantojot piemērotas struktūras un procesus, un iesaistot ārējās ieinteresētās puses.”;</w:t>
      </w:r>
    </w:p>
    <w:p w:rsidR="0032789A" w:rsidRPr="00522160" w:rsidRDefault="0032789A" w:rsidP="0032789A">
      <w:pPr>
        <w:spacing w:after="0" w:line="240" w:lineRule="auto"/>
        <w:ind w:right="-20" w:firstLine="720"/>
        <w:jc w:val="both"/>
        <w:rPr>
          <w:rFonts w:ascii="Times New Roman" w:eastAsia="Calibri" w:hAnsi="Times New Roman" w:cs="Times New Roman"/>
          <w:sz w:val="24"/>
          <w:szCs w:val="24"/>
        </w:rPr>
      </w:pPr>
      <w:r w:rsidRPr="00522160">
        <w:rPr>
          <w:rFonts w:ascii="Times New Roman" w:hAnsi="Times New Roman" w:cs="Times New Roman"/>
          <w:sz w:val="24"/>
          <w:szCs w:val="24"/>
        </w:rPr>
        <w:t xml:space="preserve">6.2. studiju programmu izstrāde un apstiprināšana, nepārtraukta studiju programmu kvalitātes uzraudzība, novērtējot vai un cik lielā mērā tā atbilst šādai prasībai: “augstskolai vai koledžai </w:t>
      </w:r>
      <w:r w:rsidRPr="00522160">
        <w:rPr>
          <w:rFonts w:ascii="Times New Roman" w:hAnsi="Times New Roman" w:cs="Times New Roman"/>
          <w:position w:val="1"/>
          <w:sz w:val="24"/>
          <w:szCs w:val="24"/>
        </w:rPr>
        <w:t xml:space="preserve">jāizveido mehānismi </w:t>
      </w:r>
      <w:r w:rsidR="00F84EBD">
        <w:rPr>
          <w:rFonts w:ascii="Times New Roman" w:hAnsi="Times New Roman" w:cs="Times New Roman"/>
          <w:position w:val="1"/>
          <w:sz w:val="24"/>
          <w:szCs w:val="24"/>
        </w:rPr>
        <w:t xml:space="preserve">studiju </w:t>
      </w:r>
      <w:r w:rsidRPr="00522160">
        <w:rPr>
          <w:rFonts w:ascii="Times New Roman" w:hAnsi="Times New Roman" w:cs="Times New Roman"/>
          <w:position w:val="1"/>
          <w:sz w:val="24"/>
          <w:szCs w:val="24"/>
        </w:rPr>
        <w:t xml:space="preserve">programmu izstrādei un apstiprināšanai. </w:t>
      </w:r>
      <w:r w:rsidR="00F84EBD">
        <w:rPr>
          <w:rFonts w:ascii="Times New Roman" w:hAnsi="Times New Roman" w:cs="Times New Roman"/>
          <w:sz w:val="24"/>
          <w:szCs w:val="24"/>
        </w:rPr>
        <w:t>Studiju p</w:t>
      </w:r>
      <w:r w:rsidRPr="00522160">
        <w:rPr>
          <w:rFonts w:ascii="Times New Roman" w:hAnsi="Times New Roman" w:cs="Times New Roman"/>
          <w:sz w:val="24"/>
          <w:szCs w:val="24"/>
        </w:rPr>
        <w:t>rogrammas jāizstrādā tā, lai tās atbilstu uzstādītajiem mērķiem, tajā skaitā arī plān</w:t>
      </w:r>
      <w:r w:rsidR="00F84EBD">
        <w:rPr>
          <w:rFonts w:ascii="Times New Roman" w:hAnsi="Times New Roman" w:cs="Times New Roman"/>
          <w:sz w:val="24"/>
          <w:szCs w:val="24"/>
        </w:rPr>
        <w:t>otajiem mācīšanas rezultātiem. Studiju p</w:t>
      </w:r>
      <w:r w:rsidRPr="00522160">
        <w:rPr>
          <w:rFonts w:ascii="Times New Roman" w:hAnsi="Times New Roman" w:cs="Times New Roman"/>
          <w:sz w:val="24"/>
          <w:szCs w:val="24"/>
        </w:rPr>
        <w:t xml:space="preserve">rogrammā iegūtajai kvalifikācijai jābūt skaidri noteiktai un izskaidrotai un tai jāattiecas uz pareizo nacionālās augstākās izglītības kvalifikāciju </w:t>
      </w:r>
      <w:proofErr w:type="spellStart"/>
      <w:r w:rsidRPr="00522160">
        <w:rPr>
          <w:rFonts w:ascii="Times New Roman" w:hAnsi="Times New Roman" w:cs="Times New Roman"/>
          <w:sz w:val="24"/>
          <w:szCs w:val="24"/>
        </w:rPr>
        <w:t>ietvarstruktūras</w:t>
      </w:r>
      <w:proofErr w:type="spellEnd"/>
      <w:r w:rsidRPr="00522160">
        <w:rPr>
          <w:rFonts w:ascii="Times New Roman" w:hAnsi="Times New Roman" w:cs="Times New Roman"/>
          <w:sz w:val="24"/>
          <w:szCs w:val="24"/>
        </w:rPr>
        <w:t xml:space="preserve"> līmeni un tātad arī uz Eiropas augstākās izglītības telpas kvalifikāciju </w:t>
      </w:r>
      <w:proofErr w:type="spellStart"/>
      <w:r w:rsidRPr="00522160">
        <w:rPr>
          <w:rFonts w:ascii="Times New Roman" w:hAnsi="Times New Roman" w:cs="Times New Roman"/>
          <w:sz w:val="24"/>
          <w:szCs w:val="24"/>
        </w:rPr>
        <w:t>ietvarstruktūru</w:t>
      </w:r>
      <w:proofErr w:type="spellEnd"/>
      <w:r w:rsidRPr="00522160">
        <w:rPr>
          <w:rFonts w:ascii="Times New Roman" w:hAnsi="Times New Roman" w:cs="Times New Roman"/>
          <w:sz w:val="24"/>
          <w:szCs w:val="24"/>
        </w:rPr>
        <w:t>.”;</w:t>
      </w:r>
    </w:p>
    <w:p w:rsidR="0032789A" w:rsidRPr="00522160" w:rsidRDefault="0032789A" w:rsidP="0032789A">
      <w:pPr>
        <w:spacing w:after="0" w:line="240" w:lineRule="auto"/>
        <w:ind w:right="-20" w:firstLine="720"/>
        <w:jc w:val="both"/>
        <w:rPr>
          <w:rFonts w:ascii="Times New Roman" w:eastAsia="Calibri" w:hAnsi="Times New Roman" w:cs="Times New Roman"/>
          <w:sz w:val="24"/>
          <w:szCs w:val="24"/>
        </w:rPr>
      </w:pPr>
      <w:r w:rsidRPr="00522160">
        <w:rPr>
          <w:rFonts w:ascii="Times New Roman" w:hAnsi="Times New Roman" w:cs="Times New Roman"/>
          <w:sz w:val="24"/>
          <w:szCs w:val="24"/>
        </w:rPr>
        <w:t>6.3. uz studējošo interesēm centrēta studiju procesa nodrošināšana, studējošo sekmju vērtēšana, novērtējot vai un cik lielā mērā tā atbilst šādai prasībai: “augstskolai vai koledžai</w:t>
      </w:r>
      <w:r w:rsidRPr="00522160">
        <w:rPr>
          <w:rFonts w:ascii="Times New Roman" w:hAnsi="Times New Roman" w:cs="Times New Roman"/>
          <w:position w:val="1"/>
          <w:sz w:val="24"/>
          <w:szCs w:val="24"/>
        </w:rPr>
        <w:t xml:space="preserve"> jānodrošina, ka </w:t>
      </w:r>
      <w:r w:rsidR="00F84EBD">
        <w:rPr>
          <w:rFonts w:ascii="Times New Roman" w:hAnsi="Times New Roman" w:cs="Times New Roman"/>
          <w:position w:val="1"/>
          <w:sz w:val="24"/>
          <w:szCs w:val="24"/>
        </w:rPr>
        <w:t xml:space="preserve">studiju </w:t>
      </w:r>
      <w:r w:rsidRPr="00522160">
        <w:rPr>
          <w:rFonts w:ascii="Times New Roman" w:hAnsi="Times New Roman" w:cs="Times New Roman"/>
          <w:position w:val="1"/>
          <w:sz w:val="24"/>
          <w:szCs w:val="24"/>
        </w:rPr>
        <w:t>programmas tiek īstenotas, iedrošinot studentus aktīvi piedalīties mācību procesa veidošanā un studentu vērtējums atspoguļo šo pieeju.”;</w:t>
      </w:r>
    </w:p>
    <w:p w:rsidR="0032789A" w:rsidRPr="00522160" w:rsidRDefault="0032789A"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6.4. studējošo uzņemšanas, studēšanas un studiju pabeigšanas noteikumi, procesi, to publicitāte un ievērošana, novērtējot vai un cik lielā mērā tā atbilst šādai prasībai: “augstskolai vai koledžai konsekventi jāpiemēro iepriekš noteikti un publicēti noteikumi, kas attiecas uz visiem studentu „dzīves cikla” posmiem — studentu uzņemšanu, attīstību, atzīšanu un grāda piešķiršanu.”;</w:t>
      </w:r>
    </w:p>
    <w:p w:rsidR="0032789A" w:rsidRPr="00522160" w:rsidRDefault="0032789A" w:rsidP="0032789A">
      <w:pPr>
        <w:spacing w:after="0" w:line="240" w:lineRule="auto"/>
        <w:ind w:right="-20" w:firstLine="720"/>
        <w:jc w:val="both"/>
        <w:rPr>
          <w:rFonts w:ascii="Times New Roman" w:hAnsi="Times New Roman" w:cs="Times New Roman"/>
          <w:sz w:val="24"/>
          <w:szCs w:val="24"/>
        </w:rPr>
      </w:pPr>
      <w:r w:rsidRPr="00522160">
        <w:rPr>
          <w:rFonts w:ascii="Times New Roman" w:hAnsi="Times New Roman" w:cs="Times New Roman"/>
          <w:sz w:val="24"/>
          <w:szCs w:val="24"/>
        </w:rPr>
        <w:t xml:space="preserve">6.5. akadēmiskā personāla pieņemšana darbā un profesionālās kvalifikācijas paaugstināšanas mehānismi, novērtējot vai un cik lielā mērā tā atbilst šādai prasībai: </w:t>
      </w:r>
      <w:r w:rsidRPr="00522160">
        <w:rPr>
          <w:rFonts w:ascii="Times New Roman" w:hAnsi="Times New Roman" w:cs="Times New Roman"/>
          <w:position w:val="1"/>
          <w:sz w:val="24"/>
          <w:szCs w:val="24"/>
        </w:rPr>
        <w:t xml:space="preserve">“augstskolai vai koledžai jāpārliecinās par savu pasniedzēju kompetenci. Personāla pieņemšanā un profesionālajā attīstībā </w:t>
      </w:r>
      <w:r w:rsidRPr="00522160">
        <w:rPr>
          <w:rFonts w:ascii="Times New Roman" w:hAnsi="Times New Roman" w:cs="Times New Roman"/>
          <w:sz w:val="24"/>
          <w:szCs w:val="24"/>
        </w:rPr>
        <w:t>jāizmanto godīgi un caurskatāmi mehānismi.”;</w:t>
      </w:r>
    </w:p>
    <w:p w:rsidR="0032789A" w:rsidRPr="00522160" w:rsidRDefault="0032789A" w:rsidP="0032789A">
      <w:pPr>
        <w:spacing w:after="0" w:line="240" w:lineRule="auto"/>
        <w:ind w:right="-20" w:firstLine="720"/>
        <w:jc w:val="both"/>
        <w:rPr>
          <w:rFonts w:ascii="Times New Roman" w:eastAsia="Calibri" w:hAnsi="Times New Roman" w:cs="Times New Roman"/>
          <w:sz w:val="24"/>
          <w:szCs w:val="24"/>
        </w:rPr>
      </w:pPr>
      <w:r w:rsidRPr="00522160">
        <w:rPr>
          <w:rFonts w:ascii="Times New Roman" w:hAnsi="Times New Roman" w:cs="Times New Roman"/>
          <w:sz w:val="24"/>
          <w:szCs w:val="24"/>
        </w:rPr>
        <w:t>6.6. studiju informācijas pārvaldība: datu iegūšana un izmantošana lēmumu pieņemšanā, novērtējot vai un cik lielā mērā tā atbilst šādai prasībai: “</w:t>
      </w:r>
      <w:r w:rsidRPr="00522160">
        <w:rPr>
          <w:rFonts w:ascii="Times New Roman" w:hAnsi="Times New Roman" w:cs="Times New Roman"/>
          <w:position w:val="1"/>
          <w:sz w:val="24"/>
          <w:szCs w:val="24"/>
        </w:rPr>
        <w:t>augstskolai vai koledžai jānodrošina, ka tās vāc, analizē un izmanto informāciju, kas nepieciešama</w:t>
      </w:r>
      <w:r w:rsidRPr="00522160">
        <w:rPr>
          <w:rFonts w:ascii="Times New Roman" w:eastAsia="Calibri" w:hAnsi="Times New Roman" w:cs="Times New Roman"/>
          <w:sz w:val="24"/>
          <w:szCs w:val="24"/>
        </w:rPr>
        <w:t xml:space="preserve"> </w:t>
      </w:r>
      <w:r w:rsidR="00F84EBD">
        <w:rPr>
          <w:rFonts w:ascii="Times New Roman" w:eastAsia="Calibri" w:hAnsi="Times New Roman" w:cs="Times New Roman"/>
          <w:sz w:val="24"/>
          <w:szCs w:val="24"/>
        </w:rPr>
        <w:t xml:space="preserve">studiju </w:t>
      </w:r>
      <w:r w:rsidRPr="00522160">
        <w:rPr>
          <w:rFonts w:ascii="Times New Roman" w:hAnsi="Times New Roman" w:cs="Times New Roman"/>
          <w:sz w:val="24"/>
          <w:szCs w:val="24"/>
        </w:rPr>
        <w:t>programmu un citu darbību efektīvai pārvaldībai.”;</w:t>
      </w:r>
    </w:p>
    <w:p w:rsidR="0032789A" w:rsidRPr="00522160" w:rsidRDefault="0032789A" w:rsidP="0032789A">
      <w:pPr>
        <w:spacing w:after="0" w:line="240" w:lineRule="auto"/>
        <w:ind w:right="-20" w:firstLine="720"/>
        <w:jc w:val="both"/>
        <w:rPr>
          <w:rFonts w:ascii="Times New Roman" w:eastAsia="Calibri" w:hAnsi="Times New Roman" w:cs="Times New Roman"/>
          <w:sz w:val="24"/>
          <w:szCs w:val="24"/>
        </w:rPr>
      </w:pPr>
      <w:r w:rsidRPr="00522160">
        <w:rPr>
          <w:rFonts w:ascii="Times New Roman" w:hAnsi="Times New Roman" w:cs="Times New Roman"/>
          <w:sz w:val="24"/>
          <w:szCs w:val="24"/>
        </w:rPr>
        <w:lastRenderedPageBreak/>
        <w:t xml:space="preserve">6.7. publiskā informācija: publiskotā informācija par augstskolas vai koledžas aktivitātēm, informācijas saturs, tās izplatīšanas veidi un atgriezeniskā saite ar sabiedrību, novērtējot vai un cik lielā mērā tā atbilst šādai prasībai: “augstskola vai koledža </w:t>
      </w:r>
      <w:r w:rsidR="00BD25BD">
        <w:rPr>
          <w:rFonts w:ascii="Times New Roman" w:hAnsi="Times New Roman" w:cs="Times New Roman"/>
          <w:position w:val="1"/>
          <w:sz w:val="24"/>
          <w:szCs w:val="24"/>
        </w:rPr>
        <w:t>publicē informāciju</w:t>
      </w:r>
      <w:r w:rsidRPr="00522160">
        <w:rPr>
          <w:rFonts w:ascii="Times New Roman" w:hAnsi="Times New Roman" w:cs="Times New Roman"/>
          <w:position w:val="1"/>
          <w:sz w:val="24"/>
          <w:szCs w:val="24"/>
        </w:rPr>
        <w:t xml:space="preserve"> par savām aktivitātēm (arī programmām). Informācijai jābūt skaidrai,</w:t>
      </w:r>
      <w:r w:rsidRPr="00522160">
        <w:rPr>
          <w:rFonts w:ascii="Times New Roman" w:eastAsia="Calibri" w:hAnsi="Times New Roman" w:cs="Times New Roman"/>
          <w:sz w:val="24"/>
          <w:szCs w:val="24"/>
        </w:rPr>
        <w:t xml:space="preserve"> </w:t>
      </w:r>
      <w:r w:rsidRPr="00522160">
        <w:rPr>
          <w:rFonts w:ascii="Times New Roman" w:hAnsi="Times New Roman" w:cs="Times New Roman"/>
          <w:sz w:val="24"/>
          <w:szCs w:val="24"/>
        </w:rPr>
        <w:t>precīzai, objektīvai, aktuālai un viegli pieejamai.”</w:t>
      </w:r>
    </w:p>
    <w:p w:rsidR="0032789A" w:rsidRPr="00522160" w:rsidRDefault="00495DCF" w:rsidP="0032789A">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6</w:t>
      </w:r>
      <w:r w:rsidR="0032789A" w:rsidRPr="00522160">
        <w:rPr>
          <w:rFonts w:ascii="Times New Roman" w:hAnsi="Times New Roman" w:cs="Times New Roman"/>
          <w:sz w:val="24"/>
          <w:szCs w:val="24"/>
        </w:rPr>
        <w:t>.8. periodiska ārējās kvalitātes nodrošināšana, novērtējot vai un cik lielā mērā tā atbilst šādai prasībai: “augstskolai vai koledžai periodiski jāveic ārējā kvalitātes nodrošināšana”.</w:t>
      </w:r>
    </w:p>
    <w:p w:rsidR="0032789A" w:rsidRPr="00522160" w:rsidRDefault="0032789A" w:rsidP="0032789A">
      <w:pPr>
        <w:spacing w:after="0" w:line="240" w:lineRule="auto"/>
        <w:ind w:firstLine="720"/>
        <w:rPr>
          <w:rFonts w:ascii="Times New Roman" w:hAnsi="Times New Roman" w:cs="Times New Roman"/>
          <w:sz w:val="24"/>
          <w:szCs w:val="24"/>
        </w:rPr>
      </w:pPr>
    </w:p>
    <w:p w:rsidR="0032789A" w:rsidRPr="00522160" w:rsidRDefault="00495DCF" w:rsidP="0032789A">
      <w:pPr>
        <w:spacing w:after="0" w:line="240" w:lineRule="auto"/>
        <w:ind w:firstLine="720"/>
        <w:rPr>
          <w:rFonts w:ascii="Times New Roman" w:hAnsi="Times New Roman" w:cs="Times New Roman"/>
          <w:sz w:val="24"/>
          <w:szCs w:val="24"/>
        </w:rPr>
      </w:pPr>
      <w:r w:rsidRPr="00522160">
        <w:rPr>
          <w:rFonts w:ascii="Times New Roman" w:hAnsi="Times New Roman" w:cs="Times New Roman"/>
          <w:sz w:val="24"/>
          <w:szCs w:val="24"/>
        </w:rPr>
        <w:t>7</w:t>
      </w:r>
      <w:r w:rsidR="0032789A" w:rsidRPr="00522160">
        <w:rPr>
          <w:rFonts w:ascii="Times New Roman" w:hAnsi="Times New Roman" w:cs="Times New Roman"/>
          <w:sz w:val="24"/>
          <w:szCs w:val="24"/>
        </w:rPr>
        <w:t>. Iepriekšējā studiju virziena akreditācijā (ja tāda ir bijusi) saņemto ieteikumu ieviešana.</w:t>
      </w:r>
    </w:p>
    <w:p w:rsidR="00495DCF" w:rsidRPr="00522160" w:rsidRDefault="00495DCF" w:rsidP="0032789A">
      <w:pPr>
        <w:spacing w:after="0" w:line="240" w:lineRule="auto"/>
        <w:ind w:firstLine="720"/>
        <w:rPr>
          <w:rFonts w:ascii="Times New Roman" w:hAnsi="Times New Roman" w:cs="Times New Roman"/>
          <w:sz w:val="24"/>
          <w:szCs w:val="24"/>
        </w:rPr>
      </w:pPr>
    </w:p>
    <w:p w:rsidR="0032789A" w:rsidRPr="00522160" w:rsidRDefault="00495DCF" w:rsidP="00495DC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22160">
        <w:rPr>
          <w:rFonts w:ascii="Times New Roman" w:hAnsi="Times New Roman" w:cs="Times New Roman"/>
          <w:color w:val="000000"/>
          <w:sz w:val="24"/>
          <w:szCs w:val="24"/>
        </w:rPr>
        <w:t>8</w:t>
      </w:r>
      <w:r w:rsidR="0032789A" w:rsidRPr="00522160">
        <w:rPr>
          <w:rFonts w:ascii="Times New Roman" w:hAnsi="Times New Roman" w:cs="Times New Roman"/>
          <w:color w:val="000000"/>
          <w:sz w:val="24"/>
          <w:szCs w:val="24"/>
        </w:rPr>
        <w:t xml:space="preserve">. Studiju programmas nosaukuma, iegūstamā grāda, </w:t>
      </w:r>
      <w:r w:rsidR="0032789A" w:rsidRPr="00522160">
        <w:rPr>
          <w:rFonts w:ascii="Times New Roman" w:eastAsia="Times New Roman" w:hAnsi="Times New Roman" w:cs="Times New Roman"/>
          <w:sz w:val="24"/>
          <w:szCs w:val="24"/>
          <w:lang w:eastAsia="lv-LV"/>
        </w:rPr>
        <w:t>profesionālās kvalifikācijas vai grāda un profesionālās kvalifikācijas,</w:t>
      </w:r>
      <w:r w:rsidR="0032789A" w:rsidRPr="00522160">
        <w:rPr>
          <w:rFonts w:ascii="Times New Roman" w:hAnsi="Times New Roman" w:cs="Times New Roman"/>
          <w:color w:val="000000"/>
          <w:sz w:val="24"/>
          <w:szCs w:val="24"/>
        </w:rPr>
        <w:t xml:space="preserve"> mērķu un uzdevumu, uzņemšanas nosacījumu savstarpējā atbilstība.</w:t>
      </w:r>
    </w:p>
    <w:p w:rsidR="00495DCF" w:rsidRPr="00522160" w:rsidRDefault="00495DCF" w:rsidP="00495DCF">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32789A" w:rsidRPr="00522160" w:rsidRDefault="00495DCF" w:rsidP="00495DCF">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9</w:t>
      </w:r>
      <w:r w:rsidR="0032789A" w:rsidRPr="00522160">
        <w:rPr>
          <w:rFonts w:ascii="Times New Roman" w:hAnsi="Times New Roman" w:cs="Times New Roman"/>
          <w:sz w:val="24"/>
          <w:szCs w:val="24"/>
        </w:rPr>
        <w:t>. Studiju saturs:</w:t>
      </w:r>
    </w:p>
    <w:p w:rsidR="0032789A" w:rsidRPr="00522160" w:rsidRDefault="00495DCF" w:rsidP="00495DCF">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9</w:t>
      </w:r>
      <w:r w:rsidR="0032789A" w:rsidRPr="00522160">
        <w:rPr>
          <w:rFonts w:ascii="Times New Roman" w:hAnsi="Times New Roman" w:cs="Times New Roman"/>
          <w:sz w:val="24"/>
          <w:szCs w:val="24"/>
        </w:rPr>
        <w:t xml:space="preserve">.1. studiju satura atbilstība studiju programmas mērķiem un uzdevumiem. Studiju satura atbilstība iegūstamajam grādam, grādam un profesionālajai kvalifikācijai vai profesionālajai kvalifikācijai, kvalifikāciju </w:t>
      </w:r>
      <w:proofErr w:type="spellStart"/>
      <w:r w:rsidR="0032789A" w:rsidRPr="00522160">
        <w:rPr>
          <w:rFonts w:ascii="Times New Roman" w:hAnsi="Times New Roman" w:cs="Times New Roman"/>
          <w:sz w:val="24"/>
          <w:szCs w:val="24"/>
        </w:rPr>
        <w:t>ietvarstruktūras</w:t>
      </w:r>
      <w:proofErr w:type="spellEnd"/>
      <w:r w:rsidR="0032789A" w:rsidRPr="00522160">
        <w:rPr>
          <w:rFonts w:ascii="Times New Roman" w:hAnsi="Times New Roman" w:cs="Times New Roman"/>
          <w:sz w:val="24"/>
          <w:szCs w:val="24"/>
        </w:rPr>
        <w:t xml:space="preserve"> un profesiju reglamentējošo normatīvo aktu prasībām;</w:t>
      </w:r>
    </w:p>
    <w:p w:rsidR="0032789A" w:rsidRPr="00522160" w:rsidRDefault="00495DCF" w:rsidP="00495DCF">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9</w:t>
      </w:r>
      <w:r w:rsidR="0032789A" w:rsidRPr="00522160">
        <w:rPr>
          <w:rFonts w:ascii="Times New Roman" w:hAnsi="Times New Roman" w:cs="Times New Roman"/>
          <w:sz w:val="24"/>
          <w:szCs w:val="24"/>
        </w:rPr>
        <w:t>.2. studiju virzienam atbilstošo studiju programmu plānojuma atbilstība studiju programmas mērķiem un uzdevumiem;</w:t>
      </w:r>
    </w:p>
    <w:p w:rsidR="0032789A" w:rsidRPr="00522160" w:rsidRDefault="00495DCF" w:rsidP="00495DCF">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9</w:t>
      </w:r>
      <w:r w:rsidR="0032789A" w:rsidRPr="00522160">
        <w:rPr>
          <w:rFonts w:ascii="Times New Roman" w:hAnsi="Times New Roman" w:cs="Times New Roman"/>
          <w:sz w:val="24"/>
          <w:szCs w:val="24"/>
        </w:rPr>
        <w:t>.3. studiju virzienam atbilstošo studiju programmu un to daļu saskaņotība ar Latvijas un Eiropas kopējās izglītības telpas veidošanas prasībām, tai skaitā ikvienas studiju virzienam atbilstošās studiju programmas salīdzinājums ar vienu tāda paša līmeņa un tādam pašam studiju virzienam atbilstošu Latvijas (ja līdzīga studiju programma Latvijā tiek īstenota) un vismaz divām Eiropas Savienības valsts atzītu augstskolu vai koledžu studiju programmām.</w:t>
      </w:r>
    </w:p>
    <w:p w:rsidR="00495DCF" w:rsidRPr="00522160" w:rsidRDefault="00495DCF" w:rsidP="00495DCF">
      <w:pPr>
        <w:spacing w:after="0" w:line="240" w:lineRule="auto"/>
        <w:ind w:firstLine="720"/>
        <w:jc w:val="both"/>
        <w:rPr>
          <w:rFonts w:ascii="Times New Roman" w:hAnsi="Times New Roman" w:cs="Times New Roman"/>
          <w:sz w:val="24"/>
          <w:szCs w:val="24"/>
        </w:rPr>
      </w:pPr>
    </w:p>
    <w:p w:rsidR="0032789A" w:rsidRPr="00522160" w:rsidRDefault="00495DCF" w:rsidP="00495DCF">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10</w:t>
      </w:r>
      <w:r w:rsidR="0032789A" w:rsidRPr="00522160">
        <w:rPr>
          <w:rFonts w:ascii="Times New Roman" w:hAnsi="Times New Roman" w:cs="Times New Roman"/>
          <w:sz w:val="24"/>
          <w:szCs w:val="24"/>
        </w:rPr>
        <w:t>. Studiju programmas resursi un nodrošinājums:</w:t>
      </w:r>
    </w:p>
    <w:p w:rsidR="0032789A" w:rsidRPr="00522160" w:rsidRDefault="00495DCF" w:rsidP="00495DCF">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10</w:t>
      </w:r>
      <w:r w:rsidR="0032789A" w:rsidRPr="00522160">
        <w:rPr>
          <w:rFonts w:ascii="Times New Roman" w:hAnsi="Times New Roman" w:cs="Times New Roman"/>
          <w:sz w:val="24"/>
          <w:szCs w:val="24"/>
        </w:rPr>
        <w:t>.1. finanšu resursi studiju programmas īstenošanas un studējošo pašpārvaldes darbības nodrošināšanai, kā arī akadēmiskā personāla pētnieciskās (radošās) darbības nodrošināšanai. Finanšu resursu izmantošanas kontrole un ilgtspēja;</w:t>
      </w:r>
    </w:p>
    <w:p w:rsidR="0032789A" w:rsidRPr="00522160" w:rsidRDefault="00495DCF" w:rsidP="00495DCF">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10</w:t>
      </w:r>
      <w:r w:rsidR="0032789A" w:rsidRPr="00522160">
        <w:rPr>
          <w:rFonts w:ascii="Times New Roman" w:hAnsi="Times New Roman" w:cs="Times New Roman"/>
          <w:sz w:val="24"/>
          <w:szCs w:val="24"/>
        </w:rPr>
        <w:t>.2. studiju programmā iesaistītā augstskolas vai koledžas akadēmiskā personāla kvalifikācija un profesionalitāt</w:t>
      </w:r>
      <w:r w:rsidR="00FF6832">
        <w:rPr>
          <w:rFonts w:ascii="Times New Roman" w:hAnsi="Times New Roman" w:cs="Times New Roman"/>
          <w:sz w:val="24"/>
          <w:szCs w:val="24"/>
        </w:rPr>
        <w:t>e, to atbilstība studiju</w:t>
      </w:r>
      <w:r w:rsidR="0032789A" w:rsidRPr="00522160">
        <w:rPr>
          <w:rFonts w:ascii="Times New Roman" w:hAnsi="Times New Roman" w:cs="Times New Roman"/>
          <w:sz w:val="24"/>
          <w:szCs w:val="24"/>
        </w:rPr>
        <w:t xml:space="preserve"> programmas īstenošanai;</w:t>
      </w:r>
    </w:p>
    <w:p w:rsidR="0032789A" w:rsidRPr="00522160" w:rsidRDefault="00495DCF" w:rsidP="00495DCF">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10</w:t>
      </w:r>
      <w:r w:rsidR="0032789A" w:rsidRPr="00522160">
        <w:rPr>
          <w:rFonts w:ascii="Times New Roman" w:hAnsi="Times New Roman" w:cs="Times New Roman"/>
          <w:sz w:val="24"/>
          <w:szCs w:val="24"/>
        </w:rPr>
        <w:t>.3. studiju programmas metodiskais, informatīvais (tai skaitā bibliotēkas resursu) un materiāltehniskais nodrošinājums, tā atbilstība apgūstamo profesiju reglamentējošo normatīvo aktu prasībām.</w:t>
      </w:r>
    </w:p>
    <w:p w:rsidR="00495DCF" w:rsidRPr="00522160" w:rsidRDefault="00495DCF" w:rsidP="00495DCF">
      <w:pPr>
        <w:spacing w:after="0" w:line="240" w:lineRule="auto"/>
        <w:ind w:firstLine="720"/>
        <w:jc w:val="both"/>
        <w:rPr>
          <w:rFonts w:ascii="Times New Roman" w:hAnsi="Times New Roman" w:cs="Times New Roman"/>
          <w:sz w:val="24"/>
          <w:szCs w:val="24"/>
        </w:rPr>
      </w:pPr>
    </w:p>
    <w:p w:rsidR="0032789A" w:rsidRPr="00522160" w:rsidRDefault="0032789A" w:rsidP="00495DCF">
      <w:pPr>
        <w:spacing w:after="0" w:line="240" w:lineRule="auto"/>
        <w:ind w:firstLine="720"/>
        <w:jc w:val="both"/>
        <w:rPr>
          <w:rFonts w:ascii="Times New Roman" w:hAnsi="Times New Roman" w:cs="Times New Roman"/>
          <w:sz w:val="24"/>
          <w:szCs w:val="24"/>
        </w:rPr>
      </w:pPr>
      <w:r w:rsidRPr="00522160">
        <w:rPr>
          <w:rFonts w:ascii="Times New Roman" w:hAnsi="Times New Roman" w:cs="Times New Roman"/>
          <w:sz w:val="24"/>
          <w:szCs w:val="24"/>
        </w:rPr>
        <w:t>1</w:t>
      </w:r>
      <w:r w:rsidR="00495DCF" w:rsidRPr="00522160">
        <w:rPr>
          <w:rFonts w:ascii="Times New Roman" w:hAnsi="Times New Roman" w:cs="Times New Roman"/>
          <w:sz w:val="24"/>
          <w:szCs w:val="24"/>
        </w:rPr>
        <w:t>1</w:t>
      </w:r>
      <w:r w:rsidRPr="00522160">
        <w:rPr>
          <w:rFonts w:ascii="Times New Roman" w:hAnsi="Times New Roman" w:cs="Times New Roman"/>
          <w:sz w:val="24"/>
          <w:szCs w:val="24"/>
        </w:rPr>
        <w:t xml:space="preserve">. </w:t>
      </w:r>
      <w:r w:rsidRPr="00522160">
        <w:rPr>
          <w:rFonts w:ascii="Times New Roman" w:hAnsi="Times New Roman" w:cs="Times New Roman"/>
          <w:bCs/>
          <w:sz w:val="24"/>
          <w:szCs w:val="24"/>
        </w:rPr>
        <w:t>Studiju programmas absolventu nodarbinātības perspektīvas.</w:t>
      </w:r>
      <w:r w:rsidRPr="00522160">
        <w:rPr>
          <w:rFonts w:ascii="Times New Roman" w:hAnsi="Times New Roman" w:cs="Times New Roman"/>
          <w:sz w:val="24"/>
          <w:szCs w:val="24"/>
        </w:rPr>
        <w:t xml:space="preserve"> </w:t>
      </w:r>
    </w:p>
    <w:p w:rsidR="000C2170" w:rsidRPr="00522160" w:rsidRDefault="000C2170" w:rsidP="000C2170">
      <w:pPr>
        <w:spacing w:after="0" w:line="240" w:lineRule="auto"/>
        <w:ind w:firstLine="323"/>
        <w:jc w:val="both"/>
        <w:rPr>
          <w:rFonts w:ascii="Times New Roman" w:hAnsi="Times New Roman" w:cs="Times New Roman"/>
          <w:sz w:val="24"/>
          <w:szCs w:val="24"/>
        </w:rPr>
      </w:pPr>
    </w:p>
    <w:p w:rsidR="0032789A" w:rsidRPr="00522160" w:rsidRDefault="00522160" w:rsidP="000C2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sidR="0032789A" w:rsidRPr="00522160">
        <w:rPr>
          <w:rFonts w:ascii="Times New Roman" w:hAnsi="Times New Roman" w:cs="Times New Roman"/>
          <w:sz w:val="24"/>
          <w:szCs w:val="24"/>
        </w:rPr>
        <w:t>. Iepriekšējā studiju virziena akreditācijā (ja tāda ir bijusi) vai studiju programmas licencēšanas ietvaros konkrētajai studiju programmai saņemto ieteikumu, ja tādi ir bijuši, ieviešana.</w:t>
      </w:r>
    </w:p>
    <w:p w:rsidR="00D6468E" w:rsidRPr="00522160" w:rsidRDefault="00D6468E" w:rsidP="0032789A">
      <w:pPr>
        <w:pStyle w:val="naisf"/>
        <w:spacing w:before="0" w:after="0"/>
        <w:ind w:firstLine="0"/>
        <w:rPr>
          <w:lang w:val="en-GB" w:eastAsia="en-US"/>
        </w:rPr>
      </w:pPr>
    </w:p>
    <w:p w:rsidR="009C4338" w:rsidRDefault="009C4338" w:rsidP="0032789A">
      <w:pPr>
        <w:pStyle w:val="naisf"/>
        <w:spacing w:before="0" w:after="0"/>
        <w:ind w:firstLine="0"/>
        <w:rPr>
          <w:lang w:val="en-GB" w:eastAsia="en-US"/>
        </w:rPr>
      </w:pPr>
    </w:p>
    <w:p w:rsidR="00555E1B" w:rsidRDefault="00555E1B" w:rsidP="00555E1B">
      <w:pPr>
        <w:pStyle w:val="naisf"/>
        <w:spacing w:before="0" w:after="0"/>
        <w:ind w:firstLine="709"/>
      </w:pPr>
      <w:r>
        <w:lastRenderedPageBreak/>
        <w:t>Izglītības un zinātnes ministre</w:t>
      </w:r>
      <w:r>
        <w:tab/>
      </w:r>
      <w:r>
        <w:tab/>
      </w:r>
      <w:r>
        <w:tab/>
      </w:r>
      <w:r>
        <w:tab/>
      </w:r>
      <w:r>
        <w:tab/>
      </w:r>
      <w:r>
        <w:tab/>
      </w:r>
      <w:proofErr w:type="spellStart"/>
      <w:r>
        <w:t>M.Seile</w:t>
      </w:r>
      <w:proofErr w:type="spellEnd"/>
    </w:p>
    <w:p w:rsidR="00555E1B" w:rsidRDefault="00555E1B" w:rsidP="0032789A">
      <w:pPr>
        <w:pStyle w:val="naisf"/>
        <w:spacing w:before="0" w:after="0"/>
        <w:ind w:firstLine="0"/>
        <w:rPr>
          <w:lang w:val="en-GB" w:eastAsia="en-US"/>
        </w:rPr>
      </w:pPr>
    </w:p>
    <w:p w:rsidR="00555E1B" w:rsidRDefault="00555E1B" w:rsidP="0032789A">
      <w:pPr>
        <w:pStyle w:val="naisf"/>
        <w:spacing w:before="0" w:after="0"/>
        <w:ind w:firstLine="0"/>
        <w:rPr>
          <w:lang w:val="en-GB" w:eastAsia="en-US"/>
        </w:rPr>
      </w:pPr>
    </w:p>
    <w:p w:rsidR="00555E1B" w:rsidRPr="00522160" w:rsidRDefault="00555E1B" w:rsidP="0032789A">
      <w:pPr>
        <w:pStyle w:val="naisf"/>
        <w:spacing w:before="0" w:after="0"/>
        <w:ind w:firstLine="0"/>
        <w:rPr>
          <w:lang w:val="en-GB" w:eastAsia="en-US"/>
        </w:rPr>
      </w:pPr>
    </w:p>
    <w:p w:rsidR="00522160" w:rsidRDefault="00522160" w:rsidP="00522160">
      <w:pPr>
        <w:pStyle w:val="naisf"/>
        <w:spacing w:before="0" w:after="0"/>
        <w:ind w:firstLine="720"/>
      </w:pPr>
      <w:r>
        <w:t>Iesniedzējs:</w:t>
      </w:r>
    </w:p>
    <w:p w:rsidR="00EB235E" w:rsidRPr="00522160" w:rsidRDefault="00522160" w:rsidP="00522160">
      <w:pPr>
        <w:pStyle w:val="naisf"/>
        <w:spacing w:before="0" w:after="0"/>
        <w:ind w:firstLine="720"/>
      </w:pPr>
      <w:r>
        <w:t>Izglītības un zinātnes ministre</w:t>
      </w:r>
      <w:r>
        <w:tab/>
      </w:r>
      <w:r>
        <w:tab/>
      </w:r>
      <w:r>
        <w:tab/>
      </w:r>
      <w:r>
        <w:tab/>
      </w:r>
      <w:r>
        <w:tab/>
      </w:r>
      <w:proofErr w:type="spellStart"/>
      <w:r w:rsidR="00EB235E" w:rsidRPr="00522160">
        <w:t>M.Seile</w:t>
      </w:r>
      <w:proofErr w:type="spellEnd"/>
    </w:p>
    <w:p w:rsidR="00EB235E" w:rsidRPr="00522160" w:rsidRDefault="00EB235E" w:rsidP="0032789A">
      <w:pPr>
        <w:pStyle w:val="naisf"/>
        <w:spacing w:before="0" w:after="0"/>
        <w:ind w:firstLine="323"/>
      </w:pPr>
    </w:p>
    <w:p w:rsidR="00EB235E" w:rsidRPr="00522160" w:rsidRDefault="00EB235E" w:rsidP="0032789A">
      <w:pPr>
        <w:pStyle w:val="naisf"/>
        <w:spacing w:before="0" w:after="0"/>
        <w:ind w:firstLine="323"/>
      </w:pPr>
    </w:p>
    <w:p w:rsidR="00FC5757" w:rsidRDefault="00FC5757" w:rsidP="0032789A">
      <w:pPr>
        <w:tabs>
          <w:tab w:val="left" w:pos="8222"/>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Vizē:</w:t>
      </w:r>
    </w:p>
    <w:p w:rsidR="00767CEC" w:rsidRDefault="00767CEC" w:rsidP="00767CE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Valsts sekretāra vietniece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67CEC" w:rsidRDefault="00767CEC" w:rsidP="00767CEC">
      <w:pPr>
        <w:spacing w:after="0"/>
        <w:ind w:firstLine="709"/>
        <w:jc w:val="both"/>
        <w:rPr>
          <w:rFonts w:ascii="Times New Roman" w:hAnsi="Times New Roman" w:cs="Times New Roman"/>
          <w:sz w:val="24"/>
          <w:szCs w:val="24"/>
        </w:rPr>
      </w:pPr>
      <w:r>
        <w:rPr>
          <w:rFonts w:ascii="Times New Roman" w:hAnsi="Times New Roman" w:cs="Times New Roman"/>
          <w:sz w:val="24"/>
          <w:szCs w:val="24"/>
        </w:rPr>
        <w:t>Politikas iniciatīvu un attīstības</w:t>
      </w:r>
    </w:p>
    <w:p w:rsidR="00767CEC" w:rsidRDefault="00767CEC" w:rsidP="00767CE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departamenta direktore, </w:t>
      </w:r>
    </w:p>
    <w:p w:rsidR="00767CEC" w:rsidRDefault="00767CEC" w:rsidP="00767CEC">
      <w:pPr>
        <w:spacing w:after="0"/>
        <w:ind w:firstLine="709"/>
        <w:jc w:val="both"/>
        <w:rPr>
          <w:rFonts w:ascii="Times New Roman" w:hAnsi="Times New Roman" w:cs="Times New Roman"/>
          <w:sz w:val="26"/>
          <w:szCs w:val="26"/>
        </w:rPr>
      </w:pPr>
      <w:r>
        <w:rPr>
          <w:rFonts w:ascii="Times New Roman" w:hAnsi="Times New Roman" w:cs="Times New Roman"/>
          <w:sz w:val="24"/>
          <w:szCs w:val="24"/>
        </w:rPr>
        <w:t>valsts sekretāra pienākumu izpildītāja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 Lejiņa</w:t>
      </w:r>
    </w:p>
    <w:p w:rsidR="00EB235E" w:rsidRPr="00522160" w:rsidRDefault="00EB235E" w:rsidP="0032789A">
      <w:pPr>
        <w:spacing w:after="0" w:line="240" w:lineRule="auto"/>
        <w:jc w:val="both"/>
        <w:rPr>
          <w:rFonts w:ascii="Times New Roman" w:hAnsi="Times New Roman" w:cs="Times New Roman"/>
          <w:sz w:val="24"/>
          <w:szCs w:val="24"/>
        </w:rPr>
      </w:pPr>
    </w:p>
    <w:p w:rsidR="00EB235E" w:rsidRPr="0032789A" w:rsidRDefault="00EB235E" w:rsidP="0032789A">
      <w:pPr>
        <w:tabs>
          <w:tab w:val="left" w:pos="7290"/>
        </w:tabs>
        <w:spacing w:after="0" w:line="240" w:lineRule="auto"/>
        <w:jc w:val="both"/>
        <w:rPr>
          <w:rFonts w:ascii="Times New Roman" w:hAnsi="Times New Roman" w:cs="Times New Roman"/>
          <w:sz w:val="28"/>
          <w:szCs w:val="28"/>
        </w:rPr>
      </w:pPr>
      <w:r w:rsidRPr="0032789A">
        <w:rPr>
          <w:rFonts w:ascii="Times New Roman" w:hAnsi="Times New Roman" w:cs="Times New Roman"/>
          <w:sz w:val="28"/>
          <w:szCs w:val="28"/>
        </w:rPr>
        <w:tab/>
      </w:r>
    </w:p>
    <w:p w:rsidR="00EB235E" w:rsidRPr="0032789A" w:rsidRDefault="00EB235E" w:rsidP="0032789A">
      <w:pPr>
        <w:spacing w:after="0" w:line="240" w:lineRule="auto"/>
        <w:jc w:val="both"/>
        <w:rPr>
          <w:rFonts w:ascii="Times New Roman" w:hAnsi="Times New Roman" w:cs="Times New Roman"/>
          <w:sz w:val="28"/>
          <w:szCs w:val="28"/>
        </w:rPr>
      </w:pPr>
    </w:p>
    <w:p w:rsidR="00EB235E" w:rsidRPr="002209A3" w:rsidRDefault="007B299B" w:rsidP="0052216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29</w:t>
      </w:r>
      <w:r w:rsidR="009B7DEF">
        <w:rPr>
          <w:rFonts w:ascii="Times New Roman" w:hAnsi="Times New Roman" w:cs="Times New Roman"/>
          <w:sz w:val="20"/>
          <w:szCs w:val="20"/>
        </w:rPr>
        <w:t>.06</w:t>
      </w:r>
      <w:r w:rsidR="00EB235E" w:rsidRPr="002209A3">
        <w:rPr>
          <w:rFonts w:ascii="Times New Roman" w:hAnsi="Times New Roman" w:cs="Times New Roman"/>
          <w:sz w:val="20"/>
          <w:szCs w:val="20"/>
        </w:rPr>
        <w:t>.2015.</w:t>
      </w:r>
    </w:p>
    <w:p w:rsidR="00EB235E" w:rsidRPr="002209A3" w:rsidRDefault="00767CEC" w:rsidP="0052216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1022</w:t>
      </w:r>
      <w:bookmarkStart w:id="0" w:name="_GoBack"/>
      <w:bookmarkEnd w:id="0"/>
    </w:p>
    <w:p w:rsidR="00522160" w:rsidRDefault="00EB235E" w:rsidP="00522160">
      <w:pPr>
        <w:spacing w:after="0" w:line="240" w:lineRule="auto"/>
        <w:ind w:firstLine="720"/>
        <w:jc w:val="both"/>
        <w:rPr>
          <w:rFonts w:ascii="Times New Roman" w:hAnsi="Times New Roman" w:cs="Times New Roman"/>
          <w:sz w:val="20"/>
          <w:szCs w:val="20"/>
        </w:rPr>
      </w:pPr>
      <w:proofErr w:type="spellStart"/>
      <w:r w:rsidRPr="002209A3">
        <w:rPr>
          <w:rFonts w:ascii="Times New Roman" w:hAnsi="Times New Roman" w:cs="Times New Roman"/>
          <w:sz w:val="20"/>
          <w:szCs w:val="20"/>
        </w:rPr>
        <w:t>I.Stūre</w:t>
      </w:r>
      <w:proofErr w:type="spellEnd"/>
      <w:r w:rsidR="00522160">
        <w:rPr>
          <w:rFonts w:ascii="Times New Roman" w:hAnsi="Times New Roman" w:cs="Times New Roman"/>
          <w:sz w:val="20"/>
          <w:szCs w:val="20"/>
        </w:rPr>
        <w:t>, 67047899</w:t>
      </w:r>
    </w:p>
    <w:p w:rsidR="00EB235E" w:rsidRPr="00522160" w:rsidRDefault="008D5986" w:rsidP="00522160">
      <w:pPr>
        <w:spacing w:after="0" w:line="240" w:lineRule="auto"/>
        <w:ind w:firstLine="720"/>
        <w:jc w:val="both"/>
        <w:rPr>
          <w:rFonts w:ascii="Times New Roman" w:hAnsi="Times New Roman" w:cs="Times New Roman"/>
          <w:sz w:val="20"/>
          <w:szCs w:val="20"/>
        </w:rPr>
      </w:pPr>
      <w:hyperlink r:id="rId6" w:history="1">
        <w:r w:rsidR="00EB235E" w:rsidRPr="002209A3">
          <w:rPr>
            <w:rStyle w:val="Hyperlink"/>
            <w:rFonts w:ascii="Times New Roman" w:hAnsi="Times New Roman" w:cs="Times New Roman"/>
            <w:sz w:val="20"/>
            <w:szCs w:val="20"/>
          </w:rPr>
          <w:t>Inese.Sture@izm.gov.lv</w:t>
        </w:r>
      </w:hyperlink>
    </w:p>
    <w:p w:rsidR="00D6468E" w:rsidRPr="0032789A" w:rsidRDefault="00D6468E" w:rsidP="0032789A">
      <w:pPr>
        <w:spacing w:after="0" w:line="240" w:lineRule="auto"/>
        <w:rPr>
          <w:rFonts w:ascii="Times New Roman" w:hAnsi="Times New Roman" w:cs="Times New Roman"/>
          <w:sz w:val="28"/>
          <w:szCs w:val="28"/>
        </w:rPr>
      </w:pPr>
    </w:p>
    <w:p w:rsidR="00690D4B" w:rsidRPr="0032789A" w:rsidRDefault="00690D4B" w:rsidP="0032789A">
      <w:pPr>
        <w:spacing w:after="0" w:line="240" w:lineRule="auto"/>
        <w:rPr>
          <w:rFonts w:ascii="Times New Roman" w:hAnsi="Times New Roman" w:cs="Times New Roman"/>
          <w:sz w:val="28"/>
          <w:szCs w:val="28"/>
        </w:rPr>
      </w:pPr>
    </w:p>
    <w:sectPr w:rsidR="00690D4B" w:rsidRPr="0032789A" w:rsidSect="00555E1B">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986" w:rsidRDefault="008D5986" w:rsidP="00FF3383">
      <w:pPr>
        <w:spacing w:after="0" w:line="240" w:lineRule="auto"/>
      </w:pPr>
      <w:r>
        <w:separator/>
      </w:r>
    </w:p>
  </w:endnote>
  <w:endnote w:type="continuationSeparator" w:id="0">
    <w:p w:rsidR="008D5986" w:rsidRDefault="008D5986" w:rsidP="00FF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FC" w:rsidRDefault="007B08FC" w:rsidP="00FC5757">
    <w:pPr>
      <w:pStyle w:val="Footer"/>
      <w:jc w:val="both"/>
      <w:rPr>
        <w:sz w:val="20"/>
        <w:szCs w:val="20"/>
      </w:rPr>
    </w:pPr>
  </w:p>
  <w:p w:rsidR="00FF3383" w:rsidRDefault="00FF3383" w:rsidP="00FC5757">
    <w:pPr>
      <w:pStyle w:val="Footer"/>
      <w:jc w:val="both"/>
    </w:pPr>
    <w:r w:rsidRPr="008A733C">
      <w:rPr>
        <w:sz w:val="20"/>
        <w:szCs w:val="20"/>
      </w:rPr>
      <w:t>IZMnotP</w:t>
    </w:r>
    <w:r w:rsidR="009C4338">
      <w:rPr>
        <w:sz w:val="20"/>
        <w:szCs w:val="20"/>
      </w:rPr>
      <w:t>9</w:t>
    </w:r>
    <w:r w:rsidR="00C35BEF">
      <w:rPr>
        <w:sz w:val="20"/>
        <w:szCs w:val="20"/>
      </w:rPr>
      <w:t>_</w:t>
    </w:r>
    <w:r w:rsidR="007B299B">
      <w:rPr>
        <w:sz w:val="20"/>
        <w:szCs w:val="20"/>
      </w:rPr>
      <w:t>29</w:t>
    </w:r>
    <w:r w:rsidR="009B7DEF">
      <w:rPr>
        <w:sz w:val="20"/>
        <w:szCs w:val="20"/>
      </w:rPr>
      <w:t>06</w:t>
    </w:r>
    <w:r w:rsidRPr="008A733C">
      <w:rPr>
        <w:sz w:val="20"/>
        <w:szCs w:val="20"/>
      </w:rPr>
      <w:t>15_akredit</w:t>
    </w:r>
    <w:r w:rsidR="00522160">
      <w:rPr>
        <w:sz w:val="20"/>
        <w:szCs w:val="20"/>
      </w:rPr>
      <w:t>acija</w:t>
    </w:r>
    <w:r w:rsidRPr="00D15763">
      <w:rPr>
        <w:sz w:val="20"/>
        <w:szCs w:val="20"/>
      </w:rPr>
      <w:t>; Ministru kabineta noteikumu projekts ,,</w:t>
    </w:r>
    <w:r>
      <w:rPr>
        <w:sz w:val="20"/>
        <w:szCs w:val="20"/>
      </w:rPr>
      <w:t>Augstskolu, koledžu un studiju virzienu akreditācijas noteikumi</w:t>
    </w:r>
    <w:r>
      <w:t>”</w:t>
    </w:r>
  </w:p>
  <w:p w:rsidR="00FF3383" w:rsidRDefault="00FF3383">
    <w:pPr>
      <w:pStyle w:val="Footer"/>
    </w:pPr>
  </w:p>
  <w:p w:rsidR="009D762B" w:rsidRDefault="008D5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57" w:rsidRDefault="00FC5757" w:rsidP="00FC5757">
    <w:pPr>
      <w:pStyle w:val="Footer"/>
      <w:jc w:val="both"/>
    </w:pPr>
    <w:r w:rsidRPr="008A733C">
      <w:rPr>
        <w:sz w:val="20"/>
        <w:szCs w:val="20"/>
      </w:rPr>
      <w:t>IZMnotP</w:t>
    </w:r>
    <w:r w:rsidR="00C35BEF">
      <w:rPr>
        <w:sz w:val="20"/>
        <w:szCs w:val="20"/>
      </w:rPr>
      <w:t>9_</w:t>
    </w:r>
    <w:r w:rsidR="007B299B">
      <w:rPr>
        <w:sz w:val="20"/>
        <w:szCs w:val="20"/>
      </w:rPr>
      <w:t>29</w:t>
    </w:r>
    <w:r w:rsidR="009B7DEF">
      <w:rPr>
        <w:sz w:val="20"/>
        <w:szCs w:val="20"/>
      </w:rPr>
      <w:t>06</w:t>
    </w:r>
    <w:r w:rsidRPr="008A733C">
      <w:rPr>
        <w:sz w:val="20"/>
        <w:szCs w:val="20"/>
      </w:rPr>
      <w:t>15_akredit</w:t>
    </w:r>
    <w:r>
      <w:rPr>
        <w:sz w:val="20"/>
        <w:szCs w:val="20"/>
      </w:rPr>
      <w:t>acija</w:t>
    </w:r>
    <w:r w:rsidRPr="00D15763">
      <w:rPr>
        <w:sz w:val="20"/>
        <w:szCs w:val="20"/>
      </w:rPr>
      <w:t>; Ministru kabineta noteikumu projekts ,,</w:t>
    </w:r>
    <w:r>
      <w:rPr>
        <w:sz w:val="20"/>
        <w:szCs w:val="20"/>
      </w:rPr>
      <w:t>Augstskolu, koledžu un studiju virzienu akreditācijas noteikumi</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986" w:rsidRDefault="008D5986" w:rsidP="00FF3383">
      <w:pPr>
        <w:spacing w:after="0" w:line="240" w:lineRule="auto"/>
      </w:pPr>
      <w:r>
        <w:separator/>
      </w:r>
    </w:p>
  </w:footnote>
  <w:footnote w:type="continuationSeparator" w:id="0">
    <w:p w:rsidR="008D5986" w:rsidRDefault="008D5986" w:rsidP="00FF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204914"/>
      <w:docPartObj>
        <w:docPartGallery w:val="Page Numbers (Top of Page)"/>
        <w:docPartUnique/>
      </w:docPartObj>
    </w:sdtPr>
    <w:sdtEndPr>
      <w:rPr>
        <w:noProof/>
      </w:rPr>
    </w:sdtEndPr>
    <w:sdtContent>
      <w:p w:rsidR="009809B2" w:rsidRDefault="009809B2">
        <w:pPr>
          <w:pStyle w:val="Header"/>
          <w:jc w:val="center"/>
        </w:pPr>
        <w:r>
          <w:fldChar w:fldCharType="begin"/>
        </w:r>
        <w:r>
          <w:instrText xml:space="preserve"> PAGE   \* MERGEFORMAT </w:instrText>
        </w:r>
        <w:r>
          <w:fldChar w:fldCharType="separate"/>
        </w:r>
        <w:r w:rsidR="00767CEC">
          <w:rPr>
            <w:noProof/>
          </w:rPr>
          <w:t>3</w:t>
        </w:r>
        <w:r>
          <w:rPr>
            <w:noProof/>
          </w:rPr>
          <w:fldChar w:fldCharType="end"/>
        </w:r>
      </w:p>
    </w:sdtContent>
  </w:sdt>
  <w:p w:rsidR="00DB6C7F" w:rsidRDefault="00DB6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8E"/>
    <w:rsid w:val="0006680D"/>
    <w:rsid w:val="000A0869"/>
    <w:rsid w:val="000B78B7"/>
    <w:rsid w:val="000C2170"/>
    <w:rsid w:val="001601FA"/>
    <w:rsid w:val="001A55BA"/>
    <w:rsid w:val="002209A3"/>
    <w:rsid w:val="002A1D3F"/>
    <w:rsid w:val="002F006A"/>
    <w:rsid w:val="0032789A"/>
    <w:rsid w:val="003C75F9"/>
    <w:rsid w:val="00402E29"/>
    <w:rsid w:val="00495DCF"/>
    <w:rsid w:val="004A284A"/>
    <w:rsid w:val="00522160"/>
    <w:rsid w:val="005455CD"/>
    <w:rsid w:val="00555E1B"/>
    <w:rsid w:val="00557557"/>
    <w:rsid w:val="00596B49"/>
    <w:rsid w:val="005C0AED"/>
    <w:rsid w:val="00646FD4"/>
    <w:rsid w:val="006613BF"/>
    <w:rsid w:val="00690D4B"/>
    <w:rsid w:val="006F28B6"/>
    <w:rsid w:val="0071439E"/>
    <w:rsid w:val="00767CEC"/>
    <w:rsid w:val="00770F70"/>
    <w:rsid w:val="007B00C3"/>
    <w:rsid w:val="007B08FC"/>
    <w:rsid w:val="007B299B"/>
    <w:rsid w:val="00854582"/>
    <w:rsid w:val="008852CD"/>
    <w:rsid w:val="0089129B"/>
    <w:rsid w:val="008C567E"/>
    <w:rsid w:val="008D5986"/>
    <w:rsid w:val="0093325F"/>
    <w:rsid w:val="009809B2"/>
    <w:rsid w:val="009B7DEF"/>
    <w:rsid w:val="009C13E0"/>
    <w:rsid w:val="009C4338"/>
    <w:rsid w:val="00A313F2"/>
    <w:rsid w:val="00A86F86"/>
    <w:rsid w:val="00A9607B"/>
    <w:rsid w:val="00B42FBD"/>
    <w:rsid w:val="00B50838"/>
    <w:rsid w:val="00B677AD"/>
    <w:rsid w:val="00BD25BD"/>
    <w:rsid w:val="00BE282E"/>
    <w:rsid w:val="00C35BEF"/>
    <w:rsid w:val="00C53E90"/>
    <w:rsid w:val="00C74D37"/>
    <w:rsid w:val="00C76F85"/>
    <w:rsid w:val="00CA092A"/>
    <w:rsid w:val="00D6468E"/>
    <w:rsid w:val="00D95579"/>
    <w:rsid w:val="00DB6C7F"/>
    <w:rsid w:val="00E03459"/>
    <w:rsid w:val="00EB235E"/>
    <w:rsid w:val="00EC4FFF"/>
    <w:rsid w:val="00F84EBD"/>
    <w:rsid w:val="00FC5757"/>
    <w:rsid w:val="00FF3383"/>
    <w:rsid w:val="00FF68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082CA-7502-441F-8E29-9C7A638A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6468E"/>
    <w:pPr>
      <w:spacing w:before="64" w:after="6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D6468E"/>
    <w:pPr>
      <w:spacing w:before="64" w:after="64" w:line="240" w:lineRule="auto"/>
      <w:ind w:firstLine="321"/>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6468E"/>
    <w:rPr>
      <w:color w:val="0000FF"/>
      <w:u w:val="single"/>
    </w:rPr>
  </w:style>
  <w:style w:type="paragraph" w:styleId="Footer">
    <w:name w:val="footer"/>
    <w:basedOn w:val="Normal"/>
    <w:link w:val="FooterChar"/>
    <w:uiPriority w:val="99"/>
    <w:rsid w:val="00D6468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D6468E"/>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F33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3383"/>
  </w:style>
  <w:style w:type="paragraph" w:styleId="ListParagraph">
    <w:name w:val="List Paragraph"/>
    <w:basedOn w:val="Normal"/>
    <w:uiPriority w:val="34"/>
    <w:qFormat/>
    <w:rsid w:val="000A0869"/>
    <w:pPr>
      <w:spacing w:after="0" w:line="240" w:lineRule="auto"/>
      <w:ind w:left="720"/>
      <w:contextualSpacing/>
    </w:pPr>
  </w:style>
  <w:style w:type="character" w:customStyle="1" w:styleId="tvhtml">
    <w:name w:val="tv_html"/>
    <w:basedOn w:val="DefaultParagraphFont"/>
    <w:rsid w:val="000A0869"/>
  </w:style>
  <w:style w:type="paragraph" w:styleId="BalloonText">
    <w:name w:val="Balloon Text"/>
    <w:basedOn w:val="Normal"/>
    <w:link w:val="BalloonTextChar"/>
    <w:uiPriority w:val="99"/>
    <w:semiHidden/>
    <w:unhideWhenUsed/>
    <w:rsid w:val="009B7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7575">
      <w:bodyDiv w:val="1"/>
      <w:marLeft w:val="0"/>
      <w:marRight w:val="0"/>
      <w:marTop w:val="0"/>
      <w:marBottom w:val="0"/>
      <w:divBdr>
        <w:top w:val="none" w:sz="0" w:space="0" w:color="auto"/>
        <w:left w:val="none" w:sz="0" w:space="0" w:color="auto"/>
        <w:bottom w:val="none" w:sz="0" w:space="0" w:color="auto"/>
        <w:right w:val="none" w:sz="0" w:space="0" w:color="auto"/>
      </w:divBdr>
    </w:div>
    <w:div w:id="149475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se.Sture@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5710</Words>
  <Characters>3256</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Linda Upīte</cp:lastModifiedBy>
  <cp:revision>40</cp:revision>
  <dcterms:created xsi:type="dcterms:W3CDTF">2015-03-20T10:41:00Z</dcterms:created>
  <dcterms:modified xsi:type="dcterms:W3CDTF">2015-07-01T11:29:00Z</dcterms:modified>
</cp:coreProperties>
</file>