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43" w:rsidRPr="00F525DB" w:rsidRDefault="00E15543" w:rsidP="00E15543">
      <w:pPr>
        <w:pStyle w:val="Footer"/>
        <w:jc w:val="center"/>
        <w:rPr>
          <w:b/>
          <w:sz w:val="28"/>
          <w:szCs w:val="28"/>
        </w:rPr>
      </w:pPr>
      <w:r w:rsidRPr="00F525DB">
        <w:rPr>
          <w:b/>
          <w:sz w:val="28"/>
          <w:szCs w:val="28"/>
        </w:rPr>
        <w:t>Ministru kabineta noteikumu projekta</w:t>
      </w:r>
    </w:p>
    <w:p w:rsidR="00E15543" w:rsidRPr="00F525DB" w:rsidRDefault="00E15543" w:rsidP="00E15543">
      <w:pPr>
        <w:jc w:val="center"/>
        <w:rPr>
          <w:rFonts w:eastAsia="Lucida Sans Unicode"/>
          <w:b/>
          <w:kern w:val="1"/>
          <w:sz w:val="28"/>
          <w:szCs w:val="28"/>
        </w:rPr>
      </w:pPr>
      <w:r w:rsidRPr="00F525DB">
        <w:rPr>
          <w:b/>
          <w:sz w:val="28"/>
          <w:szCs w:val="28"/>
        </w:rPr>
        <w:t xml:space="preserve">„Grozījums Ministru kabineta </w:t>
      </w:r>
      <w:proofErr w:type="gramStart"/>
      <w:r w:rsidRPr="00F525DB">
        <w:rPr>
          <w:b/>
          <w:sz w:val="28"/>
          <w:szCs w:val="28"/>
        </w:rPr>
        <w:t>2010.gada</w:t>
      </w:r>
      <w:proofErr w:type="gramEnd"/>
      <w:r w:rsidRPr="00F525DB">
        <w:rPr>
          <w:b/>
          <w:sz w:val="28"/>
          <w:szCs w:val="28"/>
        </w:rPr>
        <w:t xml:space="preserve"> 5.oktobra noteikumos Nr.943 „Iekšlietu ministrijas veselības un sporta centra nolikums”</w:t>
      </w:r>
      <w:r w:rsidRPr="00F525DB">
        <w:rPr>
          <w:rFonts w:eastAsia="Lucida Sans Unicode"/>
          <w:b/>
          <w:kern w:val="1"/>
          <w:sz w:val="28"/>
          <w:szCs w:val="28"/>
        </w:rPr>
        <w:t>” sākotnējās ietekmes novērtējuma ziņojums (anotācija)</w:t>
      </w:r>
    </w:p>
    <w:p w:rsidR="00616AA6" w:rsidRPr="00D65D1A" w:rsidRDefault="00616AA6" w:rsidP="00616AA6">
      <w:pPr>
        <w:pStyle w:val="BodyText"/>
        <w:rPr>
          <w:szCs w:val="28"/>
        </w:rPr>
      </w:pPr>
    </w:p>
    <w:tbl>
      <w:tblPr>
        <w:tblStyle w:val="TableGrid"/>
        <w:tblW w:w="9133" w:type="dxa"/>
        <w:tblLook w:val="04A0" w:firstRow="1" w:lastRow="0" w:firstColumn="1" w:lastColumn="0" w:noHBand="0" w:noVBand="1"/>
      </w:tblPr>
      <w:tblGrid>
        <w:gridCol w:w="562"/>
        <w:gridCol w:w="142"/>
        <w:gridCol w:w="2552"/>
        <w:gridCol w:w="425"/>
        <w:gridCol w:w="5452"/>
      </w:tblGrid>
      <w:tr w:rsidR="00616AA6" w:rsidRPr="00D65D1A" w:rsidTr="006522FE">
        <w:tc>
          <w:tcPr>
            <w:tcW w:w="9133" w:type="dxa"/>
            <w:gridSpan w:val="5"/>
          </w:tcPr>
          <w:p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rsidTr="00985272">
        <w:tc>
          <w:tcPr>
            <w:tcW w:w="562" w:type="dxa"/>
          </w:tcPr>
          <w:p w:rsidR="00616AA6" w:rsidRPr="00D65D1A" w:rsidRDefault="00616AA6" w:rsidP="00710EAA">
            <w:pPr>
              <w:spacing w:before="60"/>
              <w:rPr>
                <w:sz w:val="28"/>
                <w:szCs w:val="28"/>
              </w:rPr>
            </w:pPr>
            <w:r w:rsidRPr="00D65D1A">
              <w:rPr>
                <w:sz w:val="28"/>
                <w:szCs w:val="28"/>
              </w:rPr>
              <w:t>1.</w:t>
            </w:r>
          </w:p>
        </w:tc>
        <w:tc>
          <w:tcPr>
            <w:tcW w:w="2694" w:type="dxa"/>
            <w:gridSpan w:val="2"/>
          </w:tcPr>
          <w:p w:rsidR="00616AA6" w:rsidRPr="00985272" w:rsidRDefault="00616AA6" w:rsidP="00710EAA">
            <w:pPr>
              <w:spacing w:before="60"/>
              <w:rPr>
                <w:sz w:val="26"/>
                <w:szCs w:val="26"/>
              </w:rPr>
            </w:pPr>
            <w:r w:rsidRPr="00985272">
              <w:rPr>
                <w:sz w:val="26"/>
                <w:szCs w:val="26"/>
              </w:rPr>
              <w:t>Pamatojums</w:t>
            </w:r>
          </w:p>
        </w:tc>
        <w:tc>
          <w:tcPr>
            <w:tcW w:w="5877" w:type="dxa"/>
            <w:gridSpan w:val="2"/>
          </w:tcPr>
          <w:p w:rsidR="002B5B67" w:rsidRPr="00985272" w:rsidRDefault="00687963" w:rsidP="002766FB">
            <w:pPr>
              <w:spacing w:before="60"/>
              <w:jc w:val="both"/>
              <w:rPr>
                <w:sz w:val="26"/>
                <w:szCs w:val="26"/>
              </w:rPr>
            </w:pPr>
            <w:r w:rsidRPr="00985272">
              <w:rPr>
                <w:sz w:val="26"/>
                <w:szCs w:val="26"/>
              </w:rPr>
              <w:t xml:space="preserve">Ministru kabineta noteikumu projekts </w:t>
            </w:r>
            <w:r w:rsidR="00E15543" w:rsidRPr="00E15543">
              <w:t xml:space="preserve">„Grozījums Ministru kabineta </w:t>
            </w:r>
            <w:proofErr w:type="gramStart"/>
            <w:r w:rsidR="00E15543" w:rsidRPr="00E15543">
              <w:t>2010.gada</w:t>
            </w:r>
            <w:proofErr w:type="gramEnd"/>
            <w:r w:rsidR="00E15543" w:rsidRPr="00E15543">
              <w:t xml:space="preserve"> 5.oktobra noteikumos Nr.943 „Iekšlietu ministrijas veselības un sporta centra nolikums”</w:t>
            </w:r>
            <w:r w:rsidR="00E15543" w:rsidRPr="00E15543">
              <w:rPr>
                <w:rFonts w:eastAsia="Lucida Sans Unicode"/>
                <w:kern w:val="1"/>
              </w:rPr>
              <w:t>”</w:t>
            </w:r>
            <w:r w:rsidRPr="00E15543">
              <w:rPr>
                <w:sz w:val="26"/>
                <w:szCs w:val="26"/>
              </w:rPr>
              <w:t xml:space="preserve"> </w:t>
            </w:r>
            <w:r w:rsidRPr="00985272">
              <w:rPr>
                <w:sz w:val="26"/>
                <w:szCs w:val="26"/>
              </w:rPr>
              <w:t xml:space="preserve">(turpmāk – projekts) izstrādāts </w:t>
            </w:r>
            <w:r w:rsidR="00E15543">
              <w:rPr>
                <w:sz w:val="26"/>
                <w:szCs w:val="26"/>
              </w:rPr>
              <w:t xml:space="preserve">atbilstoši </w:t>
            </w:r>
            <w:r w:rsidR="00E15543" w:rsidRPr="00201FF6">
              <w:t xml:space="preserve">Ministru kabineta 2013.gada 19.marta sēdes protokola Nr.15 36§ </w:t>
            </w:r>
            <w:r w:rsidR="00F525DB">
              <w:t>2</w:t>
            </w:r>
            <w:r w:rsidR="00E15543" w:rsidRPr="00201FF6">
              <w:t>.1.</w:t>
            </w:r>
            <w:r w:rsidR="00F525DB">
              <w:t xml:space="preserve">6 </w:t>
            </w:r>
            <w:r w:rsidR="00E15543" w:rsidRPr="00201FF6">
              <w:t>apakšpunkt</w:t>
            </w:r>
            <w:r w:rsidR="002766FB">
              <w:t>ā paredzētajam</w:t>
            </w:r>
            <w:r w:rsidR="00E15543">
              <w:t>,</w:t>
            </w:r>
            <w:r w:rsidR="00E15543" w:rsidRPr="00201FF6">
              <w:t xml:space="preserve"> 2013.gada 27.augusta sēdes protokola Nr.46 102</w:t>
            </w:r>
            <w:r w:rsidR="00E15543">
              <w:t>§ 1.punktu un 2013.gada 26.novembra sēdes protokola Nr.63 34</w:t>
            </w:r>
            <w:r w:rsidR="00E15543" w:rsidRPr="00201FF6">
              <w:t>§</w:t>
            </w:r>
            <w:r w:rsidR="00E15543">
              <w:t xml:space="preserve"> 2.punkts, kā arī Iekšlietu ministrijas veselības un sporta centra iniciatīvu.</w:t>
            </w:r>
          </w:p>
        </w:tc>
      </w:tr>
      <w:tr w:rsidR="00616AA6" w:rsidRPr="00023D4B" w:rsidTr="00985272">
        <w:tc>
          <w:tcPr>
            <w:tcW w:w="562" w:type="dxa"/>
          </w:tcPr>
          <w:p w:rsidR="00616AA6" w:rsidRPr="00EF575A" w:rsidRDefault="00616AA6" w:rsidP="00710EAA">
            <w:pPr>
              <w:spacing w:before="60" w:line="720" w:lineRule="auto"/>
              <w:rPr>
                <w:sz w:val="28"/>
                <w:szCs w:val="28"/>
              </w:rPr>
            </w:pPr>
            <w:r w:rsidRPr="00EF575A">
              <w:rPr>
                <w:sz w:val="28"/>
                <w:szCs w:val="28"/>
              </w:rPr>
              <w:t>2.</w:t>
            </w:r>
          </w:p>
        </w:tc>
        <w:tc>
          <w:tcPr>
            <w:tcW w:w="2694" w:type="dxa"/>
            <w:gridSpan w:val="2"/>
          </w:tcPr>
          <w:p w:rsidR="00616AA6" w:rsidRPr="00EF575A" w:rsidRDefault="00616AA6" w:rsidP="00710EAA">
            <w:pPr>
              <w:spacing w:before="60"/>
              <w:rPr>
                <w:sz w:val="26"/>
                <w:szCs w:val="26"/>
              </w:rPr>
            </w:pPr>
            <w:r w:rsidRPr="00EF575A">
              <w:rPr>
                <w:sz w:val="26"/>
                <w:szCs w:val="26"/>
              </w:rPr>
              <w:t>Pašreizējā situācija un problēmas</w:t>
            </w:r>
            <w:r w:rsidR="000F2F91" w:rsidRPr="00EF575A">
              <w:rPr>
                <w:sz w:val="26"/>
                <w:szCs w:val="26"/>
              </w:rPr>
              <w:t>, kuru risināšanai tiesību akta projekts izstrādāts, tiesiskā regulējuma mērķis un būtība</w:t>
            </w:r>
          </w:p>
        </w:tc>
        <w:tc>
          <w:tcPr>
            <w:tcW w:w="5877" w:type="dxa"/>
            <w:gridSpan w:val="2"/>
          </w:tcPr>
          <w:p w:rsidR="00E15543" w:rsidRPr="00023D4B" w:rsidRDefault="00E15543" w:rsidP="00E15543">
            <w:pPr>
              <w:pStyle w:val="tv213"/>
              <w:spacing w:before="0" w:beforeAutospacing="0" w:after="0" w:afterAutospacing="0"/>
              <w:ind w:firstLine="703"/>
              <w:jc w:val="both"/>
            </w:pPr>
            <w:r w:rsidRPr="00023D4B">
              <w:t xml:space="preserve">Ar Iekšlietu ministrijas </w:t>
            </w:r>
            <w:proofErr w:type="gramStart"/>
            <w:r w:rsidRPr="00023D4B">
              <w:t>2011.gada</w:t>
            </w:r>
            <w:proofErr w:type="gramEnd"/>
            <w:r w:rsidRPr="00023D4B">
              <w:t xml:space="preserve"> 29.jūnija rīkojumu Nr.1010 tika izveidota darba grupa, kuras uzdevums bija izvērtēt normatīvajos aktos paredzētās sociālās garantijas </w:t>
            </w:r>
            <w:r w:rsidR="00F70DDF" w:rsidRPr="00023D4B">
              <w:t xml:space="preserve">Iekšlietu ministrijas </w:t>
            </w:r>
            <w:r w:rsidRPr="00023D4B">
              <w:t xml:space="preserve">amatpersonām </w:t>
            </w:r>
            <w:r w:rsidR="00F70DDF" w:rsidRPr="00023D4B">
              <w:t xml:space="preserve">ar speciālajām dienesta pakāpēm </w:t>
            </w:r>
            <w:r w:rsidR="0002260A" w:rsidRPr="00023D4B">
              <w:rPr>
                <w:iCs/>
              </w:rPr>
              <w:t xml:space="preserve">(turpmāk – amatpersonas) </w:t>
            </w:r>
            <w:r w:rsidRPr="00023D4B">
              <w:t xml:space="preserve">un sagatavot priekšlikumus sociālo garantiju sistēmas pilnveidošanai. </w:t>
            </w:r>
          </w:p>
          <w:p w:rsidR="00E15543" w:rsidRPr="00023D4B" w:rsidRDefault="00E15543" w:rsidP="00E15543">
            <w:pPr>
              <w:pStyle w:val="tv213"/>
              <w:spacing w:before="0" w:beforeAutospacing="0" w:after="0" w:afterAutospacing="0"/>
              <w:ind w:firstLine="703"/>
              <w:jc w:val="both"/>
            </w:pPr>
            <w:r w:rsidRPr="00023D4B">
              <w:t xml:space="preserve">Ministru kabinets </w:t>
            </w:r>
            <w:proofErr w:type="gramStart"/>
            <w:r w:rsidRPr="00023D4B">
              <w:t>2012.gada</w:t>
            </w:r>
            <w:proofErr w:type="gramEnd"/>
            <w:r w:rsidRPr="00023D4B">
              <w:t xml:space="preserve"> 6.marta sēdē (protokola Nr.12 16.§ 3.punkts) uzdeva finanšu ministram izveidot starpinstitūciju darba grupu, lai izvērtētu normatīvajos aktos noteiktās sociālās garantijas karavīriem un amatpersonām ar speciālajām dienesta pakāpēm un izstrādātu priekšlikumus par to iespējamu pilnveidošanu. Ar Finanšu ministrijas </w:t>
            </w:r>
            <w:proofErr w:type="gramStart"/>
            <w:r w:rsidRPr="00023D4B">
              <w:t>2012.gada</w:t>
            </w:r>
            <w:proofErr w:type="gramEnd"/>
            <w:r w:rsidRPr="00023D4B">
              <w:t xml:space="preserve"> 22.maija rīkojumu Nr.257 tika izveidota starpinstitūciju darba grupa.</w:t>
            </w:r>
          </w:p>
          <w:p w:rsidR="00E15543" w:rsidRPr="00023D4B" w:rsidRDefault="00E15543" w:rsidP="00E15543">
            <w:pPr>
              <w:pStyle w:val="tv213"/>
              <w:spacing w:before="0" w:beforeAutospacing="0" w:after="0" w:afterAutospacing="0"/>
              <w:ind w:firstLine="703"/>
              <w:jc w:val="both"/>
            </w:pPr>
            <w:r w:rsidRPr="00023D4B">
              <w:t xml:space="preserve"> Ministru kabineta </w:t>
            </w:r>
            <w:proofErr w:type="gramStart"/>
            <w:r w:rsidRPr="00023D4B">
              <w:t>2013.gada</w:t>
            </w:r>
            <w:proofErr w:type="gramEnd"/>
            <w:r w:rsidRPr="00023D4B">
              <w:t xml:space="preserve"> 19.marta sēdē tika pieņemts zināšanai Informatīvais ziņojums "Priekšlikumi par normatīvajos aktos noteikto sociālo garantiju karavīriem un amatpersonām ar speciālajām dienesta pakāpēm iespējamu pilnveidošanu" (prot.Nr.15, 36.§). </w:t>
            </w:r>
          </w:p>
          <w:p w:rsidR="00E15543" w:rsidRPr="00023D4B" w:rsidRDefault="00E15543" w:rsidP="00E15543">
            <w:pPr>
              <w:pStyle w:val="tv213"/>
              <w:spacing w:before="0" w:beforeAutospacing="0" w:after="0" w:afterAutospacing="0"/>
              <w:ind w:firstLine="703"/>
              <w:jc w:val="both"/>
            </w:pPr>
            <w:r w:rsidRPr="00023D4B">
              <w:t>Atšķirībā no lielākās daļas valsts pārvaldē nodarbinātajiem, amatpersonu dienesta pienākumu pildīšana ir saistīta ar risku veselībai un dzīvībai, kā arī iespējamu bojāeju.  Tādēļ amatpersonu sociālo garantiju paketei jābūt tādai, kas ietver specifiskas sociālās garantijas, ar mērķi noteiktā apjomā kompensēt izdevumus vai dažāda veida zaudējumus, kas radušies dienesta pildīšanas rezultātā. Specifiska iezīme amatpersonu dienestam ir iespējamā fiziskā, emocionālā vai psiholoģiskā pārslodze un stress. Tādēļ tām amatpersonām, kuras ir nonākušas šādās situācijās, jānodrošina iespēja saņemt atbilstošu psihologu un mediķu palīdzību.</w:t>
            </w:r>
          </w:p>
          <w:p w:rsidR="00E15543" w:rsidRPr="00023D4B" w:rsidRDefault="00E15543" w:rsidP="00E15543">
            <w:pPr>
              <w:pStyle w:val="tv213"/>
              <w:spacing w:before="0" w:beforeAutospacing="0" w:after="0" w:afterAutospacing="0"/>
              <w:ind w:firstLine="703"/>
              <w:jc w:val="both"/>
            </w:pPr>
            <w:r w:rsidRPr="00023D4B">
              <w:lastRenderedPageBreak/>
              <w:t xml:space="preserve">Konceptuāli tika atbalstīti vairāki pasākumi, kuri vērsti uz amatpersonu veselības aprūpes pakalpojumu pieejamības paaugstināšanu un veselības aprūpes uzlabošanu, to skaitā psiholoģiskā atbalsta dienesta izveidošanu psiholoģiskās palīdzības saņemšanai pēc krīzes situācijām un, nepieciešamības gadījumā, speciālistu izbraukumu uz notikuma vietām nodrošināšana. </w:t>
            </w:r>
          </w:p>
          <w:p w:rsidR="00E15543" w:rsidRPr="00023D4B" w:rsidRDefault="00E15543" w:rsidP="00E15543">
            <w:pPr>
              <w:pStyle w:val="tv213"/>
              <w:spacing w:before="0" w:beforeAutospacing="0" w:after="0" w:afterAutospacing="0"/>
              <w:ind w:firstLine="703"/>
              <w:jc w:val="both"/>
            </w:pPr>
            <w:r w:rsidRPr="00023D4B">
              <w:t xml:space="preserve">Iekšlietu ministrija, atbilstoši Ministru kabineta </w:t>
            </w:r>
            <w:proofErr w:type="gramStart"/>
            <w:r w:rsidRPr="00023D4B">
              <w:t>2012.gada</w:t>
            </w:r>
            <w:proofErr w:type="gramEnd"/>
            <w:r w:rsidRPr="00023D4B">
              <w:t xml:space="preserve"> 11.decembra noteikumiem Nr.867 „Kārtība, kādā nosakāms maksimāli pieļaujamais valsts budžeta izdevumu kopapjoms un maksimāli pieļaujamais valsts budžeta izdevumu kopējais apjoms katrai ministrijai un citām centrālajām valsts iestādēm vidējam termiņam” izstrādāja jaunās politikas iniciatīvas.</w:t>
            </w:r>
          </w:p>
          <w:p w:rsidR="00E15543" w:rsidRPr="00023D4B" w:rsidRDefault="00E15543" w:rsidP="00E15543">
            <w:pPr>
              <w:pStyle w:val="tv213"/>
              <w:spacing w:before="0" w:beforeAutospacing="0" w:after="0" w:afterAutospacing="0"/>
              <w:ind w:firstLine="703"/>
              <w:jc w:val="both"/>
            </w:pPr>
            <w:r w:rsidRPr="00023D4B">
              <w:t xml:space="preserve">Ministru kabineta </w:t>
            </w:r>
            <w:proofErr w:type="gramStart"/>
            <w:r w:rsidRPr="00023D4B">
              <w:t>2013.gada</w:t>
            </w:r>
            <w:proofErr w:type="gramEnd"/>
            <w:r w:rsidRPr="00023D4B">
              <w:t xml:space="preserve"> 27.augusta sēdē (</w:t>
            </w:r>
            <w:r w:rsidRPr="00023D4B">
              <w:rPr>
                <w:rFonts w:eastAsia="Calibri"/>
              </w:rPr>
              <w:t>prot.Nr.46, 102.§ 1.p.)</w:t>
            </w:r>
            <w:r w:rsidRPr="00023D4B">
              <w:rPr>
                <w:color w:val="FF0000"/>
              </w:rPr>
              <w:t xml:space="preserve"> </w:t>
            </w:r>
            <w:r w:rsidRPr="00023D4B">
              <w:t>pamatā tika</w:t>
            </w:r>
            <w:r w:rsidRPr="00023D4B">
              <w:rPr>
                <w:color w:val="2A2A2A"/>
                <w:shd w:val="clear" w:color="auto" w:fill="FFFFFF"/>
              </w:rPr>
              <w:t xml:space="preserve"> </w:t>
            </w:r>
            <w:r w:rsidRPr="00023D4B">
              <w:t>atbalstīta valsts budžeta līdzekļu novirzīšana jaunajām politikas iniciatīvām 2014., 2015. un 2016.gadā saskaņā ar iesniegto informāciju „Par valsts budžeta jaunajām politikas iniciatīvām 2014., 2015. un 2016.gadam” tostarp Iekšlietu ministrijas jaunajai politikas iniciatīvai „</w:t>
            </w:r>
            <w:r w:rsidRPr="00023D4B">
              <w:rPr>
                <w:rFonts w:eastAsia="Calibri"/>
              </w:rPr>
              <w:t>Veselības aprūpes pakalpojumu pieejamības paaugstināšana Iekšlietu ministrijas padotības iestāžu un Ieslodzījuma vietu pārvaldes amatpersonām ar speciālajām dienesta pakāpēm”</w:t>
            </w:r>
            <w:r w:rsidRPr="00023D4B">
              <w:t>.</w:t>
            </w:r>
          </w:p>
          <w:p w:rsidR="00F525DB" w:rsidRPr="00023D4B" w:rsidRDefault="00E15543" w:rsidP="00E15543">
            <w:pPr>
              <w:pStyle w:val="tv213"/>
              <w:spacing w:before="0" w:beforeAutospacing="0" w:after="0" w:afterAutospacing="0"/>
              <w:ind w:firstLine="703"/>
              <w:jc w:val="both"/>
            </w:pPr>
            <w:r w:rsidRPr="00023D4B">
              <w:t xml:space="preserve">Ņemot vērā minēto, Iekšlietu ministrijas veselības un sporta centrā ar </w:t>
            </w:r>
            <w:proofErr w:type="gramStart"/>
            <w:r w:rsidRPr="00023D4B">
              <w:t>2014.gada</w:t>
            </w:r>
            <w:proofErr w:type="gramEnd"/>
            <w:r w:rsidRPr="00023D4B">
              <w:t xml:space="preserve"> 1.janvāri ir izveidota Psiholoģiskā atbalsta nodaļa, kas sniedz psiholoģisku atbalstu </w:t>
            </w:r>
            <w:r w:rsidR="00F70DDF" w:rsidRPr="00023D4B">
              <w:t>amatpersonām</w:t>
            </w:r>
            <w:r w:rsidRPr="00023D4B">
              <w:t xml:space="preserve">. </w:t>
            </w:r>
          </w:p>
          <w:p w:rsidR="00E15543" w:rsidRPr="00023D4B" w:rsidRDefault="00E15543" w:rsidP="00E15543">
            <w:pPr>
              <w:pStyle w:val="tv213"/>
              <w:spacing w:before="0" w:beforeAutospacing="0" w:after="0" w:afterAutospacing="0"/>
              <w:ind w:firstLine="703"/>
              <w:jc w:val="both"/>
            </w:pPr>
            <w:r w:rsidRPr="00023D4B">
              <w:t xml:space="preserve">Tā kā šādas funkcijas veikšana neizriet no šobrīd Ministru kabineta </w:t>
            </w:r>
            <w:proofErr w:type="gramStart"/>
            <w:r w:rsidRPr="00023D4B">
              <w:t>2010.gada</w:t>
            </w:r>
            <w:proofErr w:type="gramEnd"/>
            <w:r w:rsidRPr="00023D4B">
              <w:t xml:space="preserve"> 5.oktobra noteikumos Nr.943 „Iekšlietu ministrijas veselības un sporta centra nolikums”</w:t>
            </w:r>
            <w:r w:rsidRPr="00023D4B">
              <w:rPr>
                <w:rFonts w:eastAsia="Lucida Sans Unicode"/>
                <w:kern w:val="1"/>
              </w:rPr>
              <w:t>” (turpmāk – Noteikumi) noteiktajām funkcijām, nepieciešams veikt grozījumu Noteikumu 3.6 apakšpunktā, nosakot, ka pap</w:t>
            </w:r>
            <w:bookmarkStart w:id="0" w:name="_GoBack"/>
            <w:bookmarkEnd w:id="0"/>
            <w:r w:rsidRPr="00023D4B">
              <w:rPr>
                <w:rFonts w:eastAsia="Lucida Sans Unicode"/>
                <w:kern w:val="1"/>
              </w:rPr>
              <w:t>ildus informatīvu pasākumu organizēšanai viena no centra funkcijām ir sniegt psiholoģisku atbalstu amatpersonām.</w:t>
            </w:r>
          </w:p>
          <w:p w:rsidR="00EF575A" w:rsidRPr="00023D4B" w:rsidRDefault="00EF575A" w:rsidP="00E15543">
            <w:pPr>
              <w:ind w:firstLine="370"/>
              <w:jc w:val="both"/>
              <w:rPr>
                <w:iCs/>
              </w:rPr>
            </w:pPr>
          </w:p>
          <w:p w:rsidR="00E15543" w:rsidRPr="00023D4B" w:rsidRDefault="00E15543" w:rsidP="0026208E">
            <w:pPr>
              <w:ind w:firstLine="742"/>
              <w:jc w:val="both"/>
              <w:rPr>
                <w:iCs/>
              </w:rPr>
            </w:pPr>
            <w:r w:rsidRPr="00023D4B">
              <w:rPr>
                <w:iCs/>
              </w:rPr>
              <w:t>Noteikumu 2.2.</w:t>
            </w:r>
            <w:proofErr w:type="gramStart"/>
            <w:r w:rsidRPr="00023D4B">
              <w:rPr>
                <w:iCs/>
              </w:rPr>
              <w:t>apakšpunktā noteikta kā viena no Centra</w:t>
            </w:r>
            <w:proofErr w:type="gramEnd"/>
            <w:r w:rsidRPr="00023D4B">
              <w:rPr>
                <w:iCs/>
              </w:rPr>
              <w:t xml:space="preserve"> funkcijām ir veicināt amatpersonu spējas īstenot valsts nacionālās drošības un iekšlietu politikas pasākumus. Lai veiksmīgi īstenotu minētos pasākumus, kā viena no prasmēm, kuru nepieciešams regulāri attīstīt</w:t>
            </w:r>
            <w:r w:rsidR="00FF638E" w:rsidRPr="00023D4B">
              <w:rPr>
                <w:iCs/>
              </w:rPr>
              <w:t>,</w:t>
            </w:r>
            <w:r w:rsidRPr="00023D4B">
              <w:rPr>
                <w:iCs/>
              </w:rPr>
              <w:t xml:space="preserve"> ir šaušana.</w:t>
            </w:r>
            <w:r w:rsidR="005E363F" w:rsidRPr="00023D4B">
              <w:rPr>
                <w:iCs/>
              </w:rPr>
              <w:t xml:space="preserve"> Turklāt šīs prasmes pilnveidošana ir nepieciešama gandrīz visām amatpersonām sekmīgai dienesta pienākumu izpildei.</w:t>
            </w:r>
          </w:p>
          <w:p w:rsidR="00EF575A" w:rsidRPr="00023D4B" w:rsidRDefault="00EF575A" w:rsidP="00EF575A">
            <w:pPr>
              <w:ind w:firstLine="370"/>
              <w:jc w:val="both"/>
              <w:rPr>
                <w:iCs/>
              </w:rPr>
            </w:pPr>
            <w:r w:rsidRPr="00023D4B">
              <w:rPr>
                <w:iCs/>
              </w:rPr>
              <w:t>Noteikumu 3.7.apakšpunktā Centram ir noteikts uzdevums veicot metodisko vadību, pilnveidot amatpersonu vispārējo un speciālo fizisko sagatavotību.</w:t>
            </w:r>
          </w:p>
          <w:p w:rsidR="00540358" w:rsidRPr="00023D4B" w:rsidRDefault="000A21B7" w:rsidP="000A21B7">
            <w:pPr>
              <w:ind w:firstLine="370"/>
              <w:jc w:val="both"/>
              <w:rPr>
                <w:bCs/>
              </w:rPr>
            </w:pPr>
            <w:r w:rsidRPr="00023D4B">
              <w:rPr>
                <w:bCs/>
              </w:rPr>
              <w:lastRenderedPageBreak/>
              <w:t>Lai gan šaušanu var vērtēt kā</w:t>
            </w:r>
            <w:r w:rsidR="00EF575A" w:rsidRPr="00023D4B">
              <w:rPr>
                <w:bCs/>
              </w:rPr>
              <w:t xml:space="preserve"> </w:t>
            </w:r>
            <w:hyperlink r:id="rId8" w:tooltip="Sporta veids" w:history="1">
              <w:r w:rsidR="00EF575A" w:rsidRPr="00023D4B">
                <w:rPr>
                  <w:bCs/>
                </w:rPr>
                <w:t>sporta veid</w:t>
              </w:r>
            </w:hyperlink>
            <w:r w:rsidRPr="00023D4B">
              <w:rPr>
                <w:bCs/>
              </w:rPr>
              <w:t>u</w:t>
            </w:r>
            <w:r w:rsidR="00EF575A" w:rsidRPr="00023D4B">
              <w:rPr>
                <w:bCs/>
              </w:rPr>
              <w:t xml:space="preserve">, </w:t>
            </w:r>
            <w:r w:rsidRPr="00023D4B">
              <w:rPr>
                <w:bCs/>
              </w:rPr>
              <w:t>nodrošinot amatpersonu sagatavotību</w:t>
            </w:r>
            <w:r w:rsidR="001836C4" w:rsidRPr="00023D4B">
              <w:rPr>
                <w:bCs/>
              </w:rPr>
              <w:t xml:space="preserve"> dienesta pienākumu izpildei</w:t>
            </w:r>
            <w:r w:rsidRPr="00023D4B">
              <w:rPr>
                <w:bCs/>
              </w:rPr>
              <w:t xml:space="preserve">, </w:t>
            </w:r>
            <w:r w:rsidR="0000763C" w:rsidRPr="00023D4B">
              <w:rPr>
                <w:bCs/>
              </w:rPr>
              <w:t>šaušana</w:t>
            </w:r>
            <w:r w:rsidRPr="00023D4B">
              <w:rPr>
                <w:bCs/>
              </w:rPr>
              <w:t xml:space="preserve"> tiek vērtēta atsevišķi no amatpersonas kopējās fiziskās sagatavotības. Arī prasības un piedāvātās iespējas šaušanas prasmes pilnveidošanai tiek nodalītas no vispārējās fiziskās sagatavotības treniņiem, ko nodrošina pašas iestādes.  </w:t>
            </w:r>
          </w:p>
          <w:p w:rsidR="0000763C" w:rsidRPr="00023D4B" w:rsidRDefault="00E15543" w:rsidP="00E15543">
            <w:pPr>
              <w:ind w:firstLine="370"/>
              <w:jc w:val="both"/>
              <w:rPr>
                <w:iCs/>
              </w:rPr>
            </w:pPr>
            <w:r w:rsidRPr="00023D4B">
              <w:rPr>
                <w:iCs/>
              </w:rPr>
              <w:t>Centram ir visi nepieciešamie resursi, lai sekmīgi</w:t>
            </w:r>
            <w:r w:rsidR="000A21B7" w:rsidRPr="00023D4B">
              <w:rPr>
                <w:iCs/>
              </w:rPr>
              <w:t xml:space="preserve"> </w:t>
            </w:r>
            <w:r w:rsidR="000A21B7" w:rsidRPr="00023D4B">
              <w:rPr>
                <w:bCs/>
              </w:rPr>
              <w:t>veicinātu</w:t>
            </w:r>
            <w:r w:rsidR="000A21B7" w:rsidRPr="00023D4B">
              <w:rPr>
                <w:iCs/>
              </w:rPr>
              <w:t xml:space="preserve"> amatpersonas šaušanas iemaņu un prasmju attīstību</w:t>
            </w:r>
            <w:r w:rsidRPr="00023D4B">
              <w:rPr>
                <w:iCs/>
              </w:rPr>
              <w:t xml:space="preserve">. Centrā ir izbūvēta šautuve, kas aprīkota ar īpašiem – kustīgiem mērķiem, kuri šaušanas laikā maina savu stāvokli, vienlaikus mērķos attēlotie cilvēki šaušanas laikā maina arī savu identitāti. </w:t>
            </w:r>
          </w:p>
          <w:p w:rsidR="0000763C" w:rsidRPr="00023D4B" w:rsidRDefault="00E15543" w:rsidP="00E15543">
            <w:pPr>
              <w:ind w:firstLine="370"/>
              <w:jc w:val="both"/>
              <w:rPr>
                <w:iCs/>
              </w:rPr>
            </w:pPr>
            <w:r w:rsidRPr="00023D4B">
              <w:rPr>
                <w:iCs/>
              </w:rPr>
              <w:t xml:space="preserve">Centra šautuvē šobrīd jau faktiski tiek veiktas amatpersonu šaušanas apmācības, nodrošināta treniņu iespēja un kvalifikācijas celšana, </w:t>
            </w:r>
            <w:r w:rsidR="0000763C" w:rsidRPr="00023D4B">
              <w:rPr>
                <w:iCs/>
              </w:rPr>
              <w:t xml:space="preserve">šaušanas instruktora uzraudzībā, tomēr, tā kā fiziskā sagatavotība gan normatīvu regulējumā, gan apmācībā un treniņos tiek nodalīta no šaušanas prasmes, šobrīd Centra veicamajos uzdevumos neietilpst uzdevums pilnveidot amatpersonu šaušanas prasmi. Tādējādi šobrīd Centra veiktā </w:t>
            </w:r>
            <w:r w:rsidR="00D61425" w:rsidRPr="00023D4B">
              <w:rPr>
                <w:iCs/>
              </w:rPr>
              <w:t>darbība, pilnveidojot amatpersonu šaušanas prasmi,</w:t>
            </w:r>
            <w:r w:rsidR="0000763C" w:rsidRPr="00023D4B">
              <w:rPr>
                <w:iCs/>
              </w:rPr>
              <w:t xml:space="preserve"> pārsniedz Centram noteiktos uz</w:t>
            </w:r>
            <w:r w:rsidR="00D61425" w:rsidRPr="00023D4B">
              <w:rPr>
                <w:iCs/>
              </w:rPr>
              <w:t>devumus.</w:t>
            </w:r>
            <w:r w:rsidR="0000763C" w:rsidRPr="00023D4B">
              <w:rPr>
                <w:iCs/>
              </w:rPr>
              <w:t xml:space="preserve"> </w:t>
            </w:r>
          </w:p>
          <w:p w:rsidR="00E15543" w:rsidRPr="00023D4B" w:rsidRDefault="00E15543" w:rsidP="00E15543">
            <w:pPr>
              <w:ind w:firstLine="370"/>
              <w:jc w:val="both"/>
            </w:pPr>
            <w:r w:rsidRPr="00023D4B">
              <w:rPr>
                <w:iCs/>
              </w:rPr>
              <w:t xml:space="preserve">Lai efektīvi izmantotu Centra šautuves funkcionālās īpašības, kā arī, lai izmantotu šautuvi tās mērķiem kopsakarā ar Centram noteiktām funkcijām, un nodrošinātu treniņu iespējas un kvalifikācijas celšanas iespējas, šaušanas instruktora uzraudzībā ir nepieciešams redakcionāli precizēt Noteikumu 3.7.apakšpunktu, paredzot, ka Centrs, </w:t>
            </w:r>
            <w:r w:rsidRPr="00023D4B">
              <w:t>veicot metodisko vadību un praktisko apmācību, pilnveido amatpersonas vispārējo un speciālo fizisko sagatavotību un šaušanas prasmes.</w:t>
            </w:r>
          </w:p>
          <w:p w:rsidR="00D61425" w:rsidRPr="00023D4B" w:rsidRDefault="00D61425" w:rsidP="00E15543">
            <w:pPr>
              <w:ind w:firstLine="370"/>
              <w:jc w:val="both"/>
            </w:pPr>
          </w:p>
          <w:p w:rsidR="00E15543" w:rsidRPr="00023D4B" w:rsidRDefault="00E15543" w:rsidP="00F70DDF">
            <w:pPr>
              <w:ind w:firstLine="370"/>
              <w:jc w:val="both"/>
            </w:pPr>
            <w:r w:rsidRPr="00023D4B">
              <w:rPr>
                <w:iCs/>
              </w:rPr>
              <w:t xml:space="preserve"> </w:t>
            </w:r>
            <w:r w:rsidR="00D61425" w:rsidRPr="00023D4B">
              <w:rPr>
                <w:iCs/>
              </w:rPr>
              <w:t>Precizēts uzdevums nolikumā</w:t>
            </w:r>
            <w:r w:rsidRPr="00023D4B">
              <w:t xml:space="preserve"> </w:t>
            </w:r>
            <w:r w:rsidR="00D61425" w:rsidRPr="00023D4B">
              <w:t>nodrošinās, ka</w:t>
            </w:r>
            <w:r w:rsidRPr="00023D4B">
              <w:t xml:space="preserve"> Centrs varēs nodrošināt vienveidīgu amatpersonu kvalifikācijas celšanu vispārējās un speciālās fiziskās sagatavošanas jomā, </w:t>
            </w:r>
            <w:r w:rsidR="00D61425" w:rsidRPr="00023D4B">
              <w:t xml:space="preserve">kā arī šaušanas apmācībā, un šāda Centra darbība un resursu izlietojums būs pamatos ar Centra nolikumā noteikto. </w:t>
            </w:r>
          </w:p>
          <w:p w:rsidR="000A21B7" w:rsidRPr="00023D4B" w:rsidRDefault="000A21B7" w:rsidP="000A21B7">
            <w:pPr>
              <w:ind w:firstLine="370"/>
              <w:jc w:val="both"/>
              <w:rPr>
                <w:iCs/>
              </w:rPr>
            </w:pPr>
            <w:r w:rsidRPr="00023D4B">
              <w:rPr>
                <w:bCs/>
              </w:rPr>
              <w:t>Lai veicinātu</w:t>
            </w:r>
            <w:r w:rsidRPr="00023D4B">
              <w:rPr>
                <w:iCs/>
              </w:rPr>
              <w:t xml:space="preserve"> amatpersonas šaušanas iemaņu un prasmju attīstību, nepieciešams attīstīt dažādas sarežģītības pakāpes šaušanas vingrinājumu apgūšanu. </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lastRenderedPageBreak/>
              <w:t>3.</w:t>
            </w:r>
          </w:p>
        </w:tc>
        <w:tc>
          <w:tcPr>
            <w:tcW w:w="2694" w:type="dxa"/>
            <w:gridSpan w:val="2"/>
          </w:tcPr>
          <w:p w:rsidR="00616AA6" w:rsidRPr="00985272" w:rsidRDefault="008C47BE" w:rsidP="00710EAA">
            <w:pPr>
              <w:spacing w:before="60" w:after="60"/>
              <w:rPr>
                <w:sz w:val="26"/>
                <w:szCs w:val="26"/>
              </w:rPr>
            </w:pPr>
            <w:r w:rsidRPr="00985272">
              <w:rPr>
                <w:sz w:val="26"/>
                <w:szCs w:val="26"/>
              </w:rPr>
              <w:t>Projekta izstrādē iesaistītās institūcijas</w:t>
            </w:r>
          </w:p>
        </w:tc>
        <w:tc>
          <w:tcPr>
            <w:tcW w:w="5877" w:type="dxa"/>
            <w:gridSpan w:val="2"/>
          </w:tcPr>
          <w:p w:rsidR="00616AA6" w:rsidRPr="00985272" w:rsidRDefault="00985272" w:rsidP="00710EAA">
            <w:pPr>
              <w:autoSpaceDE w:val="0"/>
              <w:autoSpaceDN w:val="0"/>
              <w:adjustRightInd w:val="0"/>
              <w:spacing w:before="60" w:after="60"/>
              <w:jc w:val="both"/>
              <w:rPr>
                <w:sz w:val="26"/>
                <w:szCs w:val="26"/>
              </w:rPr>
            </w:pPr>
            <w:r>
              <w:rPr>
                <w:sz w:val="26"/>
                <w:szCs w:val="26"/>
              </w:rPr>
              <w:t>Iekšlietu ministrija, Iekšlietu ministrijas veselības un sporta centrs</w:t>
            </w:r>
            <w:r w:rsidR="0000763C">
              <w:rPr>
                <w:sz w:val="26"/>
                <w:szCs w:val="26"/>
              </w:rPr>
              <w:t>.</w:t>
            </w:r>
          </w:p>
        </w:tc>
      </w:tr>
      <w:tr w:rsidR="00616AA6" w:rsidRPr="00BA5E65" w:rsidTr="00985272">
        <w:tc>
          <w:tcPr>
            <w:tcW w:w="562" w:type="dxa"/>
          </w:tcPr>
          <w:p w:rsidR="00616AA6" w:rsidRPr="00BA5E65" w:rsidRDefault="00616AA6" w:rsidP="00710EAA">
            <w:pPr>
              <w:spacing w:before="60"/>
              <w:rPr>
                <w:sz w:val="28"/>
                <w:szCs w:val="28"/>
              </w:rPr>
            </w:pPr>
            <w:r w:rsidRPr="00BA5E65">
              <w:rPr>
                <w:sz w:val="28"/>
                <w:szCs w:val="28"/>
              </w:rPr>
              <w:t>4.</w:t>
            </w:r>
          </w:p>
        </w:tc>
        <w:tc>
          <w:tcPr>
            <w:tcW w:w="2694" w:type="dxa"/>
            <w:gridSpan w:val="2"/>
          </w:tcPr>
          <w:p w:rsidR="00616AA6" w:rsidRPr="00985272" w:rsidRDefault="008C47BE" w:rsidP="00710EAA">
            <w:pPr>
              <w:spacing w:before="60" w:after="60"/>
              <w:rPr>
                <w:sz w:val="26"/>
                <w:szCs w:val="26"/>
              </w:rPr>
            </w:pPr>
            <w:r w:rsidRPr="00985272">
              <w:rPr>
                <w:sz w:val="26"/>
                <w:szCs w:val="26"/>
              </w:rPr>
              <w:t xml:space="preserve">Cita informācija </w:t>
            </w:r>
          </w:p>
        </w:tc>
        <w:tc>
          <w:tcPr>
            <w:tcW w:w="5877" w:type="dxa"/>
            <w:gridSpan w:val="2"/>
          </w:tcPr>
          <w:p w:rsidR="00E06CCE" w:rsidRPr="00985272" w:rsidRDefault="00C21897" w:rsidP="00710EAA">
            <w:pPr>
              <w:spacing w:before="60" w:after="60"/>
              <w:jc w:val="both"/>
              <w:rPr>
                <w:sz w:val="26"/>
                <w:szCs w:val="26"/>
              </w:rPr>
            </w:pPr>
            <w:r w:rsidRPr="00985272">
              <w:rPr>
                <w:sz w:val="26"/>
                <w:szCs w:val="26"/>
              </w:rPr>
              <w:t>Nav.</w:t>
            </w:r>
          </w:p>
        </w:tc>
      </w:tr>
      <w:tr w:rsidR="00E86D2D" w:rsidRPr="00BA5E65" w:rsidTr="006522FE">
        <w:tc>
          <w:tcPr>
            <w:tcW w:w="9133" w:type="dxa"/>
            <w:gridSpan w:val="5"/>
          </w:tcPr>
          <w:p w:rsidR="00E86D2D" w:rsidRPr="00985272" w:rsidRDefault="00E86D2D" w:rsidP="00710EAA">
            <w:pPr>
              <w:spacing w:before="60" w:after="60"/>
              <w:jc w:val="center"/>
              <w:rPr>
                <w:sz w:val="26"/>
                <w:szCs w:val="26"/>
              </w:rPr>
            </w:pPr>
            <w:r w:rsidRPr="00985272">
              <w:rPr>
                <w:b/>
                <w:sz w:val="26"/>
                <w:szCs w:val="26"/>
              </w:rPr>
              <w:t>II. Tiesību akta projekta ietekme uz sabiedrību, tautsaimniecības attīstību un administratīvo slogu</w:t>
            </w:r>
          </w:p>
        </w:tc>
      </w:tr>
      <w:tr w:rsidR="00E86D2D" w:rsidRPr="00BA5E65" w:rsidTr="00985272">
        <w:tc>
          <w:tcPr>
            <w:tcW w:w="562" w:type="dxa"/>
          </w:tcPr>
          <w:p w:rsidR="00E86D2D" w:rsidRPr="00BA5E65" w:rsidRDefault="00E86D2D" w:rsidP="00953A72">
            <w:pPr>
              <w:rPr>
                <w:sz w:val="28"/>
                <w:szCs w:val="28"/>
              </w:rPr>
            </w:pPr>
            <w:r>
              <w:rPr>
                <w:sz w:val="28"/>
                <w:szCs w:val="28"/>
              </w:rPr>
              <w:lastRenderedPageBreak/>
              <w:t xml:space="preserve">1. </w:t>
            </w:r>
          </w:p>
        </w:tc>
        <w:tc>
          <w:tcPr>
            <w:tcW w:w="2694" w:type="dxa"/>
            <w:gridSpan w:val="2"/>
          </w:tcPr>
          <w:p w:rsidR="00E86D2D" w:rsidRPr="00985272" w:rsidRDefault="00E86D2D" w:rsidP="00710EAA">
            <w:pPr>
              <w:spacing w:before="60" w:after="60"/>
              <w:rPr>
                <w:sz w:val="26"/>
                <w:szCs w:val="26"/>
              </w:rPr>
            </w:pPr>
            <w:r w:rsidRPr="00985272">
              <w:rPr>
                <w:sz w:val="26"/>
                <w:szCs w:val="26"/>
              </w:rPr>
              <w:t>Sabiedrības mērķgrupas, kuras tiesiskais regulējums ietekmē vai varētu ietekmēt</w:t>
            </w:r>
          </w:p>
        </w:tc>
        <w:tc>
          <w:tcPr>
            <w:tcW w:w="5877" w:type="dxa"/>
            <w:gridSpan w:val="2"/>
          </w:tcPr>
          <w:p w:rsidR="00E86D2D" w:rsidRPr="00985272" w:rsidRDefault="00E86D2D" w:rsidP="004676D7">
            <w:pPr>
              <w:spacing w:before="60" w:after="60"/>
              <w:jc w:val="both"/>
              <w:rPr>
                <w:sz w:val="26"/>
                <w:szCs w:val="26"/>
              </w:rPr>
            </w:pPr>
            <w:r w:rsidRPr="00985272">
              <w:rPr>
                <w:sz w:val="26"/>
                <w:szCs w:val="26"/>
              </w:rPr>
              <w:t>Iekšlietu ministrijas sistēmas iestāžu un Ieslodzījuma vietu pārvaldes amatpersonas ar speciālajām dienesta pakāpēm.</w:t>
            </w:r>
          </w:p>
        </w:tc>
      </w:tr>
      <w:tr w:rsidR="00E86D2D" w:rsidRPr="00BA5E65" w:rsidTr="00985272">
        <w:tc>
          <w:tcPr>
            <w:tcW w:w="562" w:type="dxa"/>
          </w:tcPr>
          <w:p w:rsidR="00E86D2D" w:rsidRDefault="00E86D2D" w:rsidP="00953A72">
            <w:pPr>
              <w:rPr>
                <w:sz w:val="28"/>
                <w:szCs w:val="28"/>
              </w:rPr>
            </w:pPr>
            <w:r>
              <w:rPr>
                <w:sz w:val="28"/>
                <w:szCs w:val="28"/>
              </w:rPr>
              <w:t>2.</w:t>
            </w:r>
          </w:p>
        </w:tc>
        <w:tc>
          <w:tcPr>
            <w:tcW w:w="2694" w:type="dxa"/>
            <w:gridSpan w:val="2"/>
          </w:tcPr>
          <w:p w:rsidR="00E86D2D" w:rsidRPr="00985272" w:rsidRDefault="00E86D2D" w:rsidP="00710EAA">
            <w:pPr>
              <w:spacing w:before="60" w:after="60"/>
              <w:rPr>
                <w:sz w:val="26"/>
                <w:szCs w:val="26"/>
              </w:rPr>
            </w:pPr>
            <w:r w:rsidRPr="00985272">
              <w:rPr>
                <w:sz w:val="26"/>
                <w:szCs w:val="26"/>
              </w:rPr>
              <w:t>Tiesiskā regulējuma ietekme uz tautsaimniecību un administratīvo slogu</w:t>
            </w:r>
          </w:p>
        </w:tc>
        <w:tc>
          <w:tcPr>
            <w:tcW w:w="5877" w:type="dxa"/>
            <w:gridSpan w:val="2"/>
          </w:tcPr>
          <w:p w:rsidR="00E86D2D" w:rsidRPr="00985272" w:rsidRDefault="00E86D2D" w:rsidP="0002260A">
            <w:pPr>
              <w:spacing w:before="60" w:after="60"/>
              <w:jc w:val="both"/>
              <w:rPr>
                <w:sz w:val="26"/>
                <w:szCs w:val="26"/>
              </w:rPr>
            </w:pPr>
            <w:r w:rsidRPr="00985272">
              <w:rPr>
                <w:sz w:val="26"/>
                <w:szCs w:val="26"/>
              </w:rPr>
              <w:t xml:space="preserve">Sabiedrības </w:t>
            </w:r>
            <w:r w:rsidR="0002260A">
              <w:rPr>
                <w:sz w:val="26"/>
                <w:szCs w:val="26"/>
              </w:rPr>
              <w:t>mērķ</w:t>
            </w:r>
            <w:r w:rsidRPr="00985272">
              <w:rPr>
                <w:sz w:val="26"/>
                <w:szCs w:val="26"/>
              </w:rPr>
              <w:t>grupām un institūcijām projekta tiesiskais regulējums nemaina tiesības</w:t>
            </w:r>
            <w:r w:rsidR="0002260A">
              <w:rPr>
                <w:sz w:val="26"/>
                <w:szCs w:val="26"/>
              </w:rPr>
              <w:t>,</w:t>
            </w:r>
            <w:r w:rsidRPr="00985272">
              <w:rPr>
                <w:sz w:val="26"/>
                <w:szCs w:val="26"/>
              </w:rPr>
              <w:t xml:space="preserve"> pienākumus</w:t>
            </w:r>
            <w:r w:rsidR="0002260A">
              <w:rPr>
                <w:sz w:val="26"/>
                <w:szCs w:val="26"/>
              </w:rPr>
              <w:t xml:space="preserve"> un veicamās</w:t>
            </w:r>
            <w:r w:rsidRPr="00985272">
              <w:rPr>
                <w:sz w:val="26"/>
                <w:szCs w:val="26"/>
              </w:rPr>
              <w:t xml:space="preserve"> darbības</w:t>
            </w:r>
            <w:r w:rsidR="0002260A">
              <w:rPr>
                <w:sz w:val="26"/>
                <w:szCs w:val="26"/>
              </w:rPr>
              <w:t>, kā arī tiesiskā regulējuma ietekmē administratīvais slogs nemainās</w:t>
            </w:r>
            <w:r w:rsidRPr="00985272">
              <w:rPr>
                <w:sz w:val="26"/>
                <w:szCs w:val="26"/>
              </w:rPr>
              <w:t>.</w:t>
            </w:r>
          </w:p>
        </w:tc>
      </w:tr>
      <w:tr w:rsidR="00E86D2D" w:rsidRPr="00BA5E65" w:rsidTr="00985272">
        <w:tc>
          <w:tcPr>
            <w:tcW w:w="562" w:type="dxa"/>
          </w:tcPr>
          <w:p w:rsidR="00E86D2D" w:rsidRPr="00BA5E65" w:rsidRDefault="00E86D2D" w:rsidP="00953A72">
            <w:pPr>
              <w:rPr>
                <w:sz w:val="28"/>
                <w:szCs w:val="28"/>
              </w:rPr>
            </w:pPr>
            <w:r>
              <w:rPr>
                <w:sz w:val="28"/>
                <w:szCs w:val="28"/>
              </w:rPr>
              <w:t>3.</w:t>
            </w:r>
          </w:p>
        </w:tc>
        <w:tc>
          <w:tcPr>
            <w:tcW w:w="2694" w:type="dxa"/>
            <w:gridSpan w:val="2"/>
          </w:tcPr>
          <w:p w:rsidR="00E86D2D" w:rsidRPr="00985272" w:rsidRDefault="00E86D2D" w:rsidP="00710EAA">
            <w:pPr>
              <w:spacing w:before="60" w:after="60"/>
              <w:rPr>
                <w:sz w:val="26"/>
                <w:szCs w:val="26"/>
              </w:rPr>
            </w:pPr>
            <w:r w:rsidRPr="00985272">
              <w:rPr>
                <w:sz w:val="26"/>
                <w:szCs w:val="26"/>
              </w:rPr>
              <w:t>Administratīvo izmaksu monetārs novērtējums</w:t>
            </w:r>
          </w:p>
        </w:tc>
        <w:tc>
          <w:tcPr>
            <w:tcW w:w="5877" w:type="dxa"/>
            <w:gridSpan w:val="2"/>
          </w:tcPr>
          <w:p w:rsidR="00E86D2D" w:rsidRPr="00985272" w:rsidRDefault="00E86D2D" w:rsidP="00710EAA">
            <w:pPr>
              <w:spacing w:before="60" w:after="60"/>
              <w:jc w:val="both"/>
              <w:rPr>
                <w:sz w:val="26"/>
                <w:szCs w:val="26"/>
              </w:rPr>
            </w:pPr>
            <w:r w:rsidRPr="00985272">
              <w:rPr>
                <w:sz w:val="26"/>
                <w:szCs w:val="26"/>
              </w:rPr>
              <w:t>Projekts šo jomu neskar.</w:t>
            </w:r>
          </w:p>
        </w:tc>
      </w:tr>
      <w:tr w:rsidR="00E86D2D" w:rsidRPr="00BA5E65" w:rsidTr="00985272">
        <w:tc>
          <w:tcPr>
            <w:tcW w:w="562" w:type="dxa"/>
          </w:tcPr>
          <w:p w:rsidR="00E86D2D" w:rsidRPr="00BA5E65" w:rsidRDefault="00E86D2D" w:rsidP="00953A72">
            <w:pPr>
              <w:rPr>
                <w:sz w:val="28"/>
                <w:szCs w:val="28"/>
              </w:rPr>
            </w:pPr>
            <w:r>
              <w:rPr>
                <w:sz w:val="28"/>
                <w:szCs w:val="28"/>
              </w:rPr>
              <w:t>4.</w:t>
            </w:r>
          </w:p>
        </w:tc>
        <w:tc>
          <w:tcPr>
            <w:tcW w:w="2694" w:type="dxa"/>
            <w:gridSpan w:val="2"/>
          </w:tcPr>
          <w:p w:rsidR="00E86D2D" w:rsidRPr="00985272" w:rsidRDefault="00E86D2D" w:rsidP="00710EAA">
            <w:pPr>
              <w:spacing w:before="60" w:after="60"/>
              <w:rPr>
                <w:sz w:val="26"/>
                <w:szCs w:val="26"/>
              </w:rPr>
            </w:pPr>
            <w:r w:rsidRPr="00985272">
              <w:rPr>
                <w:sz w:val="26"/>
                <w:szCs w:val="26"/>
              </w:rPr>
              <w:t>Cita informācija</w:t>
            </w:r>
          </w:p>
        </w:tc>
        <w:tc>
          <w:tcPr>
            <w:tcW w:w="5877" w:type="dxa"/>
            <w:gridSpan w:val="2"/>
          </w:tcPr>
          <w:p w:rsidR="00E86D2D" w:rsidRPr="00985272" w:rsidRDefault="00E86D2D" w:rsidP="00710EAA">
            <w:pPr>
              <w:spacing w:before="60" w:after="60"/>
              <w:jc w:val="both"/>
              <w:rPr>
                <w:sz w:val="26"/>
                <w:szCs w:val="26"/>
              </w:rPr>
            </w:pPr>
            <w:r w:rsidRPr="00985272">
              <w:rPr>
                <w:sz w:val="26"/>
                <w:szCs w:val="26"/>
              </w:rPr>
              <w:t>Nav.</w:t>
            </w:r>
          </w:p>
        </w:tc>
      </w:tr>
      <w:tr w:rsidR="00F03184" w:rsidRPr="005A3C61" w:rsidTr="006522FE">
        <w:tc>
          <w:tcPr>
            <w:tcW w:w="9133" w:type="dxa"/>
            <w:gridSpan w:val="5"/>
          </w:tcPr>
          <w:p w:rsidR="00F03184" w:rsidRPr="00F26734" w:rsidRDefault="00F03184" w:rsidP="008A4EEF">
            <w:pPr>
              <w:pStyle w:val="naisf"/>
              <w:spacing w:before="60" w:after="60"/>
              <w:ind w:firstLine="357"/>
              <w:jc w:val="center"/>
              <w:rPr>
                <w:b/>
                <w:color w:val="000000" w:themeColor="text1"/>
                <w:sz w:val="26"/>
                <w:szCs w:val="26"/>
              </w:rPr>
            </w:pPr>
            <w:r w:rsidRPr="00F26734">
              <w:rPr>
                <w:b/>
                <w:sz w:val="26"/>
                <w:szCs w:val="26"/>
              </w:rPr>
              <w:t>VII</w:t>
            </w:r>
            <w:r w:rsidR="00237C20" w:rsidRPr="00F26734">
              <w:rPr>
                <w:b/>
                <w:sz w:val="26"/>
                <w:szCs w:val="26"/>
              </w:rPr>
              <w:t>.</w:t>
            </w:r>
            <w:r w:rsidRPr="00F26734">
              <w:rPr>
                <w:b/>
                <w:sz w:val="26"/>
                <w:szCs w:val="26"/>
              </w:rPr>
              <w:t xml:space="preserve"> Tiesību akta projekta izpildes nodrošināšana un tās ietekme uz institūcijām</w:t>
            </w:r>
          </w:p>
        </w:tc>
      </w:tr>
      <w:tr w:rsidR="00F03184" w:rsidTr="008211EA">
        <w:tc>
          <w:tcPr>
            <w:tcW w:w="704" w:type="dxa"/>
            <w:gridSpan w:val="2"/>
          </w:tcPr>
          <w:p w:rsidR="00F03184" w:rsidRPr="00F26734" w:rsidRDefault="00F03184" w:rsidP="008A4EEF">
            <w:pPr>
              <w:rPr>
                <w:iCs/>
                <w:sz w:val="26"/>
                <w:szCs w:val="26"/>
                <w:lang w:eastAsia="lv-LV"/>
              </w:rPr>
            </w:pPr>
            <w:r w:rsidRPr="00F26734">
              <w:rPr>
                <w:iCs/>
                <w:sz w:val="26"/>
                <w:szCs w:val="26"/>
                <w:lang w:eastAsia="lv-LV"/>
              </w:rPr>
              <w:t>1.</w:t>
            </w:r>
          </w:p>
        </w:tc>
        <w:tc>
          <w:tcPr>
            <w:tcW w:w="2977" w:type="dxa"/>
            <w:gridSpan w:val="2"/>
          </w:tcPr>
          <w:p w:rsidR="00F03184" w:rsidRPr="00F26734" w:rsidRDefault="00F03184" w:rsidP="008A4EEF">
            <w:pPr>
              <w:spacing w:before="60" w:after="60"/>
              <w:rPr>
                <w:iCs/>
                <w:sz w:val="26"/>
                <w:szCs w:val="26"/>
                <w:lang w:eastAsia="lv-LV"/>
              </w:rPr>
            </w:pPr>
            <w:r w:rsidRPr="00F26734">
              <w:rPr>
                <w:sz w:val="26"/>
                <w:szCs w:val="26"/>
              </w:rPr>
              <w:t>Projekta izpildē iesaistītās institūcijas</w:t>
            </w:r>
          </w:p>
        </w:tc>
        <w:tc>
          <w:tcPr>
            <w:tcW w:w="5452" w:type="dxa"/>
            <w:vAlign w:val="center"/>
          </w:tcPr>
          <w:p w:rsidR="00F03184" w:rsidRPr="00F26734" w:rsidRDefault="00092306" w:rsidP="008A4EEF">
            <w:pPr>
              <w:spacing w:before="60" w:after="60"/>
              <w:rPr>
                <w:iCs/>
                <w:sz w:val="26"/>
                <w:szCs w:val="26"/>
                <w:lang w:eastAsia="lv-LV"/>
              </w:rPr>
            </w:pPr>
            <w:r w:rsidRPr="00F26734">
              <w:rPr>
                <w:sz w:val="26"/>
                <w:szCs w:val="26"/>
              </w:rPr>
              <w:t>Iekšlietu ministrijas veselības un sporta centrs</w:t>
            </w:r>
          </w:p>
        </w:tc>
      </w:tr>
      <w:tr w:rsidR="00F03184" w:rsidTr="008211EA">
        <w:tc>
          <w:tcPr>
            <w:tcW w:w="704" w:type="dxa"/>
            <w:gridSpan w:val="2"/>
          </w:tcPr>
          <w:p w:rsidR="00F03184" w:rsidRPr="00F26734" w:rsidRDefault="00F03184" w:rsidP="008A4EEF">
            <w:pPr>
              <w:rPr>
                <w:iCs/>
                <w:sz w:val="26"/>
                <w:szCs w:val="26"/>
                <w:lang w:eastAsia="lv-LV"/>
              </w:rPr>
            </w:pPr>
            <w:r w:rsidRPr="00F26734">
              <w:rPr>
                <w:iCs/>
                <w:sz w:val="26"/>
                <w:szCs w:val="26"/>
                <w:lang w:eastAsia="lv-LV"/>
              </w:rPr>
              <w:t>2.</w:t>
            </w:r>
          </w:p>
        </w:tc>
        <w:tc>
          <w:tcPr>
            <w:tcW w:w="2977" w:type="dxa"/>
            <w:gridSpan w:val="2"/>
          </w:tcPr>
          <w:p w:rsidR="00F03184" w:rsidRPr="00F26734" w:rsidRDefault="00F03184" w:rsidP="008A4EEF">
            <w:pPr>
              <w:spacing w:before="60" w:after="60"/>
              <w:rPr>
                <w:iCs/>
                <w:sz w:val="26"/>
                <w:szCs w:val="26"/>
                <w:lang w:eastAsia="lv-LV"/>
              </w:rPr>
            </w:pPr>
            <w:r w:rsidRPr="00F26734">
              <w:rPr>
                <w:sz w:val="26"/>
                <w:szCs w:val="26"/>
              </w:rPr>
              <w:t>Projekta izpildes ietekme uz pārvaldes funkcijām un institucionālo struktūru. Jaunu institūciju izveide, esošu institūciju likvidācija vai reorganizācija, to ietekme uz institūcijas cilvēkresursiem</w:t>
            </w:r>
          </w:p>
        </w:tc>
        <w:tc>
          <w:tcPr>
            <w:tcW w:w="5452" w:type="dxa"/>
          </w:tcPr>
          <w:p w:rsidR="00F03184" w:rsidRPr="00C55383" w:rsidRDefault="00F03184" w:rsidP="008211EA">
            <w:pPr>
              <w:pStyle w:val="tv213"/>
              <w:spacing w:before="0" w:beforeAutospacing="0" w:after="0" w:afterAutospacing="0"/>
              <w:ind w:firstLine="703"/>
              <w:jc w:val="both"/>
              <w:rPr>
                <w:sz w:val="26"/>
                <w:szCs w:val="26"/>
              </w:rPr>
            </w:pPr>
            <w:r w:rsidRPr="00F26734">
              <w:rPr>
                <w:sz w:val="26"/>
                <w:szCs w:val="26"/>
              </w:rPr>
              <w:t xml:space="preserve">Saistībā ar projekta izpildi nav nepieciešams veidot jaunas institūcijas, likvidēt vai reorganizēt </w:t>
            </w:r>
            <w:r w:rsidRPr="00023D4B">
              <w:rPr>
                <w:sz w:val="26"/>
                <w:szCs w:val="26"/>
              </w:rPr>
              <w:t>esošās.</w:t>
            </w:r>
            <w:r w:rsidR="00D61425" w:rsidRPr="00023D4B">
              <w:rPr>
                <w:sz w:val="26"/>
                <w:szCs w:val="26"/>
              </w:rPr>
              <w:t xml:space="preserve"> Ar </w:t>
            </w:r>
            <w:proofErr w:type="gramStart"/>
            <w:r w:rsidR="00D61425" w:rsidRPr="00023D4B">
              <w:rPr>
                <w:sz w:val="26"/>
                <w:szCs w:val="26"/>
              </w:rPr>
              <w:t>2014.gada</w:t>
            </w:r>
            <w:proofErr w:type="gramEnd"/>
            <w:r w:rsidR="00D61425" w:rsidRPr="00023D4B">
              <w:rPr>
                <w:sz w:val="26"/>
                <w:szCs w:val="26"/>
              </w:rPr>
              <w:t xml:space="preserve"> 1.janvāri Centrā ir izveidota Psiholoģiskā atbalsta nodaļa</w:t>
            </w:r>
            <w:r w:rsidR="008211EA" w:rsidRPr="00023D4B">
              <w:rPr>
                <w:sz w:val="26"/>
                <w:szCs w:val="26"/>
              </w:rPr>
              <w:t>.</w:t>
            </w:r>
            <w:r w:rsidR="00D61425" w:rsidRPr="00023D4B">
              <w:rPr>
                <w:sz w:val="26"/>
                <w:szCs w:val="26"/>
              </w:rPr>
              <w:t xml:space="preserve"> Nodaļā kopumā ir 8,5</w:t>
            </w:r>
            <w:r w:rsidR="008211EA" w:rsidRPr="00023D4B">
              <w:rPr>
                <w:sz w:val="26"/>
                <w:szCs w:val="26"/>
              </w:rPr>
              <w:t xml:space="preserve"> amata vietas</w:t>
            </w:r>
            <w:r w:rsidR="00D61425" w:rsidRPr="00023D4B">
              <w:rPr>
                <w:sz w:val="26"/>
                <w:szCs w:val="26"/>
              </w:rPr>
              <w:t>, un nodaļā ir nodarbināti 1</w:t>
            </w:r>
            <w:r w:rsidR="008211EA" w:rsidRPr="00023D4B">
              <w:rPr>
                <w:sz w:val="26"/>
                <w:szCs w:val="26"/>
              </w:rPr>
              <w:t>3</w:t>
            </w:r>
            <w:r w:rsidR="00D61425" w:rsidRPr="00023D4B">
              <w:rPr>
                <w:sz w:val="26"/>
                <w:szCs w:val="26"/>
              </w:rPr>
              <w:t xml:space="preserve"> psihologi</w:t>
            </w:r>
            <w:r w:rsidR="008211EA" w:rsidRPr="00023D4B">
              <w:rPr>
                <w:sz w:val="26"/>
                <w:szCs w:val="26"/>
              </w:rPr>
              <w:t>, tai skaitā</w:t>
            </w:r>
            <w:r w:rsidR="00654239" w:rsidRPr="00023D4B">
              <w:rPr>
                <w:sz w:val="26"/>
                <w:szCs w:val="26"/>
              </w:rPr>
              <w:t xml:space="preserve"> nodaļas vadītāja. 8 darbinieki ir nodarbināti nepilnu laiku Latvijas reģionos, bet Rīgā ir nodarbināti 5 darbinieki</w:t>
            </w:r>
            <w:r w:rsidR="008211EA" w:rsidRPr="00023D4B">
              <w:rPr>
                <w:sz w:val="26"/>
                <w:szCs w:val="26"/>
              </w:rPr>
              <w:t xml:space="preserve"> (1 nepilnu laiku), tai skaitā</w:t>
            </w:r>
            <w:r w:rsidR="00D61425" w:rsidRPr="00023D4B">
              <w:rPr>
                <w:sz w:val="26"/>
                <w:szCs w:val="26"/>
              </w:rPr>
              <w:t xml:space="preserve"> nodaļas vadītāja.</w:t>
            </w:r>
          </w:p>
        </w:tc>
      </w:tr>
      <w:tr w:rsidR="00F03184" w:rsidTr="008211EA">
        <w:tc>
          <w:tcPr>
            <w:tcW w:w="704" w:type="dxa"/>
            <w:gridSpan w:val="2"/>
          </w:tcPr>
          <w:p w:rsidR="00F03184" w:rsidRPr="00F26734" w:rsidRDefault="00F03184" w:rsidP="008A4EEF">
            <w:pPr>
              <w:rPr>
                <w:iCs/>
                <w:sz w:val="26"/>
                <w:szCs w:val="26"/>
                <w:lang w:eastAsia="lv-LV"/>
              </w:rPr>
            </w:pPr>
            <w:r w:rsidRPr="00F26734">
              <w:rPr>
                <w:iCs/>
                <w:sz w:val="26"/>
                <w:szCs w:val="26"/>
                <w:lang w:eastAsia="lv-LV"/>
              </w:rPr>
              <w:t>3.</w:t>
            </w:r>
          </w:p>
        </w:tc>
        <w:tc>
          <w:tcPr>
            <w:tcW w:w="2977" w:type="dxa"/>
            <w:gridSpan w:val="2"/>
          </w:tcPr>
          <w:p w:rsidR="00F03184" w:rsidRPr="00F26734" w:rsidRDefault="008A4EEF" w:rsidP="008A4EEF">
            <w:pPr>
              <w:spacing w:before="60" w:after="60"/>
              <w:rPr>
                <w:iCs/>
                <w:sz w:val="26"/>
                <w:szCs w:val="26"/>
                <w:lang w:eastAsia="lv-LV"/>
              </w:rPr>
            </w:pPr>
            <w:r w:rsidRPr="00F26734">
              <w:rPr>
                <w:iCs/>
                <w:sz w:val="26"/>
                <w:szCs w:val="26"/>
                <w:lang w:eastAsia="lv-LV"/>
              </w:rPr>
              <w:t>Cita informācija</w:t>
            </w:r>
          </w:p>
        </w:tc>
        <w:tc>
          <w:tcPr>
            <w:tcW w:w="5452" w:type="dxa"/>
            <w:vAlign w:val="center"/>
          </w:tcPr>
          <w:p w:rsidR="00F03184" w:rsidRPr="00F26734" w:rsidRDefault="00F03184" w:rsidP="008A4EEF">
            <w:pPr>
              <w:spacing w:before="60" w:after="60"/>
              <w:rPr>
                <w:iCs/>
                <w:sz w:val="26"/>
                <w:szCs w:val="26"/>
                <w:lang w:eastAsia="lv-LV"/>
              </w:rPr>
            </w:pPr>
            <w:r w:rsidRPr="00F26734">
              <w:rPr>
                <w:sz w:val="26"/>
                <w:szCs w:val="26"/>
              </w:rPr>
              <w:t>Nav.</w:t>
            </w:r>
          </w:p>
        </w:tc>
      </w:tr>
    </w:tbl>
    <w:p w:rsidR="00ED6A06" w:rsidRDefault="00ED6A06" w:rsidP="0007077C">
      <w:pPr>
        <w:rPr>
          <w:iCs/>
          <w:sz w:val="28"/>
          <w:szCs w:val="28"/>
          <w:lang w:eastAsia="lv-LV"/>
        </w:rPr>
      </w:pPr>
    </w:p>
    <w:p w:rsidR="0007077C" w:rsidRPr="00A63E6C" w:rsidRDefault="008D5F20" w:rsidP="0007077C">
      <w:pPr>
        <w:rPr>
          <w:sz w:val="28"/>
          <w:szCs w:val="28"/>
          <w:lang w:eastAsia="lv-LV"/>
        </w:rPr>
      </w:pPr>
      <w:r>
        <w:rPr>
          <w:iCs/>
          <w:sz w:val="28"/>
          <w:szCs w:val="28"/>
          <w:lang w:eastAsia="lv-LV"/>
        </w:rPr>
        <w:t xml:space="preserve">Anotācijas </w:t>
      </w:r>
      <w:r w:rsidR="00F525DB">
        <w:rPr>
          <w:iCs/>
          <w:sz w:val="28"/>
          <w:szCs w:val="28"/>
          <w:lang w:eastAsia="lv-LV"/>
        </w:rPr>
        <w:t xml:space="preserve">III, </w:t>
      </w:r>
      <w:r w:rsidR="0007077C" w:rsidRPr="00A63E6C">
        <w:rPr>
          <w:iCs/>
          <w:sz w:val="28"/>
          <w:szCs w:val="28"/>
          <w:lang w:eastAsia="lv-LV"/>
        </w:rPr>
        <w:t>IV, 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02260A" w:rsidRDefault="0002260A" w:rsidP="00C338A6">
      <w:pPr>
        <w:jc w:val="both"/>
        <w:rPr>
          <w:sz w:val="28"/>
          <w:szCs w:val="28"/>
          <w:lang w:val="de-DE"/>
        </w:rPr>
      </w:pPr>
    </w:p>
    <w:p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Pr="00D1252E">
        <w:rPr>
          <w:sz w:val="28"/>
          <w:szCs w:val="28"/>
          <w:lang w:val="de-DE"/>
        </w:rPr>
        <w:t>R. Kozlovskis</w:t>
      </w:r>
    </w:p>
    <w:p w:rsidR="006522FE" w:rsidRDefault="006522FE" w:rsidP="00C338A6">
      <w:pPr>
        <w:pStyle w:val="naisf"/>
        <w:ind w:firstLine="0"/>
        <w:rPr>
          <w:sz w:val="28"/>
          <w:szCs w:val="28"/>
        </w:rPr>
      </w:pPr>
    </w:p>
    <w:p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Pr="00D1252E">
        <w:rPr>
          <w:sz w:val="28"/>
          <w:szCs w:val="28"/>
        </w:rPr>
        <w:t>I.Pētersone</w:t>
      </w:r>
      <w:r w:rsidR="00B74BDF" w:rsidRPr="00D1252E">
        <w:rPr>
          <w:sz w:val="28"/>
          <w:szCs w:val="28"/>
        </w:rPr>
        <w:t>–</w:t>
      </w:r>
      <w:r w:rsidRPr="00D1252E">
        <w:rPr>
          <w:sz w:val="28"/>
          <w:szCs w:val="28"/>
        </w:rPr>
        <w:t>Godmane</w:t>
      </w:r>
    </w:p>
    <w:p w:rsidR="00AF1B96" w:rsidRDefault="00AF1B96" w:rsidP="00D539DB">
      <w:pPr>
        <w:rPr>
          <w:color w:val="000000"/>
          <w:sz w:val="20"/>
          <w:szCs w:val="20"/>
        </w:rPr>
      </w:pPr>
    </w:p>
    <w:p w:rsidR="008211EA" w:rsidRDefault="008211EA" w:rsidP="00D539DB">
      <w:pPr>
        <w:rPr>
          <w:color w:val="000000"/>
          <w:sz w:val="20"/>
          <w:szCs w:val="20"/>
        </w:rPr>
      </w:pPr>
    </w:p>
    <w:p w:rsidR="00DB0ED4" w:rsidRDefault="007F6361" w:rsidP="00DB0ED4">
      <w:pPr>
        <w:rPr>
          <w:color w:val="000000"/>
          <w:sz w:val="20"/>
          <w:szCs w:val="20"/>
        </w:rPr>
      </w:pPr>
      <w:r>
        <w:rPr>
          <w:color w:val="000000"/>
          <w:sz w:val="20"/>
          <w:szCs w:val="20"/>
        </w:rPr>
        <w:t>26</w:t>
      </w:r>
      <w:r w:rsidR="008211EA">
        <w:rPr>
          <w:color w:val="000000"/>
          <w:sz w:val="20"/>
          <w:szCs w:val="20"/>
        </w:rPr>
        <w:t>.01.2015</w:t>
      </w:r>
    </w:p>
    <w:p w:rsidR="00EE1F63" w:rsidRDefault="008211EA" w:rsidP="00DB0ED4">
      <w:pPr>
        <w:rPr>
          <w:color w:val="000000"/>
          <w:sz w:val="20"/>
          <w:szCs w:val="20"/>
        </w:rPr>
      </w:pPr>
      <w:r>
        <w:rPr>
          <w:color w:val="000000"/>
          <w:sz w:val="20"/>
          <w:szCs w:val="20"/>
        </w:rPr>
        <w:t>1048</w:t>
      </w:r>
    </w:p>
    <w:p w:rsidR="00DB0ED4" w:rsidRPr="008825C4" w:rsidRDefault="00DB0ED4" w:rsidP="00DB0ED4">
      <w:pPr>
        <w:rPr>
          <w:color w:val="000000"/>
          <w:sz w:val="20"/>
          <w:szCs w:val="20"/>
        </w:rPr>
      </w:pPr>
      <w:r w:rsidRPr="008825C4">
        <w:rPr>
          <w:color w:val="000000"/>
          <w:sz w:val="20"/>
          <w:szCs w:val="20"/>
        </w:rPr>
        <w:t xml:space="preserve">Iekšlietu ministrijas veselības un </w:t>
      </w:r>
    </w:p>
    <w:p w:rsidR="00DB0ED4" w:rsidRDefault="0002260A" w:rsidP="00DB0ED4">
      <w:pPr>
        <w:rPr>
          <w:color w:val="000000"/>
          <w:sz w:val="20"/>
          <w:szCs w:val="20"/>
        </w:rPr>
      </w:pPr>
      <w:r>
        <w:rPr>
          <w:color w:val="000000"/>
          <w:sz w:val="20"/>
          <w:szCs w:val="20"/>
        </w:rPr>
        <w:t>sporta centra direktora vietniece</w:t>
      </w:r>
    </w:p>
    <w:p w:rsidR="008211EA" w:rsidRDefault="0002260A" w:rsidP="00DB0ED4">
      <w:pPr>
        <w:rPr>
          <w:color w:val="000000"/>
          <w:sz w:val="20"/>
          <w:szCs w:val="20"/>
        </w:rPr>
      </w:pPr>
      <w:proofErr w:type="spellStart"/>
      <w:r>
        <w:rPr>
          <w:color w:val="000000"/>
          <w:sz w:val="20"/>
          <w:szCs w:val="20"/>
        </w:rPr>
        <w:t>I.Misus</w:t>
      </w:r>
      <w:proofErr w:type="spellEnd"/>
      <w:r>
        <w:rPr>
          <w:color w:val="000000"/>
          <w:sz w:val="20"/>
          <w:szCs w:val="20"/>
        </w:rPr>
        <w:t xml:space="preserve"> </w:t>
      </w:r>
      <w:r w:rsidR="007F6361">
        <w:rPr>
          <w:color w:val="000000"/>
          <w:sz w:val="20"/>
          <w:szCs w:val="20"/>
        </w:rPr>
        <w:t>67829852</w:t>
      </w:r>
    </w:p>
    <w:p w:rsidR="0002260A" w:rsidRDefault="00D62BCC" w:rsidP="00DB0ED4">
      <w:pPr>
        <w:rPr>
          <w:color w:val="000000"/>
          <w:sz w:val="20"/>
          <w:szCs w:val="20"/>
        </w:rPr>
      </w:pPr>
      <w:r>
        <w:rPr>
          <w:color w:val="000000"/>
          <w:sz w:val="20"/>
          <w:szCs w:val="20"/>
        </w:rPr>
        <w:t>Irena.misus@iem.gov.lv</w:t>
      </w:r>
    </w:p>
    <w:sectPr w:rsidR="0002260A" w:rsidSect="00542E31">
      <w:headerReference w:type="even" r:id="rId9"/>
      <w:headerReference w:type="default" r:id="rId10"/>
      <w:footerReference w:type="default" r:id="rId11"/>
      <w:footerReference w:type="first" r:id="rId12"/>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9A" w:rsidRDefault="008A379A" w:rsidP="00616AA6">
      <w:r>
        <w:separator/>
      </w:r>
    </w:p>
  </w:endnote>
  <w:endnote w:type="continuationSeparator" w:id="0">
    <w:p w:rsidR="008A379A" w:rsidRDefault="008A379A"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DB" w:rsidRPr="00F525DB" w:rsidRDefault="00F525DB" w:rsidP="00F525DB">
    <w:pPr>
      <w:jc w:val="both"/>
      <w:rPr>
        <w:sz w:val="20"/>
        <w:szCs w:val="20"/>
      </w:rPr>
    </w:pPr>
    <w:r w:rsidRPr="00D65D1A">
      <w:rPr>
        <w:sz w:val="20"/>
        <w:szCs w:val="20"/>
      </w:rPr>
      <w:t>IEMAnot</w:t>
    </w:r>
    <w:r>
      <w:rPr>
        <w:sz w:val="20"/>
        <w:szCs w:val="20"/>
      </w:rPr>
      <w:t>_</w:t>
    </w:r>
    <w:r w:rsidR="007F6361">
      <w:rPr>
        <w:sz w:val="20"/>
        <w:szCs w:val="20"/>
      </w:rPr>
      <w:t>26</w:t>
    </w:r>
    <w:r>
      <w:rPr>
        <w:sz w:val="20"/>
        <w:szCs w:val="20"/>
      </w:rPr>
      <w:t>0</w:t>
    </w:r>
    <w:r w:rsidR="008211EA">
      <w:rPr>
        <w:sz w:val="20"/>
        <w:szCs w:val="20"/>
      </w:rPr>
      <w:t>1</w:t>
    </w:r>
    <w:r>
      <w:rPr>
        <w:sz w:val="20"/>
        <w:szCs w:val="20"/>
      </w:rPr>
      <w:t>1</w:t>
    </w:r>
    <w:r w:rsidR="008211EA">
      <w:rPr>
        <w:sz w:val="20"/>
        <w:szCs w:val="20"/>
      </w:rPr>
      <w:t>5</w:t>
    </w:r>
    <w:r>
      <w:rPr>
        <w:sz w:val="20"/>
        <w:szCs w:val="20"/>
      </w:rPr>
      <w:t>_</w:t>
    </w:r>
    <w:r w:rsidR="007F6361">
      <w:rPr>
        <w:sz w:val="20"/>
        <w:szCs w:val="20"/>
      </w:rPr>
      <w:t>VSS-702</w:t>
    </w:r>
    <w:r>
      <w:rPr>
        <w:sz w:val="20"/>
      </w:rPr>
      <w:t>.doc</w:t>
    </w:r>
    <w:r w:rsidRPr="00D65D1A">
      <w:rPr>
        <w:sz w:val="20"/>
        <w:szCs w:val="20"/>
      </w:rPr>
      <w:t xml:space="preserve">; </w:t>
    </w:r>
    <w:r w:rsidRPr="006522FE">
      <w:rPr>
        <w:sz w:val="20"/>
        <w:szCs w:val="20"/>
      </w:rPr>
      <w:t xml:space="preserve">Ministru kabineta noteikumu projekta </w:t>
    </w:r>
    <w:r w:rsidRPr="00F525DB">
      <w:rPr>
        <w:sz w:val="20"/>
        <w:szCs w:val="20"/>
      </w:rPr>
      <w:t xml:space="preserve">„Grozījums Ministru kabineta </w:t>
    </w:r>
    <w:proofErr w:type="gramStart"/>
    <w:r w:rsidRPr="00F525DB">
      <w:rPr>
        <w:sz w:val="20"/>
        <w:szCs w:val="20"/>
      </w:rPr>
      <w:t>2010.gada</w:t>
    </w:r>
    <w:proofErr w:type="gramEnd"/>
    <w:r w:rsidRPr="00F525DB">
      <w:rPr>
        <w:sz w:val="20"/>
        <w:szCs w:val="20"/>
      </w:rPr>
      <w:t xml:space="preserve"> 5.oktobra noteikumos Nr.943 „Iekšlietu ministrijas veselības un sporta centra nolikums”” sākotnējās ietekmes novērtējuma ziņojums (anotācija)</w:t>
    </w:r>
  </w:p>
  <w:p w:rsidR="00923EF6" w:rsidRPr="00F525DB" w:rsidRDefault="00923EF6" w:rsidP="00F52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DB" w:rsidRPr="00F525DB" w:rsidRDefault="00923EF6" w:rsidP="00F525DB">
    <w:pPr>
      <w:jc w:val="both"/>
      <w:rPr>
        <w:sz w:val="20"/>
        <w:szCs w:val="20"/>
      </w:rPr>
    </w:pPr>
    <w:r w:rsidRPr="00D65D1A">
      <w:rPr>
        <w:sz w:val="20"/>
        <w:szCs w:val="20"/>
      </w:rPr>
      <w:t>IEMAnot</w:t>
    </w:r>
    <w:r w:rsidR="00F525DB">
      <w:rPr>
        <w:sz w:val="20"/>
        <w:szCs w:val="20"/>
      </w:rPr>
      <w:t>_</w:t>
    </w:r>
    <w:r w:rsidR="007F6361">
      <w:rPr>
        <w:sz w:val="20"/>
        <w:szCs w:val="20"/>
      </w:rPr>
      <w:t>26</w:t>
    </w:r>
    <w:r w:rsidR="00F525DB">
      <w:rPr>
        <w:sz w:val="20"/>
        <w:szCs w:val="20"/>
      </w:rPr>
      <w:t>0</w:t>
    </w:r>
    <w:r w:rsidR="008211EA">
      <w:rPr>
        <w:sz w:val="20"/>
        <w:szCs w:val="20"/>
      </w:rPr>
      <w:t>1</w:t>
    </w:r>
    <w:r w:rsidR="00F525DB">
      <w:rPr>
        <w:sz w:val="20"/>
        <w:szCs w:val="20"/>
      </w:rPr>
      <w:t>1</w:t>
    </w:r>
    <w:r w:rsidR="008211EA">
      <w:rPr>
        <w:sz w:val="20"/>
        <w:szCs w:val="20"/>
      </w:rPr>
      <w:t>5</w:t>
    </w:r>
    <w:r w:rsidR="00F525DB">
      <w:rPr>
        <w:sz w:val="20"/>
        <w:szCs w:val="20"/>
      </w:rPr>
      <w:t>_</w:t>
    </w:r>
    <w:r w:rsidR="007F6361">
      <w:rPr>
        <w:sz w:val="20"/>
        <w:szCs w:val="20"/>
      </w:rPr>
      <w:t>VSS-702</w:t>
    </w:r>
    <w:r>
      <w:rPr>
        <w:sz w:val="20"/>
      </w:rPr>
      <w:t>.doc</w:t>
    </w:r>
    <w:r w:rsidRPr="00D65D1A">
      <w:rPr>
        <w:sz w:val="20"/>
        <w:szCs w:val="20"/>
      </w:rPr>
      <w:t xml:space="preserve">; </w:t>
    </w:r>
    <w:r w:rsidR="00F525DB" w:rsidRPr="006522FE">
      <w:rPr>
        <w:sz w:val="20"/>
        <w:szCs w:val="20"/>
      </w:rPr>
      <w:t xml:space="preserve">Ministru kabineta noteikumu projekta </w:t>
    </w:r>
    <w:r w:rsidR="00F525DB" w:rsidRPr="00F525DB">
      <w:rPr>
        <w:sz w:val="20"/>
        <w:szCs w:val="20"/>
      </w:rPr>
      <w:t xml:space="preserve">„Grozījums Ministru kabineta </w:t>
    </w:r>
    <w:proofErr w:type="gramStart"/>
    <w:r w:rsidR="00F525DB" w:rsidRPr="00F525DB">
      <w:rPr>
        <w:sz w:val="20"/>
        <w:szCs w:val="20"/>
      </w:rPr>
      <w:t>2010.gada</w:t>
    </w:r>
    <w:proofErr w:type="gramEnd"/>
    <w:r w:rsidR="00F525DB" w:rsidRPr="00F525DB">
      <w:rPr>
        <w:sz w:val="20"/>
        <w:szCs w:val="20"/>
      </w:rPr>
      <w:t xml:space="preserve"> 5.oktobra noteikumos Nr.943 „Iekšlietu ministrijas veselības un sporta centra nolikums”” sākotnējās ietekmes novērtējuma ziņojums (anotācija)</w:t>
    </w:r>
  </w:p>
  <w:p w:rsidR="00923EF6" w:rsidRPr="006522FE" w:rsidRDefault="00923EF6" w:rsidP="006522FE">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9A" w:rsidRDefault="008A379A" w:rsidP="00616AA6">
      <w:r>
        <w:separator/>
      </w:r>
    </w:p>
  </w:footnote>
  <w:footnote w:type="continuationSeparator" w:id="0">
    <w:p w:rsidR="008A379A" w:rsidRDefault="008A379A"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EF6" w:rsidRDefault="00923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F6" w:rsidRDefault="00923EF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D4B">
      <w:rPr>
        <w:rStyle w:val="PageNumber"/>
        <w:noProof/>
      </w:rPr>
      <w:t>2</w:t>
    </w:r>
    <w:r>
      <w:rPr>
        <w:rStyle w:val="PageNumber"/>
      </w:rPr>
      <w:fldChar w:fldCharType="end"/>
    </w:r>
  </w:p>
  <w:p w:rsidR="00923EF6" w:rsidRDefault="00923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E9C"/>
    <w:multiLevelType w:val="hybridMultilevel"/>
    <w:tmpl w:val="DE5E7EEC"/>
    <w:lvl w:ilvl="0" w:tplc="264EF0FE">
      <w:start w:val="1"/>
      <w:numFmt w:val="decimal"/>
      <w:lvlText w:val="%1)"/>
      <w:lvlJc w:val="left"/>
      <w:pPr>
        <w:ind w:left="1543" w:hanging="360"/>
      </w:pPr>
      <w:rPr>
        <w:rFonts w:hint="default"/>
        <w:color w:val="auto"/>
      </w:rPr>
    </w:lvl>
    <w:lvl w:ilvl="1" w:tplc="04260019" w:tentative="1">
      <w:start w:val="1"/>
      <w:numFmt w:val="lowerLetter"/>
      <w:lvlText w:val="%2."/>
      <w:lvlJc w:val="left"/>
      <w:pPr>
        <w:ind w:left="2263" w:hanging="360"/>
      </w:pPr>
    </w:lvl>
    <w:lvl w:ilvl="2" w:tplc="0426001B" w:tentative="1">
      <w:start w:val="1"/>
      <w:numFmt w:val="lowerRoman"/>
      <w:lvlText w:val="%3."/>
      <w:lvlJc w:val="right"/>
      <w:pPr>
        <w:ind w:left="2983" w:hanging="180"/>
      </w:pPr>
    </w:lvl>
    <w:lvl w:ilvl="3" w:tplc="0426000F" w:tentative="1">
      <w:start w:val="1"/>
      <w:numFmt w:val="decimal"/>
      <w:lvlText w:val="%4."/>
      <w:lvlJc w:val="left"/>
      <w:pPr>
        <w:ind w:left="3703" w:hanging="360"/>
      </w:pPr>
    </w:lvl>
    <w:lvl w:ilvl="4" w:tplc="04260019" w:tentative="1">
      <w:start w:val="1"/>
      <w:numFmt w:val="lowerLetter"/>
      <w:lvlText w:val="%5."/>
      <w:lvlJc w:val="left"/>
      <w:pPr>
        <w:ind w:left="4423" w:hanging="360"/>
      </w:pPr>
    </w:lvl>
    <w:lvl w:ilvl="5" w:tplc="0426001B" w:tentative="1">
      <w:start w:val="1"/>
      <w:numFmt w:val="lowerRoman"/>
      <w:lvlText w:val="%6."/>
      <w:lvlJc w:val="right"/>
      <w:pPr>
        <w:ind w:left="5143" w:hanging="180"/>
      </w:pPr>
    </w:lvl>
    <w:lvl w:ilvl="6" w:tplc="0426000F" w:tentative="1">
      <w:start w:val="1"/>
      <w:numFmt w:val="decimal"/>
      <w:lvlText w:val="%7."/>
      <w:lvlJc w:val="left"/>
      <w:pPr>
        <w:ind w:left="5863" w:hanging="360"/>
      </w:pPr>
    </w:lvl>
    <w:lvl w:ilvl="7" w:tplc="04260019" w:tentative="1">
      <w:start w:val="1"/>
      <w:numFmt w:val="lowerLetter"/>
      <w:lvlText w:val="%8."/>
      <w:lvlJc w:val="left"/>
      <w:pPr>
        <w:ind w:left="6583" w:hanging="360"/>
      </w:pPr>
    </w:lvl>
    <w:lvl w:ilvl="8" w:tplc="0426001B" w:tentative="1">
      <w:start w:val="1"/>
      <w:numFmt w:val="lowerRoman"/>
      <w:lvlText w:val="%9."/>
      <w:lvlJc w:val="right"/>
      <w:pPr>
        <w:ind w:left="7303" w:hanging="180"/>
      </w:pPr>
    </w:lvl>
  </w:abstractNum>
  <w:abstractNum w:abstractNumId="1">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3">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4">
    <w:nsid w:val="43F8527E"/>
    <w:multiLevelType w:val="hybridMultilevel"/>
    <w:tmpl w:val="82E28FCC"/>
    <w:lvl w:ilvl="0" w:tplc="918AF898">
      <w:start w:val="1"/>
      <w:numFmt w:val="decimal"/>
      <w:lvlText w:val="%1)"/>
      <w:lvlJc w:val="left"/>
      <w:pPr>
        <w:ind w:left="823" w:hanging="360"/>
      </w:pPr>
      <w:rPr>
        <w:rFonts w:hint="default"/>
      </w:rPr>
    </w:lvl>
    <w:lvl w:ilvl="1" w:tplc="04260019" w:tentative="1">
      <w:start w:val="1"/>
      <w:numFmt w:val="lowerLetter"/>
      <w:lvlText w:val="%2."/>
      <w:lvlJc w:val="left"/>
      <w:pPr>
        <w:ind w:left="1543" w:hanging="360"/>
      </w:pPr>
    </w:lvl>
    <w:lvl w:ilvl="2" w:tplc="0426001B" w:tentative="1">
      <w:start w:val="1"/>
      <w:numFmt w:val="lowerRoman"/>
      <w:lvlText w:val="%3."/>
      <w:lvlJc w:val="right"/>
      <w:pPr>
        <w:ind w:left="2263" w:hanging="180"/>
      </w:pPr>
    </w:lvl>
    <w:lvl w:ilvl="3" w:tplc="0426000F" w:tentative="1">
      <w:start w:val="1"/>
      <w:numFmt w:val="decimal"/>
      <w:lvlText w:val="%4."/>
      <w:lvlJc w:val="left"/>
      <w:pPr>
        <w:ind w:left="2983" w:hanging="360"/>
      </w:pPr>
    </w:lvl>
    <w:lvl w:ilvl="4" w:tplc="04260019" w:tentative="1">
      <w:start w:val="1"/>
      <w:numFmt w:val="lowerLetter"/>
      <w:lvlText w:val="%5."/>
      <w:lvlJc w:val="left"/>
      <w:pPr>
        <w:ind w:left="3703" w:hanging="360"/>
      </w:pPr>
    </w:lvl>
    <w:lvl w:ilvl="5" w:tplc="0426001B" w:tentative="1">
      <w:start w:val="1"/>
      <w:numFmt w:val="lowerRoman"/>
      <w:lvlText w:val="%6."/>
      <w:lvlJc w:val="right"/>
      <w:pPr>
        <w:ind w:left="4423" w:hanging="180"/>
      </w:pPr>
    </w:lvl>
    <w:lvl w:ilvl="6" w:tplc="0426000F" w:tentative="1">
      <w:start w:val="1"/>
      <w:numFmt w:val="decimal"/>
      <w:lvlText w:val="%7."/>
      <w:lvlJc w:val="left"/>
      <w:pPr>
        <w:ind w:left="5143" w:hanging="360"/>
      </w:pPr>
    </w:lvl>
    <w:lvl w:ilvl="7" w:tplc="04260019" w:tentative="1">
      <w:start w:val="1"/>
      <w:numFmt w:val="lowerLetter"/>
      <w:lvlText w:val="%8."/>
      <w:lvlJc w:val="left"/>
      <w:pPr>
        <w:ind w:left="5863" w:hanging="360"/>
      </w:pPr>
    </w:lvl>
    <w:lvl w:ilvl="8" w:tplc="0426001B" w:tentative="1">
      <w:start w:val="1"/>
      <w:numFmt w:val="lowerRoman"/>
      <w:lvlText w:val="%9."/>
      <w:lvlJc w:val="right"/>
      <w:pPr>
        <w:ind w:left="6583" w:hanging="180"/>
      </w:pPr>
    </w:lvl>
  </w:abstractNum>
  <w:abstractNum w:abstractNumId="5">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4CE2E20"/>
    <w:multiLevelType w:val="hybridMultilevel"/>
    <w:tmpl w:val="6562DB1A"/>
    <w:lvl w:ilvl="0" w:tplc="C6F08D98">
      <w:start w:val="1"/>
      <w:numFmt w:val="decimal"/>
      <w:lvlText w:val="%1)"/>
      <w:lvlJc w:val="left"/>
      <w:pPr>
        <w:ind w:left="1183" w:hanging="360"/>
      </w:pPr>
      <w:rPr>
        <w:rFonts w:hint="default"/>
      </w:rPr>
    </w:lvl>
    <w:lvl w:ilvl="1" w:tplc="04260019" w:tentative="1">
      <w:start w:val="1"/>
      <w:numFmt w:val="lowerLetter"/>
      <w:lvlText w:val="%2."/>
      <w:lvlJc w:val="left"/>
      <w:pPr>
        <w:ind w:left="1903" w:hanging="360"/>
      </w:pPr>
    </w:lvl>
    <w:lvl w:ilvl="2" w:tplc="0426001B" w:tentative="1">
      <w:start w:val="1"/>
      <w:numFmt w:val="lowerRoman"/>
      <w:lvlText w:val="%3."/>
      <w:lvlJc w:val="right"/>
      <w:pPr>
        <w:ind w:left="2623" w:hanging="180"/>
      </w:pPr>
    </w:lvl>
    <w:lvl w:ilvl="3" w:tplc="0426000F" w:tentative="1">
      <w:start w:val="1"/>
      <w:numFmt w:val="decimal"/>
      <w:lvlText w:val="%4."/>
      <w:lvlJc w:val="left"/>
      <w:pPr>
        <w:ind w:left="3343" w:hanging="360"/>
      </w:pPr>
    </w:lvl>
    <w:lvl w:ilvl="4" w:tplc="04260019" w:tentative="1">
      <w:start w:val="1"/>
      <w:numFmt w:val="lowerLetter"/>
      <w:lvlText w:val="%5."/>
      <w:lvlJc w:val="left"/>
      <w:pPr>
        <w:ind w:left="4063" w:hanging="360"/>
      </w:pPr>
    </w:lvl>
    <w:lvl w:ilvl="5" w:tplc="0426001B" w:tentative="1">
      <w:start w:val="1"/>
      <w:numFmt w:val="lowerRoman"/>
      <w:lvlText w:val="%6."/>
      <w:lvlJc w:val="right"/>
      <w:pPr>
        <w:ind w:left="4783" w:hanging="180"/>
      </w:pPr>
    </w:lvl>
    <w:lvl w:ilvl="6" w:tplc="0426000F" w:tentative="1">
      <w:start w:val="1"/>
      <w:numFmt w:val="decimal"/>
      <w:lvlText w:val="%7."/>
      <w:lvlJc w:val="left"/>
      <w:pPr>
        <w:ind w:left="5503" w:hanging="360"/>
      </w:pPr>
    </w:lvl>
    <w:lvl w:ilvl="7" w:tplc="04260019" w:tentative="1">
      <w:start w:val="1"/>
      <w:numFmt w:val="lowerLetter"/>
      <w:lvlText w:val="%8."/>
      <w:lvlJc w:val="left"/>
      <w:pPr>
        <w:ind w:left="6223" w:hanging="360"/>
      </w:pPr>
    </w:lvl>
    <w:lvl w:ilvl="8" w:tplc="0426001B" w:tentative="1">
      <w:start w:val="1"/>
      <w:numFmt w:val="lowerRoman"/>
      <w:lvlText w:val="%9."/>
      <w:lvlJc w:val="right"/>
      <w:pPr>
        <w:ind w:left="6943" w:hanging="180"/>
      </w:pPr>
    </w:lvl>
  </w:abstractNum>
  <w:abstractNum w:abstractNumId="11">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F71EE6"/>
    <w:multiLevelType w:val="hybridMultilevel"/>
    <w:tmpl w:val="34226E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4"/>
  </w:num>
  <w:num w:numId="2">
    <w:abstractNumId w:val="13"/>
  </w:num>
  <w:num w:numId="3">
    <w:abstractNumId w:val="7"/>
  </w:num>
  <w:num w:numId="4">
    <w:abstractNumId w:val="1"/>
  </w:num>
  <w:num w:numId="5">
    <w:abstractNumId w:val="8"/>
  </w:num>
  <w:num w:numId="6">
    <w:abstractNumId w:val="3"/>
  </w:num>
  <w:num w:numId="7">
    <w:abstractNumId w:val="11"/>
  </w:num>
  <w:num w:numId="8">
    <w:abstractNumId w:val="9"/>
  </w:num>
  <w:num w:numId="9">
    <w:abstractNumId w:val="2"/>
  </w:num>
  <w:num w:numId="10">
    <w:abstractNumId w:val="6"/>
  </w:num>
  <w:num w:numId="11">
    <w:abstractNumId w:val="5"/>
  </w:num>
  <w:num w:numId="12">
    <w:abstractNumId w:val="1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0763C"/>
    <w:rsid w:val="0002260A"/>
    <w:rsid w:val="0002334F"/>
    <w:rsid w:val="00023D4B"/>
    <w:rsid w:val="00027C37"/>
    <w:rsid w:val="00042BA1"/>
    <w:rsid w:val="00043DE0"/>
    <w:rsid w:val="00046F56"/>
    <w:rsid w:val="00057968"/>
    <w:rsid w:val="000601C6"/>
    <w:rsid w:val="000678AC"/>
    <w:rsid w:val="0007077C"/>
    <w:rsid w:val="00070AA3"/>
    <w:rsid w:val="000757EC"/>
    <w:rsid w:val="00080BAA"/>
    <w:rsid w:val="00092306"/>
    <w:rsid w:val="000A06FD"/>
    <w:rsid w:val="000A21B7"/>
    <w:rsid w:val="000A7F51"/>
    <w:rsid w:val="000C2413"/>
    <w:rsid w:val="000C75A6"/>
    <w:rsid w:val="000D011D"/>
    <w:rsid w:val="000F1582"/>
    <w:rsid w:val="000F2F91"/>
    <w:rsid w:val="00111352"/>
    <w:rsid w:val="001164B7"/>
    <w:rsid w:val="00116D23"/>
    <w:rsid w:val="00127E4B"/>
    <w:rsid w:val="00132192"/>
    <w:rsid w:val="001403DC"/>
    <w:rsid w:val="00144CAD"/>
    <w:rsid w:val="00152AEC"/>
    <w:rsid w:val="00156759"/>
    <w:rsid w:val="00166FDD"/>
    <w:rsid w:val="0017581A"/>
    <w:rsid w:val="001836C4"/>
    <w:rsid w:val="00186EFA"/>
    <w:rsid w:val="00193A8B"/>
    <w:rsid w:val="00197C43"/>
    <w:rsid w:val="001A789C"/>
    <w:rsid w:val="001B30CD"/>
    <w:rsid w:val="001B3EBE"/>
    <w:rsid w:val="001D349F"/>
    <w:rsid w:val="001E3C4C"/>
    <w:rsid w:val="001E3E86"/>
    <w:rsid w:val="001F4C14"/>
    <w:rsid w:val="00201BD9"/>
    <w:rsid w:val="002055CE"/>
    <w:rsid w:val="00221979"/>
    <w:rsid w:val="00223E3D"/>
    <w:rsid w:val="00237C20"/>
    <w:rsid w:val="00241D7C"/>
    <w:rsid w:val="002447E8"/>
    <w:rsid w:val="00246FDC"/>
    <w:rsid w:val="002554BA"/>
    <w:rsid w:val="00257716"/>
    <w:rsid w:val="0026208E"/>
    <w:rsid w:val="002720A2"/>
    <w:rsid w:val="00273A9F"/>
    <w:rsid w:val="00275C6D"/>
    <w:rsid w:val="002766FB"/>
    <w:rsid w:val="0029110D"/>
    <w:rsid w:val="002926D3"/>
    <w:rsid w:val="002940CD"/>
    <w:rsid w:val="002960EA"/>
    <w:rsid w:val="002A6197"/>
    <w:rsid w:val="002A7573"/>
    <w:rsid w:val="002B10A1"/>
    <w:rsid w:val="002B4610"/>
    <w:rsid w:val="002B5B67"/>
    <w:rsid w:val="002C28A3"/>
    <w:rsid w:val="002C7006"/>
    <w:rsid w:val="002E6C12"/>
    <w:rsid w:val="003019EE"/>
    <w:rsid w:val="0030306E"/>
    <w:rsid w:val="00307126"/>
    <w:rsid w:val="00311674"/>
    <w:rsid w:val="003126D5"/>
    <w:rsid w:val="00330F96"/>
    <w:rsid w:val="003517B2"/>
    <w:rsid w:val="0035487B"/>
    <w:rsid w:val="00361CA0"/>
    <w:rsid w:val="00373890"/>
    <w:rsid w:val="00374F27"/>
    <w:rsid w:val="00375FAB"/>
    <w:rsid w:val="0038231F"/>
    <w:rsid w:val="003911D0"/>
    <w:rsid w:val="003B10C2"/>
    <w:rsid w:val="003B2781"/>
    <w:rsid w:val="003C5BC9"/>
    <w:rsid w:val="003C6387"/>
    <w:rsid w:val="003D1339"/>
    <w:rsid w:val="003D1A40"/>
    <w:rsid w:val="003F78D5"/>
    <w:rsid w:val="00403411"/>
    <w:rsid w:val="004034E0"/>
    <w:rsid w:val="00410DE6"/>
    <w:rsid w:val="004130AE"/>
    <w:rsid w:val="004139D6"/>
    <w:rsid w:val="004175B1"/>
    <w:rsid w:val="004262C0"/>
    <w:rsid w:val="004327F8"/>
    <w:rsid w:val="00437542"/>
    <w:rsid w:val="004430F1"/>
    <w:rsid w:val="004519E2"/>
    <w:rsid w:val="004545E7"/>
    <w:rsid w:val="004676D7"/>
    <w:rsid w:val="004705F1"/>
    <w:rsid w:val="004767AF"/>
    <w:rsid w:val="004854D4"/>
    <w:rsid w:val="004A11F7"/>
    <w:rsid w:val="004C51BE"/>
    <w:rsid w:val="004C669F"/>
    <w:rsid w:val="004D1FCD"/>
    <w:rsid w:val="004D4483"/>
    <w:rsid w:val="004F53BF"/>
    <w:rsid w:val="00500381"/>
    <w:rsid w:val="00502E7D"/>
    <w:rsid w:val="00527A75"/>
    <w:rsid w:val="00527E3D"/>
    <w:rsid w:val="0053087D"/>
    <w:rsid w:val="00540358"/>
    <w:rsid w:val="00542E31"/>
    <w:rsid w:val="00545E70"/>
    <w:rsid w:val="005651F4"/>
    <w:rsid w:val="00581CD9"/>
    <w:rsid w:val="00593AC8"/>
    <w:rsid w:val="0059706B"/>
    <w:rsid w:val="005A0FDF"/>
    <w:rsid w:val="005B2CE7"/>
    <w:rsid w:val="005C3D9C"/>
    <w:rsid w:val="005D1584"/>
    <w:rsid w:val="005E363F"/>
    <w:rsid w:val="00603B61"/>
    <w:rsid w:val="00604EA3"/>
    <w:rsid w:val="00612D7E"/>
    <w:rsid w:val="006136B9"/>
    <w:rsid w:val="00616AA6"/>
    <w:rsid w:val="006329F8"/>
    <w:rsid w:val="00633D6B"/>
    <w:rsid w:val="006522FE"/>
    <w:rsid w:val="00654239"/>
    <w:rsid w:val="00664FC6"/>
    <w:rsid w:val="00667F2B"/>
    <w:rsid w:val="00680635"/>
    <w:rsid w:val="00687963"/>
    <w:rsid w:val="006A0DA7"/>
    <w:rsid w:val="006C55ED"/>
    <w:rsid w:val="006E3688"/>
    <w:rsid w:val="006E3A7F"/>
    <w:rsid w:val="006E480C"/>
    <w:rsid w:val="006E54AA"/>
    <w:rsid w:val="006E76B7"/>
    <w:rsid w:val="006F73BC"/>
    <w:rsid w:val="0070343E"/>
    <w:rsid w:val="00710EAA"/>
    <w:rsid w:val="007167FF"/>
    <w:rsid w:val="00725865"/>
    <w:rsid w:val="00730E41"/>
    <w:rsid w:val="00732C68"/>
    <w:rsid w:val="00736938"/>
    <w:rsid w:val="00747C51"/>
    <w:rsid w:val="007528E2"/>
    <w:rsid w:val="00753535"/>
    <w:rsid w:val="00755684"/>
    <w:rsid w:val="007610E4"/>
    <w:rsid w:val="00763BF7"/>
    <w:rsid w:val="00765A92"/>
    <w:rsid w:val="007702EA"/>
    <w:rsid w:val="0077070F"/>
    <w:rsid w:val="00772A46"/>
    <w:rsid w:val="00794E6B"/>
    <w:rsid w:val="007B0C0C"/>
    <w:rsid w:val="007B5718"/>
    <w:rsid w:val="007D3FD0"/>
    <w:rsid w:val="007D4C86"/>
    <w:rsid w:val="007D783D"/>
    <w:rsid w:val="007E0F97"/>
    <w:rsid w:val="007F4918"/>
    <w:rsid w:val="007F6361"/>
    <w:rsid w:val="00805D9E"/>
    <w:rsid w:val="0080751B"/>
    <w:rsid w:val="00816363"/>
    <w:rsid w:val="008167ED"/>
    <w:rsid w:val="008211EA"/>
    <w:rsid w:val="0082381C"/>
    <w:rsid w:val="0083004C"/>
    <w:rsid w:val="00834ED9"/>
    <w:rsid w:val="008372E7"/>
    <w:rsid w:val="00837BD6"/>
    <w:rsid w:val="0084798E"/>
    <w:rsid w:val="008605D0"/>
    <w:rsid w:val="00863DB5"/>
    <w:rsid w:val="00866E6B"/>
    <w:rsid w:val="00874E35"/>
    <w:rsid w:val="008936BC"/>
    <w:rsid w:val="008A023A"/>
    <w:rsid w:val="008A379A"/>
    <w:rsid w:val="008A4EEF"/>
    <w:rsid w:val="008A561A"/>
    <w:rsid w:val="008C2585"/>
    <w:rsid w:val="008C2D66"/>
    <w:rsid w:val="008C47BE"/>
    <w:rsid w:val="008C6FC8"/>
    <w:rsid w:val="008D36C2"/>
    <w:rsid w:val="008D5F20"/>
    <w:rsid w:val="008F2ACB"/>
    <w:rsid w:val="0090153F"/>
    <w:rsid w:val="009114A0"/>
    <w:rsid w:val="00921B1A"/>
    <w:rsid w:val="00923EF6"/>
    <w:rsid w:val="00927C25"/>
    <w:rsid w:val="009304C8"/>
    <w:rsid w:val="00947830"/>
    <w:rsid w:val="00953A72"/>
    <w:rsid w:val="00957E54"/>
    <w:rsid w:val="00963119"/>
    <w:rsid w:val="009652EF"/>
    <w:rsid w:val="00974D74"/>
    <w:rsid w:val="00977B2E"/>
    <w:rsid w:val="0098089E"/>
    <w:rsid w:val="0098181D"/>
    <w:rsid w:val="00985272"/>
    <w:rsid w:val="009860E6"/>
    <w:rsid w:val="0099042F"/>
    <w:rsid w:val="00990B02"/>
    <w:rsid w:val="00991ED2"/>
    <w:rsid w:val="00997FA9"/>
    <w:rsid w:val="009A1D77"/>
    <w:rsid w:val="009A64DE"/>
    <w:rsid w:val="009A6FC2"/>
    <w:rsid w:val="009B1BDE"/>
    <w:rsid w:val="009B7E5E"/>
    <w:rsid w:val="009C3026"/>
    <w:rsid w:val="009D1066"/>
    <w:rsid w:val="009D62F6"/>
    <w:rsid w:val="009E0671"/>
    <w:rsid w:val="009E4FD6"/>
    <w:rsid w:val="009F0229"/>
    <w:rsid w:val="00A074A5"/>
    <w:rsid w:val="00A07F4E"/>
    <w:rsid w:val="00A102C0"/>
    <w:rsid w:val="00A105D7"/>
    <w:rsid w:val="00A217E7"/>
    <w:rsid w:val="00A329B2"/>
    <w:rsid w:val="00A55FEA"/>
    <w:rsid w:val="00A63E6C"/>
    <w:rsid w:val="00A6421B"/>
    <w:rsid w:val="00A81223"/>
    <w:rsid w:val="00A84C26"/>
    <w:rsid w:val="00A91B2A"/>
    <w:rsid w:val="00A9333D"/>
    <w:rsid w:val="00A959EC"/>
    <w:rsid w:val="00A965F1"/>
    <w:rsid w:val="00AB0063"/>
    <w:rsid w:val="00AB3C41"/>
    <w:rsid w:val="00AB3D38"/>
    <w:rsid w:val="00AC1E3B"/>
    <w:rsid w:val="00AE4367"/>
    <w:rsid w:val="00AE608F"/>
    <w:rsid w:val="00AE70EE"/>
    <w:rsid w:val="00AF000F"/>
    <w:rsid w:val="00AF1B96"/>
    <w:rsid w:val="00AF352B"/>
    <w:rsid w:val="00AF666E"/>
    <w:rsid w:val="00B01423"/>
    <w:rsid w:val="00B0227E"/>
    <w:rsid w:val="00B03005"/>
    <w:rsid w:val="00B069C2"/>
    <w:rsid w:val="00B06A93"/>
    <w:rsid w:val="00B14E57"/>
    <w:rsid w:val="00B313A5"/>
    <w:rsid w:val="00B31A7F"/>
    <w:rsid w:val="00B55E0D"/>
    <w:rsid w:val="00B73EF6"/>
    <w:rsid w:val="00B74BDF"/>
    <w:rsid w:val="00B8301F"/>
    <w:rsid w:val="00B85665"/>
    <w:rsid w:val="00B8615D"/>
    <w:rsid w:val="00B9098B"/>
    <w:rsid w:val="00B93F08"/>
    <w:rsid w:val="00B945D8"/>
    <w:rsid w:val="00BA3A84"/>
    <w:rsid w:val="00BC1C4E"/>
    <w:rsid w:val="00BC5EDE"/>
    <w:rsid w:val="00BD6300"/>
    <w:rsid w:val="00BE2989"/>
    <w:rsid w:val="00BE31A9"/>
    <w:rsid w:val="00BE7886"/>
    <w:rsid w:val="00BF29F3"/>
    <w:rsid w:val="00C05F8D"/>
    <w:rsid w:val="00C10320"/>
    <w:rsid w:val="00C152B1"/>
    <w:rsid w:val="00C215E5"/>
    <w:rsid w:val="00C21897"/>
    <w:rsid w:val="00C22E09"/>
    <w:rsid w:val="00C23501"/>
    <w:rsid w:val="00C338A6"/>
    <w:rsid w:val="00C40B1A"/>
    <w:rsid w:val="00C435E9"/>
    <w:rsid w:val="00C47791"/>
    <w:rsid w:val="00C477D5"/>
    <w:rsid w:val="00C51910"/>
    <w:rsid w:val="00C55383"/>
    <w:rsid w:val="00C555E0"/>
    <w:rsid w:val="00C56A76"/>
    <w:rsid w:val="00C657C0"/>
    <w:rsid w:val="00C66F33"/>
    <w:rsid w:val="00C67515"/>
    <w:rsid w:val="00C67B32"/>
    <w:rsid w:val="00C70E01"/>
    <w:rsid w:val="00C772F4"/>
    <w:rsid w:val="00C82AE8"/>
    <w:rsid w:val="00C82F00"/>
    <w:rsid w:val="00C971D2"/>
    <w:rsid w:val="00CB4634"/>
    <w:rsid w:val="00CC35CF"/>
    <w:rsid w:val="00CC4638"/>
    <w:rsid w:val="00CC496E"/>
    <w:rsid w:val="00CC769D"/>
    <w:rsid w:val="00CD54B5"/>
    <w:rsid w:val="00CE3660"/>
    <w:rsid w:val="00CE36C0"/>
    <w:rsid w:val="00CE417F"/>
    <w:rsid w:val="00D01F6B"/>
    <w:rsid w:val="00D1252E"/>
    <w:rsid w:val="00D12B8D"/>
    <w:rsid w:val="00D22685"/>
    <w:rsid w:val="00D23903"/>
    <w:rsid w:val="00D27291"/>
    <w:rsid w:val="00D34670"/>
    <w:rsid w:val="00D346C9"/>
    <w:rsid w:val="00D4062C"/>
    <w:rsid w:val="00D42003"/>
    <w:rsid w:val="00D42BC2"/>
    <w:rsid w:val="00D430F0"/>
    <w:rsid w:val="00D45A48"/>
    <w:rsid w:val="00D52D03"/>
    <w:rsid w:val="00D52F4F"/>
    <w:rsid w:val="00D539DB"/>
    <w:rsid w:val="00D556A2"/>
    <w:rsid w:val="00D5707B"/>
    <w:rsid w:val="00D61425"/>
    <w:rsid w:val="00D62BCC"/>
    <w:rsid w:val="00D65488"/>
    <w:rsid w:val="00D65D1A"/>
    <w:rsid w:val="00D67404"/>
    <w:rsid w:val="00D80896"/>
    <w:rsid w:val="00D8120A"/>
    <w:rsid w:val="00D86198"/>
    <w:rsid w:val="00D915CC"/>
    <w:rsid w:val="00D94C4E"/>
    <w:rsid w:val="00DB0ED4"/>
    <w:rsid w:val="00DB313F"/>
    <w:rsid w:val="00DB3BC6"/>
    <w:rsid w:val="00DC152F"/>
    <w:rsid w:val="00DC287F"/>
    <w:rsid w:val="00DC5725"/>
    <w:rsid w:val="00DD02FF"/>
    <w:rsid w:val="00DE03B5"/>
    <w:rsid w:val="00DE0EDD"/>
    <w:rsid w:val="00DF2B43"/>
    <w:rsid w:val="00DF45E9"/>
    <w:rsid w:val="00E06CCE"/>
    <w:rsid w:val="00E07EB8"/>
    <w:rsid w:val="00E150BC"/>
    <w:rsid w:val="00E15543"/>
    <w:rsid w:val="00E249A5"/>
    <w:rsid w:val="00E27051"/>
    <w:rsid w:val="00E568D4"/>
    <w:rsid w:val="00E7262B"/>
    <w:rsid w:val="00E75E5B"/>
    <w:rsid w:val="00E80593"/>
    <w:rsid w:val="00E86D2D"/>
    <w:rsid w:val="00E94311"/>
    <w:rsid w:val="00E9479A"/>
    <w:rsid w:val="00EA3691"/>
    <w:rsid w:val="00EA526B"/>
    <w:rsid w:val="00EA55BE"/>
    <w:rsid w:val="00EA7D81"/>
    <w:rsid w:val="00EB07C7"/>
    <w:rsid w:val="00EC51E6"/>
    <w:rsid w:val="00ED0860"/>
    <w:rsid w:val="00ED2217"/>
    <w:rsid w:val="00ED3E5A"/>
    <w:rsid w:val="00ED6A06"/>
    <w:rsid w:val="00ED7568"/>
    <w:rsid w:val="00EE0C0F"/>
    <w:rsid w:val="00EE1F63"/>
    <w:rsid w:val="00EE4A6F"/>
    <w:rsid w:val="00EE501B"/>
    <w:rsid w:val="00EE55CF"/>
    <w:rsid w:val="00EF30AD"/>
    <w:rsid w:val="00EF575A"/>
    <w:rsid w:val="00EF75F9"/>
    <w:rsid w:val="00F02DB5"/>
    <w:rsid w:val="00F03184"/>
    <w:rsid w:val="00F0543C"/>
    <w:rsid w:val="00F11BBB"/>
    <w:rsid w:val="00F129F4"/>
    <w:rsid w:val="00F13B40"/>
    <w:rsid w:val="00F153B3"/>
    <w:rsid w:val="00F16489"/>
    <w:rsid w:val="00F17318"/>
    <w:rsid w:val="00F22CE0"/>
    <w:rsid w:val="00F26734"/>
    <w:rsid w:val="00F31085"/>
    <w:rsid w:val="00F44595"/>
    <w:rsid w:val="00F506A2"/>
    <w:rsid w:val="00F507FE"/>
    <w:rsid w:val="00F525DB"/>
    <w:rsid w:val="00F602CC"/>
    <w:rsid w:val="00F66B7E"/>
    <w:rsid w:val="00F70DDF"/>
    <w:rsid w:val="00F720FC"/>
    <w:rsid w:val="00F9365C"/>
    <w:rsid w:val="00FA18B8"/>
    <w:rsid w:val="00FA6074"/>
    <w:rsid w:val="00FB0D6A"/>
    <w:rsid w:val="00FC116E"/>
    <w:rsid w:val="00FC26F8"/>
    <w:rsid w:val="00FC2F9C"/>
    <w:rsid w:val="00FC538E"/>
    <w:rsid w:val="00FD1BF2"/>
    <w:rsid w:val="00FD2175"/>
    <w:rsid w:val="00FD5FE7"/>
    <w:rsid w:val="00FE110A"/>
    <w:rsid w:val="00FF63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B28CF-7971-4619-8CCB-EB805D4D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rsid w:val="00616AA6"/>
    <w:pPr>
      <w:tabs>
        <w:tab w:val="center" w:pos="4153"/>
        <w:tab w:val="right" w:pos="8306"/>
      </w:tabs>
    </w:pPr>
    <w:rPr>
      <w:lang w:eastAsia="lv-LV"/>
    </w:rPr>
  </w:style>
  <w:style w:type="character" w:customStyle="1" w:styleId="FooterChar">
    <w:name w:val="Footer Char"/>
    <w:basedOn w:val="DefaultParagraphFont"/>
    <w:link w:val="Footer"/>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CC769D"/>
    <w:pPr>
      <w:spacing w:line="360" w:lineRule="auto"/>
      <w:ind w:firstLine="300"/>
    </w:pPr>
    <w:rPr>
      <w:color w:val="414142"/>
      <w:sz w:val="20"/>
      <w:szCs w:val="20"/>
      <w:lang w:eastAsia="lv-LV"/>
    </w:rPr>
  </w:style>
  <w:style w:type="paragraph" w:customStyle="1" w:styleId="labojumupamats1">
    <w:name w:val="labojumu_pamats1"/>
    <w:basedOn w:val="Normal"/>
    <w:rsid w:val="00CC769D"/>
    <w:pPr>
      <w:spacing w:before="45" w:line="360" w:lineRule="auto"/>
      <w:ind w:firstLine="300"/>
    </w:pPr>
    <w:rPr>
      <w:i/>
      <w:iCs/>
      <w:color w:val="414142"/>
      <w:sz w:val="20"/>
      <w:szCs w:val="20"/>
      <w:lang w:eastAsia="lv-LV"/>
    </w:rPr>
  </w:style>
  <w:style w:type="paragraph" w:styleId="CommentText">
    <w:name w:val="annotation text"/>
    <w:basedOn w:val="Normal"/>
    <w:link w:val="CommentTextChar"/>
    <w:uiPriority w:val="99"/>
    <w:semiHidden/>
    <w:unhideWhenUsed/>
    <w:rsid w:val="006522FE"/>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522F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703096532">
      <w:bodyDiv w:val="1"/>
      <w:marLeft w:val="0"/>
      <w:marRight w:val="0"/>
      <w:marTop w:val="0"/>
      <w:marBottom w:val="0"/>
      <w:divBdr>
        <w:top w:val="none" w:sz="0" w:space="0" w:color="auto"/>
        <w:left w:val="none" w:sz="0" w:space="0" w:color="auto"/>
        <w:bottom w:val="none" w:sz="0" w:space="0" w:color="auto"/>
        <w:right w:val="none" w:sz="0" w:space="0" w:color="auto"/>
      </w:divBdr>
      <w:divsChild>
        <w:div w:id="680472700">
          <w:marLeft w:val="0"/>
          <w:marRight w:val="0"/>
          <w:marTop w:val="0"/>
          <w:marBottom w:val="0"/>
          <w:divBdr>
            <w:top w:val="none" w:sz="0" w:space="0" w:color="auto"/>
            <w:left w:val="none" w:sz="0" w:space="0" w:color="auto"/>
            <w:bottom w:val="none" w:sz="0" w:space="0" w:color="auto"/>
            <w:right w:val="none" w:sz="0" w:space="0" w:color="auto"/>
          </w:divBdr>
          <w:divsChild>
            <w:div w:id="11035703">
              <w:marLeft w:val="0"/>
              <w:marRight w:val="0"/>
              <w:marTop w:val="0"/>
              <w:marBottom w:val="0"/>
              <w:divBdr>
                <w:top w:val="none" w:sz="0" w:space="0" w:color="auto"/>
                <w:left w:val="none" w:sz="0" w:space="0" w:color="auto"/>
                <w:bottom w:val="none" w:sz="0" w:space="0" w:color="auto"/>
                <w:right w:val="none" w:sz="0" w:space="0" w:color="auto"/>
              </w:divBdr>
              <w:divsChild>
                <w:div w:id="2067878367">
                  <w:marLeft w:val="0"/>
                  <w:marRight w:val="0"/>
                  <w:marTop w:val="0"/>
                  <w:marBottom w:val="0"/>
                  <w:divBdr>
                    <w:top w:val="none" w:sz="0" w:space="0" w:color="auto"/>
                    <w:left w:val="none" w:sz="0" w:space="0" w:color="auto"/>
                    <w:bottom w:val="none" w:sz="0" w:space="0" w:color="auto"/>
                    <w:right w:val="none" w:sz="0" w:space="0" w:color="auto"/>
                  </w:divBdr>
                  <w:divsChild>
                    <w:div w:id="2130051686">
                      <w:marLeft w:val="0"/>
                      <w:marRight w:val="0"/>
                      <w:marTop w:val="0"/>
                      <w:marBottom w:val="0"/>
                      <w:divBdr>
                        <w:top w:val="none" w:sz="0" w:space="0" w:color="auto"/>
                        <w:left w:val="none" w:sz="0" w:space="0" w:color="auto"/>
                        <w:bottom w:val="none" w:sz="0" w:space="0" w:color="auto"/>
                        <w:right w:val="none" w:sz="0" w:space="0" w:color="auto"/>
                      </w:divBdr>
                      <w:divsChild>
                        <w:div w:id="1181822884">
                          <w:marLeft w:val="0"/>
                          <w:marRight w:val="0"/>
                          <w:marTop w:val="300"/>
                          <w:marBottom w:val="0"/>
                          <w:divBdr>
                            <w:top w:val="none" w:sz="0" w:space="0" w:color="auto"/>
                            <w:left w:val="none" w:sz="0" w:space="0" w:color="auto"/>
                            <w:bottom w:val="none" w:sz="0" w:space="0" w:color="auto"/>
                            <w:right w:val="none" w:sz="0" w:space="0" w:color="auto"/>
                          </w:divBdr>
                          <w:divsChild>
                            <w:div w:id="543248772">
                              <w:marLeft w:val="0"/>
                              <w:marRight w:val="0"/>
                              <w:marTop w:val="0"/>
                              <w:marBottom w:val="0"/>
                              <w:divBdr>
                                <w:top w:val="none" w:sz="0" w:space="0" w:color="auto"/>
                                <w:left w:val="none" w:sz="0" w:space="0" w:color="auto"/>
                                <w:bottom w:val="none" w:sz="0" w:space="0" w:color="auto"/>
                                <w:right w:val="none" w:sz="0" w:space="0" w:color="auto"/>
                              </w:divBdr>
                              <w:divsChild>
                                <w:div w:id="16160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Sporta_vei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D304-F7A2-4B32-A872-FF4399A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5722</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21.jūnija noteikumos Nr.569 „Kārtība, kādā Iekšlietu ministrijas sistēmas iestāžu un Ieslodzījuma vietu pārvaldes amatpersona ar speciālo dienesta pakāpi saņem apmaksātus veselība</vt:lpstr>
    </vt:vector>
  </TitlesOfParts>
  <Manager/>
  <Company>IeM</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21.jūnija noteikumos Nr.569 „Kārtība, kādā Iekšlietu ministrijas sistēmas iestāžu un Ieslodzījuma vietu pārvaldes amatpersona ar speciālo dienesta pakāpi saņem apmaksātus veselības aprūpes pakalpojumus”” sākotnējās ietekmes novērtējuma ziņojums (anotācija)</dc:titl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I.Misus 67219309</dc:creator>
  <cp:lastModifiedBy>Linda Gersone</cp:lastModifiedBy>
  <cp:revision>3</cp:revision>
  <cp:lastPrinted>2015-01-23T11:51:00Z</cp:lastPrinted>
  <dcterms:created xsi:type="dcterms:W3CDTF">2015-01-23T11:51:00Z</dcterms:created>
  <dcterms:modified xsi:type="dcterms:W3CDTF">2015-01-23T11:52:00Z</dcterms:modified>
</cp:coreProperties>
</file>